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238C5" w14:textId="77777777" w:rsidR="00746CF4" w:rsidRDefault="00746CF4" w:rsidP="00746CF4">
      <w:pPr>
        <w:pStyle w:val="Heading1"/>
        <w:spacing w:line="480" w:lineRule="auto"/>
      </w:pPr>
      <w:bookmarkStart w:id="0" w:name="_GoBack"/>
      <w:bookmarkEnd w:id="0"/>
      <w:r w:rsidRPr="00CB0808">
        <w:t>Supplemental Analyses</w:t>
      </w:r>
    </w:p>
    <w:p w14:paraId="6BE8D00E" w14:textId="77777777" w:rsidR="00746CF4" w:rsidRDefault="00746CF4" w:rsidP="00746CF4">
      <w:pPr>
        <w:pStyle w:val="Heading2"/>
        <w:spacing w:line="480" w:lineRule="auto"/>
      </w:pPr>
      <w:r w:rsidRPr="00CB0808">
        <w:t>Robustness Test</w:t>
      </w:r>
      <w:r>
        <w:t>s</w:t>
      </w:r>
    </w:p>
    <w:p w14:paraId="5D8297E7" w14:textId="3F4F4D78" w:rsidR="00746CF4" w:rsidRPr="00DE3987" w:rsidRDefault="00746CF4" w:rsidP="00746CF4">
      <w:pPr>
        <w:spacing w:line="480" w:lineRule="auto"/>
      </w:pPr>
      <w:r>
        <w:t xml:space="preserve">Below, we report 5 additional Repeated-Measures ANOVAs, all with </w:t>
      </w:r>
      <w:r w:rsidR="006D4F0E">
        <w:t>Confidence</w:t>
      </w:r>
      <w:r>
        <w:t xml:space="preserve"> Choice and Comparison Type as predictors. The first test replicates the analysis in the main text, but with age as a covariate. The next 3 tests use the accuracy data from each of the three dimensions independently (e.g., Area trials from the Within-</w:t>
      </w:r>
      <w:r w:rsidR="00DB5BCA">
        <w:t>D</w:t>
      </w:r>
      <w:r>
        <w:t>omain comparisons and Area trials only from the Across-</w:t>
      </w:r>
      <w:r w:rsidR="00DB5BCA">
        <w:t>D</w:t>
      </w:r>
      <w:r>
        <w:t>omain comparisons, a total of 24 trials). The final test uses RTs instead of accuracy data.</w:t>
      </w:r>
    </w:p>
    <w:p w14:paraId="760A6BA1" w14:textId="6AC9A0B6" w:rsidR="00746CF4" w:rsidRDefault="00746CF4" w:rsidP="00746CF4">
      <w:pPr>
        <w:spacing w:line="480" w:lineRule="auto"/>
      </w:pPr>
      <w:r w:rsidRPr="00CB0808">
        <w:rPr>
          <w:rStyle w:val="Heading3Char"/>
        </w:rPr>
        <w:t>Accounting for Age.</w:t>
      </w:r>
      <w:r>
        <w:t xml:space="preserve"> Because children’s metacognitive abilities develop, we confirmed that these effects held throughout the age group tested. When treating age as a covariate, we found that children did get marginally more accurate overall with age, </w:t>
      </w:r>
      <w:r w:rsidRPr="000243B1">
        <w:rPr>
          <w:i/>
        </w:rPr>
        <w:t>F</w:t>
      </w:r>
      <w:r>
        <w:t xml:space="preserve">(1, 46) = 3.74, </w:t>
      </w:r>
      <w:r w:rsidRPr="000243B1">
        <w:rPr>
          <w:i/>
        </w:rPr>
        <w:t>p</w:t>
      </w:r>
      <w:r>
        <w:t xml:space="preserve"> = .059, </w:t>
      </w:r>
      <w:r w:rsidRPr="009B7F42">
        <w:sym w:font="Symbol" w:char="F068"/>
      </w:r>
      <w:r w:rsidRPr="009B7F42">
        <w:rPr>
          <w:vertAlign w:val="subscript"/>
        </w:rPr>
        <w:t>p</w:t>
      </w:r>
      <w:r w:rsidRPr="009B7F42">
        <w:rPr>
          <w:vertAlign w:val="superscript"/>
        </w:rPr>
        <w:t>2</w:t>
      </w:r>
      <w:r>
        <w:t xml:space="preserve"> = .08, but it did not interact with any other variables, all </w:t>
      </w:r>
      <w:r w:rsidRPr="000243B1">
        <w:rPr>
          <w:i/>
        </w:rPr>
        <w:t>F</w:t>
      </w:r>
      <w:r>
        <w:t xml:space="preserve">’s &lt; 1. Importantly, we still found that children’s </w:t>
      </w:r>
      <w:r w:rsidR="006D4F0E">
        <w:t>confidence</w:t>
      </w:r>
      <w:r>
        <w:t xml:space="preserve"> choices predicted their accuracy, </w:t>
      </w:r>
      <w:r w:rsidRPr="000243B1">
        <w:rPr>
          <w:i/>
        </w:rPr>
        <w:t>F</w:t>
      </w:r>
      <w:r>
        <w:t xml:space="preserve">(1,46) = 30.03, </w:t>
      </w:r>
      <w:r w:rsidRPr="000243B1">
        <w:rPr>
          <w:i/>
        </w:rPr>
        <w:t>p</w:t>
      </w:r>
      <w:r>
        <w:t xml:space="preserve"> &lt; .001, </w:t>
      </w:r>
      <w:r w:rsidRPr="009B7F42">
        <w:sym w:font="Symbol" w:char="F068"/>
      </w:r>
      <w:r w:rsidRPr="009B7F42">
        <w:rPr>
          <w:vertAlign w:val="subscript"/>
        </w:rPr>
        <w:t>p</w:t>
      </w:r>
      <w:r w:rsidRPr="009B7F42">
        <w:rPr>
          <w:vertAlign w:val="superscript"/>
        </w:rPr>
        <w:t>2</w:t>
      </w:r>
      <w:r>
        <w:t xml:space="preserve"> = .40, with no effect of comparison type or an interaction, </w:t>
      </w:r>
      <w:r w:rsidRPr="000243B1">
        <w:rPr>
          <w:i/>
        </w:rPr>
        <w:t>F</w:t>
      </w:r>
      <w:r>
        <w:t>’s &lt; 2.</w:t>
      </w:r>
    </w:p>
    <w:p w14:paraId="08D00337" w14:textId="6FDE9C0D" w:rsidR="00746CF4" w:rsidRDefault="00746CF4" w:rsidP="00746CF4">
      <w:pPr>
        <w:pStyle w:val="Heading3"/>
        <w:spacing w:line="480" w:lineRule="auto"/>
      </w:pPr>
      <w:r w:rsidRPr="00CB0808">
        <w:t>Area Trials.</w:t>
      </w:r>
      <w:r>
        <w:t xml:space="preserve"> </w:t>
      </w:r>
      <w:r w:rsidRPr="00CB0808">
        <w:rPr>
          <w:b w:val="0"/>
        </w:rPr>
        <w:t xml:space="preserve">Children were more accurate on </w:t>
      </w:r>
      <w:r>
        <w:rPr>
          <w:b w:val="0"/>
        </w:rPr>
        <w:t xml:space="preserve">Chosen </w:t>
      </w:r>
      <w:r w:rsidRPr="00CB0808">
        <w:rPr>
          <w:b w:val="0"/>
        </w:rPr>
        <w:t xml:space="preserve">Area trials than </w:t>
      </w:r>
      <w:r>
        <w:rPr>
          <w:b w:val="0"/>
        </w:rPr>
        <w:t>Discarded ones</w:t>
      </w:r>
      <w:r w:rsidRPr="00CB0808">
        <w:rPr>
          <w:b w:val="0"/>
        </w:rPr>
        <w:t xml:space="preserve">, </w:t>
      </w:r>
      <w:r w:rsidRPr="000243B1">
        <w:rPr>
          <w:b w:val="0"/>
          <w:i/>
        </w:rPr>
        <w:t>F</w:t>
      </w:r>
      <w:r w:rsidRPr="00CB0808">
        <w:rPr>
          <w:b w:val="0"/>
        </w:rPr>
        <w:t xml:space="preserve">(1, 47) = 17.06, </w:t>
      </w:r>
      <w:r w:rsidRPr="000243B1">
        <w:rPr>
          <w:b w:val="0"/>
          <w:i/>
        </w:rPr>
        <w:t>p</w:t>
      </w:r>
      <w:r w:rsidRPr="00CB0808">
        <w:rPr>
          <w:b w:val="0"/>
        </w:rPr>
        <w:t xml:space="preserve"> &lt; .001, </w:t>
      </w:r>
      <w:r w:rsidRPr="009B7F42">
        <w:rPr>
          <w:b w:val="0"/>
        </w:rPr>
        <w:sym w:font="Symbol" w:char="F068"/>
      </w:r>
      <w:r w:rsidRPr="009B7F42">
        <w:rPr>
          <w:b w:val="0"/>
          <w:vertAlign w:val="subscript"/>
        </w:rPr>
        <w:t>p</w:t>
      </w:r>
      <w:r w:rsidRPr="009B7F42">
        <w:rPr>
          <w:b w:val="0"/>
          <w:vertAlign w:val="superscript"/>
        </w:rPr>
        <w:t>2</w:t>
      </w:r>
      <w:r w:rsidRPr="00CB0808">
        <w:rPr>
          <w:b w:val="0"/>
        </w:rPr>
        <w:t xml:space="preserve"> = .27. Within versus </w:t>
      </w:r>
      <w:r>
        <w:rPr>
          <w:b w:val="0"/>
        </w:rPr>
        <w:t>Across</w:t>
      </w:r>
      <w:r w:rsidRPr="00CB0808">
        <w:rPr>
          <w:b w:val="0"/>
        </w:rPr>
        <w:t>-</w:t>
      </w:r>
      <w:r w:rsidR="00DB5BCA">
        <w:rPr>
          <w:b w:val="0"/>
        </w:rPr>
        <w:t>D</w:t>
      </w:r>
      <w:r w:rsidRPr="00CB0808">
        <w:rPr>
          <w:b w:val="0"/>
        </w:rPr>
        <w:t xml:space="preserve">omain comparisons didn’t affect  accuracy, </w:t>
      </w:r>
      <w:r w:rsidRPr="000243B1">
        <w:rPr>
          <w:b w:val="0"/>
          <w:i/>
        </w:rPr>
        <w:t>F</w:t>
      </w:r>
      <w:r w:rsidRPr="00CB0808">
        <w:rPr>
          <w:b w:val="0"/>
        </w:rPr>
        <w:t xml:space="preserve">(1, 47) = 0.14, </w:t>
      </w:r>
      <w:r w:rsidRPr="000243B1">
        <w:rPr>
          <w:b w:val="0"/>
          <w:i/>
        </w:rPr>
        <w:t>p</w:t>
      </w:r>
      <w:r w:rsidRPr="00CB0808">
        <w:rPr>
          <w:b w:val="0"/>
        </w:rPr>
        <w:t xml:space="preserve"> = .712, </w:t>
      </w:r>
      <w:r w:rsidRPr="009B7F42">
        <w:rPr>
          <w:b w:val="0"/>
        </w:rPr>
        <w:sym w:font="Symbol" w:char="F068"/>
      </w:r>
      <w:r w:rsidRPr="009B7F42">
        <w:rPr>
          <w:b w:val="0"/>
          <w:vertAlign w:val="subscript"/>
        </w:rPr>
        <w:t>p</w:t>
      </w:r>
      <w:r w:rsidRPr="009B7F42">
        <w:rPr>
          <w:b w:val="0"/>
          <w:vertAlign w:val="superscript"/>
        </w:rPr>
        <w:t>2</w:t>
      </w:r>
      <w:r w:rsidRPr="00CB0808">
        <w:rPr>
          <w:b w:val="0"/>
        </w:rPr>
        <w:t xml:space="preserve"> = .00, though </w:t>
      </w:r>
      <w:r>
        <w:rPr>
          <w:b w:val="0"/>
        </w:rPr>
        <w:t>C</w:t>
      </w:r>
      <w:r w:rsidRPr="00CB0808">
        <w:rPr>
          <w:b w:val="0"/>
        </w:rPr>
        <w:t xml:space="preserve">omparison </w:t>
      </w:r>
      <w:r>
        <w:rPr>
          <w:b w:val="0"/>
        </w:rPr>
        <w:t xml:space="preserve">Type </w:t>
      </w:r>
      <w:r w:rsidRPr="00CB0808">
        <w:rPr>
          <w:b w:val="0"/>
        </w:rPr>
        <w:t xml:space="preserve">interacted with children’s </w:t>
      </w:r>
      <w:r w:rsidR="006D4F0E">
        <w:rPr>
          <w:b w:val="0"/>
        </w:rPr>
        <w:t>Confidence</w:t>
      </w:r>
      <w:r>
        <w:rPr>
          <w:b w:val="0"/>
        </w:rPr>
        <w:t xml:space="preserve"> C</w:t>
      </w:r>
      <w:r w:rsidRPr="00CB0808">
        <w:rPr>
          <w:b w:val="0"/>
        </w:rPr>
        <w:t xml:space="preserve">hoices, </w:t>
      </w:r>
      <w:r w:rsidRPr="000243B1">
        <w:rPr>
          <w:b w:val="0"/>
          <w:i/>
        </w:rPr>
        <w:t>F</w:t>
      </w:r>
      <w:r w:rsidRPr="00CB0808">
        <w:rPr>
          <w:b w:val="0"/>
        </w:rPr>
        <w:t xml:space="preserve">(1, 47) = 5.61, </w:t>
      </w:r>
      <w:r w:rsidRPr="000243B1">
        <w:rPr>
          <w:b w:val="0"/>
          <w:i/>
        </w:rPr>
        <w:t>p</w:t>
      </w:r>
      <w:r w:rsidRPr="00CB0808">
        <w:rPr>
          <w:b w:val="0"/>
        </w:rPr>
        <w:t xml:space="preserve"> = .022, </w:t>
      </w:r>
      <w:r w:rsidRPr="009B7F42">
        <w:rPr>
          <w:b w:val="0"/>
        </w:rPr>
        <w:sym w:font="Symbol" w:char="F068"/>
      </w:r>
      <w:r w:rsidRPr="009B7F42">
        <w:rPr>
          <w:b w:val="0"/>
          <w:vertAlign w:val="subscript"/>
        </w:rPr>
        <w:t>p</w:t>
      </w:r>
      <w:r w:rsidRPr="009B7F42">
        <w:rPr>
          <w:b w:val="0"/>
          <w:vertAlign w:val="superscript"/>
        </w:rPr>
        <w:t>2</w:t>
      </w:r>
      <w:r w:rsidRPr="00CB0808">
        <w:rPr>
          <w:b w:val="0"/>
        </w:rPr>
        <w:t xml:space="preserve"> = .11. In particular, children had higher accuracy on </w:t>
      </w:r>
      <w:r>
        <w:rPr>
          <w:b w:val="0"/>
        </w:rPr>
        <w:t>Chosen</w:t>
      </w:r>
      <w:r w:rsidRPr="00CB0808">
        <w:rPr>
          <w:b w:val="0"/>
        </w:rPr>
        <w:t xml:space="preserve"> Within-</w:t>
      </w:r>
      <w:r w:rsidR="00DB5BCA">
        <w:rPr>
          <w:b w:val="0"/>
        </w:rPr>
        <w:t>D</w:t>
      </w:r>
      <w:r w:rsidRPr="00CB0808">
        <w:rPr>
          <w:b w:val="0"/>
        </w:rPr>
        <w:t xml:space="preserve">omain trials than </w:t>
      </w:r>
      <w:r>
        <w:rPr>
          <w:b w:val="0"/>
        </w:rPr>
        <w:t>Discarded</w:t>
      </w:r>
      <w:r w:rsidRPr="00CB0808">
        <w:rPr>
          <w:b w:val="0"/>
        </w:rPr>
        <w:t xml:space="preserve"> Within-</w:t>
      </w:r>
      <w:r w:rsidR="00DB5BCA">
        <w:rPr>
          <w:b w:val="0"/>
        </w:rPr>
        <w:t>D</w:t>
      </w:r>
      <w:r w:rsidRPr="00CB0808">
        <w:rPr>
          <w:b w:val="0"/>
        </w:rPr>
        <w:t xml:space="preserve">omain trials, </w:t>
      </w:r>
      <w:r w:rsidRPr="000243B1">
        <w:rPr>
          <w:b w:val="0"/>
          <w:i/>
        </w:rPr>
        <w:t>t</w:t>
      </w:r>
      <w:r w:rsidRPr="00CB0808">
        <w:rPr>
          <w:b w:val="0"/>
        </w:rPr>
        <w:t xml:space="preserve">(47) = 4.69, </w:t>
      </w:r>
      <w:r w:rsidRPr="000243B1">
        <w:rPr>
          <w:b w:val="0"/>
          <w:i/>
        </w:rPr>
        <w:t>p</w:t>
      </w:r>
      <w:r w:rsidRPr="00CB0808">
        <w:rPr>
          <w:b w:val="0"/>
        </w:rPr>
        <w:t xml:space="preserve"> &lt; .001, </w:t>
      </w:r>
      <w:r w:rsidRPr="000243B1">
        <w:rPr>
          <w:b w:val="0"/>
          <w:i/>
        </w:rPr>
        <w:t>d</w:t>
      </w:r>
      <w:r w:rsidRPr="00CB0808">
        <w:rPr>
          <w:b w:val="0"/>
        </w:rPr>
        <w:t xml:space="preserve"> = .68, but the difference in accuracy on </w:t>
      </w:r>
      <w:r>
        <w:rPr>
          <w:b w:val="0"/>
        </w:rPr>
        <w:t>Across</w:t>
      </w:r>
      <w:r w:rsidRPr="00CB0808">
        <w:rPr>
          <w:b w:val="0"/>
        </w:rPr>
        <w:t>-</w:t>
      </w:r>
      <w:r w:rsidR="00DB5BCA">
        <w:rPr>
          <w:b w:val="0"/>
        </w:rPr>
        <w:t>D</w:t>
      </w:r>
      <w:r w:rsidRPr="00CB0808">
        <w:rPr>
          <w:b w:val="0"/>
        </w:rPr>
        <w:t xml:space="preserve">omain trials was only marginally significant, </w:t>
      </w:r>
      <w:r w:rsidRPr="000243B1">
        <w:rPr>
          <w:b w:val="0"/>
          <w:i/>
        </w:rPr>
        <w:t>t</w:t>
      </w:r>
      <w:r w:rsidRPr="00CB0808">
        <w:rPr>
          <w:b w:val="0"/>
        </w:rPr>
        <w:t xml:space="preserve">(47) = 1.87, </w:t>
      </w:r>
      <w:r w:rsidRPr="000243B1">
        <w:rPr>
          <w:b w:val="0"/>
          <w:i/>
        </w:rPr>
        <w:t>p</w:t>
      </w:r>
      <w:r w:rsidRPr="00CB0808">
        <w:rPr>
          <w:b w:val="0"/>
        </w:rPr>
        <w:t xml:space="preserve"> = .067, </w:t>
      </w:r>
      <w:r w:rsidRPr="000243B1">
        <w:rPr>
          <w:b w:val="0"/>
          <w:i/>
        </w:rPr>
        <w:t>d</w:t>
      </w:r>
      <w:r w:rsidRPr="00CB0808">
        <w:rPr>
          <w:b w:val="0"/>
        </w:rPr>
        <w:t xml:space="preserve"> = .27 (see Figure </w:t>
      </w:r>
      <w:r>
        <w:rPr>
          <w:b w:val="0"/>
        </w:rPr>
        <w:t>S1</w:t>
      </w:r>
      <w:r w:rsidRPr="00CB0808">
        <w:rPr>
          <w:b w:val="0"/>
        </w:rPr>
        <w:t>).</w:t>
      </w:r>
    </w:p>
    <w:p w14:paraId="2F18150C" w14:textId="32101ADC" w:rsidR="00746CF4" w:rsidRDefault="00746CF4" w:rsidP="00746CF4">
      <w:pPr>
        <w:spacing w:line="480" w:lineRule="auto"/>
      </w:pPr>
      <w:r>
        <w:t xml:space="preserve">In contrast, an exploratory analogous Bayesian RM ANOVA found that children’s accuracy was best predicted by their Confidence Choices alone, </w:t>
      </w:r>
      <w:r w:rsidRPr="000243B1">
        <w:rPr>
          <w:i/>
        </w:rPr>
        <w:t>p</w:t>
      </w:r>
      <w:r>
        <w:t>(</w:t>
      </w:r>
      <w:proofErr w:type="spellStart"/>
      <w:r>
        <w:t>model|data</w:t>
      </w:r>
      <w:proofErr w:type="spellEnd"/>
      <w:r>
        <w:t>) = .67, BF</w:t>
      </w:r>
      <w:r w:rsidRPr="009B7F42">
        <w:rPr>
          <w:vertAlign w:val="subscript"/>
        </w:rPr>
        <w:t>10</w:t>
      </w:r>
      <w:r>
        <w:t xml:space="preserve"> &gt; 19 </w:t>
      </w:r>
      <w:r>
        <w:lastRenderedPageBreak/>
        <w:t xml:space="preserve">000; the model including the interaction between </w:t>
      </w:r>
      <w:r w:rsidR="006D4F0E">
        <w:t>Confidence</w:t>
      </w:r>
      <w:r>
        <w:t xml:space="preserve"> Choice and Comparison Type was one-third as likely, </w:t>
      </w:r>
      <w:r w:rsidRPr="000243B1">
        <w:rPr>
          <w:i/>
        </w:rPr>
        <w:t>p</w:t>
      </w:r>
      <w:r>
        <w:t>(</w:t>
      </w:r>
      <w:proofErr w:type="spellStart"/>
      <w:r>
        <w:t>model|data</w:t>
      </w:r>
      <w:proofErr w:type="spellEnd"/>
      <w:r>
        <w:t>) = .22, BF</w:t>
      </w:r>
      <w:r>
        <w:rPr>
          <w:vertAlign w:val="subscript"/>
        </w:rPr>
        <w:t>10</w:t>
      </w:r>
      <w:r>
        <w:t xml:space="preserve"> = 0.33, providing moderate evidence for no interaction.</w:t>
      </w:r>
    </w:p>
    <w:p w14:paraId="49EC2C73" w14:textId="39B93069" w:rsidR="00746CF4" w:rsidRDefault="00746CF4" w:rsidP="00746CF4">
      <w:pPr>
        <w:spacing w:line="480" w:lineRule="auto"/>
      </w:pPr>
      <w:r w:rsidRPr="00CB0808">
        <w:rPr>
          <w:rStyle w:val="Heading3Char"/>
        </w:rPr>
        <w:t>Emotion Trials.</w:t>
      </w:r>
      <w:r>
        <w:t xml:space="preserve"> As shown in Figure S1, children’s accuracy on Emotion trials was higher on Chosen trials than Discarded trials, </w:t>
      </w:r>
      <w:r w:rsidRPr="000243B1">
        <w:rPr>
          <w:i/>
        </w:rPr>
        <w:t>F</w:t>
      </w:r>
      <w:r>
        <w:t xml:space="preserve">(1, 47) = 20.90, </w:t>
      </w:r>
      <w:r w:rsidRPr="000243B1">
        <w:rPr>
          <w:i/>
        </w:rPr>
        <w:t>p</w:t>
      </w:r>
      <w:r>
        <w:t xml:space="preserve"> &lt; .001, </w:t>
      </w:r>
      <w:r w:rsidRPr="009B7F42">
        <w:sym w:font="Symbol" w:char="F068"/>
      </w:r>
      <w:r w:rsidRPr="009B7F42">
        <w:rPr>
          <w:vertAlign w:val="subscript"/>
        </w:rPr>
        <w:t>p</w:t>
      </w:r>
      <w:r w:rsidRPr="009B7F42">
        <w:rPr>
          <w:vertAlign w:val="superscript"/>
        </w:rPr>
        <w:t>2</w:t>
      </w:r>
      <w:r>
        <w:t xml:space="preserve"> = .31. Unexpectedly, children were more accurate on Emotion trials that appeared in Across-</w:t>
      </w:r>
      <w:r w:rsidR="00DB5BCA">
        <w:t>D</w:t>
      </w:r>
      <w:r>
        <w:t>omain comparisons than Within-</w:t>
      </w:r>
      <w:r w:rsidR="00DB5BCA">
        <w:t>D</w:t>
      </w:r>
      <w:r>
        <w:t xml:space="preserve">omain comparisons, </w:t>
      </w:r>
      <w:r w:rsidRPr="000243B1">
        <w:rPr>
          <w:i/>
        </w:rPr>
        <w:t>F</w:t>
      </w:r>
      <w:r>
        <w:t xml:space="preserve">(1, 47) = 12.70, </w:t>
      </w:r>
      <w:r w:rsidRPr="000243B1">
        <w:rPr>
          <w:i/>
        </w:rPr>
        <w:t>p</w:t>
      </w:r>
      <w:r>
        <w:t xml:space="preserve"> &lt; .001, </w:t>
      </w:r>
      <w:r w:rsidRPr="009B7F42">
        <w:sym w:font="Symbol" w:char="F068"/>
      </w:r>
      <w:r w:rsidRPr="009B7F42">
        <w:rPr>
          <w:vertAlign w:val="subscript"/>
        </w:rPr>
        <w:t>p</w:t>
      </w:r>
      <w:r w:rsidRPr="009B7F42">
        <w:rPr>
          <w:vertAlign w:val="superscript"/>
        </w:rPr>
        <w:t>2</w:t>
      </w:r>
      <w:r>
        <w:t xml:space="preserve"> = .21. However, there was no interaction between the type of comparison and children’s </w:t>
      </w:r>
      <w:r w:rsidR="006D4F0E">
        <w:t>confidence</w:t>
      </w:r>
      <w:r>
        <w:t xml:space="preserve"> predicting accuracy, </w:t>
      </w:r>
      <w:r w:rsidRPr="000243B1">
        <w:rPr>
          <w:i/>
        </w:rPr>
        <w:t>F</w:t>
      </w:r>
      <w:r>
        <w:t xml:space="preserve">(1, 47) = 0.48, </w:t>
      </w:r>
      <w:r w:rsidRPr="000243B1">
        <w:rPr>
          <w:i/>
        </w:rPr>
        <w:t>p</w:t>
      </w:r>
      <w:r>
        <w:t xml:space="preserve"> = .494, </w:t>
      </w:r>
      <w:r w:rsidRPr="009B7F42">
        <w:sym w:font="Symbol" w:char="F068"/>
      </w:r>
      <w:r w:rsidRPr="009B7F42">
        <w:rPr>
          <w:vertAlign w:val="subscript"/>
        </w:rPr>
        <w:t>p</w:t>
      </w:r>
      <w:r w:rsidRPr="009B7F42">
        <w:rPr>
          <w:vertAlign w:val="superscript"/>
        </w:rPr>
        <w:t>2</w:t>
      </w:r>
      <w:r>
        <w:t xml:space="preserve"> = .01.</w:t>
      </w:r>
    </w:p>
    <w:p w14:paraId="04720F5F" w14:textId="77777777" w:rsidR="00746CF4" w:rsidRDefault="00746CF4" w:rsidP="00746CF4">
      <w:pPr>
        <w:spacing w:line="480" w:lineRule="auto"/>
      </w:pPr>
      <w:r>
        <w:t xml:space="preserve">An exploratory analogous Bayesian RM ANOVA similarly found the most support for a model including both main effects, but not their interaction, </w:t>
      </w:r>
      <w:r w:rsidRPr="000243B1">
        <w:rPr>
          <w:i/>
        </w:rPr>
        <w:t>p</w:t>
      </w:r>
      <w:r>
        <w:t>(</w:t>
      </w:r>
      <w:proofErr w:type="spellStart"/>
      <w:r>
        <w:t>model|data</w:t>
      </w:r>
      <w:proofErr w:type="spellEnd"/>
      <w:r>
        <w:t>) = 0.70, BF</w:t>
      </w:r>
      <w:r w:rsidRPr="009B7F42">
        <w:rPr>
          <w:vertAlign w:val="subscript"/>
        </w:rPr>
        <w:t>10</w:t>
      </w:r>
      <w:r>
        <w:t xml:space="preserve"> &gt; 40 000. Comparatively, the model containing the interaction term was anecdotally less likely,</w:t>
      </w:r>
      <w:r w:rsidRPr="00BF6586">
        <w:rPr>
          <w:i/>
        </w:rPr>
        <w:t xml:space="preserve"> </w:t>
      </w:r>
      <w:r w:rsidRPr="000243B1">
        <w:rPr>
          <w:i/>
        </w:rPr>
        <w:t>p</w:t>
      </w:r>
      <w:r>
        <w:t>(</w:t>
      </w:r>
      <w:proofErr w:type="spellStart"/>
      <w:r>
        <w:t>model|data</w:t>
      </w:r>
      <w:proofErr w:type="spellEnd"/>
      <w:r>
        <w:t>) = 0.21, BF</w:t>
      </w:r>
      <w:r w:rsidRPr="009B7F42">
        <w:rPr>
          <w:vertAlign w:val="subscript"/>
        </w:rPr>
        <w:t>10</w:t>
      </w:r>
      <w:r>
        <w:t xml:space="preserve"> = 0.30.</w:t>
      </w:r>
    </w:p>
    <w:p w14:paraId="26C46FF4" w14:textId="5BA99CB1" w:rsidR="00746CF4" w:rsidRDefault="00746CF4" w:rsidP="00746CF4">
      <w:pPr>
        <w:spacing w:line="480" w:lineRule="auto"/>
      </w:pPr>
      <w:r w:rsidRPr="00CB0808">
        <w:rPr>
          <w:rStyle w:val="Heading3Char"/>
        </w:rPr>
        <w:t>Number Trials.</w:t>
      </w:r>
      <w:r>
        <w:t xml:space="preserve"> As shown in Figure S1, children were more accurate on Chosen Number trials than Discarded ones, </w:t>
      </w:r>
      <w:r w:rsidRPr="000243B1">
        <w:rPr>
          <w:i/>
        </w:rPr>
        <w:t>F</w:t>
      </w:r>
      <w:r>
        <w:t xml:space="preserve">(1, 47) = 23.61, </w:t>
      </w:r>
      <w:r w:rsidRPr="000243B1">
        <w:rPr>
          <w:i/>
        </w:rPr>
        <w:t>p</w:t>
      </w:r>
      <w:r>
        <w:t xml:space="preserve"> &lt; .001, </w:t>
      </w:r>
      <w:r w:rsidRPr="009B7F42">
        <w:sym w:font="Symbol" w:char="F068"/>
      </w:r>
      <w:r w:rsidRPr="009B7F42">
        <w:rPr>
          <w:vertAlign w:val="subscript"/>
        </w:rPr>
        <w:t>p</w:t>
      </w:r>
      <w:r w:rsidRPr="009B7F42">
        <w:rPr>
          <w:vertAlign w:val="superscript"/>
        </w:rPr>
        <w:t>2</w:t>
      </w:r>
      <w:r>
        <w:t xml:space="preserve"> = .33. Within-</w:t>
      </w:r>
      <w:r w:rsidR="00DB5BCA">
        <w:t>D</w:t>
      </w:r>
      <w:r>
        <w:t>omain comparisons were marginally more accurate than Across-</w:t>
      </w:r>
      <w:r w:rsidR="00DB5BCA">
        <w:t>D</w:t>
      </w:r>
      <w:r>
        <w:t xml:space="preserve">omain comparisons, </w:t>
      </w:r>
      <w:r w:rsidRPr="000243B1">
        <w:rPr>
          <w:i/>
        </w:rPr>
        <w:t>F</w:t>
      </w:r>
      <w:r>
        <w:t xml:space="preserve">(1, 47) = 2.99, </w:t>
      </w:r>
      <w:r w:rsidRPr="000243B1">
        <w:rPr>
          <w:i/>
        </w:rPr>
        <w:t>p</w:t>
      </w:r>
      <w:r>
        <w:t xml:space="preserve"> = .090, </w:t>
      </w:r>
      <w:r w:rsidRPr="009B7F42">
        <w:sym w:font="Symbol" w:char="F068"/>
      </w:r>
      <w:r w:rsidRPr="009B7F42">
        <w:rPr>
          <w:vertAlign w:val="subscript"/>
        </w:rPr>
        <w:t>p</w:t>
      </w:r>
      <w:r w:rsidRPr="009B7F42">
        <w:rPr>
          <w:vertAlign w:val="superscript"/>
        </w:rPr>
        <w:t>2</w:t>
      </w:r>
      <w:r>
        <w:t xml:space="preserve"> = .06, but there was no interaction, </w:t>
      </w:r>
      <w:r w:rsidRPr="000243B1">
        <w:rPr>
          <w:i/>
        </w:rPr>
        <w:t>F</w:t>
      </w:r>
      <w:r>
        <w:t xml:space="preserve">(1, 47) = 0.24, </w:t>
      </w:r>
      <w:r w:rsidRPr="000243B1">
        <w:rPr>
          <w:i/>
        </w:rPr>
        <w:t>p</w:t>
      </w:r>
      <w:r>
        <w:t xml:space="preserve"> = .628, </w:t>
      </w:r>
      <w:r w:rsidRPr="009B7F42">
        <w:sym w:font="Symbol" w:char="F068"/>
      </w:r>
      <w:r w:rsidRPr="009B7F42">
        <w:rPr>
          <w:vertAlign w:val="subscript"/>
        </w:rPr>
        <w:t>p</w:t>
      </w:r>
      <w:r w:rsidRPr="009B7F42">
        <w:rPr>
          <w:vertAlign w:val="superscript"/>
        </w:rPr>
        <w:t>2</w:t>
      </w:r>
      <w:r>
        <w:t xml:space="preserve"> = .01.</w:t>
      </w:r>
    </w:p>
    <w:p w14:paraId="59079F35" w14:textId="1EC14354" w:rsidR="00746CF4" w:rsidRDefault="00746CF4" w:rsidP="00746CF4">
      <w:pPr>
        <w:spacing w:line="480" w:lineRule="auto"/>
      </w:pPr>
      <w:r>
        <w:t xml:space="preserve">In contrast, an exploratory analogous Bayesian RM ANOVA found the strongest support for </w:t>
      </w:r>
      <w:r w:rsidR="006D4F0E">
        <w:t>Confidence</w:t>
      </w:r>
      <w:r>
        <w:t xml:space="preserve"> Choices alone predicting Number accuracy, </w:t>
      </w:r>
      <w:r w:rsidRPr="000243B1">
        <w:rPr>
          <w:i/>
        </w:rPr>
        <w:t>p</w:t>
      </w:r>
      <w:r>
        <w:t>(</w:t>
      </w:r>
      <w:proofErr w:type="spellStart"/>
      <w:r>
        <w:t>model|data</w:t>
      </w:r>
      <w:proofErr w:type="spellEnd"/>
      <w:r>
        <w:t>) = .63, BF</w:t>
      </w:r>
      <w:r w:rsidRPr="00721940">
        <w:rPr>
          <w:vertAlign w:val="subscript"/>
        </w:rPr>
        <w:t>10</w:t>
      </w:r>
      <w:r>
        <w:t xml:space="preserve"> &gt; 130 000; the model including the interaction term was moderately less likely, </w:t>
      </w:r>
      <w:r w:rsidRPr="000243B1">
        <w:rPr>
          <w:i/>
        </w:rPr>
        <w:t>p</w:t>
      </w:r>
      <w:r>
        <w:t>(</w:t>
      </w:r>
      <w:proofErr w:type="spellStart"/>
      <w:r>
        <w:t>model|data</w:t>
      </w:r>
      <w:proofErr w:type="spellEnd"/>
      <w:r>
        <w:t>) = .07, BF</w:t>
      </w:r>
      <w:r w:rsidRPr="009B7F42">
        <w:rPr>
          <w:vertAlign w:val="subscript"/>
        </w:rPr>
        <w:t>10</w:t>
      </w:r>
      <w:r>
        <w:t xml:space="preserve"> = 0.12.</w:t>
      </w:r>
    </w:p>
    <w:p w14:paraId="14739D9B" w14:textId="6827EE05" w:rsidR="00746CF4" w:rsidRDefault="00746CF4" w:rsidP="00746CF4">
      <w:pPr>
        <w:spacing w:line="480" w:lineRule="auto"/>
      </w:pPr>
      <w:r w:rsidRPr="00CB0808">
        <w:rPr>
          <w:rStyle w:val="Heading3Char"/>
        </w:rPr>
        <w:t>Response Times.</w:t>
      </w:r>
      <w:r>
        <w:t xml:space="preserve"> When examining RT in the RM ANOVA, Chosen trials were faster than Discarded trials, </w:t>
      </w:r>
      <w:proofErr w:type="gramStart"/>
      <w:r w:rsidRPr="000243B1">
        <w:rPr>
          <w:i/>
        </w:rPr>
        <w:t>F</w:t>
      </w:r>
      <w:r>
        <w:t>(</w:t>
      </w:r>
      <w:proofErr w:type="gramEnd"/>
      <w:r>
        <w:t xml:space="preserve">1, 47) = 20.05, </w:t>
      </w:r>
      <w:r w:rsidRPr="000243B1">
        <w:rPr>
          <w:i/>
        </w:rPr>
        <w:t>p</w:t>
      </w:r>
      <w:r>
        <w:t xml:space="preserve"> &lt; .001, </w:t>
      </w:r>
      <w:r w:rsidRPr="009B7F42">
        <w:sym w:font="Symbol" w:char="F068"/>
      </w:r>
      <w:r w:rsidRPr="009B7F42">
        <w:rPr>
          <w:vertAlign w:val="subscript"/>
        </w:rPr>
        <w:t>p</w:t>
      </w:r>
      <w:r w:rsidRPr="009B7F42">
        <w:rPr>
          <w:vertAlign w:val="superscript"/>
        </w:rPr>
        <w:t>2</w:t>
      </w:r>
      <w:r>
        <w:t xml:space="preserve"> = .30. There was no difference between </w:t>
      </w:r>
      <w:r>
        <w:lastRenderedPageBreak/>
        <w:t>Within and Across-</w:t>
      </w:r>
      <w:r w:rsidR="00DB5BCA">
        <w:t>D</w:t>
      </w:r>
      <w:r>
        <w:t xml:space="preserve">omain comparison types, </w:t>
      </w:r>
      <w:r w:rsidRPr="000243B1">
        <w:rPr>
          <w:i/>
        </w:rPr>
        <w:t>F</w:t>
      </w:r>
      <w:r>
        <w:t xml:space="preserve">(1, 47) = 0.21, </w:t>
      </w:r>
      <w:r w:rsidRPr="000243B1">
        <w:rPr>
          <w:i/>
        </w:rPr>
        <w:t>p</w:t>
      </w:r>
      <w:r>
        <w:t xml:space="preserve"> = .645, </w:t>
      </w:r>
      <w:r w:rsidRPr="009B7F42">
        <w:sym w:font="Symbol" w:char="F068"/>
      </w:r>
      <w:r w:rsidRPr="009B7F42">
        <w:rPr>
          <w:vertAlign w:val="subscript"/>
        </w:rPr>
        <w:t>p</w:t>
      </w:r>
      <w:r w:rsidRPr="009B7F42">
        <w:rPr>
          <w:vertAlign w:val="superscript"/>
        </w:rPr>
        <w:t>2</w:t>
      </w:r>
      <w:r>
        <w:t xml:space="preserve"> = .01, and only a marginal interaction, </w:t>
      </w:r>
      <w:r w:rsidRPr="000243B1">
        <w:rPr>
          <w:i/>
        </w:rPr>
        <w:t>F</w:t>
      </w:r>
      <w:r>
        <w:t xml:space="preserve">(1, 47) = 3.87, </w:t>
      </w:r>
      <w:r w:rsidRPr="000243B1">
        <w:rPr>
          <w:i/>
        </w:rPr>
        <w:t>p</w:t>
      </w:r>
      <w:r>
        <w:t xml:space="preserve"> = .055, </w:t>
      </w:r>
      <w:r w:rsidRPr="009B7F42">
        <w:sym w:font="Symbol" w:char="F068"/>
      </w:r>
      <w:r w:rsidRPr="009B7F42">
        <w:rPr>
          <w:vertAlign w:val="subscript"/>
        </w:rPr>
        <w:t>p</w:t>
      </w:r>
      <w:r w:rsidRPr="009B7F42">
        <w:rPr>
          <w:vertAlign w:val="superscript"/>
        </w:rPr>
        <w:t>2</w:t>
      </w:r>
      <w:r>
        <w:t xml:space="preserve"> = .08.</w:t>
      </w:r>
    </w:p>
    <w:p w14:paraId="5B4E7515" w14:textId="59619C42" w:rsidR="00746CF4" w:rsidRDefault="00746CF4" w:rsidP="00343C5D">
      <w:pPr>
        <w:spacing w:line="480" w:lineRule="auto"/>
      </w:pPr>
      <w:r w:rsidRPr="00CB0808">
        <w:rPr>
          <w:rStyle w:val="Heading3Char"/>
        </w:rPr>
        <w:t>Summary.</w:t>
      </w:r>
      <w:r>
        <w:t xml:space="preserve"> Across all additional tests, we find clear support for a link between </w:t>
      </w:r>
      <w:r w:rsidR="006D4F0E">
        <w:t>Confidence</w:t>
      </w:r>
      <w:r>
        <w:t xml:space="preserve"> Choice and accuracy, but very little support for differences in </w:t>
      </w:r>
      <w:r w:rsidR="006D4F0E">
        <w:t>confidence</w:t>
      </w:r>
      <w:r>
        <w:t xml:space="preserve"> reasoning between Comparison Types.</w:t>
      </w:r>
    </w:p>
    <w:p w14:paraId="07E5EAAE" w14:textId="77777777" w:rsidR="00343C5D" w:rsidRDefault="00343C5D" w:rsidP="00343C5D">
      <w:pPr>
        <w:spacing w:line="480" w:lineRule="auto"/>
        <w:ind w:firstLine="0"/>
      </w:pPr>
      <w:r>
        <w:rPr>
          <w:noProof/>
          <w:lang w:val="en-US" w:eastAsia="en-US"/>
        </w:rPr>
        <w:drawing>
          <wp:inline distT="0" distB="0" distL="0" distR="0" wp14:anchorId="4312A0A6" wp14:editId="3CA9E3F6">
            <wp:extent cx="5943600" cy="369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S1 SDs.png"/>
                    <pic:cNvPicPr/>
                  </pic:nvPicPr>
                  <pic:blipFill>
                    <a:blip r:embed="rId6">
                      <a:extLst>
                        <a:ext uri="{28A0092B-C50C-407E-A947-70E740481C1C}">
                          <a14:useLocalDpi xmlns:a14="http://schemas.microsoft.com/office/drawing/2010/main" val="0"/>
                        </a:ext>
                      </a:extLst>
                    </a:blip>
                    <a:stretch>
                      <a:fillRect/>
                    </a:stretch>
                  </pic:blipFill>
                  <pic:spPr>
                    <a:xfrm>
                      <a:off x="0" y="0"/>
                      <a:ext cx="5943600" cy="3692525"/>
                    </a:xfrm>
                    <a:prstGeom prst="rect">
                      <a:avLst/>
                    </a:prstGeom>
                  </pic:spPr>
                </pic:pic>
              </a:graphicData>
            </a:graphic>
          </wp:inline>
        </w:drawing>
      </w:r>
    </w:p>
    <w:p w14:paraId="06D4884F" w14:textId="7B9CC07A" w:rsidR="00746CF4" w:rsidRDefault="00343C5D" w:rsidP="00343C5D">
      <w:pPr>
        <w:spacing w:line="480" w:lineRule="auto"/>
      </w:pPr>
      <w:r w:rsidRPr="00CB5C59">
        <w:rPr>
          <w:i/>
        </w:rPr>
        <w:t>Figure S1.</w:t>
      </w:r>
      <w:r>
        <w:t xml:space="preserve"> Children’s perceptual accuracy on Area, Emotion, and Number trials as a function of </w:t>
      </w:r>
      <w:r w:rsidR="006D4F0E">
        <w:t>Confidence</w:t>
      </w:r>
      <w:r>
        <w:t xml:space="preserve"> Choice and Comparison Type. </w:t>
      </w:r>
      <w:r w:rsidRPr="00343C5D">
        <w:t>Error bars represent 1 Standard Error.</w:t>
      </w:r>
    </w:p>
    <w:p w14:paraId="227DE43E" w14:textId="77777777" w:rsidR="00746CF4" w:rsidRDefault="00746CF4" w:rsidP="00746CF4">
      <w:pPr>
        <w:spacing w:line="480" w:lineRule="auto"/>
      </w:pPr>
    </w:p>
    <w:p w14:paraId="52A9D213" w14:textId="77777777" w:rsidR="00746CF4" w:rsidRDefault="00746CF4" w:rsidP="00746CF4">
      <w:pPr>
        <w:pStyle w:val="Heading2"/>
        <w:spacing w:line="480" w:lineRule="auto"/>
      </w:pPr>
      <w:r>
        <w:t>Replication of Baer, Gill &amp; Odic, 2018</w:t>
      </w:r>
    </w:p>
    <w:p w14:paraId="57ECFB8B" w14:textId="6B3730CF" w:rsidR="00746CF4" w:rsidRDefault="00746CF4" w:rsidP="00746CF4">
      <w:pPr>
        <w:spacing w:line="480" w:lineRule="auto"/>
      </w:pPr>
      <w:r>
        <w:t xml:space="preserve">Given the similarities between the current study and that of Baer et al. </w:t>
      </w:r>
      <w:r>
        <w:fldChar w:fldCharType="begin"/>
      </w:r>
      <w:r>
        <w:instrText xml:space="preserve"> ADDIN ZOTERO_ITEM CSL_CITATION {"citationID":"k1utgSzV","properties":{"formattedCitation":"(2018)","plainCitation":"(2018)","noteIndex":0},"citationItems":[{"id":967,"uris":["http://zotero.org/users/3750895/items/26XWZS9Y"],"uri":["http://zotero.org/users/3750895/items/26XWZS9Y"],"itemData":{"id":967,"type":"article-journal","title":"A domain-general sense of confidence in children","container-title":"Open Mind: Discoveries in Cognitive Science","page":"86-96","volume":"2","source":"MIT Press Journals","abstract":"Our minds constantly evaluate the confidence in what we see, think, and remember. Previous work suggests that confidence is a domain-general currency in adulthood, unifying otherwise independent sensory and perceptual representations. Here, we test whether children also possess a domain-general sense of confidence over otherwise independent perceptual dimensions. Six- to 9-year-olds completed either three simple perceptual discrimination tasks—a number task (“Which group has more dots?”), an area task (“Which blob is bigger?”), and an emotions task (“Which face is happier?”)—or three relative confidence tasks, selecting which of two trials they are more confident on. We find that while children’s discrimination performance across the three tasks was independent and constituted three separate factors, children’s confidence in each of three dimensions was strongly correlated and constituted only a single factor. Our results suggest that confidence is a domain-general currency even in childhood, providing a mechanism by which disparate perceptual representations could be integrated.","DOI":"10.1162/opmi_a_00020","journalAbbreviation":"Open Mind","author":[{"family":"Baer","given":"Carolyn"},{"family":"Gill","given":"Inderpreet K."},{"family":"Odic","given":"Darko"}],"issued":{"date-parts":[["2018",10,30]]}},"suppress-author":true}],"schema":"https://github.com/citation-style-language/schema/raw/master/csl-citation.json"} </w:instrText>
      </w:r>
      <w:r>
        <w:fldChar w:fldCharType="separate"/>
      </w:r>
      <w:r>
        <w:rPr>
          <w:noProof/>
        </w:rPr>
        <w:t>(2018)</w:t>
      </w:r>
      <w:r>
        <w:fldChar w:fldCharType="end"/>
      </w:r>
      <w:r>
        <w:t xml:space="preserve">, we felt that the current study could serve as a valuable conceptual replication attempt for some of their key findings. In the analyses below (all preregistered), we focus on two individual differences </w:t>
      </w:r>
      <w:r>
        <w:lastRenderedPageBreak/>
        <w:t xml:space="preserve">measures. First, to quantify perceptual discrimination abilities, we use children’s accuracy on all perceptual decisions in each domain (Area, Emotion, and Number). Second, to quantify </w:t>
      </w:r>
      <w:r w:rsidR="006D4F0E">
        <w:t>confidence</w:t>
      </w:r>
      <w:r>
        <w:t xml:space="preserve"> reasoning abilities, we</w:t>
      </w:r>
      <w:r w:rsidRPr="004D026B">
        <w:t xml:space="preserve"> </w:t>
      </w:r>
      <w:r>
        <w:t xml:space="preserve">preregistered an individual differences measure of children’s confidence choices by taking the difference of their accuracy on Chosen trials and Discarded trials, such that children with good </w:t>
      </w:r>
      <w:r w:rsidR="006D4F0E">
        <w:t>confidence</w:t>
      </w:r>
      <w:r>
        <w:t xml:space="preserve"> reasoning should have large accuracy differences between Chosen and Discarded trials. Upon further reflection after the preregistration was submitted and the data collected, we noticed that this difference score was fundamentally limited by children’s perceptual accuracy (a child with 100% accuracy would necessarily have a difference score of 0, regardless of their </w:t>
      </w:r>
      <w:r w:rsidR="006D4F0E">
        <w:t>confidence</w:t>
      </w:r>
      <w:r>
        <w:t xml:space="preserve"> reasoning abilities). Therefore, we also report the analyses using a non-preregistered individual differences measure that captures whether children chose the trial designed to be higher in </w:t>
      </w:r>
      <w:r w:rsidR="006D4F0E">
        <w:t>confidence</w:t>
      </w:r>
      <w:r>
        <w:t xml:space="preserve"> (i.e., the higher ratio, as reported by </w:t>
      </w:r>
      <w:r>
        <w:fldChar w:fldCharType="begin"/>
      </w:r>
      <w:r>
        <w:instrText xml:space="preserve"> ADDIN ZOTERO_ITEM CSL_CITATION {"citationID":"5OpgZLGn","properties":{"custom":"Baer et al., 2018","formattedCitation":"Baer et al., 2018","plainCitation":"Baer et al., 2018","noteIndex":0},"citationItems":[{"id":967,"uris":["http://zotero.org/users/3750895/items/26XWZS9Y"],"uri":["http://zotero.org/users/3750895/items/26XWZS9Y"],"itemData":{"id":967,"type":"article-journal","title":"A domain-general sense of confidence in children","container-title":"Open Mind: Discoveries in Cognitive Science","page":"86-96","volume":"2","source":"MIT Press Journals","abstract":"Our minds constantly evaluate the confidence in what we see, think, and remember. Previous work suggests that confidence is a domain-general currency in adulthood, unifying otherwise independent sensory and perceptual representations. Here, we test whether children also possess a domain-general sense of confidence over otherwise independent perceptual dimensions. Six- to 9-year-olds completed either three simple perceptual discrimination tasks—a number task (“Which group has more dots?”), an area task (“Which blob is bigger?”), and an emotions task (“Which face is happier?”)—or three relative confidence tasks, selecting which of two trials they are more confident on. We find that while children’s discrimination performance across the three tasks was independent and constituted three separate factors, children’s confidence in each of three dimensions was strongly correlated and constituted only a single factor. Our results suggest that confidence is a domain-general currency even in childhood, providing a mechanism by which disparate perceptual representations could be integrated.","DOI":"10.1162/opmi_a_00020","journalAbbreviation":"Open Mind","author":[{"family":"Baer","given":"Carolyn"},{"family":"Gill","given":"Inderpreet K."},{"family":"Odic","given":"Darko"}],"issued":{"date-parts":[["2018",10,30]]}}}],"schema":"https://github.com/citation-style-language/schema/raw/master/csl-citation.json"} </w:instrText>
      </w:r>
      <w:r>
        <w:fldChar w:fldCharType="separate"/>
      </w:r>
      <w:r>
        <w:rPr>
          <w:noProof/>
        </w:rPr>
        <w:t>Baer et al., 2018</w:t>
      </w:r>
      <w:r>
        <w:fldChar w:fldCharType="end"/>
      </w:r>
      <w:r>
        <w:t>).</w:t>
      </w:r>
    </w:p>
    <w:p w14:paraId="397AD8C4" w14:textId="6E464C02" w:rsidR="00746CF4" w:rsidRDefault="00746CF4" w:rsidP="00746CF4">
      <w:pPr>
        <w:spacing w:line="480" w:lineRule="auto"/>
      </w:pPr>
      <w:r>
        <w:t xml:space="preserve">First, we examined whether children’s perceptual accuracy differed between the three domains, as was reported by Baer et al. </w:t>
      </w:r>
      <w:r>
        <w:fldChar w:fldCharType="begin"/>
      </w:r>
      <w:r>
        <w:instrText xml:space="preserve"> ADDIN ZOTERO_ITEM CSL_CITATION {"citationID":"KoSpNH4G","properties":{"formattedCitation":"(2018)","plainCitation":"(2018)","noteIndex":0},"citationItems":[{"id":967,"uris":["http://zotero.org/users/3750895/items/26XWZS9Y"],"uri":["http://zotero.org/users/3750895/items/26XWZS9Y"],"itemData":{"id":967,"type":"article-journal","title":"A domain-general sense of confidence in children","container-title":"Open Mind: Discoveries in Cognitive Science","page":"86-96","volume":"2","source":"MIT Press Journals","abstract":"Our minds constantly evaluate the confidence in what we see, think, and remember. Previous work suggests that confidence is a domain-general currency in adulthood, unifying otherwise independent sensory and perceptual representations. Here, we test whether children also possess a domain-general sense of confidence over otherwise independent perceptual dimensions. Six- to 9-year-olds completed either three simple perceptual discrimination tasks—a number task (“Which group has more dots?”), an area task (“Which blob is bigger?”), and an emotions task (“Which face is happier?”)—or three relative confidence tasks, selecting which of two trials they are more confident on. We find that while children’s discrimination performance across the three tasks was independent and constituted three separate factors, children’s confidence in each of three dimensions was strongly correlated and constituted only a single factor. Our results suggest that confidence is a domain-general currency even in childhood, providing a mechanism by which disparate perceptual representations could be integrated.","DOI":"10.1162/opmi_a_00020","journalAbbreviation":"Open Mind","author":[{"family":"Baer","given":"Carolyn"},{"family":"Gill","given":"Inderpreet K."},{"family":"Odic","given":"Darko"}],"issued":{"date-parts":[["2018",10,30]]}},"suppress-author":true}],"schema":"https://github.com/citation-style-language/schema/raw/master/csl-citation.json"} </w:instrText>
      </w:r>
      <w:r>
        <w:fldChar w:fldCharType="separate"/>
      </w:r>
      <w:r>
        <w:rPr>
          <w:noProof/>
        </w:rPr>
        <w:t>(2018)</w:t>
      </w:r>
      <w:r>
        <w:fldChar w:fldCharType="end"/>
      </w:r>
      <w:r>
        <w:t xml:space="preserve">. A one-way ANOVA found a main effect of Domain, </w:t>
      </w:r>
      <w:r w:rsidRPr="003C0884">
        <w:rPr>
          <w:i/>
        </w:rPr>
        <w:t>F</w:t>
      </w:r>
      <w:r w:rsidRPr="003C0884">
        <w:t xml:space="preserve">(1.58, </w:t>
      </w:r>
      <w:r>
        <w:t>74.32</w:t>
      </w:r>
      <w:r w:rsidRPr="003C0884">
        <w:t xml:space="preserve">) = 4.33, </w:t>
      </w:r>
      <w:r w:rsidRPr="003C0884">
        <w:rPr>
          <w:i/>
        </w:rPr>
        <w:t>p</w:t>
      </w:r>
      <w:r w:rsidRPr="003C0884">
        <w:t xml:space="preserve"> = .024, </w:t>
      </w:r>
      <w:r w:rsidRPr="003C0884">
        <w:sym w:font="Symbol" w:char="F068"/>
      </w:r>
      <w:r w:rsidRPr="003C0884">
        <w:rPr>
          <w:vertAlign w:val="subscript"/>
        </w:rPr>
        <w:t>p</w:t>
      </w:r>
      <w:r w:rsidRPr="003C0884">
        <w:rPr>
          <w:vertAlign w:val="superscript"/>
        </w:rPr>
        <w:t>2</w:t>
      </w:r>
      <w:r w:rsidRPr="003C0884">
        <w:t xml:space="preserve"> = .08</w:t>
      </w:r>
      <w:r>
        <w:t>. Accuracy on Number trials (</w:t>
      </w:r>
      <w:r w:rsidRPr="000243B1">
        <w:rPr>
          <w:i/>
        </w:rPr>
        <w:t>M</w:t>
      </w:r>
      <w:r>
        <w:t xml:space="preserve"> = 84%, </w:t>
      </w:r>
      <w:r w:rsidR="00DB5BCA" w:rsidRPr="00DB5BCA">
        <w:rPr>
          <w:i/>
        </w:rPr>
        <w:t>SD</w:t>
      </w:r>
      <w:r w:rsidR="00DB5BCA">
        <w:t xml:space="preserve"> = 7%</w:t>
      </w:r>
      <w:r>
        <w:t>) was significantly higher than accuracy on Area trials</w:t>
      </w:r>
      <w:r w:rsidRPr="00431843">
        <w:t xml:space="preserve"> </w:t>
      </w:r>
      <w:r>
        <w:t>(</w:t>
      </w:r>
      <w:r w:rsidRPr="000243B1">
        <w:rPr>
          <w:i/>
        </w:rPr>
        <w:t>M</w:t>
      </w:r>
      <w:r>
        <w:t xml:space="preserve"> = 80%, </w:t>
      </w:r>
      <w:r w:rsidR="00DB5BCA">
        <w:rPr>
          <w:i/>
        </w:rPr>
        <w:t>SD</w:t>
      </w:r>
      <w:r w:rsidR="00DB5BCA">
        <w:t xml:space="preserve"> = 6%</w:t>
      </w:r>
      <w:r>
        <w:t xml:space="preserve">), </w:t>
      </w:r>
      <w:r w:rsidRPr="000243B1">
        <w:rPr>
          <w:i/>
        </w:rPr>
        <w:t>t</w:t>
      </w:r>
      <w:r>
        <w:t xml:space="preserve">(47) = 4.11, </w:t>
      </w:r>
      <w:r w:rsidRPr="000243B1">
        <w:rPr>
          <w:i/>
        </w:rPr>
        <w:t>p</w:t>
      </w:r>
      <w:r>
        <w:t xml:space="preserve"> &lt; .001, </w:t>
      </w:r>
      <w:r w:rsidRPr="000243B1">
        <w:rPr>
          <w:i/>
        </w:rPr>
        <w:t>d</w:t>
      </w:r>
      <w:r>
        <w:t xml:space="preserve"> = 0.59 (Bonferroni corrected). We also found, contrary to our hypothesis and inconsistent with Baer et al., that there were correlations between perceptual discrimination accuracy in the three domains (see Table S1).</w:t>
      </w:r>
    </w:p>
    <w:p w14:paraId="38DAA5CE" w14:textId="4597F555" w:rsidR="00746CF4" w:rsidRDefault="00746CF4" w:rsidP="00746CF4">
      <w:pPr>
        <w:spacing w:line="480" w:lineRule="auto"/>
      </w:pPr>
      <w:r>
        <w:t xml:space="preserve">Next, we found that children responded strategically to </w:t>
      </w:r>
      <w:r w:rsidR="006D4F0E">
        <w:t>confidence</w:t>
      </w:r>
      <w:r>
        <w:t xml:space="preserve">: the pre-registered difference score was greater than chance on all three dimensions, Area: </w:t>
      </w:r>
      <w:r w:rsidRPr="000243B1">
        <w:rPr>
          <w:i/>
        </w:rPr>
        <w:t>M</w:t>
      </w:r>
      <w:r>
        <w:t xml:space="preserve"> = 9.13, </w:t>
      </w:r>
      <w:r w:rsidR="00DB5BCA">
        <w:rPr>
          <w:i/>
        </w:rPr>
        <w:t>SD</w:t>
      </w:r>
      <w:r w:rsidR="00DB5BCA">
        <w:t xml:space="preserve"> = 17.59</w:t>
      </w:r>
      <w:r>
        <w:t xml:space="preserve">, </w:t>
      </w:r>
      <w:r w:rsidRPr="000243B1">
        <w:rPr>
          <w:i/>
        </w:rPr>
        <w:t>t</w:t>
      </w:r>
      <w:r>
        <w:t xml:space="preserve">(47) = 3.60, </w:t>
      </w:r>
      <w:r w:rsidRPr="000243B1">
        <w:rPr>
          <w:i/>
        </w:rPr>
        <w:t>p</w:t>
      </w:r>
      <w:r>
        <w:t xml:space="preserve"> &lt; .001, </w:t>
      </w:r>
      <w:r w:rsidRPr="000243B1">
        <w:rPr>
          <w:i/>
        </w:rPr>
        <w:t>d</w:t>
      </w:r>
      <w:r>
        <w:t xml:space="preserve"> = 0.52, Emotion: </w:t>
      </w:r>
      <w:r w:rsidRPr="000243B1">
        <w:rPr>
          <w:i/>
        </w:rPr>
        <w:t>M</w:t>
      </w:r>
      <w:r>
        <w:t xml:space="preserve"> = 10.46, </w:t>
      </w:r>
      <w:r w:rsidR="00DB5BCA">
        <w:rPr>
          <w:i/>
        </w:rPr>
        <w:t>SD</w:t>
      </w:r>
      <w:r w:rsidR="00DB5BCA">
        <w:t xml:space="preserve"> = 15.45</w:t>
      </w:r>
      <w:r>
        <w:t xml:space="preserve">, </w:t>
      </w:r>
      <w:r w:rsidRPr="000243B1">
        <w:rPr>
          <w:i/>
        </w:rPr>
        <w:t>t</w:t>
      </w:r>
      <w:r>
        <w:t xml:space="preserve">(47) = 4.69, </w:t>
      </w:r>
      <w:r w:rsidRPr="000243B1">
        <w:rPr>
          <w:i/>
        </w:rPr>
        <w:t>p</w:t>
      </w:r>
      <w:r>
        <w:t xml:space="preserve"> &lt; .001, </w:t>
      </w:r>
      <w:r w:rsidRPr="000243B1">
        <w:rPr>
          <w:i/>
        </w:rPr>
        <w:t>d</w:t>
      </w:r>
      <w:r>
        <w:t xml:space="preserve"> = 0.68, Number: </w:t>
      </w:r>
      <w:r w:rsidRPr="000243B1">
        <w:rPr>
          <w:i/>
        </w:rPr>
        <w:t>M</w:t>
      </w:r>
      <w:r>
        <w:t xml:space="preserve"> = 11.11, </w:t>
      </w:r>
      <w:r w:rsidR="00DB5BCA">
        <w:rPr>
          <w:i/>
        </w:rPr>
        <w:t>SD</w:t>
      </w:r>
      <w:r w:rsidR="00DB5BCA">
        <w:t xml:space="preserve"> = 15.97</w:t>
      </w:r>
      <w:r>
        <w:t xml:space="preserve">, </w:t>
      </w:r>
      <w:r w:rsidRPr="000243B1">
        <w:rPr>
          <w:i/>
        </w:rPr>
        <w:t>t</w:t>
      </w:r>
      <w:r>
        <w:t xml:space="preserve">(47) = 4.82, </w:t>
      </w:r>
      <w:r w:rsidRPr="000243B1">
        <w:rPr>
          <w:i/>
        </w:rPr>
        <w:t>p</w:t>
      </w:r>
      <w:r>
        <w:t xml:space="preserve"> &lt; .001, </w:t>
      </w:r>
      <w:r w:rsidRPr="000243B1">
        <w:rPr>
          <w:i/>
        </w:rPr>
        <w:t>d</w:t>
      </w:r>
      <w:r>
        <w:t xml:space="preserve"> = 0.70. Similarly, children chose </w:t>
      </w:r>
      <w:r>
        <w:lastRenderedPageBreak/>
        <w:t>the High-</w:t>
      </w:r>
      <w:r w:rsidR="006D4F0E">
        <w:t>Confidence</w:t>
      </w:r>
      <w:r>
        <w:t xml:space="preserve"> trials more often than chance in all three dimensions, Area: </w:t>
      </w:r>
      <w:r w:rsidRPr="000243B1">
        <w:rPr>
          <w:i/>
        </w:rPr>
        <w:t>M</w:t>
      </w:r>
      <w:r>
        <w:t xml:space="preserve"> = 74%,</w:t>
      </w:r>
      <w:r w:rsidR="00DB5BCA">
        <w:t xml:space="preserve"> </w:t>
      </w:r>
      <w:r w:rsidR="00DB5BCA">
        <w:rPr>
          <w:i/>
        </w:rPr>
        <w:t>SD</w:t>
      </w:r>
      <w:r w:rsidR="00DB5BCA">
        <w:t xml:space="preserve"> = 25%</w:t>
      </w:r>
      <w:r>
        <w:t xml:space="preserve">, </w:t>
      </w:r>
      <w:r w:rsidRPr="000243B1">
        <w:rPr>
          <w:i/>
        </w:rPr>
        <w:t>t</w:t>
      </w:r>
      <w:r>
        <w:t xml:space="preserve">(47) = 6.64, </w:t>
      </w:r>
      <w:r w:rsidRPr="000243B1">
        <w:rPr>
          <w:i/>
        </w:rPr>
        <w:t>p</w:t>
      </w:r>
      <w:r>
        <w:t xml:space="preserve"> &lt; .001, </w:t>
      </w:r>
      <w:r w:rsidRPr="000243B1">
        <w:rPr>
          <w:i/>
        </w:rPr>
        <w:t>d</w:t>
      </w:r>
      <w:r>
        <w:t xml:space="preserve"> = 0.96, Emotion: </w:t>
      </w:r>
      <w:r w:rsidRPr="000243B1">
        <w:rPr>
          <w:i/>
        </w:rPr>
        <w:t>M</w:t>
      </w:r>
      <w:r>
        <w:t xml:space="preserve"> = 67%, </w:t>
      </w:r>
      <w:r w:rsidR="00DB5BCA">
        <w:rPr>
          <w:i/>
        </w:rPr>
        <w:t>SD</w:t>
      </w:r>
      <w:r w:rsidR="00DB5BCA">
        <w:t xml:space="preserve"> = 23%</w:t>
      </w:r>
      <w:r>
        <w:t xml:space="preserve">, </w:t>
      </w:r>
      <w:r w:rsidRPr="000243B1">
        <w:rPr>
          <w:i/>
        </w:rPr>
        <w:t>t</w:t>
      </w:r>
      <w:r>
        <w:t xml:space="preserve">(47) = 5.20, </w:t>
      </w:r>
      <w:r w:rsidRPr="000243B1">
        <w:rPr>
          <w:i/>
        </w:rPr>
        <w:t>p</w:t>
      </w:r>
      <w:r>
        <w:t xml:space="preserve"> &lt; .001, </w:t>
      </w:r>
      <w:r w:rsidRPr="000243B1">
        <w:rPr>
          <w:i/>
        </w:rPr>
        <w:t>d</w:t>
      </w:r>
      <w:r>
        <w:t xml:space="preserve"> = 0.75, Number: </w:t>
      </w:r>
      <w:r w:rsidRPr="000243B1">
        <w:rPr>
          <w:i/>
        </w:rPr>
        <w:t>M</w:t>
      </w:r>
      <w:r>
        <w:t xml:space="preserve"> = 63%, </w:t>
      </w:r>
      <w:r w:rsidR="00DB5BCA">
        <w:rPr>
          <w:i/>
        </w:rPr>
        <w:t>SD</w:t>
      </w:r>
      <w:r w:rsidR="00DB5BCA">
        <w:t xml:space="preserve"> = 24%</w:t>
      </w:r>
      <w:r>
        <w:t xml:space="preserve">, </w:t>
      </w:r>
      <w:r w:rsidRPr="000243B1">
        <w:rPr>
          <w:i/>
        </w:rPr>
        <w:t>t</w:t>
      </w:r>
      <w:r>
        <w:t xml:space="preserve">(47) = 3.80, </w:t>
      </w:r>
      <w:r w:rsidRPr="000243B1">
        <w:rPr>
          <w:i/>
        </w:rPr>
        <w:t>p</w:t>
      </w:r>
      <w:r>
        <w:t xml:space="preserve"> &lt; .001, </w:t>
      </w:r>
      <w:r w:rsidRPr="000243B1">
        <w:rPr>
          <w:i/>
        </w:rPr>
        <w:t>d</w:t>
      </w:r>
      <w:r>
        <w:t xml:space="preserve"> = 0.55. There was no difference between the three domains in difference scores, </w:t>
      </w:r>
      <w:r w:rsidRPr="000243B1">
        <w:rPr>
          <w:i/>
        </w:rPr>
        <w:t>F</w:t>
      </w:r>
      <w:r>
        <w:t xml:space="preserve">(2, 47) = 0.42, </w:t>
      </w:r>
      <w:r w:rsidRPr="000243B1">
        <w:rPr>
          <w:i/>
        </w:rPr>
        <w:t>p</w:t>
      </w:r>
      <w:r>
        <w:t xml:space="preserve"> = .660, </w:t>
      </w:r>
      <w:r w:rsidRPr="009B7F42">
        <w:sym w:font="Symbol" w:char="F068"/>
      </w:r>
      <w:r w:rsidRPr="009B7F42">
        <w:rPr>
          <w:vertAlign w:val="subscript"/>
        </w:rPr>
        <w:t>p</w:t>
      </w:r>
      <w:r w:rsidRPr="009B7F42">
        <w:rPr>
          <w:vertAlign w:val="superscript"/>
        </w:rPr>
        <w:t>2</w:t>
      </w:r>
      <w:r>
        <w:t xml:space="preserve"> = .00, though there was a domain difference in High-</w:t>
      </w:r>
      <w:r w:rsidR="006D4F0E">
        <w:t>Confidence</w:t>
      </w:r>
      <w:r>
        <w:t xml:space="preserve"> trial choice, </w:t>
      </w:r>
      <w:r w:rsidRPr="00671F98">
        <w:rPr>
          <w:i/>
        </w:rPr>
        <w:t>F</w:t>
      </w:r>
      <w:r w:rsidRPr="00671F98">
        <w:t xml:space="preserve">(2, </w:t>
      </w:r>
      <w:r w:rsidRPr="00DF0092">
        <w:t>94</w:t>
      </w:r>
      <w:r w:rsidRPr="00671F98">
        <w:t xml:space="preserve">) = 5.97, </w:t>
      </w:r>
      <w:r w:rsidRPr="00671F98">
        <w:rPr>
          <w:i/>
        </w:rPr>
        <w:t>p</w:t>
      </w:r>
      <w:r w:rsidRPr="00671F98">
        <w:t xml:space="preserve"> = .004, </w:t>
      </w:r>
      <w:r w:rsidRPr="00671F98">
        <w:sym w:font="Symbol" w:char="F068"/>
      </w:r>
      <w:r w:rsidRPr="00671F98">
        <w:rPr>
          <w:vertAlign w:val="subscript"/>
        </w:rPr>
        <w:t>p</w:t>
      </w:r>
      <w:r w:rsidRPr="00671F98">
        <w:rPr>
          <w:vertAlign w:val="superscript"/>
        </w:rPr>
        <w:t>2</w:t>
      </w:r>
      <w:r w:rsidRPr="00671F98">
        <w:t xml:space="preserve"> = .11,</w:t>
      </w:r>
      <w:r>
        <w:t xml:space="preserve"> with Area choices more likely to reflect the designed </w:t>
      </w:r>
      <w:r w:rsidR="006D4F0E">
        <w:t>confidence</w:t>
      </w:r>
      <w:r>
        <w:t xml:space="preserve"> than Number choices, </w:t>
      </w:r>
      <w:r w:rsidRPr="003C0884">
        <w:rPr>
          <w:i/>
        </w:rPr>
        <w:t>t</w:t>
      </w:r>
      <w:r w:rsidRPr="003C0884">
        <w:t xml:space="preserve">(47) = 3.50, </w:t>
      </w:r>
      <w:r w:rsidRPr="003C0884">
        <w:rPr>
          <w:i/>
        </w:rPr>
        <w:t>p</w:t>
      </w:r>
      <w:r w:rsidRPr="003C0884">
        <w:t xml:space="preserve"> = .003, </w:t>
      </w:r>
      <w:r w:rsidRPr="003C0884">
        <w:rPr>
          <w:i/>
        </w:rPr>
        <w:t>d</w:t>
      </w:r>
      <w:r w:rsidRPr="003C0884">
        <w:t xml:space="preserve"> = 0.51</w:t>
      </w:r>
      <w:r>
        <w:t xml:space="preserve"> (Bonferroni corrected).</w:t>
      </w:r>
    </w:p>
    <w:p w14:paraId="0995AB28" w14:textId="0D33DAA2" w:rsidR="00746CF4" w:rsidRDefault="00746CF4" w:rsidP="0025395A">
      <w:pPr>
        <w:spacing w:line="480" w:lineRule="auto"/>
      </w:pPr>
      <w:r>
        <w:t xml:space="preserve">Consistent with Baer et al. </w:t>
      </w:r>
      <w:r>
        <w:fldChar w:fldCharType="begin"/>
      </w:r>
      <w:r>
        <w:instrText xml:space="preserve"> ADDIN ZOTERO_ITEM CSL_CITATION {"citationID":"r2VXSPH4","properties":{"formattedCitation":"(2018)","plainCitation":"(2018)","noteIndex":0},"citationItems":[{"id":967,"uris":["http://zotero.org/users/3750895/items/26XWZS9Y"],"uri":["http://zotero.org/users/3750895/items/26XWZS9Y"],"itemData":{"id":967,"type":"article-journal","title":"A domain-general sense of confidence in children","container-title":"Open Mind: Discoveries in Cognitive Science","page":"86-96","volume":"2","source":"MIT Press Journals","abstract":"Our minds constantly evaluate the confidence in what we see, think, and remember. Previous work suggests that confidence is a domain-general currency in adulthood, unifying otherwise independent sensory and perceptual representations. Here, we test whether children also possess a domain-general sense of confidence over otherwise independent perceptual dimensions. Six- to 9-year-olds completed either three simple perceptual discrimination tasks—a number task (“Which group has more dots?”), an area task (“Which blob is bigger?”), and an emotions task (“Which face is happier?”)—or three relative confidence tasks, selecting which of two trials they are more confident on. We find that while children’s discrimination performance across the three tasks was independent and constituted three separate factors, children’s confidence in each of three dimensions was strongly correlated and constituted only a single factor. Our results suggest that confidence is a domain-general currency even in childhood, providing a mechanism by which disparate perceptual representations could be integrated.","DOI":"10.1162/opmi_a_00020","journalAbbreviation":"Open Mind","author":[{"family":"Baer","given":"Carolyn"},{"family":"Gill","given":"Inderpreet K."},{"family":"Odic","given":"Darko"}],"issued":{"date-parts":[["2018",10,30]]}},"suppress-author":true}],"schema":"https://github.com/citation-style-language/schema/raw/master/csl-citation.json"} </w:instrText>
      </w:r>
      <w:r>
        <w:fldChar w:fldCharType="separate"/>
      </w:r>
      <w:r>
        <w:rPr>
          <w:noProof/>
        </w:rPr>
        <w:t>(2018)</w:t>
      </w:r>
      <w:r>
        <w:fldChar w:fldCharType="end"/>
      </w:r>
      <w:r>
        <w:t xml:space="preserve">, we found that individual differences in </w:t>
      </w:r>
      <w:r w:rsidR="006D4F0E">
        <w:t>confidence</w:t>
      </w:r>
      <w:r>
        <w:t xml:space="preserve"> reasoning correlated between the three domains for both the difference score and the High-</w:t>
      </w:r>
      <w:r w:rsidR="006D4F0E">
        <w:t>Confidence</w:t>
      </w:r>
      <w:r>
        <w:t xml:space="preserve"> choices (see Table S1). However, these correlations could be driven by the correlated perceptual accuracies, so we re-ran the correlations between </w:t>
      </w:r>
      <w:r w:rsidR="006D4F0E">
        <w:t>confidence</w:t>
      </w:r>
      <w:r>
        <w:t xml:space="preserve"> measures while controlling for accuracy on all three perceptual tasks. As shown in Table S1, all correlations remained strong, indicating that children’s </w:t>
      </w:r>
      <w:r w:rsidR="006D4F0E">
        <w:t>confidence</w:t>
      </w:r>
      <w:r>
        <w:t xml:space="preserve"> judgments were related even above and beyond potential perceptual similarities, replicating the findings of Baer et al.</w:t>
      </w:r>
    </w:p>
    <w:p w14:paraId="57745FE1" w14:textId="77777777" w:rsidR="0025395A" w:rsidRDefault="0025395A" w:rsidP="0025395A">
      <w:pPr>
        <w:spacing w:line="480" w:lineRule="auto"/>
      </w:pPr>
    </w:p>
    <w:p w14:paraId="4DD3C5D8" w14:textId="77777777" w:rsidR="00746CF4" w:rsidRDefault="00746CF4" w:rsidP="00746CF4">
      <w:pPr>
        <w:spacing w:line="480" w:lineRule="auto"/>
        <w:ind w:firstLine="0"/>
      </w:pPr>
      <w:r w:rsidRPr="00CD31AB">
        <w:t xml:space="preserve">Table </w:t>
      </w:r>
      <w:r>
        <w:t>S1. Correlations between perceptual dimensions.</w:t>
      </w:r>
    </w:p>
    <w:p w14:paraId="5059BEAB" w14:textId="77777777" w:rsidR="00746CF4" w:rsidRPr="00CD31AB" w:rsidRDefault="00746CF4" w:rsidP="00746CF4">
      <w:pPr>
        <w:spacing w:line="480" w:lineRule="auto"/>
      </w:pPr>
    </w:p>
    <w:tbl>
      <w:tblPr>
        <w:tblStyle w:val="TableGrid"/>
        <w:tblW w:w="11341"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93"/>
        <w:gridCol w:w="1039"/>
        <w:gridCol w:w="946"/>
        <w:gridCol w:w="992"/>
        <w:gridCol w:w="992"/>
        <w:gridCol w:w="993"/>
        <w:gridCol w:w="992"/>
        <w:gridCol w:w="1134"/>
        <w:gridCol w:w="992"/>
        <w:gridCol w:w="1134"/>
        <w:gridCol w:w="1134"/>
      </w:tblGrid>
      <w:tr w:rsidR="00746CF4" w:rsidRPr="00CD31AB" w14:paraId="523B26CE" w14:textId="77777777" w:rsidTr="006D4F0E">
        <w:trPr>
          <w:trHeight w:val="851"/>
        </w:trPr>
        <w:tc>
          <w:tcPr>
            <w:tcW w:w="993" w:type="dxa"/>
            <w:tcBorders>
              <w:right w:val="single" w:sz="4" w:space="0" w:color="auto"/>
            </w:tcBorders>
          </w:tcPr>
          <w:p w14:paraId="1DF47FBD" w14:textId="77777777" w:rsidR="00746CF4" w:rsidRPr="00CD31AB" w:rsidRDefault="00746CF4" w:rsidP="00DB5BCA">
            <w:pPr>
              <w:spacing w:line="480" w:lineRule="auto"/>
              <w:ind w:firstLine="0"/>
            </w:pPr>
          </w:p>
        </w:tc>
        <w:tc>
          <w:tcPr>
            <w:tcW w:w="1985" w:type="dxa"/>
            <w:gridSpan w:val="2"/>
            <w:tcBorders>
              <w:left w:val="single" w:sz="4" w:space="0" w:color="auto"/>
              <w:bottom w:val="single" w:sz="4" w:space="0" w:color="auto"/>
              <w:right w:val="single" w:sz="4" w:space="0" w:color="auto"/>
            </w:tcBorders>
            <w:vAlign w:val="bottom"/>
          </w:tcPr>
          <w:p w14:paraId="47D5326D" w14:textId="77777777" w:rsidR="00746CF4" w:rsidRPr="00CD31AB" w:rsidRDefault="00746CF4" w:rsidP="00DB5BCA">
            <w:pPr>
              <w:ind w:firstLine="0"/>
              <w:jc w:val="center"/>
            </w:pPr>
            <w:r w:rsidRPr="00CD31AB">
              <w:t>Perceptual Accuracy</w:t>
            </w:r>
          </w:p>
        </w:tc>
        <w:tc>
          <w:tcPr>
            <w:tcW w:w="1984" w:type="dxa"/>
            <w:gridSpan w:val="2"/>
            <w:tcBorders>
              <w:left w:val="single" w:sz="4" w:space="0" w:color="auto"/>
              <w:bottom w:val="single" w:sz="4" w:space="0" w:color="auto"/>
              <w:right w:val="single" w:sz="4" w:space="0" w:color="auto"/>
            </w:tcBorders>
            <w:vAlign w:val="bottom"/>
          </w:tcPr>
          <w:p w14:paraId="58FC6559" w14:textId="77777777" w:rsidR="00746CF4" w:rsidRPr="00CD31AB" w:rsidRDefault="00746CF4" w:rsidP="00DB5BCA">
            <w:pPr>
              <w:ind w:firstLine="0"/>
              <w:jc w:val="center"/>
            </w:pPr>
            <w:r w:rsidRPr="00CD31AB">
              <w:t>Accuracy Difference</w:t>
            </w:r>
          </w:p>
        </w:tc>
        <w:tc>
          <w:tcPr>
            <w:tcW w:w="1985" w:type="dxa"/>
            <w:gridSpan w:val="2"/>
            <w:tcBorders>
              <w:left w:val="single" w:sz="4" w:space="0" w:color="auto"/>
              <w:bottom w:val="single" w:sz="4" w:space="0" w:color="auto"/>
              <w:right w:val="single" w:sz="4" w:space="0" w:color="auto"/>
            </w:tcBorders>
            <w:vAlign w:val="bottom"/>
          </w:tcPr>
          <w:p w14:paraId="65C8FACB" w14:textId="180A9E79" w:rsidR="00746CF4" w:rsidRPr="00CD31AB" w:rsidRDefault="00746CF4" w:rsidP="00DB5BCA">
            <w:pPr>
              <w:ind w:firstLine="0"/>
              <w:jc w:val="center"/>
            </w:pPr>
            <w:r>
              <w:t xml:space="preserve">Choice of High </w:t>
            </w:r>
            <w:r w:rsidR="006D4F0E">
              <w:t>Confidence</w:t>
            </w:r>
          </w:p>
        </w:tc>
        <w:tc>
          <w:tcPr>
            <w:tcW w:w="2126" w:type="dxa"/>
            <w:gridSpan w:val="2"/>
            <w:tcBorders>
              <w:left w:val="single" w:sz="4" w:space="0" w:color="auto"/>
              <w:bottom w:val="single" w:sz="4" w:space="0" w:color="auto"/>
              <w:right w:val="single" w:sz="4" w:space="0" w:color="auto"/>
            </w:tcBorders>
            <w:vAlign w:val="bottom"/>
          </w:tcPr>
          <w:p w14:paraId="6A4A3A6D" w14:textId="77777777" w:rsidR="00746CF4" w:rsidRPr="00CD31AB" w:rsidRDefault="00746CF4" w:rsidP="00DB5BCA">
            <w:pPr>
              <w:ind w:firstLine="0"/>
              <w:jc w:val="center"/>
            </w:pPr>
            <w:r w:rsidRPr="00CD31AB">
              <w:t>Accuracy Difference Controlling for All Perceptual Accuracies</w:t>
            </w:r>
          </w:p>
        </w:tc>
        <w:tc>
          <w:tcPr>
            <w:tcW w:w="2268" w:type="dxa"/>
            <w:gridSpan w:val="2"/>
            <w:tcBorders>
              <w:left w:val="single" w:sz="4" w:space="0" w:color="auto"/>
              <w:bottom w:val="single" w:sz="4" w:space="0" w:color="auto"/>
              <w:right w:val="single" w:sz="4" w:space="0" w:color="auto"/>
            </w:tcBorders>
            <w:vAlign w:val="bottom"/>
          </w:tcPr>
          <w:p w14:paraId="3CB04B07" w14:textId="155D816D" w:rsidR="00746CF4" w:rsidRPr="00CD31AB" w:rsidRDefault="00746CF4" w:rsidP="00DB5BCA">
            <w:pPr>
              <w:ind w:firstLine="0"/>
              <w:jc w:val="center"/>
            </w:pPr>
            <w:r>
              <w:t xml:space="preserve">Choice of High </w:t>
            </w:r>
            <w:r w:rsidR="006D4F0E">
              <w:t>Confidence</w:t>
            </w:r>
            <w:r>
              <w:t xml:space="preserve"> Controlling for All Perceptual Accuracies</w:t>
            </w:r>
          </w:p>
        </w:tc>
      </w:tr>
      <w:tr w:rsidR="00746CF4" w:rsidRPr="00CD31AB" w14:paraId="4DFF9210" w14:textId="77777777" w:rsidTr="006D4F0E">
        <w:trPr>
          <w:trHeight w:val="340"/>
        </w:trPr>
        <w:tc>
          <w:tcPr>
            <w:tcW w:w="993" w:type="dxa"/>
            <w:tcBorders>
              <w:bottom w:val="single" w:sz="4" w:space="0" w:color="auto"/>
              <w:right w:val="single" w:sz="4" w:space="0" w:color="auto"/>
            </w:tcBorders>
          </w:tcPr>
          <w:p w14:paraId="424C8FD1" w14:textId="77777777" w:rsidR="00746CF4" w:rsidRPr="00CD31AB" w:rsidRDefault="00746CF4" w:rsidP="00DB5BCA">
            <w:pPr>
              <w:spacing w:line="480" w:lineRule="auto"/>
              <w:ind w:firstLine="0"/>
            </w:pPr>
          </w:p>
        </w:tc>
        <w:tc>
          <w:tcPr>
            <w:tcW w:w="1039" w:type="dxa"/>
            <w:tcBorders>
              <w:top w:val="single" w:sz="4" w:space="0" w:color="auto"/>
              <w:left w:val="single" w:sz="4" w:space="0" w:color="auto"/>
              <w:bottom w:val="single" w:sz="4" w:space="0" w:color="auto"/>
            </w:tcBorders>
          </w:tcPr>
          <w:p w14:paraId="0E361CBF" w14:textId="77777777" w:rsidR="00746CF4" w:rsidRPr="00CD31AB" w:rsidRDefault="00746CF4" w:rsidP="006D4F0E">
            <w:pPr>
              <w:ind w:firstLine="0"/>
            </w:pPr>
            <w:r w:rsidRPr="00CD31AB">
              <w:t>Emotion</w:t>
            </w:r>
          </w:p>
        </w:tc>
        <w:tc>
          <w:tcPr>
            <w:tcW w:w="946" w:type="dxa"/>
            <w:tcBorders>
              <w:top w:val="single" w:sz="4" w:space="0" w:color="auto"/>
              <w:bottom w:val="single" w:sz="4" w:space="0" w:color="auto"/>
              <w:right w:val="single" w:sz="4" w:space="0" w:color="auto"/>
            </w:tcBorders>
          </w:tcPr>
          <w:p w14:paraId="4CF97A5E" w14:textId="77777777" w:rsidR="00746CF4" w:rsidRPr="00CD31AB" w:rsidRDefault="00746CF4" w:rsidP="006D4F0E">
            <w:pPr>
              <w:ind w:firstLine="0"/>
            </w:pPr>
            <w:r w:rsidRPr="00CD31AB">
              <w:t>Number</w:t>
            </w:r>
          </w:p>
        </w:tc>
        <w:tc>
          <w:tcPr>
            <w:tcW w:w="992" w:type="dxa"/>
            <w:tcBorders>
              <w:top w:val="single" w:sz="4" w:space="0" w:color="auto"/>
              <w:left w:val="single" w:sz="4" w:space="0" w:color="auto"/>
              <w:bottom w:val="single" w:sz="4" w:space="0" w:color="auto"/>
            </w:tcBorders>
          </w:tcPr>
          <w:p w14:paraId="19D83DB8" w14:textId="77777777" w:rsidR="00746CF4" w:rsidRPr="00CD31AB" w:rsidRDefault="00746CF4" w:rsidP="006D4F0E">
            <w:pPr>
              <w:ind w:firstLine="0"/>
            </w:pPr>
            <w:r w:rsidRPr="00CD31AB">
              <w:t>Emotion</w:t>
            </w:r>
          </w:p>
        </w:tc>
        <w:tc>
          <w:tcPr>
            <w:tcW w:w="992" w:type="dxa"/>
            <w:tcBorders>
              <w:top w:val="single" w:sz="4" w:space="0" w:color="auto"/>
              <w:bottom w:val="single" w:sz="4" w:space="0" w:color="auto"/>
              <w:right w:val="single" w:sz="4" w:space="0" w:color="auto"/>
            </w:tcBorders>
          </w:tcPr>
          <w:p w14:paraId="17C47FF5" w14:textId="77777777" w:rsidR="00746CF4" w:rsidRPr="00CD31AB" w:rsidRDefault="00746CF4" w:rsidP="006D4F0E">
            <w:pPr>
              <w:ind w:firstLine="0"/>
            </w:pPr>
            <w:r w:rsidRPr="00CD31AB">
              <w:t>Number</w:t>
            </w:r>
          </w:p>
        </w:tc>
        <w:tc>
          <w:tcPr>
            <w:tcW w:w="993" w:type="dxa"/>
            <w:tcBorders>
              <w:top w:val="single" w:sz="4" w:space="0" w:color="auto"/>
              <w:bottom w:val="single" w:sz="4" w:space="0" w:color="auto"/>
            </w:tcBorders>
          </w:tcPr>
          <w:p w14:paraId="686D91C0" w14:textId="77777777" w:rsidR="00746CF4" w:rsidRPr="00CD31AB" w:rsidRDefault="00746CF4" w:rsidP="006D4F0E">
            <w:pPr>
              <w:ind w:firstLine="0"/>
            </w:pPr>
            <w:r>
              <w:t>Emotion</w:t>
            </w:r>
          </w:p>
        </w:tc>
        <w:tc>
          <w:tcPr>
            <w:tcW w:w="992" w:type="dxa"/>
            <w:tcBorders>
              <w:top w:val="single" w:sz="4" w:space="0" w:color="auto"/>
              <w:bottom w:val="single" w:sz="4" w:space="0" w:color="auto"/>
              <w:right w:val="single" w:sz="4" w:space="0" w:color="auto"/>
            </w:tcBorders>
          </w:tcPr>
          <w:p w14:paraId="4E7D51FC" w14:textId="77777777" w:rsidR="00746CF4" w:rsidRPr="00CD31AB" w:rsidRDefault="00746CF4" w:rsidP="006D4F0E">
            <w:pPr>
              <w:ind w:firstLine="0"/>
            </w:pPr>
            <w:r>
              <w:t>Number</w:t>
            </w:r>
          </w:p>
        </w:tc>
        <w:tc>
          <w:tcPr>
            <w:tcW w:w="1134" w:type="dxa"/>
            <w:tcBorders>
              <w:top w:val="single" w:sz="4" w:space="0" w:color="auto"/>
              <w:left w:val="single" w:sz="4" w:space="0" w:color="auto"/>
              <w:bottom w:val="single" w:sz="4" w:space="0" w:color="auto"/>
            </w:tcBorders>
          </w:tcPr>
          <w:p w14:paraId="38BF0537" w14:textId="77777777" w:rsidR="00746CF4" w:rsidRPr="00CD31AB" w:rsidRDefault="00746CF4" w:rsidP="006D4F0E">
            <w:pPr>
              <w:ind w:firstLine="0"/>
            </w:pPr>
            <w:r w:rsidRPr="00CD31AB">
              <w:t>Emotion</w:t>
            </w:r>
          </w:p>
        </w:tc>
        <w:tc>
          <w:tcPr>
            <w:tcW w:w="992" w:type="dxa"/>
            <w:tcBorders>
              <w:top w:val="single" w:sz="4" w:space="0" w:color="auto"/>
              <w:bottom w:val="single" w:sz="4" w:space="0" w:color="auto"/>
              <w:right w:val="single" w:sz="4" w:space="0" w:color="auto"/>
            </w:tcBorders>
          </w:tcPr>
          <w:p w14:paraId="1337F290" w14:textId="77777777" w:rsidR="00746CF4" w:rsidRPr="00CD31AB" w:rsidRDefault="00746CF4" w:rsidP="006D4F0E">
            <w:pPr>
              <w:ind w:firstLine="0"/>
            </w:pPr>
            <w:r w:rsidRPr="00CD31AB">
              <w:t>Number</w:t>
            </w:r>
          </w:p>
        </w:tc>
        <w:tc>
          <w:tcPr>
            <w:tcW w:w="1134" w:type="dxa"/>
            <w:tcBorders>
              <w:top w:val="single" w:sz="4" w:space="0" w:color="auto"/>
              <w:left w:val="single" w:sz="4" w:space="0" w:color="auto"/>
              <w:bottom w:val="single" w:sz="4" w:space="0" w:color="auto"/>
            </w:tcBorders>
          </w:tcPr>
          <w:p w14:paraId="64614126" w14:textId="77777777" w:rsidR="00746CF4" w:rsidRPr="00CD31AB" w:rsidRDefault="00746CF4" w:rsidP="006D4F0E">
            <w:pPr>
              <w:ind w:firstLine="0"/>
            </w:pPr>
            <w:r>
              <w:t>Emotion</w:t>
            </w:r>
          </w:p>
        </w:tc>
        <w:tc>
          <w:tcPr>
            <w:tcW w:w="1134" w:type="dxa"/>
            <w:tcBorders>
              <w:top w:val="single" w:sz="4" w:space="0" w:color="auto"/>
              <w:bottom w:val="single" w:sz="4" w:space="0" w:color="auto"/>
              <w:right w:val="single" w:sz="4" w:space="0" w:color="auto"/>
            </w:tcBorders>
          </w:tcPr>
          <w:p w14:paraId="020D298C" w14:textId="77777777" w:rsidR="00746CF4" w:rsidRPr="00CD31AB" w:rsidRDefault="00746CF4" w:rsidP="006D4F0E">
            <w:pPr>
              <w:ind w:firstLine="0"/>
            </w:pPr>
            <w:r>
              <w:t>Number</w:t>
            </w:r>
          </w:p>
        </w:tc>
      </w:tr>
      <w:tr w:rsidR="00746CF4" w:rsidRPr="00CD31AB" w14:paraId="1409BF84" w14:textId="77777777" w:rsidTr="006D4F0E">
        <w:trPr>
          <w:trHeight w:val="340"/>
        </w:trPr>
        <w:tc>
          <w:tcPr>
            <w:tcW w:w="993" w:type="dxa"/>
            <w:tcBorders>
              <w:top w:val="single" w:sz="4" w:space="0" w:color="auto"/>
              <w:right w:val="single" w:sz="4" w:space="0" w:color="auto"/>
            </w:tcBorders>
          </w:tcPr>
          <w:p w14:paraId="60933E1D" w14:textId="77777777" w:rsidR="00746CF4" w:rsidRPr="00CD31AB" w:rsidRDefault="00746CF4" w:rsidP="00DB5BCA">
            <w:pPr>
              <w:spacing w:line="480" w:lineRule="auto"/>
              <w:ind w:firstLine="0"/>
            </w:pPr>
            <w:r w:rsidRPr="00CD31AB">
              <w:t>Area</w:t>
            </w:r>
          </w:p>
        </w:tc>
        <w:tc>
          <w:tcPr>
            <w:tcW w:w="1039" w:type="dxa"/>
            <w:tcBorders>
              <w:top w:val="single" w:sz="4" w:space="0" w:color="auto"/>
              <w:left w:val="single" w:sz="4" w:space="0" w:color="auto"/>
            </w:tcBorders>
          </w:tcPr>
          <w:p w14:paraId="0BC2C843" w14:textId="77777777" w:rsidR="00746CF4" w:rsidRPr="00CD31AB" w:rsidRDefault="00746CF4" w:rsidP="00DB5BCA">
            <w:pPr>
              <w:spacing w:line="480" w:lineRule="auto"/>
              <w:ind w:firstLine="0"/>
            </w:pPr>
            <w:r w:rsidRPr="00CD31AB">
              <w:t>.42**</w:t>
            </w:r>
          </w:p>
        </w:tc>
        <w:tc>
          <w:tcPr>
            <w:tcW w:w="946" w:type="dxa"/>
            <w:tcBorders>
              <w:top w:val="single" w:sz="4" w:space="0" w:color="auto"/>
              <w:right w:val="single" w:sz="4" w:space="0" w:color="auto"/>
            </w:tcBorders>
          </w:tcPr>
          <w:p w14:paraId="4A897121" w14:textId="77777777" w:rsidR="00746CF4" w:rsidRPr="00CD31AB" w:rsidRDefault="00746CF4" w:rsidP="00DB5BCA">
            <w:pPr>
              <w:spacing w:line="480" w:lineRule="auto"/>
              <w:ind w:firstLine="0"/>
            </w:pPr>
            <w:r w:rsidRPr="00CD31AB">
              <w:t>.47***</w:t>
            </w:r>
          </w:p>
        </w:tc>
        <w:tc>
          <w:tcPr>
            <w:tcW w:w="992" w:type="dxa"/>
            <w:tcBorders>
              <w:top w:val="single" w:sz="4" w:space="0" w:color="auto"/>
              <w:left w:val="single" w:sz="4" w:space="0" w:color="auto"/>
            </w:tcBorders>
          </w:tcPr>
          <w:p w14:paraId="15C5E113" w14:textId="77777777" w:rsidR="00746CF4" w:rsidRPr="00CD31AB" w:rsidRDefault="00746CF4" w:rsidP="00DB5BCA">
            <w:pPr>
              <w:spacing w:line="480" w:lineRule="auto"/>
              <w:ind w:firstLine="0"/>
            </w:pPr>
            <w:r w:rsidRPr="00CD31AB">
              <w:t>.48***</w:t>
            </w:r>
          </w:p>
        </w:tc>
        <w:tc>
          <w:tcPr>
            <w:tcW w:w="992" w:type="dxa"/>
            <w:tcBorders>
              <w:top w:val="single" w:sz="4" w:space="0" w:color="auto"/>
              <w:right w:val="single" w:sz="4" w:space="0" w:color="auto"/>
            </w:tcBorders>
          </w:tcPr>
          <w:p w14:paraId="63584076" w14:textId="77777777" w:rsidR="00746CF4" w:rsidRPr="00CD31AB" w:rsidRDefault="00746CF4" w:rsidP="00DB5BCA">
            <w:pPr>
              <w:spacing w:line="480" w:lineRule="auto"/>
              <w:ind w:firstLine="0"/>
            </w:pPr>
            <w:r w:rsidRPr="00CD31AB">
              <w:t>.59***</w:t>
            </w:r>
          </w:p>
        </w:tc>
        <w:tc>
          <w:tcPr>
            <w:tcW w:w="993" w:type="dxa"/>
            <w:tcBorders>
              <w:top w:val="single" w:sz="4" w:space="0" w:color="auto"/>
            </w:tcBorders>
          </w:tcPr>
          <w:p w14:paraId="4BADCF4D" w14:textId="77777777" w:rsidR="00746CF4" w:rsidRPr="00CD31AB" w:rsidRDefault="00746CF4" w:rsidP="00DB5BCA">
            <w:pPr>
              <w:spacing w:line="480" w:lineRule="auto"/>
              <w:ind w:firstLine="0"/>
            </w:pPr>
            <w:r>
              <w:t>.50***</w:t>
            </w:r>
          </w:p>
        </w:tc>
        <w:tc>
          <w:tcPr>
            <w:tcW w:w="992" w:type="dxa"/>
            <w:tcBorders>
              <w:top w:val="single" w:sz="4" w:space="0" w:color="auto"/>
              <w:right w:val="single" w:sz="4" w:space="0" w:color="auto"/>
            </w:tcBorders>
          </w:tcPr>
          <w:p w14:paraId="65F68E0B" w14:textId="77777777" w:rsidR="00746CF4" w:rsidRPr="00CD31AB" w:rsidRDefault="00746CF4" w:rsidP="00DB5BCA">
            <w:pPr>
              <w:spacing w:line="480" w:lineRule="auto"/>
              <w:ind w:firstLine="0"/>
            </w:pPr>
            <w:r>
              <w:t>.62***</w:t>
            </w:r>
          </w:p>
        </w:tc>
        <w:tc>
          <w:tcPr>
            <w:tcW w:w="1134" w:type="dxa"/>
            <w:tcBorders>
              <w:top w:val="single" w:sz="4" w:space="0" w:color="auto"/>
              <w:left w:val="single" w:sz="4" w:space="0" w:color="auto"/>
            </w:tcBorders>
          </w:tcPr>
          <w:p w14:paraId="3EB42A5E" w14:textId="77777777" w:rsidR="00746CF4" w:rsidRPr="00CD31AB" w:rsidRDefault="00746CF4" w:rsidP="00DB5BCA">
            <w:pPr>
              <w:spacing w:line="480" w:lineRule="auto"/>
              <w:ind w:firstLine="0"/>
            </w:pPr>
            <w:r w:rsidRPr="00CD31AB">
              <w:t>.52***</w:t>
            </w:r>
          </w:p>
        </w:tc>
        <w:tc>
          <w:tcPr>
            <w:tcW w:w="992" w:type="dxa"/>
            <w:tcBorders>
              <w:top w:val="single" w:sz="4" w:space="0" w:color="auto"/>
              <w:right w:val="single" w:sz="4" w:space="0" w:color="auto"/>
            </w:tcBorders>
          </w:tcPr>
          <w:p w14:paraId="20CA20FB" w14:textId="77777777" w:rsidR="00746CF4" w:rsidRPr="00CD31AB" w:rsidRDefault="00746CF4" w:rsidP="00DB5BCA">
            <w:pPr>
              <w:spacing w:line="480" w:lineRule="auto"/>
              <w:ind w:firstLine="0"/>
            </w:pPr>
            <w:r w:rsidRPr="00CD31AB">
              <w:t>.66***</w:t>
            </w:r>
          </w:p>
        </w:tc>
        <w:tc>
          <w:tcPr>
            <w:tcW w:w="1134" w:type="dxa"/>
            <w:tcBorders>
              <w:top w:val="single" w:sz="4" w:space="0" w:color="auto"/>
              <w:left w:val="single" w:sz="4" w:space="0" w:color="auto"/>
            </w:tcBorders>
          </w:tcPr>
          <w:p w14:paraId="056005F1" w14:textId="77777777" w:rsidR="00746CF4" w:rsidRPr="00CD31AB" w:rsidRDefault="00746CF4" w:rsidP="00DB5BCA">
            <w:pPr>
              <w:spacing w:line="480" w:lineRule="auto"/>
              <w:ind w:firstLine="0"/>
            </w:pPr>
            <w:r>
              <w:t>.54***</w:t>
            </w:r>
          </w:p>
        </w:tc>
        <w:tc>
          <w:tcPr>
            <w:tcW w:w="1134" w:type="dxa"/>
            <w:tcBorders>
              <w:top w:val="single" w:sz="4" w:space="0" w:color="auto"/>
              <w:right w:val="single" w:sz="4" w:space="0" w:color="auto"/>
            </w:tcBorders>
          </w:tcPr>
          <w:p w14:paraId="4FD0B056" w14:textId="77777777" w:rsidR="00746CF4" w:rsidRPr="00CD31AB" w:rsidRDefault="00746CF4" w:rsidP="00DB5BCA">
            <w:pPr>
              <w:spacing w:line="480" w:lineRule="auto"/>
              <w:ind w:firstLine="0"/>
            </w:pPr>
            <w:r>
              <w:t>.70***</w:t>
            </w:r>
          </w:p>
        </w:tc>
      </w:tr>
      <w:tr w:rsidR="00746CF4" w:rsidRPr="00CD31AB" w14:paraId="4E1DBF73" w14:textId="77777777" w:rsidTr="006D4F0E">
        <w:trPr>
          <w:trHeight w:val="340"/>
        </w:trPr>
        <w:tc>
          <w:tcPr>
            <w:tcW w:w="993" w:type="dxa"/>
            <w:tcBorders>
              <w:bottom w:val="single" w:sz="4" w:space="0" w:color="auto"/>
              <w:right w:val="single" w:sz="4" w:space="0" w:color="auto"/>
            </w:tcBorders>
          </w:tcPr>
          <w:p w14:paraId="5504F07C" w14:textId="77777777" w:rsidR="00746CF4" w:rsidRPr="00CD31AB" w:rsidRDefault="00746CF4" w:rsidP="00DB5BCA">
            <w:pPr>
              <w:spacing w:line="480" w:lineRule="auto"/>
              <w:ind w:firstLine="0"/>
            </w:pPr>
            <w:r w:rsidRPr="00CD31AB">
              <w:t>Emotion</w:t>
            </w:r>
          </w:p>
        </w:tc>
        <w:tc>
          <w:tcPr>
            <w:tcW w:w="1039" w:type="dxa"/>
            <w:tcBorders>
              <w:left w:val="single" w:sz="4" w:space="0" w:color="auto"/>
              <w:bottom w:val="single" w:sz="4" w:space="0" w:color="auto"/>
            </w:tcBorders>
          </w:tcPr>
          <w:p w14:paraId="398AB477" w14:textId="77777777" w:rsidR="00746CF4" w:rsidRPr="00CD31AB" w:rsidRDefault="00746CF4" w:rsidP="00DB5BCA">
            <w:pPr>
              <w:spacing w:line="480" w:lineRule="auto"/>
              <w:ind w:firstLine="0"/>
            </w:pPr>
          </w:p>
        </w:tc>
        <w:tc>
          <w:tcPr>
            <w:tcW w:w="946" w:type="dxa"/>
            <w:tcBorders>
              <w:bottom w:val="single" w:sz="4" w:space="0" w:color="auto"/>
              <w:right w:val="single" w:sz="4" w:space="0" w:color="auto"/>
            </w:tcBorders>
          </w:tcPr>
          <w:p w14:paraId="193A16E5" w14:textId="77777777" w:rsidR="00746CF4" w:rsidRPr="00CD31AB" w:rsidRDefault="00746CF4" w:rsidP="00DB5BCA">
            <w:pPr>
              <w:spacing w:line="480" w:lineRule="auto"/>
              <w:ind w:firstLine="0"/>
            </w:pPr>
            <w:r w:rsidRPr="00CD31AB">
              <w:t>.30*</w:t>
            </w:r>
          </w:p>
        </w:tc>
        <w:tc>
          <w:tcPr>
            <w:tcW w:w="992" w:type="dxa"/>
            <w:tcBorders>
              <w:left w:val="single" w:sz="4" w:space="0" w:color="auto"/>
              <w:bottom w:val="single" w:sz="4" w:space="0" w:color="auto"/>
            </w:tcBorders>
          </w:tcPr>
          <w:p w14:paraId="648D049D" w14:textId="77777777" w:rsidR="00746CF4" w:rsidRPr="00CD31AB" w:rsidRDefault="00746CF4" w:rsidP="00DB5BCA">
            <w:pPr>
              <w:spacing w:line="480" w:lineRule="auto"/>
              <w:ind w:firstLine="0"/>
            </w:pPr>
          </w:p>
        </w:tc>
        <w:tc>
          <w:tcPr>
            <w:tcW w:w="992" w:type="dxa"/>
            <w:tcBorders>
              <w:bottom w:val="single" w:sz="4" w:space="0" w:color="auto"/>
              <w:right w:val="single" w:sz="4" w:space="0" w:color="auto"/>
            </w:tcBorders>
          </w:tcPr>
          <w:p w14:paraId="10F6E86F" w14:textId="77777777" w:rsidR="00746CF4" w:rsidRPr="00CD31AB" w:rsidRDefault="00746CF4" w:rsidP="00DB5BCA">
            <w:pPr>
              <w:spacing w:line="480" w:lineRule="auto"/>
              <w:ind w:firstLine="0"/>
            </w:pPr>
            <w:r w:rsidRPr="00CD31AB">
              <w:t>.64***</w:t>
            </w:r>
          </w:p>
        </w:tc>
        <w:tc>
          <w:tcPr>
            <w:tcW w:w="993" w:type="dxa"/>
            <w:tcBorders>
              <w:bottom w:val="single" w:sz="4" w:space="0" w:color="auto"/>
            </w:tcBorders>
          </w:tcPr>
          <w:p w14:paraId="6B3FA54A" w14:textId="77777777" w:rsidR="00746CF4" w:rsidRPr="00CD31AB" w:rsidRDefault="00746CF4" w:rsidP="00DB5BCA">
            <w:pPr>
              <w:spacing w:line="480" w:lineRule="auto"/>
              <w:ind w:firstLine="0"/>
            </w:pPr>
          </w:p>
        </w:tc>
        <w:tc>
          <w:tcPr>
            <w:tcW w:w="992" w:type="dxa"/>
            <w:tcBorders>
              <w:bottom w:val="single" w:sz="4" w:space="0" w:color="auto"/>
              <w:right w:val="single" w:sz="4" w:space="0" w:color="auto"/>
            </w:tcBorders>
          </w:tcPr>
          <w:p w14:paraId="03B50637" w14:textId="77777777" w:rsidR="00746CF4" w:rsidRPr="00CD31AB" w:rsidRDefault="00746CF4" w:rsidP="00DB5BCA">
            <w:pPr>
              <w:spacing w:line="480" w:lineRule="auto"/>
              <w:ind w:firstLine="0"/>
            </w:pPr>
            <w:r>
              <w:t>.63***</w:t>
            </w:r>
          </w:p>
        </w:tc>
        <w:tc>
          <w:tcPr>
            <w:tcW w:w="1134" w:type="dxa"/>
            <w:tcBorders>
              <w:left w:val="single" w:sz="4" w:space="0" w:color="auto"/>
              <w:bottom w:val="single" w:sz="4" w:space="0" w:color="auto"/>
            </w:tcBorders>
          </w:tcPr>
          <w:p w14:paraId="52BC290C" w14:textId="77777777" w:rsidR="00746CF4" w:rsidRPr="00CD31AB" w:rsidRDefault="00746CF4" w:rsidP="00DB5BCA">
            <w:pPr>
              <w:spacing w:line="480" w:lineRule="auto"/>
              <w:ind w:firstLine="0"/>
            </w:pPr>
          </w:p>
        </w:tc>
        <w:tc>
          <w:tcPr>
            <w:tcW w:w="992" w:type="dxa"/>
            <w:tcBorders>
              <w:bottom w:val="single" w:sz="4" w:space="0" w:color="auto"/>
              <w:right w:val="single" w:sz="4" w:space="0" w:color="auto"/>
            </w:tcBorders>
          </w:tcPr>
          <w:p w14:paraId="177F8CA0" w14:textId="77777777" w:rsidR="00746CF4" w:rsidRPr="00CD31AB" w:rsidRDefault="00746CF4" w:rsidP="00DB5BCA">
            <w:pPr>
              <w:spacing w:line="480" w:lineRule="auto"/>
              <w:ind w:firstLine="0"/>
            </w:pPr>
            <w:r w:rsidRPr="00CD31AB">
              <w:t>.62***</w:t>
            </w:r>
          </w:p>
        </w:tc>
        <w:tc>
          <w:tcPr>
            <w:tcW w:w="1134" w:type="dxa"/>
            <w:tcBorders>
              <w:left w:val="single" w:sz="4" w:space="0" w:color="auto"/>
              <w:bottom w:val="single" w:sz="4" w:space="0" w:color="auto"/>
            </w:tcBorders>
          </w:tcPr>
          <w:p w14:paraId="134292BF" w14:textId="77777777" w:rsidR="00746CF4" w:rsidRPr="00CD31AB" w:rsidRDefault="00746CF4" w:rsidP="00DB5BCA">
            <w:pPr>
              <w:spacing w:line="480" w:lineRule="auto"/>
              <w:ind w:firstLine="0"/>
            </w:pPr>
          </w:p>
        </w:tc>
        <w:tc>
          <w:tcPr>
            <w:tcW w:w="1134" w:type="dxa"/>
            <w:tcBorders>
              <w:bottom w:val="single" w:sz="4" w:space="0" w:color="auto"/>
              <w:right w:val="single" w:sz="4" w:space="0" w:color="auto"/>
            </w:tcBorders>
          </w:tcPr>
          <w:p w14:paraId="7C045AD6" w14:textId="77777777" w:rsidR="00746CF4" w:rsidRPr="00CD31AB" w:rsidRDefault="00746CF4" w:rsidP="00DB5BCA">
            <w:pPr>
              <w:spacing w:line="480" w:lineRule="auto"/>
              <w:ind w:firstLine="0"/>
            </w:pPr>
            <w:r>
              <w:t>.64***</w:t>
            </w:r>
          </w:p>
        </w:tc>
      </w:tr>
    </w:tbl>
    <w:p w14:paraId="2AC55589" w14:textId="3F3AE0AE" w:rsidR="00A154F0" w:rsidRDefault="00746CF4" w:rsidP="006D4F0E">
      <w:pPr>
        <w:spacing w:line="480" w:lineRule="auto"/>
        <w:ind w:firstLine="0"/>
      </w:pPr>
      <w:r w:rsidRPr="00A2257E">
        <w:rPr>
          <w:i/>
        </w:rPr>
        <w:t>Note:</w:t>
      </w:r>
      <w:r>
        <w:t xml:space="preserve"> * denotes </w:t>
      </w:r>
      <w:r w:rsidRPr="00CD31AB">
        <w:rPr>
          <w:i/>
        </w:rPr>
        <w:t>p</w:t>
      </w:r>
      <w:r>
        <w:t xml:space="preserve"> &lt; .05, ** denotes </w:t>
      </w:r>
      <w:r w:rsidRPr="00CD31AB">
        <w:rPr>
          <w:i/>
        </w:rPr>
        <w:t xml:space="preserve">p </w:t>
      </w:r>
      <w:r>
        <w:t xml:space="preserve">&lt; .01, and *** denotes </w:t>
      </w:r>
      <w:r w:rsidRPr="00CD31AB">
        <w:rPr>
          <w:i/>
        </w:rPr>
        <w:t>p</w:t>
      </w:r>
      <w:r>
        <w:t xml:space="preserve"> &lt; .001</w:t>
      </w:r>
    </w:p>
    <w:sectPr w:rsidR="00A154F0" w:rsidSect="00DB5BCA">
      <w:headerReference w:type="even" r:id="rId7"/>
      <w:headerReference w:type="default" r:id="rId8"/>
      <w:head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A075F" w14:textId="77777777" w:rsidR="00D15647" w:rsidRDefault="00D15647">
      <w:r>
        <w:separator/>
      </w:r>
    </w:p>
  </w:endnote>
  <w:endnote w:type="continuationSeparator" w:id="0">
    <w:p w14:paraId="62DEED90" w14:textId="77777777" w:rsidR="00D15647" w:rsidRDefault="00D15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Segoe UI">
    <w:altName w:val="Arial"/>
    <w:charset w:val="00"/>
    <w:family w:val="swiss"/>
    <w:pitch w:val="variable"/>
    <w:sig w:usb0="E4002EFF" w:usb1="C000E47F"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FDB90" w14:textId="77777777" w:rsidR="00D15647" w:rsidRDefault="00D15647">
      <w:r>
        <w:separator/>
      </w:r>
    </w:p>
  </w:footnote>
  <w:footnote w:type="continuationSeparator" w:id="0">
    <w:p w14:paraId="78943BC3" w14:textId="77777777" w:rsidR="00D15647" w:rsidRDefault="00D1564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08769471"/>
      <w:docPartObj>
        <w:docPartGallery w:val="Page Numbers (Top of Page)"/>
        <w:docPartUnique/>
      </w:docPartObj>
    </w:sdtPr>
    <w:sdtEndPr>
      <w:rPr>
        <w:rStyle w:val="PageNumber"/>
      </w:rPr>
    </w:sdtEndPr>
    <w:sdtContent>
      <w:p w14:paraId="7D517B54" w14:textId="77777777" w:rsidR="00DB5BCA" w:rsidRDefault="00DB5BCA" w:rsidP="00DB5BC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F53D07" w14:textId="77777777" w:rsidR="00DB5BCA" w:rsidRDefault="00DB5BCA" w:rsidP="00DB5BC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53685042"/>
      <w:docPartObj>
        <w:docPartGallery w:val="Page Numbers (Top of Page)"/>
        <w:docPartUnique/>
      </w:docPartObj>
    </w:sdtPr>
    <w:sdtEndPr>
      <w:rPr>
        <w:rStyle w:val="PageNumber"/>
      </w:rPr>
    </w:sdtEndPr>
    <w:sdtContent>
      <w:p w14:paraId="104406E6" w14:textId="77777777" w:rsidR="00DB5BCA" w:rsidRDefault="00DB5BCA" w:rsidP="00DB5BC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C5B23">
          <w:rPr>
            <w:rStyle w:val="PageNumber"/>
            <w:noProof/>
          </w:rPr>
          <w:t>2</w:t>
        </w:r>
        <w:r>
          <w:rPr>
            <w:rStyle w:val="PageNumber"/>
          </w:rPr>
          <w:fldChar w:fldCharType="end"/>
        </w:r>
      </w:p>
    </w:sdtContent>
  </w:sdt>
  <w:p w14:paraId="1CC96A91" w14:textId="770C5C03" w:rsidR="00DB5BCA" w:rsidRDefault="00DB5BCA" w:rsidP="00DB5BCA">
    <w:pPr>
      <w:pStyle w:val="Header"/>
      <w:ind w:right="360"/>
      <w:jc w:val="right"/>
    </w:pPr>
    <w:r>
      <w:t xml:space="preserve">CHILDREN’S </w:t>
    </w:r>
    <w:r w:rsidR="006D4F0E">
      <w:t>CONFIDENCE</w:t>
    </w:r>
    <w:r>
      <w:t xml:space="preserve"> COMPARISON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454988443"/>
      <w:docPartObj>
        <w:docPartGallery w:val="Page Numbers (Top of Page)"/>
        <w:docPartUnique/>
      </w:docPartObj>
    </w:sdtPr>
    <w:sdtEndPr>
      <w:rPr>
        <w:rStyle w:val="PageNumber"/>
      </w:rPr>
    </w:sdtEndPr>
    <w:sdtContent>
      <w:p w14:paraId="77FB2691" w14:textId="77777777" w:rsidR="00DB5BCA" w:rsidRDefault="00DB5BCA" w:rsidP="00DB5BC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C5B23">
          <w:rPr>
            <w:rStyle w:val="PageNumber"/>
            <w:noProof/>
          </w:rPr>
          <w:t>1</w:t>
        </w:r>
        <w:r>
          <w:rPr>
            <w:rStyle w:val="PageNumber"/>
          </w:rPr>
          <w:fldChar w:fldCharType="end"/>
        </w:r>
      </w:p>
    </w:sdtContent>
  </w:sdt>
  <w:p w14:paraId="79038847" w14:textId="10B35FAF" w:rsidR="00DB5BCA" w:rsidRDefault="00DB5BCA" w:rsidP="00DB5BCA">
    <w:pPr>
      <w:pStyle w:val="Header"/>
      <w:ind w:right="360"/>
      <w:jc w:val="right"/>
    </w:pPr>
    <w:r>
      <w:t xml:space="preserve">RUNNING HEAD: CHILDREN’S </w:t>
    </w:r>
    <w:r w:rsidR="006D4F0E">
      <w:t>CONFIDENCE</w:t>
    </w:r>
    <w:r>
      <w:t xml:space="preserve"> COMPARISON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CF4"/>
    <w:rsid w:val="000C1A9A"/>
    <w:rsid w:val="00116805"/>
    <w:rsid w:val="0025395A"/>
    <w:rsid w:val="00343C5D"/>
    <w:rsid w:val="004842D7"/>
    <w:rsid w:val="006D4F0E"/>
    <w:rsid w:val="00746CF4"/>
    <w:rsid w:val="007B276B"/>
    <w:rsid w:val="008C5B23"/>
    <w:rsid w:val="009349FA"/>
    <w:rsid w:val="00A154F0"/>
    <w:rsid w:val="00D15647"/>
    <w:rsid w:val="00DB5BCA"/>
    <w:rsid w:val="00F645E4"/>
    <w:rsid w:val="00F91836"/>
  </w:rsids>
  <m:mathPr>
    <m:mathFont m:val="Cambria Math"/>
    <m:brkBin m:val="before"/>
    <m:brkBinSub m:val="--"/>
    <m:smallFrac m:val="0"/>
    <m:dispDef/>
    <m:lMargin m:val="0"/>
    <m:rMargin m:val="0"/>
    <m:defJc m:val="centerGroup"/>
    <m:wrapIndent m:val="1440"/>
    <m:intLim m:val="subSup"/>
    <m:naryLim m:val="undOvr"/>
  </m:mathPr>
  <w:themeFontLang w:val="en-CA"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5B312"/>
  <w15:chartTrackingRefBased/>
  <w15:docId w15:val="{34796C3E-DE28-0B42-8C7F-B08F5243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4"/>
        <w:szCs w:val="24"/>
        <w:lang w:val="en-CA"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46CF4"/>
    <w:pPr>
      <w:ind w:firstLine="720"/>
    </w:pPr>
    <w:rPr>
      <w:rFonts w:ascii="Times New Roman" w:hAnsi="Times New Roman" w:cs="Times New Roman"/>
    </w:rPr>
  </w:style>
  <w:style w:type="paragraph" w:styleId="Heading1">
    <w:name w:val="heading 1"/>
    <w:basedOn w:val="Normal"/>
    <w:next w:val="Normal"/>
    <w:link w:val="Heading1Char"/>
    <w:uiPriority w:val="9"/>
    <w:qFormat/>
    <w:rsid w:val="00746CF4"/>
    <w:pPr>
      <w:ind w:firstLine="0"/>
      <w:jc w:val="center"/>
      <w:outlineLvl w:val="0"/>
    </w:pPr>
    <w:rPr>
      <w:b/>
    </w:rPr>
  </w:style>
  <w:style w:type="paragraph" w:styleId="Heading2">
    <w:name w:val="heading 2"/>
    <w:basedOn w:val="Normal"/>
    <w:next w:val="Normal"/>
    <w:link w:val="Heading2Char"/>
    <w:uiPriority w:val="9"/>
    <w:unhideWhenUsed/>
    <w:qFormat/>
    <w:rsid w:val="00746CF4"/>
    <w:pPr>
      <w:ind w:firstLine="0"/>
      <w:outlineLvl w:val="1"/>
    </w:pPr>
    <w:rPr>
      <w:b/>
    </w:rPr>
  </w:style>
  <w:style w:type="paragraph" w:styleId="Heading3">
    <w:name w:val="heading 3"/>
    <w:basedOn w:val="Normal"/>
    <w:next w:val="Normal"/>
    <w:link w:val="Heading3Char"/>
    <w:uiPriority w:val="9"/>
    <w:unhideWhenUsed/>
    <w:qFormat/>
    <w:rsid w:val="00746CF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CF4"/>
    <w:rPr>
      <w:rFonts w:ascii="Times New Roman" w:hAnsi="Times New Roman" w:cs="Times New Roman"/>
      <w:b/>
    </w:rPr>
  </w:style>
  <w:style w:type="character" w:customStyle="1" w:styleId="Heading2Char">
    <w:name w:val="Heading 2 Char"/>
    <w:basedOn w:val="DefaultParagraphFont"/>
    <w:link w:val="Heading2"/>
    <w:uiPriority w:val="9"/>
    <w:rsid w:val="00746CF4"/>
    <w:rPr>
      <w:rFonts w:ascii="Times New Roman" w:hAnsi="Times New Roman" w:cs="Times New Roman"/>
      <w:b/>
    </w:rPr>
  </w:style>
  <w:style w:type="character" w:customStyle="1" w:styleId="Heading3Char">
    <w:name w:val="Heading 3 Char"/>
    <w:basedOn w:val="DefaultParagraphFont"/>
    <w:link w:val="Heading3"/>
    <w:uiPriority w:val="9"/>
    <w:rsid w:val="00746CF4"/>
    <w:rPr>
      <w:rFonts w:ascii="Times New Roman" w:hAnsi="Times New Roman" w:cs="Times New Roman"/>
      <w:b/>
    </w:rPr>
  </w:style>
  <w:style w:type="table" w:styleId="TableGrid">
    <w:name w:val="Table Grid"/>
    <w:basedOn w:val="TableNormal"/>
    <w:uiPriority w:val="39"/>
    <w:rsid w:val="00746C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46CF4"/>
    <w:pPr>
      <w:tabs>
        <w:tab w:val="center" w:pos="4680"/>
        <w:tab w:val="right" w:pos="9360"/>
      </w:tabs>
    </w:pPr>
  </w:style>
  <w:style w:type="character" w:customStyle="1" w:styleId="HeaderChar">
    <w:name w:val="Header Char"/>
    <w:basedOn w:val="DefaultParagraphFont"/>
    <w:link w:val="Header"/>
    <w:uiPriority w:val="99"/>
    <w:rsid w:val="00746CF4"/>
    <w:rPr>
      <w:rFonts w:ascii="Times New Roman" w:hAnsi="Times New Roman" w:cs="Times New Roman"/>
    </w:rPr>
  </w:style>
  <w:style w:type="character" w:styleId="PageNumber">
    <w:name w:val="page number"/>
    <w:basedOn w:val="DefaultParagraphFont"/>
    <w:uiPriority w:val="99"/>
    <w:semiHidden/>
    <w:unhideWhenUsed/>
    <w:rsid w:val="00746CF4"/>
  </w:style>
  <w:style w:type="paragraph" w:styleId="BalloonText">
    <w:name w:val="Balloon Text"/>
    <w:basedOn w:val="Normal"/>
    <w:link w:val="BalloonTextChar"/>
    <w:uiPriority w:val="99"/>
    <w:semiHidden/>
    <w:unhideWhenUsed/>
    <w:rsid w:val="00F645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5E4"/>
    <w:rPr>
      <w:rFonts w:ascii="Segoe UI" w:hAnsi="Segoe UI" w:cs="Segoe UI"/>
      <w:sz w:val="18"/>
      <w:szCs w:val="18"/>
    </w:rPr>
  </w:style>
  <w:style w:type="paragraph" w:styleId="Footer">
    <w:name w:val="footer"/>
    <w:basedOn w:val="Normal"/>
    <w:link w:val="FooterChar"/>
    <w:uiPriority w:val="99"/>
    <w:unhideWhenUsed/>
    <w:rsid w:val="006D4F0E"/>
    <w:pPr>
      <w:tabs>
        <w:tab w:val="center" w:pos="4680"/>
        <w:tab w:val="right" w:pos="9360"/>
      </w:tabs>
    </w:pPr>
  </w:style>
  <w:style w:type="character" w:customStyle="1" w:styleId="FooterChar">
    <w:name w:val="Footer Char"/>
    <w:basedOn w:val="DefaultParagraphFont"/>
    <w:link w:val="Footer"/>
    <w:uiPriority w:val="99"/>
    <w:rsid w:val="006D4F0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2627</Words>
  <Characters>13534</Characters>
  <Application>Microsoft Macintosh Word</Application>
  <DocSecurity>0</DocSecurity>
  <Lines>294</Lines>
  <Paragraphs>121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16040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Microsoft Office User</cp:lastModifiedBy>
  <cp:revision>3</cp:revision>
  <dcterms:created xsi:type="dcterms:W3CDTF">2020-01-15T01:38:00Z</dcterms:created>
  <dcterms:modified xsi:type="dcterms:W3CDTF">2020-01-15T14:08:00Z</dcterms:modified>
  <cp:category/>
</cp:coreProperties>
</file>