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331D0" w14:textId="19617F22" w:rsidR="00B74A4E" w:rsidRPr="0096192C" w:rsidRDefault="00F87205" w:rsidP="00B74A4E">
      <w:pPr>
        <w:pStyle w:val="Heading1"/>
        <w:rPr>
          <w:noProof/>
          <w:sz w:val="28"/>
          <w:szCs w:val="24"/>
        </w:rPr>
      </w:pPr>
      <w:r w:rsidRPr="0096192C">
        <w:rPr>
          <w:noProof/>
          <w:sz w:val="28"/>
          <w:szCs w:val="24"/>
        </w:rPr>
        <w:t>Supplementary Materials for ‘</w:t>
      </w:r>
      <w:r w:rsidR="00B74A4E" w:rsidRPr="0096192C">
        <w:rPr>
          <w:noProof/>
          <w:sz w:val="28"/>
          <w:szCs w:val="24"/>
        </w:rPr>
        <w:t>Flexible use of facial features supports face identity processing’</w:t>
      </w:r>
    </w:p>
    <w:p w14:paraId="04BA7FD1" w14:textId="3EDCF35B" w:rsidR="00F112F7" w:rsidRPr="0096192C" w:rsidRDefault="00F112F7" w:rsidP="00F112F7">
      <w:pPr>
        <w:pStyle w:val="Notesoncontributors"/>
        <w:jc w:val="center"/>
        <w:rPr>
          <w:sz w:val="24"/>
        </w:rPr>
      </w:pPr>
      <w:r w:rsidRPr="0096192C">
        <w:rPr>
          <w:sz w:val="24"/>
        </w:rPr>
        <w:t xml:space="preserve">Corresponding Author: James D. Dunn, School of Psychology, Mathews Building, UNSW Sydney, Kensington, NSW 2052, Australia. E: </w:t>
      </w:r>
      <w:hyperlink r:id="rId8" w:history="1">
        <w:r w:rsidRPr="0096192C">
          <w:rPr>
            <w:rStyle w:val="Hyperlink"/>
            <w:color w:val="auto"/>
            <w:sz w:val="24"/>
          </w:rPr>
          <w:t>j.d.dunn@unsw.edu.au</w:t>
        </w:r>
      </w:hyperlink>
      <w:r w:rsidRPr="0096192C">
        <w:rPr>
          <w:sz w:val="24"/>
        </w:rPr>
        <w:t xml:space="preserve"> </w:t>
      </w:r>
    </w:p>
    <w:p w14:paraId="68FFFAFD" w14:textId="3DC8535F" w:rsidR="00F87205" w:rsidRPr="0096192C" w:rsidRDefault="00F87205" w:rsidP="00B74A4E">
      <w:pPr>
        <w:pStyle w:val="Heading1"/>
        <w:rPr>
          <w:noProof/>
          <w:szCs w:val="22"/>
        </w:rPr>
      </w:pPr>
      <w:r w:rsidRPr="0096192C">
        <w:t>Extended methods for Experiment 1</w:t>
      </w:r>
    </w:p>
    <w:p w14:paraId="3F4CB1EC" w14:textId="77777777" w:rsidR="00F87205" w:rsidRPr="0096192C" w:rsidRDefault="00F87205" w:rsidP="002C3F2B">
      <w:pPr>
        <w:pStyle w:val="Paragraph"/>
        <w:spacing w:before="0" w:after="240" w:line="480" w:lineRule="auto"/>
      </w:pPr>
      <w:r w:rsidRPr="0096192C">
        <w:t xml:space="preserve">For Experiment 1 we only reported the similarity rating results for the isolated-part feature block because these were used as the foundation for the other experimental studies reported in this paper. This block was part of a larger experiment that is described in full below. </w:t>
      </w:r>
    </w:p>
    <w:p w14:paraId="7C5287CB" w14:textId="77777777" w:rsidR="00F87205" w:rsidRPr="0096192C" w:rsidRDefault="00F87205" w:rsidP="002C3F2B">
      <w:pPr>
        <w:pStyle w:val="pf0"/>
        <w:spacing w:after="240" w:afterAutospacing="0" w:line="480" w:lineRule="auto"/>
        <w:ind w:firstLine="720"/>
      </w:pPr>
      <w:r w:rsidRPr="0096192C">
        <w:rPr>
          <w:rStyle w:val="cf01"/>
          <w:rFonts w:ascii="Times New Roman" w:hAnsi="Times New Roman" w:cs="Times New Roman"/>
          <w:sz w:val="24"/>
          <w:szCs w:val="24"/>
        </w:rPr>
        <w:t xml:space="preserve">These 90 identity pairs were randomly split into 3 image sets, each with 15 match and 15 nonmatch pairs. This enabled counterbalanced assignment of image sets to the three experimental blocks (no feature rating set, whole-face rating set, and isolated-part rating set). </w:t>
      </w:r>
    </w:p>
    <w:p w14:paraId="05306784" w14:textId="77777777" w:rsidR="00F87205" w:rsidRPr="0096192C" w:rsidRDefault="00F87205" w:rsidP="002C3F2B">
      <w:pPr>
        <w:pStyle w:val="pf0"/>
        <w:spacing w:after="240" w:afterAutospacing="0" w:line="480" w:lineRule="auto"/>
        <w:ind w:firstLine="720"/>
      </w:pPr>
      <w:r w:rsidRPr="0096192C">
        <w:rPr>
          <w:rStyle w:val="cf01"/>
          <w:rFonts w:ascii="Times New Roman" w:hAnsi="Times New Roman" w:cs="Times New Roman"/>
          <w:sz w:val="24"/>
          <w:szCs w:val="24"/>
        </w:rPr>
        <w:t xml:space="preserve">Participants’ first task was to complete the no feature rating block which measured their baseline face-matching accuracy. They were shown two whole-face images on-screen and asked to decide whether the face stimuli showed the same person or two different people. </w:t>
      </w:r>
    </w:p>
    <w:p w14:paraId="2A73F130" w14:textId="074FD919" w:rsidR="002C3F2B" w:rsidRPr="0096192C" w:rsidRDefault="00F87205" w:rsidP="002C3F2B">
      <w:pPr>
        <w:pStyle w:val="pf0"/>
        <w:spacing w:after="240" w:afterAutospacing="0" w:line="480" w:lineRule="auto"/>
        <w:ind w:firstLine="720"/>
        <w:rPr>
          <w:rStyle w:val="cf01"/>
          <w:rFonts w:ascii="Times New Roman" w:hAnsi="Times New Roman" w:cs="Times New Roman"/>
          <w:sz w:val="24"/>
          <w:szCs w:val="24"/>
        </w:rPr>
      </w:pPr>
      <w:r w:rsidRPr="0096192C">
        <w:rPr>
          <w:rStyle w:val="cf01"/>
          <w:rFonts w:ascii="Times New Roman" w:hAnsi="Times New Roman" w:cs="Times New Roman"/>
          <w:sz w:val="24"/>
          <w:szCs w:val="24"/>
        </w:rPr>
        <w:t>After completing the baseline matching test, participants completed 2 separate feature rating blocks. These 2 blocks were the whole-face feature rating block and the isolated-part feature rating block, the order of which was counterbalanced across participants. Each block consisted of 15 match and 15 nonmatch trials presented in a random order. All participants completed both feature rating blocks in a random order.</w:t>
      </w:r>
    </w:p>
    <w:p w14:paraId="43258FC5" w14:textId="642A8108" w:rsidR="00F03021" w:rsidRPr="0096192C" w:rsidRDefault="00F03021" w:rsidP="00F03021">
      <w:pPr>
        <w:pStyle w:val="Heading2"/>
        <w:spacing w:line="480" w:lineRule="auto"/>
        <w:jc w:val="center"/>
      </w:pPr>
      <w:r w:rsidRPr="0096192C">
        <w:t>Percentage of items with each feature as diagnostic</w:t>
      </w:r>
    </w:p>
    <w:p w14:paraId="35D2D487" w14:textId="186B699C" w:rsidR="00F03021" w:rsidRPr="0096192C" w:rsidRDefault="00F03021" w:rsidP="008A35DF">
      <w:pPr>
        <w:pStyle w:val="pf0"/>
        <w:spacing w:after="240" w:afterAutospacing="0" w:line="480" w:lineRule="auto"/>
      </w:pPr>
      <w:r w:rsidRPr="0096192C">
        <w:t xml:space="preserve">In Experiment 1, we explain the criteria used to select which features are classified as diagnostic for each image pair. We used this criteria for the 90 identity pairs and found 68 of our 90 face pairs (32 </w:t>
      </w:r>
      <w:r w:rsidRPr="0096192C">
        <w:lastRenderedPageBreak/>
        <w:t>match, 36 nonmatch) contained at least one identifying feature that reached the threshold for diagnosticity. Supplementary Table 1 shows the percentage of items where each feature was diagnostic. The most common diagnostic feature was the ears, followed by the eyes, and the least diagnostic feature was the chin, followed by the mouth.</w:t>
      </w:r>
    </w:p>
    <w:p w14:paraId="725A030F" w14:textId="497AC050" w:rsidR="00F87205" w:rsidRPr="0096192C" w:rsidRDefault="00F87205" w:rsidP="002C3F2B">
      <w:pPr>
        <w:rPr>
          <w:lang w:val="en-US"/>
        </w:rPr>
      </w:pPr>
      <w:r w:rsidRPr="0096192C">
        <w:rPr>
          <w:b/>
          <w:bCs/>
          <w:lang w:val="en-US"/>
        </w:rPr>
        <w:t xml:space="preserve">Supplementary Table 1. </w:t>
      </w:r>
      <w:r w:rsidR="00F03021" w:rsidRPr="0096192C">
        <w:rPr>
          <w:lang w:val="en-US"/>
        </w:rPr>
        <w:t>Percentage of items with</w:t>
      </w:r>
      <w:r w:rsidRPr="0096192C">
        <w:rPr>
          <w:lang w:val="en-US"/>
        </w:rPr>
        <w:t xml:space="preserve"> each feature classified as identifying, ranked from most to least.</w:t>
      </w:r>
    </w:p>
    <w:tbl>
      <w:tblPr>
        <w:tblW w:w="5417" w:type="dxa"/>
        <w:tblBorders>
          <w:top w:val="single" w:sz="4" w:space="0" w:color="auto"/>
          <w:bottom w:val="single" w:sz="4" w:space="0" w:color="auto"/>
        </w:tblBorders>
        <w:tblLook w:val="04A0" w:firstRow="1" w:lastRow="0" w:firstColumn="1" w:lastColumn="0" w:noHBand="0" w:noVBand="1"/>
      </w:tblPr>
      <w:tblGrid>
        <w:gridCol w:w="1145"/>
        <w:gridCol w:w="1371"/>
        <w:gridCol w:w="1273"/>
        <w:gridCol w:w="1628"/>
      </w:tblGrid>
      <w:tr w:rsidR="00F87205" w:rsidRPr="0096192C" w14:paraId="2A6D39F6" w14:textId="77777777" w:rsidTr="000F01D1">
        <w:trPr>
          <w:trHeight w:val="300"/>
        </w:trPr>
        <w:tc>
          <w:tcPr>
            <w:tcW w:w="1145" w:type="dxa"/>
            <w:vMerge w:val="restart"/>
            <w:tcBorders>
              <w:top w:val="single" w:sz="4" w:space="0" w:color="auto"/>
            </w:tcBorders>
            <w:shd w:val="clear" w:color="auto" w:fill="auto"/>
            <w:noWrap/>
            <w:vAlign w:val="bottom"/>
            <w:hideMark/>
          </w:tcPr>
          <w:p w14:paraId="02344679" w14:textId="77777777" w:rsidR="00F87205" w:rsidRPr="0096192C" w:rsidRDefault="00F87205" w:rsidP="00FC2277">
            <w:pPr>
              <w:rPr>
                <w:color w:val="000000"/>
                <w:sz w:val="22"/>
                <w:szCs w:val="22"/>
              </w:rPr>
            </w:pPr>
            <w:r w:rsidRPr="0096192C">
              <w:rPr>
                <w:color w:val="000000"/>
                <w:sz w:val="22"/>
                <w:szCs w:val="22"/>
              </w:rPr>
              <w:t>Feature</w:t>
            </w:r>
          </w:p>
        </w:tc>
        <w:tc>
          <w:tcPr>
            <w:tcW w:w="1371" w:type="dxa"/>
            <w:vMerge w:val="restart"/>
            <w:tcBorders>
              <w:top w:val="single" w:sz="4" w:space="0" w:color="auto"/>
            </w:tcBorders>
            <w:shd w:val="clear" w:color="auto" w:fill="auto"/>
            <w:noWrap/>
            <w:vAlign w:val="bottom"/>
            <w:hideMark/>
          </w:tcPr>
          <w:p w14:paraId="2A80325A" w14:textId="77777777" w:rsidR="00F87205" w:rsidRPr="0096192C" w:rsidRDefault="00F87205" w:rsidP="00FC2277">
            <w:pPr>
              <w:rPr>
                <w:color w:val="000000"/>
                <w:sz w:val="22"/>
                <w:szCs w:val="22"/>
              </w:rPr>
            </w:pPr>
            <w:r w:rsidRPr="0096192C">
              <w:rPr>
                <w:color w:val="000000"/>
                <w:sz w:val="22"/>
                <w:szCs w:val="22"/>
              </w:rPr>
              <w:t>Overall (%)</w:t>
            </w:r>
          </w:p>
        </w:tc>
        <w:tc>
          <w:tcPr>
            <w:tcW w:w="2901" w:type="dxa"/>
            <w:gridSpan w:val="2"/>
            <w:tcBorders>
              <w:top w:val="single" w:sz="4" w:space="0" w:color="auto"/>
              <w:bottom w:val="single" w:sz="4" w:space="0" w:color="auto"/>
            </w:tcBorders>
            <w:shd w:val="clear" w:color="auto" w:fill="auto"/>
            <w:noWrap/>
            <w:vAlign w:val="bottom"/>
          </w:tcPr>
          <w:p w14:paraId="1318687D" w14:textId="77777777" w:rsidR="00F87205" w:rsidRPr="0096192C" w:rsidRDefault="00F87205" w:rsidP="00FC2277">
            <w:pPr>
              <w:jc w:val="center"/>
              <w:rPr>
                <w:color w:val="000000"/>
                <w:sz w:val="22"/>
                <w:szCs w:val="22"/>
              </w:rPr>
            </w:pPr>
            <w:r w:rsidRPr="0096192C">
              <w:rPr>
                <w:color w:val="000000"/>
                <w:sz w:val="22"/>
                <w:szCs w:val="22"/>
              </w:rPr>
              <w:t>Split by Trial Type</w:t>
            </w:r>
          </w:p>
        </w:tc>
      </w:tr>
      <w:tr w:rsidR="00F87205" w:rsidRPr="0096192C" w14:paraId="62713052" w14:textId="77777777" w:rsidTr="000F01D1">
        <w:trPr>
          <w:trHeight w:val="300"/>
        </w:trPr>
        <w:tc>
          <w:tcPr>
            <w:tcW w:w="1145" w:type="dxa"/>
            <w:vMerge/>
            <w:tcBorders>
              <w:bottom w:val="single" w:sz="4" w:space="0" w:color="auto"/>
            </w:tcBorders>
            <w:shd w:val="clear" w:color="auto" w:fill="auto"/>
            <w:noWrap/>
            <w:vAlign w:val="bottom"/>
          </w:tcPr>
          <w:p w14:paraId="3B554ED6" w14:textId="77777777" w:rsidR="00F87205" w:rsidRPr="0096192C" w:rsidRDefault="00F87205" w:rsidP="00FC2277">
            <w:pPr>
              <w:rPr>
                <w:color w:val="000000"/>
                <w:sz w:val="22"/>
                <w:szCs w:val="22"/>
              </w:rPr>
            </w:pPr>
          </w:p>
        </w:tc>
        <w:tc>
          <w:tcPr>
            <w:tcW w:w="1371" w:type="dxa"/>
            <w:vMerge/>
            <w:tcBorders>
              <w:bottom w:val="single" w:sz="4" w:space="0" w:color="auto"/>
            </w:tcBorders>
            <w:shd w:val="clear" w:color="auto" w:fill="auto"/>
            <w:noWrap/>
            <w:vAlign w:val="bottom"/>
          </w:tcPr>
          <w:p w14:paraId="52BE319F" w14:textId="77777777" w:rsidR="00F87205" w:rsidRPr="0096192C" w:rsidRDefault="00F87205" w:rsidP="00FC2277">
            <w:pPr>
              <w:rPr>
                <w:color w:val="000000"/>
                <w:sz w:val="22"/>
                <w:szCs w:val="22"/>
              </w:rPr>
            </w:pPr>
          </w:p>
        </w:tc>
        <w:tc>
          <w:tcPr>
            <w:tcW w:w="1273" w:type="dxa"/>
            <w:tcBorders>
              <w:top w:val="single" w:sz="4" w:space="0" w:color="auto"/>
              <w:bottom w:val="single" w:sz="4" w:space="0" w:color="auto"/>
            </w:tcBorders>
            <w:shd w:val="clear" w:color="auto" w:fill="auto"/>
            <w:noWrap/>
            <w:vAlign w:val="bottom"/>
          </w:tcPr>
          <w:p w14:paraId="65827E58" w14:textId="77777777" w:rsidR="00F87205" w:rsidRPr="0096192C" w:rsidRDefault="00F87205" w:rsidP="00FC2277">
            <w:pPr>
              <w:rPr>
                <w:color w:val="000000"/>
                <w:sz w:val="22"/>
                <w:szCs w:val="22"/>
              </w:rPr>
            </w:pPr>
            <w:r w:rsidRPr="0096192C">
              <w:rPr>
                <w:color w:val="000000"/>
                <w:sz w:val="22"/>
                <w:szCs w:val="22"/>
              </w:rPr>
              <w:t>Match (%)</w:t>
            </w:r>
          </w:p>
        </w:tc>
        <w:tc>
          <w:tcPr>
            <w:tcW w:w="1628" w:type="dxa"/>
            <w:tcBorders>
              <w:top w:val="single" w:sz="4" w:space="0" w:color="auto"/>
              <w:bottom w:val="single" w:sz="4" w:space="0" w:color="auto"/>
            </w:tcBorders>
            <w:shd w:val="clear" w:color="auto" w:fill="auto"/>
            <w:noWrap/>
            <w:vAlign w:val="bottom"/>
          </w:tcPr>
          <w:p w14:paraId="5A35F126" w14:textId="77777777" w:rsidR="00F87205" w:rsidRPr="0096192C" w:rsidRDefault="00F87205" w:rsidP="00FC2277">
            <w:pPr>
              <w:rPr>
                <w:color w:val="000000"/>
                <w:sz w:val="22"/>
                <w:szCs w:val="22"/>
              </w:rPr>
            </w:pPr>
            <w:r w:rsidRPr="0096192C">
              <w:rPr>
                <w:color w:val="000000"/>
                <w:sz w:val="22"/>
                <w:szCs w:val="22"/>
              </w:rPr>
              <w:t>Nonmatch (%)</w:t>
            </w:r>
          </w:p>
        </w:tc>
      </w:tr>
      <w:tr w:rsidR="00F87205" w:rsidRPr="0096192C" w14:paraId="11898832" w14:textId="77777777" w:rsidTr="000F01D1">
        <w:trPr>
          <w:trHeight w:val="300"/>
        </w:trPr>
        <w:tc>
          <w:tcPr>
            <w:tcW w:w="1145" w:type="dxa"/>
            <w:tcBorders>
              <w:top w:val="single" w:sz="4" w:space="0" w:color="auto"/>
            </w:tcBorders>
            <w:shd w:val="clear" w:color="auto" w:fill="auto"/>
            <w:noWrap/>
            <w:vAlign w:val="bottom"/>
            <w:hideMark/>
          </w:tcPr>
          <w:p w14:paraId="2B579ABF" w14:textId="77777777" w:rsidR="00F87205" w:rsidRPr="0096192C" w:rsidRDefault="00F87205" w:rsidP="00FC2277">
            <w:pPr>
              <w:rPr>
                <w:color w:val="000000"/>
                <w:sz w:val="22"/>
                <w:szCs w:val="22"/>
              </w:rPr>
            </w:pPr>
            <w:r w:rsidRPr="0096192C">
              <w:rPr>
                <w:color w:val="000000"/>
                <w:sz w:val="22"/>
                <w:szCs w:val="22"/>
              </w:rPr>
              <w:t>Ears</w:t>
            </w:r>
          </w:p>
        </w:tc>
        <w:tc>
          <w:tcPr>
            <w:tcW w:w="1371" w:type="dxa"/>
            <w:tcBorders>
              <w:top w:val="single" w:sz="4" w:space="0" w:color="auto"/>
            </w:tcBorders>
            <w:shd w:val="clear" w:color="auto" w:fill="auto"/>
            <w:noWrap/>
            <w:vAlign w:val="bottom"/>
            <w:hideMark/>
          </w:tcPr>
          <w:p w14:paraId="5AD86CDF" w14:textId="77777777" w:rsidR="00F87205" w:rsidRPr="0096192C" w:rsidRDefault="00F87205" w:rsidP="00FC2277">
            <w:pPr>
              <w:jc w:val="right"/>
              <w:rPr>
                <w:color w:val="000000"/>
                <w:sz w:val="22"/>
                <w:szCs w:val="22"/>
              </w:rPr>
            </w:pPr>
            <w:r w:rsidRPr="0096192C">
              <w:rPr>
                <w:color w:val="000000"/>
                <w:sz w:val="22"/>
                <w:szCs w:val="22"/>
              </w:rPr>
              <w:t>78</w:t>
            </w:r>
          </w:p>
        </w:tc>
        <w:tc>
          <w:tcPr>
            <w:tcW w:w="1273" w:type="dxa"/>
            <w:tcBorders>
              <w:top w:val="single" w:sz="4" w:space="0" w:color="auto"/>
            </w:tcBorders>
            <w:shd w:val="clear" w:color="auto" w:fill="auto"/>
            <w:noWrap/>
            <w:vAlign w:val="bottom"/>
            <w:hideMark/>
          </w:tcPr>
          <w:p w14:paraId="3BD59EE6" w14:textId="77777777" w:rsidR="00F87205" w:rsidRPr="0096192C" w:rsidRDefault="00F87205" w:rsidP="00FC2277">
            <w:pPr>
              <w:jc w:val="right"/>
              <w:rPr>
                <w:color w:val="000000"/>
                <w:sz w:val="22"/>
                <w:szCs w:val="22"/>
              </w:rPr>
            </w:pPr>
            <w:r w:rsidRPr="0096192C">
              <w:rPr>
                <w:color w:val="000000"/>
                <w:sz w:val="22"/>
                <w:szCs w:val="22"/>
              </w:rPr>
              <w:t>81</w:t>
            </w:r>
          </w:p>
        </w:tc>
        <w:tc>
          <w:tcPr>
            <w:tcW w:w="1628" w:type="dxa"/>
            <w:tcBorders>
              <w:top w:val="single" w:sz="4" w:space="0" w:color="auto"/>
            </w:tcBorders>
            <w:shd w:val="clear" w:color="auto" w:fill="auto"/>
            <w:noWrap/>
            <w:vAlign w:val="bottom"/>
            <w:hideMark/>
          </w:tcPr>
          <w:p w14:paraId="0D3DA903" w14:textId="77777777" w:rsidR="00F87205" w:rsidRPr="0096192C" w:rsidRDefault="00F87205" w:rsidP="00FC2277">
            <w:pPr>
              <w:jc w:val="right"/>
              <w:rPr>
                <w:color w:val="000000"/>
                <w:sz w:val="22"/>
                <w:szCs w:val="22"/>
              </w:rPr>
            </w:pPr>
            <w:r w:rsidRPr="0096192C">
              <w:rPr>
                <w:color w:val="000000"/>
                <w:sz w:val="22"/>
                <w:szCs w:val="22"/>
              </w:rPr>
              <w:t>75</w:t>
            </w:r>
          </w:p>
        </w:tc>
      </w:tr>
      <w:tr w:rsidR="00F87205" w:rsidRPr="0096192C" w14:paraId="0FC4E375" w14:textId="77777777" w:rsidTr="000F01D1">
        <w:trPr>
          <w:trHeight w:val="300"/>
        </w:trPr>
        <w:tc>
          <w:tcPr>
            <w:tcW w:w="1145" w:type="dxa"/>
            <w:shd w:val="clear" w:color="auto" w:fill="auto"/>
            <w:noWrap/>
            <w:vAlign w:val="bottom"/>
            <w:hideMark/>
          </w:tcPr>
          <w:p w14:paraId="643AB12A" w14:textId="77777777" w:rsidR="00F87205" w:rsidRPr="0096192C" w:rsidRDefault="00F87205" w:rsidP="00FC2277">
            <w:pPr>
              <w:rPr>
                <w:color w:val="000000"/>
                <w:sz w:val="22"/>
                <w:szCs w:val="22"/>
              </w:rPr>
            </w:pPr>
            <w:r w:rsidRPr="0096192C">
              <w:rPr>
                <w:color w:val="000000"/>
                <w:sz w:val="22"/>
                <w:szCs w:val="22"/>
              </w:rPr>
              <w:t>Eyes</w:t>
            </w:r>
          </w:p>
        </w:tc>
        <w:tc>
          <w:tcPr>
            <w:tcW w:w="1371" w:type="dxa"/>
            <w:shd w:val="clear" w:color="auto" w:fill="auto"/>
            <w:noWrap/>
            <w:vAlign w:val="bottom"/>
            <w:hideMark/>
          </w:tcPr>
          <w:p w14:paraId="3AAB91A4" w14:textId="77777777" w:rsidR="00F87205" w:rsidRPr="0096192C" w:rsidRDefault="00F87205" w:rsidP="00FC2277">
            <w:pPr>
              <w:jc w:val="right"/>
              <w:rPr>
                <w:color w:val="000000"/>
                <w:sz w:val="22"/>
                <w:szCs w:val="22"/>
              </w:rPr>
            </w:pPr>
            <w:r w:rsidRPr="0096192C">
              <w:rPr>
                <w:color w:val="000000"/>
                <w:sz w:val="22"/>
                <w:szCs w:val="22"/>
              </w:rPr>
              <w:t>34</w:t>
            </w:r>
          </w:p>
        </w:tc>
        <w:tc>
          <w:tcPr>
            <w:tcW w:w="1273" w:type="dxa"/>
            <w:shd w:val="clear" w:color="auto" w:fill="auto"/>
            <w:noWrap/>
            <w:vAlign w:val="bottom"/>
            <w:hideMark/>
          </w:tcPr>
          <w:p w14:paraId="62FF244E" w14:textId="77777777" w:rsidR="00F87205" w:rsidRPr="0096192C" w:rsidRDefault="00F87205" w:rsidP="00FC2277">
            <w:pPr>
              <w:jc w:val="right"/>
              <w:rPr>
                <w:color w:val="000000"/>
                <w:sz w:val="22"/>
                <w:szCs w:val="22"/>
              </w:rPr>
            </w:pPr>
            <w:r w:rsidRPr="0096192C">
              <w:rPr>
                <w:color w:val="000000"/>
                <w:sz w:val="22"/>
                <w:szCs w:val="22"/>
              </w:rPr>
              <w:t>53</w:t>
            </w:r>
          </w:p>
        </w:tc>
        <w:tc>
          <w:tcPr>
            <w:tcW w:w="1628" w:type="dxa"/>
            <w:shd w:val="clear" w:color="auto" w:fill="auto"/>
            <w:noWrap/>
            <w:vAlign w:val="bottom"/>
            <w:hideMark/>
          </w:tcPr>
          <w:p w14:paraId="7120BB78" w14:textId="77777777" w:rsidR="00F87205" w:rsidRPr="0096192C" w:rsidRDefault="00F87205" w:rsidP="00FC2277">
            <w:pPr>
              <w:jc w:val="right"/>
              <w:rPr>
                <w:color w:val="000000"/>
                <w:sz w:val="22"/>
                <w:szCs w:val="22"/>
              </w:rPr>
            </w:pPr>
            <w:r w:rsidRPr="0096192C">
              <w:rPr>
                <w:color w:val="000000"/>
                <w:sz w:val="22"/>
                <w:szCs w:val="22"/>
              </w:rPr>
              <w:t>17</w:t>
            </w:r>
          </w:p>
        </w:tc>
      </w:tr>
      <w:tr w:rsidR="00F87205" w:rsidRPr="0096192C" w14:paraId="453A5E67" w14:textId="77777777" w:rsidTr="000F01D1">
        <w:trPr>
          <w:trHeight w:val="300"/>
        </w:trPr>
        <w:tc>
          <w:tcPr>
            <w:tcW w:w="1145" w:type="dxa"/>
            <w:shd w:val="clear" w:color="auto" w:fill="auto"/>
            <w:noWrap/>
            <w:vAlign w:val="bottom"/>
            <w:hideMark/>
          </w:tcPr>
          <w:p w14:paraId="0F56B289" w14:textId="77777777" w:rsidR="00F87205" w:rsidRPr="0096192C" w:rsidRDefault="00F87205" w:rsidP="00FC2277">
            <w:pPr>
              <w:rPr>
                <w:color w:val="000000"/>
                <w:sz w:val="22"/>
                <w:szCs w:val="22"/>
              </w:rPr>
            </w:pPr>
            <w:r w:rsidRPr="0096192C">
              <w:rPr>
                <w:color w:val="000000"/>
                <w:sz w:val="22"/>
                <w:szCs w:val="22"/>
              </w:rPr>
              <w:t>Cheeks</w:t>
            </w:r>
          </w:p>
        </w:tc>
        <w:tc>
          <w:tcPr>
            <w:tcW w:w="1371" w:type="dxa"/>
            <w:shd w:val="clear" w:color="auto" w:fill="auto"/>
            <w:noWrap/>
            <w:vAlign w:val="bottom"/>
            <w:hideMark/>
          </w:tcPr>
          <w:p w14:paraId="0C0BD9A3" w14:textId="77777777" w:rsidR="00F87205" w:rsidRPr="0096192C" w:rsidRDefault="00F87205" w:rsidP="00FC2277">
            <w:pPr>
              <w:jc w:val="right"/>
              <w:rPr>
                <w:color w:val="000000"/>
                <w:sz w:val="22"/>
                <w:szCs w:val="22"/>
              </w:rPr>
            </w:pPr>
            <w:r w:rsidRPr="0096192C">
              <w:rPr>
                <w:color w:val="000000"/>
                <w:sz w:val="22"/>
                <w:szCs w:val="22"/>
              </w:rPr>
              <w:t>19</w:t>
            </w:r>
          </w:p>
        </w:tc>
        <w:tc>
          <w:tcPr>
            <w:tcW w:w="1273" w:type="dxa"/>
            <w:shd w:val="clear" w:color="auto" w:fill="auto"/>
            <w:noWrap/>
            <w:vAlign w:val="bottom"/>
            <w:hideMark/>
          </w:tcPr>
          <w:p w14:paraId="3DA8E79B" w14:textId="77777777" w:rsidR="00F87205" w:rsidRPr="0096192C" w:rsidRDefault="00F87205" w:rsidP="00FC2277">
            <w:pPr>
              <w:jc w:val="right"/>
              <w:rPr>
                <w:color w:val="000000"/>
                <w:sz w:val="22"/>
                <w:szCs w:val="22"/>
              </w:rPr>
            </w:pPr>
            <w:r w:rsidRPr="0096192C">
              <w:rPr>
                <w:color w:val="000000"/>
                <w:sz w:val="22"/>
                <w:szCs w:val="22"/>
              </w:rPr>
              <w:t>28</w:t>
            </w:r>
          </w:p>
        </w:tc>
        <w:tc>
          <w:tcPr>
            <w:tcW w:w="1628" w:type="dxa"/>
            <w:shd w:val="clear" w:color="auto" w:fill="auto"/>
            <w:noWrap/>
            <w:vAlign w:val="bottom"/>
            <w:hideMark/>
          </w:tcPr>
          <w:p w14:paraId="13C9F14A" w14:textId="77777777" w:rsidR="00F87205" w:rsidRPr="0096192C" w:rsidRDefault="00F87205" w:rsidP="00FC2277">
            <w:pPr>
              <w:jc w:val="right"/>
              <w:rPr>
                <w:color w:val="000000"/>
                <w:sz w:val="22"/>
                <w:szCs w:val="22"/>
              </w:rPr>
            </w:pPr>
            <w:r w:rsidRPr="0096192C">
              <w:rPr>
                <w:color w:val="000000"/>
                <w:sz w:val="22"/>
                <w:szCs w:val="22"/>
              </w:rPr>
              <w:t>11</w:t>
            </w:r>
          </w:p>
        </w:tc>
      </w:tr>
      <w:tr w:rsidR="00F87205" w:rsidRPr="0096192C" w14:paraId="0CE16047" w14:textId="77777777" w:rsidTr="000F01D1">
        <w:trPr>
          <w:trHeight w:val="300"/>
        </w:trPr>
        <w:tc>
          <w:tcPr>
            <w:tcW w:w="1145" w:type="dxa"/>
            <w:shd w:val="clear" w:color="auto" w:fill="auto"/>
            <w:noWrap/>
            <w:vAlign w:val="bottom"/>
            <w:hideMark/>
          </w:tcPr>
          <w:p w14:paraId="6B4469EF" w14:textId="77777777" w:rsidR="00F87205" w:rsidRPr="0096192C" w:rsidRDefault="00F87205" w:rsidP="00FC2277">
            <w:pPr>
              <w:rPr>
                <w:color w:val="000000"/>
                <w:sz w:val="22"/>
                <w:szCs w:val="22"/>
              </w:rPr>
            </w:pPr>
            <w:r w:rsidRPr="0096192C">
              <w:rPr>
                <w:color w:val="000000"/>
                <w:sz w:val="22"/>
                <w:szCs w:val="22"/>
              </w:rPr>
              <w:t>Forehead</w:t>
            </w:r>
          </w:p>
        </w:tc>
        <w:tc>
          <w:tcPr>
            <w:tcW w:w="1371" w:type="dxa"/>
            <w:shd w:val="clear" w:color="auto" w:fill="auto"/>
            <w:noWrap/>
            <w:vAlign w:val="bottom"/>
            <w:hideMark/>
          </w:tcPr>
          <w:p w14:paraId="3AA0F1D5" w14:textId="77777777" w:rsidR="00F87205" w:rsidRPr="0096192C" w:rsidRDefault="00F87205" w:rsidP="00FC2277">
            <w:pPr>
              <w:jc w:val="right"/>
              <w:rPr>
                <w:color w:val="000000"/>
                <w:sz w:val="22"/>
                <w:szCs w:val="22"/>
              </w:rPr>
            </w:pPr>
            <w:r w:rsidRPr="0096192C">
              <w:rPr>
                <w:color w:val="000000"/>
                <w:sz w:val="22"/>
                <w:szCs w:val="22"/>
              </w:rPr>
              <w:t>19</w:t>
            </w:r>
          </w:p>
        </w:tc>
        <w:tc>
          <w:tcPr>
            <w:tcW w:w="1273" w:type="dxa"/>
            <w:shd w:val="clear" w:color="auto" w:fill="auto"/>
            <w:noWrap/>
            <w:vAlign w:val="bottom"/>
            <w:hideMark/>
          </w:tcPr>
          <w:p w14:paraId="4B6A4388" w14:textId="77777777" w:rsidR="00F87205" w:rsidRPr="0096192C" w:rsidRDefault="00F87205" w:rsidP="00FC2277">
            <w:pPr>
              <w:jc w:val="right"/>
              <w:rPr>
                <w:color w:val="000000"/>
                <w:sz w:val="22"/>
                <w:szCs w:val="22"/>
              </w:rPr>
            </w:pPr>
            <w:r w:rsidRPr="0096192C">
              <w:rPr>
                <w:color w:val="000000"/>
                <w:sz w:val="22"/>
                <w:szCs w:val="22"/>
              </w:rPr>
              <w:t>28</w:t>
            </w:r>
          </w:p>
        </w:tc>
        <w:tc>
          <w:tcPr>
            <w:tcW w:w="1628" w:type="dxa"/>
            <w:shd w:val="clear" w:color="auto" w:fill="auto"/>
            <w:noWrap/>
            <w:vAlign w:val="bottom"/>
            <w:hideMark/>
          </w:tcPr>
          <w:p w14:paraId="46AD995D" w14:textId="77777777" w:rsidR="00F87205" w:rsidRPr="0096192C" w:rsidRDefault="00F87205" w:rsidP="00FC2277">
            <w:pPr>
              <w:jc w:val="right"/>
              <w:rPr>
                <w:color w:val="000000"/>
                <w:sz w:val="22"/>
                <w:szCs w:val="22"/>
              </w:rPr>
            </w:pPr>
            <w:r w:rsidRPr="0096192C">
              <w:rPr>
                <w:color w:val="000000"/>
                <w:sz w:val="22"/>
                <w:szCs w:val="22"/>
              </w:rPr>
              <w:t>11</w:t>
            </w:r>
          </w:p>
        </w:tc>
      </w:tr>
      <w:tr w:rsidR="00F87205" w:rsidRPr="0096192C" w14:paraId="7507CF25" w14:textId="77777777" w:rsidTr="000F01D1">
        <w:trPr>
          <w:trHeight w:val="300"/>
        </w:trPr>
        <w:tc>
          <w:tcPr>
            <w:tcW w:w="1145" w:type="dxa"/>
            <w:shd w:val="clear" w:color="auto" w:fill="auto"/>
            <w:noWrap/>
            <w:vAlign w:val="bottom"/>
            <w:hideMark/>
          </w:tcPr>
          <w:p w14:paraId="3D372EF4" w14:textId="77777777" w:rsidR="00F87205" w:rsidRPr="0096192C" w:rsidRDefault="00F87205" w:rsidP="00FC2277">
            <w:pPr>
              <w:rPr>
                <w:color w:val="000000"/>
                <w:sz w:val="22"/>
                <w:szCs w:val="22"/>
              </w:rPr>
            </w:pPr>
            <w:r w:rsidRPr="0096192C">
              <w:rPr>
                <w:color w:val="000000"/>
                <w:sz w:val="22"/>
                <w:szCs w:val="22"/>
              </w:rPr>
              <w:t>Nose</w:t>
            </w:r>
          </w:p>
        </w:tc>
        <w:tc>
          <w:tcPr>
            <w:tcW w:w="1371" w:type="dxa"/>
            <w:shd w:val="clear" w:color="auto" w:fill="auto"/>
            <w:noWrap/>
            <w:vAlign w:val="bottom"/>
            <w:hideMark/>
          </w:tcPr>
          <w:p w14:paraId="09111219" w14:textId="77777777" w:rsidR="00F87205" w:rsidRPr="0096192C" w:rsidRDefault="00F87205" w:rsidP="00FC2277">
            <w:pPr>
              <w:jc w:val="right"/>
              <w:rPr>
                <w:color w:val="000000"/>
                <w:sz w:val="22"/>
                <w:szCs w:val="22"/>
              </w:rPr>
            </w:pPr>
            <w:r w:rsidRPr="0096192C">
              <w:rPr>
                <w:color w:val="000000"/>
                <w:sz w:val="22"/>
                <w:szCs w:val="22"/>
              </w:rPr>
              <w:t>18</w:t>
            </w:r>
          </w:p>
        </w:tc>
        <w:tc>
          <w:tcPr>
            <w:tcW w:w="1273" w:type="dxa"/>
            <w:shd w:val="clear" w:color="auto" w:fill="auto"/>
            <w:noWrap/>
            <w:vAlign w:val="bottom"/>
            <w:hideMark/>
          </w:tcPr>
          <w:p w14:paraId="6EEFF92F" w14:textId="77777777" w:rsidR="00F87205" w:rsidRPr="0096192C" w:rsidRDefault="00F87205" w:rsidP="00FC2277">
            <w:pPr>
              <w:jc w:val="right"/>
              <w:rPr>
                <w:color w:val="000000"/>
                <w:sz w:val="22"/>
                <w:szCs w:val="22"/>
              </w:rPr>
            </w:pPr>
            <w:r w:rsidRPr="0096192C">
              <w:rPr>
                <w:color w:val="000000"/>
                <w:sz w:val="22"/>
                <w:szCs w:val="22"/>
              </w:rPr>
              <w:t>28</w:t>
            </w:r>
          </w:p>
        </w:tc>
        <w:tc>
          <w:tcPr>
            <w:tcW w:w="1628" w:type="dxa"/>
            <w:shd w:val="clear" w:color="auto" w:fill="auto"/>
            <w:noWrap/>
            <w:vAlign w:val="bottom"/>
            <w:hideMark/>
          </w:tcPr>
          <w:p w14:paraId="07377172" w14:textId="77777777" w:rsidR="00F87205" w:rsidRPr="0096192C" w:rsidRDefault="00F87205" w:rsidP="00FC2277">
            <w:pPr>
              <w:jc w:val="right"/>
              <w:rPr>
                <w:color w:val="000000"/>
                <w:sz w:val="22"/>
                <w:szCs w:val="22"/>
              </w:rPr>
            </w:pPr>
            <w:r w:rsidRPr="0096192C">
              <w:rPr>
                <w:color w:val="000000"/>
                <w:sz w:val="22"/>
                <w:szCs w:val="22"/>
              </w:rPr>
              <w:t>8</w:t>
            </w:r>
          </w:p>
        </w:tc>
      </w:tr>
      <w:tr w:rsidR="00F87205" w:rsidRPr="0096192C" w14:paraId="47B4E381" w14:textId="77777777" w:rsidTr="000F01D1">
        <w:trPr>
          <w:trHeight w:val="300"/>
        </w:trPr>
        <w:tc>
          <w:tcPr>
            <w:tcW w:w="1145" w:type="dxa"/>
            <w:shd w:val="clear" w:color="auto" w:fill="auto"/>
            <w:noWrap/>
            <w:vAlign w:val="bottom"/>
            <w:hideMark/>
          </w:tcPr>
          <w:p w14:paraId="47A2A924" w14:textId="77777777" w:rsidR="00F87205" w:rsidRPr="0096192C" w:rsidRDefault="00F87205" w:rsidP="00FC2277">
            <w:pPr>
              <w:rPr>
                <w:color w:val="000000"/>
                <w:sz w:val="22"/>
                <w:szCs w:val="22"/>
              </w:rPr>
            </w:pPr>
            <w:r w:rsidRPr="0096192C">
              <w:rPr>
                <w:color w:val="000000"/>
                <w:sz w:val="22"/>
                <w:szCs w:val="22"/>
              </w:rPr>
              <w:t>Mouth</w:t>
            </w:r>
          </w:p>
        </w:tc>
        <w:tc>
          <w:tcPr>
            <w:tcW w:w="1371" w:type="dxa"/>
            <w:shd w:val="clear" w:color="auto" w:fill="auto"/>
            <w:noWrap/>
            <w:vAlign w:val="bottom"/>
            <w:hideMark/>
          </w:tcPr>
          <w:p w14:paraId="463F96BB" w14:textId="77777777" w:rsidR="00F87205" w:rsidRPr="0096192C" w:rsidRDefault="00F87205" w:rsidP="00FC2277">
            <w:pPr>
              <w:jc w:val="right"/>
              <w:rPr>
                <w:color w:val="000000"/>
                <w:sz w:val="22"/>
                <w:szCs w:val="22"/>
              </w:rPr>
            </w:pPr>
            <w:r w:rsidRPr="0096192C">
              <w:rPr>
                <w:color w:val="000000"/>
                <w:sz w:val="22"/>
                <w:szCs w:val="22"/>
              </w:rPr>
              <w:t>13</w:t>
            </w:r>
          </w:p>
        </w:tc>
        <w:tc>
          <w:tcPr>
            <w:tcW w:w="1273" w:type="dxa"/>
            <w:shd w:val="clear" w:color="auto" w:fill="auto"/>
            <w:noWrap/>
            <w:vAlign w:val="bottom"/>
            <w:hideMark/>
          </w:tcPr>
          <w:p w14:paraId="108656CF" w14:textId="77777777" w:rsidR="00F87205" w:rsidRPr="0096192C" w:rsidRDefault="00F87205" w:rsidP="00FC2277">
            <w:pPr>
              <w:jc w:val="right"/>
              <w:rPr>
                <w:color w:val="000000"/>
                <w:sz w:val="22"/>
                <w:szCs w:val="22"/>
              </w:rPr>
            </w:pPr>
            <w:r w:rsidRPr="0096192C">
              <w:rPr>
                <w:color w:val="000000"/>
                <w:sz w:val="22"/>
                <w:szCs w:val="22"/>
              </w:rPr>
              <w:t>6</w:t>
            </w:r>
          </w:p>
        </w:tc>
        <w:tc>
          <w:tcPr>
            <w:tcW w:w="1628" w:type="dxa"/>
            <w:shd w:val="clear" w:color="auto" w:fill="auto"/>
            <w:noWrap/>
            <w:vAlign w:val="bottom"/>
            <w:hideMark/>
          </w:tcPr>
          <w:p w14:paraId="0CBCF2A2" w14:textId="77777777" w:rsidR="00F87205" w:rsidRPr="0096192C" w:rsidRDefault="00F87205" w:rsidP="00FC2277">
            <w:pPr>
              <w:jc w:val="right"/>
              <w:rPr>
                <w:color w:val="000000"/>
                <w:sz w:val="22"/>
                <w:szCs w:val="22"/>
              </w:rPr>
            </w:pPr>
            <w:r w:rsidRPr="0096192C">
              <w:rPr>
                <w:color w:val="000000"/>
                <w:sz w:val="22"/>
                <w:szCs w:val="22"/>
              </w:rPr>
              <w:t>19</w:t>
            </w:r>
          </w:p>
        </w:tc>
      </w:tr>
      <w:tr w:rsidR="00F87205" w:rsidRPr="0096192C" w14:paraId="01F1B2C2" w14:textId="77777777" w:rsidTr="000F01D1">
        <w:trPr>
          <w:trHeight w:val="300"/>
        </w:trPr>
        <w:tc>
          <w:tcPr>
            <w:tcW w:w="1145" w:type="dxa"/>
            <w:shd w:val="clear" w:color="auto" w:fill="auto"/>
            <w:noWrap/>
            <w:vAlign w:val="bottom"/>
            <w:hideMark/>
          </w:tcPr>
          <w:p w14:paraId="01889D9D" w14:textId="77777777" w:rsidR="00F87205" w:rsidRPr="0096192C" w:rsidRDefault="00F87205" w:rsidP="00FC2277">
            <w:pPr>
              <w:rPr>
                <w:color w:val="000000"/>
                <w:sz w:val="22"/>
                <w:szCs w:val="22"/>
              </w:rPr>
            </w:pPr>
            <w:r w:rsidRPr="0096192C">
              <w:rPr>
                <w:color w:val="000000"/>
                <w:sz w:val="22"/>
                <w:szCs w:val="22"/>
              </w:rPr>
              <w:t>Chin</w:t>
            </w:r>
          </w:p>
        </w:tc>
        <w:tc>
          <w:tcPr>
            <w:tcW w:w="1371" w:type="dxa"/>
            <w:shd w:val="clear" w:color="auto" w:fill="auto"/>
            <w:noWrap/>
            <w:vAlign w:val="bottom"/>
            <w:hideMark/>
          </w:tcPr>
          <w:p w14:paraId="71134A07" w14:textId="77777777" w:rsidR="00F87205" w:rsidRPr="0096192C" w:rsidRDefault="00F87205" w:rsidP="00FC2277">
            <w:pPr>
              <w:jc w:val="right"/>
              <w:rPr>
                <w:color w:val="000000"/>
                <w:sz w:val="22"/>
                <w:szCs w:val="22"/>
              </w:rPr>
            </w:pPr>
            <w:r w:rsidRPr="0096192C">
              <w:rPr>
                <w:color w:val="000000"/>
                <w:sz w:val="22"/>
                <w:szCs w:val="22"/>
              </w:rPr>
              <w:t>12</w:t>
            </w:r>
          </w:p>
        </w:tc>
        <w:tc>
          <w:tcPr>
            <w:tcW w:w="1273" w:type="dxa"/>
            <w:shd w:val="clear" w:color="auto" w:fill="auto"/>
            <w:noWrap/>
            <w:vAlign w:val="bottom"/>
            <w:hideMark/>
          </w:tcPr>
          <w:p w14:paraId="0C0BDF04" w14:textId="77777777" w:rsidR="00F87205" w:rsidRPr="0096192C" w:rsidRDefault="00F87205" w:rsidP="00FC2277">
            <w:pPr>
              <w:jc w:val="right"/>
              <w:rPr>
                <w:color w:val="000000"/>
                <w:sz w:val="22"/>
                <w:szCs w:val="22"/>
              </w:rPr>
            </w:pPr>
            <w:r w:rsidRPr="0096192C">
              <w:rPr>
                <w:color w:val="000000"/>
                <w:sz w:val="22"/>
                <w:szCs w:val="22"/>
              </w:rPr>
              <w:t>22</w:t>
            </w:r>
          </w:p>
        </w:tc>
        <w:tc>
          <w:tcPr>
            <w:tcW w:w="1628" w:type="dxa"/>
            <w:shd w:val="clear" w:color="auto" w:fill="auto"/>
            <w:noWrap/>
            <w:vAlign w:val="bottom"/>
            <w:hideMark/>
          </w:tcPr>
          <w:p w14:paraId="3E774DD5" w14:textId="77777777" w:rsidR="00F87205" w:rsidRPr="0096192C" w:rsidRDefault="00F87205" w:rsidP="00FC2277">
            <w:pPr>
              <w:jc w:val="right"/>
              <w:rPr>
                <w:color w:val="000000"/>
                <w:sz w:val="22"/>
                <w:szCs w:val="22"/>
              </w:rPr>
            </w:pPr>
            <w:r w:rsidRPr="0096192C">
              <w:rPr>
                <w:color w:val="000000"/>
                <w:sz w:val="22"/>
                <w:szCs w:val="22"/>
              </w:rPr>
              <w:t>3</w:t>
            </w:r>
          </w:p>
        </w:tc>
      </w:tr>
    </w:tbl>
    <w:p w14:paraId="6CB0D5E4" w14:textId="6F28D465" w:rsidR="00700C3B" w:rsidRPr="0096192C" w:rsidRDefault="00700C3B" w:rsidP="002C3F2B">
      <w:pPr>
        <w:pStyle w:val="Heading2"/>
        <w:spacing w:line="480" w:lineRule="auto"/>
        <w:jc w:val="center"/>
      </w:pPr>
      <w:r w:rsidRPr="0096192C">
        <w:t>Ethnicity Analysis</w:t>
      </w:r>
    </w:p>
    <w:p w14:paraId="1B4ED053" w14:textId="38274EF2" w:rsidR="005A19E1" w:rsidRPr="0096192C" w:rsidRDefault="005A19E1" w:rsidP="005A19E1">
      <w:pPr>
        <w:pStyle w:val="pf0"/>
        <w:spacing w:after="240" w:afterAutospacing="0" w:line="480" w:lineRule="auto"/>
        <w:rPr>
          <w:rStyle w:val="cf01"/>
          <w:rFonts w:ascii="Times New Roman" w:hAnsi="Times New Roman" w:cs="Times New Roman"/>
          <w:sz w:val="24"/>
          <w:szCs w:val="24"/>
        </w:rPr>
      </w:pPr>
      <w:r w:rsidRPr="0096192C">
        <w:rPr>
          <w:rStyle w:val="cf01"/>
          <w:rFonts w:ascii="Times New Roman" w:hAnsi="Times New Roman" w:cs="Times New Roman"/>
          <w:sz w:val="24"/>
          <w:szCs w:val="24"/>
        </w:rPr>
        <w:t xml:space="preserve">The selected stimuli were predominantly White </w:t>
      </w:r>
      <w:r w:rsidR="00082412" w:rsidRPr="0096192C">
        <w:rPr>
          <w:rStyle w:val="cf01"/>
          <w:rFonts w:ascii="Times New Roman" w:hAnsi="Times New Roman" w:cs="Times New Roman"/>
          <w:sz w:val="24"/>
          <w:szCs w:val="24"/>
        </w:rPr>
        <w:t>(83%)</w:t>
      </w:r>
      <w:r w:rsidR="00EC2B37" w:rsidRPr="0096192C">
        <w:rPr>
          <w:rStyle w:val="cf01"/>
          <w:rFonts w:ascii="Times New Roman" w:hAnsi="Times New Roman" w:cs="Times New Roman"/>
          <w:sz w:val="24"/>
          <w:szCs w:val="24"/>
        </w:rPr>
        <w:t xml:space="preserve">, so it is possible that the variation and awareness of diagnostic features is </w:t>
      </w:r>
      <w:r w:rsidR="006D4BC7" w:rsidRPr="0096192C">
        <w:rPr>
          <w:rStyle w:val="cf01"/>
          <w:rFonts w:ascii="Times New Roman" w:hAnsi="Times New Roman" w:cs="Times New Roman"/>
          <w:sz w:val="24"/>
          <w:szCs w:val="24"/>
        </w:rPr>
        <w:t>due to this largely heterogeneous sample for face.</w:t>
      </w:r>
    </w:p>
    <w:p w14:paraId="22E41FAE" w14:textId="5B788501" w:rsidR="00C76A64" w:rsidRPr="0096192C" w:rsidRDefault="00430FE9" w:rsidP="00D37F9B">
      <w:pPr>
        <w:pStyle w:val="pf0"/>
        <w:spacing w:after="240" w:afterAutospacing="0" w:line="480" w:lineRule="auto"/>
        <w:ind w:firstLine="720"/>
      </w:pPr>
      <w:r w:rsidRPr="0096192C">
        <w:rPr>
          <w:rStyle w:val="cf01"/>
          <w:rFonts w:ascii="Times New Roman" w:hAnsi="Times New Roman" w:cs="Times New Roman"/>
          <w:sz w:val="24"/>
          <w:szCs w:val="24"/>
        </w:rPr>
        <w:t>To address whether the variation and awareness of diagnostic features is explain</w:t>
      </w:r>
      <w:r w:rsidR="00D60E44" w:rsidRPr="0096192C">
        <w:rPr>
          <w:rStyle w:val="cf01"/>
          <w:rFonts w:ascii="Times New Roman" w:hAnsi="Times New Roman" w:cs="Times New Roman"/>
          <w:sz w:val="24"/>
          <w:szCs w:val="24"/>
        </w:rPr>
        <w:t>ed</w:t>
      </w:r>
      <w:r w:rsidRPr="0096192C">
        <w:rPr>
          <w:rStyle w:val="cf01"/>
          <w:rFonts w:ascii="Times New Roman" w:hAnsi="Times New Roman" w:cs="Times New Roman"/>
          <w:sz w:val="24"/>
          <w:szCs w:val="24"/>
        </w:rPr>
        <w:t xml:space="preserve"> by differences</w:t>
      </w:r>
      <w:r w:rsidR="00C76A64" w:rsidRPr="0096192C">
        <w:rPr>
          <w:rStyle w:val="cf01"/>
          <w:rFonts w:ascii="Times New Roman" w:hAnsi="Times New Roman" w:cs="Times New Roman"/>
          <w:sz w:val="24"/>
          <w:szCs w:val="24"/>
        </w:rPr>
        <w:t xml:space="preserve"> in the ethnicity of the faces, we conducted additional analysis of Experiments 1 and 2.</w:t>
      </w:r>
      <w:r w:rsidR="006D4BC7" w:rsidRPr="0096192C">
        <w:rPr>
          <w:rStyle w:val="cf01"/>
          <w:rFonts w:ascii="Times New Roman" w:hAnsi="Times New Roman" w:cs="Times New Roman"/>
          <w:sz w:val="24"/>
          <w:szCs w:val="24"/>
        </w:rPr>
        <w:t xml:space="preserve"> Supplementary Figure 1 shows the </w:t>
      </w:r>
      <w:r w:rsidR="00800B2B" w:rsidRPr="0096192C">
        <w:rPr>
          <w:rStyle w:val="cf01"/>
          <w:rFonts w:ascii="Times New Roman" w:hAnsi="Times New Roman" w:cs="Times New Roman"/>
          <w:sz w:val="24"/>
          <w:szCs w:val="24"/>
        </w:rPr>
        <w:t>variation</w:t>
      </w:r>
      <w:r w:rsidR="006D4BC7" w:rsidRPr="0096192C">
        <w:rPr>
          <w:rStyle w:val="cf01"/>
          <w:rFonts w:ascii="Times New Roman" w:hAnsi="Times New Roman" w:cs="Times New Roman"/>
          <w:sz w:val="24"/>
          <w:szCs w:val="24"/>
        </w:rPr>
        <w:t xml:space="preserve"> in similarity ratings occurs for both Caucasian and Other-race faces</w:t>
      </w:r>
      <w:r w:rsidR="00363568" w:rsidRPr="0096192C">
        <w:rPr>
          <w:rStyle w:val="cf01"/>
          <w:rFonts w:ascii="Times New Roman" w:hAnsi="Times New Roman" w:cs="Times New Roman"/>
          <w:sz w:val="24"/>
          <w:szCs w:val="24"/>
        </w:rPr>
        <w:t>, replicating those patterns observed across the whole sample.</w:t>
      </w:r>
    </w:p>
    <w:p w14:paraId="76F9A4F7" w14:textId="6A9178B0" w:rsidR="00700C3B" w:rsidRPr="0096192C" w:rsidRDefault="00BB7242" w:rsidP="0074208A">
      <w:pPr>
        <w:pStyle w:val="Heading2"/>
        <w:spacing w:line="240" w:lineRule="auto"/>
      </w:pPr>
      <w:r w:rsidRPr="0096192C">
        <w:rPr>
          <w:noProof/>
        </w:rPr>
        <w:lastRenderedPageBreak/>
        <w:drawing>
          <wp:inline distT="0" distB="0" distL="0" distR="0" wp14:anchorId="65EB394B" wp14:editId="18C0E2A0">
            <wp:extent cx="6188710" cy="297053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2970530"/>
                    </a:xfrm>
                    <a:prstGeom prst="rect">
                      <a:avLst/>
                    </a:prstGeom>
                    <a:noFill/>
                    <a:ln>
                      <a:noFill/>
                    </a:ln>
                  </pic:spPr>
                </pic:pic>
              </a:graphicData>
            </a:graphic>
          </wp:inline>
        </w:drawing>
      </w:r>
    </w:p>
    <w:p w14:paraId="35AF645F" w14:textId="43BCD3BF" w:rsidR="00C76A64" w:rsidRPr="0096192C" w:rsidRDefault="00C76A64" w:rsidP="002F2FFC">
      <w:pPr>
        <w:pStyle w:val="Paragraph"/>
        <w:spacing w:before="0"/>
      </w:pPr>
      <w:r w:rsidRPr="0096192C">
        <w:rPr>
          <w:b/>
          <w:bCs/>
        </w:rPr>
        <w:t xml:space="preserve">Supplementary Figure 1. </w:t>
      </w:r>
      <w:r w:rsidR="00293126" w:rsidRPr="0096192C">
        <w:t>The distribution of mean feature similarity ratings ordered from most (top-left) to least (bottom-right) diagnostic of identity for Caucasian and Other</w:t>
      </w:r>
      <w:r w:rsidR="00D60E44" w:rsidRPr="0096192C">
        <w:t>-race faces</w:t>
      </w:r>
      <w:r w:rsidR="00293126" w:rsidRPr="0096192C">
        <w:t>, and split by match (purple) and nonmatch (yellow) face pairs.</w:t>
      </w:r>
    </w:p>
    <w:p w14:paraId="50EEA462" w14:textId="138A51B4" w:rsidR="00363568" w:rsidRPr="0096192C" w:rsidRDefault="00363568" w:rsidP="00321374">
      <w:pPr>
        <w:pStyle w:val="pf0"/>
        <w:spacing w:after="240" w:afterAutospacing="0" w:line="480" w:lineRule="auto"/>
        <w:ind w:firstLine="720"/>
      </w:pPr>
      <w:r w:rsidRPr="0096192C">
        <w:br/>
      </w:r>
      <w:r w:rsidR="0087137C" w:rsidRPr="0096192C">
        <w:rPr>
          <w:rStyle w:val="cf01"/>
          <w:rFonts w:ascii="Times New Roman" w:hAnsi="Times New Roman" w:cs="Times New Roman"/>
          <w:sz w:val="24"/>
          <w:szCs w:val="24"/>
        </w:rPr>
        <w:t xml:space="preserve">For Experiment 2, we conducted a </w:t>
      </w:r>
      <w:r w:rsidR="00461AD9" w:rsidRPr="0096192C">
        <w:t>logistic mixed model (JAMOVI’s GAMLj module, 2021)</w:t>
      </w:r>
      <w:r w:rsidR="00042BB0" w:rsidRPr="0096192C">
        <w:t xml:space="preserve"> to test whether the race of the face affected the relationship between </w:t>
      </w:r>
      <w:r w:rsidR="00DE4070" w:rsidRPr="0096192C">
        <w:t xml:space="preserve">diagnostic feature awareness accuracy and trial accuracy. We found that the race of the face was not a significant factor </w:t>
      </w:r>
      <w:r w:rsidR="000327CF" w:rsidRPr="0096192C">
        <w:t xml:space="preserve">(main effect of race: </w:t>
      </w:r>
      <w:r w:rsidR="000327CF" w:rsidRPr="0096192C">
        <w:rPr>
          <w:i/>
          <w:iCs/>
        </w:rPr>
        <w:t>b</w:t>
      </w:r>
      <w:r w:rsidR="000327CF" w:rsidRPr="0096192C">
        <w:t xml:space="preserve"> = 0.16, CI</w:t>
      </w:r>
      <w:r w:rsidR="000327CF" w:rsidRPr="0096192C">
        <w:rPr>
          <w:vertAlign w:val="subscript"/>
        </w:rPr>
        <w:t>95</w:t>
      </w:r>
      <w:r w:rsidR="000327CF" w:rsidRPr="0096192C">
        <w:t xml:space="preserve"> = [</w:t>
      </w:r>
      <w:r w:rsidR="00014DA0" w:rsidRPr="0096192C">
        <w:t>-0.47</w:t>
      </w:r>
      <w:r w:rsidR="000327CF" w:rsidRPr="0096192C">
        <w:t xml:space="preserve">, </w:t>
      </w:r>
      <w:r w:rsidR="00014DA0" w:rsidRPr="0096192C">
        <w:t>1</w:t>
      </w:r>
      <w:r w:rsidR="003E0ED7" w:rsidRPr="0096192C">
        <w:t>.58</w:t>
      </w:r>
      <w:r w:rsidR="000327CF" w:rsidRPr="0096192C">
        <w:t xml:space="preserve">], </w:t>
      </w:r>
      <w:r w:rsidR="000327CF" w:rsidRPr="0096192C">
        <w:rPr>
          <w:i/>
          <w:iCs/>
        </w:rPr>
        <w:t>z</w:t>
      </w:r>
      <w:r w:rsidR="000327CF" w:rsidRPr="0096192C">
        <w:t xml:space="preserve"> = </w:t>
      </w:r>
      <w:r w:rsidR="003E0ED7" w:rsidRPr="0096192C">
        <w:t>0.40</w:t>
      </w:r>
      <w:r w:rsidR="000327CF" w:rsidRPr="0096192C">
        <w:t xml:space="preserve">, </w:t>
      </w:r>
      <w:r w:rsidR="000327CF" w:rsidRPr="0096192C">
        <w:rPr>
          <w:i/>
          <w:iCs/>
        </w:rPr>
        <w:t>p</w:t>
      </w:r>
      <w:r w:rsidR="000327CF" w:rsidRPr="0096192C">
        <w:t xml:space="preserve"> </w:t>
      </w:r>
      <w:r w:rsidR="003E0ED7" w:rsidRPr="0096192C">
        <w:t>=</w:t>
      </w:r>
      <w:r w:rsidR="000327CF" w:rsidRPr="0096192C">
        <w:t xml:space="preserve"> .</w:t>
      </w:r>
      <w:r w:rsidR="003E0ED7" w:rsidRPr="0096192C">
        <w:t>689</w:t>
      </w:r>
      <w:r w:rsidR="000327CF" w:rsidRPr="0096192C">
        <w:t>),</w:t>
      </w:r>
      <w:r w:rsidR="00DE4070" w:rsidRPr="0096192C">
        <w:t xml:space="preserve"> </w:t>
      </w:r>
      <w:r w:rsidR="00E93C49" w:rsidRPr="0096192C">
        <w:t>nor</w:t>
      </w:r>
      <w:r w:rsidR="00DE4070" w:rsidRPr="0096192C">
        <w:t xml:space="preserve"> did it interact with diagnostic feature awareness accuracy</w:t>
      </w:r>
      <w:r w:rsidR="003E0ED7" w:rsidRPr="0096192C">
        <w:t xml:space="preserve"> (</w:t>
      </w:r>
      <w:r w:rsidR="003E0ED7" w:rsidRPr="0096192C">
        <w:rPr>
          <w:i/>
          <w:iCs/>
        </w:rPr>
        <w:t>b</w:t>
      </w:r>
      <w:r w:rsidR="003E0ED7" w:rsidRPr="0096192C">
        <w:t xml:space="preserve"> </w:t>
      </w:r>
      <w:r w:rsidR="00C93009" w:rsidRPr="0096192C">
        <w:t>&lt;</w:t>
      </w:r>
      <w:r w:rsidR="003E0ED7" w:rsidRPr="0096192C">
        <w:t xml:space="preserve"> 0.0</w:t>
      </w:r>
      <w:r w:rsidR="00C93009" w:rsidRPr="0096192C">
        <w:t>1</w:t>
      </w:r>
      <w:r w:rsidR="003E0ED7" w:rsidRPr="0096192C">
        <w:t>, CI</w:t>
      </w:r>
      <w:r w:rsidR="003E0ED7" w:rsidRPr="0096192C">
        <w:rPr>
          <w:vertAlign w:val="subscript"/>
        </w:rPr>
        <w:t>95</w:t>
      </w:r>
      <w:r w:rsidR="003E0ED7" w:rsidRPr="0096192C">
        <w:t xml:space="preserve"> = [</w:t>
      </w:r>
      <w:r w:rsidR="00014DA0" w:rsidRPr="0096192C">
        <w:t>-0.08</w:t>
      </w:r>
      <w:r w:rsidR="003E0ED7" w:rsidRPr="0096192C">
        <w:t xml:space="preserve">, </w:t>
      </w:r>
      <w:r w:rsidR="00014DA0" w:rsidRPr="0096192C">
        <w:t>0.</w:t>
      </w:r>
      <w:r w:rsidR="00C93009" w:rsidRPr="0096192C">
        <w:t>01</w:t>
      </w:r>
      <w:r w:rsidR="003E0ED7" w:rsidRPr="0096192C">
        <w:t xml:space="preserve">], </w:t>
      </w:r>
      <w:r w:rsidR="003E0ED7" w:rsidRPr="0096192C">
        <w:rPr>
          <w:i/>
          <w:iCs/>
        </w:rPr>
        <w:t>z</w:t>
      </w:r>
      <w:r w:rsidR="003E0ED7" w:rsidRPr="0096192C">
        <w:t xml:space="preserve"> = </w:t>
      </w:r>
      <w:r w:rsidR="00D375C8" w:rsidRPr="0096192C">
        <w:t>-</w:t>
      </w:r>
      <w:r w:rsidR="003E0ED7" w:rsidRPr="0096192C">
        <w:t>0.</w:t>
      </w:r>
      <w:r w:rsidR="00D375C8" w:rsidRPr="0096192C">
        <w:t>05,</w:t>
      </w:r>
      <w:r w:rsidR="003E0ED7" w:rsidRPr="0096192C">
        <w:t xml:space="preserve"> </w:t>
      </w:r>
      <w:r w:rsidR="003E0ED7" w:rsidRPr="0096192C">
        <w:rPr>
          <w:i/>
          <w:iCs/>
        </w:rPr>
        <w:t>p</w:t>
      </w:r>
      <w:r w:rsidR="003E0ED7" w:rsidRPr="0096192C">
        <w:t xml:space="preserve"> = .</w:t>
      </w:r>
      <w:r w:rsidR="00D375C8" w:rsidRPr="0096192C">
        <w:t>959</w:t>
      </w:r>
      <w:r w:rsidR="003E0ED7" w:rsidRPr="0096192C">
        <w:t>)</w:t>
      </w:r>
      <w:r w:rsidR="00DE4070" w:rsidRPr="0096192C">
        <w:t>.</w:t>
      </w:r>
    </w:p>
    <w:p w14:paraId="4772475A" w14:textId="6A04A79E" w:rsidR="00161DA6" w:rsidRPr="0096192C" w:rsidRDefault="008040AD" w:rsidP="008040AD">
      <w:pPr>
        <w:pStyle w:val="Heading1"/>
      </w:pPr>
      <w:r w:rsidRPr="0096192C">
        <w:t>Analysis of Experiment 3 with latency as covariate</w:t>
      </w:r>
    </w:p>
    <w:p w14:paraId="28D63E19" w14:textId="0EF8E91E" w:rsidR="00161DA6" w:rsidRPr="0096192C" w:rsidRDefault="00B34A04" w:rsidP="00B34A04">
      <w:pPr>
        <w:pStyle w:val="pf0"/>
        <w:spacing w:after="240" w:afterAutospacing="0" w:line="480" w:lineRule="auto"/>
      </w:pPr>
      <w:r w:rsidRPr="0096192C">
        <w:t xml:space="preserve">We also explored whether the total duration of a trial affects the relationship between dwell time on diagnostic features and accuracy. If accuracy is better when trials are longer but there is less dwell time on diagnostic features, it would support an alternative explanation. We conducted an analysis at the trial level, with trial duration as a covariate. We found that while trial duration predicts accuracy, the relationship is actually negative, with longer trial durations associated with poorer trial accuracy </w:t>
      </w:r>
      <w:r w:rsidR="00223A71" w:rsidRPr="0096192C">
        <w:t>(</w:t>
      </w:r>
      <w:r w:rsidR="00223A71" w:rsidRPr="0096192C">
        <w:rPr>
          <w:i/>
          <w:iCs/>
        </w:rPr>
        <w:t>b</w:t>
      </w:r>
      <w:r w:rsidR="00223A71" w:rsidRPr="0096192C">
        <w:t xml:space="preserve"> = -.003, CI</w:t>
      </w:r>
      <w:r w:rsidR="00223A71" w:rsidRPr="0096192C">
        <w:rPr>
          <w:vertAlign w:val="subscript"/>
        </w:rPr>
        <w:t>95</w:t>
      </w:r>
      <w:r w:rsidR="00223A71" w:rsidRPr="0096192C">
        <w:t xml:space="preserve"> = [-0.0</w:t>
      </w:r>
      <w:r w:rsidR="002128CC" w:rsidRPr="0096192C">
        <w:t>06</w:t>
      </w:r>
      <w:r w:rsidR="00223A71" w:rsidRPr="0096192C">
        <w:t xml:space="preserve">, </w:t>
      </w:r>
      <w:r w:rsidR="002128CC" w:rsidRPr="0096192C">
        <w:t>-</w:t>
      </w:r>
      <w:r w:rsidR="00223A71" w:rsidRPr="0096192C">
        <w:t>0.0</w:t>
      </w:r>
      <w:r w:rsidR="002128CC" w:rsidRPr="0096192C">
        <w:t>02</w:t>
      </w:r>
      <w:r w:rsidR="00223A71" w:rsidRPr="0096192C">
        <w:t xml:space="preserve">], </w:t>
      </w:r>
      <w:r w:rsidR="00223A71" w:rsidRPr="0096192C">
        <w:rPr>
          <w:i/>
          <w:iCs/>
        </w:rPr>
        <w:t>z</w:t>
      </w:r>
      <w:r w:rsidR="00223A71" w:rsidRPr="0096192C">
        <w:t xml:space="preserve"> = -</w:t>
      </w:r>
      <w:r w:rsidR="002128CC" w:rsidRPr="0096192C">
        <w:t>2.14</w:t>
      </w:r>
      <w:r w:rsidR="00223A71" w:rsidRPr="0096192C">
        <w:t xml:space="preserve">, </w:t>
      </w:r>
      <w:r w:rsidR="00223A71" w:rsidRPr="0096192C">
        <w:rPr>
          <w:i/>
          <w:iCs/>
        </w:rPr>
        <w:t>p</w:t>
      </w:r>
      <w:r w:rsidR="00223A71" w:rsidRPr="0096192C">
        <w:t xml:space="preserve"> = .</w:t>
      </w:r>
      <w:r w:rsidR="002128CC" w:rsidRPr="0096192C">
        <w:t>032</w:t>
      </w:r>
      <w:r w:rsidR="00223A71" w:rsidRPr="0096192C">
        <w:t>).</w:t>
      </w:r>
      <w:r w:rsidRPr="0096192C">
        <w:t xml:space="preserve"> However, the relationship between dwell time on diagnostic features remained consistent even when accounting for differences in trial </w:t>
      </w:r>
      <w:r w:rsidRPr="0096192C">
        <w:lastRenderedPageBreak/>
        <w:t xml:space="preserve">duration, with the same effect size </w:t>
      </w:r>
      <w:r w:rsidR="002128CC" w:rsidRPr="0096192C">
        <w:t>(</w:t>
      </w:r>
      <w:r w:rsidR="002128CC" w:rsidRPr="0096192C">
        <w:rPr>
          <w:i/>
          <w:iCs/>
        </w:rPr>
        <w:t>b</w:t>
      </w:r>
      <w:r w:rsidR="002128CC" w:rsidRPr="0096192C">
        <w:t xml:space="preserve"> = 0.001, CI</w:t>
      </w:r>
      <w:r w:rsidR="002128CC" w:rsidRPr="0096192C">
        <w:rPr>
          <w:vertAlign w:val="subscript"/>
        </w:rPr>
        <w:t>95</w:t>
      </w:r>
      <w:r w:rsidR="002128CC" w:rsidRPr="0096192C">
        <w:t xml:space="preserve"> = [0.001, 0.002], </w:t>
      </w:r>
      <w:r w:rsidR="002128CC" w:rsidRPr="0096192C">
        <w:rPr>
          <w:i/>
          <w:iCs/>
        </w:rPr>
        <w:t>z</w:t>
      </w:r>
      <w:r w:rsidR="002128CC" w:rsidRPr="0096192C">
        <w:t xml:space="preserve"> = 6.51, </w:t>
      </w:r>
      <w:r w:rsidR="002128CC" w:rsidRPr="0096192C">
        <w:rPr>
          <w:i/>
          <w:iCs/>
        </w:rPr>
        <w:t>p</w:t>
      </w:r>
      <w:r w:rsidR="002128CC" w:rsidRPr="0096192C">
        <w:t xml:space="preserve"> &lt; .001)</w:t>
      </w:r>
      <w:r w:rsidRPr="0096192C">
        <w:t xml:space="preserve">, and there was no interaction between factors </w:t>
      </w:r>
      <w:r w:rsidR="002128CC" w:rsidRPr="0096192C">
        <w:t>(</w:t>
      </w:r>
      <w:r w:rsidR="002128CC" w:rsidRPr="0096192C">
        <w:rPr>
          <w:i/>
          <w:iCs/>
        </w:rPr>
        <w:t>b</w:t>
      </w:r>
      <w:r w:rsidR="002128CC" w:rsidRPr="0096192C">
        <w:t xml:space="preserve"> &lt; 0.001, CI</w:t>
      </w:r>
      <w:r w:rsidR="002128CC" w:rsidRPr="0096192C">
        <w:rPr>
          <w:vertAlign w:val="subscript"/>
        </w:rPr>
        <w:t>95</w:t>
      </w:r>
      <w:r w:rsidR="002128CC" w:rsidRPr="0096192C">
        <w:t xml:space="preserve"> = [-0.00</w:t>
      </w:r>
      <w:r w:rsidR="00612AB3" w:rsidRPr="0096192C">
        <w:t>2</w:t>
      </w:r>
      <w:r w:rsidR="002128CC" w:rsidRPr="0096192C">
        <w:t>, 0.0</w:t>
      </w:r>
      <w:r w:rsidR="00612AB3" w:rsidRPr="0096192C">
        <w:t>02</w:t>
      </w:r>
      <w:r w:rsidR="002128CC" w:rsidRPr="0096192C">
        <w:t xml:space="preserve">], </w:t>
      </w:r>
      <w:r w:rsidR="002128CC" w:rsidRPr="0096192C">
        <w:rPr>
          <w:i/>
          <w:iCs/>
        </w:rPr>
        <w:t>z</w:t>
      </w:r>
      <w:r w:rsidR="002128CC" w:rsidRPr="0096192C">
        <w:t xml:space="preserve"> = </w:t>
      </w:r>
      <w:r w:rsidR="00612AB3" w:rsidRPr="0096192C">
        <w:t>1.52</w:t>
      </w:r>
      <w:r w:rsidR="002128CC" w:rsidRPr="0096192C">
        <w:t xml:space="preserve">, </w:t>
      </w:r>
      <w:r w:rsidR="002128CC" w:rsidRPr="0096192C">
        <w:rPr>
          <w:i/>
          <w:iCs/>
        </w:rPr>
        <w:t>p</w:t>
      </w:r>
      <w:r w:rsidR="002128CC" w:rsidRPr="0096192C">
        <w:t xml:space="preserve"> = .</w:t>
      </w:r>
      <w:r w:rsidR="00612AB3" w:rsidRPr="0096192C">
        <w:t>128</w:t>
      </w:r>
      <w:r w:rsidR="002128CC" w:rsidRPr="0096192C">
        <w:t>).</w:t>
      </w:r>
      <w:r w:rsidRPr="0096192C">
        <w:t xml:space="preserve"> Together, this suggests that accuracy is not improved by sampling non-diagnostic features, but rather only by sampling diagnostic features. We have added this analysis in supplementary materials.</w:t>
      </w:r>
    </w:p>
    <w:p w14:paraId="71C4F592" w14:textId="1858559C" w:rsidR="00F87205" w:rsidRPr="0096192C" w:rsidRDefault="00F87205" w:rsidP="002C3F2B">
      <w:pPr>
        <w:pStyle w:val="Heading2"/>
        <w:spacing w:line="480" w:lineRule="auto"/>
        <w:jc w:val="center"/>
      </w:pPr>
      <w:r w:rsidRPr="0096192C">
        <w:t xml:space="preserve">Supplementary Experiment </w:t>
      </w:r>
      <w:r w:rsidR="008040AD" w:rsidRPr="0096192C">
        <w:t>1</w:t>
      </w:r>
    </w:p>
    <w:p w14:paraId="2C0DDAAD" w14:textId="77777777" w:rsidR="00F87205" w:rsidRPr="0096192C" w:rsidRDefault="00F87205" w:rsidP="002C3F2B">
      <w:pPr>
        <w:pStyle w:val="Paragraph"/>
        <w:spacing w:before="0" w:after="240" w:line="480" w:lineRule="auto"/>
      </w:pPr>
      <w:r w:rsidRPr="0096192C">
        <w:t xml:space="preserve">Experiments 2 and 3 show that accurate face matching is supported by sampling and identifying item-specific diagnostic facial features. This points to an important subskill in face matching and identification: the ability to prioritise processing of features that are diagnostic of a specific face. Further, they may also point to a method for improving the accuracy of face identification in applied settings. The most effective training for face matching is instruction to use the most diagnostic features on average </w:t>
      </w:r>
      <w:r w:rsidRPr="0096192C">
        <w:rPr>
          <w:noProof/>
        </w:rPr>
        <w:t>(ears and facial marks; Carragher et al., 2022; Towler et al., 2021)</w:t>
      </w:r>
      <w:r w:rsidRPr="0096192C">
        <w:t>, but the current studies suggest that a larger benefit may be found if participants are aware of the item-specific diagnostic facial features.</w:t>
      </w:r>
    </w:p>
    <w:p w14:paraId="2A8AE369" w14:textId="34700E07" w:rsidR="00F87205" w:rsidRPr="0096192C" w:rsidRDefault="00F87205" w:rsidP="002C3F2B">
      <w:pPr>
        <w:pStyle w:val="Paragraph"/>
        <w:spacing w:after="240" w:line="480" w:lineRule="auto"/>
        <w:ind w:firstLine="720"/>
      </w:pPr>
      <w:r w:rsidRPr="0096192C">
        <w:t xml:space="preserve">In Supplementary Experiment </w:t>
      </w:r>
      <w:r w:rsidR="008040AD" w:rsidRPr="0096192C">
        <w:t>1</w:t>
      </w:r>
      <w:r w:rsidRPr="0096192C">
        <w:t xml:space="preserve">, we examine whether informing participants of the diagnostic facial features for each face pair improves their matching accuracy. To do this, we compare participants’ accuracy when they are told to focus on the diagnostic facial features for a face pair to when they are told to focus on facial features that are not diagnostic of identity and are actually anti-diagnostic, such that they mislead participants towards the incorrect decision. </w:t>
      </w:r>
    </w:p>
    <w:p w14:paraId="2D42EE57" w14:textId="77777777" w:rsidR="00F87205" w:rsidRPr="0096192C" w:rsidRDefault="00F87205" w:rsidP="002C3F2B">
      <w:pPr>
        <w:pStyle w:val="Heading2"/>
        <w:spacing w:after="0" w:line="480" w:lineRule="auto"/>
        <w:jc w:val="center"/>
        <w:rPr>
          <w:rFonts w:cs="Times New Roman"/>
        </w:rPr>
      </w:pPr>
      <w:r w:rsidRPr="0096192C">
        <w:rPr>
          <w:rFonts w:cs="Times New Roman"/>
        </w:rPr>
        <w:t>Method</w:t>
      </w:r>
    </w:p>
    <w:p w14:paraId="7BBE461C" w14:textId="77777777" w:rsidR="00F87205" w:rsidRPr="0096192C" w:rsidRDefault="00F87205" w:rsidP="00FC2277">
      <w:pPr>
        <w:pStyle w:val="Heading3"/>
        <w:spacing w:line="480" w:lineRule="auto"/>
        <w:rPr>
          <w:rFonts w:cs="Times New Roman"/>
        </w:rPr>
      </w:pPr>
      <w:r w:rsidRPr="0096192C">
        <w:rPr>
          <w:rFonts w:cs="Times New Roman"/>
        </w:rPr>
        <w:t>Participants</w:t>
      </w:r>
    </w:p>
    <w:p w14:paraId="59693997" w14:textId="0DD63594" w:rsidR="00F87205" w:rsidRPr="0096192C" w:rsidRDefault="00B300C9" w:rsidP="00B300C9">
      <w:pPr>
        <w:spacing w:after="240" w:line="480" w:lineRule="auto"/>
        <w:rPr>
          <w:rFonts w:eastAsia="Times"/>
        </w:rPr>
      </w:pPr>
      <w:r w:rsidRPr="0096192C">
        <w:rPr>
          <w:rFonts w:eastAsia="Times"/>
        </w:rPr>
        <w:t>The effect size for the relationship between identifying feature accuracy and face matching accuracy was quite large in Experiment 2 (</w:t>
      </w:r>
      <w:r w:rsidRPr="0096192C">
        <w:t>η</w:t>
      </w:r>
      <w:r w:rsidRPr="0096192C">
        <w:rPr>
          <w:vertAlign w:val="subscript"/>
        </w:rPr>
        <w:t>p</w:t>
      </w:r>
      <w:r w:rsidRPr="0096192C">
        <w:rPr>
          <w:vertAlign w:val="superscript"/>
        </w:rPr>
        <w:t>2</w:t>
      </w:r>
      <w:r w:rsidRPr="0096192C">
        <w:rPr>
          <w:rFonts w:eastAsia="Times"/>
        </w:rPr>
        <w:t xml:space="preserve"> = 0.3). We performed a statistical power analysis for predicting an effect that was half this size (</w:t>
      </w:r>
      <w:r w:rsidRPr="0096192C">
        <w:t>η</w:t>
      </w:r>
      <w:r w:rsidRPr="0096192C">
        <w:rPr>
          <w:vertAlign w:val="subscript"/>
        </w:rPr>
        <w:t>p</w:t>
      </w:r>
      <w:r w:rsidRPr="0096192C">
        <w:rPr>
          <w:vertAlign w:val="superscript"/>
        </w:rPr>
        <w:t>2</w:t>
      </w:r>
      <w:r w:rsidRPr="0096192C">
        <w:rPr>
          <w:rFonts w:eastAsia="Times"/>
        </w:rPr>
        <w:t xml:space="preserve"> = 0.15) in a paired </w:t>
      </w:r>
      <w:r w:rsidRPr="0096192C">
        <w:rPr>
          <w:rFonts w:eastAsia="Times"/>
          <w:i/>
          <w:iCs/>
        </w:rPr>
        <w:t>t</w:t>
      </w:r>
      <w:r w:rsidRPr="0096192C">
        <w:rPr>
          <w:rFonts w:eastAsia="Times"/>
        </w:rPr>
        <w:t xml:space="preserve">-test using the WebPower package in R </w:t>
      </w:r>
      <w:r w:rsidRPr="0096192C">
        <w:rPr>
          <w:rFonts w:eastAsia="Times"/>
        </w:rPr>
        <w:lastRenderedPageBreak/>
        <w:t xml:space="preserve">(Zhang &amp; Yuan, 2018). From this analysis, we estimated that at least 14 participants were needed to have an 80% chance of detecting a similar or larger effect size (α = .05).  </w:t>
      </w:r>
    </w:p>
    <w:p w14:paraId="34D33684" w14:textId="77777777" w:rsidR="00F87205" w:rsidRPr="0096192C" w:rsidRDefault="00F87205" w:rsidP="002C3F2B">
      <w:pPr>
        <w:spacing w:line="480" w:lineRule="auto"/>
        <w:ind w:firstLine="720"/>
      </w:pPr>
      <w:r w:rsidRPr="0096192C">
        <w:t>Thirty-seven undergraduate psychology students from the University of New South Wales participated in return for course credit. Participants (30 female, 6 male, 1 undisclosed) were aged between 17 and 37 with an average age of 20 (</w:t>
      </w:r>
      <w:r w:rsidRPr="0096192C">
        <w:rPr>
          <w:i/>
        </w:rPr>
        <w:t>SD</w:t>
      </w:r>
      <w:r w:rsidRPr="0096192C">
        <w:t xml:space="preserve"> = 3.9).</w:t>
      </w:r>
    </w:p>
    <w:p w14:paraId="25DF2592" w14:textId="77777777" w:rsidR="00F87205" w:rsidRPr="0096192C" w:rsidRDefault="00F87205" w:rsidP="002C3F2B">
      <w:pPr>
        <w:pStyle w:val="Heading3"/>
        <w:spacing w:after="0" w:line="480" w:lineRule="auto"/>
        <w:rPr>
          <w:rFonts w:cs="Times New Roman"/>
        </w:rPr>
      </w:pPr>
      <w:r w:rsidRPr="0096192C">
        <w:rPr>
          <w:rFonts w:cs="Times New Roman"/>
        </w:rPr>
        <w:t>Stimuli &amp; Procedure</w:t>
      </w:r>
    </w:p>
    <w:p w14:paraId="2F66BC88" w14:textId="08B9B84B" w:rsidR="00F87205" w:rsidRPr="0096192C" w:rsidRDefault="00F87205" w:rsidP="002C3F2B">
      <w:pPr>
        <w:spacing w:after="240" w:line="480" w:lineRule="auto"/>
        <w:rPr>
          <w:rFonts w:ascii="Times" w:eastAsia="Times" w:hAnsi="Times" w:cs="Times"/>
          <w:lang w:val="en-US"/>
        </w:rPr>
      </w:pPr>
      <w:r w:rsidRPr="0096192C">
        <w:t xml:space="preserve">Along with the diagnostic features, for this experiment we also identified misleading features in each face pair, i.e., those that suggest the incorrect answer, such as dissimilar mouths for matching pairs or similar eyes for nonmatching pairs. To select the misleading features </w:t>
      </w:r>
      <w:r w:rsidRPr="0096192C">
        <w:rPr>
          <w:lang w:val="en-US"/>
        </w:rPr>
        <w:t>for each face pair, we selected the number of f</w:t>
      </w:r>
      <w:r w:rsidRPr="0096192C">
        <w:rPr>
          <w:rFonts w:ascii="Times" w:eastAsia="Times" w:hAnsi="Times" w:cs="Times"/>
          <w:lang w:val="en-US"/>
        </w:rPr>
        <w:t xml:space="preserve">eatures that had the lowest similarity Z-score to match the number of diagnostic features selected to be shown to participants, e.g., 3 ‘misleading’ features were selected for face pairs with 3 diagnostic facial features. For two face pairs, 9 of the 10 features were scored as being diagnostic. To avoid using diagnostic features in the misleading features condition, we only used 1 diagnostic and 1 misleading feature for these face pairs. </w:t>
      </w:r>
    </w:p>
    <w:p w14:paraId="353E7D27" w14:textId="7D5AD10C" w:rsidR="00F87205" w:rsidRPr="0096192C" w:rsidRDefault="00F87205" w:rsidP="002C3F2B">
      <w:pPr>
        <w:spacing w:after="240" w:line="480" w:lineRule="auto"/>
        <w:ind w:firstLine="720"/>
      </w:pPr>
      <w:r w:rsidRPr="0096192C">
        <w:t>For the 68 face pairs identified in Experiment 1, half of face pairs were assigned to the diagnostic feature condition and half were assigned to the misleading feature condition for each participant. The face pairs assigned to each condition was counterbalanced between participants.</w:t>
      </w:r>
    </w:p>
    <w:p w14:paraId="67D9CD36" w14:textId="052EB034" w:rsidR="00F87205" w:rsidRPr="0096192C" w:rsidRDefault="00F87205" w:rsidP="002C3F2B">
      <w:pPr>
        <w:spacing w:after="240" w:line="480" w:lineRule="auto"/>
        <w:ind w:firstLine="720"/>
      </w:pPr>
      <w:r w:rsidRPr="0096192C">
        <w:t>Participants completed three blocks of a face matching task: pre-condition block, feature information block and post-condition block. For every trial in these three blocks, participants were presented with two side-by-side face images and were asked to decide if the two photos showed the same person or two different people. Participants responded on each trial using a 5-point Likert scale (1= certain different, 3 = unsure, 5 = certain same). Responses on this scale were used to calculate participants’ AUC scores as a measure of their face-matching accuracy.</w:t>
      </w:r>
    </w:p>
    <w:p w14:paraId="593C40C2" w14:textId="2F1CF318" w:rsidR="00F87205" w:rsidRPr="0096192C" w:rsidRDefault="00F87205" w:rsidP="002C3F2B">
      <w:pPr>
        <w:spacing w:after="240" w:line="480" w:lineRule="auto"/>
        <w:ind w:firstLine="720"/>
        <w:rPr>
          <w:lang w:val="en-US"/>
        </w:rPr>
      </w:pPr>
      <w:r w:rsidRPr="0096192C">
        <w:lastRenderedPageBreak/>
        <w:t>In the feature information block, participants completed the same diagnostic feature image set from Experiments 1-3. Immediately prior to this block, participants were told there would be a short description detailing the most diagnostic features above each face pair, and that these features would be highlighted by bounding boxes. On half of trials, participants were told the correct diagnostic features for the face pair (Diagnostic feature condition). On the remaining trials, participants were told that misleading features were diagnostic (Misleading feature condition). While the bounding boxes were always visible at the start of every trial, they could be toggled on and off by participants with a button.</w:t>
      </w:r>
    </w:p>
    <w:p w14:paraId="778D348E" w14:textId="77777777" w:rsidR="00F87205" w:rsidRPr="0096192C" w:rsidRDefault="00F87205" w:rsidP="002C3F2B">
      <w:pPr>
        <w:spacing w:after="240" w:line="480" w:lineRule="auto"/>
        <w:ind w:firstLine="720"/>
        <w:rPr>
          <w:lang w:val="en-US"/>
        </w:rPr>
      </w:pPr>
      <w:r w:rsidRPr="0096192C">
        <w:t>The pre-test and post-test blocks had 100 trials each of new face pairs selected from the same passport database as Experiment 1. These two image sets were selected to have equal numbers of match and nonmatch pairs and be of equal difficulty based on previous experimental work (Mean accuracy = 67%). Assignment of the two image sets to pre-test and post-test blocks was counterbalanced across participants and trial order in every block was randomised for each participant.</w:t>
      </w:r>
    </w:p>
    <w:p w14:paraId="7F2622DE" w14:textId="77777777" w:rsidR="00F87205" w:rsidRPr="0096192C" w:rsidRDefault="00F87205" w:rsidP="002C3F2B">
      <w:pPr>
        <w:pStyle w:val="Heading2"/>
        <w:spacing w:after="0" w:line="480" w:lineRule="auto"/>
      </w:pPr>
      <w:r w:rsidRPr="0096192C">
        <w:t>Results</w:t>
      </w:r>
    </w:p>
    <w:p w14:paraId="341BD790" w14:textId="3474DC5B" w:rsidR="00F87205" w:rsidRPr="0096192C" w:rsidRDefault="00F87205" w:rsidP="002C3F2B">
      <w:pPr>
        <w:pStyle w:val="Paragraph"/>
        <w:spacing w:before="0" w:line="480" w:lineRule="auto"/>
      </w:pPr>
      <w:r w:rsidRPr="0096192C">
        <w:t>First, we compared the participants’ accuracy when provided with the diagnostic facial features to when provided with the misleading facial features using a planned t-test. As seen in Supplementary Figure 1, participants had significantly higher AUC when told the diagnostic features for a face pair (</w:t>
      </w:r>
      <w:r w:rsidRPr="0096192C">
        <w:rPr>
          <w:i/>
          <w:iCs/>
        </w:rPr>
        <w:t>M</w:t>
      </w:r>
      <w:r w:rsidRPr="0096192C">
        <w:t xml:space="preserve"> = 0.89, </w:t>
      </w:r>
      <w:r w:rsidRPr="0096192C">
        <w:rPr>
          <w:i/>
          <w:iCs/>
        </w:rPr>
        <w:t>SD</w:t>
      </w:r>
      <w:r w:rsidRPr="0096192C">
        <w:t xml:space="preserve"> = 0.09) than when they were told misleading features (</w:t>
      </w:r>
      <w:r w:rsidRPr="0096192C">
        <w:rPr>
          <w:i/>
          <w:iCs/>
        </w:rPr>
        <w:t>M</w:t>
      </w:r>
      <w:r w:rsidRPr="0096192C">
        <w:t xml:space="preserve"> = 0.77, </w:t>
      </w:r>
      <w:r w:rsidRPr="0096192C">
        <w:rPr>
          <w:i/>
          <w:iCs/>
        </w:rPr>
        <w:t>SD</w:t>
      </w:r>
      <w:r w:rsidRPr="0096192C">
        <w:t xml:space="preserve"> = 0.12), </w:t>
      </w:r>
      <w:r w:rsidRPr="0096192C">
        <w:rPr>
          <w:i/>
          <w:iCs/>
        </w:rPr>
        <w:t>t</w:t>
      </w:r>
      <w:r w:rsidRPr="0096192C">
        <w:t xml:space="preserve">(36) = 6.68, </w:t>
      </w:r>
      <w:r w:rsidRPr="0096192C">
        <w:rPr>
          <w:i/>
          <w:iCs/>
        </w:rPr>
        <w:t>p</w:t>
      </w:r>
      <w:r w:rsidRPr="0096192C">
        <w:t xml:space="preserve"> &lt; .001, Cohen’s </w:t>
      </w:r>
      <w:r w:rsidRPr="0096192C">
        <w:rPr>
          <w:i/>
          <w:iCs/>
        </w:rPr>
        <w:t>d</w:t>
      </w:r>
      <w:r w:rsidRPr="0096192C">
        <w:t xml:space="preserve"> = 1.09, CI = [0.68, 1.50]. </w:t>
      </w:r>
    </w:p>
    <w:p w14:paraId="2B297E5D" w14:textId="77777777" w:rsidR="00F87205" w:rsidRPr="0096192C" w:rsidRDefault="00F87205" w:rsidP="002C3F2B">
      <w:pPr>
        <w:pStyle w:val="Newparagraph"/>
        <w:spacing w:line="480" w:lineRule="auto"/>
        <w:ind w:firstLine="0"/>
      </w:pPr>
      <w:r w:rsidRPr="0096192C">
        <w:rPr>
          <w:noProof/>
        </w:rPr>
        <w:lastRenderedPageBreak/>
        <w:drawing>
          <wp:inline distT="0" distB="0" distL="0" distR="0" wp14:anchorId="72BA9CA3" wp14:editId="7C180170">
            <wp:extent cx="5728335" cy="318452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8335" cy="3184525"/>
                    </a:xfrm>
                    <a:prstGeom prst="rect">
                      <a:avLst/>
                    </a:prstGeom>
                    <a:noFill/>
                    <a:ln>
                      <a:noFill/>
                    </a:ln>
                  </pic:spPr>
                </pic:pic>
              </a:graphicData>
            </a:graphic>
          </wp:inline>
        </w:drawing>
      </w:r>
    </w:p>
    <w:p w14:paraId="71E18176" w14:textId="3FF61987" w:rsidR="00F87205" w:rsidRPr="0096192C" w:rsidRDefault="00F87205" w:rsidP="002C3F2B">
      <w:pPr>
        <w:pStyle w:val="Newparagraph"/>
        <w:ind w:firstLine="0"/>
        <w:rPr>
          <w:i/>
          <w:iCs/>
        </w:rPr>
      </w:pPr>
      <w:r w:rsidRPr="0096192C">
        <w:rPr>
          <w:b/>
          <w:bCs/>
        </w:rPr>
        <w:t xml:space="preserve">Supplementary Figure </w:t>
      </w:r>
      <w:r w:rsidR="00C76A64" w:rsidRPr="0096192C">
        <w:rPr>
          <w:b/>
          <w:bCs/>
        </w:rPr>
        <w:t>2</w:t>
      </w:r>
      <w:r w:rsidRPr="0096192C">
        <w:rPr>
          <w:b/>
          <w:bCs/>
        </w:rPr>
        <w:t xml:space="preserve">. </w:t>
      </w:r>
      <w:r w:rsidRPr="0096192C">
        <w:t>AUC comparisons from Supplementary Experiment A show participants are more accurate on trials where participants were given the true identifying feature information than trials where they were given misleading feature information.</w:t>
      </w:r>
      <w:r w:rsidRPr="0096192C">
        <w:rPr>
          <w:b/>
          <w:bCs/>
        </w:rPr>
        <w:t xml:space="preserve"> </w:t>
      </w:r>
      <w:r w:rsidRPr="0096192C">
        <w:rPr>
          <w:kern w:val="32"/>
        </w:rPr>
        <w:t>Diamonds on each boxplot represent the mean AUC score and standard error bars.</w:t>
      </w:r>
    </w:p>
    <w:p w14:paraId="255B443E" w14:textId="5AA1467C" w:rsidR="00F87205" w:rsidRPr="0096192C" w:rsidRDefault="00F87205" w:rsidP="002C3F2B">
      <w:pPr>
        <w:pStyle w:val="Paragraph"/>
        <w:spacing w:line="480" w:lineRule="auto"/>
        <w:ind w:firstLine="720"/>
      </w:pPr>
      <w:r w:rsidRPr="0096192C">
        <w:t>Next, we compared participants’ accuracy before and after receiving the feature information block to determine whether being provided with the diagnostic feature information caused an improvement in face matching ability. Planned t-tests show accuracy was better in the pre-condition block (</w:t>
      </w:r>
      <w:r w:rsidRPr="0096192C">
        <w:rPr>
          <w:i/>
          <w:iCs/>
        </w:rPr>
        <w:t>M</w:t>
      </w:r>
      <w:r w:rsidRPr="0096192C">
        <w:t xml:space="preserve"> = 0.79, </w:t>
      </w:r>
      <w:r w:rsidRPr="0096192C">
        <w:rPr>
          <w:i/>
          <w:iCs/>
        </w:rPr>
        <w:t>SD</w:t>
      </w:r>
      <w:r w:rsidRPr="0096192C">
        <w:t xml:space="preserve"> = 0.10) than the post-condition block (</w:t>
      </w:r>
      <w:r w:rsidRPr="0096192C">
        <w:rPr>
          <w:i/>
          <w:iCs/>
        </w:rPr>
        <w:t>M</w:t>
      </w:r>
      <w:r w:rsidRPr="0096192C">
        <w:t xml:space="preserve"> = 0.76, </w:t>
      </w:r>
      <w:r w:rsidRPr="0096192C">
        <w:rPr>
          <w:i/>
          <w:iCs/>
        </w:rPr>
        <w:t>SD</w:t>
      </w:r>
      <w:r w:rsidRPr="0096192C">
        <w:t xml:space="preserve"> = 0.09), </w:t>
      </w:r>
      <w:r w:rsidRPr="0096192C">
        <w:rPr>
          <w:i/>
          <w:iCs/>
        </w:rPr>
        <w:t>t</w:t>
      </w:r>
      <w:r w:rsidRPr="0096192C">
        <w:t xml:space="preserve">(36) = -2.2, </w:t>
      </w:r>
      <w:r w:rsidRPr="0096192C">
        <w:rPr>
          <w:i/>
          <w:iCs/>
        </w:rPr>
        <w:t>p</w:t>
      </w:r>
      <w:r w:rsidRPr="0096192C">
        <w:t xml:space="preserve"> = .035, Cohen’s </w:t>
      </w:r>
      <w:r w:rsidRPr="0096192C">
        <w:rPr>
          <w:i/>
          <w:iCs/>
        </w:rPr>
        <w:t>d</w:t>
      </w:r>
      <w:r w:rsidRPr="0096192C">
        <w:t xml:space="preserve"> = -0.26, CI = [-0.49, -0.02], providing no evidence of any training effect after being directed to diagnostic features in the feature information block.</w:t>
      </w:r>
    </w:p>
    <w:p w14:paraId="3955B359" w14:textId="77777777" w:rsidR="00F87205" w:rsidRPr="0096192C" w:rsidRDefault="00F87205" w:rsidP="002C3F2B">
      <w:pPr>
        <w:pStyle w:val="Newparagraph"/>
        <w:spacing w:line="480" w:lineRule="auto"/>
      </w:pPr>
      <w:r w:rsidRPr="0096192C">
        <w:t xml:space="preserve">Inspection of Supplementary Figure 1 shows there is some variability in the effect of participants being told the diagnostic features compared to the misleading features. To determine whether this variability in the effect of providing diagnostic or misleading features is predicted by individual differences in face matching ability, we correlated the size of the difference between the two feature information conditions with participants’ accuracy on the pre-test block. We found a significant negative correlation, as participants who performed worse on the pre-condition block tended to show larger differences between the diagnostic and misleading feature information conditions, </w:t>
      </w:r>
      <w:r w:rsidRPr="0096192C">
        <w:rPr>
          <w:i/>
        </w:rPr>
        <w:t>r</w:t>
      </w:r>
      <w:r w:rsidRPr="0096192C">
        <w:rPr>
          <w:vertAlign w:val="subscript"/>
        </w:rPr>
        <w:t>s</w:t>
      </w:r>
      <w:r w:rsidRPr="0096192C">
        <w:t xml:space="preserve"> (37) = -0.39, </w:t>
      </w:r>
      <w:r w:rsidRPr="0096192C">
        <w:rPr>
          <w:i/>
        </w:rPr>
        <w:t>p</w:t>
      </w:r>
      <w:r w:rsidRPr="0096192C">
        <w:t xml:space="preserve"> = .016. This suggests that those with better face matching ability were </w:t>
      </w:r>
      <w:r w:rsidRPr="0096192C">
        <w:lastRenderedPageBreak/>
        <w:t>less affected by being shown the diagnostic or misleading information than those who have poorer face matching ability.</w:t>
      </w:r>
    </w:p>
    <w:p w14:paraId="27CE3959" w14:textId="77777777" w:rsidR="00F87205" w:rsidRPr="0096192C" w:rsidRDefault="00F87205" w:rsidP="00FC2277">
      <w:pPr>
        <w:pStyle w:val="Newparagraph"/>
        <w:spacing w:line="480" w:lineRule="auto"/>
        <w:ind w:firstLine="0"/>
      </w:pPr>
      <w:r w:rsidRPr="0096192C">
        <w:rPr>
          <w:noProof/>
        </w:rPr>
        <w:drawing>
          <wp:inline distT="0" distB="0" distL="0" distR="0" wp14:anchorId="3FFC1901" wp14:editId="1133E418">
            <wp:extent cx="2952750" cy="2952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0" cy="2952750"/>
                    </a:xfrm>
                    <a:prstGeom prst="rect">
                      <a:avLst/>
                    </a:prstGeom>
                    <a:noFill/>
                    <a:ln>
                      <a:noFill/>
                    </a:ln>
                  </pic:spPr>
                </pic:pic>
              </a:graphicData>
            </a:graphic>
          </wp:inline>
        </w:drawing>
      </w:r>
    </w:p>
    <w:p w14:paraId="2137C558" w14:textId="247B5F5B" w:rsidR="00F87205" w:rsidRPr="0096192C" w:rsidRDefault="00F87205" w:rsidP="002C3F2B">
      <w:pPr>
        <w:pStyle w:val="Newparagraph"/>
        <w:ind w:firstLine="0"/>
      </w:pPr>
      <w:r w:rsidRPr="0096192C">
        <w:rPr>
          <w:b/>
          <w:bCs/>
        </w:rPr>
        <w:t xml:space="preserve">Supplementary Figure 2. </w:t>
      </w:r>
      <w:r w:rsidRPr="0096192C">
        <w:t>Scatterplot showing correlation between baseline face matching accuracy and the difference in accuracy between trials with Identifying feature information and Misleading feature information in Supplementary Experiment A. This relationship suggests face matching ability affects the extent to which diagnostic feature information informs participant’s decisions.</w:t>
      </w:r>
    </w:p>
    <w:p w14:paraId="1F4C6E22" w14:textId="77777777" w:rsidR="00273505" w:rsidRPr="0096192C" w:rsidRDefault="00273505" w:rsidP="002C3F2B">
      <w:pPr>
        <w:pStyle w:val="EndNoteBibliographyTitle"/>
        <w:spacing w:line="480" w:lineRule="auto"/>
        <w:rPr>
          <w:b/>
          <w:bCs/>
        </w:rPr>
      </w:pPr>
    </w:p>
    <w:p w14:paraId="0746ED08" w14:textId="504C6F08" w:rsidR="00F87205" w:rsidRPr="0096192C" w:rsidRDefault="00F87205" w:rsidP="002C3F2B">
      <w:pPr>
        <w:pStyle w:val="EndNoteBibliographyTitle"/>
        <w:spacing w:line="480" w:lineRule="auto"/>
        <w:rPr>
          <w:b/>
          <w:bCs/>
        </w:rPr>
      </w:pPr>
      <w:r w:rsidRPr="0096192C">
        <w:rPr>
          <w:b/>
          <w:bCs/>
        </w:rPr>
        <w:t>References</w:t>
      </w:r>
    </w:p>
    <w:p w14:paraId="46FFF019" w14:textId="77777777" w:rsidR="00F87205" w:rsidRPr="0096192C" w:rsidRDefault="00F87205" w:rsidP="00FC2277">
      <w:pPr>
        <w:pStyle w:val="EndNoteBibliography"/>
        <w:ind w:left="720" w:hanging="720"/>
      </w:pPr>
      <w:r w:rsidRPr="0096192C">
        <w:t xml:space="preserve">Carragher, D. J., Towler, A., Mileva, V. R., White, D., &amp; Hancock, P. J. B. (2022). Masked face identification is improved by diagnostic feature training. </w:t>
      </w:r>
      <w:r w:rsidRPr="0096192C">
        <w:rPr>
          <w:i/>
        </w:rPr>
        <w:t>Cogn Res Princ Implic</w:t>
      </w:r>
      <w:r w:rsidRPr="0096192C">
        <w:t>,</w:t>
      </w:r>
      <w:r w:rsidRPr="0096192C">
        <w:rPr>
          <w:i/>
        </w:rPr>
        <w:t xml:space="preserve"> 7</w:t>
      </w:r>
      <w:r w:rsidRPr="0096192C">
        <w:t xml:space="preserve">(1), 30. https://doi.org/10.1186/s41235-022-00381-x </w:t>
      </w:r>
    </w:p>
    <w:p w14:paraId="1C289C6F" w14:textId="0BDBAA63" w:rsidR="00477798" w:rsidRDefault="00F87205" w:rsidP="002C3F2B">
      <w:pPr>
        <w:pStyle w:val="EndNoteBibliography"/>
        <w:ind w:left="720" w:hanging="720"/>
      </w:pPr>
      <w:r w:rsidRPr="0096192C">
        <w:t xml:space="preserve">Towler, A., Keshwa, M., Ton, B., Kemp, R. I., &amp; White, D. (2021). Diagnostic feature training improves face matching accuracy. </w:t>
      </w:r>
      <w:r w:rsidRPr="0096192C">
        <w:rPr>
          <w:i/>
        </w:rPr>
        <w:t>J Exp Psychol Learn Mem Cogn</w:t>
      </w:r>
      <w:r w:rsidRPr="0096192C">
        <w:t>,</w:t>
      </w:r>
      <w:r w:rsidRPr="0096192C">
        <w:rPr>
          <w:i/>
        </w:rPr>
        <w:t xml:space="preserve"> 47</w:t>
      </w:r>
      <w:r w:rsidRPr="0096192C">
        <w:t>(8), 1288-1298. https://doi.org/10.1037/xlm0000972</w:t>
      </w:r>
      <w:r w:rsidRPr="00FC2277">
        <w:t xml:space="preserve"> </w:t>
      </w:r>
    </w:p>
    <w:sectPr w:rsidR="00477798" w:rsidSect="005E7641">
      <w:headerReference w:type="default" r:id="rId12"/>
      <w:pgSz w:w="11906" w:h="16838"/>
      <w:pgMar w:top="86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6D17" w14:textId="77777777" w:rsidR="00BD01B6" w:rsidRDefault="00BD01B6">
      <w:r>
        <w:separator/>
      </w:r>
    </w:p>
  </w:endnote>
  <w:endnote w:type="continuationSeparator" w:id="0">
    <w:p w14:paraId="7250E428" w14:textId="77777777" w:rsidR="00BD01B6" w:rsidRDefault="00BD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39D0F" w14:textId="77777777" w:rsidR="00BD01B6" w:rsidRDefault="00BD01B6">
      <w:r>
        <w:separator/>
      </w:r>
    </w:p>
  </w:footnote>
  <w:footnote w:type="continuationSeparator" w:id="0">
    <w:p w14:paraId="74D0737A" w14:textId="77777777" w:rsidR="00BD01B6" w:rsidRDefault="00BD0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5B91" w14:textId="77777777" w:rsidR="005A56B3" w:rsidRDefault="00F87205">
    <w:pPr>
      <w:pStyle w:val="Header"/>
    </w:pPr>
    <w:r>
      <w:ptab w:relativeTo="margin" w:alignment="right" w:leader="none"/>
    </w: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967812"/>
    <w:multiLevelType w:val="hybridMultilevel"/>
    <w:tmpl w:val="311ED9EA"/>
    <w:lvl w:ilvl="0" w:tplc="96BC51DC">
      <w:start w:val="1"/>
      <w:numFmt w:val="bullet"/>
      <w:lvlText w:val=""/>
      <w:lvlJc w:val="left"/>
      <w:pPr>
        <w:ind w:left="720" w:hanging="360"/>
      </w:pPr>
      <w:rPr>
        <w:rFonts w:ascii="Symbol" w:hAnsi="Symbol" w:hint="default"/>
      </w:rPr>
    </w:lvl>
    <w:lvl w:ilvl="1" w:tplc="D1B6EFAA">
      <w:start w:val="1"/>
      <w:numFmt w:val="bullet"/>
      <w:lvlText w:val="o"/>
      <w:lvlJc w:val="left"/>
      <w:pPr>
        <w:ind w:left="1440" w:hanging="360"/>
      </w:pPr>
      <w:rPr>
        <w:rFonts w:ascii="Courier New" w:hAnsi="Courier New" w:hint="default"/>
      </w:rPr>
    </w:lvl>
    <w:lvl w:ilvl="2" w:tplc="E27429D6">
      <w:start w:val="1"/>
      <w:numFmt w:val="bullet"/>
      <w:lvlText w:val=""/>
      <w:lvlJc w:val="left"/>
      <w:pPr>
        <w:ind w:left="2160" w:hanging="360"/>
      </w:pPr>
      <w:rPr>
        <w:rFonts w:ascii="Wingdings" w:hAnsi="Wingdings" w:hint="default"/>
      </w:rPr>
    </w:lvl>
    <w:lvl w:ilvl="3" w:tplc="7B0023E8">
      <w:start w:val="1"/>
      <w:numFmt w:val="bullet"/>
      <w:lvlText w:val=""/>
      <w:lvlJc w:val="left"/>
      <w:pPr>
        <w:ind w:left="2880" w:hanging="360"/>
      </w:pPr>
      <w:rPr>
        <w:rFonts w:ascii="Symbol" w:hAnsi="Symbol" w:hint="default"/>
      </w:rPr>
    </w:lvl>
    <w:lvl w:ilvl="4" w:tplc="CBAE7166">
      <w:start w:val="1"/>
      <w:numFmt w:val="bullet"/>
      <w:lvlText w:val="o"/>
      <w:lvlJc w:val="left"/>
      <w:pPr>
        <w:ind w:left="3600" w:hanging="360"/>
      </w:pPr>
      <w:rPr>
        <w:rFonts w:ascii="Courier New" w:hAnsi="Courier New" w:hint="default"/>
      </w:rPr>
    </w:lvl>
    <w:lvl w:ilvl="5" w:tplc="EFC61F32">
      <w:start w:val="1"/>
      <w:numFmt w:val="bullet"/>
      <w:lvlText w:val=""/>
      <w:lvlJc w:val="left"/>
      <w:pPr>
        <w:ind w:left="4320" w:hanging="360"/>
      </w:pPr>
      <w:rPr>
        <w:rFonts w:ascii="Wingdings" w:hAnsi="Wingdings" w:hint="default"/>
      </w:rPr>
    </w:lvl>
    <w:lvl w:ilvl="6" w:tplc="221A86C4">
      <w:start w:val="1"/>
      <w:numFmt w:val="bullet"/>
      <w:lvlText w:val=""/>
      <w:lvlJc w:val="left"/>
      <w:pPr>
        <w:ind w:left="5040" w:hanging="360"/>
      </w:pPr>
      <w:rPr>
        <w:rFonts w:ascii="Symbol" w:hAnsi="Symbol" w:hint="default"/>
      </w:rPr>
    </w:lvl>
    <w:lvl w:ilvl="7" w:tplc="70CE1AE8">
      <w:start w:val="1"/>
      <w:numFmt w:val="bullet"/>
      <w:lvlText w:val="o"/>
      <w:lvlJc w:val="left"/>
      <w:pPr>
        <w:ind w:left="5760" w:hanging="360"/>
      </w:pPr>
      <w:rPr>
        <w:rFonts w:ascii="Courier New" w:hAnsi="Courier New" w:hint="default"/>
      </w:rPr>
    </w:lvl>
    <w:lvl w:ilvl="8" w:tplc="7E32B29E">
      <w:start w:val="1"/>
      <w:numFmt w:val="bullet"/>
      <w:lvlText w:val=""/>
      <w:lvlJc w:val="left"/>
      <w:pPr>
        <w:ind w:left="6480" w:hanging="360"/>
      </w:pPr>
      <w:rPr>
        <w:rFonts w:ascii="Wingdings" w:hAnsi="Wingding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5A6132E"/>
    <w:multiLevelType w:val="hybridMultilevel"/>
    <w:tmpl w:val="E3CA3AF0"/>
    <w:lvl w:ilvl="0" w:tplc="8DA2138E">
      <w:start w:val="1"/>
      <w:numFmt w:val="bullet"/>
      <w:lvlText w:val=""/>
      <w:lvlJc w:val="left"/>
      <w:pPr>
        <w:ind w:left="720" w:hanging="360"/>
      </w:pPr>
      <w:rPr>
        <w:rFonts w:ascii="Symbol" w:hAnsi="Symbol" w:hint="default"/>
      </w:rPr>
    </w:lvl>
    <w:lvl w:ilvl="1" w:tplc="AF9202A0">
      <w:start w:val="1"/>
      <w:numFmt w:val="bullet"/>
      <w:lvlText w:val="o"/>
      <w:lvlJc w:val="left"/>
      <w:pPr>
        <w:ind w:left="1440" w:hanging="360"/>
      </w:pPr>
      <w:rPr>
        <w:rFonts w:ascii="Courier New" w:hAnsi="Courier New" w:hint="default"/>
      </w:rPr>
    </w:lvl>
    <w:lvl w:ilvl="2" w:tplc="0D4EB86C">
      <w:start w:val="1"/>
      <w:numFmt w:val="bullet"/>
      <w:lvlText w:val=""/>
      <w:lvlJc w:val="left"/>
      <w:pPr>
        <w:ind w:left="2160" w:hanging="360"/>
      </w:pPr>
      <w:rPr>
        <w:rFonts w:ascii="Wingdings" w:hAnsi="Wingdings" w:hint="default"/>
      </w:rPr>
    </w:lvl>
    <w:lvl w:ilvl="3" w:tplc="B6AEB966">
      <w:start w:val="1"/>
      <w:numFmt w:val="bullet"/>
      <w:lvlText w:val=""/>
      <w:lvlJc w:val="left"/>
      <w:pPr>
        <w:ind w:left="2880" w:hanging="360"/>
      </w:pPr>
      <w:rPr>
        <w:rFonts w:ascii="Symbol" w:hAnsi="Symbol" w:hint="default"/>
      </w:rPr>
    </w:lvl>
    <w:lvl w:ilvl="4" w:tplc="ECEA5D7E">
      <w:start w:val="1"/>
      <w:numFmt w:val="bullet"/>
      <w:lvlText w:val="o"/>
      <w:lvlJc w:val="left"/>
      <w:pPr>
        <w:ind w:left="3600" w:hanging="360"/>
      </w:pPr>
      <w:rPr>
        <w:rFonts w:ascii="Courier New" w:hAnsi="Courier New" w:hint="default"/>
      </w:rPr>
    </w:lvl>
    <w:lvl w:ilvl="5" w:tplc="3EBE8882">
      <w:start w:val="1"/>
      <w:numFmt w:val="bullet"/>
      <w:lvlText w:val=""/>
      <w:lvlJc w:val="left"/>
      <w:pPr>
        <w:ind w:left="4320" w:hanging="360"/>
      </w:pPr>
      <w:rPr>
        <w:rFonts w:ascii="Wingdings" w:hAnsi="Wingdings" w:hint="default"/>
      </w:rPr>
    </w:lvl>
    <w:lvl w:ilvl="6" w:tplc="84FC2892">
      <w:start w:val="1"/>
      <w:numFmt w:val="bullet"/>
      <w:lvlText w:val=""/>
      <w:lvlJc w:val="left"/>
      <w:pPr>
        <w:ind w:left="5040" w:hanging="360"/>
      </w:pPr>
      <w:rPr>
        <w:rFonts w:ascii="Symbol" w:hAnsi="Symbol" w:hint="default"/>
      </w:rPr>
    </w:lvl>
    <w:lvl w:ilvl="7" w:tplc="B7D4E754">
      <w:start w:val="1"/>
      <w:numFmt w:val="bullet"/>
      <w:lvlText w:val="o"/>
      <w:lvlJc w:val="left"/>
      <w:pPr>
        <w:ind w:left="5760" w:hanging="360"/>
      </w:pPr>
      <w:rPr>
        <w:rFonts w:ascii="Courier New" w:hAnsi="Courier New" w:hint="default"/>
      </w:rPr>
    </w:lvl>
    <w:lvl w:ilvl="8" w:tplc="FE42C004">
      <w:start w:val="1"/>
      <w:numFmt w:val="bullet"/>
      <w:lvlText w:val=""/>
      <w:lvlJc w:val="left"/>
      <w:pPr>
        <w:ind w:left="6480" w:hanging="360"/>
      </w:pPr>
      <w:rPr>
        <w:rFonts w:ascii="Wingdings" w:hAnsi="Wingdings" w:hint="default"/>
      </w:r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C7E1D7C"/>
    <w:multiLevelType w:val="hybridMultilevel"/>
    <w:tmpl w:val="E16C6D12"/>
    <w:lvl w:ilvl="0" w:tplc="16680CC2">
      <w:start w:val="4"/>
      <w:numFmt w:val="bullet"/>
      <w:lvlText w:val=""/>
      <w:lvlJc w:val="left"/>
      <w:pPr>
        <w:ind w:left="1080" w:hanging="360"/>
      </w:pPr>
      <w:rPr>
        <w:rFonts w:ascii="Symbol" w:eastAsia="Times New Roman"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3E47479"/>
    <w:multiLevelType w:val="hybridMultilevel"/>
    <w:tmpl w:val="6AD857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966DEB"/>
    <w:multiLevelType w:val="hybridMultilevel"/>
    <w:tmpl w:val="4202A1E2"/>
    <w:lvl w:ilvl="0" w:tplc="2E54C2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3448A"/>
    <w:multiLevelType w:val="hybridMultilevel"/>
    <w:tmpl w:val="2F94B490"/>
    <w:lvl w:ilvl="0" w:tplc="8C12FA06">
      <w:start w:val="1"/>
      <w:numFmt w:val="bullet"/>
      <w:lvlText w:val=""/>
      <w:lvlJc w:val="left"/>
      <w:pPr>
        <w:ind w:left="720" w:hanging="360"/>
      </w:pPr>
      <w:rPr>
        <w:rFonts w:ascii="Symbol" w:hAnsi="Symbol" w:hint="default"/>
      </w:rPr>
    </w:lvl>
    <w:lvl w:ilvl="1" w:tplc="6F2A29B6">
      <w:start w:val="1"/>
      <w:numFmt w:val="bullet"/>
      <w:lvlText w:val="o"/>
      <w:lvlJc w:val="left"/>
      <w:pPr>
        <w:ind w:left="1440" w:hanging="360"/>
      </w:pPr>
      <w:rPr>
        <w:rFonts w:ascii="Courier New" w:hAnsi="Courier New" w:hint="default"/>
      </w:rPr>
    </w:lvl>
    <w:lvl w:ilvl="2" w:tplc="7070D6CE">
      <w:start w:val="1"/>
      <w:numFmt w:val="bullet"/>
      <w:lvlText w:val=""/>
      <w:lvlJc w:val="left"/>
      <w:pPr>
        <w:ind w:left="2160" w:hanging="360"/>
      </w:pPr>
      <w:rPr>
        <w:rFonts w:ascii="Wingdings" w:hAnsi="Wingdings" w:hint="default"/>
      </w:rPr>
    </w:lvl>
    <w:lvl w:ilvl="3" w:tplc="140E9ADA">
      <w:start w:val="1"/>
      <w:numFmt w:val="bullet"/>
      <w:lvlText w:val=""/>
      <w:lvlJc w:val="left"/>
      <w:pPr>
        <w:ind w:left="2880" w:hanging="360"/>
      </w:pPr>
      <w:rPr>
        <w:rFonts w:ascii="Symbol" w:hAnsi="Symbol" w:hint="default"/>
      </w:rPr>
    </w:lvl>
    <w:lvl w:ilvl="4" w:tplc="3E500630">
      <w:start w:val="1"/>
      <w:numFmt w:val="bullet"/>
      <w:lvlText w:val="o"/>
      <w:lvlJc w:val="left"/>
      <w:pPr>
        <w:ind w:left="3600" w:hanging="360"/>
      </w:pPr>
      <w:rPr>
        <w:rFonts w:ascii="Courier New" w:hAnsi="Courier New" w:hint="default"/>
      </w:rPr>
    </w:lvl>
    <w:lvl w:ilvl="5" w:tplc="D48A5064">
      <w:start w:val="1"/>
      <w:numFmt w:val="bullet"/>
      <w:lvlText w:val=""/>
      <w:lvlJc w:val="left"/>
      <w:pPr>
        <w:ind w:left="4320" w:hanging="360"/>
      </w:pPr>
      <w:rPr>
        <w:rFonts w:ascii="Wingdings" w:hAnsi="Wingdings" w:hint="default"/>
      </w:rPr>
    </w:lvl>
    <w:lvl w:ilvl="6" w:tplc="9FE81418">
      <w:start w:val="1"/>
      <w:numFmt w:val="bullet"/>
      <w:lvlText w:val=""/>
      <w:lvlJc w:val="left"/>
      <w:pPr>
        <w:ind w:left="5040" w:hanging="360"/>
      </w:pPr>
      <w:rPr>
        <w:rFonts w:ascii="Symbol" w:hAnsi="Symbol" w:hint="default"/>
      </w:rPr>
    </w:lvl>
    <w:lvl w:ilvl="7" w:tplc="56322424">
      <w:start w:val="1"/>
      <w:numFmt w:val="bullet"/>
      <w:lvlText w:val="o"/>
      <w:lvlJc w:val="left"/>
      <w:pPr>
        <w:ind w:left="5760" w:hanging="360"/>
      </w:pPr>
      <w:rPr>
        <w:rFonts w:ascii="Courier New" w:hAnsi="Courier New" w:hint="default"/>
      </w:rPr>
    </w:lvl>
    <w:lvl w:ilvl="8" w:tplc="FC723712">
      <w:start w:val="1"/>
      <w:numFmt w:val="bullet"/>
      <w:lvlText w:val=""/>
      <w:lvlJc w:val="left"/>
      <w:pPr>
        <w:ind w:left="6480" w:hanging="360"/>
      </w:pPr>
      <w:rPr>
        <w:rFonts w:ascii="Wingdings" w:hAnsi="Wingdings" w:hint="default"/>
      </w:rPr>
    </w:lvl>
  </w:abstractNum>
  <w:abstractNum w:abstractNumId="24"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3096E02"/>
    <w:multiLevelType w:val="hybridMultilevel"/>
    <w:tmpl w:val="CFF233F0"/>
    <w:lvl w:ilvl="0" w:tplc="08090001">
      <w:start w:val="8"/>
      <w:numFmt w:val="bullet"/>
      <w:lvlText w:val=""/>
      <w:lvlJc w:val="left"/>
      <w:pPr>
        <w:ind w:left="720" w:hanging="360"/>
      </w:pPr>
      <w:rPr>
        <w:rFonts w:ascii="Symbol" w:eastAsia="Times New Roman" w:hAnsi="Symbol" w:cs="Times New Roman"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705A96"/>
    <w:multiLevelType w:val="hybridMultilevel"/>
    <w:tmpl w:val="C958E818"/>
    <w:lvl w:ilvl="0" w:tplc="A128ECEA">
      <w:start w:val="1"/>
      <w:numFmt w:val="bullet"/>
      <w:lvlText w:val=""/>
      <w:lvlJc w:val="left"/>
      <w:pPr>
        <w:ind w:left="720" w:hanging="360"/>
      </w:pPr>
      <w:rPr>
        <w:rFonts w:ascii="Symbol" w:hAnsi="Symbol" w:hint="default"/>
      </w:rPr>
    </w:lvl>
    <w:lvl w:ilvl="1" w:tplc="7C5A0E0A">
      <w:start w:val="1"/>
      <w:numFmt w:val="bullet"/>
      <w:lvlText w:val="o"/>
      <w:lvlJc w:val="left"/>
      <w:pPr>
        <w:ind w:left="1440" w:hanging="360"/>
      </w:pPr>
      <w:rPr>
        <w:rFonts w:ascii="Courier New" w:hAnsi="Courier New" w:hint="default"/>
      </w:rPr>
    </w:lvl>
    <w:lvl w:ilvl="2" w:tplc="0416FBD2">
      <w:start w:val="1"/>
      <w:numFmt w:val="bullet"/>
      <w:lvlText w:val=""/>
      <w:lvlJc w:val="left"/>
      <w:pPr>
        <w:ind w:left="2160" w:hanging="360"/>
      </w:pPr>
      <w:rPr>
        <w:rFonts w:ascii="Wingdings" w:hAnsi="Wingdings" w:hint="default"/>
      </w:rPr>
    </w:lvl>
    <w:lvl w:ilvl="3" w:tplc="2A78BE70">
      <w:start w:val="1"/>
      <w:numFmt w:val="bullet"/>
      <w:lvlText w:val=""/>
      <w:lvlJc w:val="left"/>
      <w:pPr>
        <w:ind w:left="2880" w:hanging="360"/>
      </w:pPr>
      <w:rPr>
        <w:rFonts w:ascii="Symbol" w:hAnsi="Symbol" w:hint="default"/>
      </w:rPr>
    </w:lvl>
    <w:lvl w:ilvl="4" w:tplc="62E8B2F2">
      <w:start w:val="1"/>
      <w:numFmt w:val="bullet"/>
      <w:lvlText w:val="o"/>
      <w:lvlJc w:val="left"/>
      <w:pPr>
        <w:ind w:left="3600" w:hanging="360"/>
      </w:pPr>
      <w:rPr>
        <w:rFonts w:ascii="Courier New" w:hAnsi="Courier New" w:hint="default"/>
      </w:rPr>
    </w:lvl>
    <w:lvl w:ilvl="5" w:tplc="6F8E22C2">
      <w:start w:val="1"/>
      <w:numFmt w:val="bullet"/>
      <w:lvlText w:val=""/>
      <w:lvlJc w:val="left"/>
      <w:pPr>
        <w:ind w:left="4320" w:hanging="360"/>
      </w:pPr>
      <w:rPr>
        <w:rFonts w:ascii="Wingdings" w:hAnsi="Wingdings" w:hint="default"/>
      </w:rPr>
    </w:lvl>
    <w:lvl w:ilvl="6" w:tplc="EEBE8A48">
      <w:start w:val="1"/>
      <w:numFmt w:val="bullet"/>
      <w:lvlText w:val=""/>
      <w:lvlJc w:val="left"/>
      <w:pPr>
        <w:ind w:left="5040" w:hanging="360"/>
      </w:pPr>
      <w:rPr>
        <w:rFonts w:ascii="Symbol" w:hAnsi="Symbol" w:hint="default"/>
      </w:rPr>
    </w:lvl>
    <w:lvl w:ilvl="7" w:tplc="80EA1762">
      <w:start w:val="1"/>
      <w:numFmt w:val="bullet"/>
      <w:lvlText w:val="o"/>
      <w:lvlJc w:val="left"/>
      <w:pPr>
        <w:ind w:left="5760" w:hanging="360"/>
      </w:pPr>
      <w:rPr>
        <w:rFonts w:ascii="Courier New" w:hAnsi="Courier New" w:hint="default"/>
      </w:rPr>
    </w:lvl>
    <w:lvl w:ilvl="8" w:tplc="8592CEAE">
      <w:start w:val="1"/>
      <w:numFmt w:val="bullet"/>
      <w:lvlText w:val=""/>
      <w:lvlJc w:val="left"/>
      <w:pPr>
        <w:ind w:left="6480" w:hanging="360"/>
      </w:pPr>
      <w:rPr>
        <w:rFonts w:ascii="Wingdings" w:hAnsi="Wingdings" w:hint="default"/>
      </w:rPr>
    </w:lvl>
  </w:abstractNum>
  <w:abstractNum w:abstractNumId="27" w15:restartNumberingAfterBreak="0">
    <w:nsid w:val="4A706E04"/>
    <w:multiLevelType w:val="hybridMultilevel"/>
    <w:tmpl w:val="C3F2BA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AFF5CDF"/>
    <w:multiLevelType w:val="hybridMultilevel"/>
    <w:tmpl w:val="1E225250"/>
    <w:lvl w:ilvl="0" w:tplc="68F6431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EC04BF"/>
    <w:multiLevelType w:val="hybridMultilevel"/>
    <w:tmpl w:val="84507394"/>
    <w:lvl w:ilvl="0" w:tplc="86805324">
      <w:start w:val="1"/>
      <w:numFmt w:val="bullet"/>
      <w:lvlText w:val=""/>
      <w:lvlJc w:val="left"/>
      <w:pPr>
        <w:ind w:left="720" w:hanging="360"/>
      </w:pPr>
      <w:rPr>
        <w:rFonts w:ascii="Symbol" w:hAnsi="Symbol" w:hint="default"/>
      </w:rPr>
    </w:lvl>
    <w:lvl w:ilvl="1" w:tplc="0262D706">
      <w:start w:val="1"/>
      <w:numFmt w:val="bullet"/>
      <w:lvlText w:val="o"/>
      <w:lvlJc w:val="left"/>
      <w:pPr>
        <w:ind w:left="1440" w:hanging="360"/>
      </w:pPr>
      <w:rPr>
        <w:rFonts w:ascii="Courier New" w:hAnsi="Courier New" w:hint="default"/>
      </w:rPr>
    </w:lvl>
    <w:lvl w:ilvl="2" w:tplc="BE962D36">
      <w:start w:val="1"/>
      <w:numFmt w:val="bullet"/>
      <w:lvlText w:val=""/>
      <w:lvlJc w:val="left"/>
      <w:pPr>
        <w:ind w:left="2160" w:hanging="360"/>
      </w:pPr>
      <w:rPr>
        <w:rFonts w:ascii="Wingdings" w:hAnsi="Wingdings" w:hint="default"/>
      </w:rPr>
    </w:lvl>
    <w:lvl w:ilvl="3" w:tplc="E80CC5B0">
      <w:start w:val="1"/>
      <w:numFmt w:val="bullet"/>
      <w:lvlText w:val=""/>
      <w:lvlJc w:val="left"/>
      <w:pPr>
        <w:ind w:left="2880" w:hanging="360"/>
      </w:pPr>
      <w:rPr>
        <w:rFonts w:ascii="Symbol" w:hAnsi="Symbol" w:hint="default"/>
      </w:rPr>
    </w:lvl>
    <w:lvl w:ilvl="4" w:tplc="6F602E16">
      <w:start w:val="1"/>
      <w:numFmt w:val="bullet"/>
      <w:lvlText w:val="o"/>
      <w:lvlJc w:val="left"/>
      <w:pPr>
        <w:ind w:left="3600" w:hanging="360"/>
      </w:pPr>
      <w:rPr>
        <w:rFonts w:ascii="Courier New" w:hAnsi="Courier New" w:hint="default"/>
      </w:rPr>
    </w:lvl>
    <w:lvl w:ilvl="5" w:tplc="68CE3E56">
      <w:start w:val="1"/>
      <w:numFmt w:val="bullet"/>
      <w:lvlText w:val=""/>
      <w:lvlJc w:val="left"/>
      <w:pPr>
        <w:ind w:left="4320" w:hanging="360"/>
      </w:pPr>
      <w:rPr>
        <w:rFonts w:ascii="Wingdings" w:hAnsi="Wingdings" w:hint="default"/>
      </w:rPr>
    </w:lvl>
    <w:lvl w:ilvl="6" w:tplc="F3082C68">
      <w:start w:val="1"/>
      <w:numFmt w:val="bullet"/>
      <w:lvlText w:val=""/>
      <w:lvlJc w:val="left"/>
      <w:pPr>
        <w:ind w:left="5040" w:hanging="360"/>
      </w:pPr>
      <w:rPr>
        <w:rFonts w:ascii="Symbol" w:hAnsi="Symbol" w:hint="default"/>
      </w:rPr>
    </w:lvl>
    <w:lvl w:ilvl="7" w:tplc="10F60F48">
      <w:start w:val="1"/>
      <w:numFmt w:val="bullet"/>
      <w:lvlText w:val="o"/>
      <w:lvlJc w:val="left"/>
      <w:pPr>
        <w:ind w:left="5760" w:hanging="360"/>
      </w:pPr>
      <w:rPr>
        <w:rFonts w:ascii="Courier New" w:hAnsi="Courier New" w:hint="default"/>
      </w:rPr>
    </w:lvl>
    <w:lvl w:ilvl="8" w:tplc="8012BA8E">
      <w:start w:val="1"/>
      <w:numFmt w:val="bullet"/>
      <w:lvlText w:val=""/>
      <w:lvlJc w:val="left"/>
      <w:pPr>
        <w:ind w:left="6480" w:hanging="360"/>
      </w:pPr>
      <w:rPr>
        <w:rFonts w:ascii="Wingdings" w:hAnsi="Wingdings" w:hint="default"/>
      </w:rPr>
    </w:lvl>
  </w:abstractNum>
  <w:abstractNum w:abstractNumId="30" w15:restartNumberingAfterBreak="0">
    <w:nsid w:val="4F3B3FEA"/>
    <w:multiLevelType w:val="hybridMultilevel"/>
    <w:tmpl w:val="4C2479C8"/>
    <w:lvl w:ilvl="0" w:tplc="5F4C7F8C">
      <w:start w:val="1"/>
      <w:numFmt w:val="bullet"/>
      <w:lvlText w:val=""/>
      <w:lvlJc w:val="left"/>
      <w:pPr>
        <w:ind w:left="720" w:hanging="360"/>
      </w:pPr>
      <w:rPr>
        <w:rFonts w:ascii="Symbol" w:hAnsi="Symbol" w:hint="default"/>
      </w:rPr>
    </w:lvl>
    <w:lvl w:ilvl="1" w:tplc="9390A3BE">
      <w:start w:val="1"/>
      <w:numFmt w:val="bullet"/>
      <w:lvlText w:val="o"/>
      <w:lvlJc w:val="left"/>
      <w:pPr>
        <w:ind w:left="1440" w:hanging="360"/>
      </w:pPr>
      <w:rPr>
        <w:rFonts w:ascii="Courier New" w:hAnsi="Courier New" w:hint="default"/>
      </w:rPr>
    </w:lvl>
    <w:lvl w:ilvl="2" w:tplc="1CD463DC">
      <w:start w:val="1"/>
      <w:numFmt w:val="bullet"/>
      <w:lvlText w:val=""/>
      <w:lvlJc w:val="left"/>
      <w:pPr>
        <w:ind w:left="2160" w:hanging="360"/>
      </w:pPr>
      <w:rPr>
        <w:rFonts w:ascii="Wingdings" w:hAnsi="Wingdings" w:hint="default"/>
      </w:rPr>
    </w:lvl>
    <w:lvl w:ilvl="3" w:tplc="514E7072">
      <w:start w:val="1"/>
      <w:numFmt w:val="bullet"/>
      <w:lvlText w:val=""/>
      <w:lvlJc w:val="left"/>
      <w:pPr>
        <w:ind w:left="2880" w:hanging="360"/>
      </w:pPr>
      <w:rPr>
        <w:rFonts w:ascii="Symbol" w:hAnsi="Symbol" w:hint="default"/>
      </w:rPr>
    </w:lvl>
    <w:lvl w:ilvl="4" w:tplc="235247E8">
      <w:start w:val="1"/>
      <w:numFmt w:val="bullet"/>
      <w:lvlText w:val="o"/>
      <w:lvlJc w:val="left"/>
      <w:pPr>
        <w:ind w:left="3600" w:hanging="360"/>
      </w:pPr>
      <w:rPr>
        <w:rFonts w:ascii="Courier New" w:hAnsi="Courier New" w:hint="default"/>
      </w:rPr>
    </w:lvl>
    <w:lvl w:ilvl="5" w:tplc="EE56F6CE">
      <w:start w:val="1"/>
      <w:numFmt w:val="bullet"/>
      <w:lvlText w:val=""/>
      <w:lvlJc w:val="left"/>
      <w:pPr>
        <w:ind w:left="4320" w:hanging="360"/>
      </w:pPr>
      <w:rPr>
        <w:rFonts w:ascii="Wingdings" w:hAnsi="Wingdings" w:hint="default"/>
      </w:rPr>
    </w:lvl>
    <w:lvl w:ilvl="6" w:tplc="EF0E75D4">
      <w:start w:val="1"/>
      <w:numFmt w:val="bullet"/>
      <w:lvlText w:val=""/>
      <w:lvlJc w:val="left"/>
      <w:pPr>
        <w:ind w:left="5040" w:hanging="360"/>
      </w:pPr>
      <w:rPr>
        <w:rFonts w:ascii="Symbol" w:hAnsi="Symbol" w:hint="default"/>
      </w:rPr>
    </w:lvl>
    <w:lvl w:ilvl="7" w:tplc="E3364DE4">
      <w:start w:val="1"/>
      <w:numFmt w:val="bullet"/>
      <w:lvlText w:val="o"/>
      <w:lvlJc w:val="left"/>
      <w:pPr>
        <w:ind w:left="5760" w:hanging="360"/>
      </w:pPr>
      <w:rPr>
        <w:rFonts w:ascii="Courier New" w:hAnsi="Courier New" w:hint="default"/>
      </w:rPr>
    </w:lvl>
    <w:lvl w:ilvl="8" w:tplc="96C0E0FC">
      <w:start w:val="1"/>
      <w:numFmt w:val="bullet"/>
      <w:lvlText w:val=""/>
      <w:lvlJc w:val="left"/>
      <w:pPr>
        <w:ind w:left="6480" w:hanging="360"/>
      </w:pPr>
      <w:rPr>
        <w:rFonts w:ascii="Wingdings" w:hAnsi="Wingdings" w:hint="default"/>
      </w:rPr>
    </w:lvl>
  </w:abstractNum>
  <w:abstractNum w:abstractNumId="31"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815624"/>
    <w:multiLevelType w:val="hybridMultilevel"/>
    <w:tmpl w:val="C84248CE"/>
    <w:lvl w:ilvl="0" w:tplc="615A167E">
      <w:start w:val="1"/>
      <w:numFmt w:val="bullet"/>
      <w:lvlText w:val=""/>
      <w:lvlJc w:val="left"/>
      <w:pPr>
        <w:ind w:left="720" w:hanging="360"/>
      </w:pPr>
      <w:rPr>
        <w:rFonts w:ascii="Symbol" w:hAnsi="Symbol" w:hint="default"/>
      </w:rPr>
    </w:lvl>
    <w:lvl w:ilvl="1" w:tplc="62D4F712">
      <w:start w:val="1"/>
      <w:numFmt w:val="bullet"/>
      <w:lvlText w:val="o"/>
      <w:lvlJc w:val="left"/>
      <w:pPr>
        <w:ind w:left="1440" w:hanging="360"/>
      </w:pPr>
      <w:rPr>
        <w:rFonts w:ascii="Courier New" w:hAnsi="Courier New" w:hint="default"/>
      </w:rPr>
    </w:lvl>
    <w:lvl w:ilvl="2" w:tplc="02086CAA">
      <w:start w:val="1"/>
      <w:numFmt w:val="bullet"/>
      <w:lvlText w:val=""/>
      <w:lvlJc w:val="left"/>
      <w:pPr>
        <w:ind w:left="2160" w:hanging="360"/>
      </w:pPr>
      <w:rPr>
        <w:rFonts w:ascii="Wingdings" w:hAnsi="Wingdings" w:hint="default"/>
      </w:rPr>
    </w:lvl>
    <w:lvl w:ilvl="3" w:tplc="40B6E41E">
      <w:start w:val="1"/>
      <w:numFmt w:val="bullet"/>
      <w:lvlText w:val=""/>
      <w:lvlJc w:val="left"/>
      <w:pPr>
        <w:ind w:left="2880" w:hanging="360"/>
      </w:pPr>
      <w:rPr>
        <w:rFonts w:ascii="Symbol" w:hAnsi="Symbol" w:hint="default"/>
      </w:rPr>
    </w:lvl>
    <w:lvl w:ilvl="4" w:tplc="16EA892E">
      <w:start w:val="1"/>
      <w:numFmt w:val="bullet"/>
      <w:lvlText w:val="o"/>
      <w:lvlJc w:val="left"/>
      <w:pPr>
        <w:ind w:left="3600" w:hanging="360"/>
      </w:pPr>
      <w:rPr>
        <w:rFonts w:ascii="Courier New" w:hAnsi="Courier New" w:hint="default"/>
      </w:rPr>
    </w:lvl>
    <w:lvl w:ilvl="5" w:tplc="0FE8A1D4">
      <w:start w:val="1"/>
      <w:numFmt w:val="bullet"/>
      <w:lvlText w:val=""/>
      <w:lvlJc w:val="left"/>
      <w:pPr>
        <w:ind w:left="4320" w:hanging="360"/>
      </w:pPr>
      <w:rPr>
        <w:rFonts w:ascii="Wingdings" w:hAnsi="Wingdings" w:hint="default"/>
      </w:rPr>
    </w:lvl>
    <w:lvl w:ilvl="6" w:tplc="F162FB1E">
      <w:start w:val="1"/>
      <w:numFmt w:val="bullet"/>
      <w:lvlText w:val=""/>
      <w:lvlJc w:val="left"/>
      <w:pPr>
        <w:ind w:left="5040" w:hanging="360"/>
      </w:pPr>
      <w:rPr>
        <w:rFonts w:ascii="Symbol" w:hAnsi="Symbol" w:hint="default"/>
      </w:rPr>
    </w:lvl>
    <w:lvl w:ilvl="7" w:tplc="6BC4D0BA">
      <w:start w:val="1"/>
      <w:numFmt w:val="bullet"/>
      <w:lvlText w:val="o"/>
      <w:lvlJc w:val="left"/>
      <w:pPr>
        <w:ind w:left="5760" w:hanging="360"/>
      </w:pPr>
      <w:rPr>
        <w:rFonts w:ascii="Courier New" w:hAnsi="Courier New" w:hint="default"/>
      </w:rPr>
    </w:lvl>
    <w:lvl w:ilvl="8" w:tplc="ED9400DE">
      <w:start w:val="1"/>
      <w:numFmt w:val="bullet"/>
      <w:lvlText w:val=""/>
      <w:lvlJc w:val="left"/>
      <w:pPr>
        <w:ind w:left="6480" w:hanging="360"/>
      </w:pPr>
      <w:rPr>
        <w:rFonts w:ascii="Wingdings" w:hAnsi="Wingdings" w:hint="default"/>
      </w:rPr>
    </w:lvl>
  </w:abstractNum>
  <w:abstractNum w:abstractNumId="3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433FD9"/>
    <w:multiLevelType w:val="hybridMultilevel"/>
    <w:tmpl w:val="69461336"/>
    <w:lvl w:ilvl="0" w:tplc="416AD27C">
      <w:start w:val="1"/>
      <w:numFmt w:val="bullet"/>
      <w:lvlText w:val=""/>
      <w:lvlJc w:val="left"/>
      <w:pPr>
        <w:ind w:left="720" w:hanging="360"/>
      </w:pPr>
      <w:rPr>
        <w:rFonts w:ascii="Symbol" w:hAnsi="Symbol" w:hint="default"/>
      </w:rPr>
    </w:lvl>
    <w:lvl w:ilvl="1" w:tplc="560A23A2">
      <w:start w:val="1"/>
      <w:numFmt w:val="bullet"/>
      <w:lvlText w:val="o"/>
      <w:lvlJc w:val="left"/>
      <w:pPr>
        <w:ind w:left="1440" w:hanging="360"/>
      </w:pPr>
      <w:rPr>
        <w:rFonts w:ascii="Courier New" w:hAnsi="Courier New" w:hint="default"/>
      </w:rPr>
    </w:lvl>
    <w:lvl w:ilvl="2" w:tplc="70CEF812">
      <w:start w:val="1"/>
      <w:numFmt w:val="bullet"/>
      <w:lvlText w:val=""/>
      <w:lvlJc w:val="left"/>
      <w:pPr>
        <w:ind w:left="2160" w:hanging="360"/>
      </w:pPr>
      <w:rPr>
        <w:rFonts w:ascii="Wingdings" w:hAnsi="Wingdings" w:hint="default"/>
      </w:rPr>
    </w:lvl>
    <w:lvl w:ilvl="3" w:tplc="8B7EEB40">
      <w:start w:val="1"/>
      <w:numFmt w:val="bullet"/>
      <w:lvlText w:val=""/>
      <w:lvlJc w:val="left"/>
      <w:pPr>
        <w:ind w:left="2880" w:hanging="360"/>
      </w:pPr>
      <w:rPr>
        <w:rFonts w:ascii="Symbol" w:hAnsi="Symbol" w:hint="default"/>
      </w:rPr>
    </w:lvl>
    <w:lvl w:ilvl="4" w:tplc="9D80D2B6">
      <w:start w:val="1"/>
      <w:numFmt w:val="bullet"/>
      <w:lvlText w:val="o"/>
      <w:lvlJc w:val="left"/>
      <w:pPr>
        <w:ind w:left="3600" w:hanging="360"/>
      </w:pPr>
      <w:rPr>
        <w:rFonts w:ascii="Courier New" w:hAnsi="Courier New" w:hint="default"/>
      </w:rPr>
    </w:lvl>
    <w:lvl w:ilvl="5" w:tplc="2F9AA2EA">
      <w:start w:val="1"/>
      <w:numFmt w:val="bullet"/>
      <w:lvlText w:val=""/>
      <w:lvlJc w:val="left"/>
      <w:pPr>
        <w:ind w:left="4320" w:hanging="360"/>
      </w:pPr>
      <w:rPr>
        <w:rFonts w:ascii="Wingdings" w:hAnsi="Wingdings" w:hint="default"/>
      </w:rPr>
    </w:lvl>
    <w:lvl w:ilvl="6" w:tplc="7E563A98">
      <w:start w:val="1"/>
      <w:numFmt w:val="bullet"/>
      <w:lvlText w:val=""/>
      <w:lvlJc w:val="left"/>
      <w:pPr>
        <w:ind w:left="5040" w:hanging="360"/>
      </w:pPr>
      <w:rPr>
        <w:rFonts w:ascii="Symbol" w:hAnsi="Symbol" w:hint="default"/>
      </w:rPr>
    </w:lvl>
    <w:lvl w:ilvl="7" w:tplc="663C9118">
      <w:start w:val="1"/>
      <w:numFmt w:val="bullet"/>
      <w:lvlText w:val="o"/>
      <w:lvlJc w:val="left"/>
      <w:pPr>
        <w:ind w:left="5760" w:hanging="360"/>
      </w:pPr>
      <w:rPr>
        <w:rFonts w:ascii="Courier New" w:hAnsi="Courier New" w:hint="default"/>
      </w:rPr>
    </w:lvl>
    <w:lvl w:ilvl="8" w:tplc="B5FE8528">
      <w:start w:val="1"/>
      <w:numFmt w:val="bullet"/>
      <w:lvlText w:val=""/>
      <w:lvlJc w:val="left"/>
      <w:pPr>
        <w:ind w:left="6480" w:hanging="360"/>
      </w:pPr>
      <w:rPr>
        <w:rFonts w:ascii="Wingdings" w:hAnsi="Wingdings" w:hint="default"/>
      </w:rPr>
    </w:lvl>
  </w:abstractNum>
  <w:abstractNum w:abstractNumId="3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BF41BB"/>
    <w:multiLevelType w:val="hybridMultilevel"/>
    <w:tmpl w:val="CE588FB4"/>
    <w:lvl w:ilvl="0" w:tplc="890CF964">
      <w:start w:val="1"/>
      <w:numFmt w:val="bullet"/>
      <w:lvlText w:val=""/>
      <w:lvlJc w:val="left"/>
      <w:pPr>
        <w:ind w:left="720" w:hanging="360"/>
      </w:pPr>
      <w:rPr>
        <w:rFonts w:ascii="Symbol" w:hAnsi="Symbol" w:hint="default"/>
      </w:rPr>
    </w:lvl>
    <w:lvl w:ilvl="1" w:tplc="221AB9FC">
      <w:start w:val="1"/>
      <w:numFmt w:val="bullet"/>
      <w:lvlText w:val="o"/>
      <w:lvlJc w:val="left"/>
      <w:pPr>
        <w:ind w:left="1440" w:hanging="360"/>
      </w:pPr>
      <w:rPr>
        <w:rFonts w:ascii="Courier New" w:hAnsi="Courier New" w:hint="default"/>
      </w:rPr>
    </w:lvl>
    <w:lvl w:ilvl="2" w:tplc="A158217E">
      <w:start w:val="1"/>
      <w:numFmt w:val="bullet"/>
      <w:lvlText w:val=""/>
      <w:lvlJc w:val="left"/>
      <w:pPr>
        <w:ind w:left="2160" w:hanging="360"/>
      </w:pPr>
      <w:rPr>
        <w:rFonts w:ascii="Wingdings" w:hAnsi="Wingdings" w:hint="default"/>
      </w:rPr>
    </w:lvl>
    <w:lvl w:ilvl="3" w:tplc="615091FA">
      <w:start w:val="1"/>
      <w:numFmt w:val="bullet"/>
      <w:lvlText w:val=""/>
      <w:lvlJc w:val="left"/>
      <w:pPr>
        <w:ind w:left="2880" w:hanging="360"/>
      </w:pPr>
      <w:rPr>
        <w:rFonts w:ascii="Symbol" w:hAnsi="Symbol" w:hint="default"/>
      </w:rPr>
    </w:lvl>
    <w:lvl w:ilvl="4" w:tplc="871A98C0">
      <w:start w:val="1"/>
      <w:numFmt w:val="bullet"/>
      <w:lvlText w:val="o"/>
      <w:lvlJc w:val="left"/>
      <w:pPr>
        <w:ind w:left="3600" w:hanging="360"/>
      </w:pPr>
      <w:rPr>
        <w:rFonts w:ascii="Courier New" w:hAnsi="Courier New" w:hint="default"/>
      </w:rPr>
    </w:lvl>
    <w:lvl w:ilvl="5" w:tplc="92D09BC4">
      <w:start w:val="1"/>
      <w:numFmt w:val="bullet"/>
      <w:lvlText w:val=""/>
      <w:lvlJc w:val="left"/>
      <w:pPr>
        <w:ind w:left="4320" w:hanging="360"/>
      </w:pPr>
      <w:rPr>
        <w:rFonts w:ascii="Wingdings" w:hAnsi="Wingdings" w:hint="default"/>
      </w:rPr>
    </w:lvl>
    <w:lvl w:ilvl="6" w:tplc="52364C70">
      <w:start w:val="1"/>
      <w:numFmt w:val="bullet"/>
      <w:lvlText w:val=""/>
      <w:lvlJc w:val="left"/>
      <w:pPr>
        <w:ind w:left="5040" w:hanging="360"/>
      </w:pPr>
      <w:rPr>
        <w:rFonts w:ascii="Symbol" w:hAnsi="Symbol" w:hint="default"/>
      </w:rPr>
    </w:lvl>
    <w:lvl w:ilvl="7" w:tplc="FAA8B6C4">
      <w:start w:val="1"/>
      <w:numFmt w:val="bullet"/>
      <w:lvlText w:val="o"/>
      <w:lvlJc w:val="left"/>
      <w:pPr>
        <w:ind w:left="5760" w:hanging="360"/>
      </w:pPr>
      <w:rPr>
        <w:rFonts w:ascii="Courier New" w:hAnsi="Courier New" w:hint="default"/>
      </w:rPr>
    </w:lvl>
    <w:lvl w:ilvl="8" w:tplc="F70C3BF4">
      <w:start w:val="1"/>
      <w:numFmt w:val="bullet"/>
      <w:lvlText w:val=""/>
      <w:lvlJc w:val="left"/>
      <w:pPr>
        <w:ind w:left="6480" w:hanging="360"/>
      </w:pPr>
      <w:rPr>
        <w:rFonts w:ascii="Wingdings" w:hAnsi="Wingdings" w:hint="default"/>
      </w:rPr>
    </w:lvl>
  </w:abstractNum>
  <w:abstractNum w:abstractNumId="38" w15:restartNumberingAfterBreak="0">
    <w:nsid w:val="66187F7D"/>
    <w:multiLevelType w:val="hybridMultilevel"/>
    <w:tmpl w:val="BAB8C0F8"/>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171BB9"/>
    <w:multiLevelType w:val="hybridMultilevel"/>
    <w:tmpl w:val="7EFADB62"/>
    <w:lvl w:ilvl="0" w:tplc="C1022526">
      <w:start w:val="1"/>
      <w:numFmt w:val="bullet"/>
      <w:lvlText w:val=""/>
      <w:lvlJc w:val="left"/>
      <w:pPr>
        <w:ind w:left="720" w:hanging="360"/>
      </w:pPr>
      <w:rPr>
        <w:rFonts w:ascii="Symbol" w:hAnsi="Symbol" w:hint="default"/>
      </w:rPr>
    </w:lvl>
    <w:lvl w:ilvl="1" w:tplc="AAD08FD8">
      <w:start w:val="1"/>
      <w:numFmt w:val="bullet"/>
      <w:lvlText w:val="o"/>
      <w:lvlJc w:val="left"/>
      <w:pPr>
        <w:ind w:left="1440" w:hanging="360"/>
      </w:pPr>
      <w:rPr>
        <w:rFonts w:ascii="Courier New" w:hAnsi="Courier New" w:hint="default"/>
      </w:rPr>
    </w:lvl>
    <w:lvl w:ilvl="2" w:tplc="E51CF19A">
      <w:start w:val="1"/>
      <w:numFmt w:val="bullet"/>
      <w:lvlText w:val=""/>
      <w:lvlJc w:val="left"/>
      <w:pPr>
        <w:ind w:left="2160" w:hanging="360"/>
      </w:pPr>
      <w:rPr>
        <w:rFonts w:ascii="Wingdings" w:hAnsi="Wingdings" w:hint="default"/>
      </w:rPr>
    </w:lvl>
    <w:lvl w:ilvl="3" w:tplc="4322BEA8">
      <w:start w:val="1"/>
      <w:numFmt w:val="bullet"/>
      <w:lvlText w:val=""/>
      <w:lvlJc w:val="left"/>
      <w:pPr>
        <w:ind w:left="2880" w:hanging="360"/>
      </w:pPr>
      <w:rPr>
        <w:rFonts w:ascii="Symbol" w:hAnsi="Symbol" w:hint="default"/>
      </w:rPr>
    </w:lvl>
    <w:lvl w:ilvl="4" w:tplc="E7C862DC">
      <w:start w:val="1"/>
      <w:numFmt w:val="bullet"/>
      <w:lvlText w:val="o"/>
      <w:lvlJc w:val="left"/>
      <w:pPr>
        <w:ind w:left="3600" w:hanging="360"/>
      </w:pPr>
      <w:rPr>
        <w:rFonts w:ascii="Courier New" w:hAnsi="Courier New" w:hint="default"/>
      </w:rPr>
    </w:lvl>
    <w:lvl w:ilvl="5" w:tplc="00481052">
      <w:start w:val="1"/>
      <w:numFmt w:val="bullet"/>
      <w:lvlText w:val=""/>
      <w:lvlJc w:val="left"/>
      <w:pPr>
        <w:ind w:left="4320" w:hanging="360"/>
      </w:pPr>
      <w:rPr>
        <w:rFonts w:ascii="Wingdings" w:hAnsi="Wingdings" w:hint="default"/>
      </w:rPr>
    </w:lvl>
    <w:lvl w:ilvl="6" w:tplc="91CEF0A0">
      <w:start w:val="1"/>
      <w:numFmt w:val="bullet"/>
      <w:lvlText w:val=""/>
      <w:lvlJc w:val="left"/>
      <w:pPr>
        <w:ind w:left="5040" w:hanging="360"/>
      </w:pPr>
      <w:rPr>
        <w:rFonts w:ascii="Symbol" w:hAnsi="Symbol" w:hint="default"/>
      </w:rPr>
    </w:lvl>
    <w:lvl w:ilvl="7" w:tplc="DE82DCC6">
      <w:start w:val="1"/>
      <w:numFmt w:val="bullet"/>
      <w:lvlText w:val="o"/>
      <w:lvlJc w:val="left"/>
      <w:pPr>
        <w:ind w:left="5760" w:hanging="360"/>
      </w:pPr>
      <w:rPr>
        <w:rFonts w:ascii="Courier New" w:hAnsi="Courier New" w:hint="default"/>
      </w:rPr>
    </w:lvl>
    <w:lvl w:ilvl="8" w:tplc="242C2AEA">
      <w:start w:val="1"/>
      <w:numFmt w:val="bullet"/>
      <w:lvlText w:val=""/>
      <w:lvlJc w:val="left"/>
      <w:pPr>
        <w:ind w:left="6480" w:hanging="360"/>
      </w:pPr>
      <w:rPr>
        <w:rFonts w:ascii="Wingdings" w:hAnsi="Wingdings" w:hint="default"/>
      </w:rPr>
    </w:lvl>
  </w:abstractNum>
  <w:abstractNum w:abstractNumId="40"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953FC3"/>
    <w:multiLevelType w:val="hybridMultilevel"/>
    <w:tmpl w:val="61DCC542"/>
    <w:lvl w:ilvl="0" w:tplc="229AB96E">
      <w:start w:val="2"/>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4C744CE"/>
    <w:multiLevelType w:val="hybridMultilevel"/>
    <w:tmpl w:val="E794B5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6875FB"/>
    <w:multiLevelType w:val="hybridMultilevel"/>
    <w:tmpl w:val="FAC4ED06"/>
    <w:lvl w:ilvl="0" w:tplc="B32633A2">
      <w:start w:val="1"/>
      <w:numFmt w:val="bullet"/>
      <w:lvlText w:val=""/>
      <w:lvlJc w:val="left"/>
      <w:pPr>
        <w:ind w:left="720" w:hanging="360"/>
      </w:pPr>
      <w:rPr>
        <w:rFonts w:ascii="Symbol" w:hAnsi="Symbol" w:hint="default"/>
      </w:rPr>
    </w:lvl>
    <w:lvl w:ilvl="1" w:tplc="1B783A76">
      <w:start w:val="1"/>
      <w:numFmt w:val="bullet"/>
      <w:lvlText w:val="o"/>
      <w:lvlJc w:val="left"/>
      <w:pPr>
        <w:ind w:left="1440" w:hanging="360"/>
      </w:pPr>
      <w:rPr>
        <w:rFonts w:ascii="Courier New" w:hAnsi="Courier New" w:hint="default"/>
      </w:rPr>
    </w:lvl>
    <w:lvl w:ilvl="2" w:tplc="3F4494C2">
      <w:start w:val="1"/>
      <w:numFmt w:val="bullet"/>
      <w:lvlText w:val=""/>
      <w:lvlJc w:val="left"/>
      <w:pPr>
        <w:ind w:left="2160" w:hanging="360"/>
      </w:pPr>
      <w:rPr>
        <w:rFonts w:ascii="Wingdings" w:hAnsi="Wingdings" w:hint="default"/>
      </w:rPr>
    </w:lvl>
    <w:lvl w:ilvl="3" w:tplc="67F23A0C">
      <w:start w:val="1"/>
      <w:numFmt w:val="bullet"/>
      <w:lvlText w:val=""/>
      <w:lvlJc w:val="left"/>
      <w:pPr>
        <w:ind w:left="2880" w:hanging="360"/>
      </w:pPr>
      <w:rPr>
        <w:rFonts w:ascii="Symbol" w:hAnsi="Symbol" w:hint="default"/>
      </w:rPr>
    </w:lvl>
    <w:lvl w:ilvl="4" w:tplc="3F68CE9E">
      <w:start w:val="1"/>
      <w:numFmt w:val="bullet"/>
      <w:lvlText w:val="o"/>
      <w:lvlJc w:val="left"/>
      <w:pPr>
        <w:ind w:left="3600" w:hanging="360"/>
      </w:pPr>
      <w:rPr>
        <w:rFonts w:ascii="Courier New" w:hAnsi="Courier New" w:hint="default"/>
      </w:rPr>
    </w:lvl>
    <w:lvl w:ilvl="5" w:tplc="17AEDDF0">
      <w:start w:val="1"/>
      <w:numFmt w:val="bullet"/>
      <w:lvlText w:val=""/>
      <w:lvlJc w:val="left"/>
      <w:pPr>
        <w:ind w:left="4320" w:hanging="360"/>
      </w:pPr>
      <w:rPr>
        <w:rFonts w:ascii="Wingdings" w:hAnsi="Wingdings" w:hint="default"/>
      </w:rPr>
    </w:lvl>
    <w:lvl w:ilvl="6" w:tplc="DB642C9A">
      <w:start w:val="1"/>
      <w:numFmt w:val="bullet"/>
      <w:lvlText w:val=""/>
      <w:lvlJc w:val="left"/>
      <w:pPr>
        <w:ind w:left="5040" w:hanging="360"/>
      </w:pPr>
      <w:rPr>
        <w:rFonts w:ascii="Symbol" w:hAnsi="Symbol" w:hint="default"/>
      </w:rPr>
    </w:lvl>
    <w:lvl w:ilvl="7" w:tplc="7D72E762">
      <w:start w:val="1"/>
      <w:numFmt w:val="bullet"/>
      <w:lvlText w:val="o"/>
      <w:lvlJc w:val="left"/>
      <w:pPr>
        <w:ind w:left="5760" w:hanging="360"/>
      </w:pPr>
      <w:rPr>
        <w:rFonts w:ascii="Courier New" w:hAnsi="Courier New" w:hint="default"/>
      </w:rPr>
    </w:lvl>
    <w:lvl w:ilvl="8" w:tplc="3ED8584C">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2"/>
  </w:num>
  <w:num w:numId="14">
    <w:abstractNumId w:val="32"/>
  </w:num>
  <w:num w:numId="15">
    <w:abstractNumId w:val="15"/>
  </w:num>
  <w:num w:numId="16">
    <w:abstractNumId w:val="20"/>
  </w:num>
  <w:num w:numId="17">
    <w:abstractNumId w:val="11"/>
  </w:num>
  <w:num w:numId="18">
    <w:abstractNumId w:val="0"/>
  </w:num>
  <w:num w:numId="19">
    <w:abstractNumId w:val="13"/>
  </w:num>
  <w:num w:numId="20">
    <w:abstractNumId w:val="24"/>
  </w:num>
  <w:num w:numId="21">
    <w:abstractNumId w:val="34"/>
  </w:num>
  <w:num w:numId="22">
    <w:abstractNumId w:val="36"/>
  </w:num>
  <w:num w:numId="23">
    <w:abstractNumId w:val="14"/>
  </w:num>
  <w:num w:numId="24">
    <w:abstractNumId w:val="40"/>
  </w:num>
  <w:num w:numId="25">
    <w:abstractNumId w:val="25"/>
  </w:num>
  <w:num w:numId="26">
    <w:abstractNumId w:val="28"/>
  </w:num>
  <w:num w:numId="27">
    <w:abstractNumId w:val="18"/>
  </w:num>
  <w:num w:numId="28">
    <w:abstractNumId w:val="42"/>
  </w:num>
  <w:num w:numId="29">
    <w:abstractNumId w:val="38"/>
  </w:num>
  <w:num w:numId="30">
    <w:abstractNumId w:val="21"/>
  </w:num>
  <w:num w:numId="31">
    <w:abstractNumId w:val="16"/>
  </w:num>
  <w:num w:numId="32">
    <w:abstractNumId w:val="37"/>
  </w:num>
  <w:num w:numId="33">
    <w:abstractNumId w:val="26"/>
  </w:num>
  <w:num w:numId="34">
    <w:abstractNumId w:val="30"/>
  </w:num>
  <w:num w:numId="35">
    <w:abstractNumId w:val="35"/>
  </w:num>
  <w:num w:numId="36">
    <w:abstractNumId w:val="43"/>
  </w:num>
  <w:num w:numId="37">
    <w:abstractNumId w:val="39"/>
  </w:num>
  <w:num w:numId="38">
    <w:abstractNumId w:val="33"/>
  </w:num>
  <w:num w:numId="39">
    <w:abstractNumId w:val="29"/>
  </w:num>
  <w:num w:numId="40">
    <w:abstractNumId w:val="23"/>
  </w:num>
  <w:num w:numId="41">
    <w:abstractNumId w:val="12"/>
  </w:num>
  <w:num w:numId="42">
    <w:abstractNumId w:val="27"/>
  </w:num>
  <w:num w:numId="43">
    <w:abstractNumId w:val="41"/>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87205"/>
    <w:rsid w:val="00014DA0"/>
    <w:rsid w:val="0002103D"/>
    <w:rsid w:val="000327CF"/>
    <w:rsid w:val="00042BB0"/>
    <w:rsid w:val="00082412"/>
    <w:rsid w:val="00103FE9"/>
    <w:rsid w:val="00161DA6"/>
    <w:rsid w:val="001A2224"/>
    <w:rsid w:val="001D13D7"/>
    <w:rsid w:val="002128CC"/>
    <w:rsid w:val="00223A71"/>
    <w:rsid w:val="00273505"/>
    <w:rsid w:val="00293126"/>
    <w:rsid w:val="002C3F2B"/>
    <w:rsid w:val="002C5A93"/>
    <w:rsid w:val="002F2FFC"/>
    <w:rsid w:val="00321374"/>
    <w:rsid w:val="00363568"/>
    <w:rsid w:val="003E0ED7"/>
    <w:rsid w:val="00430FE9"/>
    <w:rsid w:val="00453BB0"/>
    <w:rsid w:val="00461AD9"/>
    <w:rsid w:val="004E0621"/>
    <w:rsid w:val="00550FDA"/>
    <w:rsid w:val="005A19E1"/>
    <w:rsid w:val="005C56D9"/>
    <w:rsid w:val="005E7641"/>
    <w:rsid w:val="00612AB3"/>
    <w:rsid w:val="0063062B"/>
    <w:rsid w:val="006D4BC7"/>
    <w:rsid w:val="006F76B4"/>
    <w:rsid w:val="00700C3B"/>
    <w:rsid w:val="0074208A"/>
    <w:rsid w:val="007B626D"/>
    <w:rsid w:val="007C23AE"/>
    <w:rsid w:val="00800B2B"/>
    <w:rsid w:val="008040AD"/>
    <w:rsid w:val="0087137C"/>
    <w:rsid w:val="008A35DF"/>
    <w:rsid w:val="0096192C"/>
    <w:rsid w:val="00972963"/>
    <w:rsid w:val="00AA0868"/>
    <w:rsid w:val="00B14D99"/>
    <w:rsid w:val="00B300C9"/>
    <w:rsid w:val="00B34A04"/>
    <w:rsid w:val="00B74A4E"/>
    <w:rsid w:val="00BA1369"/>
    <w:rsid w:val="00BB7242"/>
    <w:rsid w:val="00BD01B6"/>
    <w:rsid w:val="00C76A64"/>
    <w:rsid w:val="00C93009"/>
    <w:rsid w:val="00D375C8"/>
    <w:rsid w:val="00D37F9B"/>
    <w:rsid w:val="00D60E44"/>
    <w:rsid w:val="00DA0CB6"/>
    <w:rsid w:val="00DE4070"/>
    <w:rsid w:val="00E93C49"/>
    <w:rsid w:val="00EB57EA"/>
    <w:rsid w:val="00EC2B37"/>
    <w:rsid w:val="00EE4405"/>
    <w:rsid w:val="00F03021"/>
    <w:rsid w:val="00F112F7"/>
    <w:rsid w:val="00F31AA4"/>
    <w:rsid w:val="00F862D0"/>
    <w:rsid w:val="00F872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2523ED"/>
  <w15:chartTrackingRefBased/>
  <w15:docId w15:val="{59155070-67D3-430E-93E7-E5791EC1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0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Paragraph"/>
    <w:link w:val="Heading1Char"/>
    <w:qFormat/>
    <w:rsid w:val="00F87205"/>
    <w:pPr>
      <w:keepNext/>
      <w:spacing w:before="360" w:after="60" w:line="360" w:lineRule="auto"/>
      <w:ind w:right="567"/>
      <w:contextualSpacing/>
      <w:jc w:val="center"/>
      <w:outlineLvl w:val="0"/>
    </w:pPr>
    <w:rPr>
      <w:rFonts w:cs="Arial"/>
      <w:b/>
      <w:bCs/>
      <w:kern w:val="32"/>
      <w:szCs w:val="32"/>
    </w:rPr>
  </w:style>
  <w:style w:type="paragraph" w:styleId="Heading2">
    <w:name w:val="heading 2"/>
    <w:basedOn w:val="Normal"/>
    <w:next w:val="Paragraph"/>
    <w:link w:val="Heading2Char"/>
    <w:qFormat/>
    <w:rsid w:val="00F87205"/>
    <w:pPr>
      <w:keepNext/>
      <w:spacing w:before="360" w:after="60" w:line="360" w:lineRule="auto"/>
      <w:ind w:right="567"/>
      <w:contextualSpacing/>
      <w:outlineLvl w:val="1"/>
    </w:pPr>
    <w:rPr>
      <w:rFonts w:cs="Arial"/>
      <w:b/>
      <w:bCs/>
      <w:iCs/>
      <w:szCs w:val="28"/>
    </w:rPr>
  </w:style>
  <w:style w:type="paragraph" w:styleId="Heading3">
    <w:name w:val="heading 3"/>
    <w:basedOn w:val="Normal"/>
    <w:next w:val="Paragraph"/>
    <w:link w:val="Heading3Char"/>
    <w:qFormat/>
    <w:rsid w:val="00F87205"/>
    <w:pPr>
      <w:keepNext/>
      <w:spacing w:before="360" w:after="60" w:line="360" w:lineRule="auto"/>
      <w:ind w:right="567"/>
      <w:contextualSpacing/>
      <w:outlineLvl w:val="2"/>
    </w:pPr>
    <w:rPr>
      <w:rFonts w:cs="Arial"/>
      <w:b/>
      <w:bCs/>
      <w:i/>
      <w:szCs w:val="26"/>
    </w:rPr>
  </w:style>
  <w:style w:type="paragraph" w:styleId="Heading4">
    <w:name w:val="heading 4"/>
    <w:basedOn w:val="Paragraph"/>
    <w:next w:val="Newparagraph"/>
    <w:link w:val="Heading4Char"/>
    <w:rsid w:val="00F87205"/>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7205"/>
    <w:rPr>
      <w:rFonts w:ascii="Times New Roman" w:eastAsia="Times New Roman" w:hAnsi="Times New Roman" w:cs="Arial"/>
      <w:b/>
      <w:bCs/>
      <w:kern w:val="32"/>
      <w:sz w:val="24"/>
      <w:szCs w:val="32"/>
      <w:lang w:eastAsia="en-GB"/>
    </w:rPr>
  </w:style>
  <w:style w:type="character" w:customStyle="1" w:styleId="Heading2Char">
    <w:name w:val="Heading 2 Char"/>
    <w:basedOn w:val="DefaultParagraphFont"/>
    <w:link w:val="Heading2"/>
    <w:rsid w:val="00F87205"/>
    <w:rPr>
      <w:rFonts w:ascii="Times New Roman" w:eastAsia="Times New Roman" w:hAnsi="Times New Roman" w:cs="Arial"/>
      <w:b/>
      <w:bCs/>
      <w:iCs/>
      <w:sz w:val="24"/>
      <w:szCs w:val="28"/>
      <w:lang w:eastAsia="en-GB"/>
    </w:rPr>
  </w:style>
  <w:style w:type="character" w:customStyle="1" w:styleId="Heading3Char">
    <w:name w:val="Heading 3 Char"/>
    <w:basedOn w:val="DefaultParagraphFont"/>
    <w:link w:val="Heading3"/>
    <w:rsid w:val="00F87205"/>
    <w:rPr>
      <w:rFonts w:ascii="Times New Roman" w:eastAsia="Times New Roman" w:hAnsi="Times New Roman" w:cs="Arial"/>
      <w:b/>
      <w:bCs/>
      <w:i/>
      <w:sz w:val="24"/>
      <w:szCs w:val="26"/>
      <w:lang w:eastAsia="en-GB"/>
    </w:rPr>
  </w:style>
  <w:style w:type="character" w:customStyle="1" w:styleId="Heading4Char">
    <w:name w:val="Heading 4 Char"/>
    <w:basedOn w:val="DefaultParagraphFont"/>
    <w:link w:val="Heading4"/>
    <w:rsid w:val="00F87205"/>
    <w:rPr>
      <w:rFonts w:ascii="Times New Roman" w:eastAsia="Times New Roman" w:hAnsi="Times New Roman" w:cs="Times New Roman"/>
      <w:bCs/>
      <w:sz w:val="24"/>
      <w:szCs w:val="28"/>
      <w:lang w:eastAsia="en-GB"/>
    </w:rPr>
  </w:style>
  <w:style w:type="paragraph" w:customStyle="1" w:styleId="Articletitle">
    <w:name w:val="Article title"/>
    <w:basedOn w:val="Normal"/>
    <w:next w:val="Normal"/>
    <w:qFormat/>
    <w:rsid w:val="00F87205"/>
    <w:pPr>
      <w:spacing w:after="120" w:line="360" w:lineRule="auto"/>
    </w:pPr>
    <w:rPr>
      <w:b/>
      <w:sz w:val="28"/>
    </w:rPr>
  </w:style>
  <w:style w:type="paragraph" w:customStyle="1" w:styleId="Authornames">
    <w:name w:val="Author names"/>
    <w:basedOn w:val="Normal"/>
    <w:next w:val="Normal"/>
    <w:qFormat/>
    <w:rsid w:val="00F87205"/>
    <w:pPr>
      <w:spacing w:before="240" w:line="360" w:lineRule="auto"/>
    </w:pPr>
    <w:rPr>
      <w:sz w:val="28"/>
    </w:rPr>
  </w:style>
  <w:style w:type="paragraph" w:customStyle="1" w:styleId="Affiliation">
    <w:name w:val="Affiliation"/>
    <w:basedOn w:val="Normal"/>
    <w:qFormat/>
    <w:rsid w:val="00F87205"/>
    <w:pPr>
      <w:spacing w:before="240" w:line="360" w:lineRule="auto"/>
    </w:pPr>
    <w:rPr>
      <w:i/>
    </w:rPr>
  </w:style>
  <w:style w:type="paragraph" w:customStyle="1" w:styleId="Receiveddates">
    <w:name w:val="Received dates"/>
    <w:basedOn w:val="Affiliation"/>
    <w:next w:val="Normal"/>
    <w:qFormat/>
    <w:rsid w:val="00F87205"/>
  </w:style>
  <w:style w:type="paragraph" w:customStyle="1" w:styleId="Abstract">
    <w:name w:val="Abstract"/>
    <w:basedOn w:val="Normal"/>
    <w:next w:val="Keywords"/>
    <w:qFormat/>
    <w:rsid w:val="00F87205"/>
    <w:pPr>
      <w:spacing w:before="360" w:after="300" w:line="360" w:lineRule="auto"/>
      <w:ind w:left="720" w:right="567"/>
    </w:pPr>
    <w:rPr>
      <w:sz w:val="22"/>
    </w:rPr>
  </w:style>
  <w:style w:type="paragraph" w:customStyle="1" w:styleId="Keywords">
    <w:name w:val="Keywords"/>
    <w:basedOn w:val="Normal"/>
    <w:next w:val="Paragraph"/>
    <w:qFormat/>
    <w:rsid w:val="00F87205"/>
    <w:pPr>
      <w:spacing w:before="240" w:after="240" w:line="360" w:lineRule="auto"/>
      <w:ind w:left="720" w:right="567"/>
    </w:pPr>
    <w:rPr>
      <w:sz w:val="22"/>
    </w:rPr>
  </w:style>
  <w:style w:type="paragraph" w:customStyle="1" w:styleId="Correspondencedetails">
    <w:name w:val="Correspondence details"/>
    <w:basedOn w:val="Normal"/>
    <w:qFormat/>
    <w:rsid w:val="00F87205"/>
    <w:pPr>
      <w:spacing w:before="240" w:line="360" w:lineRule="auto"/>
    </w:pPr>
  </w:style>
  <w:style w:type="paragraph" w:customStyle="1" w:styleId="Displayedquotation">
    <w:name w:val="Displayed quotation"/>
    <w:basedOn w:val="Normal"/>
    <w:qFormat/>
    <w:rsid w:val="00F8720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F87205"/>
    <w:pPr>
      <w:widowControl/>
      <w:numPr>
        <w:numId w:val="13"/>
      </w:numPr>
      <w:spacing w:after="240"/>
      <w:contextualSpacing/>
    </w:pPr>
  </w:style>
  <w:style w:type="paragraph" w:customStyle="1" w:styleId="Displayedequation">
    <w:name w:val="Displayed equation"/>
    <w:basedOn w:val="Normal"/>
    <w:next w:val="Paragraph"/>
    <w:qFormat/>
    <w:rsid w:val="00F87205"/>
    <w:pPr>
      <w:tabs>
        <w:tab w:val="center" w:pos="4253"/>
        <w:tab w:val="right" w:pos="8222"/>
      </w:tabs>
      <w:spacing w:before="240" w:after="240"/>
      <w:jc w:val="center"/>
    </w:pPr>
  </w:style>
  <w:style w:type="paragraph" w:customStyle="1" w:styleId="Acknowledgements">
    <w:name w:val="Acknowledgements"/>
    <w:basedOn w:val="Normal"/>
    <w:next w:val="Normal"/>
    <w:qFormat/>
    <w:rsid w:val="00F87205"/>
    <w:pPr>
      <w:spacing w:before="120" w:line="360" w:lineRule="auto"/>
    </w:pPr>
    <w:rPr>
      <w:sz w:val="22"/>
    </w:rPr>
  </w:style>
  <w:style w:type="paragraph" w:customStyle="1" w:styleId="Tabletitle">
    <w:name w:val="Table title"/>
    <w:basedOn w:val="Normal"/>
    <w:next w:val="Normal"/>
    <w:qFormat/>
    <w:rsid w:val="00F87205"/>
    <w:pPr>
      <w:spacing w:before="240" w:line="360" w:lineRule="auto"/>
    </w:pPr>
  </w:style>
  <w:style w:type="paragraph" w:customStyle="1" w:styleId="Figurecaption">
    <w:name w:val="Figure caption"/>
    <w:basedOn w:val="Normal"/>
    <w:next w:val="Normal"/>
    <w:qFormat/>
    <w:rsid w:val="00F87205"/>
    <w:pPr>
      <w:spacing w:before="240" w:line="360" w:lineRule="auto"/>
    </w:pPr>
  </w:style>
  <w:style w:type="paragraph" w:customStyle="1" w:styleId="Footnotes">
    <w:name w:val="Footnotes"/>
    <w:basedOn w:val="Normal"/>
    <w:qFormat/>
    <w:rsid w:val="00F87205"/>
    <w:pPr>
      <w:spacing w:before="120" w:line="360" w:lineRule="auto"/>
      <w:ind w:left="482" w:hanging="482"/>
      <w:contextualSpacing/>
    </w:pPr>
    <w:rPr>
      <w:sz w:val="22"/>
    </w:rPr>
  </w:style>
  <w:style w:type="paragraph" w:customStyle="1" w:styleId="Notesoncontributors">
    <w:name w:val="Notes on contributors"/>
    <w:basedOn w:val="Normal"/>
    <w:qFormat/>
    <w:rsid w:val="00F87205"/>
    <w:pPr>
      <w:spacing w:before="240" w:line="360" w:lineRule="auto"/>
    </w:pPr>
    <w:rPr>
      <w:sz w:val="22"/>
    </w:rPr>
  </w:style>
  <w:style w:type="paragraph" w:customStyle="1" w:styleId="Normalparagraphstyle">
    <w:name w:val="Normal paragraph style"/>
    <w:basedOn w:val="Normal"/>
    <w:next w:val="Normal"/>
    <w:rsid w:val="00F87205"/>
  </w:style>
  <w:style w:type="paragraph" w:customStyle="1" w:styleId="Paragraph">
    <w:name w:val="Paragraph"/>
    <w:basedOn w:val="Normal"/>
    <w:next w:val="Newparagraph"/>
    <w:qFormat/>
    <w:rsid w:val="00F87205"/>
    <w:pPr>
      <w:widowControl w:val="0"/>
      <w:spacing w:before="240"/>
    </w:pPr>
  </w:style>
  <w:style w:type="paragraph" w:customStyle="1" w:styleId="Newparagraph">
    <w:name w:val="New paragraph"/>
    <w:basedOn w:val="Normal"/>
    <w:link w:val="NewparagraphChar"/>
    <w:qFormat/>
    <w:rsid w:val="00F87205"/>
    <w:pPr>
      <w:ind w:firstLine="720"/>
    </w:pPr>
  </w:style>
  <w:style w:type="paragraph" w:styleId="NormalIndent">
    <w:name w:val="Normal Indent"/>
    <w:basedOn w:val="Normal"/>
    <w:rsid w:val="00F87205"/>
    <w:pPr>
      <w:ind w:left="720"/>
    </w:pPr>
  </w:style>
  <w:style w:type="paragraph" w:customStyle="1" w:styleId="References">
    <w:name w:val="References"/>
    <w:basedOn w:val="Normal"/>
    <w:qFormat/>
    <w:rsid w:val="00F87205"/>
    <w:pPr>
      <w:spacing w:before="120" w:line="360" w:lineRule="auto"/>
      <w:ind w:left="720" w:hanging="720"/>
      <w:contextualSpacing/>
    </w:pPr>
  </w:style>
  <w:style w:type="paragraph" w:customStyle="1" w:styleId="Subjectcodes">
    <w:name w:val="Subject codes"/>
    <w:basedOn w:val="Keywords"/>
    <w:next w:val="Paragraph"/>
    <w:qFormat/>
    <w:rsid w:val="00F87205"/>
  </w:style>
  <w:style w:type="paragraph" w:customStyle="1" w:styleId="Bulletedlist">
    <w:name w:val="Bulleted list"/>
    <w:basedOn w:val="Paragraph"/>
    <w:next w:val="Paragraph"/>
    <w:qFormat/>
    <w:rsid w:val="00F87205"/>
    <w:pPr>
      <w:widowControl/>
      <w:numPr>
        <w:numId w:val="14"/>
      </w:numPr>
      <w:spacing w:after="240"/>
      <w:contextualSpacing/>
    </w:pPr>
  </w:style>
  <w:style w:type="paragraph" w:styleId="FootnoteText">
    <w:name w:val="footnote text"/>
    <w:basedOn w:val="Normal"/>
    <w:link w:val="FootnoteTextChar"/>
    <w:autoRedefine/>
    <w:rsid w:val="00F87205"/>
    <w:pPr>
      <w:ind w:left="284" w:hanging="284"/>
    </w:pPr>
    <w:rPr>
      <w:sz w:val="22"/>
      <w:szCs w:val="20"/>
    </w:rPr>
  </w:style>
  <w:style w:type="character" w:customStyle="1" w:styleId="FootnoteTextChar">
    <w:name w:val="Footnote Text Char"/>
    <w:basedOn w:val="DefaultParagraphFont"/>
    <w:link w:val="FootnoteText"/>
    <w:rsid w:val="00F87205"/>
    <w:rPr>
      <w:rFonts w:ascii="Times New Roman" w:eastAsia="Times New Roman" w:hAnsi="Times New Roman" w:cs="Times New Roman"/>
      <w:szCs w:val="20"/>
      <w:lang w:eastAsia="en-GB"/>
    </w:rPr>
  </w:style>
  <w:style w:type="character" w:styleId="FootnoteReference">
    <w:name w:val="footnote reference"/>
    <w:basedOn w:val="DefaultParagraphFont"/>
    <w:rsid w:val="00F87205"/>
    <w:rPr>
      <w:vertAlign w:val="superscript"/>
    </w:rPr>
  </w:style>
  <w:style w:type="paragraph" w:styleId="EndnoteText">
    <w:name w:val="endnote text"/>
    <w:basedOn w:val="Normal"/>
    <w:link w:val="EndnoteTextChar"/>
    <w:autoRedefine/>
    <w:rsid w:val="00F87205"/>
    <w:pPr>
      <w:ind w:left="284" w:hanging="284"/>
    </w:pPr>
    <w:rPr>
      <w:sz w:val="22"/>
      <w:szCs w:val="20"/>
    </w:rPr>
  </w:style>
  <w:style w:type="character" w:customStyle="1" w:styleId="EndnoteTextChar">
    <w:name w:val="Endnote Text Char"/>
    <w:basedOn w:val="DefaultParagraphFont"/>
    <w:link w:val="EndnoteText"/>
    <w:rsid w:val="00F87205"/>
    <w:rPr>
      <w:rFonts w:ascii="Times New Roman" w:eastAsia="Times New Roman" w:hAnsi="Times New Roman" w:cs="Times New Roman"/>
      <w:szCs w:val="20"/>
      <w:lang w:eastAsia="en-GB"/>
    </w:rPr>
  </w:style>
  <w:style w:type="character" w:styleId="EndnoteReference">
    <w:name w:val="endnote reference"/>
    <w:basedOn w:val="DefaultParagraphFont"/>
    <w:rsid w:val="00F87205"/>
    <w:rPr>
      <w:vertAlign w:val="superscript"/>
    </w:rPr>
  </w:style>
  <w:style w:type="paragraph" w:styleId="Header">
    <w:name w:val="header"/>
    <w:basedOn w:val="Normal"/>
    <w:link w:val="HeaderChar"/>
    <w:uiPriority w:val="99"/>
    <w:rsid w:val="00F87205"/>
    <w:pPr>
      <w:tabs>
        <w:tab w:val="center" w:pos="4320"/>
        <w:tab w:val="right" w:pos="8640"/>
      </w:tabs>
      <w:spacing w:after="120"/>
      <w:contextualSpacing/>
    </w:pPr>
  </w:style>
  <w:style w:type="character" w:customStyle="1" w:styleId="HeaderChar">
    <w:name w:val="Header Char"/>
    <w:basedOn w:val="DefaultParagraphFont"/>
    <w:link w:val="Header"/>
    <w:uiPriority w:val="99"/>
    <w:rsid w:val="00F87205"/>
    <w:rPr>
      <w:rFonts w:ascii="Times New Roman" w:eastAsia="Times New Roman" w:hAnsi="Times New Roman" w:cs="Times New Roman"/>
      <w:sz w:val="24"/>
      <w:szCs w:val="24"/>
      <w:lang w:eastAsia="en-GB"/>
    </w:rPr>
  </w:style>
  <w:style w:type="paragraph" w:styleId="Footer">
    <w:name w:val="footer"/>
    <w:basedOn w:val="Normal"/>
    <w:link w:val="FooterChar"/>
    <w:rsid w:val="00F87205"/>
    <w:pPr>
      <w:tabs>
        <w:tab w:val="center" w:pos="4320"/>
        <w:tab w:val="right" w:pos="8640"/>
      </w:tabs>
      <w:spacing w:before="240"/>
      <w:contextualSpacing/>
    </w:pPr>
  </w:style>
  <w:style w:type="character" w:customStyle="1" w:styleId="FooterChar">
    <w:name w:val="Footer Char"/>
    <w:basedOn w:val="DefaultParagraphFont"/>
    <w:link w:val="Footer"/>
    <w:rsid w:val="00F87205"/>
    <w:rPr>
      <w:rFonts w:ascii="Times New Roman" w:eastAsia="Times New Roman" w:hAnsi="Times New Roman" w:cs="Times New Roman"/>
      <w:sz w:val="24"/>
      <w:szCs w:val="24"/>
      <w:lang w:eastAsia="en-GB"/>
    </w:rPr>
  </w:style>
  <w:style w:type="paragraph" w:customStyle="1" w:styleId="Heading4Paragraph">
    <w:name w:val="Heading 4 + Paragraph"/>
    <w:basedOn w:val="Paragraph"/>
    <w:next w:val="Newparagraph"/>
    <w:qFormat/>
    <w:rsid w:val="00F87205"/>
    <w:pPr>
      <w:widowControl/>
      <w:spacing w:before="360"/>
    </w:pPr>
  </w:style>
  <w:style w:type="character" w:styleId="CommentReference">
    <w:name w:val="annotation reference"/>
    <w:basedOn w:val="DefaultParagraphFont"/>
    <w:uiPriority w:val="99"/>
    <w:semiHidden/>
    <w:unhideWhenUsed/>
    <w:rsid w:val="00F87205"/>
    <w:rPr>
      <w:sz w:val="18"/>
      <w:szCs w:val="18"/>
    </w:rPr>
  </w:style>
  <w:style w:type="paragraph" w:styleId="CommentText">
    <w:name w:val="annotation text"/>
    <w:basedOn w:val="Normal"/>
    <w:link w:val="CommentTextChar"/>
    <w:uiPriority w:val="99"/>
    <w:unhideWhenUsed/>
    <w:rsid w:val="00F87205"/>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F87205"/>
    <w:rPr>
      <w:sz w:val="24"/>
      <w:szCs w:val="24"/>
    </w:rPr>
  </w:style>
  <w:style w:type="paragraph" w:styleId="BalloonText">
    <w:name w:val="Balloon Text"/>
    <w:basedOn w:val="Normal"/>
    <w:link w:val="BalloonTextChar"/>
    <w:semiHidden/>
    <w:unhideWhenUsed/>
    <w:rsid w:val="00F87205"/>
    <w:rPr>
      <w:rFonts w:ascii="Segoe UI" w:hAnsi="Segoe UI" w:cs="Segoe UI"/>
      <w:sz w:val="18"/>
      <w:szCs w:val="18"/>
    </w:rPr>
  </w:style>
  <w:style w:type="character" w:customStyle="1" w:styleId="BalloonTextChar">
    <w:name w:val="Balloon Text Char"/>
    <w:basedOn w:val="DefaultParagraphFont"/>
    <w:link w:val="BalloonText"/>
    <w:semiHidden/>
    <w:rsid w:val="00F87205"/>
    <w:rPr>
      <w:rFonts w:ascii="Segoe UI" w:eastAsia="Times New Roman" w:hAnsi="Segoe UI" w:cs="Segoe UI"/>
      <w:sz w:val="18"/>
      <w:szCs w:val="18"/>
      <w:lang w:eastAsia="en-GB"/>
    </w:rPr>
  </w:style>
  <w:style w:type="paragraph" w:styleId="CommentSubject">
    <w:name w:val="annotation subject"/>
    <w:basedOn w:val="CommentText"/>
    <w:next w:val="CommentText"/>
    <w:link w:val="CommentSubjectChar"/>
    <w:semiHidden/>
    <w:unhideWhenUsed/>
    <w:rsid w:val="00F87205"/>
    <w:pPr>
      <w:spacing w:after="0"/>
    </w:pPr>
    <w:rPr>
      <w:rFonts w:ascii="Times New Roman" w:eastAsia="Times New Roman" w:hAnsi="Times New Roman" w:cs="Times New Roman"/>
      <w:b/>
      <w:bCs/>
      <w:sz w:val="20"/>
      <w:szCs w:val="20"/>
      <w:lang w:val="en-GB" w:eastAsia="en-GB"/>
    </w:rPr>
  </w:style>
  <w:style w:type="character" w:customStyle="1" w:styleId="CommentSubjectChar">
    <w:name w:val="Comment Subject Char"/>
    <w:basedOn w:val="CommentTextChar"/>
    <w:link w:val="CommentSubject"/>
    <w:semiHidden/>
    <w:rsid w:val="00F87205"/>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F87205"/>
    <w:pPr>
      <w:ind w:left="720"/>
      <w:contextualSpacing/>
    </w:pPr>
  </w:style>
  <w:style w:type="paragraph" w:customStyle="1" w:styleId="Default">
    <w:name w:val="Default"/>
    <w:rsid w:val="00F87205"/>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styleId="Hyperlink">
    <w:name w:val="Hyperlink"/>
    <w:basedOn w:val="DefaultParagraphFont"/>
    <w:uiPriority w:val="99"/>
    <w:unhideWhenUsed/>
    <w:rsid w:val="00F87205"/>
    <w:rPr>
      <w:color w:val="0563C1" w:themeColor="hyperlink"/>
      <w:u w:val="single"/>
    </w:rPr>
  </w:style>
  <w:style w:type="table" w:styleId="TableGrid">
    <w:name w:val="Table Grid"/>
    <w:basedOn w:val="TableNormal"/>
    <w:rsid w:val="00F8720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87205"/>
    <w:pPr>
      <w:jc w:val="center"/>
    </w:pPr>
    <w:rPr>
      <w:noProof/>
      <w:lang w:val="en-GB"/>
    </w:rPr>
  </w:style>
  <w:style w:type="character" w:customStyle="1" w:styleId="NewparagraphChar">
    <w:name w:val="New paragraph Char"/>
    <w:basedOn w:val="DefaultParagraphFont"/>
    <w:link w:val="Newparagraph"/>
    <w:rsid w:val="00F87205"/>
    <w:rPr>
      <w:rFonts w:ascii="Times New Roman" w:eastAsia="Times New Roman" w:hAnsi="Times New Roman" w:cs="Times New Roman"/>
      <w:sz w:val="24"/>
      <w:szCs w:val="24"/>
      <w:lang w:eastAsia="en-GB"/>
    </w:rPr>
  </w:style>
  <w:style w:type="character" w:customStyle="1" w:styleId="EndNoteBibliographyTitleChar">
    <w:name w:val="EndNote Bibliography Title Char"/>
    <w:basedOn w:val="NewparagraphChar"/>
    <w:link w:val="EndNoteBibliographyTitle"/>
    <w:rsid w:val="00F87205"/>
    <w:rPr>
      <w:rFonts w:ascii="Times New Roman" w:eastAsia="Times New Roman" w:hAnsi="Times New Roman" w:cs="Times New Roman"/>
      <w:noProof/>
      <w:sz w:val="24"/>
      <w:szCs w:val="24"/>
      <w:lang w:val="en-GB" w:eastAsia="en-GB"/>
    </w:rPr>
  </w:style>
  <w:style w:type="paragraph" w:customStyle="1" w:styleId="EndNoteBibliography">
    <w:name w:val="EndNote Bibliography"/>
    <w:basedOn w:val="Normal"/>
    <w:link w:val="EndNoteBibliographyChar"/>
    <w:rsid w:val="00F87205"/>
    <w:pPr>
      <w:spacing w:line="480" w:lineRule="auto"/>
    </w:pPr>
    <w:rPr>
      <w:noProof/>
      <w:lang w:val="en-GB"/>
    </w:rPr>
  </w:style>
  <w:style w:type="character" w:customStyle="1" w:styleId="EndNoteBibliographyChar">
    <w:name w:val="EndNote Bibliography Char"/>
    <w:basedOn w:val="NewparagraphChar"/>
    <w:link w:val="EndNoteBibliography"/>
    <w:rsid w:val="00F87205"/>
    <w:rPr>
      <w:rFonts w:ascii="Times New Roman" w:eastAsia="Times New Roman" w:hAnsi="Times New Roman" w:cs="Times New Roman"/>
      <w:noProof/>
      <w:sz w:val="24"/>
      <w:szCs w:val="24"/>
      <w:lang w:val="en-GB" w:eastAsia="en-GB"/>
    </w:rPr>
  </w:style>
  <w:style w:type="character" w:styleId="UnresolvedMention">
    <w:name w:val="Unresolved Mention"/>
    <w:basedOn w:val="DefaultParagraphFont"/>
    <w:uiPriority w:val="99"/>
    <w:semiHidden/>
    <w:unhideWhenUsed/>
    <w:rsid w:val="00F87205"/>
    <w:rPr>
      <w:color w:val="605E5C"/>
      <w:shd w:val="clear" w:color="auto" w:fill="E1DFDD"/>
    </w:rPr>
  </w:style>
  <w:style w:type="character" w:styleId="Mention">
    <w:name w:val="Mention"/>
    <w:basedOn w:val="DefaultParagraphFont"/>
    <w:uiPriority w:val="99"/>
    <w:unhideWhenUsed/>
    <w:rsid w:val="00F87205"/>
    <w:rPr>
      <w:color w:val="2B579A"/>
      <w:shd w:val="clear" w:color="auto" w:fill="E1DFDD"/>
    </w:rPr>
  </w:style>
  <w:style w:type="paragraph" w:styleId="NormalWeb">
    <w:name w:val="Normal (Web)"/>
    <w:basedOn w:val="Normal"/>
    <w:uiPriority w:val="99"/>
    <w:unhideWhenUsed/>
    <w:rsid w:val="00F87205"/>
    <w:pPr>
      <w:spacing w:before="100" w:beforeAutospacing="1" w:after="100" w:afterAutospacing="1"/>
    </w:pPr>
    <w:rPr>
      <w:lang w:eastAsia="en-AU"/>
    </w:rPr>
  </w:style>
  <w:style w:type="character" w:customStyle="1" w:styleId="cf01">
    <w:name w:val="cf01"/>
    <w:basedOn w:val="DefaultParagraphFont"/>
    <w:rsid w:val="00F87205"/>
    <w:rPr>
      <w:rFonts w:ascii="Segoe UI" w:hAnsi="Segoe UI" w:cs="Segoe UI" w:hint="default"/>
      <w:sz w:val="18"/>
      <w:szCs w:val="18"/>
    </w:rPr>
  </w:style>
  <w:style w:type="paragraph" w:styleId="Revision">
    <w:name w:val="Revision"/>
    <w:hidden/>
    <w:semiHidden/>
    <w:rsid w:val="00F87205"/>
    <w:pPr>
      <w:spacing w:after="0"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F87205"/>
    <w:pPr>
      <w:spacing w:before="100" w:beforeAutospacing="1" w:after="100" w:afterAutospacing="1"/>
    </w:pPr>
    <w:rPr>
      <w:lang w:eastAsia="en-AU"/>
    </w:rPr>
  </w:style>
  <w:style w:type="character" w:customStyle="1" w:styleId="Mention1">
    <w:name w:val="Mention1"/>
    <w:basedOn w:val="DefaultParagraphFont"/>
    <w:uiPriority w:val="99"/>
    <w:unhideWhenUsed/>
    <w:rsid w:val="00F87205"/>
    <w:rPr>
      <w:color w:val="2B579A"/>
      <w:shd w:val="clear" w:color="auto" w:fill="E1DFDD"/>
    </w:rPr>
  </w:style>
  <w:style w:type="character" w:styleId="FollowedHyperlink">
    <w:name w:val="FollowedHyperlink"/>
    <w:basedOn w:val="DefaultParagraphFont"/>
    <w:semiHidden/>
    <w:unhideWhenUsed/>
    <w:rsid w:val="00F87205"/>
    <w:rPr>
      <w:color w:val="954F72" w:themeColor="followedHyperlink"/>
      <w:u w:val="single"/>
    </w:rPr>
  </w:style>
  <w:style w:type="character" w:styleId="Emphasis">
    <w:name w:val="Emphasis"/>
    <w:basedOn w:val="DefaultParagraphFont"/>
    <w:uiPriority w:val="20"/>
    <w:qFormat/>
    <w:rsid w:val="00F87205"/>
    <w:rPr>
      <w:i/>
      <w:iCs/>
    </w:rPr>
  </w:style>
  <w:style w:type="character" w:styleId="LineNumber">
    <w:name w:val="line number"/>
    <w:basedOn w:val="DefaultParagraphFont"/>
    <w:uiPriority w:val="99"/>
    <w:semiHidden/>
    <w:unhideWhenUsed/>
    <w:rsid w:val="00B14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dunn@unsw.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6D331-55AD-45DD-AB8A-27112FE3A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8</Pages>
  <Words>1971</Words>
  <Characters>10721</Characters>
  <Application>Microsoft Office Word</Application>
  <DocSecurity>0</DocSecurity>
  <Lines>188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Dunn</dc:creator>
  <cp:keywords/>
  <dc:description/>
  <cp:lastModifiedBy>James Dunn</cp:lastModifiedBy>
  <cp:revision>59</cp:revision>
  <dcterms:created xsi:type="dcterms:W3CDTF">2023-06-26T22:40:00Z</dcterms:created>
  <dcterms:modified xsi:type="dcterms:W3CDTF">2024-07-01T23:44:00Z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493cc703-018e-449b-910c-b5d64a6ea478</vt:lpwstr>
  </property>
</Properties>
</file>