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enter" w:pos="4680" w:leader="none"/>
        </w:tabs>
        <w:suppressAutoHyphens w:val="true"/>
        <w:spacing w:lineRule="auto" w:line="480" w:before="0" w:after="0"/>
        <w:rPr>
          <w:rFonts w:ascii="Times New Roman" w:hAnsi="Times New Roman" w:cs="Times New Roman"/>
          <w:bCs/>
          <w:sz w:val="24"/>
          <w:szCs w:val="24"/>
          <w:lang w:val="en-US"/>
        </w:rPr>
      </w:pPr>
      <w:r>
        <w:rPr>
          <w:rFonts w:cs="Times New Roman" w:ascii="Times New Roman" w:hAnsi="Times New Roman"/>
          <w:bCs/>
          <w:sz w:val="24"/>
          <w:szCs w:val="24"/>
          <w:lang w:val="en-US"/>
        </w:rPr>
      </w:r>
    </w:p>
    <w:p>
      <w:pPr>
        <w:pStyle w:val="Normal"/>
        <w:tabs>
          <w:tab w:val="center" w:pos="4680" w:leader="none"/>
        </w:tabs>
        <w:suppressAutoHyphens w:val="true"/>
        <w:spacing w:lineRule="auto" w:line="480" w:before="0" w:after="0"/>
        <w:jc w:val="center"/>
        <w:rPr/>
      </w:pPr>
      <w:r>
        <w:rPr>
          <w:rFonts w:cs="Times New Roman" w:ascii="Times New Roman" w:hAnsi="Times New Roman"/>
          <w:b/>
          <w:bCs/>
          <w:sz w:val="24"/>
          <w:szCs w:val="24"/>
          <w:lang w:val="en-US"/>
        </w:rPr>
        <w:t>Supplemental Analyses</w:t>
      </w:r>
    </w:p>
    <w:p>
      <w:pPr>
        <w:pStyle w:val="Normal"/>
        <w:suppressAutoHyphens w:val="true"/>
        <w:spacing w:lineRule="auto" w:line="480" w:before="0" w:after="0"/>
        <w:rPr/>
      </w:pPr>
      <w:r>
        <w:rPr>
          <w:rFonts w:cs="Times New Roman" w:ascii="Times New Roman" w:hAnsi="Times New Roman"/>
          <w:sz w:val="24"/>
          <w:szCs w:val="24"/>
          <w:lang w:val="en-US"/>
        </w:rPr>
        <w:tab/>
        <w:t xml:space="preserve">Supplemental analyses examining the ratio score proposed by </w:t>
      </w:r>
      <w:r>
        <w:rPr>
          <w:rFonts w:cs="Times New Roman" w:ascii="Times New Roman" w:hAnsi="Times New Roman"/>
          <w:color w:val="201F1E"/>
          <w:sz w:val="24"/>
          <w:szCs w:val="24"/>
          <w:lang w:val="en-US"/>
        </w:rPr>
        <w:t xml:space="preserve">Khooshabeh and Hegarty (2010; see also </w:t>
      </w:r>
      <w:r>
        <w:rPr>
          <w:rFonts w:cs="Times New Roman" w:ascii="Times New Roman" w:hAnsi="Times New Roman"/>
          <w:color w:val="201F1E"/>
          <w:sz w:val="24"/>
          <w:szCs w:val="24"/>
        </w:rPr>
        <w:t xml:space="preserve">Nazareth, Killick, Dick, &amp; Pruden, </w:t>
      </w:r>
      <w:r>
        <w:rPr>
          <w:rFonts w:cs="Times New Roman" w:ascii="Times New Roman" w:hAnsi="Times New Roman"/>
          <w:color w:val="201F1E"/>
          <w:sz w:val="24"/>
          <w:szCs w:val="24"/>
          <w:lang w:val="en-US"/>
        </w:rPr>
        <w:t>2019)</w:t>
      </w:r>
      <w:r>
        <w:rPr>
          <w:rFonts w:cs="Times New Roman" w:ascii="Times New Roman" w:hAnsi="Times New Roman"/>
          <w:sz w:val="24"/>
          <w:szCs w:val="24"/>
          <w:lang w:val="en-US"/>
        </w:rPr>
        <w:t xml:space="preserve"> are presented below.  As a reminder, this ratio score is computed as the total number of fixations within zones divided by the total number of saccades between zones. In the context of a chronometric task using pairs of stimuli, a ratio around one is interpreted as reflecting holistic processing, whereas a ratio above one is seen as reflecting piecemeal processing. However, it is important to remember that, according to Toth and Campbell (2019) this ratio score is not interpretable for a psychometric</w:t>
      </w:r>
      <w:bookmarkStart w:id="0" w:name="_GoBack"/>
      <w:bookmarkEnd w:id="0"/>
      <w:r>
        <w:rPr>
          <w:rFonts w:cs="Times New Roman" w:ascii="Times New Roman" w:hAnsi="Times New Roman"/>
          <w:sz w:val="24"/>
          <w:szCs w:val="24"/>
          <w:lang w:val="en-US"/>
        </w:rPr>
        <w:t xml:space="preserve"> task. For example, these authors suggested that the tendency to spend a large amount of time on the correct alternatives is likely to produce the incorrect conclusion that the process relies on a piecemeal strategy in psychometric tests. Therefore, we present these results only for the sake of completeness.  For comparison purposes, all mixed modeling results for each of the experiments are presented in Table S1. For each analysis, the analytic design was the same as used for accuracy analyses. Finally, results are only mentioned if they achieved significance with </w:t>
      </w:r>
      <w:r>
        <w:rPr>
          <w:rFonts w:cs="Times New Roman" w:ascii="Times New Roman" w:hAnsi="Times New Roman"/>
          <w:i/>
          <w:iCs/>
          <w:sz w:val="24"/>
          <w:szCs w:val="24"/>
          <w:lang w:val="en-US"/>
        </w:rPr>
        <w:t>p</w:t>
      </w:r>
      <w:r>
        <w:rPr>
          <w:rFonts w:cs="Times New Roman" w:ascii="Times New Roman" w:hAnsi="Times New Roman"/>
          <w:sz w:val="24"/>
          <w:szCs w:val="24"/>
          <w:lang w:val="en-US"/>
        </w:rPr>
        <w:t xml:space="preserve"> &lt; .05.</w:t>
      </w:r>
    </w:p>
    <w:p>
      <w:pPr>
        <w:pStyle w:val="Normal"/>
        <w:spacing w:lineRule="auto" w:line="480" w:before="0" w:after="0"/>
        <w:jc w:val="center"/>
        <w:rPr>
          <w:lang w:val="en-US"/>
        </w:rPr>
      </w:pPr>
      <w:r>
        <w:rPr>
          <w:rFonts w:cs="Times New Roman" w:ascii="Times New Roman" w:hAnsi="Times New Roman"/>
          <w:b/>
          <w:sz w:val="24"/>
          <w:szCs w:val="24"/>
          <w:lang w:val="en-US"/>
        </w:rPr>
        <w:t>Experiment 1</w:t>
      </w:r>
    </w:p>
    <w:p>
      <w:pPr>
        <w:pStyle w:val="Normal"/>
        <w:spacing w:lineRule="auto" w:line="480" w:before="0" w:after="0"/>
        <w:rPr/>
      </w:pPr>
      <w:r>
        <w:rPr>
          <w:rFonts w:cs="Times New Roman" w:ascii="Times New Roman" w:hAnsi="Times New Roman"/>
          <w:sz w:val="24"/>
          <w:szCs w:val="24"/>
          <w:lang w:val="en-US"/>
        </w:rPr>
        <w:tab/>
        <w:t>As can be seen from the table, only the effect of test achieved significance in Experiment 1, reflecting a larger ratio score for blocks (</w:t>
      </w:r>
      <w:r>
        <w:rPr>
          <w:rFonts w:cs="Times New Roman" w:ascii="Times New Roman" w:hAnsi="Times New Roman"/>
          <w:i/>
          <w:sz w:val="24"/>
          <w:szCs w:val="24"/>
          <w:lang w:val="en-US"/>
        </w:rPr>
        <w:t xml:space="preserve">M </w:t>
      </w:r>
      <w:r>
        <w:rPr>
          <w:rFonts w:cs="Times New Roman" w:ascii="Times New Roman" w:hAnsi="Times New Roman"/>
          <w:sz w:val="24"/>
          <w:szCs w:val="24"/>
          <w:lang w:val="en-US"/>
        </w:rPr>
        <w:t xml:space="preserve">= 3.15, </w:t>
      </w:r>
      <w:r>
        <w:rPr>
          <w:rFonts w:cs="Times New Roman" w:ascii="Times New Roman" w:hAnsi="Times New Roman"/>
          <w:i/>
          <w:sz w:val="24"/>
          <w:szCs w:val="24"/>
          <w:lang w:val="en-US"/>
        </w:rPr>
        <w:t>SD</w:t>
      </w:r>
      <w:r>
        <w:rPr>
          <w:rFonts w:cs="Times New Roman" w:ascii="Times New Roman" w:hAnsi="Times New Roman"/>
          <w:sz w:val="24"/>
          <w:szCs w:val="24"/>
          <w:lang w:val="en-US"/>
        </w:rPr>
        <w:t xml:space="preserve"> = 1.98) than for human figures (</w:t>
      </w:r>
      <w:r>
        <w:rPr>
          <w:rFonts w:cs="Times New Roman" w:ascii="Times New Roman" w:hAnsi="Times New Roman"/>
          <w:i/>
          <w:sz w:val="24"/>
          <w:szCs w:val="24"/>
          <w:lang w:val="en-US"/>
        </w:rPr>
        <w:t xml:space="preserve">M </w:t>
      </w:r>
      <w:r>
        <w:rPr>
          <w:rFonts w:cs="Times New Roman" w:ascii="Times New Roman" w:hAnsi="Times New Roman"/>
          <w:sz w:val="24"/>
          <w:szCs w:val="24"/>
          <w:lang w:val="en-US"/>
        </w:rPr>
        <w:t xml:space="preserve">= 2.74, </w:t>
      </w:r>
      <w:r>
        <w:rPr>
          <w:rFonts w:cs="Times New Roman" w:ascii="Times New Roman" w:hAnsi="Times New Roman"/>
          <w:i/>
          <w:sz w:val="24"/>
          <w:szCs w:val="24"/>
          <w:lang w:val="en-US"/>
        </w:rPr>
        <w:t>SD</w:t>
      </w:r>
      <w:r>
        <w:rPr>
          <w:rFonts w:cs="Times New Roman" w:ascii="Times New Roman" w:hAnsi="Times New Roman"/>
          <w:sz w:val="24"/>
          <w:szCs w:val="24"/>
          <w:lang w:val="en-US"/>
        </w:rPr>
        <w:t xml:space="preserve"> = 1.26). Considering that both these values are significantly different from one (both </w:t>
      </w:r>
      <w:r>
        <w:rPr>
          <w:rFonts w:cs="Times New Roman" w:ascii="Times New Roman" w:hAnsi="Times New Roman"/>
          <w:i/>
          <w:iCs/>
          <w:sz w:val="24"/>
          <w:szCs w:val="24"/>
          <w:lang w:val="en-US"/>
        </w:rPr>
        <w:t>p</w:t>
      </w:r>
      <w:r>
        <w:rPr>
          <w:rFonts w:cs="Times New Roman" w:ascii="Times New Roman" w:hAnsi="Times New Roman"/>
          <w:sz w:val="24"/>
          <w:szCs w:val="24"/>
          <w:lang w:val="en-US"/>
        </w:rPr>
        <w:t xml:space="preserve"> &lt; .001) these results would suggest the use of a piecemeal strategy in both tests, although even more so for the blocks test.</w:t>
      </w:r>
    </w:p>
    <w:p>
      <w:pPr>
        <w:pStyle w:val="Normal"/>
        <w:spacing w:lineRule="auto" w:line="480" w:before="0" w:after="0"/>
        <w:jc w:val="center"/>
        <w:rPr/>
      </w:pPr>
      <w:r>
        <w:rPr>
          <w:rFonts w:cs="Times New Roman" w:ascii="Times New Roman" w:hAnsi="Times New Roman"/>
          <w:b/>
          <w:sz w:val="24"/>
          <w:szCs w:val="24"/>
          <w:lang w:val="en-US"/>
        </w:rPr>
        <w:t>Experiment 2</w:t>
      </w:r>
    </w:p>
    <w:p>
      <w:pPr>
        <w:pStyle w:val="Normal"/>
        <w:spacing w:lineRule="auto" w:line="480" w:before="0" w:after="0"/>
        <w:rPr/>
      </w:pPr>
      <w:r>
        <w:rPr>
          <w:rFonts w:cs="Times New Roman" w:ascii="Times New Roman" w:hAnsi="Times New Roman"/>
          <w:i/>
          <w:sz w:val="24"/>
          <w:szCs w:val="24"/>
          <w:lang w:val="en-US"/>
        </w:rPr>
        <w:tab/>
      </w:r>
      <w:r>
        <w:rPr>
          <w:rFonts w:cs="Times New Roman" w:ascii="Times New Roman" w:hAnsi="Times New Roman"/>
          <w:sz w:val="24"/>
          <w:szCs w:val="24"/>
          <w:lang w:val="en-US"/>
        </w:rPr>
        <w:t xml:space="preserve"> In Experiment 2, the effect of test achieved significance, but this main effect was qualified by a sex by test interaction. Simple main effect analyses to decompose this interaction showed that, on the blocks test, men (</w:t>
      </w:r>
      <w:r>
        <w:rPr>
          <w:rFonts w:cs="Times New Roman" w:ascii="Times New Roman" w:hAnsi="Times New Roman"/>
          <w:i/>
          <w:sz w:val="24"/>
          <w:szCs w:val="24"/>
          <w:lang w:val="en-US"/>
        </w:rPr>
        <w:t xml:space="preserve">M </w:t>
      </w:r>
      <w:r>
        <w:rPr>
          <w:rFonts w:cs="Times New Roman" w:ascii="Times New Roman" w:hAnsi="Times New Roman"/>
          <w:sz w:val="24"/>
          <w:szCs w:val="24"/>
          <w:lang w:val="en-US"/>
        </w:rPr>
        <w:t xml:space="preserve">= 2.50, </w:t>
      </w:r>
      <w:r>
        <w:rPr>
          <w:rFonts w:cs="Times New Roman" w:ascii="Times New Roman" w:hAnsi="Times New Roman"/>
          <w:i/>
          <w:sz w:val="24"/>
          <w:szCs w:val="24"/>
          <w:lang w:val="en-US"/>
        </w:rPr>
        <w:t>SD</w:t>
      </w:r>
      <w:r>
        <w:rPr>
          <w:rFonts w:cs="Times New Roman" w:ascii="Times New Roman" w:hAnsi="Times New Roman"/>
          <w:sz w:val="24"/>
          <w:szCs w:val="24"/>
          <w:lang w:val="en-US"/>
        </w:rPr>
        <w:t xml:space="preserve"> = 2.38) obtained significantly larger ratio scores than women (</w:t>
      </w:r>
      <w:r>
        <w:rPr>
          <w:rFonts w:cs="Times New Roman" w:ascii="Times New Roman" w:hAnsi="Times New Roman"/>
          <w:i/>
          <w:sz w:val="24"/>
          <w:szCs w:val="24"/>
          <w:lang w:val="en-US"/>
        </w:rPr>
        <w:t xml:space="preserve">M </w:t>
      </w:r>
      <w:r>
        <w:rPr>
          <w:rFonts w:cs="Times New Roman" w:ascii="Times New Roman" w:hAnsi="Times New Roman"/>
          <w:sz w:val="24"/>
          <w:szCs w:val="24"/>
          <w:lang w:val="en-US"/>
        </w:rPr>
        <w:t xml:space="preserve">= 1.99, </w:t>
      </w:r>
      <w:r>
        <w:rPr>
          <w:rFonts w:cs="Times New Roman" w:ascii="Times New Roman" w:hAnsi="Times New Roman"/>
          <w:i/>
          <w:sz w:val="24"/>
          <w:szCs w:val="24"/>
          <w:lang w:val="en-US"/>
        </w:rPr>
        <w:t>SD</w:t>
      </w:r>
      <w:r>
        <w:rPr>
          <w:rFonts w:cs="Times New Roman" w:ascii="Times New Roman" w:hAnsi="Times New Roman"/>
          <w:sz w:val="24"/>
          <w:szCs w:val="24"/>
          <w:lang w:val="en-US"/>
        </w:rPr>
        <w:t xml:space="preserve"> = 2.10), whereas the sex difference was not significant on the human figures test (</w:t>
      </w:r>
      <w:r>
        <w:rPr>
          <w:rFonts w:cs="Times New Roman" w:ascii="Times New Roman" w:hAnsi="Times New Roman"/>
          <w:i/>
          <w:sz w:val="24"/>
          <w:szCs w:val="24"/>
          <w:lang w:val="en-US"/>
        </w:rPr>
        <w:t xml:space="preserve">M </w:t>
      </w:r>
      <w:r>
        <w:rPr>
          <w:rFonts w:cs="Times New Roman" w:ascii="Times New Roman" w:hAnsi="Times New Roman"/>
          <w:sz w:val="24"/>
          <w:szCs w:val="24"/>
          <w:lang w:val="en-US"/>
        </w:rPr>
        <w:t xml:space="preserve">= 1.49, </w:t>
      </w:r>
      <w:r>
        <w:rPr>
          <w:rFonts w:cs="Times New Roman" w:ascii="Times New Roman" w:hAnsi="Times New Roman"/>
          <w:i/>
          <w:sz w:val="24"/>
          <w:szCs w:val="24"/>
          <w:lang w:val="en-US"/>
        </w:rPr>
        <w:t>SD</w:t>
      </w:r>
      <w:r>
        <w:rPr>
          <w:rFonts w:cs="Times New Roman" w:ascii="Times New Roman" w:hAnsi="Times New Roman"/>
          <w:sz w:val="24"/>
          <w:szCs w:val="24"/>
          <w:lang w:val="en-US"/>
        </w:rPr>
        <w:t xml:space="preserve"> = 1.22 for men; </w:t>
      </w:r>
      <w:r>
        <w:rPr>
          <w:rFonts w:cs="Times New Roman" w:ascii="Times New Roman" w:hAnsi="Times New Roman"/>
          <w:i/>
          <w:sz w:val="24"/>
          <w:szCs w:val="24"/>
          <w:lang w:val="en-US"/>
        </w:rPr>
        <w:t xml:space="preserve">M </w:t>
      </w:r>
      <w:r>
        <w:rPr>
          <w:rFonts w:cs="Times New Roman" w:ascii="Times New Roman" w:hAnsi="Times New Roman"/>
          <w:sz w:val="24"/>
          <w:szCs w:val="24"/>
          <w:lang w:val="en-US"/>
        </w:rPr>
        <w:t xml:space="preserve">= 1.76, </w:t>
      </w:r>
      <w:r>
        <w:rPr>
          <w:rFonts w:cs="Times New Roman" w:ascii="Times New Roman" w:hAnsi="Times New Roman"/>
          <w:i/>
          <w:sz w:val="24"/>
          <w:szCs w:val="24"/>
          <w:lang w:val="en-US"/>
        </w:rPr>
        <w:t>SD</w:t>
      </w:r>
      <w:r>
        <w:rPr>
          <w:rFonts w:cs="Times New Roman" w:ascii="Times New Roman" w:hAnsi="Times New Roman"/>
          <w:sz w:val="24"/>
          <w:szCs w:val="24"/>
          <w:lang w:val="en-US"/>
        </w:rPr>
        <w:t xml:space="preserve"> = 2.10) . Considering that all these ratio scores are significantly different from one (all </w:t>
      </w:r>
      <w:r>
        <w:rPr>
          <w:rFonts w:cs="Times New Roman" w:ascii="Times New Roman" w:hAnsi="Times New Roman"/>
          <w:i/>
          <w:iCs/>
          <w:sz w:val="24"/>
          <w:szCs w:val="24"/>
          <w:lang w:val="en-US"/>
        </w:rPr>
        <w:t>p</w:t>
      </w:r>
      <w:r>
        <w:rPr>
          <w:rFonts w:cs="Times New Roman" w:ascii="Times New Roman" w:hAnsi="Times New Roman"/>
          <w:sz w:val="24"/>
          <w:szCs w:val="24"/>
          <w:lang w:val="en-US"/>
        </w:rPr>
        <w:t xml:space="preserve"> &lt; .025), these results would suggest the use of a piecemeal strategy in both tests and by both men and women, although this finding is most pronounced for men in the blocks test.</w:t>
      </w:r>
    </w:p>
    <w:p>
      <w:pPr>
        <w:pStyle w:val="Normal"/>
        <w:spacing w:lineRule="auto" w:line="480"/>
        <w:jc w:val="center"/>
        <w:rPr/>
      </w:pPr>
      <w:r>
        <w:rPr>
          <w:rFonts w:cs="Times New Roman" w:ascii="Times New Roman" w:hAnsi="Times New Roman"/>
          <w:b/>
          <w:sz w:val="24"/>
          <w:szCs w:val="24"/>
          <w:lang w:val="en-US"/>
        </w:rPr>
        <w:t>Experiment 3</w:t>
      </w:r>
    </w:p>
    <w:p>
      <w:pPr>
        <w:pStyle w:val="Normal"/>
        <w:spacing w:lineRule="auto" w:line="480" w:before="0" w:after="0"/>
        <w:rPr/>
      </w:pPr>
      <w:r>
        <w:rPr>
          <w:rFonts w:cs="Times New Roman" w:ascii="Times New Roman" w:hAnsi="Times New Roman"/>
          <w:b/>
          <w:sz w:val="24"/>
          <w:szCs w:val="24"/>
          <w:lang w:val="en-US"/>
        </w:rPr>
        <w:tab/>
      </w:r>
      <w:r>
        <w:rPr>
          <w:rFonts w:cs="Times New Roman" w:ascii="Times New Roman" w:hAnsi="Times New Roman"/>
          <w:sz w:val="24"/>
          <w:szCs w:val="24"/>
          <w:lang w:val="en-US"/>
        </w:rPr>
        <w:t>In Experiment 3, only the effect of test was significant, reflecting again a larger ratio score for blocks (</w:t>
      </w:r>
      <w:r>
        <w:rPr>
          <w:rFonts w:cs="Times New Roman" w:ascii="Times New Roman" w:hAnsi="Times New Roman"/>
          <w:i/>
          <w:sz w:val="24"/>
          <w:szCs w:val="24"/>
          <w:lang w:val="en-US"/>
        </w:rPr>
        <w:t xml:space="preserve">M </w:t>
      </w:r>
      <w:r>
        <w:rPr>
          <w:rFonts w:cs="Times New Roman" w:ascii="Times New Roman" w:hAnsi="Times New Roman"/>
          <w:sz w:val="24"/>
          <w:szCs w:val="24"/>
          <w:lang w:val="en-US"/>
        </w:rPr>
        <w:t xml:space="preserve">= 1.17, </w:t>
      </w:r>
      <w:r>
        <w:rPr>
          <w:rFonts w:cs="Times New Roman" w:ascii="Times New Roman" w:hAnsi="Times New Roman"/>
          <w:i/>
          <w:sz w:val="24"/>
          <w:szCs w:val="24"/>
          <w:lang w:val="en-US"/>
        </w:rPr>
        <w:t>SD</w:t>
      </w:r>
      <w:r>
        <w:rPr>
          <w:rFonts w:cs="Times New Roman" w:ascii="Times New Roman" w:hAnsi="Times New Roman"/>
          <w:sz w:val="24"/>
          <w:szCs w:val="24"/>
          <w:lang w:val="en-US"/>
        </w:rPr>
        <w:t xml:space="preserve"> = 0.41) than for human figures (</w:t>
      </w:r>
      <w:r>
        <w:rPr>
          <w:rFonts w:cs="Times New Roman" w:ascii="Times New Roman" w:hAnsi="Times New Roman"/>
          <w:i/>
          <w:sz w:val="24"/>
          <w:szCs w:val="24"/>
          <w:lang w:val="en-US"/>
        </w:rPr>
        <w:t xml:space="preserve">M </w:t>
      </w:r>
      <w:r>
        <w:rPr>
          <w:rFonts w:cs="Times New Roman" w:ascii="Times New Roman" w:hAnsi="Times New Roman"/>
          <w:sz w:val="24"/>
          <w:szCs w:val="24"/>
          <w:lang w:val="en-US"/>
        </w:rPr>
        <w:t xml:space="preserve">= 1.04, </w:t>
      </w:r>
      <w:r>
        <w:rPr>
          <w:rFonts w:cs="Times New Roman" w:ascii="Times New Roman" w:hAnsi="Times New Roman"/>
          <w:i/>
          <w:sz w:val="24"/>
          <w:szCs w:val="24"/>
          <w:lang w:val="en-US"/>
        </w:rPr>
        <w:t>SD</w:t>
      </w:r>
      <w:r>
        <w:rPr>
          <w:rFonts w:cs="Times New Roman" w:ascii="Times New Roman" w:hAnsi="Times New Roman"/>
          <w:sz w:val="24"/>
          <w:szCs w:val="24"/>
          <w:lang w:val="en-US"/>
        </w:rPr>
        <w:t xml:space="preserve"> = 0.41). Here however, the ratio score was significantly different from one for blocks (</w:t>
      </w:r>
      <w:r>
        <w:rPr>
          <w:rFonts w:cs="Times New Roman" w:ascii="Times New Roman" w:hAnsi="Times New Roman"/>
          <w:i/>
          <w:iCs/>
          <w:sz w:val="24"/>
          <w:szCs w:val="24"/>
          <w:lang w:val="en-US"/>
        </w:rPr>
        <w:t>p</w:t>
      </w:r>
      <w:r>
        <w:rPr>
          <w:rFonts w:cs="Times New Roman" w:ascii="Times New Roman" w:hAnsi="Times New Roman"/>
          <w:sz w:val="24"/>
          <w:szCs w:val="24"/>
          <w:lang w:val="en-US"/>
        </w:rPr>
        <w:t xml:space="preserve"> &lt; .001) but not for human figures (p = .244). Therefore, strictly speaking, these findings suggest a piecemeal strategy for blocks and a holistic strategy for human figures.</w:t>
      </w:r>
    </w:p>
    <w:p>
      <w:pPr>
        <w:pStyle w:val="Normal"/>
        <w:spacing w:lineRule="auto" w:line="480" w:before="0" w:after="0"/>
        <w:jc w:val="center"/>
        <w:rPr>
          <w:b/>
          <w:b/>
          <w:bCs/>
        </w:rPr>
      </w:pPr>
      <w:r>
        <w:rPr>
          <w:rFonts w:cs="Times New Roman" w:ascii="Times New Roman" w:hAnsi="Times New Roman"/>
          <w:b/>
          <w:bCs/>
          <w:sz w:val="24"/>
          <w:szCs w:val="24"/>
          <w:lang w:val="en-US"/>
        </w:rPr>
        <w:t>General Discussion</w:t>
      </w:r>
    </w:p>
    <w:p>
      <w:pPr>
        <w:pStyle w:val="Normal"/>
        <w:spacing w:lineRule="auto" w:line="480" w:before="0" w:after="0"/>
        <w:rPr/>
      </w:pPr>
      <w:r>
        <w:rPr>
          <w:rFonts w:cs="Times New Roman" w:ascii="Times New Roman" w:hAnsi="Times New Roman"/>
          <w:sz w:val="24"/>
          <w:szCs w:val="24"/>
          <w:lang w:val="en-US"/>
        </w:rPr>
        <w:tab/>
        <w:t>The results of the supplemental analyses would suggest that a piecemeal strategy was generally used by all participants on both tests in Experiments 1 and 2, whereas Experiment 3 showed a switch to a holistic strategy but only for human figures. Although this last finding conforms to expectations, as we have explained above and in the main text, a direct interpretation of the ratio scores is not possible for psychometric tests such as the ones used here.</w:t>
      </w:r>
    </w:p>
    <w:p>
      <w:pPr>
        <w:pStyle w:val="Normal"/>
        <w:spacing w:lineRule="auto" w:line="480" w:before="0" w:after="0"/>
        <w:rPr/>
      </w:pPr>
      <w:r>
        <w:rPr>
          <w:rFonts w:cs="Times New Roman" w:ascii="Times New Roman" w:hAnsi="Times New Roman"/>
          <w:sz w:val="24"/>
          <w:szCs w:val="24"/>
          <w:lang w:val="en-US"/>
        </w:rPr>
        <w:tab/>
        <w:t xml:space="preserve">With this in mind, even though, to some extent, the results conform to our predictions for Experiments 1 and 2 (i.e., strong piecemeal component in Experiment 1 that is somewhat reduced in Experiment 2), the ratio score results for Experiment 2 are also meaningless considering the underlying manipulation. Specifically, it was impossible for participants to use a piecemeal strategy in Experiment 2 because they were forced to gaze at a small central part of each figure. If they moved their eyes outside this window, the figure disappeared, thereby precluding the ability to conduct a piecemeal analysis of peripheral features. The pattern of results observed in Experiment 2 can be better explained by multiple within-windows eye movement as participants gauged the limits of the invisible window that we used as boundary.  Therefore, the participants did not use a piecemeal strategy in Experiment 2. Instead, they developed a strategy to deal with a difficult task. In this context, the number of within-figures fixations might reflect task difficulty rather than piecemeal or holistic strategy selection. From that perspective, the ratio score does not provide additional information over the results presented in the main text for duration of fixation and the number of saccades between the target and response alternatives. All dependent measures therefore suggest that task difficulty is a crucial component underlying the patterns of fixation. A consequence of these interpretations is that confirmation of strategy differences as a function of test in Experiment 3 are likely to be coincidental and should not be over-interpreted. Essentially, the somewhat strange pattern of results produced by the ratio score across our three experiments should be seen as support for Toth and Campbell’s (2019) argument that the ratio score developed by </w:t>
      </w:r>
      <w:r>
        <w:rPr>
          <w:rFonts w:cs="Times New Roman" w:ascii="Times New Roman" w:hAnsi="Times New Roman"/>
          <w:color w:val="201F1E"/>
          <w:sz w:val="24"/>
          <w:szCs w:val="24"/>
          <w:lang w:val="en-US"/>
        </w:rPr>
        <w:t>Khooshabeh and Hegarty (2010)</w:t>
      </w:r>
      <w:r>
        <w:rPr>
          <w:rFonts w:cs="Times New Roman" w:ascii="Times New Roman" w:hAnsi="Times New Roman"/>
          <w:sz w:val="24"/>
          <w:szCs w:val="24"/>
          <w:lang w:val="en-US"/>
        </w:rPr>
        <w:t xml:space="preserve"> is inappropriate in the context of a psychometric test.</w:t>
      </w:r>
    </w:p>
    <w:p>
      <w:pPr>
        <w:pStyle w:val="Normal"/>
        <w:spacing w:lineRule="auto" w:line="480"/>
        <w:rPr>
          <w:rFonts w:ascii="Times New Roman" w:hAnsi="Times New Roman" w:cs="Times New Roman"/>
          <w:sz w:val="24"/>
          <w:szCs w:val="24"/>
          <w:lang w:val="en-US"/>
        </w:rPr>
      </w:pPr>
      <w:r>
        <w:rPr>
          <w:rFonts w:cs="Times New Roman" w:ascii="Times New Roman" w:hAnsi="Times New Roman"/>
          <w:sz w:val="24"/>
          <w:szCs w:val="24"/>
          <w:lang w:val="en-US"/>
        </w:rPr>
      </w:r>
      <w:r>
        <w:br w:type="page"/>
      </w:r>
    </w:p>
    <w:p>
      <w:pPr>
        <w:pStyle w:val="Normal"/>
        <w:spacing w:lineRule="auto" w:line="480"/>
        <w:jc w:val="center"/>
        <w:rPr/>
      </w:pPr>
      <w:r>
        <w:rPr>
          <w:rFonts w:cs="Times New Roman" w:ascii="Times New Roman" w:hAnsi="Times New Roman"/>
          <w:sz w:val="24"/>
          <w:szCs w:val="24"/>
          <w:lang w:val="en-US"/>
        </w:rPr>
        <w:t>References</w:t>
      </w:r>
    </w:p>
    <w:p>
      <w:pPr>
        <w:pStyle w:val="Normal"/>
        <w:spacing w:lineRule="auto" w:line="480" w:before="0" w:after="0"/>
        <w:ind w:left="720" w:hanging="720"/>
        <w:rPr/>
      </w:pPr>
      <w:r>
        <w:rPr>
          <w:rFonts w:cs="Times New Roman" w:ascii="Times New Roman" w:hAnsi="Times New Roman"/>
          <w:sz w:val="24"/>
          <w:szCs w:val="24"/>
        </w:rPr>
        <w:t xml:space="preserve">Khooshabeh, P., &amp; Hegarty, M. (2010, March). Representations of Shape during Mental Rotation. In </w:t>
      </w:r>
      <w:r>
        <w:rPr>
          <w:rFonts w:cs="Times New Roman" w:ascii="Times New Roman" w:hAnsi="Times New Roman"/>
          <w:i/>
          <w:sz w:val="24"/>
          <w:szCs w:val="24"/>
        </w:rPr>
        <w:t>AAAI Spring Symposium: Cognitive Shape Processing.</w:t>
      </w:r>
      <w:r>
        <w:rPr>
          <w:rFonts w:cs="Times New Roman" w:ascii="Times New Roman" w:hAnsi="Times New Roman"/>
          <w:sz w:val="24"/>
          <w:szCs w:val="24"/>
        </w:rPr>
        <w:t xml:space="preserve"> </w:t>
      </w:r>
    </w:p>
    <w:p>
      <w:pPr>
        <w:pStyle w:val="Normal"/>
        <w:spacing w:lineRule="auto" w:line="480" w:before="0" w:after="0"/>
        <w:ind w:left="720" w:hanging="720"/>
        <w:rPr/>
      </w:pPr>
      <w:r>
        <w:rPr>
          <w:rFonts w:cs="Times New Roman" w:ascii="Times New Roman" w:hAnsi="Times New Roman"/>
          <w:sz w:val="24"/>
          <w:szCs w:val="24"/>
        </w:rPr>
        <w:t xml:space="preserve">Nazareth, A., Killick, R., Dick, A. S., &amp; Pruden, S. M. (2019). Strategy selection versus flexibility: Using eye-trackers to investigate strategy use during mental rotation. </w:t>
      </w:r>
      <w:r>
        <w:rPr>
          <w:rFonts w:cs="Times New Roman" w:ascii="Times New Roman" w:hAnsi="Times New Roman"/>
          <w:i/>
          <w:sz w:val="24"/>
          <w:szCs w:val="24"/>
        </w:rPr>
        <w:t>Journal of Experimental Psychology: Learning, Memory, and Cognition, 45</w:t>
      </w:r>
      <w:r>
        <w:rPr>
          <w:rFonts w:cs="Times New Roman" w:ascii="Times New Roman" w:hAnsi="Times New Roman"/>
          <w:sz w:val="24"/>
          <w:szCs w:val="24"/>
        </w:rPr>
        <w:t>, 232-245. doi.org/10.1037/xlm0000574.</w:t>
      </w:r>
    </w:p>
    <w:p>
      <w:pPr>
        <w:pStyle w:val="Normal"/>
        <w:spacing w:lineRule="auto" w:line="480" w:before="0" w:after="0"/>
        <w:ind w:left="720" w:hanging="720"/>
        <w:rPr/>
      </w:pPr>
      <w:r>
        <w:rPr>
          <w:rFonts w:cs="Times New Roman" w:ascii="Times New Roman" w:hAnsi="Times New Roman"/>
          <w:sz w:val="24"/>
          <w:szCs w:val="24"/>
        </w:rPr>
        <w:t xml:space="preserve">Toth, A. J., &amp; Campbell, M. J. (2019). Investigating sex differences, cognitive effort, strategy, and performance on a computerised version of the mental rotations test via eye tracking. </w:t>
      </w:r>
      <w:r>
        <w:rPr>
          <w:rFonts w:cs="Times New Roman" w:ascii="Times New Roman" w:hAnsi="Times New Roman"/>
          <w:i/>
          <w:iCs/>
          <w:sz w:val="24"/>
          <w:szCs w:val="24"/>
        </w:rPr>
        <w:t>Scientific Reports, 9</w:t>
      </w:r>
      <w:r>
        <w:rPr>
          <w:rFonts w:cs="Times New Roman" w:ascii="Times New Roman" w:hAnsi="Times New Roman"/>
          <w:sz w:val="24"/>
          <w:szCs w:val="24"/>
        </w:rPr>
        <w:t>, 1-11. doi: s41598-019-56041-6</w:t>
      </w:r>
    </w:p>
    <w:p>
      <w:pPr>
        <w:pStyle w:val="Normal"/>
        <w:spacing w:lineRule="auto" w:line="480" w:before="0" w:after="0"/>
        <w:ind w:left="720" w:hanging="72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before="0" w:after="0"/>
        <w:ind w:left="720" w:hanging="720"/>
        <w:rPr>
          <w:rFonts w:ascii="Times New Roman" w:hAnsi="Times New Roman" w:cs="Times New Roman"/>
          <w:i/>
          <w:i/>
          <w:iCs/>
          <w:sz w:val="24"/>
          <w:szCs w:val="24"/>
          <w:lang w:val="en-US"/>
        </w:rPr>
      </w:pPr>
      <w:r>
        <w:rPr>
          <w:rFonts w:cs="Times New Roman" w:ascii="Times New Roman" w:hAnsi="Times New Roman"/>
          <w:i/>
          <w:iCs/>
          <w:sz w:val="24"/>
          <w:szCs w:val="24"/>
          <w:lang w:val="en-US"/>
        </w:rPr>
      </w:r>
      <w:r>
        <w:br w:type="page"/>
      </w:r>
    </w:p>
    <w:p>
      <w:pPr>
        <w:pStyle w:val="Normal"/>
        <w:spacing w:lineRule="auto" w:line="480" w:before="0" w:after="0"/>
        <w:ind w:left="720" w:hanging="720"/>
        <w:rPr>
          <w:rFonts w:ascii="Times New Roman" w:hAnsi="Times New Roman"/>
          <w:sz w:val="24"/>
          <w:szCs w:val="24"/>
        </w:rPr>
      </w:pPr>
      <w:r>
        <w:rPr>
          <w:rFonts w:ascii="Times New Roman" w:hAnsi="Times New Roman"/>
          <w:sz w:val="24"/>
          <w:szCs w:val="24"/>
        </w:rPr>
        <w:t>Table S1</w:t>
      </w:r>
    </w:p>
    <w:p>
      <w:pPr>
        <w:pStyle w:val="Normal"/>
        <w:spacing w:lineRule="auto" w:line="480" w:before="0" w:after="0"/>
        <w:rPr>
          <w:rFonts w:ascii="Times New Roman" w:hAnsi="Times New Roman"/>
          <w:sz w:val="24"/>
          <w:szCs w:val="24"/>
        </w:rPr>
      </w:pPr>
      <w:r>
        <w:rPr>
          <w:rFonts w:ascii="Times New Roman" w:hAnsi="Times New Roman"/>
          <w:i/>
          <w:iCs/>
          <w:sz w:val="24"/>
          <w:szCs w:val="24"/>
        </w:rPr>
        <w:t>Mixed Models Results for Ratio Scores in All Experiments (degrees of freedom in parentheses after the name of the effect)</w:t>
      </w:r>
    </w:p>
    <w:tbl>
      <w:tblPr>
        <w:tblW w:w="9360" w:type="dxa"/>
        <w:jc w:val="left"/>
        <w:tblInd w:w="0" w:type="dxa"/>
        <w:tblBorders>
          <w:top w:val="single" w:sz="4" w:space="0" w:color="000000"/>
          <w:bottom w:val="single" w:sz="4" w:space="0" w:color="000000"/>
          <w:insideH w:val="single" w:sz="4" w:space="0" w:color="000000"/>
        </w:tblBorders>
        <w:tblCellMar>
          <w:top w:w="55" w:type="dxa"/>
          <w:left w:w="55" w:type="dxa"/>
          <w:bottom w:w="55" w:type="dxa"/>
          <w:right w:w="55" w:type="dxa"/>
        </w:tblCellMar>
        <w:tblLook w:noVBand="1" w:val="04a0" w:noHBand="0" w:lastColumn="0" w:firstColumn="1" w:lastRow="0" w:firstRow="1"/>
      </w:tblPr>
      <w:tblGrid>
        <w:gridCol w:w="2340"/>
        <w:gridCol w:w="2340"/>
        <w:gridCol w:w="2340"/>
        <w:gridCol w:w="2339"/>
      </w:tblGrid>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sz w:val="24"/>
                <w:szCs w:val="24"/>
              </w:rPr>
            </w:pPr>
            <w:r>
              <w:rPr>
                <w:rFonts w:ascii="Times New Roman" w:hAnsi="Times New Roman"/>
                <w:sz w:val="24"/>
                <w:szCs w:val="24"/>
              </w:rPr>
              <w:t>Effect</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Degrees of Freedom</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i/>
                <w:i/>
                <w:iCs/>
                <w:sz w:val="24"/>
                <w:szCs w:val="24"/>
              </w:rPr>
            </w:pPr>
            <w:r>
              <w:rPr>
                <w:rFonts w:ascii="Times New Roman" w:hAnsi="Times New Roman"/>
                <w:i/>
                <w:iCs/>
                <w:sz w:val="24"/>
                <w:szCs w:val="24"/>
              </w:rPr>
              <w:t>LR</w:t>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i/>
                <w:i/>
                <w:iCs/>
                <w:sz w:val="24"/>
                <w:szCs w:val="24"/>
              </w:rPr>
            </w:pPr>
            <w:r>
              <w:rPr>
                <w:rFonts w:ascii="Times New Roman" w:hAnsi="Times New Roman"/>
                <w:i/>
                <w:iCs/>
                <w:sz w:val="24"/>
                <w:szCs w:val="24"/>
              </w:rPr>
              <w:t>p</w:t>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b/>
                <w:b/>
                <w:bCs/>
                <w:sz w:val="24"/>
                <w:szCs w:val="24"/>
              </w:rPr>
            </w:pPr>
            <w:r>
              <w:rPr>
                <w:rFonts w:ascii="Times New Roman" w:hAnsi="Times New Roman"/>
                <w:b/>
                <w:bCs/>
                <w:sz w:val="24"/>
                <w:szCs w:val="24"/>
              </w:rPr>
              <w:t>Experiment 1</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sz w:val="24"/>
                <w:szCs w:val="24"/>
              </w:rPr>
            </w:pPr>
            <w:r>
              <w:rPr>
                <w:rFonts w:ascii="Times New Roman" w:hAnsi="Times New Roman"/>
                <w:sz w:val="24"/>
                <w:szCs w:val="24"/>
              </w:rPr>
              <w:t>Sex</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1.14</w:t>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.287</w:t>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sz w:val="24"/>
                <w:szCs w:val="24"/>
              </w:rPr>
            </w:pPr>
            <w:r>
              <w:rPr>
                <w:rFonts w:ascii="Times New Roman" w:hAnsi="Times New Roman"/>
                <w:sz w:val="24"/>
                <w:szCs w:val="24"/>
              </w:rPr>
              <w:t>Test</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5.00</w:t>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.025</w:t>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sz w:val="24"/>
                <w:szCs w:val="24"/>
              </w:rPr>
            </w:pPr>
            <w:r>
              <w:rPr>
                <w:rFonts w:ascii="Times New Roman" w:hAnsi="Times New Roman"/>
                <w:sz w:val="24"/>
                <w:szCs w:val="24"/>
              </w:rPr>
              <w:t>Sex by Test</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1.11</w:t>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.292</w:t>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b/>
                <w:b/>
                <w:bCs/>
                <w:sz w:val="24"/>
                <w:szCs w:val="24"/>
              </w:rPr>
            </w:pPr>
            <w:r>
              <w:rPr>
                <w:rFonts w:ascii="Times New Roman" w:hAnsi="Times New Roman"/>
                <w:b/>
                <w:bCs/>
                <w:sz w:val="24"/>
                <w:szCs w:val="24"/>
              </w:rPr>
              <w:t>Experiment 2</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sz w:val="24"/>
                <w:szCs w:val="24"/>
              </w:rPr>
            </w:pPr>
            <w:r>
              <w:rPr>
                <w:rFonts w:ascii="Times New Roman" w:hAnsi="Times New Roman"/>
                <w:sz w:val="24"/>
                <w:szCs w:val="24"/>
              </w:rPr>
              <w:t>Sex</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0.23</w:t>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.627</w:t>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sz w:val="24"/>
                <w:szCs w:val="24"/>
              </w:rPr>
            </w:pPr>
            <w:r>
              <w:rPr>
                <w:rFonts w:ascii="Times New Roman" w:hAnsi="Times New Roman"/>
                <w:sz w:val="24"/>
                <w:szCs w:val="24"/>
              </w:rPr>
              <w:t>Test</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20.49</w:t>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&lt; .001</w:t>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sz w:val="24"/>
                <w:szCs w:val="24"/>
              </w:rPr>
            </w:pPr>
            <w:r>
              <w:rPr>
                <w:rFonts w:ascii="Times New Roman" w:hAnsi="Times New Roman"/>
                <w:sz w:val="24"/>
                <w:szCs w:val="24"/>
              </w:rPr>
              <w:t>Sex by Test</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4.37</w:t>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.037</w:t>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b/>
                <w:b/>
                <w:bCs/>
                <w:sz w:val="24"/>
                <w:szCs w:val="24"/>
              </w:rPr>
            </w:pPr>
            <w:r>
              <w:rPr>
                <w:rFonts w:ascii="Times New Roman" w:hAnsi="Times New Roman"/>
                <w:b/>
                <w:bCs/>
                <w:sz w:val="24"/>
                <w:szCs w:val="24"/>
              </w:rPr>
              <w:t>Experiment 3</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sz w:val="24"/>
                <w:szCs w:val="24"/>
              </w:rPr>
            </w:pPr>
            <w:r>
              <w:rPr>
                <w:rFonts w:ascii="Times New Roman" w:hAnsi="Times New Roman"/>
                <w:sz w:val="24"/>
                <w:szCs w:val="24"/>
              </w:rPr>
              <w:t>Sex</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1.09</w:t>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.296</w:t>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sz w:val="24"/>
                <w:szCs w:val="24"/>
              </w:rPr>
            </w:pPr>
            <w:r>
              <w:rPr>
                <w:rFonts w:ascii="Times New Roman" w:hAnsi="Times New Roman"/>
                <w:sz w:val="24"/>
                <w:szCs w:val="24"/>
              </w:rPr>
              <w:t>Test</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28.75</w:t>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&lt; .001</w:t>
            </w:r>
          </w:p>
        </w:tc>
      </w:tr>
      <w:tr>
        <w:trPr/>
        <w:tc>
          <w:tcPr>
            <w:tcW w:w="2340" w:type="dxa"/>
            <w:tcBorders>
              <w:top w:val="single" w:sz="4" w:space="0" w:color="000000"/>
              <w:bottom w:val="single" w:sz="4" w:space="0" w:color="000000"/>
              <w:insideH w:val="single" w:sz="4" w:space="0" w:color="000000"/>
            </w:tcBorders>
            <w:shd w:fill="auto" w:val="clear"/>
          </w:tcPr>
          <w:p>
            <w:pPr>
              <w:pStyle w:val="TableContents"/>
              <w:suppressLineNumbers/>
              <w:spacing w:before="0" w:after="160"/>
              <w:rPr>
                <w:rFonts w:ascii="Times New Roman" w:hAnsi="Times New Roman"/>
                <w:sz w:val="24"/>
                <w:szCs w:val="24"/>
              </w:rPr>
            </w:pPr>
            <w:r>
              <w:rPr>
                <w:rFonts w:ascii="Times New Roman" w:hAnsi="Times New Roman"/>
                <w:sz w:val="24"/>
                <w:szCs w:val="24"/>
              </w:rPr>
              <w:t>Sex by Test</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1</w:t>
            </w:r>
          </w:p>
        </w:tc>
        <w:tc>
          <w:tcPr>
            <w:tcW w:w="2340"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0.71</w:t>
            </w:r>
          </w:p>
        </w:tc>
        <w:tc>
          <w:tcPr>
            <w:tcW w:w="2339" w:type="dxa"/>
            <w:tcBorders>
              <w:top w:val="single" w:sz="4" w:space="0" w:color="000000"/>
              <w:bottom w:val="single" w:sz="4" w:space="0" w:color="000000"/>
              <w:insideH w:val="single" w:sz="4" w:space="0" w:color="000000"/>
            </w:tcBorders>
            <w:shd w:fill="auto" w:val="clear"/>
          </w:tcPr>
          <w:p>
            <w:pPr>
              <w:pStyle w:val="TableContents"/>
              <w:spacing w:before="0" w:after="160"/>
              <w:jc w:val="center"/>
              <w:rPr>
                <w:rFonts w:ascii="Times New Roman" w:hAnsi="Times New Roman"/>
                <w:sz w:val="24"/>
                <w:szCs w:val="24"/>
              </w:rPr>
            </w:pPr>
            <w:r>
              <w:rPr>
                <w:rFonts w:ascii="Times New Roman" w:hAnsi="Times New Roman"/>
                <w:sz w:val="24"/>
                <w:szCs w:val="24"/>
              </w:rPr>
              <w:t>.399</w:t>
            </w:r>
          </w:p>
        </w:tc>
      </w:tr>
    </w:tbl>
    <w:p>
      <w:pPr>
        <w:pStyle w:val="Normal"/>
        <w:spacing w:lineRule="auto" w:line="480" w:before="0" w:after="0"/>
        <w:rPr/>
      </w:pPr>
      <w:r>
        <w:rPr/>
      </w:r>
    </w:p>
    <w:sectPr>
      <w:headerReference w:type="default" r:id="rId2"/>
      <w:headerReference w:type="first" r:id="rId3"/>
      <w:type w:val="nextPage"/>
      <w:pgSz w:w="12240" w:h="15840"/>
      <w:pgMar w:left="1440" w:right="1440" w:header="1440" w:top="1497" w:footer="0" w:bottom="1440" w:gutter="0"/>
      <w:pgNumType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roman"/>
    <w:pitch w:val="default"/>
  </w:font>
  <w:font w:name="Liberation Serif">
    <w:altName w:val="Times New Roman"/>
    <w:charset w:val="01"/>
    <w:family w:val="roman"/>
    <w:pitch w:val="default"/>
  </w:font>
  <w:font w:name="Segoe UI">
    <w:charset w:val="01"/>
    <w:family w:val="roman"/>
    <w:pitch w:val="default"/>
  </w:font>
  <w:font w:name="TimesNRMT">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Liberation Mono">
    <w:altName w:val="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1488" w:leader="none"/>
        <w:tab w:val="right" w:pos="9360" w:leader="none"/>
      </w:tabs>
      <w:suppressAutoHyphens w:val="true"/>
      <w:spacing w:lineRule="auto" w:line="480"/>
      <w:rPr/>
    </w:pPr>
    <w:r>
      <w:rPr>
        <w:rStyle w:val="Pagenumber"/>
        <w:rFonts w:cs="Times New Roman" w:ascii="Times New Roman" w:hAnsi="Times New Roman"/>
        <w:sz w:val="24"/>
        <w:szCs w:val="24"/>
      </w:rPr>
      <w:t>SEX DIFFERENCES IN MENTAL ROTATION</w:t>
    </w:r>
    <w:r>
      <w:rPr>
        <w:rStyle w:val="Pagenumber"/>
        <w:rFonts w:ascii="Times New Roman" w:hAnsi="Times New Roman"/>
      </w:rPr>
      <w:tab/>
    </w:r>
    <w:r>
      <w:rPr>
        <w:rFonts w:ascii="Times New Roman" w:hAnsi="Times New Roman"/>
        <w:sz w:val="24"/>
        <w:szCs w:val="24"/>
      </w:rPr>
      <w:fldChar w:fldCharType="begin"/>
    </w:r>
    <w:r>
      <w:rPr>
        <w:sz w:val="24"/>
        <w:szCs w:val="24"/>
        <w:rFonts w:ascii="Times New Roman" w:hAnsi="Times New Roman"/>
      </w:rPr>
      <w:instrText> PAGE </w:instrText>
    </w:r>
    <w:r>
      <w:rPr>
        <w:sz w:val="24"/>
        <w:szCs w:val="24"/>
        <w:rFonts w:ascii="Times New Roman" w:hAnsi="Times New Roman"/>
      </w:rPr>
      <w:fldChar w:fldCharType="separate"/>
    </w:r>
    <w:r>
      <w:rPr>
        <w:sz w:val="24"/>
        <w:szCs w:val="24"/>
        <w:rFonts w:ascii="Times New Roman" w:hAnsi="Times New Roman"/>
      </w:rPr>
      <w:t>5</w:t>
    </w:r>
    <w:r>
      <w:rPr>
        <w:sz w:val="24"/>
        <w:szCs w:val="24"/>
        <w:rFonts w:ascii="Times New Roman" w:hAnsi="Times New Roman"/>
      </w:rPr>
      <w:fldChar w:fldCharType="end"/>
    </w:r>
  </w:p>
  <w:p>
    <w:pPr>
      <w:pStyle w:val="Normal"/>
      <w:tabs>
        <w:tab w:val="left" w:pos="1488" w:leader="none"/>
        <w:tab w:val="right" w:pos="9360" w:leader="none"/>
      </w:tabs>
      <w:suppressAutoHyphens w:val="true"/>
      <w:spacing w:lineRule="auto" w:line="480" w:before="0" w:after="160"/>
      <w:rPr>
        <w:rStyle w:val="Pagenumber"/>
        <w:rFonts w:ascii="Times New Roman" w:hAnsi="Times New Roman"/>
      </w:rPr>
    </w:pPr>
    <w:r>
      <w:rPr>
        <w:rFonts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720" w:leader="none"/>
      </w:tabs>
      <w:suppressAutoHyphens w:val="true"/>
      <w:spacing w:lineRule="auto" w:line="480" w:before="0" w:after="160"/>
      <w:rPr/>
    </w:pPr>
    <w:r>
      <w:rPr>
        <w:rFonts w:ascii="Times New Roman" w:hAnsi="Times New Roman"/>
      </w:rPr>
      <w:t xml:space="preserve">Running head: </w:t>
    </w:r>
    <w:r>
      <w:rPr>
        <w:rFonts w:cs="Times New Roman" w:ascii="Times New Roman" w:hAnsi="Times New Roman"/>
        <w:sz w:val="24"/>
        <w:szCs w:val="24"/>
      </w:rPr>
      <w:t>SEX DIFFERENCES IN MENTAL ROTATION</w:t>
    </w:r>
    <w:r>
      <w:rPr>
        <w:rFonts w:ascii="Times New Roman" w:hAnsi="Times New Roman"/>
      </w:rPr>
      <w:tab/>
      <w:tab/>
      <w:tab/>
      <w:tab/>
      <w:t xml:space="preserve">         1</w:t>
    </w:r>
  </w:p>
</w:hdr>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ans CJK SC" w:cs="Lohit Devanagari"/>
        <w:kern w:val="2"/>
        <w:szCs w:val="24"/>
        <w:lang w:val="en-CA" w:eastAsia="zh-CN"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4f78"/>
    <w:pPr>
      <w:widowControl/>
      <w:overflowPunct w:val="true"/>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eastAsia="en-US" w:bidi="ar-SA" w:val="en-CA"/>
    </w:rPr>
  </w:style>
  <w:style w:type="paragraph" w:styleId="Heading2">
    <w:name w:val="Heading 2"/>
    <w:basedOn w:val="Heading"/>
    <w:qFormat/>
    <w:pPr>
      <w:spacing w:before="200" w:after="120"/>
      <w:outlineLvl w:val="1"/>
    </w:pPr>
    <w:rPr>
      <w:rFonts w:ascii="Liberation Serif" w:hAnsi="Liberation Serif" w:eastAsia="DejaVu Sans" w:cs="DejaVu Sans"/>
      <w:b/>
      <w:bCs/>
      <w:sz w:val="36"/>
      <w:szCs w:val="36"/>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a24f78"/>
    <w:rPr/>
  </w:style>
  <w:style w:type="character" w:styleId="Annotationreference">
    <w:name w:val="annotation reference"/>
    <w:basedOn w:val="DefaultParagraphFont"/>
    <w:uiPriority w:val="99"/>
    <w:semiHidden/>
    <w:unhideWhenUsed/>
    <w:qFormat/>
    <w:rsid w:val="00a24f78"/>
    <w:rPr>
      <w:sz w:val="16"/>
      <w:szCs w:val="16"/>
    </w:rPr>
  </w:style>
  <w:style w:type="character" w:styleId="CommentTextChar" w:customStyle="1">
    <w:name w:val="Comment Text Char"/>
    <w:basedOn w:val="DefaultParagraphFont"/>
    <w:link w:val="CommentText"/>
    <w:uiPriority w:val="99"/>
    <w:semiHidden/>
    <w:qFormat/>
    <w:rsid w:val="00a24f78"/>
    <w:rPr>
      <w:sz w:val="20"/>
      <w:szCs w:val="20"/>
    </w:rPr>
  </w:style>
  <w:style w:type="character" w:styleId="Emphasis">
    <w:name w:val="Emphasis"/>
    <w:basedOn w:val="DefaultParagraphFont"/>
    <w:uiPriority w:val="20"/>
    <w:qFormat/>
    <w:rsid w:val="00a24f78"/>
    <w:rPr>
      <w:i/>
      <w:iCs/>
    </w:rPr>
  </w:style>
  <w:style w:type="character" w:styleId="BalloonTextChar" w:customStyle="1">
    <w:name w:val="Balloon Text Char"/>
    <w:basedOn w:val="DefaultParagraphFont"/>
    <w:link w:val="BalloonText"/>
    <w:uiPriority w:val="99"/>
    <w:semiHidden/>
    <w:qFormat/>
    <w:rsid w:val="00a24f78"/>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8d56a0"/>
    <w:rPr>
      <w:b/>
      <w:bCs/>
      <w:sz w:val="20"/>
      <w:szCs w:val="20"/>
    </w:rPr>
  </w:style>
  <w:style w:type="character" w:styleId="HeaderChar" w:customStyle="1">
    <w:name w:val="Header Char"/>
    <w:basedOn w:val="DefaultParagraphFont"/>
    <w:link w:val="Header"/>
    <w:uiPriority w:val="99"/>
    <w:qFormat/>
    <w:rsid w:val="00ff47ee"/>
    <w:rPr/>
  </w:style>
  <w:style w:type="character" w:styleId="FooterChar" w:customStyle="1">
    <w:name w:val="Footer Char"/>
    <w:basedOn w:val="DefaultParagraphFont"/>
    <w:link w:val="Footer"/>
    <w:uiPriority w:val="99"/>
    <w:qFormat/>
    <w:rsid w:val="00ff47ee"/>
    <w:rPr/>
  </w:style>
  <w:style w:type="character" w:styleId="ListLabel1" w:customStyle="1">
    <w:name w:val="ListLabel 1"/>
    <w:qFormat/>
    <w:rPr>
      <w:rFonts w:eastAsia="Calibri" w:cs="Times New Roman"/>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NumberingSymbols" w:customStyle="1">
    <w:name w:val="Numbering Symbols"/>
    <w:qFormat/>
    <w:rPr/>
  </w:style>
  <w:style w:type="character" w:styleId="Fontstyle01" w:customStyle="1">
    <w:name w:val="fontstyle01"/>
    <w:basedOn w:val="DefaultParagraphFont"/>
    <w:qFormat/>
    <w:rsid w:val="004a3b3f"/>
    <w:rPr>
      <w:rFonts w:ascii="TimesNRMT" w:hAnsi="TimesNRMT"/>
      <w:b w:val="false"/>
      <w:bCs w:val="false"/>
      <w:i w:val="false"/>
      <w:iCs w:val="false"/>
      <w:color w:val="000000"/>
      <w:sz w:val="26"/>
      <w:szCs w:val="26"/>
    </w:rPr>
  </w:style>
  <w:style w:type="character" w:styleId="Bullets" w:customStyle="1">
    <w:name w:val="Bullets"/>
    <w:qFormat/>
    <w:rPr>
      <w:rFonts w:ascii="OpenSymbol" w:hAnsi="OpenSymbol" w:eastAsia="OpenSymbol" w:cs="OpenSymbol"/>
    </w:rPr>
  </w:style>
  <w:style w:type="character" w:styleId="InternetLink" w:customStyle="1">
    <w:name w:val="Internet Link"/>
    <w:rPr>
      <w:color w:val="000080"/>
      <w:u w:val="single"/>
    </w:rPr>
  </w:style>
  <w:style w:type="character" w:styleId="ListLabel5" w:customStyle="1">
    <w:name w:val="ListLabel 5"/>
    <w:qFormat/>
    <w:rPr>
      <w:rFonts w:ascii="Times New Roman" w:hAnsi="Times New Roman" w:cs="Times New Roman"/>
      <w:sz w:val="24"/>
      <w:szCs w:val="24"/>
    </w:rPr>
  </w:style>
  <w:style w:type="character" w:styleId="UnresolvedMention1" w:customStyle="1">
    <w:name w:val="Unresolved Mention1"/>
    <w:basedOn w:val="DefaultParagraphFont"/>
    <w:qFormat/>
    <w:rPr>
      <w:color w:val="808080"/>
      <w:highlight w:val="white"/>
    </w:rPr>
  </w:style>
  <w:style w:type="character" w:styleId="PlainTextChar" w:customStyle="1">
    <w:name w:val="Plain Text Char"/>
    <w:basedOn w:val="DefaultParagraphFont"/>
    <w:qFormat/>
    <w:rPr>
      <w:rFonts w:ascii="Calibri" w:hAnsi="Calibri" w:eastAsia="Calibri"/>
      <w:szCs w:val="21"/>
      <w:lang w:eastAsia="en-US"/>
    </w:rPr>
  </w:style>
  <w:style w:type="character" w:styleId="ListLabel18" w:customStyle="1">
    <w:name w:val="ListLabel 18"/>
    <w:qFormat/>
    <w:rPr>
      <w:rFonts w:ascii="Times New Roman" w:hAnsi="Times New Roman"/>
      <w:lang w:val="en-US"/>
    </w:rPr>
  </w:style>
  <w:style w:type="character" w:styleId="ListLabel17" w:customStyle="1">
    <w:name w:val="ListLabel 17"/>
    <w:qFormat/>
    <w:rPr>
      <w:rFonts w:ascii="Times New Roman" w:hAnsi="Times New Roman"/>
      <w:color w:val="000000"/>
      <w:highlight w:val="white"/>
      <w:u w:val="none"/>
      <w:lang w:val="en-US"/>
    </w:rPr>
  </w:style>
  <w:style w:type="character" w:styleId="ListLabel16" w:customStyle="1">
    <w:name w:val="ListLabel 16"/>
    <w:qFormat/>
    <w:rPr>
      <w:rFonts w:ascii="Times New Roman" w:hAnsi="Times New Roman"/>
      <w:color w:val="000000"/>
      <w:u w:val="none"/>
      <w:lang w:val="en-US"/>
    </w:rPr>
  </w:style>
  <w:style w:type="character" w:styleId="ListLabel15" w:customStyle="1">
    <w:name w:val="ListLabel 15"/>
    <w:qFormat/>
    <w:rPr>
      <w:rFonts w:ascii="Times New Roman" w:hAnsi="Times New Roman"/>
      <w:sz w:val="24"/>
      <w:szCs w:val="24"/>
      <w:lang w:val="fr-CA"/>
    </w:rPr>
  </w:style>
  <w:style w:type="character" w:styleId="ListLabel14" w:customStyle="1">
    <w:name w:val="ListLabel 14"/>
    <w:qFormat/>
    <w:rPr>
      <w:rFonts w:ascii="Times New Roman" w:hAnsi="Times New Roman"/>
      <w:sz w:val="24"/>
      <w:szCs w:val="24"/>
      <w:lang w:val="en-CA"/>
    </w:rPr>
  </w:style>
  <w:style w:type="character" w:styleId="ListLabel13" w:customStyle="1">
    <w:name w:val="ListLabel 13"/>
    <w:qFormat/>
    <w:rPr>
      <w:rFonts w:ascii="Times New Roman" w:hAnsi="Times New Roman"/>
      <w:color w:val="000000"/>
      <w:sz w:val="24"/>
      <w:szCs w:val="24"/>
      <w:u w:val="none"/>
      <w:lang w:val="en-US"/>
    </w:rPr>
  </w:style>
  <w:style w:type="character" w:styleId="ListLabel12" w:customStyle="1">
    <w:name w:val="ListLabel 12"/>
    <w:qFormat/>
    <w:rPr>
      <w:rFonts w:ascii="Times New Roman" w:hAnsi="Times New Roman"/>
      <w:sz w:val="24"/>
      <w:szCs w:val="24"/>
      <w:lang w:val="fr-CA"/>
    </w:rPr>
  </w:style>
  <w:style w:type="character" w:styleId="ListLabel11" w:customStyle="1">
    <w:name w:val="ListLabel 11"/>
    <w:qFormat/>
    <w:rPr>
      <w:rFonts w:ascii="Times New Roman" w:hAnsi="Times New Roman"/>
      <w:sz w:val="24"/>
      <w:szCs w:val="24"/>
      <w:lang w:val="en-CA"/>
    </w:rPr>
  </w:style>
  <w:style w:type="character" w:styleId="ListLabel10" w:customStyle="1">
    <w:name w:val="ListLabel 10"/>
    <w:qFormat/>
    <w:rPr>
      <w:rFonts w:ascii="Times New Roman" w:hAnsi="Times New Roman"/>
      <w:sz w:val="24"/>
      <w:szCs w:val="24"/>
      <w:lang w:val="en-US"/>
    </w:rPr>
  </w:style>
  <w:style w:type="character" w:styleId="ListLabel9" w:customStyle="1">
    <w:name w:val="ListLabel 9"/>
    <w:qFormat/>
    <w:rPr>
      <w:rFonts w:ascii="Times New Roman" w:hAnsi="Times New Roman"/>
      <w:color w:val="000000"/>
      <w:sz w:val="24"/>
      <w:szCs w:val="24"/>
      <w:u w:val="none"/>
      <w:lang w:val="en-US"/>
    </w:rPr>
  </w:style>
  <w:style w:type="character" w:styleId="ListLabel8" w:customStyle="1">
    <w:name w:val="ListLabel 8"/>
    <w:qFormat/>
    <w:rPr>
      <w:rFonts w:ascii="Times New Roman" w:hAnsi="Times New Roman"/>
      <w:sz w:val="24"/>
      <w:szCs w:val="24"/>
      <w:lang w:val="fr-CA"/>
    </w:rPr>
  </w:style>
  <w:style w:type="character" w:styleId="ListLabel7" w:customStyle="1">
    <w:name w:val="ListLabel 7"/>
    <w:qFormat/>
    <w:rPr>
      <w:rFonts w:ascii="Times New Roman" w:hAnsi="Times New Roman"/>
      <w:sz w:val="24"/>
      <w:szCs w:val="24"/>
      <w:lang w:val="en-CA"/>
    </w:rPr>
  </w:style>
  <w:style w:type="character" w:styleId="ListLabel6" w:customStyle="1">
    <w:name w:val="ListLabel 6"/>
    <w:qFormat/>
    <w:rPr>
      <w:rFonts w:ascii="Times New Roman" w:hAnsi="Times New Roman"/>
      <w:sz w:val="24"/>
      <w:szCs w:val="24"/>
      <w:lang w:val="en-US"/>
    </w:rPr>
  </w:style>
  <w:style w:type="character" w:styleId="CommentSubjectChar1" w:customStyle="1">
    <w:name w:val="Comment Subject Char1"/>
    <w:basedOn w:val="CommentTextChar1"/>
    <w:qFormat/>
    <w:rPr>
      <w:rFonts w:ascii="Calibri" w:hAnsi="Calibri" w:eastAsia="Calibri" w:cs="Times New Roman"/>
      <w:b/>
      <w:bCs/>
      <w:sz w:val="20"/>
      <w:szCs w:val="20"/>
      <w:lang w:val="de-DE" w:bidi="ar-SA"/>
    </w:rPr>
  </w:style>
  <w:style w:type="character" w:styleId="UnresolvedMention" w:customStyle="1">
    <w:name w:val="Unresolved Mention"/>
    <w:basedOn w:val="DefaultParagraphFont"/>
    <w:qFormat/>
    <w:rPr>
      <w:color w:val="605E5C"/>
      <w:highlight w:val="lightGray"/>
    </w:rPr>
  </w:style>
  <w:style w:type="character" w:styleId="CommentTextChar1" w:customStyle="1">
    <w:name w:val="Comment Text Char1"/>
    <w:basedOn w:val="DefaultParagraphFont"/>
    <w:qFormat/>
    <w:rPr>
      <w:rFonts w:ascii="Calibri" w:hAnsi="Calibri" w:eastAsia="Calibri" w:cs="Times New Roman"/>
      <w:sz w:val="20"/>
      <w:szCs w:val="20"/>
      <w:lang w:val="de-DE" w:bidi="ar-SA"/>
    </w:rPr>
  </w:style>
  <w:style w:type="character" w:styleId="Heading2Char" w:customStyle="1">
    <w:name w:val="Heading 2 Char"/>
    <w:qFormat/>
    <w:rPr>
      <w:rFonts w:ascii="Times New Roman" w:hAnsi="Times New Roman" w:eastAsia="Times New Roman" w:cs="Times New Roman"/>
      <w:b/>
      <w:bCs/>
      <w:color w:val="000000"/>
      <w:kern w:val="2"/>
      <w:sz w:val="24"/>
      <w:szCs w:val="24"/>
    </w:rPr>
  </w:style>
  <w:style w:type="character" w:styleId="Eigennamen" w:customStyle="1">
    <w:name w:val="eigennamen"/>
    <w:qFormat/>
    <w:rPr/>
  </w:style>
  <w:style w:type="character" w:styleId="Appleconvertedspace" w:customStyle="1">
    <w:name w:val="apple-converted-space"/>
    <w:qFormat/>
    <w:rPr/>
  </w:style>
  <w:style w:type="character" w:styleId="CommentReference1" w:customStyle="1">
    <w:name w:val="Comment Reference1"/>
    <w:qFormat/>
    <w:rPr>
      <w:rFonts w:cs="Times New Roman"/>
      <w:sz w:val="16"/>
      <w:szCs w:val="16"/>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Heading" w:customStyle="1">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Annotationtext">
    <w:name w:val="annotation text"/>
    <w:basedOn w:val="Normal"/>
    <w:link w:val="CommentTextChar"/>
    <w:uiPriority w:val="99"/>
    <w:semiHidden/>
    <w:unhideWhenUsed/>
    <w:qFormat/>
    <w:rsid w:val="00a24f78"/>
    <w:pPr>
      <w:spacing w:lineRule="auto" w:line="240"/>
    </w:pPr>
    <w:rPr>
      <w:sz w:val="20"/>
      <w:szCs w:val="20"/>
    </w:rPr>
  </w:style>
  <w:style w:type="paragraph" w:styleId="ListParagraph">
    <w:name w:val="List Paragraph"/>
    <w:basedOn w:val="Normal"/>
    <w:uiPriority w:val="34"/>
    <w:qFormat/>
    <w:rsid w:val="00a24f78"/>
    <w:pPr>
      <w:spacing w:before="0" w:after="160"/>
      <w:ind w:left="720" w:hanging="0"/>
      <w:contextualSpacing/>
    </w:pPr>
    <w:rPr/>
  </w:style>
  <w:style w:type="paragraph" w:styleId="BalloonText">
    <w:name w:val="Balloon Text"/>
    <w:basedOn w:val="Normal"/>
    <w:link w:val="BalloonTextChar"/>
    <w:uiPriority w:val="99"/>
    <w:semiHidden/>
    <w:unhideWhenUsed/>
    <w:qFormat/>
    <w:rsid w:val="00a24f78"/>
    <w:pPr>
      <w:spacing w:lineRule="auto" w:line="240" w:before="0" w:after="0"/>
    </w:pPr>
    <w:rPr>
      <w:rFonts w:ascii="Segoe UI" w:hAnsi="Segoe UI" w:cs="Segoe UI"/>
      <w:sz w:val="18"/>
      <w:szCs w:val="18"/>
    </w:rPr>
  </w:style>
  <w:style w:type="paragraph" w:styleId="Annotationsubject">
    <w:name w:val="annotation subject"/>
    <w:basedOn w:val="Annotationtext"/>
    <w:link w:val="CommentSubjectChar"/>
    <w:uiPriority w:val="99"/>
    <w:semiHidden/>
    <w:unhideWhenUsed/>
    <w:qFormat/>
    <w:rsid w:val="008d56a0"/>
    <w:pPr/>
    <w:rPr>
      <w:b/>
      <w:bCs/>
    </w:rPr>
  </w:style>
  <w:style w:type="paragraph" w:styleId="Header">
    <w:name w:val="Header"/>
    <w:basedOn w:val="Normal"/>
    <w:link w:val="HeaderChar"/>
    <w:uiPriority w:val="99"/>
    <w:unhideWhenUsed/>
    <w:rsid w:val="00ff47ee"/>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f47ee"/>
    <w:pPr>
      <w:tabs>
        <w:tab w:val="center" w:pos="4680" w:leader="none"/>
        <w:tab w:val="right" w:pos="9360" w:leader="none"/>
      </w:tabs>
      <w:spacing w:lineRule="auto" w:line="240" w:before="0" w:after="0"/>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PreformattedText" w:customStyle="1">
    <w:name w:val="Preformatted Text"/>
    <w:basedOn w:val="Normal"/>
    <w:qFormat/>
    <w:pPr>
      <w:spacing w:before="0" w:after="0"/>
    </w:pPr>
    <w:rPr>
      <w:rFonts w:ascii="Liberation Mono" w:hAnsi="Liberation Mono" w:eastAsia="Liberation Mono" w:cs="Liberation Mono"/>
      <w:sz w:val="20"/>
      <w:szCs w:val="20"/>
    </w:rPr>
  </w:style>
  <w:style w:type="paragraph" w:styleId="PlainText">
    <w:name w:val="Plain Text"/>
    <w:basedOn w:val="Normal"/>
    <w:qFormat/>
    <w:pPr>
      <w:spacing w:lineRule="auto" w:line="240" w:before="0" w:after="0"/>
    </w:pPr>
    <w:rPr>
      <w:rFonts w:eastAsia="Calibri" w:cs="Lohit Devanagari"/>
      <w:szCs w:val="21"/>
    </w:rPr>
  </w:style>
  <w:style w:type="paragraph" w:styleId="FrameContents" w:customStyle="1">
    <w:name w:val="Frame Contents"/>
    <w:basedOn w:val="Normal"/>
    <w:qFormat/>
    <w:pPr/>
    <w:rPr/>
  </w:style>
  <w:style w:type="paragraph" w:styleId="LightListAccent31" w:customStyle="1">
    <w:name w:val="Light List - Accent 31"/>
    <w:qFormat/>
    <w:pPr>
      <w:widowControl/>
      <w:suppressAutoHyphens w:val="true"/>
      <w:overflowPunct w:val="true"/>
      <w:bidi w:val="0"/>
      <w:jc w:val="left"/>
    </w:pPr>
    <w:rPr>
      <w:rFonts w:ascii="Calibri" w:hAnsi="Calibri" w:eastAsia="Calibri" w:cs="Times New Roman"/>
      <w:color w:val="00000A"/>
      <w:kern w:val="2"/>
      <w:sz w:val="22"/>
      <w:szCs w:val="22"/>
      <w:lang w:val="de-DE" w:bidi="ar-SA" w:eastAsia="zh-CN"/>
    </w:rPr>
  </w:style>
  <w:style w:type="paragraph" w:styleId="Literatur" w:customStyle="1">
    <w:name w:val="Literatur"/>
    <w:basedOn w:val="Normal"/>
    <w:qFormat/>
    <w:pPr>
      <w:spacing w:lineRule="exact" w:line="218"/>
      <w:ind w:left="284" w:hanging="284"/>
      <w:jc w:val="both"/>
    </w:pPr>
    <w:rPr>
      <w:rFonts w:ascii="Times New Roman" w:hAnsi="Times New Roman" w:eastAsia="Times New Roman"/>
      <w:sz w:val="19"/>
      <w:szCs w:val="19"/>
    </w:rPr>
  </w:style>
  <w:style w:type="paragraph" w:styleId="Referencescopy1" w:customStyle="1">
    <w:name w:val="referencescopy1"/>
    <w:basedOn w:val="Normal"/>
    <w:qFormat/>
    <w:pPr>
      <w:spacing w:before="280" w:after="280"/>
    </w:pPr>
    <w:rPr>
      <w:rFonts w:ascii="Times New Roman" w:hAnsi="Times New Roman"/>
    </w:rPr>
  </w:style>
  <w:style w:type="paragraph" w:styleId="CitaviLiteraturverzeichnis" w:customStyle="1">
    <w:name w:val="Citavi Literaturverzeichnis"/>
    <w:basedOn w:val="Normal"/>
    <w:qFormat/>
    <w:pPr>
      <w:spacing w:before="0" w:after="60"/>
      <w:ind w:left="283" w:hanging="283"/>
    </w:pPr>
    <w:rPr>
      <w:rFonts w:ascii="Segoe UI" w:hAnsi="Segoe UI" w:eastAsia="Segoe UI" w:cs="Segoe UI"/>
      <w:sz w:val="20"/>
      <w:szCs w:val="20"/>
    </w:rPr>
  </w:style>
  <w:style w:type="paragraph" w:styleId="CommentSubject1" w:customStyle="1">
    <w:name w:val="Comment Subject1"/>
    <w:basedOn w:val="CommentText1"/>
    <w:qFormat/>
    <w:pPr/>
    <w:rPr>
      <w:rFonts w:eastAsia="Calibri"/>
      <w:b/>
      <w:bCs/>
    </w:rPr>
  </w:style>
  <w:style w:type="paragraph" w:styleId="CommentText1" w:customStyle="1">
    <w:name w:val="Comment Text1"/>
    <w:basedOn w:val="Normal"/>
    <w:qFormat/>
    <w:pPr/>
    <w:rPr>
      <w:rFonts w:eastAsia="Times New Roman"/>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fc791f"/>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06E5B-A55E-D04B-B22F-5108665F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LibreOffice/6.0.7.3$Linux_X86_64 LibreOffice_project/00m0$Build-3</Application>
  <Pages>5</Pages>
  <Words>1041</Words>
  <Characters>5356</Characters>
  <CharactersWithSpaces>6358</CharactersWithSpaces>
  <Paragraphs>62</Paragraphs>
  <Company>University of New Brunswick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2020-02-14T19:24:00Z</dcterms:created>
  <dc:creator>Root</dc:creator>
  <dc:description/>
  <dc:language>en-CA</dc:language>
  <cp:lastModifiedBy>Daniel Voyer</cp:lastModifiedBy>
  <cp:lastPrinted>2019-07-02T12:51:00Z</cp:lastPrinted>
  <dcterms:modified xsi:type="dcterms:W3CDTF">2020-02-18T09:34:59Z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New Brunswick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