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F82B1" w14:textId="27D8317B" w:rsidR="00721E3B" w:rsidRPr="005F2867" w:rsidRDefault="00721E3B" w:rsidP="00721E3B">
      <w:pPr>
        <w:ind w:firstLine="0"/>
        <w:rPr>
          <w:rFonts w:ascii="Times New Roman" w:hAnsi="Times New Roman" w:cs="Times New Roman"/>
          <w:szCs w:val="22"/>
        </w:rPr>
      </w:pPr>
      <w:r w:rsidRPr="005F2867">
        <w:rPr>
          <w:szCs w:val="22"/>
        </w:rPr>
        <w:t>Revision of XGE-2024-2111 as invited by the action editor, Jared Medina, Ph.D.</w:t>
      </w:r>
    </w:p>
    <w:p w14:paraId="0821CA5A" w14:textId="2D87F6CE" w:rsidR="00ED64AA" w:rsidRPr="005F2867" w:rsidRDefault="00ED64AA" w:rsidP="00DB108A">
      <w:pPr>
        <w:pStyle w:val="Heading1"/>
        <w:jc w:val="center"/>
        <w:rPr>
          <w:rFonts w:ascii="Times New Roman" w:hAnsi="Times New Roman" w:cs="Times New Roman"/>
          <w:b/>
          <w:bCs/>
          <w:color w:val="auto"/>
          <w:sz w:val="22"/>
          <w:szCs w:val="22"/>
        </w:rPr>
      </w:pPr>
      <w:r w:rsidRPr="005F2867">
        <w:rPr>
          <w:rFonts w:ascii="Times New Roman" w:hAnsi="Times New Roman" w:cs="Times New Roman"/>
          <w:b/>
          <w:bCs/>
          <w:color w:val="auto"/>
          <w:sz w:val="22"/>
          <w:szCs w:val="22"/>
        </w:rPr>
        <w:t>The influence</w:t>
      </w:r>
      <w:r w:rsidR="00A26DA0" w:rsidRPr="005F2867">
        <w:rPr>
          <w:rFonts w:ascii="Times New Roman" w:hAnsi="Times New Roman" w:cs="Times New Roman"/>
          <w:b/>
          <w:bCs/>
          <w:color w:val="auto"/>
          <w:sz w:val="22"/>
          <w:szCs w:val="22"/>
        </w:rPr>
        <w:t xml:space="preserve"> of blindness</w:t>
      </w:r>
      <w:r w:rsidR="006B06D9" w:rsidRPr="005F2867">
        <w:rPr>
          <w:rFonts w:ascii="Times New Roman" w:hAnsi="Times New Roman" w:cs="Times New Roman"/>
          <w:b/>
          <w:bCs/>
          <w:color w:val="auto"/>
          <w:sz w:val="22"/>
          <w:szCs w:val="22"/>
        </w:rPr>
        <w:t xml:space="preserve"> on</w:t>
      </w:r>
      <w:r w:rsidRPr="005F2867">
        <w:rPr>
          <w:rFonts w:ascii="Times New Roman" w:hAnsi="Times New Roman" w:cs="Times New Roman"/>
          <w:b/>
          <w:bCs/>
          <w:color w:val="auto"/>
          <w:sz w:val="22"/>
          <w:szCs w:val="22"/>
        </w:rPr>
        <w:t xml:space="preserve"> auditory context</w:t>
      </w:r>
      <w:r w:rsidRPr="005F2867">
        <w:rPr>
          <w:b/>
          <w:bCs/>
          <w:color w:val="auto"/>
          <w:sz w:val="22"/>
          <w:szCs w:val="22"/>
        </w:rPr>
        <w:t xml:space="preserve"> </w:t>
      </w:r>
      <w:r w:rsidRPr="005F2867">
        <w:rPr>
          <w:rFonts w:ascii="Times New Roman" w:hAnsi="Times New Roman" w:cs="Times New Roman"/>
          <w:b/>
          <w:bCs/>
          <w:color w:val="auto"/>
          <w:sz w:val="22"/>
          <w:szCs w:val="22"/>
        </w:rPr>
        <w:t>dependency</w:t>
      </w:r>
    </w:p>
    <w:p w14:paraId="6B0DD4CF" w14:textId="77777777" w:rsidR="0047607B" w:rsidRPr="005F2867" w:rsidRDefault="0047607B" w:rsidP="0026577E">
      <w:pPr>
        <w:jc w:val="center"/>
        <w:rPr>
          <w:rFonts w:ascii="Times New Roman" w:hAnsi="Times New Roman" w:cs="Times New Roman"/>
          <w:szCs w:val="22"/>
        </w:rPr>
      </w:pPr>
    </w:p>
    <w:p w14:paraId="0D5AD4BE" w14:textId="2CB30685" w:rsidR="0026577E" w:rsidRPr="005F2867" w:rsidRDefault="0026577E" w:rsidP="0026577E">
      <w:pPr>
        <w:jc w:val="center"/>
        <w:rPr>
          <w:rFonts w:ascii="Times New Roman" w:hAnsi="Times New Roman" w:cs="Times New Roman"/>
          <w:szCs w:val="22"/>
        </w:rPr>
      </w:pPr>
      <w:r w:rsidRPr="005F2867">
        <w:rPr>
          <w:rFonts w:ascii="Times New Roman" w:hAnsi="Times New Roman" w:cs="Times New Roman"/>
          <w:szCs w:val="22"/>
        </w:rPr>
        <w:t>Supplementary materials</w:t>
      </w:r>
    </w:p>
    <w:p w14:paraId="6EFF7108" w14:textId="22D1F328" w:rsidR="007717EC" w:rsidRPr="005F2867" w:rsidRDefault="007717EC" w:rsidP="003077CE">
      <w:pPr>
        <w:pStyle w:val="Heading2"/>
        <w:rPr>
          <w:rFonts w:ascii="Times New Roman" w:hAnsi="Times New Roman" w:cs="Times New Roman"/>
          <w:i/>
          <w:iCs/>
          <w:color w:val="auto"/>
          <w:sz w:val="22"/>
          <w:szCs w:val="22"/>
        </w:rPr>
      </w:pPr>
      <w:r w:rsidRPr="005F2867">
        <w:rPr>
          <w:rFonts w:ascii="Times New Roman" w:hAnsi="Times New Roman" w:cs="Times New Roman"/>
          <w:i/>
          <w:iCs/>
          <w:color w:val="auto"/>
          <w:sz w:val="22"/>
          <w:szCs w:val="22"/>
        </w:rPr>
        <w:t xml:space="preserve">Additional </w:t>
      </w:r>
      <w:r w:rsidR="000A5FBB" w:rsidRPr="005F2867">
        <w:rPr>
          <w:rFonts w:ascii="Times New Roman" w:hAnsi="Times New Roman" w:cs="Times New Roman"/>
          <w:i/>
          <w:iCs/>
          <w:color w:val="auto"/>
          <w:sz w:val="22"/>
          <w:szCs w:val="22"/>
        </w:rPr>
        <w:t>behavioral</w:t>
      </w:r>
      <w:r w:rsidRPr="005F2867">
        <w:rPr>
          <w:rFonts w:ascii="Times New Roman" w:hAnsi="Times New Roman" w:cs="Times New Roman"/>
          <w:i/>
          <w:iCs/>
          <w:color w:val="auto"/>
          <w:sz w:val="22"/>
          <w:szCs w:val="22"/>
        </w:rPr>
        <w:t xml:space="preserve"> analysis </w:t>
      </w:r>
    </w:p>
    <w:p w14:paraId="0B8F0134" w14:textId="23272DEA" w:rsidR="006173FF" w:rsidRPr="005F2867" w:rsidRDefault="00F4704D" w:rsidP="006173FF">
      <w:pPr>
        <w:autoSpaceDE w:val="0"/>
        <w:autoSpaceDN w:val="0"/>
        <w:adjustRightInd w:val="0"/>
        <w:rPr>
          <w:rFonts w:ascii="Times New Roman" w:hAnsi="Times New Roman" w:cs="Times New Roman"/>
          <w:szCs w:val="22"/>
        </w:rPr>
      </w:pPr>
      <w:r w:rsidRPr="005F2867">
        <w:rPr>
          <w:rFonts w:ascii="Times New Roman" w:hAnsi="Times New Roman" w:cs="Times New Roman"/>
          <w:szCs w:val="22"/>
        </w:rPr>
        <w:t xml:space="preserve">As an additional </w:t>
      </w:r>
      <w:r w:rsidR="005735FB" w:rsidRPr="005F2867">
        <w:rPr>
          <w:rFonts w:ascii="Times New Roman" w:hAnsi="Times New Roman" w:cs="Times New Roman"/>
          <w:szCs w:val="22"/>
        </w:rPr>
        <w:t>measure to evaluate the performance in the distance estimation task</w:t>
      </w:r>
      <w:r w:rsidR="00B475D6" w:rsidRPr="005F2867">
        <w:rPr>
          <w:rFonts w:ascii="Times New Roman" w:hAnsi="Times New Roman" w:cs="Times New Roman"/>
          <w:szCs w:val="22"/>
        </w:rPr>
        <w:t xml:space="preserve"> combining the precision and accuracy</w:t>
      </w:r>
      <w:r w:rsidR="006173FF" w:rsidRPr="005F2867">
        <w:rPr>
          <w:rFonts w:ascii="Times New Roman" w:hAnsi="Times New Roman" w:cs="Times New Roman"/>
          <w:szCs w:val="22"/>
        </w:rPr>
        <w:t xml:space="preserve">, we calculated a third parameter </w:t>
      </w:r>
      <w:r w:rsidR="005735FB" w:rsidRPr="005F2867">
        <w:rPr>
          <w:rFonts w:ascii="Times New Roman" w:hAnsi="Times New Roman" w:cs="Times New Roman"/>
          <w:szCs w:val="22"/>
        </w:rPr>
        <w:t>the</w:t>
      </w:r>
      <w:r w:rsidR="006173FF" w:rsidRPr="005F2867">
        <w:rPr>
          <w:rFonts w:ascii="Times New Roman" w:hAnsi="Times New Roman" w:cs="Times New Roman"/>
          <w:szCs w:val="22"/>
        </w:rPr>
        <w:t xml:space="preserve"> total error (TE), computed as the P</w:t>
      </w:r>
      <w:r w:rsidR="006173FF" w:rsidRPr="005F2867">
        <w:rPr>
          <w:rFonts w:ascii="Times New Roman" w:hAnsi="Times New Roman" w:cs="Times New Roman"/>
          <w:szCs w:val="22"/>
          <w:shd w:val="clear" w:color="auto" w:fill="FCFCFC"/>
        </w:rPr>
        <w:t>ythagorean sum of bias and CV for that stimulus:</w:t>
      </w:r>
      <w:r w:rsidR="006173FF" w:rsidRPr="005F2867">
        <w:rPr>
          <w:rFonts w:ascii="Times New Roman" w:hAnsi="Times New Roman" w:cs="Times New Roman"/>
          <w:szCs w:val="22"/>
        </w:rPr>
        <w:t xml:space="preserve"> </w:t>
      </w:r>
    </w:p>
    <w:p w14:paraId="082DE03E" w14:textId="77777777" w:rsidR="006173FF" w:rsidRPr="005F2867" w:rsidRDefault="00000000" w:rsidP="006173FF">
      <w:pPr>
        <w:jc w:val="right"/>
        <w:rPr>
          <w:rFonts w:ascii="Times New Roman" w:hAnsi="Times New Roman" w:cs="Times New Roman"/>
          <w:szCs w:val="22"/>
        </w:rPr>
      </w:pPr>
      <m:oMath>
        <m:sSub>
          <m:sSubPr>
            <m:ctrlPr>
              <w:rPr>
                <w:rFonts w:ascii="Cambria Math" w:eastAsiaTheme="minorEastAsia" w:hAnsi="Cambria Math" w:cs="Times New Roman"/>
                <w:i/>
                <w:szCs w:val="22"/>
              </w:rPr>
            </m:ctrlPr>
          </m:sSubPr>
          <m:e>
            <m:r>
              <w:rPr>
                <w:rFonts w:ascii="Cambria Math" w:eastAsiaTheme="minorEastAsia" w:hAnsi="Cambria Math" w:cs="Times New Roman"/>
                <w:szCs w:val="22"/>
              </w:rPr>
              <m:t>TE</m:t>
            </m:r>
          </m:e>
          <m:sub>
            <m:r>
              <w:rPr>
                <w:rFonts w:ascii="Cambria Math" w:eastAsiaTheme="minorEastAsia" w:hAnsi="Cambria Math" w:cs="Times New Roman"/>
                <w:szCs w:val="22"/>
              </w:rPr>
              <m:t>i</m:t>
            </m:r>
          </m:sub>
        </m:sSub>
        <m:r>
          <w:rPr>
            <w:rFonts w:ascii="Cambria Math" w:hAnsi="Cambria Math" w:cs="Times New Roman"/>
            <w:szCs w:val="22"/>
          </w:rPr>
          <m:t xml:space="preserve">= </m:t>
        </m:r>
        <m:rad>
          <m:radPr>
            <m:degHide m:val="1"/>
            <m:ctrlPr>
              <w:rPr>
                <w:rFonts w:ascii="Cambria Math" w:hAnsi="Cambria Math" w:cs="Times New Roman"/>
                <w:i/>
                <w:szCs w:val="22"/>
              </w:rPr>
            </m:ctrlPr>
          </m:radPr>
          <m:deg/>
          <m:e>
            <m:sSubSup>
              <m:sSubSupPr>
                <m:ctrlPr>
                  <w:rPr>
                    <w:rFonts w:ascii="Cambria Math" w:hAnsi="Cambria Math" w:cs="Times New Roman"/>
                    <w:i/>
                    <w:szCs w:val="22"/>
                  </w:rPr>
                </m:ctrlPr>
              </m:sSubSupPr>
              <m:e>
                <m:r>
                  <w:rPr>
                    <w:rFonts w:ascii="Cambria Math" w:hAnsi="Cambria Math" w:cs="Times New Roman"/>
                    <w:szCs w:val="22"/>
                  </w:rPr>
                  <m:t>BIAS</m:t>
                </m:r>
              </m:e>
              <m:sub>
                <m:r>
                  <w:rPr>
                    <w:rFonts w:ascii="Cambria Math" w:hAnsi="Cambria Math" w:cs="Times New Roman"/>
                    <w:szCs w:val="22"/>
                  </w:rPr>
                  <m:t>i</m:t>
                </m:r>
              </m:sub>
              <m:sup>
                <m:r>
                  <w:rPr>
                    <w:rFonts w:ascii="Cambria Math" w:hAnsi="Cambria Math" w:cs="Times New Roman"/>
                    <w:szCs w:val="22"/>
                  </w:rPr>
                  <m:t>2</m:t>
                </m:r>
              </m:sup>
            </m:sSubSup>
            <m:r>
              <w:rPr>
                <w:rFonts w:ascii="Cambria Math" w:hAnsi="Cambria Math" w:cs="Times New Roman"/>
                <w:szCs w:val="22"/>
              </w:rPr>
              <m:t>+</m:t>
            </m:r>
            <m:sSubSup>
              <m:sSubSupPr>
                <m:ctrlPr>
                  <w:rPr>
                    <w:rFonts w:ascii="Cambria Math" w:hAnsi="Cambria Math" w:cs="Times New Roman"/>
                    <w:i/>
                    <w:szCs w:val="22"/>
                  </w:rPr>
                </m:ctrlPr>
              </m:sSubSupPr>
              <m:e>
                <m:r>
                  <w:rPr>
                    <w:rFonts w:ascii="Cambria Math" w:hAnsi="Cambria Math" w:cs="Times New Roman"/>
                    <w:szCs w:val="22"/>
                  </w:rPr>
                  <m:t>CV</m:t>
                </m:r>
              </m:e>
              <m:sub>
                <m:r>
                  <w:rPr>
                    <w:rFonts w:ascii="Cambria Math" w:hAnsi="Cambria Math" w:cs="Times New Roman"/>
                    <w:szCs w:val="22"/>
                  </w:rPr>
                  <m:t>i</m:t>
                </m:r>
              </m:sub>
              <m:sup>
                <m:r>
                  <w:rPr>
                    <w:rFonts w:ascii="Cambria Math" w:hAnsi="Cambria Math" w:cs="Times New Roman"/>
                    <w:szCs w:val="22"/>
                  </w:rPr>
                  <m:t>2</m:t>
                </m:r>
              </m:sup>
            </m:sSubSup>
          </m:e>
        </m:rad>
      </m:oMath>
      <w:r w:rsidR="006173FF" w:rsidRPr="005F2867">
        <w:rPr>
          <w:rFonts w:ascii="Times New Roman" w:eastAsiaTheme="minorEastAsia" w:hAnsi="Times New Roman" w:cs="Times New Roman"/>
          <w:szCs w:val="22"/>
        </w:rPr>
        <w:t xml:space="preserve">                                                        (4)</w:t>
      </w:r>
    </w:p>
    <w:p w14:paraId="2D7EB507" w14:textId="77777777" w:rsidR="000755D8" w:rsidRPr="005F2867" w:rsidRDefault="000755D8" w:rsidP="000755D8">
      <w:pPr>
        <w:rPr>
          <w:szCs w:val="22"/>
        </w:rPr>
      </w:pPr>
    </w:p>
    <w:p w14:paraId="22543B81" w14:textId="3D386AC0" w:rsidR="00BC6338" w:rsidRPr="005F2867" w:rsidRDefault="00B475D6" w:rsidP="00BC6338">
      <w:pPr>
        <w:autoSpaceDE w:val="0"/>
        <w:autoSpaceDN w:val="0"/>
        <w:adjustRightInd w:val="0"/>
        <w:rPr>
          <w:rFonts w:ascii="Times New Roman" w:hAnsi="Times New Roman" w:cs="Times New Roman"/>
          <w:szCs w:val="22"/>
        </w:rPr>
      </w:pPr>
      <w:r w:rsidRPr="005F2867">
        <w:rPr>
          <w:rFonts w:ascii="Times New Roman" w:hAnsi="Times New Roman" w:cs="Times New Roman"/>
          <w:szCs w:val="22"/>
        </w:rPr>
        <w:t>W</w:t>
      </w:r>
      <w:r w:rsidR="00BC6338" w:rsidRPr="005F2867">
        <w:rPr>
          <w:rFonts w:ascii="Times New Roman" w:hAnsi="Times New Roman" w:cs="Times New Roman"/>
          <w:szCs w:val="22"/>
        </w:rPr>
        <w:t xml:space="preserve">e find a difference among groups by looking at the total error (Fig. </w:t>
      </w:r>
      <w:r w:rsidR="00C32F2B" w:rsidRPr="005F2867">
        <w:rPr>
          <w:rFonts w:ascii="Times New Roman" w:hAnsi="Times New Roman" w:cs="Times New Roman"/>
          <w:szCs w:val="22"/>
        </w:rPr>
        <w:t>S1</w:t>
      </w:r>
      <w:r w:rsidR="00BC6338" w:rsidRPr="005F2867">
        <w:rPr>
          <w:rFonts w:ascii="Times New Roman" w:hAnsi="Times New Roman" w:cs="Times New Roman"/>
          <w:szCs w:val="22"/>
        </w:rPr>
        <w:t>). Indeed, the main factor Group is significant (χ</w:t>
      </w:r>
      <w:r w:rsidR="00BC6338" w:rsidRPr="005F2867">
        <w:rPr>
          <w:rFonts w:ascii="Times New Roman" w:hAnsi="Times New Roman" w:cs="Times New Roman"/>
          <w:szCs w:val="22"/>
          <w:vertAlign w:val="superscript"/>
        </w:rPr>
        <w:t>2</w:t>
      </w:r>
      <w:r w:rsidR="00BC6338" w:rsidRPr="005F2867">
        <w:rPr>
          <w:rFonts w:ascii="Times New Roman" w:hAnsi="Times New Roman" w:cs="Times New Roman"/>
          <w:szCs w:val="22"/>
        </w:rPr>
        <w:t> = 22.54, </w:t>
      </w:r>
      <w:r w:rsidR="00BC6338" w:rsidRPr="005F2867">
        <w:rPr>
          <w:rStyle w:val="html-italic"/>
          <w:rFonts w:ascii="Times New Roman" w:hAnsi="Times New Roman" w:cs="Times New Roman"/>
          <w:i/>
          <w:iCs/>
          <w:szCs w:val="22"/>
        </w:rPr>
        <w:t>p</w:t>
      </w:r>
      <w:r w:rsidR="00BC6338" w:rsidRPr="005F2867">
        <w:rPr>
          <w:rFonts w:ascii="Times New Roman" w:hAnsi="Times New Roman" w:cs="Times New Roman"/>
          <w:szCs w:val="22"/>
        </w:rPr>
        <w:t> &lt; 0.001), and the main factor Condition (χ</w:t>
      </w:r>
      <w:r w:rsidR="00BC6338" w:rsidRPr="005F2867">
        <w:rPr>
          <w:rFonts w:ascii="Times New Roman" w:hAnsi="Times New Roman" w:cs="Times New Roman"/>
          <w:szCs w:val="22"/>
          <w:vertAlign w:val="superscript"/>
        </w:rPr>
        <w:t>2</w:t>
      </w:r>
      <w:r w:rsidR="00BC6338" w:rsidRPr="005F2867">
        <w:rPr>
          <w:rFonts w:ascii="Times New Roman" w:hAnsi="Times New Roman" w:cs="Times New Roman"/>
          <w:szCs w:val="22"/>
        </w:rPr>
        <w:t> = 168.29, </w:t>
      </w:r>
      <w:r w:rsidR="00BC6338" w:rsidRPr="005F2867">
        <w:rPr>
          <w:rStyle w:val="html-italic"/>
          <w:rFonts w:ascii="Times New Roman" w:hAnsi="Times New Roman" w:cs="Times New Roman"/>
          <w:i/>
          <w:iCs/>
          <w:szCs w:val="22"/>
        </w:rPr>
        <w:t>p</w:t>
      </w:r>
      <w:r w:rsidR="00BC6338" w:rsidRPr="005F2867">
        <w:rPr>
          <w:rFonts w:ascii="Times New Roman" w:hAnsi="Times New Roman" w:cs="Times New Roman"/>
          <w:szCs w:val="22"/>
        </w:rPr>
        <w:t> &lt; 0.001), while there is no significance for the interaction (χ</w:t>
      </w:r>
      <w:r w:rsidR="00BC6338" w:rsidRPr="005F2867">
        <w:rPr>
          <w:rFonts w:ascii="Times New Roman" w:hAnsi="Times New Roman" w:cs="Times New Roman"/>
          <w:szCs w:val="22"/>
          <w:vertAlign w:val="superscript"/>
        </w:rPr>
        <w:t>2</w:t>
      </w:r>
      <w:r w:rsidR="00BC6338" w:rsidRPr="005F2867">
        <w:rPr>
          <w:rFonts w:ascii="Times New Roman" w:hAnsi="Times New Roman" w:cs="Times New Roman"/>
          <w:szCs w:val="22"/>
        </w:rPr>
        <w:t> = 3.44, </w:t>
      </w:r>
      <w:r w:rsidR="00BC6338" w:rsidRPr="005F2867">
        <w:rPr>
          <w:rStyle w:val="html-italic"/>
          <w:rFonts w:ascii="Times New Roman" w:hAnsi="Times New Roman" w:cs="Times New Roman"/>
          <w:i/>
          <w:iCs/>
          <w:szCs w:val="22"/>
        </w:rPr>
        <w:t>p</w:t>
      </w:r>
      <w:r w:rsidR="00BC6338" w:rsidRPr="005F2867">
        <w:rPr>
          <w:rFonts w:ascii="Times New Roman" w:hAnsi="Times New Roman" w:cs="Times New Roman"/>
          <w:szCs w:val="22"/>
        </w:rPr>
        <w:t xml:space="preserve"> = 0.18). The total error is generally </w:t>
      </w:r>
      <w:r w:rsidR="0003567E" w:rsidRPr="005F2867">
        <w:rPr>
          <w:rFonts w:ascii="Times New Roman" w:hAnsi="Times New Roman" w:cs="Times New Roman"/>
          <w:szCs w:val="22"/>
        </w:rPr>
        <w:t xml:space="preserve">smaller </w:t>
      </w:r>
      <w:r w:rsidR="00BC6338" w:rsidRPr="005F2867">
        <w:rPr>
          <w:rFonts w:ascii="Times New Roman" w:hAnsi="Times New Roman" w:cs="Times New Roman"/>
          <w:szCs w:val="22"/>
        </w:rPr>
        <w:t>in the long compared to the short condition (t</w:t>
      </w:r>
      <w:r w:rsidR="00BC6338" w:rsidRPr="005F2867">
        <w:rPr>
          <w:rFonts w:ascii="Times New Roman" w:hAnsi="Times New Roman" w:cs="Times New Roman"/>
          <w:szCs w:val="22"/>
          <w:vertAlign w:val="subscript"/>
        </w:rPr>
        <w:t>33</w:t>
      </w:r>
      <w:r w:rsidR="00BC6338" w:rsidRPr="005F2867">
        <w:rPr>
          <w:rFonts w:ascii="Times New Roman" w:hAnsi="Times New Roman" w:cs="Times New Roman"/>
          <w:szCs w:val="22"/>
        </w:rPr>
        <w:t xml:space="preserve"> = 12.63, p &lt; 0.001), highlighting a difficulty </w:t>
      </w:r>
      <w:r w:rsidR="00EB1F18" w:rsidRPr="005F2867">
        <w:rPr>
          <w:rFonts w:ascii="Times New Roman" w:hAnsi="Times New Roman" w:cs="Times New Roman"/>
          <w:szCs w:val="22"/>
        </w:rPr>
        <w:t xml:space="preserve">more pronounced </w:t>
      </w:r>
      <w:r w:rsidR="00BC6338" w:rsidRPr="005F2867">
        <w:rPr>
          <w:rFonts w:ascii="Times New Roman" w:hAnsi="Times New Roman" w:cs="Times New Roman"/>
          <w:szCs w:val="22"/>
        </w:rPr>
        <w:t xml:space="preserve">in estimating shorter distances. Moreover, the total error of the early blind was </w:t>
      </w:r>
      <w:r w:rsidR="0003567E" w:rsidRPr="005F2867">
        <w:rPr>
          <w:rFonts w:ascii="Times New Roman" w:hAnsi="Times New Roman" w:cs="Times New Roman"/>
          <w:szCs w:val="22"/>
        </w:rPr>
        <w:t xml:space="preserve">greater </w:t>
      </w:r>
      <w:r w:rsidR="00BC6338" w:rsidRPr="005F2867">
        <w:rPr>
          <w:rFonts w:ascii="Times New Roman" w:hAnsi="Times New Roman" w:cs="Times New Roman"/>
          <w:szCs w:val="22"/>
        </w:rPr>
        <w:t>compared to the other two groups (early vs. late: t</w:t>
      </w:r>
      <w:r w:rsidR="00BC6338" w:rsidRPr="005F2867">
        <w:rPr>
          <w:rFonts w:ascii="Times New Roman" w:hAnsi="Times New Roman" w:cs="Times New Roman"/>
          <w:szCs w:val="22"/>
          <w:vertAlign w:val="subscript"/>
        </w:rPr>
        <w:t>33</w:t>
      </w:r>
      <w:r w:rsidR="00BC6338" w:rsidRPr="005F2867">
        <w:rPr>
          <w:rFonts w:ascii="Times New Roman" w:hAnsi="Times New Roman" w:cs="Times New Roman"/>
          <w:szCs w:val="22"/>
        </w:rPr>
        <w:t xml:space="preserve"> = 4.07, p &lt; 0.001; early vs. sighted: t</w:t>
      </w:r>
      <w:r w:rsidR="00BC6338" w:rsidRPr="005F2867">
        <w:rPr>
          <w:rFonts w:ascii="Times New Roman" w:hAnsi="Times New Roman" w:cs="Times New Roman"/>
          <w:szCs w:val="22"/>
          <w:vertAlign w:val="subscript"/>
        </w:rPr>
        <w:t>33</w:t>
      </w:r>
      <w:r w:rsidR="00BC6338" w:rsidRPr="005F2867">
        <w:rPr>
          <w:rFonts w:ascii="Times New Roman" w:hAnsi="Times New Roman" w:cs="Times New Roman"/>
          <w:szCs w:val="22"/>
        </w:rPr>
        <w:t xml:space="preserve"> = 4.44, p &lt; 0.001), while the performance of late blind and sighted participants was comparable (t</w:t>
      </w:r>
      <w:r w:rsidR="00BC6338" w:rsidRPr="005F2867">
        <w:rPr>
          <w:rFonts w:ascii="Times New Roman" w:hAnsi="Times New Roman" w:cs="Times New Roman"/>
          <w:szCs w:val="22"/>
          <w:vertAlign w:val="subscript"/>
        </w:rPr>
        <w:t>33</w:t>
      </w:r>
      <w:r w:rsidR="00BC6338" w:rsidRPr="005F2867">
        <w:rPr>
          <w:rFonts w:ascii="Times New Roman" w:hAnsi="Times New Roman" w:cs="Times New Roman"/>
          <w:szCs w:val="22"/>
        </w:rPr>
        <w:t xml:space="preserve"> = 0.12 p = 1).</w:t>
      </w:r>
    </w:p>
    <w:p w14:paraId="66E30145" w14:textId="7A25D1EF" w:rsidR="007B5615" w:rsidRPr="005F2867" w:rsidRDefault="000A6267" w:rsidP="00BC6338">
      <w:pPr>
        <w:spacing w:line="360" w:lineRule="auto"/>
        <w:ind w:firstLine="0"/>
        <w:rPr>
          <w:szCs w:val="22"/>
        </w:rPr>
      </w:pPr>
      <w:r w:rsidRPr="005F2867">
        <w:rPr>
          <w:noProof/>
          <w:szCs w:val="22"/>
          <w:shd w:val="clear" w:color="auto" w:fill="auto"/>
        </w:rPr>
        <w:lastRenderedPageBreak/>
        <w:drawing>
          <wp:anchor distT="0" distB="0" distL="114300" distR="114300" simplePos="0" relativeHeight="251658242" behindDoc="0" locked="0" layoutInCell="1" allowOverlap="1" wp14:anchorId="0CE5F9F0" wp14:editId="063744AC">
            <wp:simplePos x="0" y="0"/>
            <wp:positionH relativeFrom="margin">
              <wp:align>center</wp:align>
            </wp:positionH>
            <wp:positionV relativeFrom="paragraph">
              <wp:posOffset>6292</wp:posOffset>
            </wp:positionV>
            <wp:extent cx="3239476" cy="2428145"/>
            <wp:effectExtent l="0" t="0" r="0" b="0"/>
            <wp:wrapTopAndBottom/>
            <wp:docPr id="127516372" name="Picture 8"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6372" name="Picture 8" descr="A graph of different colored bars&#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9476" cy="2428145"/>
                    </a:xfrm>
                    <a:prstGeom prst="rect">
                      <a:avLst/>
                    </a:prstGeom>
                    <a:noFill/>
                    <a:ln>
                      <a:noFill/>
                    </a:ln>
                  </pic:spPr>
                </pic:pic>
              </a:graphicData>
            </a:graphic>
          </wp:anchor>
        </w:drawing>
      </w:r>
      <w:r w:rsidR="00C25E7A" w:rsidRPr="005F2867">
        <w:rPr>
          <w:rFonts w:ascii="Times New Roman" w:hAnsi="Times New Roman" w:cs="Times New Roman"/>
          <w:b/>
          <w:bCs/>
          <w:szCs w:val="22"/>
        </w:rPr>
        <w:t>Figure S1</w:t>
      </w:r>
      <w:r w:rsidR="00370D92" w:rsidRPr="005F2867">
        <w:rPr>
          <w:rFonts w:ascii="Times New Roman" w:hAnsi="Times New Roman" w:cs="Times New Roman"/>
          <w:szCs w:val="22"/>
        </w:rPr>
        <w:t>.</w:t>
      </w:r>
      <w:r w:rsidR="00654765" w:rsidRPr="005F2867">
        <w:rPr>
          <w:szCs w:val="22"/>
        </w:rPr>
        <w:t xml:space="preserve"> Average of the Total Error in the three groups. The Total Error is significantly </w:t>
      </w:r>
      <w:r w:rsidR="00C32F2B" w:rsidRPr="005F2867">
        <w:rPr>
          <w:szCs w:val="22"/>
        </w:rPr>
        <w:t xml:space="preserve">greater </w:t>
      </w:r>
      <w:r w:rsidR="00654765" w:rsidRPr="005F2867">
        <w:rPr>
          <w:szCs w:val="22"/>
        </w:rPr>
        <w:t>in the early blind group (in blue) than in the late blind (in green) and the sighted controls (in red), regardless of the distances tested.</w:t>
      </w:r>
    </w:p>
    <w:p w14:paraId="570F2402" w14:textId="77777777" w:rsidR="007B5615" w:rsidRPr="005F2867" w:rsidRDefault="007B5615" w:rsidP="000755D8">
      <w:pPr>
        <w:rPr>
          <w:szCs w:val="22"/>
        </w:rPr>
      </w:pPr>
    </w:p>
    <w:p w14:paraId="7A06E611" w14:textId="60608242" w:rsidR="009A6713" w:rsidRPr="005F2867" w:rsidRDefault="009A6713" w:rsidP="009A6713">
      <w:pPr>
        <w:rPr>
          <w:rFonts w:ascii="Times New Roman" w:hAnsi="Times New Roman" w:cs="Times New Roman"/>
          <w:szCs w:val="22"/>
        </w:rPr>
      </w:pPr>
      <w:r w:rsidRPr="005F2867">
        <w:rPr>
          <w:rFonts w:ascii="Times New Roman" w:hAnsi="Times New Roman" w:cs="Times New Roman"/>
          <w:szCs w:val="22"/>
        </w:rPr>
        <w:t xml:space="preserve">In an interesting paper by Aston et al. </w:t>
      </w:r>
      <w:r w:rsidRPr="005F2867">
        <w:rPr>
          <w:rFonts w:ascii="Times New Roman" w:hAnsi="Times New Roman" w:cs="Times New Roman"/>
          <w:szCs w:val="22"/>
        </w:rPr>
        <w:fldChar w:fldCharType="begin" w:fldLock="1"/>
      </w:r>
      <w:r w:rsidRPr="005F2867">
        <w:rPr>
          <w:rFonts w:ascii="Times New Roman" w:hAnsi="Times New Roman" w:cs="Times New Roman"/>
          <w:szCs w:val="22"/>
        </w:rPr>
        <w:instrText>ADDIN CSL_CITATION {"citationItems":[{"id":"ITEM-1","itemData":{"DOI":"10.3758/s13428-021-01633-2","ISSN":"1554-3528","abstract":"Observers in perceptual tasks are often reported to combine multiple sensory cues in a weighted average that improves precision—in some studies, approaching statistically optimal (Bayesian) weighting, but in others departing from optimality, or not benefitting from combined cues at all. To correctly conclude which combination rules observers use, it is crucial to have accurate measures of their sensory precision and cue weighting. Here, we present a new approach for accurately recovering these parameters in perceptual tasks with continuous responses. Continuous responses have many advantages, but are susceptible to a central tendency bias, where responses are biased towards the central stimulus value. We show that such biases lead to inaccuracies in estimating both precision gains and cue weightings, two key measures used to assess sensory cue combination. We introduce a method that estimates sensory precision by regressing continuous responses on targets and dividing the variance of the residuals by the squared slope of the regression line, “correcting-out” the error introduced by the central bias and increasing statistical power. We also suggest a complementary analysis that recovers the sensory cue weights. Using both simulations and empirical data, we show that the proposed methods can accurately estimate sensory precision and cue weightings in the presence of central tendency biases. We conclude that central tendency biases should be (and can easily be) accounted for to consistently capture Bayesian cue combination in continuous response data.","author":[{"dropping-particle":"","family":"Aston","given":"Stacey","non-dropping-particle":"","parse-names":false,"suffix":""},{"dropping-particle":"","family":"Negen","given":"James","non-dropping-particle":"","parse-names":false,"suffix":""},{"dropping-particle":"","family":"Nardini","given":"Marko","non-dropping-particle":"","parse-names":false,"suffix":""},{"dropping-particle":"","family":"Beierholm","given":"Ulrik","non-dropping-particle":"","parse-names":false,"suffix":""}],"container-title":"Behavior Research Methods","id":"ITEM-1","issue":"1","issued":{"date-parts":[["2021","7","13"]]},"page":"508-521","title":"Central tendency biases must be accounted for to consistently capture Bayesian cue combination in continuous response data","type":"article-journal","volume":"54"},"suppress-author":1,"uris":["http://www.mendeley.com/documents/?uuid=c1b022dd-e0b2-4696-bcf2-65a67d9c0ea3"]}],"mendeley":{"formattedCitation":"(2021)","plainTextFormattedCitation":"(2021)","previouslyFormattedCitation":"(2021)"},"properties":{"noteIndex":0},"schema":"https://github.com/citation-style-language/schema/raw/master/csl-citation.json"}</w:instrText>
      </w:r>
      <w:r w:rsidRPr="005F2867">
        <w:rPr>
          <w:rFonts w:ascii="Times New Roman" w:hAnsi="Times New Roman" w:cs="Times New Roman"/>
          <w:szCs w:val="22"/>
        </w:rPr>
        <w:fldChar w:fldCharType="separate"/>
      </w:r>
      <w:r w:rsidRPr="005F2867">
        <w:rPr>
          <w:rFonts w:ascii="Times New Roman" w:hAnsi="Times New Roman" w:cs="Times New Roman"/>
          <w:noProof/>
          <w:szCs w:val="22"/>
        </w:rPr>
        <w:t>(2021)</w:t>
      </w:r>
      <w:r w:rsidRPr="005F2867">
        <w:rPr>
          <w:rFonts w:ascii="Times New Roman" w:hAnsi="Times New Roman" w:cs="Times New Roman"/>
          <w:szCs w:val="22"/>
        </w:rPr>
        <w:fldChar w:fldCharType="end"/>
      </w:r>
      <w:r w:rsidRPr="005F2867">
        <w:rPr>
          <w:rFonts w:ascii="Times New Roman" w:hAnsi="Times New Roman" w:cs="Times New Roman"/>
          <w:szCs w:val="22"/>
        </w:rPr>
        <w:t>, it is pointed out that in studies using a method that requires continuous response data, the "true" sensory precision in performing the task is masked by the central tendency effect. The reduction in variability in response does not depend on an actual increase in precision but simply on the central tendency effect. To show that the reduced precision of the early blind group is relative to the distance estimation task cleared by the central tendency effect, we calculated what Aston et al.</w:t>
      </w:r>
      <w:r w:rsidRPr="005F2867">
        <w:rPr>
          <w:rFonts w:ascii="Times New Roman" w:hAnsi="Times New Roman" w:cs="Times New Roman"/>
          <w:szCs w:val="22"/>
        </w:rPr>
        <w:fldChar w:fldCharType="begin" w:fldLock="1"/>
      </w:r>
      <w:r w:rsidRPr="005F2867">
        <w:rPr>
          <w:rFonts w:ascii="Times New Roman" w:hAnsi="Times New Roman" w:cs="Times New Roman"/>
          <w:szCs w:val="22"/>
        </w:rPr>
        <w:instrText>ADDIN CSL_CITATION {"citationItems":[{"id":"ITEM-1","itemData":{"DOI":"10.3758/s13428-021-01633-2","ISSN":"1554-3528","abstract":"Observers in perceptual tasks are often reported to combine multiple sensory cues in a weighted average that improves precision—in some studies, approaching statistically optimal (Bayesian) weighting, but in others departing from optimality, or not benefitting from combined cues at all. To correctly conclude which combination rules observers use, it is crucial to have accurate measures of their sensory precision and cue weighting. Here, we present a new approach for accurately recovering these parameters in perceptual tasks with continuous responses. Continuous responses have many advantages, but are susceptible to a central tendency bias, where responses are biased towards the central stimulus value. We show that such biases lead to inaccuracies in estimating both precision gains and cue weightings, two key measures used to assess sensory cue combination. We introduce a method that estimates sensory precision by regressing continuous responses on targets and dividing the variance of the residuals by the squared slope of the regression line, “correcting-out” the error introduced by the central bias and increasing statistical power. We also suggest a complementary analysis that recovers the sensory cue weights. Using both simulations and empirical data, we show that the proposed methods can accurately estimate sensory precision and cue weightings in the presence of central tendency biases. We conclude that central tendency biases should be (and can easily be) accounted for to consistently capture Bayesian cue combination in continuous response data.","author":[{"dropping-particle":"","family":"Aston","given":"Stacey","non-dropping-particle":"","parse-names":false,"suffix":""},{"dropping-particle":"","family":"Negen","given":"James","non-dropping-particle":"","parse-names":false,"suffix":""},{"dropping-particle":"","family":"Nardini","given":"Marko","non-dropping-particle":"","parse-names":false,"suffix":""},{"dropping-particle":"","family":"Beierholm","given":"Ulrik","non-dropping-particle":"","parse-names":false,"suffix":""}],"container-title":"Behavior Research Methods","id":"ITEM-1","issue":"1","issued":{"date-parts":[["2021","7","13"]]},"page":"508-521","title":"Central tendency biases must be accounted for to consistently capture Bayesian cue combination in continuous response data","type":"article-journal","volume":"54"},"suppress-author":1,"uris":["http://www.mendeley.com/documents/?uuid=c1b022dd-e0b2-4696-bcf2-65a67d9c0ea3"]}],"mendeley":{"formattedCitation":"(2021)","plainTextFormattedCitation":"(2021)","previouslyFormattedCitation":"(2021)"},"properties":{"noteIndex":0},"schema":"https://github.com/citation-style-language/schema/raw/master/csl-citation.json"}</w:instrText>
      </w:r>
      <w:r w:rsidRPr="005F2867">
        <w:rPr>
          <w:rFonts w:ascii="Times New Roman" w:hAnsi="Times New Roman" w:cs="Times New Roman"/>
          <w:szCs w:val="22"/>
        </w:rPr>
        <w:fldChar w:fldCharType="separate"/>
      </w:r>
      <w:r w:rsidRPr="005F2867">
        <w:rPr>
          <w:rFonts w:ascii="Times New Roman" w:hAnsi="Times New Roman" w:cs="Times New Roman"/>
          <w:noProof/>
          <w:szCs w:val="22"/>
        </w:rPr>
        <w:t>(2021)</w:t>
      </w:r>
      <w:r w:rsidRPr="005F2867">
        <w:rPr>
          <w:rFonts w:ascii="Times New Roman" w:hAnsi="Times New Roman" w:cs="Times New Roman"/>
          <w:szCs w:val="22"/>
        </w:rPr>
        <w:fldChar w:fldCharType="end"/>
      </w:r>
      <w:r w:rsidRPr="005F2867">
        <w:rPr>
          <w:rFonts w:ascii="Times New Roman" w:hAnsi="Times New Roman" w:cs="Times New Roman"/>
          <w:szCs w:val="22"/>
        </w:rPr>
        <w:t xml:space="preserve"> call behavioral and sensory precision in all groups of participants using the data in the short-range as examples (for more information on the calculation of variables, refer to Aston et al. </w:t>
      </w:r>
      <w:r w:rsidRPr="005F2867">
        <w:rPr>
          <w:rFonts w:ascii="Times New Roman" w:hAnsi="Times New Roman" w:cs="Times New Roman"/>
          <w:szCs w:val="22"/>
        </w:rPr>
        <w:fldChar w:fldCharType="begin" w:fldLock="1"/>
      </w:r>
      <w:r w:rsidRPr="005F2867">
        <w:rPr>
          <w:rFonts w:ascii="Times New Roman" w:hAnsi="Times New Roman" w:cs="Times New Roman"/>
          <w:szCs w:val="22"/>
        </w:rPr>
        <w:instrText>ADDIN CSL_CITATION {"citationItems":[{"id":"ITEM-1","itemData":{"DOI":"10.3758/s13428-021-01633-2","ISSN":"1554-3528","abstract":"Observers in perceptual tasks are often reported to combine multiple sensory cues in a weighted average that improves precision—in some studies, approaching statistically optimal (Bayesian) weighting, but in others departing from optimality, or not benefitting from combined cues at all. To correctly conclude which combination rules observers use, it is crucial to have accurate measures of their sensory precision and cue weighting. Here, we present a new approach for accurately recovering these parameters in perceptual tasks with continuous responses. Continuous responses have many advantages, but are susceptible to a central tendency bias, where responses are biased towards the central stimulus value. We show that such biases lead to inaccuracies in estimating both precision gains and cue weightings, two key measures used to assess sensory cue combination. We introduce a method that estimates sensory precision by regressing continuous responses on targets and dividing the variance of the residuals by the squared slope of the regression line, “correcting-out” the error introduced by the central bias and increasing statistical power. We also suggest a complementary analysis that recovers the sensory cue weights. Using both simulations and empirical data, we show that the proposed methods can accurately estimate sensory precision and cue weightings in the presence of central tendency biases. We conclude that central tendency biases should be (and can easily be) accounted for to consistently capture Bayesian cue combination in continuous response data.","author":[{"dropping-particle":"","family":"Aston","given":"Stacey","non-dropping-particle":"","parse-names":false,"suffix":""},{"dropping-particle":"","family":"Negen","given":"James","non-dropping-particle":"","parse-names":false,"suffix":""},{"dropping-particle":"","family":"Nardini","given":"Marko","non-dropping-particle":"","parse-names":false,"suffix":""},{"dropping-particle":"","family":"Beierholm","given":"Ulrik","non-dropping-particle":"","parse-names":false,"suffix":""}],"container-title":"Behavior Research Methods","id":"ITEM-1","issue":"1","issued":{"date-parts":[["2021","7","13"]]},"page":"508-521","title":"Central tendency biases must be accounted for to consistently capture Bayesian cue combination in continuous response data","type":"article-journal","volume":"54"},"suppress-author":1,"uris":["http://www.mendeley.com/documents/?uuid=c1b022dd-e0b2-4696-bcf2-65a67d9c0ea3"]}],"mendeley":{"formattedCitation":"(2021)","plainTextFormattedCitation":"(2021)","previouslyFormattedCitation":"(2021)"},"properties":{"noteIndex":0},"schema":"https://github.com/citation-style-language/schema/raw/master/csl-citation.json"}</w:instrText>
      </w:r>
      <w:r w:rsidRPr="005F2867">
        <w:rPr>
          <w:rFonts w:ascii="Times New Roman" w:hAnsi="Times New Roman" w:cs="Times New Roman"/>
          <w:szCs w:val="22"/>
        </w:rPr>
        <w:fldChar w:fldCharType="separate"/>
      </w:r>
      <w:r w:rsidRPr="005F2867">
        <w:rPr>
          <w:rFonts w:ascii="Times New Roman" w:hAnsi="Times New Roman" w:cs="Times New Roman"/>
          <w:noProof/>
          <w:szCs w:val="22"/>
        </w:rPr>
        <w:t>(2021)</w:t>
      </w:r>
      <w:r w:rsidRPr="005F2867">
        <w:rPr>
          <w:rFonts w:ascii="Times New Roman" w:hAnsi="Times New Roman" w:cs="Times New Roman"/>
          <w:szCs w:val="22"/>
        </w:rPr>
        <w:fldChar w:fldCharType="end"/>
      </w:r>
      <w:r w:rsidRPr="005F2867">
        <w:rPr>
          <w:rFonts w:ascii="Times New Roman" w:hAnsi="Times New Roman" w:cs="Times New Roman"/>
          <w:szCs w:val="22"/>
        </w:rPr>
        <w:t>). The results are shown in Fig. S2. The top row shows the group averages of sensory precision (on the left) and behavioral precision (on the right), while the bottom row compares the two indices by showing individual participants' results for all groups. We run a linear mixed-effects model using REML as a convergence criterion. The fixed effects of the model were the between-participant "Group" (early blind, late blind, and sighted) and within-participant factor "Type of Precision" (behavioral, sensory). We found a significant interaction between the factors (χ</w:t>
      </w:r>
      <w:r w:rsidRPr="005F2867">
        <w:rPr>
          <w:rFonts w:ascii="Times New Roman" w:hAnsi="Times New Roman" w:cs="Times New Roman"/>
          <w:szCs w:val="22"/>
          <w:vertAlign w:val="superscript"/>
        </w:rPr>
        <w:t>2</w:t>
      </w:r>
      <w:r w:rsidRPr="005F2867">
        <w:rPr>
          <w:rFonts w:ascii="Times New Roman" w:hAnsi="Times New Roman" w:cs="Times New Roman"/>
          <w:szCs w:val="22"/>
        </w:rPr>
        <w:t> = 10.165, </w:t>
      </w:r>
      <w:r w:rsidRPr="005F2867">
        <w:rPr>
          <w:rStyle w:val="html-italic"/>
          <w:rFonts w:ascii="Times New Roman" w:hAnsi="Times New Roman" w:cs="Times New Roman"/>
          <w:i/>
          <w:iCs/>
          <w:szCs w:val="22"/>
        </w:rPr>
        <w:t>p</w:t>
      </w:r>
      <w:r w:rsidRPr="005F2867">
        <w:rPr>
          <w:rFonts w:ascii="Times New Roman" w:hAnsi="Times New Roman" w:cs="Times New Roman"/>
          <w:szCs w:val="22"/>
        </w:rPr>
        <w:t> &lt; 0.01), as well as the main effects (Group: χ</w:t>
      </w:r>
      <w:r w:rsidRPr="005F2867">
        <w:rPr>
          <w:rFonts w:ascii="Times New Roman" w:hAnsi="Times New Roman" w:cs="Times New Roman"/>
          <w:szCs w:val="22"/>
          <w:vertAlign w:val="superscript"/>
        </w:rPr>
        <w:t>2</w:t>
      </w:r>
      <w:r w:rsidRPr="005F2867">
        <w:rPr>
          <w:rFonts w:ascii="Times New Roman" w:hAnsi="Times New Roman" w:cs="Times New Roman"/>
          <w:szCs w:val="22"/>
        </w:rPr>
        <w:t> = 10.25, </w:t>
      </w:r>
      <w:r w:rsidRPr="005F2867">
        <w:rPr>
          <w:rStyle w:val="html-italic"/>
          <w:rFonts w:ascii="Times New Roman" w:hAnsi="Times New Roman" w:cs="Times New Roman"/>
          <w:i/>
          <w:iCs/>
          <w:szCs w:val="22"/>
        </w:rPr>
        <w:t>p</w:t>
      </w:r>
      <w:r w:rsidRPr="005F2867">
        <w:rPr>
          <w:rFonts w:ascii="Times New Roman" w:hAnsi="Times New Roman" w:cs="Times New Roman"/>
          <w:szCs w:val="22"/>
        </w:rPr>
        <w:t> &lt; 0.01; Type of Precision: χ</w:t>
      </w:r>
      <w:r w:rsidRPr="005F2867">
        <w:rPr>
          <w:rFonts w:ascii="Times New Roman" w:hAnsi="Times New Roman" w:cs="Times New Roman"/>
          <w:szCs w:val="22"/>
          <w:vertAlign w:val="superscript"/>
        </w:rPr>
        <w:t>2</w:t>
      </w:r>
      <w:r w:rsidRPr="005F2867">
        <w:rPr>
          <w:rFonts w:ascii="Times New Roman" w:hAnsi="Times New Roman" w:cs="Times New Roman"/>
          <w:szCs w:val="22"/>
        </w:rPr>
        <w:t> = 4.54, </w:t>
      </w:r>
      <w:r w:rsidRPr="005F2867">
        <w:rPr>
          <w:rStyle w:val="html-italic"/>
          <w:rFonts w:ascii="Times New Roman" w:hAnsi="Times New Roman" w:cs="Times New Roman"/>
          <w:i/>
          <w:iCs/>
          <w:szCs w:val="22"/>
        </w:rPr>
        <w:t>p</w:t>
      </w:r>
      <w:r w:rsidRPr="005F2867">
        <w:rPr>
          <w:rFonts w:ascii="Times New Roman" w:hAnsi="Times New Roman" w:cs="Times New Roman"/>
          <w:szCs w:val="22"/>
        </w:rPr>
        <w:t> &lt; 0.05). The follow-up analyses highlight a significant difference between the early blind group and the other groups (early vs. late: t</w:t>
      </w:r>
      <w:r w:rsidRPr="005F2867">
        <w:rPr>
          <w:rFonts w:ascii="Times New Roman" w:hAnsi="Times New Roman" w:cs="Times New Roman"/>
          <w:szCs w:val="22"/>
          <w:vertAlign w:val="subscript"/>
        </w:rPr>
        <w:t>66</w:t>
      </w:r>
      <w:r w:rsidRPr="005F2867">
        <w:rPr>
          <w:rFonts w:ascii="Times New Roman" w:hAnsi="Times New Roman" w:cs="Times New Roman"/>
          <w:szCs w:val="22"/>
        </w:rPr>
        <w:t xml:space="preserve"> = 3.71, p &lt; </w:t>
      </w:r>
      <w:r w:rsidRPr="005F2867">
        <w:rPr>
          <w:rFonts w:ascii="Times New Roman" w:hAnsi="Times New Roman" w:cs="Times New Roman"/>
          <w:szCs w:val="22"/>
        </w:rPr>
        <w:lastRenderedPageBreak/>
        <w:t>0.01; early vs. sighted: t</w:t>
      </w:r>
      <w:r w:rsidRPr="005F2867">
        <w:rPr>
          <w:rFonts w:ascii="Times New Roman" w:hAnsi="Times New Roman" w:cs="Times New Roman"/>
          <w:szCs w:val="22"/>
          <w:vertAlign w:val="subscript"/>
        </w:rPr>
        <w:t>66</w:t>
      </w:r>
      <w:r w:rsidRPr="005F2867">
        <w:rPr>
          <w:rFonts w:ascii="Times New Roman" w:hAnsi="Times New Roman" w:cs="Times New Roman"/>
          <w:szCs w:val="22"/>
        </w:rPr>
        <w:t xml:space="preserve"> = 4.32, p &lt; 0.001) in sensory precision that is greater, i.e., less precision. Conversely, there is no statistical difference among groups regarding behavioral precision, although graphically, it appears to be smaller for the early blind group. Moreover, the early blind group is the only one with a difference between sensory and behavioral precision (t</w:t>
      </w:r>
      <w:r w:rsidRPr="005F2867">
        <w:rPr>
          <w:rFonts w:ascii="Times New Roman" w:hAnsi="Times New Roman" w:cs="Times New Roman"/>
          <w:szCs w:val="22"/>
          <w:vertAlign w:val="subscript"/>
        </w:rPr>
        <w:t>33</w:t>
      </w:r>
      <w:r w:rsidRPr="005F2867">
        <w:rPr>
          <w:rFonts w:ascii="Times New Roman" w:hAnsi="Times New Roman" w:cs="Times New Roman"/>
          <w:szCs w:val="22"/>
        </w:rPr>
        <w:t xml:space="preserve"> = 3.81, p &lt; 0.001).</w:t>
      </w:r>
    </w:p>
    <w:p w14:paraId="6B419B6F" w14:textId="60BC8B21" w:rsidR="005E4F45" w:rsidRPr="005F2867" w:rsidRDefault="001C7C5D" w:rsidP="009A6713">
      <w:pPr>
        <w:rPr>
          <w:rFonts w:ascii="Times New Roman" w:hAnsi="Times New Roman" w:cs="Times New Roman"/>
          <w:szCs w:val="22"/>
        </w:rPr>
      </w:pPr>
      <w:r w:rsidRPr="005F2867">
        <w:rPr>
          <w:rFonts w:ascii="Times New Roman" w:hAnsi="Times New Roman" w:cs="Times New Roman"/>
          <w:noProof/>
          <w:szCs w:val="22"/>
        </w:rPr>
        <w:drawing>
          <wp:anchor distT="0" distB="0" distL="114300" distR="114300" simplePos="0" relativeHeight="251659266" behindDoc="0" locked="0" layoutInCell="1" allowOverlap="1" wp14:anchorId="74C834F4" wp14:editId="67079D7F">
            <wp:simplePos x="0" y="0"/>
            <wp:positionH relativeFrom="margin">
              <wp:align>center</wp:align>
            </wp:positionH>
            <wp:positionV relativeFrom="paragraph">
              <wp:posOffset>2650</wp:posOffset>
            </wp:positionV>
            <wp:extent cx="5939790" cy="4190365"/>
            <wp:effectExtent l="0" t="0" r="3810" b="635"/>
            <wp:wrapTopAndBottom/>
            <wp:docPr id="1715106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4190365"/>
                    </a:xfrm>
                    <a:prstGeom prst="rect">
                      <a:avLst/>
                    </a:prstGeom>
                    <a:noFill/>
                    <a:ln>
                      <a:noFill/>
                    </a:ln>
                  </pic:spPr>
                </pic:pic>
              </a:graphicData>
            </a:graphic>
          </wp:anchor>
        </w:drawing>
      </w:r>
    </w:p>
    <w:p w14:paraId="75B51ADD" w14:textId="77777777" w:rsidR="009A6713" w:rsidRPr="005F2867" w:rsidRDefault="009A6713" w:rsidP="009A6713">
      <w:pPr>
        <w:tabs>
          <w:tab w:val="clear" w:pos="3068"/>
        </w:tabs>
        <w:spacing w:line="360" w:lineRule="auto"/>
        <w:ind w:firstLine="0"/>
        <w:rPr>
          <w:rFonts w:cs="Calibri"/>
          <w:szCs w:val="22"/>
        </w:rPr>
      </w:pPr>
      <w:r w:rsidRPr="005F2867">
        <w:rPr>
          <w:rFonts w:ascii="Times New Roman" w:hAnsi="Times New Roman" w:cs="Times New Roman"/>
          <w:b/>
          <w:szCs w:val="22"/>
        </w:rPr>
        <w:t xml:space="preserve">Figure S2. </w:t>
      </w:r>
      <w:r w:rsidRPr="005F2867">
        <w:rPr>
          <w:szCs w:val="22"/>
        </w:rPr>
        <w:t xml:space="preserve">In the top row, average sensory (on the left) and behavioral (on the right) precision for all groups are plotted. In the bottom row, the single data for the two precisions, sensory on the x-axis and behavioral on the y-axis, are reported. </w:t>
      </w:r>
      <w:r w:rsidRPr="005F2867">
        <w:rPr>
          <w:rFonts w:cs="Calibri"/>
          <w:szCs w:val="22"/>
        </w:rPr>
        <w:t>Error bars represent ±s.e.m.</w:t>
      </w:r>
    </w:p>
    <w:p w14:paraId="6804CA8F" w14:textId="77777777" w:rsidR="007938B5" w:rsidRPr="005F2867" w:rsidRDefault="007938B5" w:rsidP="0048053D">
      <w:pPr>
        <w:tabs>
          <w:tab w:val="clear" w:pos="3068"/>
        </w:tabs>
        <w:spacing w:line="360" w:lineRule="auto"/>
        <w:ind w:firstLine="0"/>
        <w:rPr>
          <w:rFonts w:cs="Calibri"/>
          <w:szCs w:val="22"/>
        </w:rPr>
      </w:pPr>
    </w:p>
    <w:p w14:paraId="7D4EBF87" w14:textId="77777777" w:rsidR="007938B5" w:rsidRPr="005F2867" w:rsidRDefault="007938B5" w:rsidP="0048053D">
      <w:pPr>
        <w:tabs>
          <w:tab w:val="clear" w:pos="3068"/>
        </w:tabs>
        <w:spacing w:line="360" w:lineRule="auto"/>
        <w:ind w:firstLine="0"/>
        <w:rPr>
          <w:rFonts w:cs="Calibri"/>
          <w:szCs w:val="22"/>
        </w:rPr>
      </w:pPr>
    </w:p>
    <w:p w14:paraId="742B2F39" w14:textId="661C28AA" w:rsidR="00740798" w:rsidRPr="005F2867" w:rsidRDefault="00740798" w:rsidP="0069731B">
      <w:pPr>
        <w:pStyle w:val="Heading2"/>
        <w:rPr>
          <w:rFonts w:ascii="Times New Roman" w:hAnsi="Times New Roman" w:cs="Times New Roman"/>
          <w:i/>
          <w:iCs/>
          <w:color w:val="auto"/>
          <w:sz w:val="22"/>
          <w:szCs w:val="22"/>
        </w:rPr>
      </w:pPr>
      <w:r w:rsidRPr="005F2867">
        <w:rPr>
          <w:rFonts w:ascii="Times New Roman" w:hAnsi="Times New Roman" w:cs="Times New Roman"/>
          <w:i/>
          <w:iCs/>
          <w:color w:val="auto"/>
          <w:sz w:val="22"/>
          <w:szCs w:val="22"/>
        </w:rPr>
        <w:t xml:space="preserve">Additional Bayesian model analysis </w:t>
      </w:r>
    </w:p>
    <w:p w14:paraId="4DFBF130" w14:textId="77777777" w:rsidR="000755D8" w:rsidRPr="005F2867" w:rsidRDefault="000755D8" w:rsidP="000755D8">
      <w:pPr>
        <w:rPr>
          <w:szCs w:val="22"/>
        </w:rPr>
      </w:pPr>
    </w:p>
    <w:p w14:paraId="744AB035" w14:textId="04487163" w:rsidR="000A7085" w:rsidRPr="005F2867" w:rsidRDefault="000A7085" w:rsidP="002B4388">
      <w:pPr>
        <w:autoSpaceDE w:val="0"/>
        <w:autoSpaceDN w:val="0"/>
        <w:adjustRightInd w:val="0"/>
        <w:ind w:firstLine="0"/>
        <w:rPr>
          <w:rFonts w:ascii="Times New Roman" w:hAnsi="Times New Roman" w:cs="Times New Roman"/>
          <w:szCs w:val="22"/>
        </w:rPr>
      </w:pPr>
      <w:r w:rsidRPr="005F2867">
        <w:rPr>
          <w:rFonts w:ascii="Times New Roman" w:hAnsi="Times New Roman" w:cs="Times New Roman"/>
          <w:szCs w:val="22"/>
        </w:rPr>
        <w:t xml:space="preserve">Fig. </w:t>
      </w:r>
      <w:r w:rsidR="006E215F" w:rsidRPr="005F2867">
        <w:rPr>
          <w:rFonts w:ascii="Times New Roman" w:hAnsi="Times New Roman" w:cs="Times New Roman"/>
          <w:szCs w:val="22"/>
        </w:rPr>
        <w:t>S3</w:t>
      </w:r>
      <w:r w:rsidRPr="005F2867">
        <w:rPr>
          <w:rFonts w:ascii="Times New Roman" w:hAnsi="Times New Roman" w:cs="Times New Roman"/>
          <w:szCs w:val="22"/>
        </w:rPr>
        <w:t xml:space="preserve"> represents the</w:t>
      </w:r>
      <w:r w:rsidR="00572995" w:rsidRPr="005F2867">
        <w:rPr>
          <w:rFonts w:ascii="Times New Roman" w:hAnsi="Times New Roman" w:cs="Times New Roman"/>
          <w:szCs w:val="22"/>
        </w:rPr>
        <w:t xml:space="preserve"> Bayesian model’s prediction with respect to the</w:t>
      </w:r>
      <w:r w:rsidRPr="005F2867">
        <w:rPr>
          <w:rFonts w:ascii="Times New Roman" w:hAnsi="Times New Roman" w:cs="Times New Roman"/>
          <w:szCs w:val="22"/>
        </w:rPr>
        <w:t xml:space="preserve"> bias </w:t>
      </w:r>
      <w:r w:rsidR="00572995" w:rsidRPr="005F2867">
        <w:rPr>
          <w:rFonts w:ascii="Times New Roman" w:hAnsi="Times New Roman" w:cs="Times New Roman"/>
          <w:szCs w:val="22"/>
        </w:rPr>
        <w:t xml:space="preserve">and </w:t>
      </w:r>
      <w:r w:rsidRPr="005F2867">
        <w:rPr>
          <w:rFonts w:ascii="Times New Roman" w:hAnsi="Times New Roman" w:cs="Times New Roman"/>
          <w:szCs w:val="22"/>
        </w:rPr>
        <w:t>the CV</w:t>
      </w:r>
      <w:r w:rsidR="00572995" w:rsidRPr="005F2867">
        <w:rPr>
          <w:rFonts w:ascii="Times New Roman" w:hAnsi="Times New Roman" w:cs="Times New Roman"/>
          <w:szCs w:val="22"/>
        </w:rPr>
        <w:t>. As in Fig. 7</w:t>
      </w:r>
      <w:r w:rsidR="00C14149" w:rsidRPr="005F2867">
        <w:rPr>
          <w:rFonts w:ascii="Times New Roman" w:hAnsi="Times New Roman" w:cs="Times New Roman"/>
          <w:szCs w:val="22"/>
        </w:rPr>
        <w:t xml:space="preserve"> of the manuscript, the predictions of the model (curves) are plotted together with the behavioral data of the three </w:t>
      </w:r>
      <w:r w:rsidR="00C14149" w:rsidRPr="005F2867">
        <w:rPr>
          <w:rFonts w:ascii="Times New Roman" w:hAnsi="Times New Roman" w:cs="Times New Roman"/>
          <w:szCs w:val="22"/>
        </w:rPr>
        <w:lastRenderedPageBreak/>
        <w:t xml:space="preserve">groups (circles). </w:t>
      </w:r>
      <w:r w:rsidR="00CB5CD7" w:rsidRPr="005F2867">
        <w:rPr>
          <w:rFonts w:ascii="Times New Roman" w:hAnsi="Times New Roman" w:cs="Times New Roman"/>
          <w:szCs w:val="22"/>
        </w:rPr>
        <w:t xml:space="preserve">The curves </w:t>
      </w:r>
      <w:r w:rsidR="005A5C2C" w:rsidRPr="005F2867">
        <w:rPr>
          <w:rFonts w:ascii="Times New Roman" w:hAnsi="Times New Roman" w:cs="Times New Roman"/>
          <w:szCs w:val="22"/>
        </w:rPr>
        <w:t xml:space="preserve">show the predictions for bias and CV, resulting from the same </w:t>
      </w:r>
      <w:r w:rsidR="00D5540C" w:rsidRPr="005F2867">
        <w:rPr>
          <w:rFonts w:ascii="Times New Roman" w:hAnsi="Times New Roman" w:cs="Times New Roman"/>
          <w:szCs w:val="22"/>
        </w:rPr>
        <w:t>prior width</w:t>
      </w:r>
      <w:r w:rsidR="007E2580" w:rsidRPr="005F2867">
        <w:rPr>
          <w:rFonts w:ascii="Times New Roman" w:hAnsi="Times New Roman" w:cs="Times New Roman"/>
          <w:szCs w:val="22"/>
        </w:rPr>
        <w:t xml:space="preserve"> and the same range of WF</w:t>
      </w:r>
      <w:r w:rsidR="00D5540C" w:rsidRPr="005F2867">
        <w:rPr>
          <w:rFonts w:ascii="Times New Roman" w:hAnsi="Times New Roman" w:cs="Times New Roman"/>
          <w:szCs w:val="22"/>
        </w:rPr>
        <w:t xml:space="preserve"> used in Fig. 7</w:t>
      </w:r>
      <w:r w:rsidRPr="005F2867">
        <w:rPr>
          <w:rFonts w:ascii="Times New Roman" w:hAnsi="Times New Roman" w:cs="Times New Roman"/>
          <w:szCs w:val="22"/>
        </w:rPr>
        <w:t xml:space="preserve">. </w:t>
      </w:r>
      <w:r w:rsidR="00CD041C" w:rsidRPr="005F2867">
        <w:rPr>
          <w:rFonts w:ascii="Times New Roman" w:hAnsi="Times New Roman" w:cs="Times New Roman"/>
          <w:szCs w:val="22"/>
        </w:rPr>
        <w:t>A</w:t>
      </w:r>
      <w:r w:rsidR="00012374" w:rsidRPr="005F2867">
        <w:rPr>
          <w:rFonts w:ascii="Times New Roman" w:hAnsi="Times New Roman" w:cs="Times New Roman"/>
          <w:szCs w:val="22"/>
        </w:rPr>
        <w:t>s in previous literature</w:t>
      </w:r>
      <w:r w:rsidR="00E17C9D" w:rsidRPr="005F2867">
        <w:rPr>
          <w:rFonts w:ascii="Times New Roman" w:hAnsi="Times New Roman" w:cs="Times New Roman"/>
          <w:szCs w:val="22"/>
        </w:rPr>
        <w:t xml:space="preserve">, </w:t>
      </w:r>
      <w:r w:rsidR="00CD041C" w:rsidRPr="005F2867">
        <w:rPr>
          <w:szCs w:val="22"/>
        </w:rPr>
        <w:t xml:space="preserve">when </w:t>
      </w:r>
      <w:r w:rsidR="00CD041C" w:rsidRPr="005F2867">
        <w:rPr>
          <w:rFonts w:ascii="Times New Roman" w:hAnsi="Times New Roman" w:cs="Times New Roman"/>
          <w:szCs w:val="22"/>
        </w:rPr>
        <w:t xml:space="preserve">computing the prediction for the CV and Bias based on WF and Prior Width values, a </w:t>
      </w:r>
      <w:r w:rsidR="006F6390" w:rsidRPr="005F2867">
        <w:rPr>
          <w:rFonts w:ascii="Times New Roman" w:hAnsi="Times New Roman" w:cs="Times New Roman"/>
          <w:szCs w:val="22"/>
        </w:rPr>
        <w:t xml:space="preserve">constant </w:t>
      </w:r>
      <w:r w:rsidR="00CD041C" w:rsidRPr="005F2867">
        <w:rPr>
          <w:rFonts w:ascii="Times New Roman" w:hAnsi="Times New Roman" w:cs="Times New Roman"/>
          <w:szCs w:val="22"/>
        </w:rPr>
        <w:t>non-sensory motor noise is added to the variability (CV)</w:t>
      </w:r>
      <w:r w:rsidR="00773264" w:rsidRPr="005F2867">
        <w:rPr>
          <w:rFonts w:ascii="Times New Roman" w:hAnsi="Times New Roman" w:cs="Times New Roman"/>
          <w:szCs w:val="22"/>
        </w:rPr>
        <w:t xml:space="preserve">. Therefore, </w:t>
      </w:r>
      <w:r w:rsidR="005F2867">
        <w:rPr>
          <w:rFonts w:ascii="Times New Roman" w:hAnsi="Times New Roman" w:cs="Times New Roman"/>
          <w:szCs w:val="22"/>
        </w:rPr>
        <w:t>to match the same non-sensory noise as</w:t>
      </w:r>
      <w:r w:rsidR="00773264" w:rsidRPr="005F2867">
        <w:rPr>
          <w:rFonts w:ascii="Times New Roman" w:hAnsi="Times New Roman" w:cs="Times New Roman"/>
          <w:szCs w:val="22"/>
        </w:rPr>
        <w:t xml:space="preserve"> Sciutti </w:t>
      </w:r>
      <w:r w:rsidR="000B7581" w:rsidRPr="005F2867">
        <w:rPr>
          <w:rFonts w:ascii="Times New Roman" w:hAnsi="Times New Roman" w:cs="Times New Roman"/>
          <w:szCs w:val="22"/>
        </w:rPr>
        <w:fldChar w:fldCharType="begin" w:fldLock="1"/>
      </w:r>
      <w:r w:rsidR="0001203F" w:rsidRPr="005F2867">
        <w:rPr>
          <w:rFonts w:ascii="Times New Roman" w:hAnsi="Times New Roman" w:cs="Times New Roman"/>
          <w:szCs w:val="22"/>
        </w:rPr>
        <w:instrText>ADDIN CSL_CITATION {"citationItems":[{"id":"ITEM-1","itemData":{"DOI":"10.1007/s00221-014-4021-y","ISSN":"0014-4819","author":[{"dropping-particle":"","family":"Sciutti","given":"Alessandra","non-dropping-particle":"","parse-names":false,"suffix":""},{"dropping-particle":"","family":"Burr","given":"David C.","non-dropping-particle":"","parse-names":false,"suffix":""},{"dropping-particle":"","family":"Saracco","given":"Alice","non-dropping-particle":"","parse-names":false,"suffix":""},{"dropping-particle":"","family":"Sandini","given":"Giulio","non-dropping-particle":"","parse-names":false,"suffix":""},{"dropping-particle":"","family":"Gori","given":"Monica","non-dropping-particle":"","parse-names":false,"suffix":""}],"container-title":"Experimental Brain Research","id":"ITEM-1","issue":"12","issued":{"date-parts":[["2014","12","3"]]},"page":"3965-3976","title":"Development of context dependency in human space perception","type":"article-journal","volume":"232"},"suppress-author":1,"uris":["http://www.mendeley.com/documents/?uuid=90ead230-0e0e-403c-b413-005a9c7ed25f"]}],"mendeley":{"formattedCitation":"(2014)","plainTextFormattedCitation":"(2014)","previouslyFormattedCitation":"(2014)"},"properties":{"noteIndex":0},"schema":"https://github.com/citation-style-language/schema/raw/master/csl-citation.json"}</w:instrText>
      </w:r>
      <w:r w:rsidR="000B7581" w:rsidRPr="005F2867">
        <w:rPr>
          <w:rFonts w:ascii="Times New Roman" w:hAnsi="Times New Roman" w:cs="Times New Roman"/>
          <w:szCs w:val="22"/>
        </w:rPr>
        <w:fldChar w:fldCharType="separate"/>
      </w:r>
      <w:r w:rsidR="0001203F" w:rsidRPr="005F2867">
        <w:rPr>
          <w:rFonts w:ascii="Times New Roman" w:hAnsi="Times New Roman" w:cs="Times New Roman"/>
          <w:noProof/>
          <w:szCs w:val="22"/>
        </w:rPr>
        <w:t>(2014)</w:t>
      </w:r>
      <w:r w:rsidR="000B7581" w:rsidRPr="005F2867">
        <w:rPr>
          <w:rFonts w:ascii="Times New Roman" w:hAnsi="Times New Roman" w:cs="Times New Roman"/>
          <w:szCs w:val="22"/>
        </w:rPr>
        <w:fldChar w:fldCharType="end"/>
      </w:r>
      <w:r w:rsidR="00773264" w:rsidRPr="005F2867">
        <w:rPr>
          <w:rFonts w:ascii="Times New Roman" w:hAnsi="Times New Roman" w:cs="Times New Roman"/>
          <w:szCs w:val="22"/>
        </w:rPr>
        <w:t xml:space="preserve">, a 3° </w:t>
      </w:r>
      <w:r w:rsidR="00B47061" w:rsidRPr="005F2867">
        <w:rPr>
          <w:rFonts w:ascii="Times New Roman" w:hAnsi="Times New Roman" w:cs="Times New Roman"/>
          <w:szCs w:val="22"/>
        </w:rPr>
        <w:t>non-sensory noise was added to the model</w:t>
      </w:r>
      <w:r w:rsidRPr="005F2867">
        <w:rPr>
          <w:rFonts w:ascii="Times New Roman" w:hAnsi="Times New Roman" w:cs="Times New Roman"/>
          <w:szCs w:val="22"/>
        </w:rPr>
        <w:t xml:space="preserve">. </w:t>
      </w:r>
      <w:r w:rsidR="0030531F" w:rsidRPr="005F2867">
        <w:rPr>
          <w:rFonts w:ascii="Times New Roman" w:hAnsi="Times New Roman" w:cs="Times New Roman"/>
          <w:szCs w:val="22"/>
        </w:rPr>
        <w:t xml:space="preserve">As for the RI and WF, it is possible to compare how much the model’s prediction </w:t>
      </w:r>
      <w:r w:rsidR="00A2543F" w:rsidRPr="005F2867">
        <w:rPr>
          <w:rFonts w:ascii="Times New Roman" w:hAnsi="Times New Roman" w:cs="Times New Roman"/>
          <w:szCs w:val="22"/>
        </w:rPr>
        <w:t>fits</w:t>
      </w:r>
      <w:r w:rsidR="0030531F" w:rsidRPr="005F2867">
        <w:rPr>
          <w:rFonts w:ascii="Times New Roman" w:hAnsi="Times New Roman" w:cs="Times New Roman"/>
          <w:szCs w:val="22"/>
        </w:rPr>
        <w:t xml:space="preserve"> with </w:t>
      </w:r>
      <w:r w:rsidR="00A2543F" w:rsidRPr="005F2867">
        <w:rPr>
          <w:rFonts w:ascii="Times New Roman" w:hAnsi="Times New Roman" w:cs="Times New Roman"/>
          <w:szCs w:val="22"/>
        </w:rPr>
        <w:t xml:space="preserve">the behavioral data (Bias and CV). </w:t>
      </w:r>
      <w:r w:rsidRPr="005F2867">
        <w:rPr>
          <w:rFonts w:ascii="Times New Roman" w:hAnsi="Times New Roman" w:cs="Times New Roman"/>
          <w:szCs w:val="22"/>
        </w:rPr>
        <w:t xml:space="preserve">As for the sighted and late group, the behavioral data are comparable to what the model predicts, and the width of the prior is equivalent. However, it should be noted that the model seems to work better for the data of the long condition compared with the short condition, which may be due to greater homogeneity of the data. We can conclude that the behavior falls within the Bayesian framework for the sighted and late group; the same does not apply to the early blind group. The prediction made by the model is totally different from what the actual data show. If early blind participants had behaved within the Bayesian framework, there would have been a decrease in both Bias and CV. </w:t>
      </w:r>
    </w:p>
    <w:p w14:paraId="32347CC6" w14:textId="5A21DA19" w:rsidR="000A7085" w:rsidRPr="005F2867" w:rsidRDefault="002B4388" w:rsidP="00160E5D">
      <w:pPr>
        <w:spacing w:line="360" w:lineRule="auto"/>
        <w:ind w:firstLine="0"/>
        <w:rPr>
          <w:rFonts w:cs="Calibri"/>
          <w:szCs w:val="22"/>
        </w:rPr>
      </w:pPr>
      <w:r w:rsidRPr="005F2867">
        <w:rPr>
          <w:rFonts w:ascii="Times New Roman" w:hAnsi="Times New Roman" w:cs="Times New Roman"/>
          <w:noProof/>
          <w:szCs w:val="22"/>
          <w:lang w:val="it-IT"/>
        </w:rPr>
        <w:drawing>
          <wp:anchor distT="0" distB="0" distL="114300" distR="114300" simplePos="0" relativeHeight="251658241" behindDoc="0" locked="0" layoutInCell="1" allowOverlap="1" wp14:anchorId="705FE935" wp14:editId="522D01A6">
            <wp:simplePos x="0" y="0"/>
            <wp:positionH relativeFrom="margin">
              <wp:align>center</wp:align>
            </wp:positionH>
            <wp:positionV relativeFrom="paragraph">
              <wp:posOffset>143749</wp:posOffset>
            </wp:positionV>
            <wp:extent cx="5253355" cy="2605405"/>
            <wp:effectExtent l="0" t="0" r="4445" b="4445"/>
            <wp:wrapTopAndBottom/>
            <wp:docPr id="1445266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233" r="6237"/>
                    <a:stretch/>
                  </pic:blipFill>
                  <pic:spPr bwMode="auto">
                    <a:xfrm>
                      <a:off x="0" y="0"/>
                      <a:ext cx="5253355" cy="2605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E215F" w:rsidRPr="005F2867">
        <w:rPr>
          <w:rFonts w:ascii="Times New Roman" w:hAnsi="Times New Roman" w:cs="Times New Roman"/>
          <w:b/>
          <w:bCs/>
          <w:szCs w:val="22"/>
        </w:rPr>
        <w:t>Figure S3</w:t>
      </w:r>
      <w:r w:rsidR="002721AB" w:rsidRPr="005F2867">
        <w:rPr>
          <w:szCs w:val="22"/>
        </w:rPr>
        <w:t xml:space="preserve"> ar</w:t>
      </w:r>
      <w:r w:rsidR="00160E5D" w:rsidRPr="005F2867">
        <w:rPr>
          <w:szCs w:val="22"/>
        </w:rPr>
        <w:t>e plotted the average normalized CV against the averaged normalized bias (big circles) and single participants’ data (small circles)</w:t>
      </w:r>
      <w:r w:rsidR="00A713A0" w:rsidRPr="005F2867">
        <w:rPr>
          <w:szCs w:val="22"/>
        </w:rPr>
        <w:t xml:space="preserve"> obtained from the experimental data</w:t>
      </w:r>
      <w:r w:rsidR="00160E5D" w:rsidRPr="005F2867">
        <w:rPr>
          <w:szCs w:val="22"/>
        </w:rPr>
        <w:t xml:space="preserve">. </w:t>
      </w:r>
      <w:r w:rsidR="00A713A0" w:rsidRPr="005F2867">
        <w:rPr>
          <w:szCs w:val="22"/>
        </w:rPr>
        <w:t>T</w:t>
      </w:r>
      <w:r w:rsidR="00160E5D" w:rsidRPr="005F2867">
        <w:rPr>
          <w:szCs w:val="22"/>
        </w:rPr>
        <w:t>he colored curves represent the predictions of the Bayesian model, adding a fixed non-sensory motor noise of 3</w:t>
      </w:r>
      <w:r w:rsidR="00160E5D" w:rsidRPr="005F2867">
        <w:rPr>
          <w:rFonts w:asciiTheme="minorHAnsi" w:hAnsiTheme="minorHAnsi" w:cstheme="minorHAnsi"/>
          <w:szCs w:val="22"/>
        </w:rPr>
        <w:t xml:space="preserve">. </w:t>
      </w:r>
      <w:r w:rsidR="00160E5D" w:rsidRPr="005F2867">
        <w:rPr>
          <w:rFonts w:cs="Calibri"/>
          <w:szCs w:val="22"/>
        </w:rPr>
        <w:t>Error bars represent ±s.e.m</w:t>
      </w:r>
    </w:p>
    <w:p w14:paraId="397F567F" w14:textId="77777777" w:rsidR="000B7581" w:rsidRPr="005F2867" w:rsidRDefault="000B7581" w:rsidP="00160E5D">
      <w:pPr>
        <w:spacing w:line="360" w:lineRule="auto"/>
        <w:ind w:firstLine="0"/>
        <w:rPr>
          <w:rFonts w:cs="Calibri"/>
          <w:szCs w:val="22"/>
        </w:rPr>
      </w:pPr>
    </w:p>
    <w:p w14:paraId="31D16B2D" w14:textId="5E1900D5" w:rsidR="00097E7E" w:rsidRPr="005F2867" w:rsidRDefault="00097E7E" w:rsidP="00160E5D">
      <w:pPr>
        <w:spacing w:line="360" w:lineRule="auto"/>
        <w:ind w:firstLine="0"/>
        <w:rPr>
          <w:rFonts w:ascii="Times New Roman" w:hAnsi="Times New Roman" w:cs="Times New Roman"/>
          <w:b/>
          <w:bCs/>
          <w:szCs w:val="22"/>
        </w:rPr>
      </w:pPr>
      <w:r w:rsidRPr="005F2867">
        <w:rPr>
          <w:rFonts w:ascii="Times New Roman" w:hAnsi="Times New Roman" w:cs="Times New Roman"/>
          <w:b/>
          <w:bCs/>
          <w:szCs w:val="22"/>
        </w:rPr>
        <w:lastRenderedPageBreak/>
        <w:t>Additional References</w:t>
      </w:r>
    </w:p>
    <w:p w14:paraId="1F55B09D" w14:textId="16635057" w:rsidR="0001203F" w:rsidRPr="005F2867" w:rsidRDefault="0001203F" w:rsidP="0001203F">
      <w:pPr>
        <w:widowControl w:val="0"/>
        <w:autoSpaceDE w:val="0"/>
        <w:autoSpaceDN w:val="0"/>
        <w:adjustRightInd w:val="0"/>
        <w:spacing w:line="360" w:lineRule="auto"/>
        <w:ind w:left="480" w:hanging="480"/>
        <w:rPr>
          <w:rFonts w:ascii="Times New Roman" w:hAnsi="Times New Roman" w:cs="Times New Roman"/>
          <w:noProof/>
          <w:szCs w:val="22"/>
        </w:rPr>
      </w:pPr>
      <w:r w:rsidRPr="005F2867">
        <w:rPr>
          <w:rFonts w:ascii="Times New Roman" w:hAnsi="Times New Roman" w:cs="Times New Roman"/>
          <w:szCs w:val="22"/>
        </w:rPr>
        <w:fldChar w:fldCharType="begin" w:fldLock="1"/>
      </w:r>
      <w:r w:rsidRPr="005F2867">
        <w:rPr>
          <w:rFonts w:ascii="Times New Roman" w:hAnsi="Times New Roman" w:cs="Times New Roman"/>
          <w:szCs w:val="22"/>
        </w:rPr>
        <w:instrText xml:space="preserve">ADDIN Mendeley Bibliography CSL_BIBLIOGRAPHY </w:instrText>
      </w:r>
      <w:r w:rsidRPr="005F2867">
        <w:rPr>
          <w:rFonts w:ascii="Times New Roman" w:hAnsi="Times New Roman" w:cs="Times New Roman"/>
          <w:szCs w:val="22"/>
        </w:rPr>
        <w:fldChar w:fldCharType="separate"/>
      </w:r>
      <w:r w:rsidRPr="005F2867">
        <w:rPr>
          <w:rFonts w:ascii="Times New Roman" w:hAnsi="Times New Roman" w:cs="Times New Roman"/>
          <w:noProof/>
          <w:szCs w:val="22"/>
        </w:rPr>
        <w:t xml:space="preserve">Aston, S., Negen, J., Nardini, M., &amp; Beierholm, U. (2021). Central tendency biases must be accounted for to consistently capture Bayesian cue combination in continuous response data. </w:t>
      </w:r>
      <w:r w:rsidRPr="005F2867">
        <w:rPr>
          <w:rFonts w:ascii="Times New Roman" w:hAnsi="Times New Roman" w:cs="Times New Roman"/>
          <w:i/>
          <w:iCs/>
          <w:noProof/>
          <w:szCs w:val="22"/>
        </w:rPr>
        <w:t>Behavior Research Methods</w:t>
      </w:r>
      <w:r w:rsidRPr="005F2867">
        <w:rPr>
          <w:rFonts w:ascii="Times New Roman" w:hAnsi="Times New Roman" w:cs="Times New Roman"/>
          <w:noProof/>
          <w:szCs w:val="22"/>
        </w:rPr>
        <w:t xml:space="preserve">, </w:t>
      </w:r>
      <w:r w:rsidRPr="005F2867">
        <w:rPr>
          <w:rFonts w:ascii="Times New Roman" w:hAnsi="Times New Roman" w:cs="Times New Roman"/>
          <w:i/>
          <w:iCs/>
          <w:noProof/>
          <w:szCs w:val="22"/>
        </w:rPr>
        <w:t>54</w:t>
      </w:r>
      <w:r w:rsidRPr="005F2867">
        <w:rPr>
          <w:rFonts w:ascii="Times New Roman" w:hAnsi="Times New Roman" w:cs="Times New Roman"/>
          <w:noProof/>
          <w:szCs w:val="22"/>
        </w:rPr>
        <w:t>(1), 508–521. https://doi.org/10.3758/s13428-021-01633-2</w:t>
      </w:r>
    </w:p>
    <w:p w14:paraId="35652E09" w14:textId="77777777" w:rsidR="0001203F" w:rsidRPr="005F2867" w:rsidRDefault="0001203F" w:rsidP="0001203F">
      <w:pPr>
        <w:widowControl w:val="0"/>
        <w:autoSpaceDE w:val="0"/>
        <w:autoSpaceDN w:val="0"/>
        <w:adjustRightInd w:val="0"/>
        <w:spacing w:line="360" w:lineRule="auto"/>
        <w:ind w:left="480" w:hanging="480"/>
        <w:rPr>
          <w:rFonts w:ascii="Times New Roman" w:hAnsi="Times New Roman" w:cs="Times New Roman"/>
          <w:noProof/>
          <w:szCs w:val="22"/>
        </w:rPr>
      </w:pPr>
      <w:r w:rsidRPr="005F2867">
        <w:rPr>
          <w:rFonts w:ascii="Times New Roman" w:hAnsi="Times New Roman" w:cs="Times New Roman"/>
          <w:noProof/>
          <w:szCs w:val="22"/>
        </w:rPr>
        <w:t xml:space="preserve">Sciutti, A., Burr, D. C., Saracco, A., Sandini, G., &amp; Gori, M. (2014). Development of context dependency in human space perception. </w:t>
      </w:r>
      <w:r w:rsidRPr="005F2867">
        <w:rPr>
          <w:rFonts w:ascii="Times New Roman" w:hAnsi="Times New Roman" w:cs="Times New Roman"/>
          <w:i/>
          <w:iCs/>
          <w:noProof/>
          <w:szCs w:val="22"/>
        </w:rPr>
        <w:t>Experimental Brain Research</w:t>
      </w:r>
      <w:r w:rsidRPr="005F2867">
        <w:rPr>
          <w:rFonts w:ascii="Times New Roman" w:hAnsi="Times New Roman" w:cs="Times New Roman"/>
          <w:noProof/>
          <w:szCs w:val="22"/>
        </w:rPr>
        <w:t xml:space="preserve">, </w:t>
      </w:r>
      <w:r w:rsidRPr="005F2867">
        <w:rPr>
          <w:rFonts w:ascii="Times New Roman" w:hAnsi="Times New Roman" w:cs="Times New Roman"/>
          <w:i/>
          <w:iCs/>
          <w:noProof/>
          <w:szCs w:val="22"/>
        </w:rPr>
        <w:t>232</w:t>
      </w:r>
      <w:r w:rsidRPr="005F2867">
        <w:rPr>
          <w:rFonts w:ascii="Times New Roman" w:hAnsi="Times New Roman" w:cs="Times New Roman"/>
          <w:noProof/>
          <w:szCs w:val="22"/>
        </w:rPr>
        <w:t>(12), 3965–3976. https://doi.org/10.1007/s00221-014-4021-y</w:t>
      </w:r>
    </w:p>
    <w:p w14:paraId="00C9D0DD" w14:textId="335921B1" w:rsidR="000B7581" w:rsidRPr="005F2867" w:rsidRDefault="0001203F" w:rsidP="00160E5D">
      <w:pPr>
        <w:spacing w:line="360" w:lineRule="auto"/>
        <w:ind w:firstLine="0"/>
        <w:rPr>
          <w:rFonts w:cs="Calibri"/>
          <w:szCs w:val="22"/>
        </w:rPr>
      </w:pPr>
      <w:r w:rsidRPr="005F2867">
        <w:rPr>
          <w:rFonts w:ascii="Times New Roman" w:hAnsi="Times New Roman" w:cs="Times New Roman"/>
          <w:szCs w:val="22"/>
        </w:rPr>
        <w:fldChar w:fldCharType="end"/>
      </w:r>
    </w:p>
    <w:sectPr w:rsidR="000B7581" w:rsidRPr="005F2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0MbUwNjMzMbQ0NrZU0lEKTi0uzszPAykwqQUAW1AXUywAAAA="/>
  </w:docVars>
  <w:rsids>
    <w:rsidRoot w:val="006B35A4"/>
    <w:rsid w:val="00010133"/>
    <w:rsid w:val="0001203F"/>
    <w:rsid w:val="00012374"/>
    <w:rsid w:val="0003567E"/>
    <w:rsid w:val="00054DCB"/>
    <w:rsid w:val="00055DA6"/>
    <w:rsid w:val="000755D8"/>
    <w:rsid w:val="000827A1"/>
    <w:rsid w:val="00097E7E"/>
    <w:rsid w:val="000A2E99"/>
    <w:rsid w:val="000A5F61"/>
    <w:rsid w:val="000A5FBB"/>
    <w:rsid w:val="000A6267"/>
    <w:rsid w:val="000A7085"/>
    <w:rsid w:val="000B7581"/>
    <w:rsid w:val="00101C1C"/>
    <w:rsid w:val="00160B99"/>
    <w:rsid w:val="00160E5D"/>
    <w:rsid w:val="001656B1"/>
    <w:rsid w:val="00194C56"/>
    <w:rsid w:val="001A308B"/>
    <w:rsid w:val="001B6C2B"/>
    <w:rsid w:val="001C7C5D"/>
    <w:rsid w:val="001F387F"/>
    <w:rsid w:val="002246F0"/>
    <w:rsid w:val="00235490"/>
    <w:rsid w:val="002367EE"/>
    <w:rsid w:val="00253769"/>
    <w:rsid w:val="0026577E"/>
    <w:rsid w:val="002721AB"/>
    <w:rsid w:val="00275F50"/>
    <w:rsid w:val="00286E11"/>
    <w:rsid w:val="002A4473"/>
    <w:rsid w:val="002B4388"/>
    <w:rsid w:val="0030531F"/>
    <w:rsid w:val="003077CE"/>
    <w:rsid w:val="0031110B"/>
    <w:rsid w:val="003406CF"/>
    <w:rsid w:val="00364AD9"/>
    <w:rsid w:val="00370D92"/>
    <w:rsid w:val="003853FB"/>
    <w:rsid w:val="003D390E"/>
    <w:rsid w:val="003E5960"/>
    <w:rsid w:val="003F2E6C"/>
    <w:rsid w:val="00420271"/>
    <w:rsid w:val="00427C68"/>
    <w:rsid w:val="0046355A"/>
    <w:rsid w:val="0047607B"/>
    <w:rsid w:val="0048053D"/>
    <w:rsid w:val="0048636A"/>
    <w:rsid w:val="00524E31"/>
    <w:rsid w:val="00555089"/>
    <w:rsid w:val="00572995"/>
    <w:rsid w:val="005735FB"/>
    <w:rsid w:val="00590B37"/>
    <w:rsid w:val="005952D5"/>
    <w:rsid w:val="005A5C2C"/>
    <w:rsid w:val="005B5CBB"/>
    <w:rsid w:val="005E4F45"/>
    <w:rsid w:val="005E6DDD"/>
    <w:rsid w:val="005F2867"/>
    <w:rsid w:val="006173FF"/>
    <w:rsid w:val="00654765"/>
    <w:rsid w:val="00654FEB"/>
    <w:rsid w:val="0069731B"/>
    <w:rsid w:val="006A63A3"/>
    <w:rsid w:val="006B06D9"/>
    <w:rsid w:val="006B35A4"/>
    <w:rsid w:val="006C6502"/>
    <w:rsid w:val="006E215F"/>
    <w:rsid w:val="006F6390"/>
    <w:rsid w:val="00716292"/>
    <w:rsid w:val="0072060D"/>
    <w:rsid w:val="00721E3B"/>
    <w:rsid w:val="007233D6"/>
    <w:rsid w:val="00740798"/>
    <w:rsid w:val="007717EC"/>
    <w:rsid w:val="00773264"/>
    <w:rsid w:val="00776D52"/>
    <w:rsid w:val="00784413"/>
    <w:rsid w:val="007936C0"/>
    <w:rsid w:val="007938B5"/>
    <w:rsid w:val="007A2BDB"/>
    <w:rsid w:val="007B5615"/>
    <w:rsid w:val="007E2580"/>
    <w:rsid w:val="0087300A"/>
    <w:rsid w:val="008940D4"/>
    <w:rsid w:val="008F16E2"/>
    <w:rsid w:val="008F4980"/>
    <w:rsid w:val="00944770"/>
    <w:rsid w:val="0098623C"/>
    <w:rsid w:val="009A6713"/>
    <w:rsid w:val="009B1067"/>
    <w:rsid w:val="009C0784"/>
    <w:rsid w:val="00A2543F"/>
    <w:rsid w:val="00A26DA0"/>
    <w:rsid w:val="00A713A0"/>
    <w:rsid w:val="00A7170F"/>
    <w:rsid w:val="00A92BAF"/>
    <w:rsid w:val="00AA67E8"/>
    <w:rsid w:val="00B16A40"/>
    <w:rsid w:val="00B32CDA"/>
    <w:rsid w:val="00B35346"/>
    <w:rsid w:val="00B47061"/>
    <w:rsid w:val="00B475D6"/>
    <w:rsid w:val="00B51931"/>
    <w:rsid w:val="00B668CA"/>
    <w:rsid w:val="00B81B4D"/>
    <w:rsid w:val="00BC4F9F"/>
    <w:rsid w:val="00BC5385"/>
    <w:rsid w:val="00BC6338"/>
    <w:rsid w:val="00BD1E82"/>
    <w:rsid w:val="00BD73BA"/>
    <w:rsid w:val="00BE5D9D"/>
    <w:rsid w:val="00C14149"/>
    <w:rsid w:val="00C15BF3"/>
    <w:rsid w:val="00C25E7A"/>
    <w:rsid w:val="00C32F2B"/>
    <w:rsid w:val="00C51C2C"/>
    <w:rsid w:val="00C7213D"/>
    <w:rsid w:val="00C7617E"/>
    <w:rsid w:val="00CB5CD7"/>
    <w:rsid w:val="00CB72A8"/>
    <w:rsid w:val="00CD041C"/>
    <w:rsid w:val="00CE0E7B"/>
    <w:rsid w:val="00D01D66"/>
    <w:rsid w:val="00D15030"/>
    <w:rsid w:val="00D200C3"/>
    <w:rsid w:val="00D52305"/>
    <w:rsid w:val="00D5540C"/>
    <w:rsid w:val="00D95C58"/>
    <w:rsid w:val="00DB108A"/>
    <w:rsid w:val="00DE4985"/>
    <w:rsid w:val="00E104DD"/>
    <w:rsid w:val="00E17C9D"/>
    <w:rsid w:val="00E25FBF"/>
    <w:rsid w:val="00E42A09"/>
    <w:rsid w:val="00E853E1"/>
    <w:rsid w:val="00EB1F18"/>
    <w:rsid w:val="00EC44EE"/>
    <w:rsid w:val="00ED64AA"/>
    <w:rsid w:val="00EF7039"/>
    <w:rsid w:val="00F4704D"/>
    <w:rsid w:val="00F90C48"/>
    <w:rsid w:val="00FC7DBA"/>
    <w:rsid w:val="00FD226F"/>
    <w:rsid w:val="00FF1B5E"/>
    <w:rsid w:val="2C5BDF34"/>
    <w:rsid w:val="7339A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0A8C7"/>
  <w15:chartTrackingRefBased/>
  <w15:docId w15:val="{5759ABB7-36C8-48BD-B66C-03137B68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5A4"/>
    <w:pPr>
      <w:tabs>
        <w:tab w:val="left" w:pos="3068"/>
      </w:tabs>
      <w:spacing w:after="0" w:line="480" w:lineRule="auto"/>
      <w:ind w:firstLine="720"/>
      <w:jc w:val="left"/>
    </w:pPr>
    <w:rPr>
      <w:rFonts w:ascii="Calibri" w:hAnsi="Calibri" w:cs="Arial"/>
      <w:kern w:val="0"/>
      <w:sz w:val="22"/>
      <w:szCs w:val="21"/>
      <w:shd w:val="clear" w:color="auto" w:fill="FFFFFF"/>
      <w14:ligatures w14:val="none"/>
    </w:rPr>
  </w:style>
  <w:style w:type="paragraph" w:styleId="Heading1">
    <w:name w:val="heading 1"/>
    <w:basedOn w:val="Normal"/>
    <w:next w:val="Normal"/>
    <w:link w:val="Heading1Char"/>
    <w:uiPriority w:val="9"/>
    <w:qFormat/>
    <w:rsid w:val="006B35A4"/>
    <w:pPr>
      <w:keepNext/>
      <w:keepLines/>
      <w:tabs>
        <w:tab w:val="clear" w:pos="3068"/>
      </w:tabs>
      <w:spacing w:before="360" w:after="80" w:line="259" w:lineRule="auto"/>
      <w:ind w:firstLine="0"/>
      <w:jc w:val="both"/>
      <w:outlineLvl w:val="0"/>
    </w:pPr>
    <w:rPr>
      <w:rFonts w:asciiTheme="majorHAnsi" w:eastAsiaTheme="majorEastAsia" w:hAnsiTheme="majorHAnsi" w:cstheme="majorBidi"/>
      <w:color w:val="0F4761" w:themeColor="accent1" w:themeShade="BF"/>
      <w:kern w:val="2"/>
      <w:sz w:val="40"/>
      <w:szCs w:val="40"/>
      <w:shd w:val="clear" w:color="auto" w:fill="auto"/>
      <w14:ligatures w14:val="standardContextual"/>
    </w:rPr>
  </w:style>
  <w:style w:type="paragraph" w:styleId="Heading2">
    <w:name w:val="heading 2"/>
    <w:basedOn w:val="Normal"/>
    <w:next w:val="Normal"/>
    <w:link w:val="Heading2Char"/>
    <w:uiPriority w:val="9"/>
    <w:unhideWhenUsed/>
    <w:qFormat/>
    <w:rsid w:val="006B35A4"/>
    <w:pPr>
      <w:keepNext/>
      <w:keepLines/>
      <w:tabs>
        <w:tab w:val="clear" w:pos="3068"/>
      </w:tabs>
      <w:spacing w:before="160" w:after="80" w:line="259" w:lineRule="auto"/>
      <w:ind w:firstLine="0"/>
      <w:jc w:val="both"/>
      <w:outlineLvl w:val="1"/>
    </w:pPr>
    <w:rPr>
      <w:rFonts w:asciiTheme="majorHAnsi" w:eastAsiaTheme="majorEastAsia" w:hAnsiTheme="majorHAnsi" w:cstheme="majorBidi"/>
      <w:color w:val="0F4761" w:themeColor="accent1" w:themeShade="BF"/>
      <w:kern w:val="2"/>
      <w:sz w:val="32"/>
      <w:szCs w:val="32"/>
      <w:shd w:val="clear" w:color="auto" w:fill="auto"/>
      <w14:ligatures w14:val="standardContextual"/>
    </w:rPr>
  </w:style>
  <w:style w:type="paragraph" w:styleId="Heading3">
    <w:name w:val="heading 3"/>
    <w:basedOn w:val="Normal"/>
    <w:next w:val="Normal"/>
    <w:link w:val="Heading3Char"/>
    <w:uiPriority w:val="9"/>
    <w:semiHidden/>
    <w:unhideWhenUsed/>
    <w:qFormat/>
    <w:rsid w:val="006B35A4"/>
    <w:pPr>
      <w:keepNext/>
      <w:keepLines/>
      <w:tabs>
        <w:tab w:val="clear" w:pos="3068"/>
      </w:tabs>
      <w:spacing w:before="160" w:after="80" w:line="259" w:lineRule="auto"/>
      <w:ind w:firstLine="0"/>
      <w:jc w:val="both"/>
      <w:outlineLvl w:val="2"/>
    </w:pPr>
    <w:rPr>
      <w:rFonts w:asciiTheme="minorHAnsi" w:eastAsiaTheme="majorEastAsia" w:hAnsiTheme="minorHAnsi" w:cstheme="majorBidi"/>
      <w:color w:val="0F4761" w:themeColor="accent1" w:themeShade="BF"/>
      <w:kern w:val="2"/>
      <w:sz w:val="28"/>
      <w:szCs w:val="28"/>
      <w:shd w:val="clear" w:color="auto" w:fill="auto"/>
      <w14:ligatures w14:val="standardContextual"/>
    </w:rPr>
  </w:style>
  <w:style w:type="paragraph" w:styleId="Heading4">
    <w:name w:val="heading 4"/>
    <w:basedOn w:val="Normal"/>
    <w:next w:val="Normal"/>
    <w:link w:val="Heading4Char"/>
    <w:uiPriority w:val="9"/>
    <w:semiHidden/>
    <w:unhideWhenUsed/>
    <w:qFormat/>
    <w:rsid w:val="006B35A4"/>
    <w:pPr>
      <w:keepNext/>
      <w:keepLines/>
      <w:tabs>
        <w:tab w:val="clear" w:pos="3068"/>
      </w:tabs>
      <w:spacing w:before="80" w:after="40" w:line="259" w:lineRule="auto"/>
      <w:ind w:firstLine="0"/>
      <w:jc w:val="both"/>
      <w:outlineLvl w:val="3"/>
    </w:pPr>
    <w:rPr>
      <w:rFonts w:asciiTheme="minorHAnsi" w:eastAsiaTheme="majorEastAsia" w:hAnsiTheme="minorHAnsi" w:cstheme="majorBidi"/>
      <w:i/>
      <w:iCs/>
      <w:color w:val="0F4761" w:themeColor="accent1" w:themeShade="BF"/>
      <w:kern w:val="2"/>
      <w:sz w:val="24"/>
      <w:szCs w:val="22"/>
      <w:shd w:val="clear" w:color="auto" w:fill="auto"/>
      <w14:ligatures w14:val="standardContextual"/>
    </w:rPr>
  </w:style>
  <w:style w:type="paragraph" w:styleId="Heading5">
    <w:name w:val="heading 5"/>
    <w:basedOn w:val="Normal"/>
    <w:next w:val="Normal"/>
    <w:link w:val="Heading5Char"/>
    <w:uiPriority w:val="9"/>
    <w:semiHidden/>
    <w:unhideWhenUsed/>
    <w:qFormat/>
    <w:rsid w:val="006B35A4"/>
    <w:pPr>
      <w:keepNext/>
      <w:keepLines/>
      <w:tabs>
        <w:tab w:val="clear" w:pos="3068"/>
      </w:tabs>
      <w:spacing w:before="80" w:after="40" w:line="259" w:lineRule="auto"/>
      <w:ind w:firstLine="0"/>
      <w:jc w:val="both"/>
      <w:outlineLvl w:val="4"/>
    </w:pPr>
    <w:rPr>
      <w:rFonts w:asciiTheme="minorHAnsi" w:eastAsiaTheme="majorEastAsia" w:hAnsiTheme="minorHAnsi" w:cstheme="majorBidi"/>
      <w:color w:val="0F4761" w:themeColor="accent1" w:themeShade="BF"/>
      <w:kern w:val="2"/>
      <w:sz w:val="24"/>
      <w:szCs w:val="22"/>
      <w:shd w:val="clear" w:color="auto" w:fill="auto"/>
      <w14:ligatures w14:val="standardContextual"/>
    </w:rPr>
  </w:style>
  <w:style w:type="paragraph" w:styleId="Heading6">
    <w:name w:val="heading 6"/>
    <w:basedOn w:val="Normal"/>
    <w:next w:val="Normal"/>
    <w:link w:val="Heading6Char"/>
    <w:uiPriority w:val="9"/>
    <w:semiHidden/>
    <w:unhideWhenUsed/>
    <w:qFormat/>
    <w:rsid w:val="006B35A4"/>
    <w:pPr>
      <w:keepNext/>
      <w:keepLines/>
      <w:tabs>
        <w:tab w:val="clear" w:pos="3068"/>
      </w:tabs>
      <w:spacing w:before="40" w:line="259" w:lineRule="auto"/>
      <w:ind w:firstLine="0"/>
      <w:jc w:val="both"/>
      <w:outlineLvl w:val="5"/>
    </w:pPr>
    <w:rPr>
      <w:rFonts w:asciiTheme="minorHAnsi" w:eastAsiaTheme="majorEastAsia" w:hAnsiTheme="minorHAnsi" w:cstheme="majorBidi"/>
      <w:i/>
      <w:iCs/>
      <w:color w:val="595959" w:themeColor="text1" w:themeTint="A6"/>
      <w:kern w:val="2"/>
      <w:sz w:val="24"/>
      <w:szCs w:val="22"/>
      <w:shd w:val="clear" w:color="auto" w:fill="auto"/>
      <w14:ligatures w14:val="standardContextual"/>
    </w:rPr>
  </w:style>
  <w:style w:type="paragraph" w:styleId="Heading7">
    <w:name w:val="heading 7"/>
    <w:basedOn w:val="Normal"/>
    <w:next w:val="Normal"/>
    <w:link w:val="Heading7Char"/>
    <w:uiPriority w:val="9"/>
    <w:semiHidden/>
    <w:unhideWhenUsed/>
    <w:qFormat/>
    <w:rsid w:val="006B35A4"/>
    <w:pPr>
      <w:keepNext/>
      <w:keepLines/>
      <w:tabs>
        <w:tab w:val="clear" w:pos="3068"/>
      </w:tabs>
      <w:spacing w:before="40" w:line="259" w:lineRule="auto"/>
      <w:ind w:firstLine="0"/>
      <w:jc w:val="both"/>
      <w:outlineLvl w:val="6"/>
    </w:pPr>
    <w:rPr>
      <w:rFonts w:asciiTheme="minorHAnsi" w:eastAsiaTheme="majorEastAsia" w:hAnsiTheme="minorHAnsi" w:cstheme="majorBidi"/>
      <w:color w:val="595959" w:themeColor="text1" w:themeTint="A6"/>
      <w:kern w:val="2"/>
      <w:sz w:val="24"/>
      <w:szCs w:val="22"/>
      <w:shd w:val="clear" w:color="auto" w:fill="auto"/>
      <w14:ligatures w14:val="standardContextual"/>
    </w:rPr>
  </w:style>
  <w:style w:type="paragraph" w:styleId="Heading8">
    <w:name w:val="heading 8"/>
    <w:basedOn w:val="Normal"/>
    <w:next w:val="Normal"/>
    <w:link w:val="Heading8Char"/>
    <w:uiPriority w:val="9"/>
    <w:semiHidden/>
    <w:unhideWhenUsed/>
    <w:qFormat/>
    <w:rsid w:val="006B35A4"/>
    <w:pPr>
      <w:keepNext/>
      <w:keepLines/>
      <w:tabs>
        <w:tab w:val="clear" w:pos="3068"/>
      </w:tabs>
      <w:spacing w:line="259" w:lineRule="auto"/>
      <w:ind w:firstLine="0"/>
      <w:jc w:val="both"/>
      <w:outlineLvl w:val="7"/>
    </w:pPr>
    <w:rPr>
      <w:rFonts w:asciiTheme="minorHAnsi" w:eastAsiaTheme="majorEastAsia" w:hAnsiTheme="minorHAnsi" w:cstheme="majorBidi"/>
      <w:i/>
      <w:iCs/>
      <w:color w:val="272727" w:themeColor="text1" w:themeTint="D8"/>
      <w:kern w:val="2"/>
      <w:sz w:val="24"/>
      <w:szCs w:val="22"/>
      <w:shd w:val="clear" w:color="auto" w:fill="auto"/>
      <w14:ligatures w14:val="standardContextual"/>
    </w:rPr>
  </w:style>
  <w:style w:type="paragraph" w:styleId="Heading9">
    <w:name w:val="heading 9"/>
    <w:basedOn w:val="Normal"/>
    <w:next w:val="Normal"/>
    <w:link w:val="Heading9Char"/>
    <w:uiPriority w:val="9"/>
    <w:semiHidden/>
    <w:unhideWhenUsed/>
    <w:qFormat/>
    <w:rsid w:val="006B35A4"/>
    <w:pPr>
      <w:keepNext/>
      <w:keepLines/>
      <w:tabs>
        <w:tab w:val="clear" w:pos="3068"/>
      </w:tabs>
      <w:spacing w:line="259" w:lineRule="auto"/>
      <w:ind w:firstLine="0"/>
      <w:jc w:val="both"/>
      <w:outlineLvl w:val="8"/>
    </w:pPr>
    <w:rPr>
      <w:rFonts w:asciiTheme="minorHAnsi" w:eastAsiaTheme="majorEastAsia" w:hAnsiTheme="minorHAnsi" w:cstheme="majorBidi"/>
      <w:color w:val="272727" w:themeColor="text1" w:themeTint="D8"/>
      <w:kern w:val="2"/>
      <w:sz w:val="24"/>
      <w:szCs w:val="22"/>
      <w:shd w:val="clear" w:color="auto" w:fill="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3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5A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5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35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35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35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35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35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35A4"/>
    <w:pPr>
      <w:tabs>
        <w:tab w:val="clear" w:pos="3068"/>
      </w:tabs>
      <w:spacing w:after="80" w:line="240" w:lineRule="auto"/>
      <w:ind w:firstLine="0"/>
      <w:contextualSpacing/>
      <w:jc w:val="both"/>
    </w:pPr>
    <w:rPr>
      <w:rFonts w:asciiTheme="majorHAnsi" w:eastAsiaTheme="majorEastAsia" w:hAnsiTheme="majorHAnsi" w:cstheme="majorBidi"/>
      <w:spacing w:val="-10"/>
      <w:kern w:val="28"/>
      <w:sz w:val="56"/>
      <w:szCs w:val="56"/>
      <w:shd w:val="clear" w:color="auto" w:fill="auto"/>
      <w14:ligatures w14:val="standardContextual"/>
    </w:rPr>
  </w:style>
  <w:style w:type="character" w:customStyle="1" w:styleId="TitleChar">
    <w:name w:val="Title Char"/>
    <w:basedOn w:val="DefaultParagraphFont"/>
    <w:link w:val="Title"/>
    <w:uiPriority w:val="10"/>
    <w:rsid w:val="006B3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5A4"/>
    <w:pPr>
      <w:numPr>
        <w:ilvl w:val="1"/>
      </w:numPr>
      <w:tabs>
        <w:tab w:val="clear" w:pos="3068"/>
      </w:tabs>
      <w:spacing w:after="160" w:line="259" w:lineRule="auto"/>
      <w:ind w:firstLine="720"/>
      <w:jc w:val="both"/>
    </w:pPr>
    <w:rPr>
      <w:rFonts w:asciiTheme="minorHAnsi" w:eastAsiaTheme="majorEastAsia" w:hAnsiTheme="minorHAnsi" w:cstheme="majorBidi"/>
      <w:color w:val="595959" w:themeColor="text1" w:themeTint="A6"/>
      <w:spacing w:val="15"/>
      <w:kern w:val="2"/>
      <w:sz w:val="28"/>
      <w:szCs w:val="28"/>
      <w:shd w:val="clear" w:color="auto" w:fill="auto"/>
      <w14:ligatures w14:val="standardContextual"/>
    </w:rPr>
  </w:style>
  <w:style w:type="character" w:customStyle="1" w:styleId="SubtitleChar">
    <w:name w:val="Subtitle Char"/>
    <w:basedOn w:val="DefaultParagraphFont"/>
    <w:link w:val="Subtitle"/>
    <w:uiPriority w:val="11"/>
    <w:rsid w:val="006B35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35A4"/>
    <w:pPr>
      <w:tabs>
        <w:tab w:val="clear" w:pos="3068"/>
      </w:tabs>
      <w:spacing w:before="160" w:after="160" w:line="259" w:lineRule="auto"/>
      <w:ind w:firstLine="0"/>
      <w:jc w:val="center"/>
    </w:pPr>
    <w:rPr>
      <w:rFonts w:ascii="Times New Roman" w:hAnsi="Times New Roman" w:cs="Times New Roman"/>
      <w:i/>
      <w:iCs/>
      <w:color w:val="404040" w:themeColor="text1" w:themeTint="BF"/>
      <w:kern w:val="2"/>
      <w:sz w:val="24"/>
      <w:szCs w:val="22"/>
      <w:shd w:val="clear" w:color="auto" w:fill="auto"/>
      <w14:ligatures w14:val="standardContextual"/>
    </w:rPr>
  </w:style>
  <w:style w:type="character" w:customStyle="1" w:styleId="QuoteChar">
    <w:name w:val="Quote Char"/>
    <w:basedOn w:val="DefaultParagraphFont"/>
    <w:link w:val="Quote"/>
    <w:uiPriority w:val="29"/>
    <w:rsid w:val="006B35A4"/>
    <w:rPr>
      <w:i/>
      <w:iCs/>
      <w:color w:val="404040" w:themeColor="text1" w:themeTint="BF"/>
    </w:rPr>
  </w:style>
  <w:style w:type="paragraph" w:styleId="ListParagraph">
    <w:name w:val="List Paragraph"/>
    <w:basedOn w:val="Normal"/>
    <w:uiPriority w:val="34"/>
    <w:qFormat/>
    <w:rsid w:val="006B35A4"/>
    <w:pPr>
      <w:tabs>
        <w:tab w:val="clear" w:pos="3068"/>
      </w:tabs>
      <w:spacing w:after="160" w:line="259" w:lineRule="auto"/>
      <w:ind w:left="720" w:firstLine="0"/>
      <w:contextualSpacing/>
      <w:jc w:val="both"/>
    </w:pPr>
    <w:rPr>
      <w:rFonts w:ascii="Times New Roman" w:hAnsi="Times New Roman" w:cs="Times New Roman"/>
      <w:kern w:val="2"/>
      <w:sz w:val="24"/>
      <w:szCs w:val="22"/>
      <w:shd w:val="clear" w:color="auto" w:fill="auto"/>
      <w14:ligatures w14:val="standardContextual"/>
    </w:rPr>
  </w:style>
  <w:style w:type="character" w:styleId="IntenseEmphasis">
    <w:name w:val="Intense Emphasis"/>
    <w:basedOn w:val="DefaultParagraphFont"/>
    <w:uiPriority w:val="21"/>
    <w:qFormat/>
    <w:rsid w:val="006B35A4"/>
    <w:rPr>
      <w:i/>
      <w:iCs/>
      <w:color w:val="0F4761" w:themeColor="accent1" w:themeShade="BF"/>
    </w:rPr>
  </w:style>
  <w:style w:type="paragraph" w:styleId="IntenseQuote">
    <w:name w:val="Intense Quote"/>
    <w:basedOn w:val="Normal"/>
    <w:next w:val="Normal"/>
    <w:link w:val="IntenseQuoteChar"/>
    <w:uiPriority w:val="30"/>
    <w:qFormat/>
    <w:rsid w:val="006B35A4"/>
    <w:pPr>
      <w:pBdr>
        <w:top w:val="single" w:sz="4" w:space="10" w:color="0F4761" w:themeColor="accent1" w:themeShade="BF"/>
        <w:bottom w:val="single" w:sz="4" w:space="10" w:color="0F4761" w:themeColor="accent1" w:themeShade="BF"/>
      </w:pBdr>
      <w:tabs>
        <w:tab w:val="clear" w:pos="3068"/>
      </w:tabs>
      <w:spacing w:before="360" w:after="360" w:line="259" w:lineRule="auto"/>
      <w:ind w:left="864" w:right="864" w:firstLine="0"/>
      <w:jc w:val="center"/>
    </w:pPr>
    <w:rPr>
      <w:rFonts w:ascii="Times New Roman" w:hAnsi="Times New Roman" w:cs="Times New Roman"/>
      <w:i/>
      <w:iCs/>
      <w:color w:val="0F4761" w:themeColor="accent1" w:themeShade="BF"/>
      <w:kern w:val="2"/>
      <w:sz w:val="24"/>
      <w:szCs w:val="22"/>
      <w:shd w:val="clear" w:color="auto" w:fill="auto"/>
      <w14:ligatures w14:val="standardContextual"/>
    </w:rPr>
  </w:style>
  <w:style w:type="character" w:customStyle="1" w:styleId="IntenseQuoteChar">
    <w:name w:val="Intense Quote Char"/>
    <w:basedOn w:val="DefaultParagraphFont"/>
    <w:link w:val="IntenseQuote"/>
    <w:uiPriority w:val="30"/>
    <w:rsid w:val="006B35A4"/>
    <w:rPr>
      <w:i/>
      <w:iCs/>
      <w:color w:val="0F4761" w:themeColor="accent1" w:themeShade="BF"/>
    </w:rPr>
  </w:style>
  <w:style w:type="character" w:styleId="IntenseReference">
    <w:name w:val="Intense Reference"/>
    <w:basedOn w:val="DefaultParagraphFont"/>
    <w:uiPriority w:val="32"/>
    <w:qFormat/>
    <w:rsid w:val="006B35A4"/>
    <w:rPr>
      <w:b/>
      <w:bCs/>
      <w:smallCaps/>
      <w:color w:val="0F4761" w:themeColor="accent1" w:themeShade="BF"/>
      <w:spacing w:val="5"/>
    </w:rPr>
  </w:style>
  <w:style w:type="character" w:customStyle="1" w:styleId="html-italic">
    <w:name w:val="html-italic"/>
    <w:basedOn w:val="DefaultParagraphFont"/>
    <w:rsid w:val="00AA67E8"/>
  </w:style>
  <w:style w:type="character" w:styleId="CommentReference">
    <w:name w:val="annotation reference"/>
    <w:basedOn w:val="DefaultParagraphFont"/>
    <w:uiPriority w:val="99"/>
    <w:semiHidden/>
    <w:unhideWhenUsed/>
    <w:rsid w:val="00C7213D"/>
    <w:rPr>
      <w:sz w:val="16"/>
      <w:szCs w:val="16"/>
    </w:rPr>
  </w:style>
  <w:style w:type="paragraph" w:styleId="CommentText">
    <w:name w:val="annotation text"/>
    <w:basedOn w:val="Normal"/>
    <w:link w:val="CommentTextChar"/>
    <w:uiPriority w:val="99"/>
    <w:unhideWhenUsed/>
    <w:rsid w:val="00C7213D"/>
    <w:pPr>
      <w:spacing w:line="240" w:lineRule="auto"/>
    </w:pPr>
    <w:rPr>
      <w:sz w:val="20"/>
      <w:szCs w:val="20"/>
    </w:rPr>
  </w:style>
  <w:style w:type="character" w:customStyle="1" w:styleId="CommentTextChar">
    <w:name w:val="Comment Text Char"/>
    <w:basedOn w:val="DefaultParagraphFont"/>
    <w:link w:val="CommentText"/>
    <w:uiPriority w:val="99"/>
    <w:rsid w:val="00C7213D"/>
    <w:rPr>
      <w:rFonts w:ascii="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213D"/>
    <w:rPr>
      <w:b/>
      <w:bCs/>
    </w:rPr>
  </w:style>
  <w:style w:type="character" w:customStyle="1" w:styleId="CommentSubjectChar">
    <w:name w:val="Comment Subject Char"/>
    <w:basedOn w:val="CommentTextChar"/>
    <w:link w:val="CommentSubject"/>
    <w:uiPriority w:val="99"/>
    <w:semiHidden/>
    <w:rsid w:val="00C7213D"/>
    <w:rPr>
      <w:rFonts w:ascii="Calibri" w:hAnsi="Calibri" w:cs="Arial"/>
      <w:b/>
      <w:bCs/>
      <w:kern w:val="0"/>
      <w:sz w:val="20"/>
      <w:szCs w:val="20"/>
      <w14:ligatures w14:val="none"/>
    </w:rPr>
  </w:style>
  <w:style w:type="paragraph" w:styleId="Revision">
    <w:name w:val="Revision"/>
    <w:hidden/>
    <w:uiPriority w:val="99"/>
    <w:semiHidden/>
    <w:rsid w:val="0003567E"/>
    <w:pPr>
      <w:spacing w:after="0" w:line="240" w:lineRule="auto"/>
      <w:jc w:val="left"/>
    </w:pPr>
    <w:rPr>
      <w:rFonts w:ascii="Calibri" w:hAnsi="Calibri" w:cs="Arial"/>
      <w:kern w:val="0"/>
      <w:sz w:val="22"/>
      <w:szCs w:val="21"/>
      <w:shd w:val="clear" w:color="auto" w:fill="FFFFFF"/>
      <w14:ligatures w14:val="none"/>
    </w:rPr>
  </w:style>
  <w:style w:type="character" w:styleId="Mention">
    <w:name w:val="Mention"/>
    <w:basedOn w:val="DefaultParagraphFont"/>
    <w:uiPriority w:val="99"/>
    <w:unhideWhenUsed/>
    <w:rsid w:val="00E17C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C0141-BE1B-4B26-8740-40C659B9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2643</Words>
  <Characters>13402</Characters>
  <Application>Microsoft Office Word</Application>
  <DocSecurity>0</DocSecurity>
  <Lines>203</Lines>
  <Paragraphs>50</Paragraphs>
  <ScaleCrop>false</ScaleCrop>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tonelli</dc:creator>
  <cp:keywords/>
  <dc:description/>
  <cp:lastModifiedBy>alessia tonelli</cp:lastModifiedBy>
  <cp:revision>128</cp:revision>
  <dcterms:created xsi:type="dcterms:W3CDTF">2024-09-30T04:57:00Z</dcterms:created>
  <dcterms:modified xsi:type="dcterms:W3CDTF">2024-12-10T05:26:00Z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http://www.zotero.org/styles/chicago-fullnote-bibliography</vt:lpwstr>
  </property>
  <property fmtid="{D5CDD505-2E9C-101B-9397-08002B2CF9AE}" pid="5" name="Mendeley Recent Style Name 1_1">
    <vt:lpwstr>Chicago Manual of Style 17th edition (full note)</vt:lpwstr>
  </property>
  <property fmtid="{D5CDD505-2E9C-101B-9397-08002B2CF9AE}" pid="6" name="Mendeley Recent Style Id 2_1">
    <vt:lpwstr>http://www.zotero.org/styles/chicago-note-bibliography</vt:lpwstr>
  </property>
  <property fmtid="{D5CDD505-2E9C-101B-9397-08002B2CF9AE}" pid="7" name="Mendeley Recent Style Name 2_1">
    <vt:lpwstr>Chicago Manual of Style 17th edition (note)</vt:lpwstr>
  </property>
  <property fmtid="{D5CDD505-2E9C-101B-9397-08002B2CF9AE}" pid="8" name="Mendeley Recent Style Id 3_1">
    <vt:lpwstr>http://www.zotero.org/styles/frontiers-in-psychology</vt:lpwstr>
  </property>
  <property fmtid="{D5CDD505-2E9C-101B-9397-08002B2CF9AE}" pid="9" name="Mendeley Recent Style Name 3_1">
    <vt:lpwstr>Frontiers in Psychology</vt:lpwstr>
  </property>
  <property fmtid="{D5CDD505-2E9C-101B-9397-08002B2CF9AE}" pid="10" name="Mendeley Recent Style Id 4_1">
    <vt:lpwstr>http://www.zotero.org/styles/journal-of-experimental-child-psychology</vt:lpwstr>
  </property>
  <property fmtid="{D5CDD505-2E9C-101B-9397-08002B2CF9AE}" pid="11" name="Mendeley Recent Style Name 4_1">
    <vt:lpwstr>Journal of Experimental Child Psychology</vt:lpwstr>
  </property>
  <property fmtid="{D5CDD505-2E9C-101B-9397-08002B2CF9AE}" pid="12" name="Mendeley Recent Style Id 5_1">
    <vt:lpwstr>http://www.zotero.org/styles/journal-of-vision</vt:lpwstr>
  </property>
  <property fmtid="{D5CDD505-2E9C-101B-9397-08002B2CF9AE}" pid="13" name="Mendeley Recent Style Name 5_1">
    <vt:lpwstr>Journal of Vision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http://www.zotero.org/styles/the-journal-of-neuroscience</vt:lpwstr>
  </property>
  <property fmtid="{D5CDD505-2E9C-101B-9397-08002B2CF9AE}" pid="17" name="Mendeley Recent Style Name 7_1">
    <vt:lpwstr>The Journal of Neuroscience</vt:lpwstr>
  </property>
  <property fmtid="{D5CDD505-2E9C-101B-9397-08002B2CF9AE}" pid="18" name="Mendeley Recent Style Id 8_1">
    <vt:lpwstr>http://www.zotero.org/styles/elife</vt:lpwstr>
  </property>
  <property fmtid="{D5CDD505-2E9C-101B-9397-08002B2CF9AE}" pid="19" name="Mendeley Recent Style Name 8_1">
    <vt:lpwstr>eLife</vt:lpwstr>
  </property>
  <property fmtid="{D5CDD505-2E9C-101B-9397-08002B2CF9AE}" pid="20" name="Mendeley Recent Style Id 9_1">
    <vt:lpwstr>http://www.zotero.org/styles/iscience</vt:lpwstr>
  </property>
  <property fmtid="{D5CDD505-2E9C-101B-9397-08002B2CF9AE}" pid="21" name="Mendeley Recent Style Name 9_1">
    <vt:lpwstr>iScience</vt:lpwstr>
  </property>
  <property fmtid="{D5CDD505-2E9C-101B-9397-08002B2CF9AE}" pid="22" name="Mendeley Document_1">
    <vt:lpwstr>True</vt:lpwstr>
  </property>
  <property fmtid="{D5CDD505-2E9C-101B-9397-08002B2CF9AE}" pid="23" name="Mendeley Unique User Id_1">
    <vt:lpwstr>122d613d-8e8d-3b39-becc-aa515252352a</vt:lpwstr>
  </property>
  <property fmtid="{D5CDD505-2E9C-101B-9397-08002B2CF9AE}" pid="24" name="Mendeley Citation Style_1">
    <vt:lpwstr>http://www.zotero.org/styles/apa</vt:lpwstr>
  </property>
</Properties>
</file>