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17A67" w14:textId="6D445FDA" w:rsidR="00986D22" w:rsidRPr="00DD3A44" w:rsidRDefault="00986D22" w:rsidP="00DD3A44">
      <w:pPr>
        <w:spacing w:line="480" w:lineRule="auto"/>
        <w:rPr>
          <w:rFonts w:ascii="Times New Roman" w:hAnsi="Times New Roman" w:cs="Times New Roman"/>
          <w:b/>
          <w:sz w:val="28"/>
          <w:szCs w:val="28"/>
        </w:rPr>
      </w:pPr>
      <w:bookmarkStart w:id="0" w:name="_Hlk13570902"/>
      <w:r w:rsidRPr="00DD3A44">
        <w:rPr>
          <w:rFonts w:ascii="Times New Roman" w:hAnsi="Times New Roman" w:cs="Times New Roman"/>
          <w:b/>
          <w:sz w:val="28"/>
          <w:szCs w:val="28"/>
        </w:rPr>
        <w:t>Supplemental Material</w:t>
      </w:r>
    </w:p>
    <w:p w14:paraId="731E2999" w14:textId="77777777" w:rsidR="00DD3A44" w:rsidRPr="00986D22" w:rsidRDefault="00DD3A44" w:rsidP="00DD3A44">
      <w:pPr>
        <w:spacing w:line="480" w:lineRule="auto"/>
        <w:rPr>
          <w:rFonts w:ascii="Times New Roman" w:hAnsi="Times New Roman" w:cs="Times New Roman"/>
          <w:bCs/>
          <w:sz w:val="28"/>
          <w:szCs w:val="28"/>
        </w:rPr>
      </w:pPr>
    </w:p>
    <w:bookmarkEnd w:id="0"/>
    <w:p w14:paraId="0A9E8502" w14:textId="0A4A91DB" w:rsidR="0021390A" w:rsidRDefault="006E0F6F" w:rsidP="0075789C">
      <w:pPr>
        <w:spacing w:line="480" w:lineRule="auto"/>
        <w:rPr>
          <w:rFonts w:ascii="Times New Roman" w:hAnsi="Times New Roman" w:cs="Times New Roman"/>
          <w:sz w:val="24"/>
          <w:szCs w:val="24"/>
        </w:rPr>
      </w:pPr>
      <w:r w:rsidRPr="006E0F6F">
        <w:rPr>
          <w:rFonts w:ascii="Times New Roman" w:hAnsi="Times New Roman" w:cs="Times New Roman"/>
          <w:b/>
          <w:sz w:val="24"/>
          <w:szCs w:val="24"/>
        </w:rPr>
        <w:t>Table S1:</w:t>
      </w:r>
      <w:r>
        <w:rPr>
          <w:rFonts w:ascii="Times New Roman" w:hAnsi="Times New Roman" w:cs="Times New Roman"/>
          <w:sz w:val="24"/>
          <w:szCs w:val="24"/>
        </w:rPr>
        <w:t xml:space="preserve"> Self</w:t>
      </w:r>
      <w:r w:rsidR="00A175C2">
        <w:rPr>
          <w:rFonts w:ascii="Times New Roman" w:hAnsi="Times New Roman" w:cs="Times New Roman"/>
          <w:sz w:val="24"/>
          <w:szCs w:val="24"/>
        </w:rPr>
        <w:t>-</w:t>
      </w:r>
      <w:r>
        <w:rPr>
          <w:rFonts w:ascii="Times New Roman" w:hAnsi="Times New Roman" w:cs="Times New Roman"/>
          <w:sz w:val="24"/>
          <w:szCs w:val="24"/>
        </w:rPr>
        <w:t>report information and training behaviors across four experimental conditions</w:t>
      </w:r>
      <w:r w:rsidR="0021390A">
        <w:rPr>
          <w:rFonts w:ascii="Times New Roman" w:hAnsi="Times New Roman" w:cs="Times New Roman"/>
          <w:sz w:val="24"/>
          <w:szCs w:val="24"/>
        </w:rPr>
        <w:t>.</w:t>
      </w:r>
    </w:p>
    <w:tbl>
      <w:tblPr>
        <w:tblW w:w="10802" w:type="dxa"/>
        <w:tblLook w:val="04A0" w:firstRow="1" w:lastRow="0" w:firstColumn="1" w:lastColumn="0" w:noHBand="0" w:noVBand="1"/>
      </w:tblPr>
      <w:tblGrid>
        <w:gridCol w:w="2694"/>
        <w:gridCol w:w="1984"/>
        <w:gridCol w:w="1843"/>
        <w:gridCol w:w="2126"/>
        <w:gridCol w:w="2155"/>
      </w:tblGrid>
      <w:tr w:rsidR="0021390A" w:rsidRPr="0021390A" w14:paraId="2EA8D442" w14:textId="77777777" w:rsidTr="000521E3">
        <w:trPr>
          <w:trHeight w:val="342"/>
        </w:trPr>
        <w:tc>
          <w:tcPr>
            <w:tcW w:w="2694" w:type="dxa"/>
            <w:tcBorders>
              <w:top w:val="single" w:sz="12" w:space="0" w:color="auto"/>
              <w:left w:val="nil"/>
              <w:bottom w:val="single" w:sz="12" w:space="0" w:color="auto"/>
              <w:right w:val="nil"/>
            </w:tcBorders>
            <w:shd w:val="clear" w:color="auto" w:fill="auto"/>
            <w:noWrap/>
            <w:vAlign w:val="center"/>
            <w:hideMark/>
          </w:tcPr>
          <w:p w14:paraId="7E616534" w14:textId="77777777"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Condition</w:t>
            </w:r>
          </w:p>
        </w:tc>
        <w:tc>
          <w:tcPr>
            <w:tcW w:w="1984" w:type="dxa"/>
            <w:tcBorders>
              <w:top w:val="single" w:sz="12" w:space="0" w:color="auto"/>
              <w:left w:val="nil"/>
              <w:bottom w:val="single" w:sz="12" w:space="0" w:color="auto"/>
              <w:right w:val="nil"/>
            </w:tcBorders>
            <w:shd w:val="clear" w:color="auto" w:fill="auto"/>
            <w:noWrap/>
            <w:vAlign w:val="center"/>
            <w:hideMark/>
          </w:tcPr>
          <w:p w14:paraId="79748707" w14:textId="42AFCE7B"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Opaque-Realistic</w:t>
            </w:r>
          </w:p>
        </w:tc>
        <w:tc>
          <w:tcPr>
            <w:tcW w:w="1843" w:type="dxa"/>
            <w:tcBorders>
              <w:top w:val="single" w:sz="12" w:space="0" w:color="auto"/>
              <w:left w:val="nil"/>
              <w:bottom w:val="single" w:sz="12" w:space="0" w:color="auto"/>
              <w:right w:val="nil"/>
            </w:tcBorders>
            <w:shd w:val="clear" w:color="auto" w:fill="auto"/>
            <w:noWrap/>
            <w:vAlign w:val="center"/>
            <w:hideMark/>
          </w:tcPr>
          <w:p w14:paraId="066D2396" w14:textId="47213AB7"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Opaque-Abstract</w:t>
            </w:r>
          </w:p>
        </w:tc>
        <w:tc>
          <w:tcPr>
            <w:tcW w:w="2126" w:type="dxa"/>
            <w:tcBorders>
              <w:top w:val="single" w:sz="12" w:space="0" w:color="auto"/>
              <w:left w:val="nil"/>
              <w:bottom w:val="single" w:sz="12" w:space="0" w:color="auto"/>
              <w:right w:val="nil"/>
            </w:tcBorders>
            <w:shd w:val="clear" w:color="auto" w:fill="auto"/>
            <w:noWrap/>
            <w:vAlign w:val="center"/>
            <w:hideMark/>
          </w:tcPr>
          <w:p w14:paraId="23FAF7B4" w14:textId="4B40F78B"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Translucent-Realistic</w:t>
            </w:r>
          </w:p>
        </w:tc>
        <w:tc>
          <w:tcPr>
            <w:tcW w:w="2155" w:type="dxa"/>
            <w:tcBorders>
              <w:top w:val="single" w:sz="12" w:space="0" w:color="auto"/>
              <w:left w:val="nil"/>
              <w:bottom w:val="single" w:sz="12" w:space="0" w:color="auto"/>
              <w:right w:val="nil"/>
            </w:tcBorders>
            <w:shd w:val="clear" w:color="auto" w:fill="auto"/>
            <w:noWrap/>
            <w:vAlign w:val="center"/>
            <w:hideMark/>
          </w:tcPr>
          <w:p w14:paraId="6DFD6F6F" w14:textId="04B8FF6E"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Translucent-Abstract</w:t>
            </w:r>
          </w:p>
        </w:tc>
      </w:tr>
      <w:tr w:rsidR="0021390A" w:rsidRPr="0021390A" w14:paraId="755CB0C1" w14:textId="77777777" w:rsidTr="000521E3">
        <w:trPr>
          <w:trHeight w:val="329"/>
        </w:trPr>
        <w:tc>
          <w:tcPr>
            <w:tcW w:w="2694" w:type="dxa"/>
            <w:tcBorders>
              <w:top w:val="nil"/>
              <w:left w:val="nil"/>
              <w:bottom w:val="nil"/>
              <w:right w:val="nil"/>
            </w:tcBorders>
            <w:shd w:val="clear" w:color="auto" w:fill="auto"/>
            <w:noWrap/>
            <w:vAlign w:val="center"/>
            <w:hideMark/>
          </w:tcPr>
          <w:p w14:paraId="1DE3C736" w14:textId="77777777"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SOD</w:t>
            </w:r>
          </w:p>
        </w:tc>
        <w:tc>
          <w:tcPr>
            <w:tcW w:w="1984" w:type="dxa"/>
            <w:tcBorders>
              <w:top w:val="nil"/>
              <w:left w:val="nil"/>
              <w:bottom w:val="nil"/>
              <w:right w:val="nil"/>
            </w:tcBorders>
            <w:shd w:val="clear" w:color="auto" w:fill="auto"/>
            <w:noWrap/>
            <w:vAlign w:val="center"/>
            <w:hideMark/>
          </w:tcPr>
          <w:p w14:paraId="465E3749" w14:textId="0909A25F"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1</w:t>
            </w:r>
            <w:r w:rsidR="00C7720C">
              <w:rPr>
                <w:rFonts w:ascii="Times New Roman" w:eastAsia="Times New Roman" w:hAnsi="Times New Roman" w:cs="Times New Roman"/>
                <w:color w:val="000000"/>
              </w:rPr>
              <w:t>8.63</w:t>
            </w:r>
            <w:r w:rsidRPr="0021390A">
              <w:rPr>
                <w:rFonts w:ascii="Times New Roman" w:eastAsia="Times New Roman" w:hAnsi="Times New Roman" w:cs="Times New Roman"/>
                <w:color w:val="000000"/>
              </w:rPr>
              <w:t xml:space="preserve"> (3.</w:t>
            </w:r>
            <w:r w:rsidR="00C7720C">
              <w:rPr>
                <w:rFonts w:ascii="Times New Roman" w:eastAsia="Times New Roman" w:hAnsi="Times New Roman" w:cs="Times New Roman"/>
                <w:color w:val="000000"/>
              </w:rPr>
              <w:t>5</w:t>
            </w:r>
            <w:r w:rsidRPr="0021390A">
              <w:rPr>
                <w:rFonts w:ascii="Times New Roman" w:eastAsia="Times New Roman" w:hAnsi="Times New Roman" w:cs="Times New Roman"/>
                <w:color w:val="000000"/>
              </w:rPr>
              <w:t>7)</w:t>
            </w:r>
          </w:p>
        </w:tc>
        <w:tc>
          <w:tcPr>
            <w:tcW w:w="1843" w:type="dxa"/>
            <w:tcBorders>
              <w:top w:val="nil"/>
              <w:left w:val="nil"/>
              <w:bottom w:val="nil"/>
              <w:right w:val="nil"/>
            </w:tcBorders>
            <w:shd w:val="clear" w:color="auto" w:fill="auto"/>
            <w:noWrap/>
            <w:vAlign w:val="center"/>
            <w:hideMark/>
          </w:tcPr>
          <w:p w14:paraId="277BCF1A" w14:textId="064F4435"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1</w:t>
            </w:r>
            <w:r w:rsidR="00C7720C">
              <w:rPr>
                <w:rFonts w:ascii="Times New Roman" w:eastAsia="Times New Roman" w:hAnsi="Times New Roman" w:cs="Times New Roman"/>
                <w:color w:val="000000"/>
              </w:rPr>
              <w:t>9</w:t>
            </w:r>
            <w:r w:rsidRPr="0021390A">
              <w:rPr>
                <w:rFonts w:ascii="Times New Roman" w:eastAsia="Times New Roman" w:hAnsi="Times New Roman" w:cs="Times New Roman"/>
                <w:color w:val="000000"/>
              </w:rPr>
              <w:t>.</w:t>
            </w:r>
            <w:r w:rsidR="00C7720C">
              <w:rPr>
                <w:rFonts w:ascii="Times New Roman" w:eastAsia="Times New Roman" w:hAnsi="Times New Roman" w:cs="Times New Roman"/>
                <w:color w:val="000000"/>
              </w:rPr>
              <w:t>0</w:t>
            </w:r>
            <w:r w:rsidR="005E0388">
              <w:rPr>
                <w:rFonts w:ascii="Times New Roman" w:eastAsia="Times New Roman" w:hAnsi="Times New Roman" w:cs="Times New Roman"/>
                <w:color w:val="000000"/>
              </w:rPr>
              <w:t>0</w:t>
            </w:r>
            <w:r w:rsidRPr="0021390A">
              <w:rPr>
                <w:rFonts w:ascii="Times New Roman" w:eastAsia="Times New Roman" w:hAnsi="Times New Roman" w:cs="Times New Roman"/>
                <w:color w:val="000000"/>
              </w:rPr>
              <w:t xml:space="preserve"> (4.3</w:t>
            </w:r>
            <w:r w:rsidR="00C7720C">
              <w:rPr>
                <w:rFonts w:ascii="Times New Roman" w:eastAsia="Times New Roman" w:hAnsi="Times New Roman" w:cs="Times New Roman"/>
                <w:color w:val="000000"/>
              </w:rPr>
              <w:t>6</w:t>
            </w:r>
            <w:r w:rsidRPr="0021390A">
              <w:rPr>
                <w:rFonts w:ascii="Times New Roman" w:eastAsia="Times New Roman" w:hAnsi="Times New Roman" w:cs="Times New Roman"/>
                <w:color w:val="000000"/>
              </w:rPr>
              <w:t>)</w:t>
            </w:r>
          </w:p>
        </w:tc>
        <w:tc>
          <w:tcPr>
            <w:tcW w:w="2126" w:type="dxa"/>
            <w:tcBorders>
              <w:top w:val="nil"/>
              <w:left w:val="nil"/>
              <w:bottom w:val="nil"/>
              <w:right w:val="nil"/>
            </w:tcBorders>
            <w:shd w:val="clear" w:color="auto" w:fill="auto"/>
            <w:noWrap/>
            <w:vAlign w:val="center"/>
            <w:hideMark/>
          </w:tcPr>
          <w:p w14:paraId="53C4DB48" w14:textId="0CE16EDA"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1</w:t>
            </w:r>
            <w:r w:rsidR="00C7720C">
              <w:rPr>
                <w:rFonts w:ascii="Times New Roman" w:eastAsia="Times New Roman" w:hAnsi="Times New Roman" w:cs="Times New Roman"/>
                <w:color w:val="000000"/>
              </w:rPr>
              <w:t>8.42</w:t>
            </w:r>
            <w:r w:rsidRPr="0021390A">
              <w:rPr>
                <w:rFonts w:ascii="Times New Roman" w:eastAsia="Times New Roman" w:hAnsi="Times New Roman" w:cs="Times New Roman"/>
                <w:color w:val="000000"/>
              </w:rPr>
              <w:t xml:space="preserve"> (</w:t>
            </w:r>
            <w:r w:rsidR="00C7720C">
              <w:rPr>
                <w:rFonts w:ascii="Times New Roman" w:eastAsia="Times New Roman" w:hAnsi="Times New Roman" w:cs="Times New Roman"/>
                <w:color w:val="000000"/>
              </w:rPr>
              <w:t>4</w:t>
            </w:r>
            <w:r w:rsidRPr="0021390A">
              <w:rPr>
                <w:rFonts w:ascii="Times New Roman" w:eastAsia="Times New Roman" w:hAnsi="Times New Roman" w:cs="Times New Roman"/>
                <w:color w:val="000000"/>
              </w:rPr>
              <w:t>.</w:t>
            </w:r>
            <w:r w:rsidR="00C7720C">
              <w:rPr>
                <w:rFonts w:ascii="Times New Roman" w:eastAsia="Times New Roman" w:hAnsi="Times New Roman" w:cs="Times New Roman"/>
                <w:color w:val="000000"/>
              </w:rPr>
              <w:t>2</w:t>
            </w:r>
            <w:r w:rsidRPr="0021390A">
              <w:rPr>
                <w:rFonts w:ascii="Times New Roman" w:eastAsia="Times New Roman" w:hAnsi="Times New Roman" w:cs="Times New Roman"/>
                <w:color w:val="000000"/>
              </w:rPr>
              <w:t>7)</w:t>
            </w:r>
          </w:p>
        </w:tc>
        <w:tc>
          <w:tcPr>
            <w:tcW w:w="2155" w:type="dxa"/>
            <w:tcBorders>
              <w:top w:val="nil"/>
              <w:left w:val="nil"/>
              <w:bottom w:val="nil"/>
              <w:right w:val="nil"/>
            </w:tcBorders>
            <w:shd w:val="clear" w:color="auto" w:fill="auto"/>
            <w:noWrap/>
            <w:vAlign w:val="center"/>
            <w:hideMark/>
          </w:tcPr>
          <w:p w14:paraId="421D33E5" w14:textId="2911CFE7" w:rsidR="0021390A" w:rsidRPr="0021390A" w:rsidRDefault="0021390A" w:rsidP="0021390A">
            <w:pPr>
              <w:spacing w:after="0" w:line="240" w:lineRule="auto"/>
              <w:jc w:val="center"/>
              <w:rPr>
                <w:rFonts w:ascii="Times New Roman" w:eastAsia="Times New Roman" w:hAnsi="Times New Roman" w:cs="Times New Roman"/>
                <w:color w:val="000000"/>
              </w:rPr>
            </w:pPr>
            <w:r w:rsidRPr="0021390A">
              <w:rPr>
                <w:rFonts w:ascii="Times New Roman" w:eastAsia="Times New Roman" w:hAnsi="Times New Roman" w:cs="Times New Roman"/>
                <w:color w:val="000000"/>
              </w:rPr>
              <w:t>1</w:t>
            </w:r>
            <w:r w:rsidR="00C7720C">
              <w:rPr>
                <w:rFonts w:ascii="Times New Roman" w:eastAsia="Times New Roman" w:hAnsi="Times New Roman" w:cs="Times New Roman"/>
                <w:color w:val="000000"/>
              </w:rPr>
              <w:t>8.38</w:t>
            </w:r>
            <w:r w:rsidRPr="0021390A">
              <w:rPr>
                <w:rFonts w:ascii="Times New Roman" w:eastAsia="Times New Roman" w:hAnsi="Times New Roman" w:cs="Times New Roman"/>
                <w:color w:val="000000"/>
              </w:rPr>
              <w:t xml:space="preserve"> (</w:t>
            </w:r>
            <w:r w:rsidR="00C7720C">
              <w:rPr>
                <w:rFonts w:ascii="Times New Roman" w:eastAsia="Times New Roman" w:hAnsi="Times New Roman" w:cs="Times New Roman"/>
                <w:color w:val="000000"/>
              </w:rPr>
              <w:t>3</w:t>
            </w:r>
            <w:r w:rsidRPr="0021390A">
              <w:rPr>
                <w:rFonts w:ascii="Times New Roman" w:eastAsia="Times New Roman" w:hAnsi="Times New Roman" w:cs="Times New Roman"/>
                <w:color w:val="000000"/>
              </w:rPr>
              <w:t>.</w:t>
            </w:r>
            <w:r w:rsidR="00C7720C">
              <w:rPr>
                <w:rFonts w:ascii="Times New Roman" w:eastAsia="Times New Roman" w:hAnsi="Times New Roman" w:cs="Times New Roman"/>
                <w:color w:val="000000"/>
              </w:rPr>
              <w:t>5</w:t>
            </w:r>
            <w:r w:rsidRPr="0021390A">
              <w:rPr>
                <w:rFonts w:ascii="Times New Roman" w:eastAsia="Times New Roman" w:hAnsi="Times New Roman" w:cs="Times New Roman"/>
                <w:color w:val="000000"/>
              </w:rPr>
              <w:t>7)</w:t>
            </w:r>
          </w:p>
        </w:tc>
      </w:tr>
      <w:tr w:rsidR="0021390A" w:rsidRPr="0021390A" w14:paraId="2E3B4FF9" w14:textId="77777777" w:rsidTr="000521E3">
        <w:trPr>
          <w:trHeight w:val="315"/>
        </w:trPr>
        <w:tc>
          <w:tcPr>
            <w:tcW w:w="2694" w:type="dxa"/>
            <w:tcBorders>
              <w:top w:val="nil"/>
              <w:left w:val="nil"/>
              <w:right w:val="nil"/>
            </w:tcBorders>
            <w:shd w:val="clear" w:color="auto" w:fill="auto"/>
            <w:noWrap/>
            <w:vAlign w:val="center"/>
            <w:hideMark/>
          </w:tcPr>
          <w:p w14:paraId="7FF5D0C6" w14:textId="66403D3B"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SWM</w:t>
            </w:r>
          </w:p>
        </w:tc>
        <w:tc>
          <w:tcPr>
            <w:tcW w:w="1984" w:type="dxa"/>
            <w:tcBorders>
              <w:top w:val="nil"/>
              <w:left w:val="nil"/>
              <w:right w:val="nil"/>
            </w:tcBorders>
            <w:shd w:val="clear" w:color="auto" w:fill="auto"/>
            <w:noWrap/>
            <w:vAlign w:val="center"/>
            <w:hideMark/>
          </w:tcPr>
          <w:p w14:paraId="14573517" w14:textId="39438E8A" w:rsidR="0021390A" w:rsidRPr="0021390A" w:rsidRDefault="00C7720C"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50.37</w:t>
            </w:r>
            <w:r w:rsidR="0021390A" w:rsidRPr="0021390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12.28</w:t>
            </w:r>
            <w:r w:rsidR="0021390A" w:rsidRPr="0021390A">
              <w:rPr>
                <w:rFonts w:ascii="Times New Roman" w:eastAsia="Times New Roman" w:hAnsi="Times New Roman" w:cs="Times New Roman"/>
                <w:color w:val="000000"/>
              </w:rPr>
              <w:t>)</w:t>
            </w:r>
          </w:p>
        </w:tc>
        <w:tc>
          <w:tcPr>
            <w:tcW w:w="1843" w:type="dxa"/>
            <w:tcBorders>
              <w:top w:val="nil"/>
              <w:left w:val="nil"/>
              <w:right w:val="nil"/>
            </w:tcBorders>
            <w:shd w:val="clear" w:color="auto" w:fill="auto"/>
            <w:noWrap/>
            <w:vAlign w:val="center"/>
            <w:hideMark/>
          </w:tcPr>
          <w:p w14:paraId="709C8241" w14:textId="4A0F2AE3" w:rsidR="0021390A" w:rsidRPr="0021390A" w:rsidRDefault="00C7720C"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52.50</w:t>
            </w:r>
            <w:r w:rsidR="0021390A" w:rsidRPr="0021390A">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1.84</w:t>
            </w:r>
            <w:r w:rsidR="0021390A" w:rsidRPr="0021390A">
              <w:rPr>
                <w:rFonts w:ascii="Times New Roman" w:eastAsia="Times New Roman" w:hAnsi="Times New Roman" w:cs="Times New Roman"/>
                <w:color w:val="000000"/>
              </w:rPr>
              <w:t>)</w:t>
            </w:r>
          </w:p>
        </w:tc>
        <w:tc>
          <w:tcPr>
            <w:tcW w:w="2126" w:type="dxa"/>
            <w:tcBorders>
              <w:top w:val="nil"/>
              <w:left w:val="nil"/>
              <w:right w:val="nil"/>
            </w:tcBorders>
            <w:shd w:val="clear" w:color="auto" w:fill="auto"/>
            <w:noWrap/>
            <w:vAlign w:val="center"/>
            <w:hideMark/>
          </w:tcPr>
          <w:p w14:paraId="3F3DDBB8" w14:textId="0173C6E1" w:rsidR="0021390A" w:rsidRPr="0021390A" w:rsidRDefault="00C7720C"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47.71</w:t>
            </w:r>
            <w:r w:rsidR="0021390A" w:rsidRPr="0021390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15.08</w:t>
            </w:r>
            <w:r w:rsidR="0021390A" w:rsidRPr="0021390A">
              <w:rPr>
                <w:rFonts w:ascii="Times New Roman" w:eastAsia="Times New Roman" w:hAnsi="Times New Roman" w:cs="Times New Roman"/>
                <w:color w:val="000000"/>
              </w:rPr>
              <w:t>)</w:t>
            </w:r>
          </w:p>
        </w:tc>
        <w:tc>
          <w:tcPr>
            <w:tcW w:w="2155" w:type="dxa"/>
            <w:tcBorders>
              <w:top w:val="nil"/>
              <w:left w:val="nil"/>
              <w:right w:val="nil"/>
            </w:tcBorders>
            <w:shd w:val="clear" w:color="auto" w:fill="auto"/>
            <w:noWrap/>
            <w:vAlign w:val="center"/>
            <w:hideMark/>
          </w:tcPr>
          <w:p w14:paraId="4322EF18" w14:textId="7A7705B1" w:rsidR="0021390A" w:rsidRPr="0021390A" w:rsidRDefault="00C7720C"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51.00</w:t>
            </w:r>
            <w:r w:rsidR="0021390A" w:rsidRPr="0021390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13.53</w:t>
            </w:r>
            <w:r w:rsidR="0021390A" w:rsidRPr="0021390A">
              <w:rPr>
                <w:rFonts w:ascii="Times New Roman" w:eastAsia="Times New Roman" w:hAnsi="Times New Roman" w:cs="Times New Roman"/>
                <w:color w:val="000000"/>
              </w:rPr>
              <w:t>)</w:t>
            </w:r>
          </w:p>
        </w:tc>
      </w:tr>
      <w:tr w:rsidR="0021390A" w:rsidRPr="0021390A" w14:paraId="31F6C292" w14:textId="77777777" w:rsidTr="000521E3">
        <w:trPr>
          <w:trHeight w:val="315"/>
        </w:trPr>
        <w:tc>
          <w:tcPr>
            <w:tcW w:w="2694" w:type="dxa"/>
            <w:tcBorders>
              <w:top w:val="nil"/>
              <w:left w:val="nil"/>
              <w:bottom w:val="single" w:sz="12" w:space="0" w:color="auto"/>
              <w:right w:val="nil"/>
            </w:tcBorders>
            <w:shd w:val="clear" w:color="auto" w:fill="auto"/>
            <w:noWrap/>
            <w:vAlign w:val="center"/>
            <w:hideMark/>
          </w:tcPr>
          <w:p w14:paraId="3477DEA5" w14:textId="4FAFE522" w:rsidR="0021390A" w:rsidRPr="0021390A" w:rsidRDefault="00FE0A15"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Gender</w:t>
            </w:r>
            <w:r w:rsidR="00727E8E">
              <w:rPr>
                <w:rFonts w:ascii="Times New Roman" w:eastAsia="Times New Roman" w:hAnsi="Times New Roman" w:cs="Times New Roman"/>
                <w:color w:val="000000"/>
              </w:rPr>
              <w:t xml:space="preserve"> (male : female)</w:t>
            </w:r>
          </w:p>
        </w:tc>
        <w:tc>
          <w:tcPr>
            <w:tcW w:w="1984" w:type="dxa"/>
            <w:tcBorders>
              <w:top w:val="nil"/>
              <w:left w:val="nil"/>
              <w:bottom w:val="single" w:sz="12" w:space="0" w:color="auto"/>
              <w:right w:val="nil"/>
            </w:tcBorders>
            <w:shd w:val="clear" w:color="auto" w:fill="auto"/>
            <w:noWrap/>
            <w:vAlign w:val="center"/>
            <w:hideMark/>
          </w:tcPr>
          <w:p w14:paraId="75A53BF3" w14:textId="3A8831E8" w:rsidR="0021390A" w:rsidRPr="0021390A" w:rsidRDefault="00727E8E"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14:11</w:t>
            </w:r>
          </w:p>
        </w:tc>
        <w:tc>
          <w:tcPr>
            <w:tcW w:w="1843" w:type="dxa"/>
            <w:tcBorders>
              <w:top w:val="nil"/>
              <w:left w:val="nil"/>
              <w:bottom w:val="single" w:sz="12" w:space="0" w:color="auto"/>
              <w:right w:val="nil"/>
            </w:tcBorders>
            <w:shd w:val="clear" w:color="auto" w:fill="auto"/>
            <w:noWrap/>
            <w:vAlign w:val="center"/>
            <w:hideMark/>
          </w:tcPr>
          <w:p w14:paraId="5EF9DB93" w14:textId="755F6D31" w:rsidR="0021390A" w:rsidRPr="0021390A" w:rsidRDefault="00727E8E"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15:9</w:t>
            </w:r>
          </w:p>
        </w:tc>
        <w:tc>
          <w:tcPr>
            <w:tcW w:w="2126" w:type="dxa"/>
            <w:tcBorders>
              <w:top w:val="nil"/>
              <w:left w:val="nil"/>
              <w:bottom w:val="single" w:sz="12" w:space="0" w:color="auto"/>
              <w:right w:val="nil"/>
            </w:tcBorders>
            <w:shd w:val="clear" w:color="auto" w:fill="auto"/>
            <w:noWrap/>
            <w:vAlign w:val="center"/>
            <w:hideMark/>
          </w:tcPr>
          <w:p w14:paraId="326991CF" w14:textId="30EB8FB9" w:rsidR="0021390A" w:rsidRPr="0021390A" w:rsidRDefault="00727E8E"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13:11</w:t>
            </w:r>
          </w:p>
        </w:tc>
        <w:tc>
          <w:tcPr>
            <w:tcW w:w="2155" w:type="dxa"/>
            <w:tcBorders>
              <w:top w:val="nil"/>
              <w:left w:val="nil"/>
              <w:bottom w:val="single" w:sz="12" w:space="0" w:color="auto"/>
              <w:right w:val="nil"/>
            </w:tcBorders>
            <w:shd w:val="clear" w:color="auto" w:fill="auto"/>
            <w:noWrap/>
            <w:vAlign w:val="center"/>
            <w:hideMark/>
          </w:tcPr>
          <w:p w14:paraId="170B9243" w14:textId="57A46032" w:rsidR="0021390A" w:rsidRPr="0021390A" w:rsidRDefault="00727E8E" w:rsidP="002139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12:12</w:t>
            </w:r>
          </w:p>
        </w:tc>
      </w:tr>
    </w:tbl>
    <w:p w14:paraId="3CBFE666" w14:textId="6A493771" w:rsidR="006D5FBE" w:rsidRDefault="00F57DDC" w:rsidP="00741B9A">
      <w:pPr>
        <w:spacing w:line="240" w:lineRule="auto"/>
        <w:rPr>
          <w:rFonts w:ascii="Times New Roman" w:hAnsi="Times New Roman" w:cs="Times New Roman"/>
        </w:rPr>
      </w:pPr>
      <w:r w:rsidRPr="00F57DDC">
        <w:rPr>
          <w:rFonts w:ascii="Times New Roman" w:hAnsi="Times New Roman" w:cs="Times New Roman"/>
          <w:b/>
          <w:i/>
        </w:rPr>
        <w:t>Note</w:t>
      </w:r>
      <w:r>
        <w:rPr>
          <w:rFonts w:ascii="Times New Roman" w:hAnsi="Times New Roman" w:cs="Times New Roman"/>
          <w:b/>
          <w:i/>
        </w:rPr>
        <w:t>s</w:t>
      </w:r>
      <w:r w:rsidRPr="00F57DDC">
        <w:rPr>
          <w:rFonts w:ascii="Times New Roman" w:hAnsi="Times New Roman" w:cs="Times New Roman"/>
          <w:b/>
          <w:i/>
        </w:rPr>
        <w:t>:</w:t>
      </w:r>
      <w:r w:rsidR="00741B9A">
        <w:rPr>
          <w:rFonts w:ascii="Times New Roman" w:hAnsi="Times New Roman" w:cs="Times New Roman"/>
          <w:b/>
          <w:i/>
        </w:rPr>
        <w:t xml:space="preserve"> </w:t>
      </w:r>
      <w:r w:rsidR="00741B9A">
        <w:rPr>
          <w:rFonts w:ascii="Times New Roman" w:hAnsi="Times New Roman" w:cs="Times New Roman"/>
        </w:rPr>
        <w:t xml:space="preserve">The means and standard deviations (in parenthesis) of the </w:t>
      </w:r>
      <w:r w:rsidR="00727E8E">
        <w:rPr>
          <w:rFonts w:ascii="Times New Roman" w:hAnsi="Times New Roman" w:cs="Times New Roman"/>
        </w:rPr>
        <w:t>sense of direction (SOD), spatial working memory capacity (SWM)</w:t>
      </w:r>
      <w:r w:rsidR="00A175C2">
        <w:rPr>
          <w:rFonts w:ascii="Times New Roman" w:hAnsi="Times New Roman" w:cs="Times New Roman"/>
        </w:rPr>
        <w:t xml:space="preserve"> </w:t>
      </w:r>
      <w:r w:rsidR="00727E8E">
        <w:rPr>
          <w:rFonts w:ascii="Times New Roman" w:hAnsi="Times New Roman" w:cs="Times New Roman"/>
        </w:rPr>
        <w:t xml:space="preserve">and gender ratio </w:t>
      </w:r>
      <w:r w:rsidR="00741B9A">
        <w:rPr>
          <w:rFonts w:ascii="Times New Roman" w:hAnsi="Times New Roman" w:cs="Times New Roman"/>
        </w:rPr>
        <w:t xml:space="preserve">in each experimental condition. </w:t>
      </w:r>
      <w:r w:rsidR="004C5148">
        <w:rPr>
          <w:rFonts w:ascii="Times New Roman" w:hAnsi="Times New Roman" w:cs="Times New Roman"/>
        </w:rPr>
        <w:t>SOD</w:t>
      </w:r>
      <w:r w:rsidR="008215C0">
        <w:rPr>
          <w:rFonts w:ascii="Times New Roman" w:hAnsi="Times New Roman" w:cs="Times New Roman"/>
        </w:rPr>
        <w:t xml:space="preserve"> and SWM did not differ significantly across conditions (</w:t>
      </w:r>
      <w:r w:rsidR="008215C0" w:rsidRPr="008215C0">
        <w:rPr>
          <w:rFonts w:ascii="Times New Roman" w:hAnsi="Times New Roman" w:cs="Times New Roman"/>
          <w:i/>
          <w:iCs/>
        </w:rPr>
        <w:t>F</w:t>
      </w:r>
      <w:r w:rsidR="008215C0">
        <w:rPr>
          <w:rFonts w:ascii="Times New Roman" w:hAnsi="Times New Roman" w:cs="Times New Roman"/>
        </w:rPr>
        <w:t xml:space="preserve">s &lt; 0.46, </w:t>
      </w:r>
      <w:proofErr w:type="spellStart"/>
      <w:r w:rsidR="008215C0" w:rsidRPr="008215C0">
        <w:rPr>
          <w:rFonts w:ascii="Times New Roman" w:hAnsi="Times New Roman" w:cs="Times New Roman"/>
          <w:i/>
          <w:iCs/>
        </w:rPr>
        <w:t>p</w:t>
      </w:r>
      <w:r w:rsidR="008215C0">
        <w:rPr>
          <w:rFonts w:ascii="Times New Roman" w:hAnsi="Times New Roman" w:cs="Times New Roman"/>
        </w:rPr>
        <w:t>s</w:t>
      </w:r>
      <w:proofErr w:type="spellEnd"/>
      <w:r w:rsidR="008215C0">
        <w:rPr>
          <w:rFonts w:ascii="Times New Roman" w:hAnsi="Times New Roman" w:cs="Times New Roman"/>
        </w:rPr>
        <w:t xml:space="preserve"> &gt; 0.713). Gender ratio did not differ significantly across conditions (</w:t>
      </w:r>
      <w:r w:rsidR="00A169E6">
        <w:rPr>
          <w:rFonts w:ascii="Times New Roman" w:hAnsi="Times New Roman" w:cs="Times New Roman"/>
        </w:rPr>
        <w:t>χ</w:t>
      </w:r>
      <w:r w:rsidR="00A169E6" w:rsidRPr="00A169E6">
        <w:rPr>
          <w:rFonts w:ascii="Times New Roman" w:hAnsi="Times New Roman" w:cs="Times New Roman"/>
          <w:vertAlign w:val="superscript"/>
        </w:rPr>
        <w:t>2</w:t>
      </w:r>
      <w:r w:rsidR="00A169E6" w:rsidRPr="00A169E6">
        <w:rPr>
          <w:rFonts w:ascii="Times New Roman" w:hAnsi="Times New Roman" w:cs="Times New Roman"/>
        </w:rPr>
        <w:t xml:space="preserve"> (</w:t>
      </w:r>
      <w:r w:rsidR="00A169E6">
        <w:rPr>
          <w:rFonts w:ascii="Times New Roman" w:hAnsi="Times New Roman" w:cs="Times New Roman"/>
        </w:rPr>
        <w:t>3</w:t>
      </w:r>
      <w:r w:rsidR="00A169E6" w:rsidRPr="00A169E6">
        <w:rPr>
          <w:rFonts w:ascii="Times New Roman" w:hAnsi="Times New Roman" w:cs="Times New Roman"/>
        </w:rPr>
        <w:t xml:space="preserve">, N = </w:t>
      </w:r>
      <w:r w:rsidR="00A169E6">
        <w:rPr>
          <w:rFonts w:ascii="Times New Roman" w:hAnsi="Times New Roman" w:cs="Times New Roman"/>
        </w:rPr>
        <w:t>96</w:t>
      </w:r>
      <w:r w:rsidR="00A169E6" w:rsidRPr="00A169E6">
        <w:rPr>
          <w:rFonts w:ascii="Times New Roman" w:hAnsi="Times New Roman" w:cs="Times New Roman"/>
        </w:rPr>
        <w:t xml:space="preserve">) = </w:t>
      </w:r>
      <w:r w:rsidR="00A169E6">
        <w:rPr>
          <w:rFonts w:ascii="Times New Roman" w:hAnsi="Times New Roman" w:cs="Times New Roman"/>
        </w:rPr>
        <w:t>0.804</w:t>
      </w:r>
      <w:r w:rsidR="00A169E6" w:rsidRPr="00A169E6">
        <w:rPr>
          <w:rFonts w:ascii="Times New Roman" w:hAnsi="Times New Roman" w:cs="Times New Roman"/>
        </w:rPr>
        <w:t xml:space="preserve">, </w:t>
      </w:r>
      <w:r w:rsidR="00A169E6" w:rsidRPr="00A169E6">
        <w:rPr>
          <w:rFonts w:ascii="Times New Roman" w:hAnsi="Times New Roman" w:cs="Times New Roman"/>
          <w:i/>
          <w:iCs/>
        </w:rPr>
        <w:t>p</w:t>
      </w:r>
      <w:r w:rsidR="00A169E6" w:rsidRPr="00A169E6">
        <w:rPr>
          <w:rFonts w:ascii="Times New Roman" w:hAnsi="Times New Roman" w:cs="Times New Roman"/>
        </w:rPr>
        <w:t xml:space="preserve"> </w:t>
      </w:r>
      <w:r w:rsidR="00A169E6">
        <w:rPr>
          <w:rFonts w:ascii="Times New Roman" w:hAnsi="Times New Roman" w:cs="Times New Roman"/>
        </w:rPr>
        <w:t>= 0.848</w:t>
      </w:r>
      <w:r w:rsidR="008215C0">
        <w:rPr>
          <w:rFonts w:ascii="Times New Roman" w:hAnsi="Times New Roman" w:cs="Times New Roman"/>
        </w:rPr>
        <w:t>)</w:t>
      </w:r>
    </w:p>
    <w:p w14:paraId="15E0CE02" w14:textId="2168ABD1" w:rsidR="00602043" w:rsidRDefault="00602043">
      <w:pPr>
        <w:rPr>
          <w:rFonts w:ascii="Times New Roman" w:hAnsi="Times New Roman" w:cs="Times New Roman"/>
        </w:rPr>
      </w:pPr>
      <w:r>
        <w:rPr>
          <w:rFonts w:ascii="Times New Roman" w:hAnsi="Times New Roman" w:cs="Times New Roman"/>
        </w:rPr>
        <w:br w:type="page"/>
      </w:r>
    </w:p>
    <w:p w14:paraId="362B8621" w14:textId="77777777" w:rsidR="00602043" w:rsidRDefault="00602043" w:rsidP="00741B9A">
      <w:pPr>
        <w:spacing w:line="240" w:lineRule="auto"/>
        <w:rPr>
          <w:rFonts w:ascii="Times New Roman" w:hAnsi="Times New Roman" w:cs="Times New Roman"/>
        </w:rPr>
      </w:pPr>
    </w:p>
    <w:p w14:paraId="141341E6" w14:textId="3A31CC79" w:rsidR="0045720E" w:rsidRDefault="00602043" w:rsidP="00B168E9">
      <w:pPr>
        <w:rPr>
          <w:noProof/>
        </w:rPr>
      </w:pPr>
      <w:r w:rsidRPr="00602043">
        <w:rPr>
          <w:noProof/>
        </w:rPr>
        <w:drawing>
          <wp:inline distT="0" distB="0" distL="0" distR="0" wp14:anchorId="4484FB51" wp14:editId="4C277B20">
            <wp:extent cx="2551339" cy="248319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5736" cy="2506939"/>
                    </a:xfrm>
                    <a:prstGeom prst="rect">
                      <a:avLst/>
                    </a:prstGeom>
                  </pic:spPr>
                </pic:pic>
              </a:graphicData>
            </a:graphic>
          </wp:inline>
        </w:drawing>
      </w:r>
      <w:r w:rsidRPr="00602043">
        <w:rPr>
          <w:noProof/>
        </w:rPr>
        <w:t xml:space="preserve"> </w:t>
      </w:r>
      <w:r>
        <w:rPr>
          <w:noProof/>
        </w:rPr>
        <w:t xml:space="preserve">                        </w:t>
      </w:r>
      <w:r w:rsidRPr="00602043">
        <w:rPr>
          <w:noProof/>
        </w:rPr>
        <w:drawing>
          <wp:inline distT="0" distB="0" distL="0" distR="0" wp14:anchorId="2AA1923C" wp14:editId="01EF94B8">
            <wp:extent cx="2122714" cy="21703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8499" cy="2176256"/>
                    </a:xfrm>
                    <a:prstGeom prst="rect">
                      <a:avLst/>
                    </a:prstGeom>
                  </pic:spPr>
                </pic:pic>
              </a:graphicData>
            </a:graphic>
          </wp:inline>
        </w:drawing>
      </w:r>
    </w:p>
    <w:p w14:paraId="48D9C72B" w14:textId="64EDC5CB" w:rsidR="0045720E" w:rsidRDefault="0045720E" w:rsidP="0045720E">
      <w:pPr>
        <w:spacing w:line="240" w:lineRule="auto"/>
        <w:rPr>
          <w:rFonts w:ascii="Times New Roman" w:hAnsi="Times New Roman" w:cs="Times New Roman"/>
        </w:rPr>
      </w:pPr>
      <w:r w:rsidRPr="00602043">
        <w:rPr>
          <w:rFonts w:ascii="Times New Roman" w:hAnsi="Times New Roman" w:cs="Times New Roman"/>
          <w:b/>
          <w:bCs/>
        </w:rPr>
        <w:t>Figure S1</w:t>
      </w:r>
      <w:r>
        <w:rPr>
          <w:rFonts w:ascii="Times New Roman" w:hAnsi="Times New Roman" w:cs="Times New Roman"/>
        </w:rPr>
        <w:t>: Presentation of target locations to participants. Participants receive</w:t>
      </w:r>
      <w:r w:rsidR="00B1542C">
        <w:rPr>
          <w:rFonts w:ascii="Times New Roman" w:hAnsi="Times New Roman" w:cs="Times New Roman"/>
        </w:rPr>
        <w:t>d</w:t>
      </w:r>
      <w:r>
        <w:rPr>
          <w:rFonts w:ascii="Times New Roman" w:hAnsi="Times New Roman" w:cs="Times New Roman"/>
        </w:rPr>
        <w:t xml:space="preserve"> two pages of paper in the training phase, with appearance of the target buildings printed on </w:t>
      </w:r>
      <w:r w:rsidR="00466845">
        <w:rPr>
          <w:rFonts w:ascii="Times New Roman" w:hAnsi="Times New Roman" w:cs="Times New Roman"/>
        </w:rPr>
        <w:t>these</w:t>
      </w:r>
      <w:r>
        <w:rPr>
          <w:rFonts w:ascii="Times New Roman" w:hAnsi="Times New Roman" w:cs="Times New Roman"/>
        </w:rPr>
        <w:t xml:space="preserve"> page</w:t>
      </w:r>
      <w:r w:rsidR="00466845">
        <w:rPr>
          <w:rFonts w:ascii="Times New Roman" w:hAnsi="Times New Roman" w:cs="Times New Roman"/>
        </w:rPr>
        <w:t>s</w:t>
      </w:r>
      <w:r>
        <w:rPr>
          <w:rFonts w:ascii="Times New Roman" w:hAnsi="Times New Roman" w:cs="Times New Roman"/>
        </w:rPr>
        <w:t>.</w:t>
      </w:r>
      <w:r w:rsidR="00B1542C">
        <w:rPr>
          <w:rFonts w:ascii="Times New Roman" w:hAnsi="Times New Roman" w:cs="Times New Roman"/>
        </w:rPr>
        <w:t xml:space="preserve"> The </w:t>
      </w:r>
      <w:r w:rsidR="00A24671">
        <w:rPr>
          <w:rFonts w:ascii="Times New Roman" w:hAnsi="Times New Roman" w:cs="Times New Roman"/>
        </w:rPr>
        <w:t>order of the buildings in the list</w:t>
      </w:r>
      <w:r w:rsidR="00B1542C">
        <w:rPr>
          <w:rFonts w:ascii="Times New Roman" w:hAnsi="Times New Roman" w:cs="Times New Roman"/>
        </w:rPr>
        <w:t xml:space="preserve"> was alphabetical and did not relate to the layout of these locations in the environment</w:t>
      </w:r>
    </w:p>
    <w:p w14:paraId="237E145A" w14:textId="77777777" w:rsidR="0045720E" w:rsidRDefault="0045720E" w:rsidP="00B168E9">
      <w:pPr>
        <w:rPr>
          <w:noProof/>
        </w:rPr>
      </w:pPr>
    </w:p>
    <w:p w14:paraId="78E47353" w14:textId="77777777" w:rsidR="0045720E" w:rsidRDefault="0045720E">
      <w:pPr>
        <w:rPr>
          <w:noProof/>
        </w:rPr>
      </w:pPr>
      <w:r>
        <w:rPr>
          <w:noProof/>
        </w:rPr>
        <w:br w:type="page"/>
      </w:r>
    </w:p>
    <w:p w14:paraId="603F281A" w14:textId="6E914C86" w:rsidR="000927AA" w:rsidRDefault="00F55F9F" w:rsidP="00B168E9">
      <w:pPr>
        <w:rPr>
          <w:rFonts w:ascii="Times New Roman" w:hAnsi="Times New Roman" w:cs="Times New Roman"/>
        </w:rPr>
      </w:pPr>
      <w:r>
        <w:rPr>
          <w:rFonts w:ascii="Times New Roman" w:hAnsi="Times New Roman" w:cs="Times New Roman"/>
          <w:noProof/>
        </w:rPr>
        <w:lastRenderedPageBreak/>
        <w:drawing>
          <wp:inline distT="0" distB="0" distL="0" distR="0" wp14:anchorId="0796966D" wp14:editId="44B2C0A6">
            <wp:extent cx="6548553" cy="360861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5212" cy="3628815"/>
                    </a:xfrm>
                    <a:prstGeom prst="rect">
                      <a:avLst/>
                    </a:prstGeom>
                    <a:noFill/>
                  </pic:spPr>
                </pic:pic>
              </a:graphicData>
            </a:graphic>
          </wp:inline>
        </w:drawing>
      </w:r>
    </w:p>
    <w:p w14:paraId="153DC933" w14:textId="427C1660" w:rsidR="00F55F9F" w:rsidRDefault="0045720E" w:rsidP="0045720E">
      <w:pPr>
        <w:spacing w:line="240" w:lineRule="auto"/>
        <w:rPr>
          <w:rFonts w:ascii="Times New Roman" w:hAnsi="Times New Roman" w:cs="Times New Roman"/>
        </w:rPr>
      </w:pPr>
      <w:r w:rsidRPr="00602043">
        <w:rPr>
          <w:rFonts w:ascii="Times New Roman" w:hAnsi="Times New Roman" w:cs="Times New Roman"/>
          <w:b/>
          <w:bCs/>
        </w:rPr>
        <w:t>Figure S</w:t>
      </w:r>
      <w:r>
        <w:rPr>
          <w:rFonts w:ascii="Times New Roman" w:hAnsi="Times New Roman" w:cs="Times New Roman"/>
          <w:b/>
          <w:bCs/>
        </w:rPr>
        <w:t>2</w:t>
      </w:r>
      <w:r>
        <w:rPr>
          <w:rFonts w:ascii="Times New Roman" w:hAnsi="Times New Roman" w:cs="Times New Roman"/>
        </w:rPr>
        <w:t>: Absolute angular error (upper panels) and distance error (lower panels) in the first and second placing task</w:t>
      </w:r>
      <w:r w:rsidR="00947DDE">
        <w:rPr>
          <w:rFonts w:ascii="Times New Roman" w:hAnsi="Times New Roman" w:cs="Times New Roman"/>
        </w:rPr>
        <w:t xml:space="preserve">s. </w:t>
      </w:r>
      <w:r w:rsidR="00605E5E">
        <w:rPr>
          <w:rFonts w:ascii="Times New Roman" w:hAnsi="Times New Roman" w:cs="Times New Roman"/>
        </w:rPr>
        <w:t xml:space="preserve">Note that the patterns are very similar to the ones of the position error. </w:t>
      </w:r>
      <w:r w:rsidR="00947DDE">
        <w:rPr>
          <w:rFonts w:ascii="Times New Roman" w:hAnsi="Times New Roman" w:cs="Times New Roman"/>
        </w:rPr>
        <w:t>Error bar</w:t>
      </w:r>
      <w:r w:rsidR="00F37AA5">
        <w:rPr>
          <w:rFonts w:ascii="Times New Roman" w:hAnsi="Times New Roman" w:cs="Times New Roman"/>
        </w:rPr>
        <w:t>s</w:t>
      </w:r>
      <w:r w:rsidR="00947DDE">
        <w:rPr>
          <w:rFonts w:ascii="Times New Roman" w:hAnsi="Times New Roman" w:cs="Times New Roman"/>
        </w:rPr>
        <w:t xml:space="preserve"> stand for standard error of the mean.</w:t>
      </w:r>
    </w:p>
    <w:p w14:paraId="2CB00988" w14:textId="77777777" w:rsidR="00F55F9F" w:rsidRDefault="00F55F9F">
      <w:pPr>
        <w:rPr>
          <w:rFonts w:ascii="Times New Roman" w:hAnsi="Times New Roman" w:cs="Times New Roman"/>
        </w:rPr>
      </w:pPr>
      <w:r>
        <w:rPr>
          <w:rFonts w:ascii="Times New Roman" w:hAnsi="Times New Roman" w:cs="Times New Roman"/>
        </w:rPr>
        <w:br w:type="page"/>
      </w:r>
    </w:p>
    <w:p w14:paraId="04F42523" w14:textId="0FAD3F8B" w:rsidR="003A293A" w:rsidRDefault="00F55F9F" w:rsidP="0045720E">
      <w:pPr>
        <w:spacing w:line="240" w:lineRule="auto"/>
        <w:rPr>
          <w:rFonts w:ascii="Times New Roman" w:hAnsi="Times New Roman" w:cs="Times New Roman"/>
        </w:rPr>
      </w:pPr>
      <w:r>
        <w:rPr>
          <w:rFonts w:ascii="Times New Roman" w:hAnsi="Times New Roman" w:cs="Times New Roman"/>
        </w:rPr>
        <w:lastRenderedPageBreak/>
        <w:t>Data simulation Procedure</w:t>
      </w:r>
      <w:r w:rsidR="003C1047">
        <w:rPr>
          <w:rFonts w:ascii="Times New Roman" w:hAnsi="Times New Roman" w:cs="Times New Roman"/>
        </w:rPr>
        <w:t xml:space="preserve"> (the R code and the data for this simulation are available at </w:t>
      </w:r>
      <w:hyperlink r:id="rId11" w:history="1">
        <w:r w:rsidR="007C1240" w:rsidRPr="00DB3FFD">
          <w:rPr>
            <w:rStyle w:val="Hyperlink"/>
            <w:rFonts w:ascii="Times New Roman" w:hAnsi="Times New Roman" w:cs="Times New Roman"/>
          </w:rPr>
          <w:t>https://osf.io/p2q8h</w:t>
        </w:r>
      </w:hyperlink>
      <w:r w:rsidR="003C1047">
        <w:rPr>
          <w:rFonts w:ascii="Times New Roman" w:hAnsi="Times New Roman" w:cs="Times New Roman"/>
        </w:rPr>
        <w:t>)</w:t>
      </w:r>
      <w:r w:rsidR="007C1240">
        <w:rPr>
          <w:rFonts w:ascii="Times New Roman" w:hAnsi="Times New Roman" w:cs="Times New Roman"/>
        </w:rPr>
        <w:t xml:space="preserve">. The simulation </w:t>
      </w:r>
      <w:r w:rsidR="009E6CE9">
        <w:rPr>
          <w:rFonts w:ascii="Times New Roman" w:hAnsi="Times New Roman" w:cs="Times New Roman"/>
        </w:rPr>
        <w:t>first fills in known correlations between our SWM task and VWM, Gf, and spatial performance (measured in our study). It then iteratively</w:t>
      </w:r>
      <w:r w:rsidR="007C1240">
        <w:rPr>
          <w:rFonts w:ascii="Times New Roman" w:hAnsi="Times New Roman" w:cs="Times New Roman"/>
        </w:rPr>
        <w:t xml:space="preserve"> simulates </w:t>
      </w:r>
      <w:r w:rsidR="003C6791">
        <w:rPr>
          <w:rFonts w:ascii="Times New Roman" w:hAnsi="Times New Roman" w:cs="Times New Roman"/>
        </w:rPr>
        <w:t xml:space="preserve">expected </w:t>
      </w:r>
      <w:r w:rsidR="007C1240">
        <w:rPr>
          <w:rFonts w:ascii="Times New Roman" w:hAnsi="Times New Roman" w:cs="Times New Roman"/>
        </w:rPr>
        <w:t xml:space="preserve">fluid intelligence (Gf) and </w:t>
      </w:r>
      <w:r w:rsidR="00FF50F3">
        <w:rPr>
          <w:rFonts w:ascii="Times New Roman" w:hAnsi="Times New Roman" w:cs="Times New Roman"/>
        </w:rPr>
        <w:t xml:space="preserve">verbal </w:t>
      </w:r>
      <w:r w:rsidR="007C1240">
        <w:rPr>
          <w:rFonts w:ascii="Times New Roman" w:hAnsi="Times New Roman" w:cs="Times New Roman"/>
        </w:rPr>
        <w:t xml:space="preserve">working memory </w:t>
      </w:r>
      <w:r w:rsidR="00525580">
        <w:rPr>
          <w:rFonts w:ascii="Times New Roman" w:hAnsi="Times New Roman" w:cs="Times New Roman"/>
        </w:rPr>
        <w:t xml:space="preserve">(VWM) </w:t>
      </w:r>
      <w:r w:rsidR="00B2726C">
        <w:rPr>
          <w:rFonts w:ascii="Times New Roman" w:hAnsi="Times New Roman" w:cs="Times New Roman"/>
        </w:rPr>
        <w:t>scores</w:t>
      </w:r>
      <w:r w:rsidR="007C1240">
        <w:rPr>
          <w:rFonts w:ascii="Times New Roman" w:hAnsi="Times New Roman" w:cs="Times New Roman"/>
        </w:rPr>
        <w:t xml:space="preserve"> for each participant, with these simulated </w:t>
      </w:r>
      <w:r w:rsidR="00525580">
        <w:rPr>
          <w:rFonts w:ascii="Times New Roman" w:hAnsi="Times New Roman" w:cs="Times New Roman"/>
        </w:rPr>
        <w:t>scores</w:t>
      </w:r>
      <w:r w:rsidR="007C1240">
        <w:rPr>
          <w:rFonts w:ascii="Times New Roman" w:hAnsi="Times New Roman" w:cs="Times New Roman"/>
        </w:rPr>
        <w:t xml:space="preserve"> </w:t>
      </w:r>
      <w:r w:rsidR="00656660">
        <w:rPr>
          <w:rFonts w:ascii="Times New Roman" w:hAnsi="Times New Roman" w:cs="Times New Roman"/>
        </w:rPr>
        <w:t xml:space="preserve">constrained </w:t>
      </w:r>
      <w:r w:rsidR="003C6791">
        <w:rPr>
          <w:rFonts w:ascii="Times New Roman" w:hAnsi="Times New Roman" w:cs="Times New Roman"/>
        </w:rPr>
        <w:t>by</w:t>
      </w:r>
      <w:r w:rsidR="007C1240">
        <w:rPr>
          <w:rFonts w:ascii="Times New Roman" w:hAnsi="Times New Roman" w:cs="Times New Roman"/>
        </w:rPr>
        <w:t xml:space="preserve"> previous empirical findings</w:t>
      </w:r>
      <w:r w:rsidR="00656660">
        <w:rPr>
          <w:rFonts w:ascii="Times New Roman" w:hAnsi="Times New Roman" w:cs="Times New Roman"/>
        </w:rPr>
        <w:t xml:space="preserve"> </w:t>
      </w:r>
      <w:r w:rsidR="003C6791">
        <w:rPr>
          <w:rFonts w:ascii="Times New Roman" w:hAnsi="Times New Roman" w:cs="Times New Roman"/>
        </w:rPr>
        <w:t xml:space="preserve">and their known interrelationships and correlations with </w:t>
      </w:r>
      <w:r w:rsidR="00656660">
        <w:rPr>
          <w:rFonts w:ascii="Times New Roman" w:hAnsi="Times New Roman" w:cs="Times New Roman"/>
        </w:rPr>
        <w:t>our collected measures</w:t>
      </w:r>
      <w:r w:rsidR="007C1240">
        <w:rPr>
          <w:rFonts w:ascii="Times New Roman" w:hAnsi="Times New Roman" w:cs="Times New Roman"/>
        </w:rPr>
        <w:t xml:space="preserve">. We then run multiple regressions with SWM, Gf and VWM </w:t>
      </w:r>
      <w:r w:rsidR="00AD5AF5">
        <w:rPr>
          <w:rFonts w:ascii="Times New Roman" w:hAnsi="Times New Roman" w:cs="Times New Roman"/>
        </w:rPr>
        <w:t xml:space="preserve">as </w:t>
      </w:r>
      <w:r w:rsidR="008C423E">
        <w:rPr>
          <w:rFonts w:ascii="Times New Roman" w:hAnsi="Times New Roman" w:cs="Times New Roman"/>
        </w:rPr>
        <w:t>predictors</w:t>
      </w:r>
      <w:r w:rsidR="00656660">
        <w:rPr>
          <w:rFonts w:ascii="Times New Roman" w:hAnsi="Times New Roman" w:cs="Times New Roman"/>
        </w:rPr>
        <w:t xml:space="preserve"> of spatial performance on our task</w:t>
      </w:r>
      <w:r w:rsidR="00525580">
        <w:rPr>
          <w:rFonts w:ascii="Times New Roman" w:hAnsi="Times New Roman" w:cs="Times New Roman"/>
        </w:rPr>
        <w:t>,</w:t>
      </w:r>
      <w:r w:rsidR="00AD5AF5">
        <w:rPr>
          <w:rFonts w:ascii="Times New Roman" w:hAnsi="Times New Roman" w:cs="Times New Roman"/>
        </w:rPr>
        <w:t xml:space="preserve"> </w:t>
      </w:r>
      <w:r w:rsidR="007C1240">
        <w:rPr>
          <w:rFonts w:ascii="Times New Roman" w:hAnsi="Times New Roman" w:cs="Times New Roman"/>
        </w:rPr>
        <w:t xml:space="preserve">separately for extreme and medium conditions. </w:t>
      </w:r>
      <w:r w:rsidR="00656660">
        <w:rPr>
          <w:rFonts w:ascii="Times New Roman" w:hAnsi="Times New Roman" w:cs="Times New Roman"/>
        </w:rPr>
        <w:t>F</w:t>
      </w:r>
      <w:r w:rsidR="007C1240">
        <w:rPr>
          <w:rFonts w:ascii="Times New Roman" w:hAnsi="Times New Roman" w:cs="Times New Roman"/>
        </w:rPr>
        <w:t>inally</w:t>
      </w:r>
      <w:r w:rsidR="00656660">
        <w:rPr>
          <w:rFonts w:ascii="Times New Roman" w:hAnsi="Times New Roman" w:cs="Times New Roman"/>
        </w:rPr>
        <w:t>, we</w:t>
      </w:r>
      <w:r w:rsidR="007C1240">
        <w:rPr>
          <w:rFonts w:ascii="Times New Roman" w:hAnsi="Times New Roman" w:cs="Times New Roman"/>
        </w:rPr>
        <w:t xml:space="preserve"> </w:t>
      </w:r>
      <w:r w:rsidR="00656660">
        <w:rPr>
          <w:rFonts w:ascii="Times New Roman" w:hAnsi="Times New Roman" w:cs="Times New Roman"/>
        </w:rPr>
        <w:t>test</w:t>
      </w:r>
      <w:r w:rsidR="007C1240">
        <w:rPr>
          <w:rFonts w:ascii="Times New Roman" w:hAnsi="Times New Roman" w:cs="Times New Roman"/>
        </w:rPr>
        <w:t xml:space="preserve"> whether the </w:t>
      </w:r>
      <w:r w:rsidR="00656660">
        <w:rPr>
          <w:rFonts w:ascii="Times New Roman" w:hAnsi="Times New Roman" w:cs="Times New Roman"/>
        </w:rPr>
        <w:t xml:space="preserve">observed </w:t>
      </w:r>
      <w:r w:rsidR="007C1240">
        <w:rPr>
          <w:rFonts w:ascii="Times New Roman" w:hAnsi="Times New Roman" w:cs="Times New Roman"/>
        </w:rPr>
        <w:t>correlation</w:t>
      </w:r>
      <w:r w:rsidR="00525580">
        <w:rPr>
          <w:rFonts w:ascii="Times New Roman" w:hAnsi="Times New Roman" w:cs="Times New Roman"/>
        </w:rPr>
        <w:t xml:space="preserve"> between SWM and spatial learning</w:t>
      </w:r>
      <w:r w:rsidR="007C1240">
        <w:rPr>
          <w:rFonts w:ascii="Times New Roman" w:hAnsi="Times New Roman" w:cs="Times New Roman"/>
        </w:rPr>
        <w:t xml:space="preserve"> in the </w:t>
      </w:r>
      <w:r w:rsidR="003C0288">
        <w:rPr>
          <w:rFonts w:ascii="Times New Roman" w:hAnsi="Times New Roman" w:cs="Times New Roman"/>
        </w:rPr>
        <w:t xml:space="preserve">medium </w:t>
      </w:r>
      <w:r w:rsidR="007C1240">
        <w:rPr>
          <w:rFonts w:ascii="Times New Roman" w:hAnsi="Times New Roman" w:cs="Times New Roman"/>
        </w:rPr>
        <w:t xml:space="preserve">group is still significantly larger than the </w:t>
      </w:r>
      <w:r w:rsidR="003C0288">
        <w:rPr>
          <w:rFonts w:ascii="Times New Roman" w:hAnsi="Times New Roman" w:cs="Times New Roman"/>
        </w:rPr>
        <w:t>extreme</w:t>
      </w:r>
      <w:r w:rsidR="007C1240">
        <w:rPr>
          <w:rFonts w:ascii="Times New Roman" w:hAnsi="Times New Roman" w:cs="Times New Roman"/>
        </w:rPr>
        <w:t xml:space="preserve"> group</w:t>
      </w:r>
      <w:r w:rsidR="00AD5AF5">
        <w:rPr>
          <w:rFonts w:ascii="Times New Roman" w:hAnsi="Times New Roman" w:cs="Times New Roman"/>
        </w:rPr>
        <w:t xml:space="preserve"> when</w:t>
      </w:r>
      <w:r w:rsidR="00656660">
        <w:rPr>
          <w:rFonts w:ascii="Times New Roman" w:hAnsi="Times New Roman" w:cs="Times New Roman"/>
        </w:rPr>
        <w:t xml:space="preserve"> </w:t>
      </w:r>
      <w:r w:rsidR="009E6CE9">
        <w:rPr>
          <w:rFonts w:ascii="Times New Roman" w:hAnsi="Times New Roman" w:cs="Times New Roman"/>
        </w:rPr>
        <w:t xml:space="preserve">a distribution of </w:t>
      </w:r>
      <w:r w:rsidR="00656660">
        <w:rPr>
          <w:rFonts w:ascii="Times New Roman" w:hAnsi="Times New Roman" w:cs="Times New Roman"/>
        </w:rPr>
        <w:t>expected</w:t>
      </w:r>
      <w:r w:rsidR="00AD5AF5">
        <w:rPr>
          <w:rFonts w:ascii="Times New Roman" w:hAnsi="Times New Roman" w:cs="Times New Roman"/>
        </w:rPr>
        <w:t xml:space="preserve"> Gf and VWM </w:t>
      </w:r>
      <w:r w:rsidR="009E6CE9">
        <w:rPr>
          <w:rFonts w:ascii="Times New Roman" w:hAnsi="Times New Roman" w:cs="Times New Roman"/>
        </w:rPr>
        <w:t>values from the simulation</w:t>
      </w:r>
      <w:r w:rsidR="00656660">
        <w:rPr>
          <w:rFonts w:ascii="Times New Roman" w:hAnsi="Times New Roman" w:cs="Times New Roman"/>
        </w:rPr>
        <w:t xml:space="preserve"> </w:t>
      </w:r>
      <w:r w:rsidR="00AD5AF5">
        <w:rPr>
          <w:rFonts w:ascii="Times New Roman" w:hAnsi="Times New Roman" w:cs="Times New Roman"/>
        </w:rPr>
        <w:t xml:space="preserve">are </w:t>
      </w:r>
      <w:proofErr w:type="spellStart"/>
      <w:r w:rsidR="00AD5AF5">
        <w:rPr>
          <w:rFonts w:ascii="Times New Roman" w:hAnsi="Times New Roman" w:cs="Times New Roman"/>
        </w:rPr>
        <w:t>partialed</w:t>
      </w:r>
      <w:proofErr w:type="spellEnd"/>
      <w:r w:rsidR="00AD5AF5">
        <w:rPr>
          <w:rFonts w:ascii="Times New Roman" w:hAnsi="Times New Roman" w:cs="Times New Roman"/>
        </w:rPr>
        <w:t xml:space="preserve"> out.</w:t>
      </w:r>
      <w:r w:rsidR="003A293A">
        <w:rPr>
          <w:rFonts w:ascii="Times New Roman" w:hAnsi="Times New Roman" w:cs="Times New Roman"/>
        </w:rPr>
        <w:t xml:space="preserve"> Note that the simulation </w:t>
      </w:r>
      <w:r w:rsidR="003A293A" w:rsidRPr="003A293A">
        <w:rPr>
          <w:rFonts w:ascii="Times New Roman" w:hAnsi="Times New Roman" w:cs="Times New Roman"/>
        </w:rPr>
        <w:t xml:space="preserve">is completely agnostic to </w:t>
      </w:r>
      <w:r w:rsidR="003A293A">
        <w:rPr>
          <w:rFonts w:ascii="Times New Roman" w:hAnsi="Times New Roman" w:cs="Times New Roman"/>
        </w:rPr>
        <w:t xml:space="preserve">the </w:t>
      </w:r>
      <w:r w:rsidR="003A293A" w:rsidRPr="003A293A">
        <w:rPr>
          <w:rFonts w:ascii="Times New Roman" w:hAnsi="Times New Roman" w:cs="Times New Roman"/>
        </w:rPr>
        <w:t>group membership</w:t>
      </w:r>
      <w:r w:rsidR="003A293A">
        <w:rPr>
          <w:rFonts w:ascii="Times New Roman" w:hAnsi="Times New Roman" w:cs="Times New Roman"/>
        </w:rPr>
        <w:t xml:space="preserve"> (extreme or medium)</w:t>
      </w:r>
      <w:r w:rsidR="003A293A" w:rsidRPr="003A293A">
        <w:rPr>
          <w:rFonts w:ascii="Times New Roman" w:hAnsi="Times New Roman" w:cs="Times New Roman"/>
        </w:rPr>
        <w:t xml:space="preserve"> or other task </w:t>
      </w:r>
      <w:r w:rsidR="003A293A">
        <w:rPr>
          <w:rFonts w:ascii="Times New Roman" w:hAnsi="Times New Roman" w:cs="Times New Roman"/>
        </w:rPr>
        <w:t>properties.</w:t>
      </w:r>
    </w:p>
    <w:p w14:paraId="27E6CE49" w14:textId="4019FFAA" w:rsidR="00F55F9F" w:rsidRDefault="00F55F9F" w:rsidP="00F55F9F">
      <w:pPr>
        <w:pStyle w:val="ListParagraph"/>
        <w:numPr>
          <w:ilvl w:val="0"/>
          <w:numId w:val="1"/>
        </w:numPr>
        <w:spacing w:line="240" w:lineRule="auto"/>
        <w:rPr>
          <w:rFonts w:ascii="Times New Roman" w:hAnsi="Times New Roman" w:cs="Times New Roman"/>
        </w:rPr>
      </w:pPr>
      <w:r>
        <w:rPr>
          <w:rFonts w:ascii="Times New Roman" w:hAnsi="Times New Roman" w:cs="Times New Roman"/>
        </w:rPr>
        <w:t xml:space="preserve">Draw 96 random samples from </w:t>
      </w:r>
      <w:r w:rsidR="006A72B2">
        <w:rPr>
          <w:rFonts w:ascii="Times New Roman" w:hAnsi="Times New Roman" w:cs="Times New Roman"/>
        </w:rPr>
        <w:t xml:space="preserve">each of </w:t>
      </w:r>
      <w:r>
        <w:rPr>
          <w:rFonts w:ascii="Times New Roman" w:hAnsi="Times New Roman" w:cs="Times New Roman"/>
        </w:rPr>
        <w:t>two independent normal distributions</w:t>
      </w:r>
      <w:r w:rsidR="006A72B2">
        <w:rPr>
          <w:rFonts w:ascii="Times New Roman" w:hAnsi="Times New Roman" w:cs="Times New Roman"/>
        </w:rPr>
        <w:t>.</w:t>
      </w:r>
      <w:r>
        <w:rPr>
          <w:rFonts w:ascii="Times New Roman" w:hAnsi="Times New Roman" w:cs="Times New Roman"/>
        </w:rPr>
        <w:t xml:space="preserve"> </w:t>
      </w:r>
      <w:r w:rsidR="006A72B2">
        <w:rPr>
          <w:rFonts w:ascii="Times New Roman" w:hAnsi="Times New Roman" w:cs="Times New Roman"/>
        </w:rPr>
        <w:t>O</w:t>
      </w:r>
      <w:r>
        <w:rPr>
          <w:rFonts w:ascii="Times New Roman" w:hAnsi="Times New Roman" w:cs="Times New Roman"/>
        </w:rPr>
        <w:t xml:space="preserve">ne of them </w:t>
      </w:r>
      <w:r w:rsidR="006A72B2">
        <w:rPr>
          <w:rFonts w:ascii="Times New Roman" w:hAnsi="Times New Roman" w:cs="Times New Roman"/>
        </w:rPr>
        <w:t xml:space="preserve">is named </w:t>
      </w:r>
      <w:r>
        <w:rPr>
          <w:rFonts w:ascii="Times New Roman" w:hAnsi="Times New Roman" w:cs="Times New Roman"/>
        </w:rPr>
        <w:t xml:space="preserve">Gf and the other </w:t>
      </w:r>
      <w:r w:rsidR="006A72B2">
        <w:rPr>
          <w:rFonts w:ascii="Times New Roman" w:hAnsi="Times New Roman" w:cs="Times New Roman"/>
        </w:rPr>
        <w:t>is named</w:t>
      </w:r>
      <w:r>
        <w:rPr>
          <w:rFonts w:ascii="Times New Roman" w:hAnsi="Times New Roman" w:cs="Times New Roman"/>
        </w:rPr>
        <w:t xml:space="preserve"> VWM. </w:t>
      </w:r>
    </w:p>
    <w:p w14:paraId="6AB93449" w14:textId="3572F376" w:rsidR="00F55F9F" w:rsidRDefault="00F55F9F" w:rsidP="00F55F9F">
      <w:pPr>
        <w:pStyle w:val="ListParagraph"/>
        <w:numPr>
          <w:ilvl w:val="0"/>
          <w:numId w:val="1"/>
        </w:numPr>
        <w:spacing w:line="240" w:lineRule="auto"/>
        <w:rPr>
          <w:rFonts w:ascii="Times New Roman" w:hAnsi="Times New Roman" w:cs="Times New Roman"/>
        </w:rPr>
      </w:pPr>
      <w:r>
        <w:rPr>
          <w:rFonts w:ascii="Times New Roman" w:hAnsi="Times New Roman" w:cs="Times New Roman"/>
        </w:rPr>
        <w:t xml:space="preserve">VWM </w:t>
      </w:r>
      <w:r w:rsidR="004B4004">
        <w:rPr>
          <w:rFonts w:ascii="Times New Roman" w:hAnsi="Times New Roman" w:cs="Times New Roman"/>
        </w:rPr>
        <w:t xml:space="preserve">data are transformed </w:t>
      </w:r>
      <w:r>
        <w:rPr>
          <w:rFonts w:ascii="Times New Roman" w:hAnsi="Times New Roman" w:cs="Times New Roman"/>
        </w:rPr>
        <w:t>t</w:t>
      </w:r>
      <w:r w:rsidR="004B4004">
        <w:rPr>
          <w:rFonts w:ascii="Times New Roman" w:hAnsi="Times New Roman" w:cs="Times New Roman"/>
        </w:rPr>
        <w:t>o ensure</w:t>
      </w:r>
      <w:r>
        <w:rPr>
          <w:rFonts w:ascii="Times New Roman" w:hAnsi="Times New Roman" w:cs="Times New Roman"/>
        </w:rPr>
        <w:t xml:space="preserve"> that</w:t>
      </w:r>
      <w:r w:rsidR="00755870">
        <w:rPr>
          <w:rFonts w:ascii="Times New Roman" w:hAnsi="Times New Roman" w:cs="Times New Roman"/>
        </w:rPr>
        <w:t xml:space="preserve"> the correlation between SWM</w:t>
      </w:r>
      <w:r w:rsidR="0002240F">
        <w:rPr>
          <w:rFonts w:ascii="Times New Roman" w:hAnsi="Times New Roman" w:cs="Times New Roman"/>
        </w:rPr>
        <w:t xml:space="preserve"> (data from our study)</w:t>
      </w:r>
      <w:r w:rsidR="00755870">
        <w:rPr>
          <w:rFonts w:ascii="Times New Roman" w:hAnsi="Times New Roman" w:cs="Times New Roman"/>
        </w:rPr>
        <w:t xml:space="preserve"> and VWM is 0.44</w:t>
      </w:r>
      <w:r w:rsidR="006C3BD7">
        <w:rPr>
          <w:rFonts w:ascii="Times New Roman" w:hAnsi="Times New Roman" w:cs="Times New Roman"/>
        </w:rPr>
        <w:t xml:space="preserve"> exact </w:t>
      </w:r>
      <w:r w:rsidR="004B4004">
        <w:rPr>
          <w:rFonts w:ascii="Times New Roman" w:hAnsi="Times New Roman" w:cs="Times New Roman"/>
        </w:rPr>
        <w:fldChar w:fldCharType="begin"/>
      </w:r>
      <w:r w:rsidR="00183367">
        <w:rPr>
          <w:rFonts w:ascii="Times New Roman" w:hAnsi="Times New Roman" w:cs="Times New Roman"/>
        </w:rPr>
        <w:instrText xml:space="preserve"> ADDIN ZOTERO_ITEM CSL_CITATION {"citationID":"S2mORcmw","properties":{"formattedCitation":"(Rodgers &amp; Nicewander, 1988)","plainCitation":"(Rodgers &amp; Nicewander, 1988)","dontUpdate":true,"noteIndex":0},"citationItems":[{"id":3718,"uris":["http://zotero.org/users/2000143/items/8T89GU2Z"],"uri":["http://zotero.org/users/2000143/items/8T89GU2Z"],"itemData":{"id":3718,"type":"article-journal","abstract":"In 1885, Sir Francis Galton first defined the term “regression” and completed the theory of bivariate correlation. A decade later, Karl Pearson developed the index that we still use to measure correlation, Pearson's r. Our article is written in recognition of the 100th anniversary of Galton's first discussion of regression and correlation. We begin with a brief history. Then we present 13 different formulas, each of which represents a different computational and conceptual definition of r. Each formula suggests a different way of thinking about this index, from algebraic, geometric, and trigonometric settings. We show that Pearson's r (or simple functions of r) may variously be thought of as a special type of mean, a special type of variance, the ratio of two means, the ratio of two variances, the slope of a line, the cosine of an angle, and the tangent to an ellipse, and may be looked at from several other interesting perspectives.","container-title":"The American Statistician","DOI":"10.1080/00031305.1988.10475524","ISSN":"0003-1305","issue":"1","page":"59-66","source":"Taylor and Francis+NEJM","title":"Thirteen Ways to Look at the Correlation Coefficient","volume":"42","author":[{"family":"Rodgers","given":"Joseph Lee"},{"family":"Nicewander","given":"W. Alan"}],"issued":{"date-parts":[["1988",2,1]]}}}],"schema":"https://github.com/citation-style-language/schema/raw/master/csl-citation.json"} </w:instrText>
      </w:r>
      <w:r w:rsidR="004B4004">
        <w:rPr>
          <w:rFonts w:ascii="Times New Roman" w:hAnsi="Times New Roman" w:cs="Times New Roman"/>
        </w:rPr>
        <w:fldChar w:fldCharType="separate"/>
      </w:r>
      <w:r w:rsidR="004B4004" w:rsidRPr="004B4004">
        <w:rPr>
          <w:rFonts w:ascii="Times New Roman" w:hAnsi="Times New Roman" w:cs="Times New Roman"/>
        </w:rPr>
        <w:t>(</w:t>
      </w:r>
      <w:r w:rsidR="004F4CE0">
        <w:rPr>
          <w:rFonts w:ascii="Times New Roman" w:hAnsi="Times New Roman" w:cs="Times New Roman"/>
        </w:rPr>
        <w:t xml:space="preserve">plane projection; </w:t>
      </w:r>
      <w:r w:rsidR="004B4004" w:rsidRPr="004B4004">
        <w:rPr>
          <w:rFonts w:ascii="Times New Roman" w:hAnsi="Times New Roman" w:cs="Times New Roman"/>
        </w:rPr>
        <w:t>Rodgers &amp; Nicewander, 1988)</w:t>
      </w:r>
      <w:r w:rsidR="004B4004">
        <w:rPr>
          <w:rFonts w:ascii="Times New Roman" w:hAnsi="Times New Roman" w:cs="Times New Roman"/>
        </w:rPr>
        <w:fldChar w:fldCharType="end"/>
      </w:r>
      <w:r w:rsidR="00755870">
        <w:rPr>
          <w:rFonts w:ascii="Times New Roman" w:hAnsi="Times New Roman" w:cs="Times New Roman"/>
        </w:rPr>
        <w:t xml:space="preserve">. This correlation is based on </w:t>
      </w:r>
      <w:r w:rsidR="00755870">
        <w:rPr>
          <w:rFonts w:ascii="Times New Roman" w:hAnsi="Times New Roman" w:cs="Times New Roman"/>
        </w:rPr>
        <w:fldChar w:fldCharType="begin"/>
      </w:r>
      <w:r w:rsidR="00834719">
        <w:rPr>
          <w:rFonts w:ascii="Times New Roman" w:hAnsi="Times New Roman" w:cs="Times New Roman"/>
        </w:rPr>
        <w:instrText xml:space="preserve"> ADDIN ZOTERO_ITEM CSL_CITATION {"citationID":"lXh1KjX8","properties":{"formattedCitation":"(\\uc0\\u272{}oki\\uc0\\u263{} et al., 2018; Redick et al., 2016)","plainCitation":"(Đokić et al., 2018; Redick et al., 2016)","dontUpdate":true,"noteIndex":0},"citationItems":[{"id":3696,"uris":["http://zotero.org/users/2000143/items/SVH4JBYY"],"uri":["http://zotero.org/users/2000143/items/SVH4JBYY"],"itemData":{"id":3696,"type":"article-journal","abstract":"The study examined the psychometric characteristics of three automated working memory span tasks: operational, reading, and symmetry span task, administered in groups of participants. For each task, the metric characteristics of six scoring procedures were evaluated: partial, absolute, partial non-weighted, absolute non-weighted, partial weighted, and absolute weighted scoring. Metric characteristics of all measures were compared across two parallel analyses: with and without application of a typical 85% accuracy criterion on the processing component of the tasks. The study demonstrates that the group administration of span tasks does not compromise their psychometric characteristics. All the tasks had an adequate internal consistency with Cronbach’s αs equal to or above .70; the exception being all types of the symmetry span task absolute scores with α values close to .60. Furthermore, all tasks have satisfactory convergent construct validity as well as criterion validity estimated in relation to measures of fluid intelligence. Omitting the 85% accuracy criterion on the processing component of the span tasks did not impair their psychometric properties. Thus, it is recommended that researchers discard this accuracy criterion as a criterion for filtering the results for further statistical analyses.","container-title":"PLoS ONE","DOI":"10.1371/journal.pone.0205169","ISSN":"1932-6203","issue":"10","journalAbbreviation":"PLoS One","note":"PMID: 30307992\nPMCID: PMC6181321","source":"PubMed Central","title":"Working memory span tasks: Group administration and omitting accuracy criterion do not change metric characteristics","title-short":"Working memory span tasks","URL":"https://www.ncbi.nlm.nih.gov/pmc/articles/PMC6181321/","volume":"13","author":[{"family":"Đokić","given":"Ratko"},{"family":"Koso-Drljević","given":"Maida"},{"family":"Đapo","given":"Nermin"}],"accessed":{"date-parts":[["2019",12,25]]},"issued":{"date-parts":[["2018",10,11]]}},"label":"page"},{"id":3699,"uris":["http://zotero.org/users/2000143/items/EPQ6SBQG"],"uri":["http://zotero.org/users/2000143/items/EPQ6SBQG"],"itemData":{"id":3699,"type":"article-journal","abstract":"Previous research has identified several cognitive abilities that are important for multitasking, but few studies have attempted to measure a general multitasking ability using a diverse set of multitasks. In the final dataset, 534 young adult subjects completed measures of working memory (WM), attention control, fluid intelligence, and multitasking. Correlations, hierarchical regression analyses, confirmatory factor analyses, structural equation models, and relative weight analyses revealed several key findings. First, although the complex tasks used to assess multitasking differed greatly in their task characteristics and demands, a coherent construct specific to multitasking ability was identified. Second, the cognitive ability predictors accounted for substantial variance in the general multitasking construct, with WM and fluid intelligence accounting for the most multitasking variance compared to attention control. Third, the magnitude of the relationships among the cognitive abilities and multitasking varied as a function of the complexity and structure of the various multitasks assessed. Finally, structural equation models based on a multifaceted model of WM indicated that attention control and capacity fully mediated the WM and multitasking relationship. (PsycINFO Database Record","container-title":"Journal of Experimental Psychology. General","DOI":"10.1037/xge0000219","ISSN":"1939-2222","issue":"11","journalAbbreviation":"J Exp Psychol Gen","language":"eng","note":"PMID: 27797557","page":"1473-1492","source":"PubMed","title":"Cognitive predictors of a common multitasking ability: Contributions from working memory, attention control, and fluid intelligence","title-short":"Cognitive predictors of a common multitasking ability","volume":"145","author":[{"family":"Redick","given":"Thomas S."},{"family":"Shipstead","given":"Zach"},{"family":"Meier","given":"Matthew E."},{"family":"Montroy","given":"Janelle J."},{"family":"Hicks","given":"Kenny L."},{"family":"Unsworth","given":"Nash"},{"family":"Kane","given":"Michael J."},{"family":"Hambrick","given":"D. Zachary"},{"family":"Engle","given":"Randall W."}],"issued":{"date-parts":[["2016",11]]}},"label":"page"}],"schema":"https://github.com/citation-style-language/schema/raw/master/csl-citation.json"} </w:instrText>
      </w:r>
      <w:r w:rsidR="00755870">
        <w:rPr>
          <w:rFonts w:ascii="Times New Roman" w:hAnsi="Times New Roman" w:cs="Times New Roman"/>
        </w:rPr>
        <w:fldChar w:fldCharType="separate"/>
      </w:r>
      <w:r w:rsidR="00755870" w:rsidRPr="00755870">
        <w:rPr>
          <w:rFonts w:ascii="Times New Roman" w:hAnsi="Times New Roman" w:cs="Times New Roman"/>
          <w:szCs w:val="24"/>
        </w:rPr>
        <w:t xml:space="preserve">Đokić et al., </w:t>
      </w:r>
      <w:r w:rsidR="00755870">
        <w:rPr>
          <w:rFonts w:ascii="Times New Roman" w:hAnsi="Times New Roman" w:cs="Times New Roman"/>
          <w:szCs w:val="24"/>
        </w:rPr>
        <w:t>(</w:t>
      </w:r>
      <w:r w:rsidR="00755870" w:rsidRPr="00755870">
        <w:rPr>
          <w:rFonts w:ascii="Times New Roman" w:hAnsi="Times New Roman" w:cs="Times New Roman"/>
          <w:szCs w:val="24"/>
        </w:rPr>
        <w:t>2018</w:t>
      </w:r>
      <w:r w:rsidR="00755870">
        <w:rPr>
          <w:rFonts w:ascii="Times New Roman" w:hAnsi="Times New Roman" w:cs="Times New Roman"/>
          <w:szCs w:val="24"/>
        </w:rPr>
        <w:t>) and</w:t>
      </w:r>
      <w:r w:rsidR="00755870" w:rsidRPr="00755870">
        <w:rPr>
          <w:rFonts w:ascii="Times New Roman" w:hAnsi="Times New Roman" w:cs="Times New Roman"/>
          <w:szCs w:val="24"/>
        </w:rPr>
        <w:t xml:space="preserve"> Redick et al., </w:t>
      </w:r>
      <w:r w:rsidR="00755870">
        <w:rPr>
          <w:rFonts w:ascii="Times New Roman" w:hAnsi="Times New Roman" w:cs="Times New Roman"/>
          <w:szCs w:val="24"/>
        </w:rPr>
        <w:t>(</w:t>
      </w:r>
      <w:r w:rsidR="00755870" w:rsidRPr="00755870">
        <w:rPr>
          <w:rFonts w:ascii="Times New Roman" w:hAnsi="Times New Roman" w:cs="Times New Roman"/>
          <w:szCs w:val="24"/>
        </w:rPr>
        <w:t>2016)</w:t>
      </w:r>
      <w:r w:rsidR="00755870">
        <w:rPr>
          <w:rFonts w:ascii="Times New Roman" w:hAnsi="Times New Roman" w:cs="Times New Roman"/>
        </w:rPr>
        <w:fldChar w:fldCharType="end"/>
      </w:r>
      <w:r w:rsidR="00755870">
        <w:rPr>
          <w:rFonts w:ascii="Times New Roman" w:hAnsi="Times New Roman" w:cs="Times New Roman"/>
        </w:rPr>
        <w:t xml:space="preserve"> in which they </w:t>
      </w:r>
      <w:r w:rsidR="00747700">
        <w:rPr>
          <w:rFonts w:ascii="Times New Roman" w:hAnsi="Times New Roman" w:cs="Times New Roman"/>
        </w:rPr>
        <w:t xml:space="preserve">used </w:t>
      </w:r>
      <w:r w:rsidR="00B000CF">
        <w:rPr>
          <w:rFonts w:ascii="Times New Roman" w:hAnsi="Times New Roman" w:cs="Times New Roman"/>
        </w:rPr>
        <w:t>the</w:t>
      </w:r>
      <w:r w:rsidR="00747700">
        <w:rPr>
          <w:rFonts w:ascii="Times New Roman" w:hAnsi="Times New Roman" w:cs="Times New Roman"/>
        </w:rPr>
        <w:t xml:space="preserve"> </w:t>
      </w:r>
      <w:r w:rsidR="00B000CF">
        <w:rPr>
          <w:rFonts w:ascii="Times New Roman" w:hAnsi="Times New Roman" w:cs="Times New Roman"/>
        </w:rPr>
        <w:t xml:space="preserve">same </w:t>
      </w:r>
      <w:r w:rsidR="00747700">
        <w:rPr>
          <w:rFonts w:ascii="Times New Roman" w:hAnsi="Times New Roman" w:cs="Times New Roman"/>
        </w:rPr>
        <w:t>SWM task</w:t>
      </w:r>
      <w:r w:rsidR="00B000CF">
        <w:rPr>
          <w:rFonts w:ascii="Times New Roman" w:hAnsi="Times New Roman" w:cs="Times New Roman"/>
        </w:rPr>
        <w:t xml:space="preserve"> as in our study</w:t>
      </w:r>
      <w:r w:rsidR="00747700">
        <w:rPr>
          <w:rFonts w:ascii="Times New Roman" w:hAnsi="Times New Roman" w:cs="Times New Roman"/>
        </w:rPr>
        <w:t xml:space="preserve"> (symmetry span; with our gratitude to the Engle lab for sharing the code and stimuli for us to build directly on this prior work) to </w:t>
      </w:r>
      <w:r w:rsidR="00755870">
        <w:rPr>
          <w:rFonts w:ascii="Times New Roman" w:hAnsi="Times New Roman" w:cs="Times New Roman"/>
        </w:rPr>
        <w:t xml:space="preserve">show that the correlation between symmetry span and operation span is </w:t>
      </w:r>
      <w:r w:rsidR="007F61FE">
        <w:rPr>
          <w:rFonts w:ascii="Times New Roman" w:hAnsi="Times New Roman" w:cs="Times New Roman"/>
        </w:rPr>
        <w:t xml:space="preserve">on average </w:t>
      </w:r>
      <w:r w:rsidR="00755870">
        <w:rPr>
          <w:rFonts w:ascii="Times New Roman" w:hAnsi="Times New Roman" w:cs="Times New Roman"/>
        </w:rPr>
        <w:t>0.44</w:t>
      </w:r>
      <w:r w:rsidR="00747700">
        <w:rPr>
          <w:rFonts w:ascii="Times New Roman" w:hAnsi="Times New Roman" w:cs="Times New Roman"/>
        </w:rPr>
        <w:t xml:space="preserve"> (N</w:t>
      </w:r>
      <w:r w:rsidR="007D7C23">
        <w:rPr>
          <w:rFonts w:ascii="Times New Roman" w:hAnsi="Times New Roman" w:cs="Times New Roman"/>
        </w:rPr>
        <w:t xml:space="preserve"> &gt;</w:t>
      </w:r>
      <w:r w:rsidR="00747700">
        <w:rPr>
          <w:rFonts w:ascii="Times New Roman" w:hAnsi="Times New Roman" w:cs="Times New Roman"/>
        </w:rPr>
        <w:t>500</w:t>
      </w:r>
      <w:r w:rsidR="007D7C23">
        <w:rPr>
          <w:rFonts w:ascii="Times New Roman" w:hAnsi="Times New Roman" w:cs="Times New Roman"/>
        </w:rPr>
        <w:t xml:space="preserve"> in both studies</w:t>
      </w:r>
      <w:r w:rsidR="00747700">
        <w:rPr>
          <w:rFonts w:ascii="Times New Roman" w:hAnsi="Times New Roman" w:cs="Times New Roman"/>
        </w:rPr>
        <w:t>)</w:t>
      </w:r>
      <w:r w:rsidR="00755870">
        <w:rPr>
          <w:rFonts w:ascii="Times New Roman" w:hAnsi="Times New Roman" w:cs="Times New Roman"/>
        </w:rPr>
        <w:t>.</w:t>
      </w:r>
      <w:r w:rsidR="004B4004">
        <w:rPr>
          <w:rFonts w:ascii="Times New Roman" w:hAnsi="Times New Roman" w:cs="Times New Roman"/>
        </w:rPr>
        <w:t xml:space="preserve"> Similarly, Gf data are transformed to ensure that the correlation between SWM</w:t>
      </w:r>
      <w:r w:rsidR="0002240F">
        <w:rPr>
          <w:rFonts w:ascii="Times New Roman" w:hAnsi="Times New Roman" w:cs="Times New Roman"/>
        </w:rPr>
        <w:t xml:space="preserve"> (data from our study)</w:t>
      </w:r>
      <w:r w:rsidR="004B4004">
        <w:rPr>
          <w:rFonts w:ascii="Times New Roman" w:hAnsi="Times New Roman" w:cs="Times New Roman"/>
        </w:rPr>
        <w:t xml:space="preserve"> and </w:t>
      </w:r>
      <w:r w:rsidR="007C30A0">
        <w:rPr>
          <w:rFonts w:ascii="Times New Roman" w:hAnsi="Times New Roman" w:cs="Times New Roman"/>
        </w:rPr>
        <w:t>Gf</w:t>
      </w:r>
      <w:r w:rsidR="004B4004">
        <w:rPr>
          <w:rFonts w:ascii="Times New Roman" w:hAnsi="Times New Roman" w:cs="Times New Roman"/>
        </w:rPr>
        <w:t xml:space="preserve"> is 0.44</w:t>
      </w:r>
      <w:r w:rsidR="00931ADA">
        <w:rPr>
          <w:rFonts w:ascii="Times New Roman" w:hAnsi="Times New Roman" w:cs="Times New Roman"/>
        </w:rPr>
        <w:t xml:space="preserve"> exact</w:t>
      </w:r>
      <w:r w:rsidR="004B4004">
        <w:rPr>
          <w:rFonts w:ascii="Times New Roman" w:hAnsi="Times New Roman" w:cs="Times New Roman"/>
        </w:rPr>
        <w:t xml:space="preserve">. This correlation is also based on </w:t>
      </w:r>
      <w:r w:rsidR="004B4004">
        <w:rPr>
          <w:rFonts w:ascii="Times New Roman" w:hAnsi="Times New Roman" w:cs="Times New Roman"/>
        </w:rPr>
        <w:fldChar w:fldCharType="begin"/>
      </w:r>
      <w:r w:rsidR="00834719">
        <w:rPr>
          <w:rFonts w:ascii="Times New Roman" w:hAnsi="Times New Roman" w:cs="Times New Roman"/>
        </w:rPr>
        <w:instrText xml:space="preserve"> ADDIN ZOTERO_ITEM CSL_CITATION {"citationID":"U1Go6aGV","properties":{"formattedCitation":"(\\uc0\\u272{}oki\\uc0\\u263{} et al., 2018; Redick et al., 2016)","plainCitation":"(Đokić et al., 2018; Redick et al., 2016)","dontUpdate":true,"noteIndex":0},"citationItems":[{"id":3696,"uris":["http://zotero.org/users/2000143/items/SVH4JBYY"],"uri":["http://zotero.org/users/2000143/items/SVH4JBYY"],"itemData":{"id":3696,"type":"article-journal","abstract":"The study examined the psychometric characteristics of three automated working memory span tasks: operational, reading, and symmetry span task, administered in groups of participants. For each task, the metric characteristics of six scoring procedures were evaluated: partial, absolute, partial non-weighted, absolute non-weighted, partial weighted, and absolute weighted scoring. Metric characteristics of all measures were compared across two parallel analyses: with and without application of a typical 85% accuracy criterion on the processing component of the tasks. The study demonstrates that the group administration of span tasks does not compromise their psychometric characteristics. All the tasks had an adequate internal consistency with Cronbach’s αs equal to or above .70; the exception being all types of the symmetry span task absolute scores with α values close to .60. Furthermore, all tasks have satisfactory convergent construct validity as well as criterion validity estimated in relation to measures of fluid intelligence. Omitting the 85% accuracy criterion on the processing component of the span tasks did not impair their psychometric properties. Thus, it is recommended that researchers discard this accuracy criterion as a criterion for filtering the results for further statistical analyses.","container-title":"PLoS ONE","DOI":"10.1371/journal.pone.0205169","ISSN":"1932-6203","issue":"10","journalAbbreviation":"PLoS One","note":"PMID: 30307992\nPMCID: PMC6181321","source":"PubMed Central","title":"Working memory span tasks: Group administration and omitting accuracy criterion do not change metric characteristics","title-short":"Working memory span tasks","URL":"https://www.ncbi.nlm.nih.gov/pmc/articles/PMC6181321/","volume":"13","author":[{"family":"Đokić","given":"Ratko"},{"family":"Koso-Drljević","given":"Maida"},{"family":"Đapo","given":"Nermin"}],"accessed":{"date-parts":[["2019",12,25]]},"issued":{"date-parts":[["2018",10,11]]}},"label":"page"},{"id":3699,"uris":["http://zotero.org/users/2000143/items/EPQ6SBQG"],"uri":["http://zotero.org/users/2000143/items/EPQ6SBQG"],"itemData":{"id":3699,"type":"article-journal","abstract":"Previous research has identified several cognitive abilities that are important for multitasking, but few studies have attempted to measure a general multitasking ability using a diverse set of multitasks. In the final dataset, 534 young adult subjects completed measures of working memory (WM), attention control, fluid intelligence, and multitasking. Correlations, hierarchical regression analyses, confirmatory factor analyses, structural equation models, and relative weight analyses revealed several key findings. First, although the complex tasks used to assess multitasking differed greatly in their task characteristics and demands, a coherent construct specific to multitasking ability was identified. Second, the cognitive ability predictors accounted for substantial variance in the general multitasking construct, with WM and fluid intelligence accounting for the most multitasking variance compared to attention control. Third, the magnitude of the relationships among the cognitive abilities and multitasking varied as a function of the complexity and structure of the various multitasks assessed. Finally, structural equation models based on a multifaceted model of WM indicated that attention control and capacity fully mediated the WM and multitasking relationship. (PsycINFO Database Record","container-title":"Journal of Experimental Psychology. General","DOI":"10.1037/xge0000219","ISSN":"1939-2222","issue":"11","journalAbbreviation":"J Exp Psychol Gen","language":"eng","note":"PMID: 27797557","page":"1473-1492","source":"PubMed","title":"Cognitive predictors of a common multitasking ability: Contributions from working memory, attention control, and fluid intelligence","title-short":"Cognitive predictors of a common multitasking ability","volume":"145","author":[{"family":"Redick","given":"Thomas S."},{"family":"Shipstead","given":"Zach"},{"family":"Meier","given":"Matthew E."},{"family":"Montroy","given":"Janelle J."},{"family":"Hicks","given":"Kenny L."},{"family":"Unsworth","given":"Nash"},{"family":"Kane","given":"Michael J."},{"family":"Hambrick","given":"D. Zachary"},{"family":"Engle","given":"Randall W."}],"issued":{"date-parts":[["2016",11]]}},"label":"page"}],"schema":"https://github.com/citation-style-language/schema/raw/master/csl-citation.json"} </w:instrText>
      </w:r>
      <w:r w:rsidR="004B4004">
        <w:rPr>
          <w:rFonts w:ascii="Times New Roman" w:hAnsi="Times New Roman" w:cs="Times New Roman"/>
        </w:rPr>
        <w:fldChar w:fldCharType="separate"/>
      </w:r>
      <w:r w:rsidR="004B4004" w:rsidRPr="00755870">
        <w:rPr>
          <w:rFonts w:ascii="Times New Roman" w:hAnsi="Times New Roman" w:cs="Times New Roman"/>
          <w:szCs w:val="24"/>
        </w:rPr>
        <w:t xml:space="preserve">Đokić et al. </w:t>
      </w:r>
      <w:r w:rsidR="004B4004">
        <w:rPr>
          <w:rFonts w:ascii="Times New Roman" w:hAnsi="Times New Roman" w:cs="Times New Roman"/>
          <w:szCs w:val="24"/>
        </w:rPr>
        <w:t>(</w:t>
      </w:r>
      <w:r w:rsidR="004B4004" w:rsidRPr="00755870">
        <w:rPr>
          <w:rFonts w:ascii="Times New Roman" w:hAnsi="Times New Roman" w:cs="Times New Roman"/>
          <w:szCs w:val="24"/>
        </w:rPr>
        <w:t>2018</w:t>
      </w:r>
      <w:r w:rsidR="004B4004">
        <w:rPr>
          <w:rFonts w:ascii="Times New Roman" w:hAnsi="Times New Roman" w:cs="Times New Roman"/>
          <w:szCs w:val="24"/>
        </w:rPr>
        <w:t>) and</w:t>
      </w:r>
      <w:r w:rsidR="004B4004" w:rsidRPr="00755870">
        <w:rPr>
          <w:rFonts w:ascii="Times New Roman" w:hAnsi="Times New Roman" w:cs="Times New Roman"/>
          <w:szCs w:val="24"/>
        </w:rPr>
        <w:t xml:space="preserve"> Redick et al. </w:t>
      </w:r>
      <w:r w:rsidR="004B4004">
        <w:rPr>
          <w:rFonts w:ascii="Times New Roman" w:hAnsi="Times New Roman" w:cs="Times New Roman"/>
          <w:szCs w:val="24"/>
        </w:rPr>
        <w:t>(</w:t>
      </w:r>
      <w:r w:rsidR="004B4004" w:rsidRPr="00755870">
        <w:rPr>
          <w:rFonts w:ascii="Times New Roman" w:hAnsi="Times New Roman" w:cs="Times New Roman"/>
          <w:szCs w:val="24"/>
        </w:rPr>
        <w:t>2016)</w:t>
      </w:r>
      <w:r w:rsidR="004B4004">
        <w:rPr>
          <w:rFonts w:ascii="Times New Roman" w:hAnsi="Times New Roman" w:cs="Times New Roman"/>
        </w:rPr>
        <w:fldChar w:fldCharType="end"/>
      </w:r>
      <w:r w:rsidR="001B07C0">
        <w:rPr>
          <w:rFonts w:ascii="Times New Roman" w:hAnsi="Times New Roman" w:cs="Times New Roman"/>
        </w:rPr>
        <w:t xml:space="preserve"> using the Raven’s Progressive Test scores</w:t>
      </w:r>
      <w:r w:rsidR="00AB321D">
        <w:rPr>
          <w:rFonts w:ascii="Times New Roman" w:hAnsi="Times New Roman" w:cs="Times New Roman"/>
        </w:rPr>
        <w:t xml:space="preserve"> as a measure of Gf</w:t>
      </w:r>
      <w:r w:rsidR="001B07C0">
        <w:rPr>
          <w:rFonts w:ascii="Times New Roman" w:hAnsi="Times New Roman" w:cs="Times New Roman"/>
        </w:rPr>
        <w:t>.</w:t>
      </w:r>
    </w:p>
    <w:p w14:paraId="197C18DB" w14:textId="4AA80F24" w:rsidR="00954117" w:rsidRPr="007A3F25" w:rsidRDefault="007C30A0">
      <w:pPr>
        <w:pStyle w:val="ListParagraph"/>
        <w:numPr>
          <w:ilvl w:val="0"/>
          <w:numId w:val="1"/>
        </w:numPr>
        <w:spacing w:line="240" w:lineRule="auto"/>
        <w:rPr>
          <w:rFonts w:ascii="Times New Roman" w:hAnsi="Times New Roman" w:cs="Times New Roman"/>
        </w:rPr>
      </w:pPr>
      <w:r>
        <w:rPr>
          <w:rFonts w:ascii="Times New Roman" w:hAnsi="Times New Roman" w:cs="Times New Roman"/>
        </w:rPr>
        <w:t xml:space="preserve">Derive </w:t>
      </w:r>
      <w:r w:rsidR="00954117">
        <w:rPr>
          <w:rFonts w:ascii="Times New Roman" w:hAnsi="Times New Roman" w:cs="Times New Roman"/>
        </w:rPr>
        <w:t>a correlation matrix based on previous empirical findings</w:t>
      </w:r>
      <w:r w:rsidR="004B374C">
        <w:rPr>
          <w:rFonts w:ascii="Times New Roman" w:hAnsi="Times New Roman" w:cs="Times New Roman"/>
        </w:rPr>
        <w:t xml:space="preserve"> (</w:t>
      </w:r>
      <w:r w:rsidR="00AD5AF5">
        <w:rPr>
          <w:rFonts w:ascii="Times New Roman" w:hAnsi="Times New Roman" w:cs="Times New Roman"/>
        </w:rPr>
        <w:t>continued from</w:t>
      </w:r>
      <w:r w:rsidR="00B61868">
        <w:rPr>
          <w:rFonts w:ascii="Times New Roman" w:hAnsi="Times New Roman" w:cs="Times New Roman"/>
        </w:rPr>
        <w:t xml:space="preserve"> above, and visualized </w:t>
      </w:r>
      <w:r w:rsidR="004B374C">
        <w:rPr>
          <w:rFonts w:ascii="Times New Roman" w:hAnsi="Times New Roman" w:cs="Times New Roman"/>
        </w:rPr>
        <w:t>see below)</w:t>
      </w:r>
      <w:r w:rsidR="00954117">
        <w:rPr>
          <w:rFonts w:ascii="Times New Roman" w:hAnsi="Times New Roman" w:cs="Times New Roman"/>
        </w:rPr>
        <w:t xml:space="preserve">. </w:t>
      </w:r>
      <w:r w:rsidR="00AC2493">
        <w:rPr>
          <w:rFonts w:ascii="Times New Roman" w:hAnsi="Times New Roman" w:cs="Times New Roman"/>
        </w:rPr>
        <w:t>To define an empirically-based, non-arbitrary range for the distributions</w:t>
      </w:r>
      <w:r w:rsidR="007F61FE">
        <w:rPr>
          <w:rFonts w:ascii="Times New Roman" w:hAnsi="Times New Roman" w:cs="Times New Roman"/>
        </w:rPr>
        <w:t xml:space="preserve"> of correlations in this matrix</w:t>
      </w:r>
      <w:r w:rsidR="00AC2493">
        <w:rPr>
          <w:rFonts w:ascii="Times New Roman" w:hAnsi="Times New Roman" w:cs="Times New Roman"/>
        </w:rPr>
        <w:t xml:space="preserve">, </w:t>
      </w:r>
      <w:r w:rsidR="00946D31">
        <w:rPr>
          <w:rFonts w:ascii="Times New Roman" w:hAnsi="Times New Roman" w:cs="Times New Roman"/>
        </w:rPr>
        <w:t xml:space="preserve">we use </w:t>
      </w:r>
      <w:r w:rsidR="00656660">
        <w:rPr>
          <w:rFonts w:ascii="Times New Roman" w:hAnsi="Times New Roman" w:cs="Times New Roman"/>
        </w:rPr>
        <w:t xml:space="preserve">the </w:t>
      </w:r>
      <w:r w:rsidR="00946D31">
        <w:rPr>
          <w:rFonts w:ascii="Times New Roman" w:hAnsi="Times New Roman" w:cs="Times New Roman"/>
        </w:rPr>
        <w:t xml:space="preserve">95% confidence intervals of </w:t>
      </w:r>
      <w:r w:rsidR="003C6791">
        <w:rPr>
          <w:rFonts w:ascii="Times New Roman" w:hAnsi="Times New Roman" w:cs="Times New Roman"/>
        </w:rPr>
        <w:t xml:space="preserve">the published </w:t>
      </w:r>
      <w:r w:rsidR="00946D31">
        <w:rPr>
          <w:rFonts w:ascii="Times New Roman" w:hAnsi="Times New Roman" w:cs="Times New Roman"/>
        </w:rPr>
        <w:t>correlations (</w:t>
      </w:r>
      <w:r w:rsidR="00AC2493">
        <w:rPr>
          <w:rFonts w:ascii="Times New Roman" w:hAnsi="Times New Roman" w:cs="Times New Roman"/>
        </w:rPr>
        <w:t xml:space="preserve">shown </w:t>
      </w:r>
      <w:r w:rsidR="00946D31">
        <w:rPr>
          <w:rFonts w:ascii="Times New Roman" w:hAnsi="Times New Roman" w:cs="Times New Roman"/>
        </w:rPr>
        <w:t>in brackets</w:t>
      </w:r>
      <w:r w:rsidR="00656660">
        <w:rPr>
          <w:rFonts w:ascii="Times New Roman" w:hAnsi="Times New Roman" w:cs="Times New Roman"/>
        </w:rPr>
        <w:t xml:space="preserve"> in </w:t>
      </w:r>
      <w:r w:rsidR="003C6791">
        <w:rPr>
          <w:rFonts w:ascii="Times New Roman" w:hAnsi="Times New Roman" w:cs="Times New Roman"/>
        </w:rPr>
        <w:t xml:space="preserve">correlation matrix </w:t>
      </w:r>
      <w:r w:rsidR="00656660">
        <w:rPr>
          <w:rFonts w:ascii="Times New Roman" w:hAnsi="Times New Roman" w:cs="Times New Roman"/>
        </w:rPr>
        <w:t>below</w:t>
      </w:r>
      <w:r w:rsidR="00946D31">
        <w:rPr>
          <w:rFonts w:ascii="Times New Roman" w:hAnsi="Times New Roman" w:cs="Times New Roman"/>
        </w:rPr>
        <w:t xml:space="preserve">) between VWM and Gf, between spatial performance and VWM, </w:t>
      </w:r>
      <w:r w:rsidR="00E56FC8">
        <w:rPr>
          <w:rFonts w:ascii="Times New Roman" w:hAnsi="Times New Roman" w:cs="Times New Roman"/>
        </w:rPr>
        <w:t xml:space="preserve">and </w:t>
      </w:r>
      <w:r w:rsidR="00946D31">
        <w:rPr>
          <w:rFonts w:ascii="Times New Roman" w:hAnsi="Times New Roman" w:cs="Times New Roman"/>
        </w:rPr>
        <w:t xml:space="preserve">between spatial performance and Gf. </w:t>
      </w:r>
      <w:r w:rsidR="00931ADA">
        <w:rPr>
          <w:rFonts w:ascii="Times New Roman" w:hAnsi="Times New Roman" w:cs="Times New Roman"/>
        </w:rPr>
        <w:t>We use confidence intervals instead of exact values as in step 2</w:t>
      </w:r>
      <w:r w:rsidR="003C6791">
        <w:rPr>
          <w:rFonts w:ascii="Times New Roman" w:hAnsi="Times New Roman" w:cs="Times New Roman"/>
        </w:rPr>
        <w:t>,</w:t>
      </w:r>
      <w:r w:rsidR="00931ADA">
        <w:rPr>
          <w:rFonts w:ascii="Times New Roman" w:hAnsi="Times New Roman" w:cs="Times New Roman"/>
        </w:rPr>
        <w:t xml:space="preserve"> because </w:t>
      </w:r>
      <w:r w:rsidR="00946D31" w:rsidRPr="00656660">
        <w:rPr>
          <w:rFonts w:ascii="Times New Roman" w:hAnsi="Times New Roman" w:cs="Times New Roman"/>
        </w:rPr>
        <w:t xml:space="preserve">it is mathematically impossible to </w:t>
      </w:r>
      <w:r w:rsidR="00B37AC6">
        <w:rPr>
          <w:rFonts w:ascii="Times New Roman" w:hAnsi="Times New Roman" w:cs="Times New Roman"/>
        </w:rPr>
        <w:t>generate data with more than one pre-defined exact correlations</w:t>
      </w:r>
      <w:r w:rsidR="00357022">
        <w:rPr>
          <w:rFonts w:ascii="Times New Roman" w:hAnsi="Times New Roman" w:cs="Times New Roman"/>
        </w:rPr>
        <w:t xml:space="preserve"> with other variables</w:t>
      </w:r>
      <w:r w:rsidR="00931ADA" w:rsidRPr="00656660">
        <w:rPr>
          <w:rFonts w:ascii="Times New Roman" w:hAnsi="Times New Roman" w:cs="Times New Roman"/>
        </w:rPr>
        <w:t xml:space="preserve">. </w:t>
      </w:r>
      <w:r w:rsidR="003C6791">
        <w:rPr>
          <w:rFonts w:ascii="Times New Roman" w:hAnsi="Times New Roman" w:cs="Times New Roman"/>
        </w:rPr>
        <w:t>T</w:t>
      </w:r>
      <w:r w:rsidR="00954117" w:rsidRPr="00656660">
        <w:rPr>
          <w:rFonts w:ascii="Times New Roman" w:hAnsi="Times New Roman" w:cs="Times New Roman"/>
        </w:rPr>
        <w:t xml:space="preserve">he correlation and its 95% confidence intervals between VWM and spatial performance are estimated from </w:t>
      </w:r>
      <w:r w:rsidR="00954117" w:rsidRPr="00656660">
        <w:rPr>
          <w:rFonts w:ascii="Times New Roman" w:hAnsi="Times New Roman" w:cs="Times New Roman"/>
        </w:rPr>
        <w:fldChar w:fldCharType="begin"/>
      </w:r>
      <w:r w:rsidR="004B374C" w:rsidRPr="00656660">
        <w:rPr>
          <w:rFonts w:ascii="Times New Roman" w:hAnsi="Times New Roman" w:cs="Times New Roman"/>
        </w:rPr>
        <w:instrText xml:space="preserve"> ADDIN ZOTERO_ITEM CSL_CITATION {"citationID":"dClojbBd","properties":{"formattedCitation":"(Weisberg &amp; Newcombe, 2015)","plainCitation":"(Weisberg &amp; Newcombe, 2015)","dontUpdate":true,"noteIndex":0},"citationItems":[{"id":904,"uris":["http://zotero.org/users/2000143/items/HM9SIWGQ"],"uri":["http://zotero.org/users/2000143/items/HM9SIWGQ"],"itemData":{"id":904,"type":"article-journal","abstract":"Research on the existence of cognitive maps and on the cognitive processes that support effective navigation has often focused on functioning across individuals. However, there are pronounced individual differences in navigation proficiency, which need to be explained and which can illuminate our understanding of cognitive maps and effective navigation. Using a virtual environment involving 2 routes (Virtual Silcton, a desktop virtual environment; Weisberg, Schinazi, Newcombe, Shipley, &amp; Epstein, 2014), we divided people into 3 groups based on their within-route and between-route pointing accuracy: integrators, non-integrators, and imprecise navigators. In Study 1, we found that imprecise navigators have lower spatial and verbal working memory, which may limit their ability to build accurate within-route representations. We also found that integrators maintain excellent memories of buildings as categorized by route membership, possibly supporting the idea of hierarchical representations of the environment. In Study 2, we assessed preferences regarding place and route learning using a virtual version of the rodent T-maze (Marchette, Bakker, &amp; Shelton, 2011). Integrators found more goals overall, and although they did not have an overall preference for a place-based strategy, integrators who did choose a place-based strategy found more goals. The opposite was true for imprecise navigators. In Study 3, we added a monetary incentive for accuracy to evaluate whether increased motivation leads to fewer participants classified as imprecise, but found no significant change in the distribution of performance. These data have theoretical implications for the cognitive map hypothesis, and practical implications for improving navigational functioning. A one-size-fits-all approach may fit none.","container-title":"Journal of Experimental Psychology: Learning, Memory, and Cognition","DOI":"10.1037/xlm0000200","ISSN":"1939-1285(Electronic);0278-7393(Print)","page":"No Pagination Specified","source":"APA PsycNET","title":"How Do (Some) People Make a Cognitive Map? Routes, Places, and Working Memory","title-short":"How Do (Some) People Make a Cognitive Map?","author":[{"family":"Weisberg","given":"Steven M."},{"family":"Newcombe","given":"Nora S."}],"issued":{"date-parts":[["2015"]]}}}],"schema":"https://github.com/citation-style-language/schema/raw/master/csl-citation.json"} </w:instrText>
      </w:r>
      <w:r w:rsidR="00954117" w:rsidRPr="00656660">
        <w:rPr>
          <w:rFonts w:ascii="Times New Roman" w:hAnsi="Times New Roman" w:cs="Times New Roman"/>
        </w:rPr>
        <w:fldChar w:fldCharType="separate"/>
      </w:r>
      <w:r w:rsidR="00954117" w:rsidRPr="00656660">
        <w:rPr>
          <w:rFonts w:ascii="Times New Roman" w:hAnsi="Times New Roman" w:cs="Times New Roman"/>
        </w:rPr>
        <w:t>Weisberg and Newcombe (2015)</w:t>
      </w:r>
      <w:r w:rsidR="00954117" w:rsidRPr="00656660">
        <w:rPr>
          <w:rFonts w:ascii="Times New Roman" w:hAnsi="Times New Roman" w:cs="Times New Roman"/>
        </w:rPr>
        <w:fldChar w:fldCharType="end"/>
      </w:r>
      <w:r w:rsidR="00954117" w:rsidRPr="00656660">
        <w:rPr>
          <w:rFonts w:ascii="Times New Roman" w:hAnsi="Times New Roman" w:cs="Times New Roman"/>
        </w:rPr>
        <w:t xml:space="preserve">. </w:t>
      </w:r>
      <w:r w:rsidR="00954117" w:rsidRPr="007A3F25">
        <w:rPr>
          <w:rFonts w:ascii="Times New Roman" w:hAnsi="Times New Roman" w:cs="Times New Roman"/>
        </w:rPr>
        <w:t>Weisberg and Newcombe used a pointing task which was similar to our placing task</w:t>
      </w:r>
      <w:r w:rsidR="00BD00D3" w:rsidRPr="007A3F25">
        <w:rPr>
          <w:rFonts w:ascii="Times New Roman" w:hAnsi="Times New Roman" w:cs="Times New Roman"/>
        </w:rPr>
        <w:t>, and</w:t>
      </w:r>
      <w:r w:rsidR="007F61FE">
        <w:rPr>
          <w:rFonts w:ascii="Times New Roman" w:hAnsi="Times New Roman" w:cs="Times New Roman"/>
        </w:rPr>
        <w:t xml:space="preserve"> importantly</w:t>
      </w:r>
      <w:r w:rsidR="004B374C" w:rsidRPr="007A3F25">
        <w:rPr>
          <w:rFonts w:ascii="Times New Roman" w:hAnsi="Times New Roman" w:cs="Times New Roman"/>
        </w:rPr>
        <w:t xml:space="preserve"> </w:t>
      </w:r>
      <w:r w:rsidR="00BD00D3" w:rsidRPr="007A3F25">
        <w:rPr>
          <w:rFonts w:ascii="Times New Roman" w:hAnsi="Times New Roman" w:cs="Times New Roman"/>
        </w:rPr>
        <w:t>t</w:t>
      </w:r>
      <w:r w:rsidR="004B374C" w:rsidRPr="007A3F25">
        <w:rPr>
          <w:rFonts w:ascii="Times New Roman" w:hAnsi="Times New Roman" w:cs="Times New Roman"/>
        </w:rPr>
        <w:t xml:space="preserve">he correlation between SWM and </w:t>
      </w:r>
      <w:r w:rsidR="00D42B57" w:rsidRPr="007A3F25">
        <w:rPr>
          <w:rFonts w:ascii="Times New Roman" w:hAnsi="Times New Roman" w:cs="Times New Roman"/>
        </w:rPr>
        <w:t xml:space="preserve">the </w:t>
      </w:r>
      <w:r w:rsidR="00AD5AF5" w:rsidRPr="007A3F25">
        <w:rPr>
          <w:rFonts w:ascii="Times New Roman" w:hAnsi="Times New Roman" w:cs="Times New Roman"/>
        </w:rPr>
        <w:t>angular error</w:t>
      </w:r>
      <w:r w:rsidR="004B374C" w:rsidRPr="007A3F25">
        <w:rPr>
          <w:rFonts w:ascii="Times New Roman" w:hAnsi="Times New Roman" w:cs="Times New Roman"/>
        </w:rPr>
        <w:t xml:space="preserve"> </w:t>
      </w:r>
      <w:r w:rsidR="00D42B57" w:rsidRPr="007A3F25">
        <w:rPr>
          <w:rFonts w:ascii="Times New Roman" w:hAnsi="Times New Roman" w:cs="Times New Roman"/>
        </w:rPr>
        <w:t xml:space="preserve">in </w:t>
      </w:r>
      <w:r w:rsidR="004B374C" w:rsidRPr="007A3F25">
        <w:rPr>
          <w:rFonts w:ascii="Times New Roman" w:hAnsi="Times New Roman" w:cs="Times New Roman"/>
        </w:rPr>
        <w:t xml:space="preserve">Weisberg and Newcombe </w:t>
      </w:r>
      <w:r w:rsidR="00D42B57" w:rsidRPr="007A3F25">
        <w:rPr>
          <w:rFonts w:ascii="Times New Roman" w:hAnsi="Times New Roman" w:cs="Times New Roman"/>
        </w:rPr>
        <w:t>(</w:t>
      </w:r>
      <w:r w:rsidR="004B374C" w:rsidRPr="007A3F25">
        <w:rPr>
          <w:rFonts w:ascii="Times New Roman" w:hAnsi="Times New Roman" w:cs="Times New Roman"/>
        </w:rPr>
        <w:t>2015</w:t>
      </w:r>
      <w:r w:rsidR="00D42B57" w:rsidRPr="007A3F25">
        <w:rPr>
          <w:rFonts w:ascii="Times New Roman" w:hAnsi="Times New Roman" w:cs="Times New Roman"/>
        </w:rPr>
        <w:t xml:space="preserve">) is </w:t>
      </w:r>
      <w:r w:rsidR="00AD5AF5" w:rsidRPr="007A3F25">
        <w:rPr>
          <w:rFonts w:ascii="Times New Roman" w:hAnsi="Times New Roman" w:cs="Times New Roman"/>
        </w:rPr>
        <w:t>-</w:t>
      </w:r>
      <w:r w:rsidR="00D42B57" w:rsidRPr="007A3F25">
        <w:rPr>
          <w:rFonts w:ascii="Times New Roman" w:hAnsi="Times New Roman" w:cs="Times New Roman"/>
        </w:rPr>
        <w:t>0.30</w:t>
      </w:r>
      <w:r w:rsidR="00AD5AF5" w:rsidRPr="007A3F25">
        <w:rPr>
          <w:rFonts w:ascii="Times New Roman" w:hAnsi="Times New Roman" w:cs="Times New Roman"/>
        </w:rPr>
        <w:t>,</w:t>
      </w:r>
      <w:r w:rsidR="00AB321D" w:rsidRPr="007A3F25">
        <w:rPr>
          <w:rFonts w:ascii="Times New Roman" w:hAnsi="Times New Roman" w:cs="Times New Roman"/>
        </w:rPr>
        <w:t xml:space="preserve"> which </w:t>
      </w:r>
      <w:r w:rsidR="00BD00D3" w:rsidRPr="007A3F25">
        <w:rPr>
          <w:rFonts w:ascii="Times New Roman" w:hAnsi="Times New Roman" w:cs="Times New Roman"/>
        </w:rPr>
        <w:t xml:space="preserve">is </w:t>
      </w:r>
      <w:r w:rsidR="00BE09FB">
        <w:rPr>
          <w:rFonts w:ascii="Times New Roman" w:hAnsi="Times New Roman" w:cs="Times New Roman"/>
        </w:rPr>
        <w:t xml:space="preserve">highly </w:t>
      </w:r>
      <w:r w:rsidR="00BD00D3" w:rsidRPr="007A3F25">
        <w:rPr>
          <w:rFonts w:ascii="Times New Roman" w:hAnsi="Times New Roman" w:cs="Times New Roman"/>
        </w:rPr>
        <w:t xml:space="preserve">similar to ours (r = </w:t>
      </w:r>
      <w:r w:rsidR="00AD5AF5" w:rsidRPr="007A3F25">
        <w:rPr>
          <w:rFonts w:ascii="Times New Roman" w:hAnsi="Times New Roman" w:cs="Times New Roman"/>
        </w:rPr>
        <w:t>-</w:t>
      </w:r>
      <w:r w:rsidR="00BD00D3" w:rsidRPr="007A3F25">
        <w:rPr>
          <w:rFonts w:ascii="Times New Roman" w:hAnsi="Times New Roman" w:cs="Times New Roman"/>
        </w:rPr>
        <w:t>0.37 between SWM and the angular error of our first placing task)</w:t>
      </w:r>
      <w:r w:rsidR="004B374C" w:rsidRPr="007A3F25">
        <w:rPr>
          <w:rFonts w:ascii="Times New Roman" w:hAnsi="Times New Roman" w:cs="Times New Roman"/>
        </w:rPr>
        <w:t xml:space="preserve">. The correlation and 95% confidence interval between VWM and Gf are estimated from </w:t>
      </w:r>
      <w:r w:rsidR="004B374C" w:rsidRPr="007A3F25">
        <w:rPr>
          <w:rFonts w:ascii="Times New Roman" w:hAnsi="Times New Roman" w:cs="Times New Roman"/>
        </w:rPr>
        <w:fldChar w:fldCharType="begin"/>
      </w:r>
      <w:r w:rsidR="004B374C" w:rsidRPr="007A3F25">
        <w:rPr>
          <w:rFonts w:ascii="Times New Roman" w:hAnsi="Times New Roman" w:cs="Times New Roman"/>
        </w:rPr>
        <w:instrText xml:space="preserve"> ADDIN ZOTERO_ITEM CSL_CITATION {"citationID":"Aflvklga","properties":{"formattedCitation":"(\\uc0\\u272{}oki\\uc0\\u263{} et al., 2018; Redick et al., 2016)","plainCitation":"(Đokić et al., 2018; Redick et al., 2016)","dontUpdate":true,"noteIndex":0},"citationItems":[{"id":3696,"uris":["http://zotero.org/users/2000143/items/SVH4JBYY"],"uri":["http://zotero.org/users/2000143/items/SVH4JBYY"],"itemData":{"id":3696,"type":"article-journal","abstract":"The study examined the psychometric characteristics of three automated working memory span tasks: operational, reading, and symmetry span task, administered in groups of participants. For each task, the metric characteristics of six scoring procedures were evaluated: partial, absolute, partial non-weighted, absolute non-weighted, partial weighted, and absolute weighted scoring. Metric characteristics of all measures were compared across two parallel analyses: with and without application of a typical 85% accuracy criterion on the processing component of the tasks. The study demonstrates that the group administration of span tasks does not compromise their psychometric characteristics. All the tasks had an adequate internal consistency with Cronbach’s αs equal to or above .70; the exception being all types of the symmetry span task absolute scores with α values close to .60. Furthermore, all tasks have satisfactory convergent construct validity as well as criterion validity estimated in relation to measures of fluid intelligence. Omitting the 85% accuracy criterion on the processing component of the span tasks did not impair their psychometric properties. Thus, it is recommended that researchers discard this accuracy criterion as a criterion for filtering the results for further statistical analyses.","container-title":"PLoS ONE","DOI":"10.1371/journal.pone.0205169","ISSN":"1932-6203","issue":"10","journalAbbreviation":"PLoS One","note":"PMID: 30307992\nPMCID: PMC6181321","source":"PubMed Central","title":"Working memory span tasks: Group administration and omitting accuracy criterion do not change metric characteristics","title-short":"Working memory span tasks","URL":"https://www.ncbi.nlm.nih.gov/pmc/articles/PMC6181321/","volume":"13","author":[{"family":"Đokić","given":"Ratko"},{"family":"Koso-Drljević","given":"Maida"},{"family":"Đapo","given":"Nermin"}],"accessed":{"date-parts":[["2019",12,25]]},"issued":{"date-parts":[["2018",10,11]]}},"label":"page"},{"id":3699,"uris":["http://zotero.org/users/2000143/items/EPQ6SBQG"],"uri":["http://zotero.org/users/2000143/items/EPQ6SBQG"],"itemData":{"id":3699,"type":"article-journal","abstract":"Previous research has identified several cognitive abilities that are important for multitasking, but few studies have attempted to measure a general multitasking ability using a diverse set of multitasks. In the final dataset, 534 young adult subjects completed measures of working memory (WM), attention control, fluid intelligence, and multitasking. Correlations, hierarchical regression analyses, confirmatory factor analyses, structural equation models, and relative weight analyses revealed several key findings. First, although the complex tasks used to assess multitasking differed greatly in their task characteristics and demands, a coherent construct specific to multitasking ability was identified. Second, the cognitive ability predictors accounted for substantial variance in the general multitasking construct, with WM and fluid intelligence accounting for the most multitasking variance compared to attention control. Third, the magnitude of the relationships among the cognitive abilities and multitasking varied as a function of the complexity and structure of the various multitasks assessed. Finally, structural equation models based on a multifaceted model of WM indicated that attention control and capacity fully mediated the WM and multitasking relationship. (PsycINFO Database Record","container-title":"Journal of Experimental Psychology. General","DOI":"10.1037/xge0000219","ISSN":"1939-2222","issue":"11","journalAbbreviation":"J Exp Psychol Gen","language":"eng","note":"PMID: 27797557","page":"1473-1492","source":"PubMed","title":"Cognitive predictors of a common multitasking ability: Contributions from working memory, attention control, and fluid intelligence","title-short":"Cognitive predictors of a common multitasking ability","volume":"145","author":[{"family":"Redick","given":"Thomas S."},{"family":"Shipstead","given":"Zach"},{"family":"Meier","given":"Matthew E."},{"family":"Montroy","given":"Janelle J."},{"family":"Hicks","given":"Kenny L."},{"family":"Unsworth","given":"Nash"},{"family":"Kane","given":"Michael J."},{"family":"Hambrick","given":"D. Zachary"},{"family":"Engle","given":"Randall W."}],"issued":{"date-parts":[["2016",11]]}},"label":"page"}],"schema":"https://github.com/citation-style-language/schema/raw/master/csl-citation.json"} </w:instrText>
      </w:r>
      <w:r w:rsidR="004B374C" w:rsidRPr="007A3F25">
        <w:rPr>
          <w:rFonts w:ascii="Times New Roman" w:hAnsi="Times New Roman" w:cs="Times New Roman"/>
        </w:rPr>
        <w:fldChar w:fldCharType="separate"/>
      </w:r>
      <w:r w:rsidR="004B374C" w:rsidRPr="007A3F25">
        <w:rPr>
          <w:rFonts w:ascii="Times New Roman" w:hAnsi="Times New Roman" w:cs="Times New Roman"/>
          <w:szCs w:val="24"/>
        </w:rPr>
        <w:t>Đokić et al. (2018) and Redick et al. (2016)</w:t>
      </w:r>
      <w:r w:rsidR="004B374C" w:rsidRPr="007A3F25">
        <w:rPr>
          <w:rFonts w:ascii="Times New Roman" w:hAnsi="Times New Roman" w:cs="Times New Roman"/>
        </w:rPr>
        <w:fldChar w:fldCharType="end"/>
      </w:r>
      <w:r w:rsidR="004B374C" w:rsidRPr="007A3F25">
        <w:rPr>
          <w:rFonts w:ascii="Times New Roman" w:hAnsi="Times New Roman" w:cs="Times New Roman"/>
        </w:rPr>
        <w:t>.</w:t>
      </w:r>
      <w:r w:rsidR="004B374C" w:rsidRPr="007A3F25">
        <w:rPr>
          <w:rFonts w:ascii="Times New Roman" w:hAnsi="Times New Roman" w:cs="Times New Roman"/>
        </w:rPr>
        <w:fldChar w:fldCharType="begin"/>
      </w:r>
      <w:r w:rsidR="004B374C" w:rsidRPr="007A3F25">
        <w:rPr>
          <w:rFonts w:ascii="Times New Roman" w:hAnsi="Times New Roman" w:cs="Times New Roman"/>
        </w:rPr>
        <w:instrText xml:space="preserve"> ADDIN ZOTERO_ITEM CSL_CITATION {"citationID":"5TrZN5Wh","properties":{"formattedCitation":"(\\uc0\\u272{}oki\\uc0\\u263{} et al., 2018; Redick et al., 2016)","plainCitation":"(Đokić et al., 2018; Redick et al., 2016)","dontUpdate":true,"noteIndex":0},"citationItems":[{"id":3696,"uris":["http://zotero.org/users/2000143/items/SVH4JBYY"],"uri":["http://zotero.org/users/2000143/items/SVH4JBYY"],"itemData":{"id":3696,"type":"article-journal","abstract":"The study examined the psychometric characteristics of three automated working memory span tasks: operational, reading, and symmetry span task, administered in groups of participants. For each task, the metric characteristics of six scoring procedures were evaluated: partial, absolute, partial non-weighted, absolute non-weighted, partial weighted, and absolute weighted scoring. Metric characteristics of all measures were compared across two parallel analyses: with and without application of a typical 85% accuracy criterion on the processing component of the tasks. The study demonstrates that the group administration of span tasks does not compromise their psychometric characteristics. All the tasks had an adequate internal consistency with Cronbach’s αs equal to or above .70; the exception being all types of the symmetry span task absolute scores with α values close to .60. Furthermore, all tasks have satisfactory convergent construct validity as well as criterion validity estimated in relation to measures of fluid intelligence. Omitting the 85% accuracy criterion on the processing component of the span tasks did not impair their psychometric properties. Thus, it is recommended that researchers discard this accuracy criterion as a criterion for filtering the results for further statistical analyses.","container-title":"PLoS ONE","DOI":"10.1371/journal.pone.0205169","ISSN":"1932-6203","issue":"10","journalAbbreviation":"PLoS One","note":"PMID: 30307992\nPMCID: PMC6181321","source":"PubMed Central","title":"Working memory span tasks: Group administration and omitting accuracy criterion do not change metric characteristics","title-short":"Working memory span tasks","URL":"https://www.ncbi.nlm.nih.gov/pmc/articles/PMC6181321/","volume":"13","author":[{"family":"Đokić","given":"Ratko"},{"family":"Koso-Drljević","given":"Maida"},{"family":"Đapo","given":"Nermin"}],"accessed":{"date-parts":[["2019",12,25]]},"issued":{"date-parts":[["2018",10,11]]}},"label":"page"},{"id":3699,"uris":["http://zotero.org/users/2000143/items/EPQ6SBQG"],"uri":["http://zotero.org/users/2000143/items/EPQ6SBQG"],"itemData":{"id":3699,"type":"article-journal","abstract":"Previous research has identified several cognitive abilities that are important for multitasking, but few studies have attempted to measure a general multitasking ability using a diverse set of multitasks. In the final dataset, 534 young adult subjects completed measures of working memory (WM), attention control, fluid intelligence, and multitasking. Correlations, hierarchical regression analyses, confirmatory factor analyses, structural equation models, and relative weight analyses revealed several key findings. First, although the complex tasks used to assess multitasking differed greatly in their task characteristics and demands, a coherent construct specific to multitasking ability was identified. Second, the cognitive ability predictors accounted for substantial variance in the general multitasking construct, with WM and fluid intelligence accounting for the most multitasking variance compared to attention control. Third, the magnitude of the relationships among the cognitive abilities and multitasking varied as a function of the complexity and structure of the various multitasks assessed. Finally, structural equation models based on a multifaceted model of WM indicated that attention control and capacity fully mediated the WM and multitasking relationship. (PsycINFO Database Record","container-title":"Journal of Experimental Psychology. General","DOI":"10.1037/xge0000219","ISSN":"1939-2222","issue":"11","journalAbbreviation":"J Exp Psychol Gen","language":"eng","note":"PMID: 27797557","page":"1473-1492","source":"PubMed","title":"Cognitive predictors of a common multitasking ability: Contributions from working memory, attention control, and fluid intelligence","title-short":"Cognitive predictors of a common multitasking ability","volume":"145","author":[{"family":"Redick","given":"Thomas S."},{"family":"Shipstead","given":"Zach"},{"family":"Meier","given":"Matthew E."},{"family":"Montroy","given":"Janelle J."},{"family":"Hicks","given":"Kenny L."},{"family":"Unsworth","given":"Nash"},{"family":"Kane","given":"Michael J."},{"family":"Hambrick","given":"D. Zachary"},{"family":"Engle","given":"Randall W."}],"issued":{"date-parts":[["2016",11]]}},"label":"page"}],"schema":"https://github.com/citation-style-language/schema/raw/master/csl-citation.json"} </w:instrText>
      </w:r>
      <w:r w:rsidR="004B374C" w:rsidRPr="007A3F25">
        <w:rPr>
          <w:rFonts w:ascii="Times New Roman" w:hAnsi="Times New Roman" w:cs="Times New Roman"/>
        </w:rPr>
        <w:fldChar w:fldCharType="end"/>
      </w:r>
      <w:r w:rsidR="004B374C" w:rsidRPr="007A3F25">
        <w:rPr>
          <w:rFonts w:ascii="Times New Roman" w:hAnsi="Times New Roman" w:cs="Times New Roman"/>
        </w:rPr>
        <w:t xml:space="preserve"> </w:t>
      </w:r>
      <w:r w:rsidR="007A3F25" w:rsidRPr="00656660">
        <w:rPr>
          <w:rFonts w:ascii="Times New Roman" w:hAnsi="Times New Roman" w:cs="Times New Roman"/>
        </w:rPr>
        <w:t>Note that</w:t>
      </w:r>
      <w:r w:rsidR="007A3F25">
        <w:rPr>
          <w:rFonts w:ascii="Times New Roman" w:hAnsi="Times New Roman" w:cs="Times New Roman"/>
        </w:rPr>
        <w:t xml:space="preserve"> we use the SWM-VWM correlations from </w:t>
      </w:r>
      <w:r w:rsidR="007A3F25" w:rsidRPr="00656660">
        <w:rPr>
          <w:rFonts w:ascii="Times New Roman" w:hAnsi="Times New Roman" w:cs="Times New Roman"/>
        </w:rPr>
        <w:fldChar w:fldCharType="begin"/>
      </w:r>
      <w:r w:rsidR="007A3F25">
        <w:rPr>
          <w:rFonts w:ascii="Times New Roman" w:hAnsi="Times New Roman" w:cs="Times New Roman"/>
        </w:rPr>
        <w:instrText xml:space="preserve"> ADDIN ZOTERO_ITEM CSL_CITATION {"citationID":"r1Ptu3Ig","properties":{"formattedCitation":"(\\uc0\\u272{}oki\\uc0\\u263{} et al., 2018; Redick et al., 2016)","plainCitation":"(Đokić et al., 2018; Redick et al., 2016)","dontUpdate":true,"noteIndex":0},"citationItems":[{"id":3696,"uris":["http://zotero.org/users/2000143/items/SVH4JBYY"],"uri":["http://zotero.org/users/2000143/items/SVH4JBYY"],"itemData":{"id":3696,"type":"article-journal","abstract":"The study examined the psychometric characteristics of three automated working memory span tasks: operational, reading, and symmetry span task, administered in groups of participants. For each task, the metric characteristics of six scoring procedures were evaluated: partial, absolute, partial non-weighted, absolute non-weighted, partial weighted, and absolute weighted scoring. Metric characteristics of all measures were compared across two parallel analyses: with and without application of a typical 85% accuracy criterion on the processing component of the tasks. The study demonstrates that the group administration of span tasks does not compromise their psychometric characteristics. All the tasks had an adequate internal consistency with Cronbach’s αs equal to or above .70; the exception being all types of the symmetry span task absolute scores with α values close to .60. Furthermore, all tasks have satisfactory convergent construct validity as well as criterion validity estimated in relation to measures of fluid intelligence. Omitting the 85% accuracy criterion on the processing component of the span tasks did not impair their psychometric properties. Thus, it is recommended that researchers discard this accuracy criterion as a criterion for filtering the results for further statistical analyses.","container-title":"PLoS ONE","DOI":"10.1371/journal.pone.0205169","ISSN":"1932-6203","issue":"10","journalAbbreviation":"PLoS One","note":"PMID: 30307992\nPMCID: PMC6181321","source":"PubMed Central","title":"Working memory span tasks: Group administration and omitting accuracy criterion do not change metric characteristics","title-short":"Working memory span tasks","URL":"https://www.ncbi.nlm.nih.gov/pmc/articles/PMC6181321/","volume":"13","author":[{"family":"Đokić","given":"Ratko"},{"family":"Koso-Drljević","given":"Maida"},{"family":"Đapo","given":"Nermin"}],"accessed":{"date-parts":[["2019",12,25]]},"issued":{"date-parts":[["2018",10,11]]}},"label":"page"},{"id":3699,"uris":["http://zotero.org/users/2000143/items/EPQ6SBQG"],"uri":["http://zotero.org/users/2000143/items/EPQ6SBQG"],"itemData":{"id":3699,"type":"article-journal","abstract":"Previous research has identified several cognitive abilities that are important for multitasking, but few studies have attempted to measure a general multitasking ability using a diverse set of multitasks. In the final dataset, 534 young adult subjects completed measures of working memory (WM), attention control, fluid intelligence, and multitasking. Correlations, hierarchical regression analyses, confirmatory factor analyses, structural equation models, and relative weight analyses revealed several key findings. First, although the complex tasks used to assess multitasking differed greatly in their task characteristics and demands, a coherent construct specific to multitasking ability was identified. Second, the cognitive ability predictors accounted for substantial variance in the general multitasking construct, with WM and fluid intelligence accounting for the most multitasking variance compared to attention control. Third, the magnitude of the relationships among the cognitive abilities and multitasking varied as a function of the complexity and structure of the various multitasks assessed. Finally, structural equation models based on a multifaceted model of WM indicated that attention control and capacity fully mediated the WM and multitasking relationship. (PsycINFO Database Record","container-title":"Journal of Experimental Psychology. General","DOI":"10.1037/xge0000219","ISSN":"1939-2222","issue":"11","journalAbbreviation":"J Exp Psychol Gen","language":"eng","note":"PMID: 27797557","page":"1473-1492","source":"PubMed","title":"Cognitive predictors of a common multitasking ability: Contributions from working memory, attention control, and fluid intelligence","title-short":"Cognitive predictors of a common multitasking ability","volume":"145","author":[{"family":"Redick","given":"Thomas S."},{"family":"Shipstead","given":"Zach"},{"family":"Meier","given":"Matthew E."},{"family":"Montroy","given":"Janelle J."},{"family":"Hicks","given":"Kenny L."},{"family":"Unsworth","given":"Nash"},{"family":"Kane","given":"Michael J."},{"family":"Hambrick","given":"D. Zachary"},{"family":"Engle","given":"Randall W."}],"issued":{"date-parts":[["2016",11]]}},"label":"page"}],"schema":"https://github.com/citation-style-language/schema/raw/master/csl-citation.json"} </w:instrText>
      </w:r>
      <w:r w:rsidR="007A3F25" w:rsidRPr="00656660">
        <w:rPr>
          <w:rFonts w:ascii="Times New Roman" w:hAnsi="Times New Roman" w:cs="Times New Roman"/>
        </w:rPr>
        <w:fldChar w:fldCharType="separate"/>
      </w:r>
      <w:r w:rsidR="007A3F25" w:rsidRPr="00656660">
        <w:rPr>
          <w:rFonts w:ascii="Times New Roman" w:hAnsi="Times New Roman" w:cs="Times New Roman"/>
          <w:szCs w:val="24"/>
        </w:rPr>
        <w:t>Đokić et al. (2018) and Redick et al. (2016)</w:t>
      </w:r>
      <w:r w:rsidR="007A3F25" w:rsidRPr="00656660">
        <w:rPr>
          <w:rFonts w:ascii="Times New Roman" w:hAnsi="Times New Roman" w:cs="Times New Roman"/>
        </w:rPr>
        <w:fldChar w:fldCharType="end"/>
      </w:r>
      <w:r w:rsidR="007A3F25">
        <w:rPr>
          <w:rFonts w:ascii="Times New Roman" w:hAnsi="Times New Roman" w:cs="Times New Roman"/>
        </w:rPr>
        <w:t xml:space="preserve"> due to their larger sample size, but</w:t>
      </w:r>
      <w:r w:rsidR="007A3F25" w:rsidRPr="00656660">
        <w:rPr>
          <w:rFonts w:ascii="Times New Roman" w:hAnsi="Times New Roman" w:cs="Times New Roman"/>
        </w:rPr>
        <w:t xml:space="preserve"> </w:t>
      </w:r>
      <w:r w:rsidR="007A3F25" w:rsidRPr="00656660">
        <w:rPr>
          <w:rFonts w:ascii="Times New Roman" w:hAnsi="Times New Roman" w:cs="Times New Roman"/>
        </w:rPr>
        <w:fldChar w:fldCharType="begin"/>
      </w:r>
      <w:r w:rsidR="007A3F25" w:rsidRPr="00656660">
        <w:rPr>
          <w:rFonts w:ascii="Times New Roman" w:hAnsi="Times New Roman" w:cs="Times New Roman"/>
        </w:rPr>
        <w:instrText xml:space="preserve"> ADDIN ZOTERO_ITEM CSL_CITATION {"citationID":"Q7XLzGuF","properties":{"formattedCitation":"(Weisberg &amp; Newcombe, 2015)","plainCitation":"(Weisberg &amp; Newcombe, 2015)","dontUpdate":true,"noteIndex":0},"citationItems":[{"id":904,"uris":["http://zotero.org/users/2000143/items/HM9SIWGQ"],"uri":["http://zotero.org/users/2000143/items/HM9SIWGQ"],"itemData":{"id":904,"type":"article-journal","abstract":"Research on the existence of cognitive maps and on the cognitive processes that support effective navigation has often focused on functioning across individuals. However, there are pronounced individual differences in navigation proficiency, which need to be explained and which can illuminate our understanding of cognitive maps and effective navigation. Using a virtual environment involving 2 routes (Virtual Silcton, a desktop virtual environment; Weisberg, Schinazi, Newcombe, Shipley, &amp; Epstein, 2014), we divided people into 3 groups based on their within-route and between-route pointing accuracy: integrators, non-integrators, and imprecise navigators. In Study 1, we found that imprecise navigators have lower spatial and verbal working memory, which may limit their ability to build accurate within-route representations. We also found that integrators maintain excellent memories of buildings as categorized by route membership, possibly supporting the idea of hierarchical representations of the environment. In Study 2, we assessed preferences regarding place and route learning using a virtual version of the rodent T-maze (Marchette, Bakker, &amp; Shelton, 2011). Integrators found more goals overall, and although they did not have an overall preference for a place-based strategy, integrators who did choose a place-based strategy found more goals. The opposite was true for imprecise navigators. In Study 3, we added a monetary incentive for accuracy to evaluate whether increased motivation leads to fewer participants classified as imprecise, but found no significant change in the distribution of performance. These data have theoretical implications for the cognitive map hypothesis, and practical implications for improving navigational functioning. A one-size-fits-all approach may fit none.","container-title":"Journal of Experimental Psychology: Learning, Memory, and Cognition","DOI":"10.1037/xlm0000200","ISSN":"1939-1285(Electronic);0278-7393(Print)","page":"No Pagination Specified","source":"APA PsycNET","title":"How Do (Some) People Make a Cognitive Map? Routes, Places, and Working Memory","title-short":"How Do (Some) People Make a Cognitive Map?","author":[{"family":"Weisberg","given":"Steven M."},{"family":"Newcombe","given":"Nora S."}],"issued":{"date-parts":[["2015"]]}}}],"schema":"https://github.com/citation-style-language/schema/raw/master/csl-citation.json"} </w:instrText>
      </w:r>
      <w:r w:rsidR="007A3F25" w:rsidRPr="00656660">
        <w:rPr>
          <w:rFonts w:ascii="Times New Roman" w:hAnsi="Times New Roman" w:cs="Times New Roman"/>
        </w:rPr>
        <w:fldChar w:fldCharType="separate"/>
      </w:r>
      <w:r w:rsidR="007A3F25" w:rsidRPr="00656660">
        <w:rPr>
          <w:rFonts w:ascii="Times New Roman" w:hAnsi="Times New Roman" w:cs="Times New Roman"/>
        </w:rPr>
        <w:t>Weisberg and Newcombe (2015)</w:t>
      </w:r>
      <w:r w:rsidR="007A3F25" w:rsidRPr="00656660">
        <w:rPr>
          <w:rFonts w:ascii="Times New Roman" w:hAnsi="Times New Roman" w:cs="Times New Roman"/>
        </w:rPr>
        <w:fldChar w:fldCharType="end"/>
      </w:r>
      <w:r w:rsidR="007A3F25" w:rsidRPr="00656660">
        <w:rPr>
          <w:rFonts w:ascii="Times New Roman" w:hAnsi="Times New Roman" w:cs="Times New Roman"/>
        </w:rPr>
        <w:t xml:space="preserve"> also used the symmetry span task to measure SWM and the operation span task to measure VWM, </w:t>
      </w:r>
      <w:r w:rsidR="007A3F25">
        <w:rPr>
          <w:rFonts w:ascii="Times New Roman" w:hAnsi="Times New Roman" w:cs="Times New Roman"/>
        </w:rPr>
        <w:t>and the relationship replicates</w:t>
      </w:r>
      <w:r w:rsidR="007F61FE">
        <w:rPr>
          <w:rFonts w:ascii="Times New Roman" w:hAnsi="Times New Roman" w:cs="Times New Roman"/>
        </w:rPr>
        <w:t>,</w:t>
      </w:r>
      <w:r w:rsidR="007A3F25">
        <w:rPr>
          <w:rFonts w:ascii="Times New Roman" w:hAnsi="Times New Roman" w:cs="Times New Roman"/>
        </w:rPr>
        <w:t xml:space="preserve"> with 0.44 falling within </w:t>
      </w:r>
      <w:r w:rsidR="007F61FE">
        <w:rPr>
          <w:rFonts w:ascii="Times New Roman" w:hAnsi="Times New Roman" w:cs="Times New Roman"/>
        </w:rPr>
        <w:t>Weisberg and Newcombe’s</w:t>
      </w:r>
      <w:r w:rsidR="007A3F25">
        <w:rPr>
          <w:rFonts w:ascii="Times New Roman" w:hAnsi="Times New Roman" w:cs="Times New Roman"/>
        </w:rPr>
        <w:t xml:space="preserve"> </w:t>
      </w:r>
      <w:r w:rsidR="007A3F25" w:rsidRPr="00656660">
        <w:rPr>
          <w:rFonts w:ascii="Times New Roman" w:hAnsi="Times New Roman" w:cs="Times New Roman"/>
        </w:rPr>
        <w:t>95% CI = [0.40, 0.70]</w:t>
      </w:r>
      <w:r w:rsidR="007A3F25">
        <w:rPr>
          <w:rFonts w:ascii="Times New Roman" w:hAnsi="Times New Roman" w:cs="Times New Roman"/>
        </w:rPr>
        <w:t xml:space="preserve"> (n = 76)</w:t>
      </w:r>
      <w:r w:rsidR="007A3F25" w:rsidRPr="00656660">
        <w:rPr>
          <w:rFonts w:ascii="Times New Roman" w:hAnsi="Times New Roman" w:cs="Times New Roman"/>
        </w:rPr>
        <w:t>.</w:t>
      </w:r>
      <w:r w:rsidR="007A3F25" w:rsidRPr="007A3F25">
        <w:rPr>
          <w:rFonts w:ascii="Times New Roman" w:hAnsi="Times New Roman" w:cs="Times New Roman"/>
        </w:rPr>
        <w:t xml:space="preserve"> </w:t>
      </w:r>
      <w:r w:rsidR="007F61FE">
        <w:rPr>
          <w:rFonts w:ascii="Times New Roman" w:hAnsi="Times New Roman" w:cs="Times New Roman"/>
        </w:rPr>
        <w:t>Finally, t</w:t>
      </w:r>
      <w:r w:rsidR="004B374C" w:rsidRPr="007A3F25">
        <w:rPr>
          <w:rFonts w:ascii="Times New Roman" w:hAnsi="Times New Roman" w:cs="Times New Roman"/>
        </w:rPr>
        <w:t xml:space="preserve">he correlation and 95% confidence interval between spatial performance and Gf are estimated from </w:t>
      </w:r>
      <w:r w:rsidR="004B374C" w:rsidRPr="007A3F25">
        <w:rPr>
          <w:rFonts w:ascii="Times New Roman" w:hAnsi="Times New Roman" w:cs="Times New Roman"/>
        </w:rPr>
        <w:fldChar w:fldCharType="begin"/>
      </w:r>
      <w:r w:rsidR="00183367">
        <w:rPr>
          <w:rFonts w:ascii="Times New Roman" w:hAnsi="Times New Roman" w:cs="Times New Roman"/>
        </w:rPr>
        <w:instrText xml:space="preserve"> ADDIN ZOTERO_ITEM CSL_CITATION {"citationID":"Hd4tXzY1","properties":{"formattedCitation":"(Silverman et al., 2000)","plainCitation":"(Silverman et al., 2000)","dontUpdate":true,"noteIndex":0},"citationItems":[{"id":3690,"uris":["http://zotero.org/users/2000143/items/PRTRYNRE"],"uri":["http://zotero.org/users/2000143/items/PRTRYNRE"],"itemData":{"id":3690,"type":"article-journal","abstract":"Based on Silverman and Eals' hunter-gatherer theory of the origin of sex-specific spatial attributes, the present research sought to identify the evolved mechanisms involved in hunting that contribute to the dimorphism. The focus of these studies was the relationship between three-dimensional mental rotations, the spatial test showing the largest and most reliable sex difference favoring males, and wayfinding in the woods. Space constancy was presumed to be the evolved mechanism fundamental to both of these abilities. Measures of wayfinding were derived by leading subjects individually on a circuitous route through a wooded area, during which they were stopped at prescribed places and required to set an arrow pointing in the direction the walk began. As well, subjects were eventually required to lead the experimenters back to the starting point by the most direct route. In support of the hypotheses, males excelled on the various measures of wayfinding, and wayfinding was significantly related across sexes to mental rotations scores but not to nonrotational spatial abilities or general intelligence.","container-title":"Evolution and Human Behavior: Official Journal of the Human Behavior and Evolution Society","DOI":"10.1016/s1090-5138(00)00036-2","ISSN":"1090-5138","issue":"3","journalAbbreviation":"Evol. Hum. Behav.","language":"eng","note":"PMID: 10828558","page":"201-213","source":"PubMed","title":"Evolved mechanisms underlying wayfinding. further studies on the hunter-gatherer theory of spatial sex differences","volume":"21","author":[{"family":"Silverman","given":"null"},{"family":"Choi","given":"null"},{"family":"Mackewn","given":"null"},{"family":"Fisher","given":"null"},{"family":"Moro","given":"null"},{"family":"Olshansky","given":"null"}],"issued":{"date-parts":[["2000",5,1]]}}}],"schema":"https://github.com/citation-style-language/schema/raw/master/csl-citation.json"} </w:instrText>
      </w:r>
      <w:r w:rsidR="004B374C" w:rsidRPr="007A3F25">
        <w:rPr>
          <w:rFonts w:ascii="Times New Roman" w:hAnsi="Times New Roman" w:cs="Times New Roman"/>
        </w:rPr>
        <w:fldChar w:fldCharType="separate"/>
      </w:r>
      <w:r w:rsidR="004B374C" w:rsidRPr="007A3F25">
        <w:rPr>
          <w:rFonts w:ascii="Times New Roman" w:hAnsi="Times New Roman" w:cs="Times New Roman"/>
        </w:rPr>
        <w:t>Silverman et al. (2000)</w:t>
      </w:r>
      <w:r w:rsidR="004B374C" w:rsidRPr="007A3F25">
        <w:rPr>
          <w:rFonts w:ascii="Times New Roman" w:hAnsi="Times New Roman" w:cs="Times New Roman"/>
        </w:rPr>
        <w:fldChar w:fldCharType="end"/>
      </w:r>
      <w:r w:rsidR="001B07C0" w:rsidRPr="007A3F25">
        <w:rPr>
          <w:rFonts w:ascii="Times New Roman" w:hAnsi="Times New Roman" w:cs="Times New Roman"/>
        </w:rPr>
        <w:t>, which the authors also used Raven’s Progressive Test to reflect Gf.</w:t>
      </w:r>
    </w:p>
    <w:tbl>
      <w:tblPr>
        <w:tblW w:w="12820" w:type="dxa"/>
        <w:tblInd w:w="-1727" w:type="dxa"/>
        <w:tblLook w:val="04A0" w:firstRow="1" w:lastRow="0" w:firstColumn="1" w:lastColumn="0" w:noHBand="0" w:noVBand="1"/>
      </w:tblPr>
      <w:tblGrid>
        <w:gridCol w:w="3631"/>
        <w:gridCol w:w="2206"/>
        <w:gridCol w:w="1862"/>
        <w:gridCol w:w="1490"/>
        <w:gridCol w:w="3631"/>
      </w:tblGrid>
      <w:tr w:rsidR="002A3B45" w:rsidRPr="002A3B45" w14:paraId="5091BC47" w14:textId="77777777" w:rsidTr="002A3B45">
        <w:trPr>
          <w:trHeight w:val="300"/>
        </w:trPr>
        <w:tc>
          <w:tcPr>
            <w:tcW w:w="12820" w:type="dxa"/>
            <w:gridSpan w:val="5"/>
            <w:tcBorders>
              <w:top w:val="single" w:sz="8" w:space="0" w:color="auto"/>
              <w:left w:val="nil"/>
              <w:bottom w:val="single" w:sz="8" w:space="0" w:color="auto"/>
              <w:right w:val="nil"/>
            </w:tcBorders>
            <w:shd w:val="clear" w:color="auto" w:fill="auto"/>
            <w:noWrap/>
            <w:vAlign w:val="center"/>
            <w:hideMark/>
          </w:tcPr>
          <w:p w14:paraId="12BBFAD0" w14:textId="77777777" w:rsidR="002A3B45" w:rsidRPr="002A3B45" w:rsidRDefault="002A3B45" w:rsidP="002A3B45">
            <w:pPr>
              <w:spacing w:after="0" w:line="240" w:lineRule="auto"/>
              <w:jc w:val="center"/>
              <w:rPr>
                <w:rFonts w:ascii="Times New Roman" w:eastAsia="Times New Roman" w:hAnsi="Times New Roman" w:cs="Times New Roman"/>
                <w:b/>
                <w:bCs/>
                <w:color w:val="000000"/>
                <w:sz w:val="20"/>
                <w:szCs w:val="20"/>
              </w:rPr>
            </w:pPr>
            <w:r w:rsidRPr="002A3B45">
              <w:rPr>
                <w:rFonts w:ascii="Times New Roman" w:eastAsia="Times New Roman" w:hAnsi="Times New Roman" w:cs="Times New Roman"/>
                <w:b/>
                <w:bCs/>
                <w:color w:val="000000"/>
                <w:sz w:val="20"/>
                <w:szCs w:val="20"/>
              </w:rPr>
              <w:t>Derived Matrix</w:t>
            </w:r>
          </w:p>
        </w:tc>
      </w:tr>
      <w:tr w:rsidR="002A3B45" w:rsidRPr="002A3B45" w14:paraId="38B105E6" w14:textId="77777777" w:rsidTr="002A3B45">
        <w:trPr>
          <w:trHeight w:val="300"/>
        </w:trPr>
        <w:tc>
          <w:tcPr>
            <w:tcW w:w="3631" w:type="dxa"/>
            <w:tcBorders>
              <w:top w:val="nil"/>
              <w:left w:val="nil"/>
              <w:bottom w:val="single" w:sz="8" w:space="0" w:color="auto"/>
              <w:right w:val="nil"/>
            </w:tcBorders>
            <w:shd w:val="clear" w:color="auto" w:fill="auto"/>
            <w:noWrap/>
            <w:vAlign w:val="center"/>
            <w:hideMark/>
          </w:tcPr>
          <w:p w14:paraId="01F0CAE9"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 </w:t>
            </w:r>
          </w:p>
        </w:tc>
        <w:tc>
          <w:tcPr>
            <w:tcW w:w="2206" w:type="dxa"/>
            <w:tcBorders>
              <w:top w:val="nil"/>
              <w:left w:val="nil"/>
              <w:bottom w:val="single" w:sz="8" w:space="0" w:color="auto"/>
              <w:right w:val="nil"/>
            </w:tcBorders>
            <w:shd w:val="clear" w:color="auto" w:fill="auto"/>
            <w:noWrap/>
            <w:vAlign w:val="center"/>
            <w:hideMark/>
          </w:tcPr>
          <w:p w14:paraId="0DA4FB54"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SWM (from our data)</w:t>
            </w:r>
          </w:p>
        </w:tc>
        <w:tc>
          <w:tcPr>
            <w:tcW w:w="1862" w:type="dxa"/>
            <w:tcBorders>
              <w:top w:val="nil"/>
              <w:left w:val="nil"/>
              <w:bottom w:val="single" w:sz="8" w:space="0" w:color="auto"/>
              <w:right w:val="nil"/>
            </w:tcBorders>
            <w:shd w:val="clear" w:color="auto" w:fill="auto"/>
            <w:noWrap/>
            <w:vAlign w:val="center"/>
            <w:hideMark/>
          </w:tcPr>
          <w:p w14:paraId="0D4A7F37"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VWM (simulated)</w:t>
            </w:r>
          </w:p>
        </w:tc>
        <w:tc>
          <w:tcPr>
            <w:tcW w:w="1490" w:type="dxa"/>
            <w:tcBorders>
              <w:top w:val="nil"/>
              <w:left w:val="nil"/>
              <w:bottom w:val="single" w:sz="8" w:space="0" w:color="auto"/>
              <w:right w:val="nil"/>
            </w:tcBorders>
            <w:shd w:val="clear" w:color="auto" w:fill="auto"/>
            <w:noWrap/>
            <w:vAlign w:val="center"/>
            <w:hideMark/>
          </w:tcPr>
          <w:p w14:paraId="7DFF2636"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Gf (simulated)</w:t>
            </w:r>
          </w:p>
        </w:tc>
        <w:tc>
          <w:tcPr>
            <w:tcW w:w="3631" w:type="dxa"/>
            <w:tcBorders>
              <w:top w:val="nil"/>
              <w:left w:val="nil"/>
              <w:bottom w:val="single" w:sz="8" w:space="0" w:color="auto"/>
              <w:right w:val="nil"/>
            </w:tcBorders>
            <w:shd w:val="clear" w:color="auto" w:fill="auto"/>
            <w:noWrap/>
            <w:vAlign w:val="center"/>
            <w:hideMark/>
          </w:tcPr>
          <w:p w14:paraId="4069DF87"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Spatial Performance (from our data)</w:t>
            </w:r>
          </w:p>
        </w:tc>
      </w:tr>
      <w:tr w:rsidR="002A3B45" w:rsidRPr="002A3B45" w14:paraId="27117236" w14:textId="77777777" w:rsidTr="002A3B45">
        <w:trPr>
          <w:trHeight w:val="288"/>
        </w:trPr>
        <w:tc>
          <w:tcPr>
            <w:tcW w:w="3631" w:type="dxa"/>
            <w:tcBorders>
              <w:top w:val="nil"/>
              <w:left w:val="nil"/>
              <w:bottom w:val="nil"/>
              <w:right w:val="nil"/>
            </w:tcBorders>
            <w:shd w:val="clear" w:color="auto" w:fill="auto"/>
            <w:noWrap/>
            <w:vAlign w:val="center"/>
            <w:hideMark/>
          </w:tcPr>
          <w:p w14:paraId="7A3C29CF"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SWM (from our data)</w:t>
            </w:r>
          </w:p>
        </w:tc>
        <w:tc>
          <w:tcPr>
            <w:tcW w:w="2206" w:type="dxa"/>
            <w:tcBorders>
              <w:top w:val="nil"/>
              <w:left w:val="nil"/>
              <w:bottom w:val="nil"/>
              <w:right w:val="nil"/>
            </w:tcBorders>
            <w:shd w:val="clear" w:color="auto" w:fill="auto"/>
            <w:noWrap/>
            <w:vAlign w:val="bottom"/>
            <w:hideMark/>
          </w:tcPr>
          <w:p w14:paraId="711CE18F"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p>
        </w:tc>
        <w:tc>
          <w:tcPr>
            <w:tcW w:w="1862" w:type="dxa"/>
            <w:tcBorders>
              <w:top w:val="nil"/>
              <w:left w:val="nil"/>
              <w:bottom w:val="nil"/>
              <w:right w:val="nil"/>
            </w:tcBorders>
            <w:shd w:val="clear" w:color="auto" w:fill="auto"/>
            <w:noWrap/>
            <w:vAlign w:val="bottom"/>
            <w:hideMark/>
          </w:tcPr>
          <w:p w14:paraId="7C06126C" w14:textId="77777777" w:rsidR="002A3B45" w:rsidRPr="002A3B45" w:rsidRDefault="002A3B45" w:rsidP="002A3B45">
            <w:pPr>
              <w:spacing w:after="0" w:line="240" w:lineRule="auto"/>
              <w:rPr>
                <w:rFonts w:ascii="Times New Roman" w:eastAsia="Times New Roman" w:hAnsi="Times New Roman" w:cs="Times New Roman"/>
                <w:sz w:val="20"/>
                <w:szCs w:val="20"/>
              </w:rPr>
            </w:pPr>
          </w:p>
        </w:tc>
        <w:tc>
          <w:tcPr>
            <w:tcW w:w="1490" w:type="dxa"/>
            <w:tcBorders>
              <w:top w:val="nil"/>
              <w:left w:val="nil"/>
              <w:bottom w:val="nil"/>
              <w:right w:val="nil"/>
            </w:tcBorders>
            <w:shd w:val="clear" w:color="auto" w:fill="auto"/>
            <w:noWrap/>
            <w:vAlign w:val="bottom"/>
            <w:hideMark/>
          </w:tcPr>
          <w:p w14:paraId="0FFDB398" w14:textId="77777777" w:rsidR="002A3B45" w:rsidRPr="002A3B45" w:rsidRDefault="002A3B45" w:rsidP="002A3B45">
            <w:pPr>
              <w:spacing w:after="0" w:line="240" w:lineRule="auto"/>
              <w:rPr>
                <w:rFonts w:ascii="Times New Roman" w:eastAsia="Times New Roman" w:hAnsi="Times New Roman" w:cs="Times New Roman"/>
                <w:sz w:val="20"/>
                <w:szCs w:val="20"/>
              </w:rPr>
            </w:pPr>
          </w:p>
        </w:tc>
        <w:tc>
          <w:tcPr>
            <w:tcW w:w="3631" w:type="dxa"/>
            <w:tcBorders>
              <w:top w:val="nil"/>
              <w:left w:val="nil"/>
              <w:bottom w:val="nil"/>
              <w:right w:val="nil"/>
            </w:tcBorders>
            <w:shd w:val="clear" w:color="auto" w:fill="auto"/>
            <w:noWrap/>
            <w:vAlign w:val="bottom"/>
            <w:hideMark/>
          </w:tcPr>
          <w:p w14:paraId="12DF9986" w14:textId="77777777" w:rsidR="002A3B45" w:rsidRPr="002A3B45" w:rsidRDefault="002A3B45" w:rsidP="002A3B45">
            <w:pPr>
              <w:spacing w:after="0" w:line="240" w:lineRule="auto"/>
              <w:rPr>
                <w:rFonts w:ascii="Times New Roman" w:eastAsia="Times New Roman" w:hAnsi="Times New Roman" w:cs="Times New Roman"/>
                <w:sz w:val="20"/>
                <w:szCs w:val="20"/>
              </w:rPr>
            </w:pPr>
          </w:p>
        </w:tc>
      </w:tr>
      <w:tr w:rsidR="002A3B45" w:rsidRPr="002A3B45" w14:paraId="77C48C8D" w14:textId="77777777" w:rsidTr="002A3B45">
        <w:trPr>
          <w:trHeight w:val="288"/>
        </w:trPr>
        <w:tc>
          <w:tcPr>
            <w:tcW w:w="3631" w:type="dxa"/>
            <w:tcBorders>
              <w:top w:val="nil"/>
              <w:left w:val="nil"/>
              <w:bottom w:val="nil"/>
              <w:right w:val="nil"/>
            </w:tcBorders>
            <w:shd w:val="clear" w:color="auto" w:fill="auto"/>
            <w:noWrap/>
            <w:vAlign w:val="center"/>
            <w:hideMark/>
          </w:tcPr>
          <w:p w14:paraId="635754DC"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VWM (simulated)</w:t>
            </w:r>
          </w:p>
        </w:tc>
        <w:tc>
          <w:tcPr>
            <w:tcW w:w="2206" w:type="dxa"/>
            <w:tcBorders>
              <w:top w:val="nil"/>
              <w:left w:val="nil"/>
              <w:bottom w:val="nil"/>
              <w:right w:val="nil"/>
            </w:tcBorders>
            <w:shd w:val="clear" w:color="auto" w:fill="auto"/>
            <w:noWrap/>
            <w:vAlign w:val="center"/>
            <w:hideMark/>
          </w:tcPr>
          <w:p w14:paraId="285F748F"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0.44</w:t>
            </w:r>
          </w:p>
        </w:tc>
        <w:tc>
          <w:tcPr>
            <w:tcW w:w="1862" w:type="dxa"/>
            <w:tcBorders>
              <w:top w:val="nil"/>
              <w:left w:val="nil"/>
              <w:bottom w:val="nil"/>
              <w:right w:val="nil"/>
            </w:tcBorders>
            <w:shd w:val="clear" w:color="auto" w:fill="auto"/>
            <w:noWrap/>
            <w:vAlign w:val="bottom"/>
            <w:hideMark/>
          </w:tcPr>
          <w:p w14:paraId="7107565B"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p>
        </w:tc>
        <w:tc>
          <w:tcPr>
            <w:tcW w:w="1490" w:type="dxa"/>
            <w:tcBorders>
              <w:top w:val="nil"/>
              <w:left w:val="nil"/>
              <w:bottom w:val="nil"/>
              <w:right w:val="nil"/>
            </w:tcBorders>
            <w:shd w:val="clear" w:color="auto" w:fill="auto"/>
            <w:noWrap/>
            <w:vAlign w:val="bottom"/>
            <w:hideMark/>
          </w:tcPr>
          <w:p w14:paraId="4188DB0B" w14:textId="77777777" w:rsidR="002A3B45" w:rsidRPr="002A3B45" w:rsidRDefault="002A3B45" w:rsidP="002A3B45">
            <w:pPr>
              <w:spacing w:after="0" w:line="240" w:lineRule="auto"/>
              <w:rPr>
                <w:rFonts w:ascii="Times New Roman" w:eastAsia="Times New Roman" w:hAnsi="Times New Roman" w:cs="Times New Roman"/>
                <w:sz w:val="20"/>
                <w:szCs w:val="20"/>
              </w:rPr>
            </w:pPr>
          </w:p>
        </w:tc>
        <w:tc>
          <w:tcPr>
            <w:tcW w:w="3631" w:type="dxa"/>
            <w:tcBorders>
              <w:top w:val="nil"/>
              <w:left w:val="nil"/>
              <w:bottom w:val="nil"/>
              <w:right w:val="nil"/>
            </w:tcBorders>
            <w:shd w:val="clear" w:color="auto" w:fill="auto"/>
            <w:noWrap/>
            <w:vAlign w:val="bottom"/>
            <w:hideMark/>
          </w:tcPr>
          <w:p w14:paraId="3A4803BF" w14:textId="77777777" w:rsidR="002A3B45" w:rsidRPr="002A3B45" w:rsidRDefault="002A3B45" w:rsidP="002A3B45">
            <w:pPr>
              <w:spacing w:after="0" w:line="240" w:lineRule="auto"/>
              <w:rPr>
                <w:rFonts w:ascii="Times New Roman" w:eastAsia="Times New Roman" w:hAnsi="Times New Roman" w:cs="Times New Roman"/>
                <w:sz w:val="20"/>
                <w:szCs w:val="20"/>
              </w:rPr>
            </w:pPr>
          </w:p>
        </w:tc>
      </w:tr>
      <w:tr w:rsidR="002A3B45" w:rsidRPr="002A3B45" w14:paraId="30FE4DB6" w14:textId="77777777" w:rsidTr="002A3B45">
        <w:trPr>
          <w:trHeight w:val="288"/>
        </w:trPr>
        <w:tc>
          <w:tcPr>
            <w:tcW w:w="3631" w:type="dxa"/>
            <w:tcBorders>
              <w:top w:val="nil"/>
              <w:left w:val="nil"/>
              <w:bottom w:val="nil"/>
              <w:right w:val="nil"/>
            </w:tcBorders>
            <w:shd w:val="clear" w:color="auto" w:fill="auto"/>
            <w:noWrap/>
            <w:vAlign w:val="center"/>
            <w:hideMark/>
          </w:tcPr>
          <w:p w14:paraId="4A50F914"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Gf (simulated)</w:t>
            </w:r>
          </w:p>
        </w:tc>
        <w:tc>
          <w:tcPr>
            <w:tcW w:w="2206" w:type="dxa"/>
            <w:tcBorders>
              <w:top w:val="nil"/>
              <w:left w:val="nil"/>
              <w:bottom w:val="nil"/>
              <w:right w:val="nil"/>
            </w:tcBorders>
            <w:shd w:val="clear" w:color="auto" w:fill="auto"/>
            <w:noWrap/>
            <w:vAlign w:val="center"/>
            <w:hideMark/>
          </w:tcPr>
          <w:p w14:paraId="1F7057D9"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0.44</w:t>
            </w:r>
          </w:p>
        </w:tc>
        <w:tc>
          <w:tcPr>
            <w:tcW w:w="1862" w:type="dxa"/>
            <w:tcBorders>
              <w:top w:val="nil"/>
              <w:left w:val="nil"/>
              <w:bottom w:val="nil"/>
              <w:right w:val="nil"/>
            </w:tcBorders>
            <w:shd w:val="clear" w:color="auto" w:fill="auto"/>
            <w:noWrap/>
            <w:vAlign w:val="center"/>
            <w:hideMark/>
          </w:tcPr>
          <w:p w14:paraId="33E6E2AB"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[0.25,0.41]</w:t>
            </w:r>
          </w:p>
        </w:tc>
        <w:tc>
          <w:tcPr>
            <w:tcW w:w="1490" w:type="dxa"/>
            <w:tcBorders>
              <w:top w:val="nil"/>
              <w:left w:val="nil"/>
              <w:bottom w:val="nil"/>
              <w:right w:val="nil"/>
            </w:tcBorders>
            <w:shd w:val="clear" w:color="auto" w:fill="auto"/>
            <w:noWrap/>
            <w:vAlign w:val="bottom"/>
            <w:hideMark/>
          </w:tcPr>
          <w:p w14:paraId="3B9294DC"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p>
        </w:tc>
        <w:tc>
          <w:tcPr>
            <w:tcW w:w="3631" w:type="dxa"/>
            <w:tcBorders>
              <w:top w:val="nil"/>
              <w:left w:val="nil"/>
              <w:bottom w:val="nil"/>
              <w:right w:val="nil"/>
            </w:tcBorders>
            <w:shd w:val="clear" w:color="auto" w:fill="auto"/>
            <w:noWrap/>
            <w:vAlign w:val="bottom"/>
            <w:hideMark/>
          </w:tcPr>
          <w:p w14:paraId="0165947E" w14:textId="77777777" w:rsidR="002A3B45" w:rsidRPr="002A3B45" w:rsidRDefault="002A3B45" w:rsidP="002A3B45">
            <w:pPr>
              <w:spacing w:after="0" w:line="240" w:lineRule="auto"/>
              <w:rPr>
                <w:rFonts w:ascii="Times New Roman" w:eastAsia="Times New Roman" w:hAnsi="Times New Roman" w:cs="Times New Roman"/>
                <w:sz w:val="20"/>
                <w:szCs w:val="20"/>
              </w:rPr>
            </w:pPr>
          </w:p>
        </w:tc>
      </w:tr>
      <w:tr w:rsidR="002A3B45" w:rsidRPr="002A3B45" w14:paraId="6A634ACF" w14:textId="77777777" w:rsidTr="002A3B45">
        <w:trPr>
          <w:trHeight w:val="300"/>
        </w:trPr>
        <w:tc>
          <w:tcPr>
            <w:tcW w:w="3631" w:type="dxa"/>
            <w:tcBorders>
              <w:top w:val="nil"/>
              <w:left w:val="nil"/>
              <w:bottom w:val="single" w:sz="8" w:space="0" w:color="auto"/>
              <w:right w:val="nil"/>
            </w:tcBorders>
            <w:shd w:val="clear" w:color="auto" w:fill="auto"/>
            <w:noWrap/>
            <w:vAlign w:val="center"/>
            <w:hideMark/>
          </w:tcPr>
          <w:p w14:paraId="26F811D7"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Spatial Performance (from our data)</w:t>
            </w:r>
          </w:p>
        </w:tc>
        <w:tc>
          <w:tcPr>
            <w:tcW w:w="2206" w:type="dxa"/>
            <w:tcBorders>
              <w:top w:val="nil"/>
              <w:left w:val="nil"/>
              <w:bottom w:val="single" w:sz="8" w:space="0" w:color="auto"/>
              <w:right w:val="nil"/>
            </w:tcBorders>
            <w:shd w:val="clear" w:color="auto" w:fill="auto"/>
            <w:noWrap/>
            <w:vAlign w:val="center"/>
            <w:hideMark/>
          </w:tcPr>
          <w:p w14:paraId="15D13877"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-0.37</w:t>
            </w:r>
          </w:p>
        </w:tc>
        <w:tc>
          <w:tcPr>
            <w:tcW w:w="1862" w:type="dxa"/>
            <w:tcBorders>
              <w:top w:val="nil"/>
              <w:left w:val="nil"/>
              <w:bottom w:val="single" w:sz="8" w:space="0" w:color="auto"/>
              <w:right w:val="nil"/>
            </w:tcBorders>
            <w:shd w:val="clear" w:color="auto" w:fill="auto"/>
            <w:noWrap/>
            <w:vAlign w:val="center"/>
            <w:hideMark/>
          </w:tcPr>
          <w:p w14:paraId="166FF6C7"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[-0.48, -0.12]</w:t>
            </w:r>
          </w:p>
        </w:tc>
        <w:tc>
          <w:tcPr>
            <w:tcW w:w="1490" w:type="dxa"/>
            <w:tcBorders>
              <w:top w:val="nil"/>
              <w:left w:val="nil"/>
              <w:bottom w:val="single" w:sz="8" w:space="0" w:color="auto"/>
              <w:right w:val="nil"/>
            </w:tcBorders>
            <w:shd w:val="clear" w:color="auto" w:fill="auto"/>
            <w:noWrap/>
            <w:vAlign w:val="center"/>
            <w:hideMark/>
          </w:tcPr>
          <w:p w14:paraId="605ADB56"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[-0.24, 0.06]</w:t>
            </w:r>
          </w:p>
        </w:tc>
        <w:tc>
          <w:tcPr>
            <w:tcW w:w="3631" w:type="dxa"/>
            <w:tcBorders>
              <w:top w:val="nil"/>
              <w:left w:val="nil"/>
              <w:bottom w:val="single" w:sz="8" w:space="0" w:color="auto"/>
              <w:right w:val="nil"/>
            </w:tcBorders>
            <w:shd w:val="clear" w:color="auto" w:fill="auto"/>
            <w:noWrap/>
            <w:vAlign w:val="center"/>
            <w:hideMark/>
          </w:tcPr>
          <w:p w14:paraId="189D6CCA" w14:textId="77777777" w:rsidR="002A3B45" w:rsidRPr="002A3B45" w:rsidRDefault="002A3B45" w:rsidP="002A3B45">
            <w:pPr>
              <w:spacing w:after="0" w:line="240" w:lineRule="auto"/>
              <w:jc w:val="center"/>
              <w:rPr>
                <w:rFonts w:ascii="Times New Roman" w:eastAsia="Times New Roman" w:hAnsi="Times New Roman" w:cs="Times New Roman"/>
                <w:color w:val="000000"/>
                <w:sz w:val="20"/>
                <w:szCs w:val="20"/>
              </w:rPr>
            </w:pPr>
            <w:r w:rsidRPr="002A3B45">
              <w:rPr>
                <w:rFonts w:ascii="Times New Roman" w:eastAsia="Times New Roman" w:hAnsi="Times New Roman" w:cs="Times New Roman"/>
                <w:color w:val="000000"/>
                <w:sz w:val="20"/>
                <w:szCs w:val="20"/>
              </w:rPr>
              <w:t> </w:t>
            </w:r>
          </w:p>
        </w:tc>
      </w:tr>
    </w:tbl>
    <w:p w14:paraId="5980A9BA" w14:textId="77777777" w:rsidR="004B374C" w:rsidRDefault="004B374C" w:rsidP="004B374C">
      <w:pPr>
        <w:pStyle w:val="ListParagraph"/>
        <w:rPr>
          <w:rFonts w:ascii="Times New Roman" w:hAnsi="Times New Roman" w:cs="Times New Roman"/>
        </w:rPr>
      </w:pPr>
    </w:p>
    <w:p w14:paraId="5F59DB45" w14:textId="4ADF32D5" w:rsidR="0045720E" w:rsidRDefault="004B374C" w:rsidP="004B374C">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Compute the </w:t>
      </w:r>
      <w:r w:rsidR="003134B3">
        <w:rPr>
          <w:rFonts w:ascii="Times New Roman" w:hAnsi="Times New Roman" w:cs="Times New Roman"/>
        </w:rPr>
        <w:t xml:space="preserve">a simulated </w:t>
      </w:r>
      <w:r>
        <w:rPr>
          <w:rFonts w:ascii="Times New Roman" w:hAnsi="Times New Roman" w:cs="Times New Roman"/>
        </w:rPr>
        <w:t>correlation matrix</w:t>
      </w:r>
      <w:r w:rsidR="00402433">
        <w:rPr>
          <w:rFonts w:ascii="Times New Roman" w:hAnsi="Times New Roman" w:cs="Times New Roman"/>
        </w:rPr>
        <w:t xml:space="preserve"> with exact values in the VWM and Gf columns</w:t>
      </w:r>
      <w:r>
        <w:rPr>
          <w:rFonts w:ascii="Times New Roman" w:hAnsi="Times New Roman" w:cs="Times New Roman"/>
        </w:rPr>
        <w:t xml:space="preserve"> </w:t>
      </w:r>
      <w:r w:rsidR="003134B3">
        <w:rPr>
          <w:rFonts w:ascii="Times New Roman" w:hAnsi="Times New Roman" w:cs="Times New Roman"/>
        </w:rPr>
        <w:t xml:space="preserve">from the derived matrix </w:t>
      </w:r>
      <w:r w:rsidR="00402433">
        <w:rPr>
          <w:rFonts w:ascii="Times New Roman" w:hAnsi="Times New Roman" w:cs="Times New Roman"/>
        </w:rPr>
        <w:t xml:space="preserve">(above) </w:t>
      </w:r>
      <w:r>
        <w:rPr>
          <w:rFonts w:ascii="Times New Roman" w:hAnsi="Times New Roman" w:cs="Times New Roman"/>
        </w:rPr>
        <w:t>using the observed SWM data</w:t>
      </w:r>
      <w:r w:rsidR="00E85693">
        <w:rPr>
          <w:rFonts w:ascii="Times New Roman" w:hAnsi="Times New Roman" w:cs="Times New Roman"/>
        </w:rPr>
        <w:t xml:space="preserve"> in our study</w:t>
      </w:r>
      <w:r>
        <w:rPr>
          <w:rFonts w:ascii="Times New Roman" w:hAnsi="Times New Roman" w:cs="Times New Roman"/>
        </w:rPr>
        <w:t>, the observed spatial performance data</w:t>
      </w:r>
      <w:r w:rsidR="00E85693">
        <w:rPr>
          <w:rFonts w:ascii="Times New Roman" w:hAnsi="Times New Roman" w:cs="Times New Roman"/>
        </w:rPr>
        <w:t xml:space="preserve"> in our study</w:t>
      </w:r>
      <w:r w:rsidR="00A61DA9">
        <w:rPr>
          <w:rFonts w:ascii="Times New Roman" w:hAnsi="Times New Roman" w:cs="Times New Roman"/>
        </w:rPr>
        <w:t xml:space="preserve"> (the angular error of our first placing task)</w:t>
      </w:r>
      <w:r>
        <w:rPr>
          <w:rFonts w:ascii="Times New Roman" w:hAnsi="Times New Roman" w:cs="Times New Roman"/>
        </w:rPr>
        <w:t xml:space="preserve"> and the simulated Gf and VWM data</w:t>
      </w:r>
      <w:r w:rsidR="009E6CE9">
        <w:rPr>
          <w:rFonts w:ascii="Times New Roman" w:hAnsi="Times New Roman" w:cs="Times New Roman"/>
        </w:rPr>
        <w:t xml:space="preserve"> based on the empirical constraints detailed in 3</w:t>
      </w:r>
      <w:r w:rsidR="00AA0ADA">
        <w:rPr>
          <w:rFonts w:ascii="Times New Roman" w:hAnsi="Times New Roman" w:cs="Times New Roman"/>
        </w:rPr>
        <w:t xml:space="preserve">. Assess whether the computed correlation matrix falls in the range of values in each cell of the </w:t>
      </w:r>
      <w:r w:rsidR="00975428">
        <w:rPr>
          <w:rFonts w:ascii="Times New Roman" w:hAnsi="Times New Roman" w:cs="Times New Roman"/>
        </w:rPr>
        <w:t xml:space="preserve">empirically derived </w:t>
      </w:r>
      <w:r w:rsidR="00AA0ADA">
        <w:rPr>
          <w:rFonts w:ascii="Times New Roman" w:hAnsi="Times New Roman" w:cs="Times New Roman"/>
        </w:rPr>
        <w:t>matrix</w:t>
      </w:r>
      <w:r w:rsidR="00E85693">
        <w:rPr>
          <w:rFonts w:ascii="Times New Roman" w:hAnsi="Times New Roman" w:cs="Times New Roman"/>
        </w:rPr>
        <w:t xml:space="preserve"> (</w:t>
      </w:r>
      <w:proofErr w:type="spellStart"/>
      <w:r w:rsidR="00E56FC8">
        <w:rPr>
          <w:rFonts w:ascii="Times New Roman" w:hAnsi="Times New Roman" w:cs="Times New Roman"/>
        </w:rPr>
        <w:t>i.e</w:t>
      </w:r>
      <w:proofErr w:type="spellEnd"/>
      <w:r w:rsidR="00E56FC8">
        <w:rPr>
          <w:rFonts w:ascii="Times New Roman" w:hAnsi="Times New Roman" w:cs="Times New Roman"/>
        </w:rPr>
        <w:t xml:space="preserve">, </w:t>
      </w:r>
      <w:r w:rsidR="00D23CD6">
        <w:rPr>
          <w:rFonts w:ascii="Times New Roman" w:hAnsi="Times New Roman" w:cs="Times New Roman"/>
        </w:rPr>
        <w:t>check if all the following conditions are satisfied:</w:t>
      </w:r>
      <w:r w:rsidR="00E56FC8">
        <w:rPr>
          <w:rFonts w:ascii="Times New Roman" w:hAnsi="Times New Roman" w:cs="Times New Roman"/>
        </w:rPr>
        <w:t xml:space="preserve"> </w:t>
      </w:r>
      <w:proofErr w:type="spellStart"/>
      <w:r w:rsidR="00E56FC8">
        <w:rPr>
          <w:rFonts w:ascii="Times New Roman" w:hAnsi="Times New Roman" w:cs="Times New Roman"/>
        </w:rPr>
        <w:t>cor</w:t>
      </w:r>
      <w:proofErr w:type="spellEnd"/>
      <w:r w:rsidR="00E56FC8">
        <w:rPr>
          <w:rFonts w:ascii="Times New Roman" w:hAnsi="Times New Roman" w:cs="Times New Roman"/>
        </w:rPr>
        <w:t xml:space="preserve">(SWM, VWM) = 0.44, </w:t>
      </w:r>
      <w:proofErr w:type="spellStart"/>
      <w:r w:rsidR="00E56FC8">
        <w:rPr>
          <w:rFonts w:ascii="Times New Roman" w:hAnsi="Times New Roman" w:cs="Times New Roman"/>
        </w:rPr>
        <w:t>cor</w:t>
      </w:r>
      <w:proofErr w:type="spellEnd"/>
      <w:r w:rsidR="00E56FC8">
        <w:rPr>
          <w:rFonts w:ascii="Times New Roman" w:hAnsi="Times New Roman" w:cs="Times New Roman"/>
        </w:rPr>
        <w:t xml:space="preserve">(SWM, Gf) = 0.44, 0.25 </w:t>
      </w:r>
      <w:r w:rsidR="009E6CE9">
        <w:rPr>
          <w:rFonts w:ascii="Times New Roman" w:hAnsi="Times New Roman" w:cs="Times New Roman"/>
        </w:rPr>
        <w:t>&gt;</w:t>
      </w:r>
      <w:r w:rsidR="00E56FC8">
        <w:rPr>
          <w:rFonts w:ascii="Times New Roman" w:hAnsi="Times New Roman" w:cs="Times New Roman"/>
        </w:rPr>
        <w:t xml:space="preserve">= </w:t>
      </w:r>
      <w:proofErr w:type="spellStart"/>
      <w:r w:rsidR="00E56FC8">
        <w:rPr>
          <w:rFonts w:ascii="Times New Roman" w:hAnsi="Times New Roman" w:cs="Times New Roman"/>
        </w:rPr>
        <w:t>cor</w:t>
      </w:r>
      <w:proofErr w:type="spellEnd"/>
      <w:r w:rsidR="00E56FC8">
        <w:rPr>
          <w:rFonts w:ascii="Times New Roman" w:hAnsi="Times New Roman" w:cs="Times New Roman"/>
        </w:rPr>
        <w:t xml:space="preserve">(VWM, Gf) &lt;= 0.41,  -0.48 </w:t>
      </w:r>
      <w:r w:rsidR="009E6CE9">
        <w:rPr>
          <w:rFonts w:ascii="Times New Roman" w:hAnsi="Times New Roman" w:cs="Times New Roman"/>
        </w:rPr>
        <w:t>&gt;</w:t>
      </w:r>
      <w:r w:rsidR="00E56FC8">
        <w:rPr>
          <w:rFonts w:ascii="Times New Roman" w:hAnsi="Times New Roman" w:cs="Times New Roman"/>
        </w:rPr>
        <w:t xml:space="preserve">= </w:t>
      </w:r>
      <w:proofErr w:type="spellStart"/>
      <w:r w:rsidR="00E56FC8">
        <w:rPr>
          <w:rFonts w:ascii="Times New Roman" w:hAnsi="Times New Roman" w:cs="Times New Roman"/>
        </w:rPr>
        <w:t>cor</w:t>
      </w:r>
      <w:proofErr w:type="spellEnd"/>
      <w:r w:rsidR="00E56FC8">
        <w:rPr>
          <w:rFonts w:ascii="Times New Roman" w:hAnsi="Times New Roman" w:cs="Times New Roman"/>
        </w:rPr>
        <w:t xml:space="preserve">(VWM, performance) &lt;= -0.12, and -0.24 </w:t>
      </w:r>
      <w:r w:rsidR="009E6CE9">
        <w:rPr>
          <w:rFonts w:ascii="Times New Roman" w:hAnsi="Times New Roman" w:cs="Times New Roman"/>
        </w:rPr>
        <w:t>&gt;</w:t>
      </w:r>
      <w:r w:rsidR="00E56FC8">
        <w:rPr>
          <w:rFonts w:ascii="Times New Roman" w:hAnsi="Times New Roman" w:cs="Times New Roman"/>
        </w:rPr>
        <w:t xml:space="preserve">= </w:t>
      </w:r>
      <w:proofErr w:type="spellStart"/>
      <w:r w:rsidR="00E56FC8">
        <w:rPr>
          <w:rFonts w:ascii="Times New Roman" w:hAnsi="Times New Roman" w:cs="Times New Roman"/>
        </w:rPr>
        <w:t>cor</w:t>
      </w:r>
      <w:proofErr w:type="spellEnd"/>
      <w:r w:rsidR="00E56FC8">
        <w:rPr>
          <w:rFonts w:ascii="Times New Roman" w:hAnsi="Times New Roman" w:cs="Times New Roman"/>
        </w:rPr>
        <w:t>(Gf, performance) &lt;= 0.06</w:t>
      </w:r>
      <w:r w:rsidR="00E85693">
        <w:rPr>
          <w:rFonts w:ascii="Times New Roman" w:hAnsi="Times New Roman" w:cs="Times New Roman"/>
        </w:rPr>
        <w:t>)</w:t>
      </w:r>
      <w:r w:rsidR="00AA0ADA">
        <w:rPr>
          <w:rFonts w:ascii="Times New Roman" w:hAnsi="Times New Roman" w:cs="Times New Roman"/>
        </w:rPr>
        <w:t xml:space="preserve">. </w:t>
      </w:r>
    </w:p>
    <w:p w14:paraId="3F20726D" w14:textId="7DF12D9E" w:rsidR="00AA0ADA" w:rsidRDefault="008B3C66" w:rsidP="004B374C">
      <w:pPr>
        <w:pStyle w:val="ListParagraph"/>
        <w:numPr>
          <w:ilvl w:val="0"/>
          <w:numId w:val="1"/>
        </w:numPr>
        <w:rPr>
          <w:rFonts w:ascii="Times New Roman" w:hAnsi="Times New Roman" w:cs="Times New Roman"/>
        </w:rPr>
      </w:pPr>
      <w:r>
        <w:rPr>
          <w:rFonts w:ascii="Times New Roman" w:hAnsi="Times New Roman" w:cs="Times New Roman"/>
        </w:rPr>
        <w:t>When</w:t>
      </w:r>
      <w:r w:rsidR="00AA0ADA">
        <w:rPr>
          <w:rFonts w:ascii="Times New Roman" w:hAnsi="Times New Roman" w:cs="Times New Roman"/>
        </w:rPr>
        <w:t xml:space="preserve"> the computed correlation matrix </w:t>
      </w:r>
      <w:r w:rsidR="00E85693">
        <w:rPr>
          <w:rFonts w:ascii="Times New Roman" w:hAnsi="Times New Roman" w:cs="Times New Roman"/>
        </w:rPr>
        <w:t>fits the empirically</w:t>
      </w:r>
      <w:r w:rsidR="009E6CE9">
        <w:rPr>
          <w:rFonts w:ascii="Times New Roman" w:hAnsi="Times New Roman" w:cs="Times New Roman"/>
        </w:rPr>
        <w:t>-constrained values</w:t>
      </w:r>
      <w:r w:rsidR="00AA0ADA">
        <w:rPr>
          <w:rFonts w:ascii="Times New Roman" w:hAnsi="Times New Roman" w:cs="Times New Roman"/>
        </w:rPr>
        <w:t xml:space="preserve">, we then run three multiple regressions </w:t>
      </w:r>
      <w:r w:rsidR="00FE4143">
        <w:rPr>
          <w:rFonts w:ascii="Times New Roman" w:hAnsi="Times New Roman" w:cs="Times New Roman"/>
        </w:rPr>
        <w:t xml:space="preserve">separately </w:t>
      </w:r>
      <w:r w:rsidR="00AA0ADA">
        <w:rPr>
          <w:rFonts w:ascii="Times New Roman" w:hAnsi="Times New Roman" w:cs="Times New Roman"/>
        </w:rPr>
        <w:t>in the medium and extreme groups</w:t>
      </w:r>
      <w:r w:rsidR="00143660">
        <w:rPr>
          <w:rFonts w:ascii="Times New Roman" w:hAnsi="Times New Roman" w:cs="Times New Roman"/>
        </w:rPr>
        <w:t xml:space="preserve"> (six in total)</w:t>
      </w:r>
      <w:r w:rsidR="00AA0ADA">
        <w:rPr>
          <w:rFonts w:ascii="Times New Roman" w:hAnsi="Times New Roman" w:cs="Times New Roman"/>
        </w:rPr>
        <w:t>.</w:t>
      </w:r>
      <w:r w:rsidR="00143660">
        <w:rPr>
          <w:rFonts w:ascii="Times New Roman" w:hAnsi="Times New Roman" w:cs="Times New Roman"/>
        </w:rPr>
        <w:t xml:space="preserve"> The predictors in each regression are the same, namely SWM, VWM and Gf. The </w:t>
      </w:r>
      <w:r w:rsidR="009E1F20">
        <w:rPr>
          <w:rFonts w:ascii="Times New Roman" w:hAnsi="Times New Roman" w:cs="Times New Roman"/>
        </w:rPr>
        <w:t xml:space="preserve">dependent variables </w:t>
      </w:r>
      <w:r w:rsidR="00143660">
        <w:rPr>
          <w:rFonts w:ascii="Times New Roman" w:hAnsi="Times New Roman" w:cs="Times New Roman"/>
        </w:rPr>
        <w:t>are the excessive distance of the first wayfinding task, and the position errors of the first and second placing task.</w:t>
      </w:r>
      <w:r w:rsidR="00A501B9">
        <w:rPr>
          <w:rFonts w:ascii="Times New Roman" w:hAnsi="Times New Roman" w:cs="Times New Roman"/>
        </w:rPr>
        <w:t xml:space="preserve"> We then extract the standardiz</w:t>
      </w:r>
      <w:r w:rsidR="00902793">
        <w:rPr>
          <w:rFonts w:ascii="Times New Roman" w:hAnsi="Times New Roman" w:cs="Times New Roman"/>
        </w:rPr>
        <w:t>ed</w:t>
      </w:r>
      <w:r w:rsidR="00A501B9">
        <w:rPr>
          <w:rFonts w:ascii="Times New Roman" w:hAnsi="Times New Roman" w:cs="Times New Roman"/>
        </w:rPr>
        <w:t xml:space="preserve"> estimate of SWM from each regression. Note that this standardize</w:t>
      </w:r>
      <w:r w:rsidR="00902793">
        <w:rPr>
          <w:rFonts w:ascii="Times New Roman" w:hAnsi="Times New Roman" w:cs="Times New Roman"/>
        </w:rPr>
        <w:t>d</w:t>
      </w:r>
      <w:r w:rsidR="00A501B9">
        <w:rPr>
          <w:rFonts w:ascii="Times New Roman" w:hAnsi="Times New Roman" w:cs="Times New Roman"/>
        </w:rPr>
        <w:t xml:space="preserve"> estimate is the correlation between SWM and performance when</w:t>
      </w:r>
      <w:r>
        <w:rPr>
          <w:rFonts w:ascii="Times New Roman" w:hAnsi="Times New Roman" w:cs="Times New Roman"/>
        </w:rPr>
        <w:t xml:space="preserve"> </w:t>
      </w:r>
      <w:r w:rsidR="00F4326F">
        <w:rPr>
          <w:rFonts w:ascii="Times New Roman" w:hAnsi="Times New Roman" w:cs="Times New Roman"/>
        </w:rPr>
        <w:t xml:space="preserve">the </w:t>
      </w:r>
      <w:r>
        <w:rPr>
          <w:rFonts w:ascii="Times New Roman" w:hAnsi="Times New Roman" w:cs="Times New Roman"/>
        </w:rPr>
        <w:t>simulated</w:t>
      </w:r>
      <w:r w:rsidR="00A501B9">
        <w:rPr>
          <w:rFonts w:ascii="Times New Roman" w:hAnsi="Times New Roman" w:cs="Times New Roman"/>
        </w:rPr>
        <w:t xml:space="preserve"> VWM and Gf are controlled for.</w:t>
      </w:r>
      <w:r>
        <w:rPr>
          <w:rFonts w:ascii="Times New Roman" w:hAnsi="Times New Roman" w:cs="Times New Roman"/>
        </w:rPr>
        <w:t xml:space="preserve"> When</w:t>
      </w:r>
      <w:r w:rsidR="00A501B9">
        <w:rPr>
          <w:rFonts w:ascii="Times New Roman" w:hAnsi="Times New Roman" w:cs="Times New Roman"/>
        </w:rPr>
        <w:t xml:space="preserve"> the computed correlation matrix does not </w:t>
      </w:r>
      <w:r w:rsidR="00E85693">
        <w:rPr>
          <w:rFonts w:ascii="Times New Roman" w:hAnsi="Times New Roman" w:cs="Times New Roman"/>
        </w:rPr>
        <w:t>fit the empirically</w:t>
      </w:r>
      <w:r w:rsidR="009E6CE9">
        <w:rPr>
          <w:rFonts w:ascii="Times New Roman" w:hAnsi="Times New Roman" w:cs="Times New Roman"/>
        </w:rPr>
        <w:t>-constrained values</w:t>
      </w:r>
      <w:r w:rsidR="00A501B9">
        <w:rPr>
          <w:rFonts w:ascii="Times New Roman" w:hAnsi="Times New Roman" w:cs="Times New Roman"/>
        </w:rPr>
        <w:t xml:space="preserve"> </w:t>
      </w:r>
      <w:r>
        <w:rPr>
          <w:rFonts w:ascii="Times New Roman" w:hAnsi="Times New Roman" w:cs="Times New Roman"/>
        </w:rPr>
        <w:t xml:space="preserve">we </w:t>
      </w:r>
      <w:r w:rsidR="00A501B9">
        <w:rPr>
          <w:rFonts w:ascii="Times New Roman" w:hAnsi="Times New Roman" w:cs="Times New Roman"/>
        </w:rPr>
        <w:t xml:space="preserve">repeat steps 1 and 2 until </w:t>
      </w:r>
      <w:r w:rsidR="00F4326F">
        <w:rPr>
          <w:rFonts w:ascii="Times New Roman" w:hAnsi="Times New Roman" w:cs="Times New Roman"/>
        </w:rPr>
        <w:t xml:space="preserve">the computed matrix </w:t>
      </w:r>
      <w:r w:rsidR="009E6CE9">
        <w:rPr>
          <w:rFonts w:ascii="Times New Roman" w:hAnsi="Times New Roman" w:cs="Times New Roman"/>
        </w:rPr>
        <w:t>is statistically probable based on the literature</w:t>
      </w:r>
      <w:r w:rsidR="00A501B9">
        <w:rPr>
          <w:rFonts w:ascii="Times New Roman" w:hAnsi="Times New Roman" w:cs="Times New Roman"/>
        </w:rPr>
        <w:t>.</w:t>
      </w:r>
    </w:p>
    <w:p w14:paraId="577F37DD" w14:textId="419B3A89" w:rsidR="00A501B9" w:rsidRDefault="00D352C8" w:rsidP="004B374C">
      <w:pPr>
        <w:pStyle w:val="ListParagraph"/>
        <w:numPr>
          <w:ilvl w:val="0"/>
          <w:numId w:val="1"/>
        </w:numPr>
        <w:rPr>
          <w:rFonts w:ascii="Times New Roman" w:hAnsi="Times New Roman" w:cs="Times New Roman"/>
        </w:rPr>
      </w:pPr>
      <w:r>
        <w:rPr>
          <w:rFonts w:ascii="Times New Roman" w:hAnsi="Times New Roman" w:cs="Times New Roman"/>
        </w:rPr>
        <w:t xml:space="preserve">The simulation terminates when </w:t>
      </w:r>
      <w:r w:rsidR="00A501B9">
        <w:rPr>
          <w:rFonts w:ascii="Times New Roman" w:hAnsi="Times New Roman" w:cs="Times New Roman"/>
        </w:rPr>
        <w:t xml:space="preserve">steps 1-5 </w:t>
      </w:r>
      <w:r>
        <w:rPr>
          <w:rFonts w:ascii="Times New Roman" w:hAnsi="Times New Roman" w:cs="Times New Roman"/>
        </w:rPr>
        <w:t xml:space="preserve">are run </w:t>
      </w:r>
      <w:r w:rsidR="00A501B9">
        <w:rPr>
          <w:rFonts w:ascii="Times New Roman" w:hAnsi="Times New Roman" w:cs="Times New Roman"/>
        </w:rPr>
        <w:t xml:space="preserve">1000 times </w:t>
      </w:r>
      <w:r>
        <w:rPr>
          <w:rFonts w:ascii="Times New Roman" w:hAnsi="Times New Roman" w:cs="Times New Roman"/>
        </w:rPr>
        <w:t>successfully. As a result,</w:t>
      </w:r>
      <w:r w:rsidR="00A501B9">
        <w:rPr>
          <w:rFonts w:ascii="Times New Roman" w:hAnsi="Times New Roman" w:cs="Times New Roman"/>
        </w:rPr>
        <w:t xml:space="preserve"> we have 6 vectors, with each vector containin</w:t>
      </w:r>
      <w:r w:rsidR="006B395F">
        <w:rPr>
          <w:rFonts w:ascii="Times New Roman" w:hAnsi="Times New Roman" w:cs="Times New Roman"/>
        </w:rPr>
        <w:t>g 1000 correlation coefficients</w:t>
      </w:r>
      <w:r w:rsidR="003739F6">
        <w:rPr>
          <w:rFonts w:ascii="Times New Roman" w:hAnsi="Times New Roman" w:cs="Times New Roman"/>
        </w:rPr>
        <w:t xml:space="preserve"> between SWM and spatial learning when Gf and VWM are </w:t>
      </w:r>
      <w:proofErr w:type="spellStart"/>
      <w:r w:rsidR="003739F6">
        <w:rPr>
          <w:rFonts w:ascii="Times New Roman" w:hAnsi="Times New Roman" w:cs="Times New Roman"/>
        </w:rPr>
        <w:t>partialled</w:t>
      </w:r>
      <w:proofErr w:type="spellEnd"/>
      <w:r w:rsidR="003739F6">
        <w:rPr>
          <w:rFonts w:ascii="Times New Roman" w:hAnsi="Times New Roman" w:cs="Times New Roman"/>
        </w:rPr>
        <w:t xml:space="preserve"> out</w:t>
      </w:r>
      <w:r w:rsidR="00A501B9">
        <w:rPr>
          <w:rFonts w:ascii="Times New Roman" w:hAnsi="Times New Roman" w:cs="Times New Roman"/>
        </w:rPr>
        <w:t>.</w:t>
      </w:r>
    </w:p>
    <w:p w14:paraId="49CFF5ED" w14:textId="6B360513" w:rsidR="00A501B9" w:rsidRDefault="00FB6675" w:rsidP="004B374C">
      <w:pPr>
        <w:pStyle w:val="ListParagraph"/>
        <w:numPr>
          <w:ilvl w:val="0"/>
          <w:numId w:val="1"/>
        </w:numPr>
        <w:rPr>
          <w:rFonts w:ascii="Times New Roman" w:hAnsi="Times New Roman" w:cs="Times New Roman"/>
        </w:rPr>
      </w:pPr>
      <w:r>
        <w:rPr>
          <w:rFonts w:ascii="Times New Roman" w:hAnsi="Times New Roman" w:cs="Times New Roman"/>
        </w:rPr>
        <w:t>Run independent t-tests to</w:t>
      </w:r>
      <w:r w:rsidR="007D4CA4">
        <w:rPr>
          <w:rFonts w:ascii="Times New Roman" w:hAnsi="Times New Roman" w:cs="Times New Roman"/>
        </w:rPr>
        <w:t xml:space="preserve"> test</w:t>
      </w:r>
      <w:r>
        <w:rPr>
          <w:rFonts w:ascii="Times New Roman" w:hAnsi="Times New Roman" w:cs="Times New Roman"/>
        </w:rPr>
        <w:t xml:space="preserve"> whether the </w:t>
      </w:r>
      <w:r w:rsidR="007D4CA4">
        <w:rPr>
          <w:rFonts w:ascii="Times New Roman" w:eastAsia="Times New Roman" w:hAnsi="Times New Roman" w:cs="Times New Roman"/>
          <w:bCs/>
        </w:rPr>
        <w:t xml:space="preserve">distributions of likely residual SWM-spatial learning </w:t>
      </w:r>
      <w:r>
        <w:rPr>
          <w:rFonts w:ascii="Times New Roman" w:hAnsi="Times New Roman" w:cs="Times New Roman"/>
        </w:rPr>
        <w:t>correlations</w:t>
      </w:r>
      <w:r w:rsidR="002E3915">
        <w:rPr>
          <w:rFonts w:ascii="Times New Roman" w:hAnsi="Times New Roman" w:cs="Times New Roman"/>
        </w:rPr>
        <w:t xml:space="preserve"> (Fisher Z transformed)</w:t>
      </w:r>
      <w:r>
        <w:rPr>
          <w:rFonts w:ascii="Times New Roman" w:hAnsi="Times New Roman" w:cs="Times New Roman"/>
        </w:rPr>
        <w:t xml:space="preserve"> are different between extreme and medium conditions in each of the three tasks.</w:t>
      </w:r>
    </w:p>
    <w:p w14:paraId="4EBCF762" w14:textId="704B70F5" w:rsidR="00FB6675" w:rsidRPr="002A7F20" w:rsidRDefault="00FB6675" w:rsidP="002A7F20">
      <w:pPr>
        <w:ind w:left="360"/>
        <w:rPr>
          <w:rFonts w:ascii="Times New Roman" w:hAnsi="Times New Roman" w:cs="Times New Roman"/>
        </w:rPr>
      </w:pPr>
      <w:r w:rsidRPr="002A7F20">
        <w:rPr>
          <w:rFonts w:ascii="Times New Roman" w:hAnsi="Times New Roman" w:cs="Times New Roman"/>
        </w:rPr>
        <w:t xml:space="preserve">The </w:t>
      </w:r>
      <w:r w:rsidR="00556854">
        <w:rPr>
          <w:rFonts w:ascii="Times New Roman" w:hAnsi="Times New Roman" w:cs="Times New Roman"/>
        </w:rPr>
        <w:t xml:space="preserve">resulting </w:t>
      </w:r>
      <w:r w:rsidRPr="002A7F20">
        <w:rPr>
          <w:rFonts w:ascii="Times New Roman" w:hAnsi="Times New Roman" w:cs="Times New Roman"/>
        </w:rPr>
        <w:t xml:space="preserve">distributions of the </w:t>
      </w:r>
      <w:r w:rsidR="009E1F20">
        <w:rPr>
          <w:rFonts w:ascii="Times New Roman" w:hAnsi="Times New Roman" w:cs="Times New Roman"/>
        </w:rPr>
        <w:t xml:space="preserve">SWM-performance </w:t>
      </w:r>
      <w:r w:rsidRPr="002A7F20">
        <w:rPr>
          <w:rFonts w:ascii="Times New Roman" w:hAnsi="Times New Roman" w:cs="Times New Roman"/>
        </w:rPr>
        <w:t>correlation coefficients</w:t>
      </w:r>
      <w:r w:rsidR="009E1F20">
        <w:rPr>
          <w:rFonts w:ascii="Times New Roman" w:hAnsi="Times New Roman" w:cs="Times New Roman"/>
        </w:rPr>
        <w:t xml:space="preserve">, </w:t>
      </w:r>
      <w:proofErr w:type="spellStart"/>
      <w:r w:rsidR="009E1F20">
        <w:rPr>
          <w:rFonts w:ascii="Times New Roman" w:hAnsi="Times New Roman" w:cs="Times New Roman"/>
        </w:rPr>
        <w:t>partialing</w:t>
      </w:r>
      <w:proofErr w:type="spellEnd"/>
      <w:r w:rsidR="009E1F20">
        <w:rPr>
          <w:rFonts w:ascii="Times New Roman" w:hAnsi="Times New Roman" w:cs="Times New Roman"/>
        </w:rPr>
        <w:t xml:space="preserve"> out </w:t>
      </w:r>
      <w:r w:rsidR="000E0B1B">
        <w:rPr>
          <w:rFonts w:ascii="Times New Roman" w:hAnsi="Times New Roman" w:cs="Times New Roman"/>
        </w:rPr>
        <w:t xml:space="preserve">the </w:t>
      </w:r>
      <w:r w:rsidR="009E1F20">
        <w:rPr>
          <w:rFonts w:ascii="Times New Roman" w:hAnsi="Times New Roman" w:cs="Times New Roman"/>
        </w:rPr>
        <w:t>expected variance explained by VWM and Gf</w:t>
      </w:r>
      <w:r w:rsidR="0040447B">
        <w:rPr>
          <w:rFonts w:ascii="Times New Roman" w:hAnsi="Times New Roman" w:cs="Times New Roman"/>
        </w:rPr>
        <w:t xml:space="preserve"> </w:t>
      </w:r>
      <w:r w:rsidR="0040447B" w:rsidRPr="002A7F20">
        <w:rPr>
          <w:rFonts w:ascii="Times New Roman" w:hAnsi="Times New Roman" w:cs="Times New Roman"/>
        </w:rPr>
        <w:t>for each task</w:t>
      </w:r>
      <w:r w:rsidR="0040447B">
        <w:rPr>
          <w:rFonts w:ascii="Times New Roman" w:hAnsi="Times New Roman" w:cs="Times New Roman"/>
        </w:rPr>
        <w:t xml:space="preserve"> (after step 6)</w:t>
      </w:r>
      <w:r w:rsidR="009E1F20">
        <w:rPr>
          <w:rFonts w:ascii="Times New Roman" w:hAnsi="Times New Roman" w:cs="Times New Roman"/>
        </w:rPr>
        <w:t>,</w:t>
      </w:r>
      <w:r w:rsidRPr="002A7F20">
        <w:rPr>
          <w:rFonts w:ascii="Times New Roman" w:hAnsi="Times New Roman" w:cs="Times New Roman"/>
        </w:rPr>
        <w:t xml:space="preserve"> are plotted below.</w:t>
      </w:r>
    </w:p>
    <w:p w14:paraId="4E4A943E" w14:textId="2CEE6BD0" w:rsidR="00D45AF4" w:rsidRDefault="00D45AF4" w:rsidP="00D45AF4">
      <w:pPr>
        <w:ind w:left="360"/>
        <w:rPr>
          <w:rFonts w:ascii="Times New Roman" w:hAnsi="Times New Roman" w:cs="Times New Roman"/>
        </w:rPr>
      </w:pPr>
      <w:r>
        <w:rPr>
          <w:noProof/>
        </w:rPr>
        <w:drawing>
          <wp:inline distT="0" distB="0" distL="0" distR="0" wp14:anchorId="30F3372A" wp14:editId="1AA1FC8F">
            <wp:extent cx="4861832" cy="20522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7010" cy="2058661"/>
                    </a:xfrm>
                    <a:prstGeom prst="rect">
                      <a:avLst/>
                    </a:prstGeom>
                    <a:noFill/>
                    <a:ln>
                      <a:noFill/>
                    </a:ln>
                  </pic:spPr>
                </pic:pic>
              </a:graphicData>
            </a:graphic>
          </wp:inline>
        </w:drawing>
      </w:r>
    </w:p>
    <w:p w14:paraId="51AAC528" w14:textId="77777777" w:rsidR="003C1047" w:rsidRPr="00D45AF4" w:rsidRDefault="003C1047" w:rsidP="00D45AF4">
      <w:pPr>
        <w:ind w:left="360"/>
        <w:rPr>
          <w:rFonts w:ascii="Times New Roman" w:hAnsi="Times New Roman" w:cs="Times New Roman"/>
        </w:rPr>
      </w:pPr>
    </w:p>
    <w:p w14:paraId="01DF9176" w14:textId="331E7115" w:rsidR="00FB6675" w:rsidRDefault="003C1047" w:rsidP="00FB6675">
      <w:pPr>
        <w:pStyle w:val="ListParagraph"/>
        <w:rPr>
          <w:rFonts w:ascii="Times New Roman" w:hAnsi="Times New Roman" w:cs="Times New Roman"/>
        </w:rPr>
      </w:pPr>
      <w:r>
        <w:rPr>
          <w:noProof/>
        </w:rPr>
        <w:lastRenderedPageBreak/>
        <w:drawing>
          <wp:inline distT="0" distB="0" distL="0" distR="0" wp14:anchorId="2B1F66FE" wp14:editId="0D95E5CB">
            <wp:extent cx="4632960" cy="195564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2026" cy="1967913"/>
                    </a:xfrm>
                    <a:prstGeom prst="rect">
                      <a:avLst/>
                    </a:prstGeom>
                    <a:noFill/>
                    <a:ln>
                      <a:noFill/>
                    </a:ln>
                  </pic:spPr>
                </pic:pic>
              </a:graphicData>
            </a:graphic>
          </wp:inline>
        </w:drawing>
      </w:r>
    </w:p>
    <w:p w14:paraId="31E4F76A" w14:textId="77777777" w:rsidR="003C1047" w:rsidRDefault="003C1047" w:rsidP="00FB6675">
      <w:pPr>
        <w:pStyle w:val="ListParagraph"/>
        <w:rPr>
          <w:rFonts w:ascii="Times New Roman" w:hAnsi="Times New Roman" w:cs="Times New Roman"/>
        </w:rPr>
      </w:pPr>
    </w:p>
    <w:p w14:paraId="4D2EF19B" w14:textId="570E620C" w:rsidR="003C1047" w:rsidRDefault="003C63D2" w:rsidP="00FB6675">
      <w:pPr>
        <w:pStyle w:val="ListParagraph"/>
        <w:rPr>
          <w:rFonts w:ascii="Times New Roman" w:hAnsi="Times New Roman" w:cs="Times New Roman"/>
        </w:rPr>
      </w:pPr>
      <w:r>
        <w:rPr>
          <w:noProof/>
        </w:rPr>
        <w:drawing>
          <wp:inline distT="0" distB="0" distL="0" distR="0" wp14:anchorId="27DDEBF0" wp14:editId="3F851675">
            <wp:extent cx="4641925" cy="1959428"/>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5150" cy="1960789"/>
                    </a:xfrm>
                    <a:prstGeom prst="rect">
                      <a:avLst/>
                    </a:prstGeom>
                    <a:noFill/>
                    <a:ln>
                      <a:noFill/>
                    </a:ln>
                  </pic:spPr>
                </pic:pic>
              </a:graphicData>
            </a:graphic>
          </wp:inline>
        </w:drawing>
      </w:r>
    </w:p>
    <w:p w14:paraId="3592AA39" w14:textId="440807A1" w:rsidR="003C1047" w:rsidRDefault="003C1047" w:rsidP="00FB6675">
      <w:pPr>
        <w:pStyle w:val="ListParagraph"/>
        <w:rPr>
          <w:rFonts w:ascii="Times New Roman" w:hAnsi="Times New Roman" w:cs="Times New Roman"/>
        </w:rPr>
      </w:pPr>
    </w:p>
    <w:p w14:paraId="03198734" w14:textId="798ACD22" w:rsidR="00183367" w:rsidRPr="009E6CE9" w:rsidRDefault="00183367" w:rsidP="009E6CE9">
      <w:pPr>
        <w:rPr>
          <w:rFonts w:ascii="Times New Roman" w:hAnsi="Times New Roman" w:cs="Times New Roman"/>
        </w:rPr>
      </w:pPr>
      <w:r w:rsidRPr="009E6CE9">
        <w:rPr>
          <w:rFonts w:ascii="Times New Roman" w:hAnsi="Times New Roman" w:cs="Times New Roman"/>
        </w:rPr>
        <w:t>References</w:t>
      </w:r>
    </w:p>
    <w:p w14:paraId="15AFAC1B" w14:textId="77777777" w:rsidR="00183367" w:rsidRPr="000E13E3" w:rsidRDefault="00183367" w:rsidP="009E6CE9">
      <w:pPr>
        <w:pStyle w:val="Bibliography"/>
        <w:rPr>
          <w:rFonts w:ascii="Times New Roman" w:hAnsi="Times New Roman" w:cs="Times New Roman"/>
        </w:rPr>
      </w:pPr>
      <w:r w:rsidRPr="000E13E3">
        <w:rPr>
          <w:rFonts w:ascii="Times New Roman" w:hAnsi="Times New Roman" w:cs="Times New Roman"/>
        </w:rPr>
        <w:fldChar w:fldCharType="begin"/>
      </w:r>
      <w:r w:rsidRPr="000E13E3">
        <w:rPr>
          <w:rFonts w:ascii="Times New Roman" w:hAnsi="Times New Roman" w:cs="Times New Roman"/>
        </w:rPr>
        <w:instrText xml:space="preserve"> ADDIN ZOTERO_BIBL {"uncited":[],"omitted":[],"custom":[]} CSL_BIBLIOGRAPHY </w:instrText>
      </w:r>
      <w:r w:rsidRPr="000E13E3">
        <w:rPr>
          <w:rFonts w:ascii="Times New Roman" w:hAnsi="Times New Roman" w:cs="Times New Roman"/>
        </w:rPr>
        <w:fldChar w:fldCharType="separate"/>
      </w:r>
      <w:r w:rsidRPr="000E13E3">
        <w:rPr>
          <w:rFonts w:ascii="Times New Roman" w:hAnsi="Times New Roman" w:cs="Times New Roman"/>
        </w:rPr>
        <w:t xml:space="preserve">Đokić, R., Koso-Drljević, M., &amp; Đapo, N. (2018). Working memory span tasks: Group administration and omitting accuracy criterion do not change metric characteristics. </w:t>
      </w:r>
      <w:r w:rsidRPr="000E13E3">
        <w:rPr>
          <w:rFonts w:ascii="Times New Roman" w:hAnsi="Times New Roman" w:cs="Times New Roman"/>
          <w:i/>
          <w:iCs/>
        </w:rPr>
        <w:t>PLoS ONE</w:t>
      </w:r>
      <w:r w:rsidRPr="000E13E3">
        <w:rPr>
          <w:rFonts w:ascii="Times New Roman" w:hAnsi="Times New Roman" w:cs="Times New Roman"/>
        </w:rPr>
        <w:t xml:space="preserve">, </w:t>
      </w:r>
      <w:r w:rsidRPr="000E13E3">
        <w:rPr>
          <w:rFonts w:ascii="Times New Roman" w:hAnsi="Times New Roman" w:cs="Times New Roman"/>
          <w:i/>
          <w:iCs/>
        </w:rPr>
        <w:t>13</w:t>
      </w:r>
      <w:r w:rsidRPr="000E13E3">
        <w:rPr>
          <w:rFonts w:ascii="Times New Roman" w:hAnsi="Times New Roman" w:cs="Times New Roman"/>
        </w:rPr>
        <w:t>(10). https://doi.org/10.1371/journal.pone.0205169</w:t>
      </w:r>
    </w:p>
    <w:p w14:paraId="0F6A38E4" w14:textId="77777777" w:rsidR="00183367" w:rsidRPr="000E13E3" w:rsidRDefault="00183367" w:rsidP="009E6CE9">
      <w:pPr>
        <w:pStyle w:val="Bibliography"/>
        <w:rPr>
          <w:rFonts w:ascii="Times New Roman" w:hAnsi="Times New Roman" w:cs="Times New Roman"/>
        </w:rPr>
      </w:pPr>
      <w:r w:rsidRPr="000E13E3">
        <w:rPr>
          <w:rFonts w:ascii="Times New Roman" w:hAnsi="Times New Roman" w:cs="Times New Roman"/>
        </w:rPr>
        <w:t xml:space="preserve">Redick, T. S., Shipstead, Z., Meier, M. E., Montroy, J. J., Hicks, K. L., Unsworth, N., Kane, M. J., Hambrick, D. Z., &amp; Engle, R. W. (2016). Cognitive predictors of a common multitasking ability: Contributions from working memory, attention control, and fluid intelligence. </w:t>
      </w:r>
      <w:r w:rsidRPr="000E13E3">
        <w:rPr>
          <w:rFonts w:ascii="Times New Roman" w:hAnsi="Times New Roman" w:cs="Times New Roman"/>
          <w:i/>
          <w:iCs/>
        </w:rPr>
        <w:t>Journal of Experimental Psychology. General</w:t>
      </w:r>
      <w:r w:rsidRPr="000E13E3">
        <w:rPr>
          <w:rFonts w:ascii="Times New Roman" w:hAnsi="Times New Roman" w:cs="Times New Roman"/>
        </w:rPr>
        <w:t xml:space="preserve">, </w:t>
      </w:r>
      <w:r w:rsidRPr="000E13E3">
        <w:rPr>
          <w:rFonts w:ascii="Times New Roman" w:hAnsi="Times New Roman" w:cs="Times New Roman"/>
          <w:i/>
          <w:iCs/>
        </w:rPr>
        <w:t>145</w:t>
      </w:r>
      <w:r w:rsidRPr="000E13E3">
        <w:rPr>
          <w:rFonts w:ascii="Times New Roman" w:hAnsi="Times New Roman" w:cs="Times New Roman"/>
        </w:rPr>
        <w:t>(11), 1473–1492. https://doi.org/10.1037/xge0000219</w:t>
      </w:r>
    </w:p>
    <w:p w14:paraId="79153554" w14:textId="77777777" w:rsidR="00183367" w:rsidRPr="000E13E3" w:rsidRDefault="00183367" w:rsidP="009E6CE9">
      <w:pPr>
        <w:pStyle w:val="Bibliography"/>
        <w:rPr>
          <w:rFonts w:ascii="Times New Roman" w:hAnsi="Times New Roman" w:cs="Times New Roman"/>
        </w:rPr>
      </w:pPr>
      <w:r w:rsidRPr="000E13E3">
        <w:rPr>
          <w:rFonts w:ascii="Times New Roman" w:hAnsi="Times New Roman" w:cs="Times New Roman"/>
        </w:rPr>
        <w:t xml:space="preserve">Rodgers, J. L., &amp; Nicewander, W. A. (1988). Thirteen Ways to Look at the Correlation Coefficient. </w:t>
      </w:r>
      <w:r w:rsidRPr="000E13E3">
        <w:rPr>
          <w:rFonts w:ascii="Times New Roman" w:hAnsi="Times New Roman" w:cs="Times New Roman"/>
          <w:i/>
          <w:iCs/>
        </w:rPr>
        <w:t>The American Statistician</w:t>
      </w:r>
      <w:r w:rsidRPr="000E13E3">
        <w:rPr>
          <w:rFonts w:ascii="Times New Roman" w:hAnsi="Times New Roman" w:cs="Times New Roman"/>
        </w:rPr>
        <w:t xml:space="preserve">, </w:t>
      </w:r>
      <w:r w:rsidRPr="000E13E3">
        <w:rPr>
          <w:rFonts w:ascii="Times New Roman" w:hAnsi="Times New Roman" w:cs="Times New Roman"/>
          <w:i/>
          <w:iCs/>
        </w:rPr>
        <w:t>42</w:t>
      </w:r>
      <w:r w:rsidRPr="000E13E3">
        <w:rPr>
          <w:rFonts w:ascii="Times New Roman" w:hAnsi="Times New Roman" w:cs="Times New Roman"/>
        </w:rPr>
        <w:t>(1), 59–66. https://doi.org/10.1080/00031305.1988.10475524</w:t>
      </w:r>
    </w:p>
    <w:p w14:paraId="3DABC1B1" w14:textId="2A6B13C3" w:rsidR="00183367" w:rsidRPr="000E13E3" w:rsidRDefault="006344CA" w:rsidP="009E6CE9">
      <w:pPr>
        <w:pStyle w:val="Bibliography"/>
        <w:rPr>
          <w:rFonts w:ascii="Times New Roman" w:hAnsi="Times New Roman" w:cs="Times New Roman"/>
        </w:rPr>
      </w:pPr>
      <w:r w:rsidRPr="000E13E3">
        <w:rPr>
          <w:rFonts w:ascii="Times New Roman" w:hAnsi="Times New Roman" w:cs="Times New Roman"/>
          <w:shd w:val="clear" w:color="auto" w:fill="FFFFFF"/>
        </w:rPr>
        <w:lastRenderedPageBreak/>
        <w:t>Silverman, I., Choi, J., Mackewn, A., Fisher, M., Moro, J., &amp; Olshansky, E. (2000). Evolved mechanisms underlying wayfinding: Further studies on the hunter-gatherer theory of spatial sex differences. </w:t>
      </w:r>
      <w:r w:rsidRPr="000E13E3">
        <w:rPr>
          <w:rFonts w:ascii="Times New Roman" w:hAnsi="Times New Roman" w:cs="Times New Roman"/>
          <w:i/>
          <w:iCs/>
          <w:shd w:val="clear" w:color="auto" w:fill="FFFFFF"/>
        </w:rPr>
        <w:t>Evolution and Human Behavior</w:t>
      </w:r>
      <w:r w:rsidRPr="000E13E3">
        <w:rPr>
          <w:rFonts w:ascii="Times New Roman" w:hAnsi="Times New Roman" w:cs="Times New Roman"/>
          <w:shd w:val="clear" w:color="auto" w:fill="FFFFFF"/>
        </w:rPr>
        <w:t>, </w:t>
      </w:r>
      <w:r w:rsidRPr="000E13E3">
        <w:rPr>
          <w:rFonts w:ascii="Times New Roman" w:hAnsi="Times New Roman" w:cs="Times New Roman"/>
          <w:i/>
          <w:iCs/>
          <w:shd w:val="clear" w:color="auto" w:fill="FFFFFF"/>
        </w:rPr>
        <w:t>21</w:t>
      </w:r>
      <w:r w:rsidRPr="000E13E3">
        <w:rPr>
          <w:rFonts w:ascii="Times New Roman" w:hAnsi="Times New Roman" w:cs="Times New Roman"/>
          <w:shd w:val="clear" w:color="auto" w:fill="FFFFFF"/>
        </w:rPr>
        <w:t>(3), 201-213.</w:t>
      </w:r>
      <w:r w:rsidRPr="000E13E3">
        <w:rPr>
          <w:rFonts w:ascii="Times New Roman" w:hAnsi="Times New Roman" w:cs="Times New Roman"/>
        </w:rPr>
        <w:t xml:space="preserve"> </w:t>
      </w:r>
    </w:p>
    <w:p w14:paraId="0132659E" w14:textId="562C1C88" w:rsidR="00183367" w:rsidRPr="000E13E3" w:rsidRDefault="000E13E3" w:rsidP="009E6CE9">
      <w:pPr>
        <w:pStyle w:val="Bibliography"/>
        <w:rPr>
          <w:rFonts w:ascii="Times New Roman" w:hAnsi="Times New Roman" w:cs="Times New Roman"/>
        </w:rPr>
      </w:pPr>
      <w:r w:rsidRPr="000E13E3">
        <w:rPr>
          <w:rFonts w:ascii="Times New Roman" w:hAnsi="Times New Roman" w:cs="Times New Roman"/>
        </w:rPr>
        <w:t>Weisberg, S. M., &amp; Newcombe, N. S. (2016). How do (some) people make a cognitive map? Routes, places, and working memory. </w:t>
      </w:r>
      <w:r w:rsidRPr="000E13E3">
        <w:rPr>
          <w:rFonts w:ascii="Times New Roman" w:hAnsi="Times New Roman" w:cs="Times New Roman"/>
          <w:i/>
          <w:iCs/>
        </w:rPr>
        <w:t>Journal of Experimental Psychology: Learning, Memory, and Cognition</w:t>
      </w:r>
      <w:r w:rsidRPr="000E13E3">
        <w:rPr>
          <w:rFonts w:ascii="Times New Roman" w:hAnsi="Times New Roman" w:cs="Times New Roman"/>
        </w:rPr>
        <w:t>, </w:t>
      </w:r>
      <w:r w:rsidRPr="000E13E3">
        <w:rPr>
          <w:rFonts w:ascii="Times New Roman" w:hAnsi="Times New Roman" w:cs="Times New Roman"/>
          <w:i/>
          <w:iCs/>
        </w:rPr>
        <w:t>42</w:t>
      </w:r>
      <w:r w:rsidRPr="000E13E3">
        <w:rPr>
          <w:rFonts w:ascii="Times New Roman" w:hAnsi="Times New Roman" w:cs="Times New Roman"/>
        </w:rPr>
        <w:t>(5), 768.</w:t>
      </w:r>
    </w:p>
    <w:p w14:paraId="5CEC7DEC" w14:textId="16FF7922" w:rsidR="00183367" w:rsidRPr="004B374C" w:rsidRDefault="00183367" w:rsidP="00FB6675">
      <w:pPr>
        <w:pStyle w:val="ListParagraph"/>
        <w:rPr>
          <w:rFonts w:ascii="Times New Roman" w:hAnsi="Times New Roman" w:cs="Times New Roman"/>
        </w:rPr>
      </w:pPr>
      <w:r w:rsidRPr="000E13E3">
        <w:rPr>
          <w:rFonts w:ascii="Times New Roman" w:hAnsi="Times New Roman" w:cs="Times New Roman"/>
        </w:rPr>
        <w:fldChar w:fldCharType="end"/>
      </w:r>
    </w:p>
    <w:sectPr w:rsidR="00183367" w:rsidRPr="004B374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A6F17" w14:textId="77777777" w:rsidR="00800E47" w:rsidRDefault="00800E47" w:rsidP="00AF32F5">
      <w:pPr>
        <w:spacing w:after="0" w:line="240" w:lineRule="auto"/>
      </w:pPr>
      <w:r>
        <w:separator/>
      </w:r>
    </w:p>
  </w:endnote>
  <w:endnote w:type="continuationSeparator" w:id="0">
    <w:p w14:paraId="5B570FCA" w14:textId="77777777" w:rsidR="00800E47" w:rsidRDefault="00800E47" w:rsidP="00AF3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4108366"/>
      <w:docPartObj>
        <w:docPartGallery w:val="Page Numbers (Bottom of Page)"/>
        <w:docPartUnique/>
      </w:docPartObj>
    </w:sdtPr>
    <w:sdtEndPr>
      <w:rPr>
        <w:noProof/>
      </w:rPr>
    </w:sdtEndPr>
    <w:sdtContent>
      <w:p w14:paraId="70FA31AC" w14:textId="17174CAC" w:rsidR="00AF32F5" w:rsidRDefault="00AF32F5">
        <w:pPr>
          <w:pStyle w:val="Footer"/>
          <w:jc w:val="center"/>
        </w:pPr>
        <w:r>
          <w:fldChar w:fldCharType="begin"/>
        </w:r>
        <w:r>
          <w:instrText xml:space="preserve"> PAGE   \* MERGEFORMAT </w:instrText>
        </w:r>
        <w:r>
          <w:fldChar w:fldCharType="separate"/>
        </w:r>
        <w:r w:rsidR="0040447B">
          <w:rPr>
            <w:noProof/>
          </w:rPr>
          <w:t>7</w:t>
        </w:r>
        <w:r>
          <w:rPr>
            <w:noProof/>
          </w:rPr>
          <w:fldChar w:fldCharType="end"/>
        </w:r>
      </w:p>
    </w:sdtContent>
  </w:sdt>
  <w:p w14:paraId="70A8AA99" w14:textId="77777777" w:rsidR="00AF32F5" w:rsidRDefault="00AF3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289AE" w14:textId="77777777" w:rsidR="00800E47" w:rsidRDefault="00800E47" w:rsidP="00AF32F5">
      <w:pPr>
        <w:spacing w:after="0" w:line="240" w:lineRule="auto"/>
      </w:pPr>
      <w:r>
        <w:separator/>
      </w:r>
    </w:p>
  </w:footnote>
  <w:footnote w:type="continuationSeparator" w:id="0">
    <w:p w14:paraId="73CE24E1" w14:textId="77777777" w:rsidR="00800E47" w:rsidRDefault="00800E47" w:rsidP="00AF3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B73977"/>
    <w:multiLevelType w:val="hybridMultilevel"/>
    <w:tmpl w:val="5AD89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89C"/>
    <w:rsid w:val="00002840"/>
    <w:rsid w:val="000117C7"/>
    <w:rsid w:val="0002240F"/>
    <w:rsid w:val="00037F84"/>
    <w:rsid w:val="000521E3"/>
    <w:rsid w:val="000749B4"/>
    <w:rsid w:val="000821E1"/>
    <w:rsid w:val="000927AA"/>
    <w:rsid w:val="000B194B"/>
    <w:rsid w:val="000B7D3F"/>
    <w:rsid w:val="000E0B1B"/>
    <w:rsid w:val="000E13E3"/>
    <w:rsid w:val="000F7D09"/>
    <w:rsid w:val="00113038"/>
    <w:rsid w:val="00114265"/>
    <w:rsid w:val="00114ABD"/>
    <w:rsid w:val="0012257F"/>
    <w:rsid w:val="0012529F"/>
    <w:rsid w:val="001426B0"/>
    <w:rsid w:val="00143660"/>
    <w:rsid w:val="00174B46"/>
    <w:rsid w:val="0017546B"/>
    <w:rsid w:val="00183367"/>
    <w:rsid w:val="001B07C0"/>
    <w:rsid w:val="001B0AC9"/>
    <w:rsid w:val="001C2B86"/>
    <w:rsid w:val="002067AC"/>
    <w:rsid w:val="0021390A"/>
    <w:rsid w:val="00245AD7"/>
    <w:rsid w:val="0029325F"/>
    <w:rsid w:val="002A3B45"/>
    <w:rsid w:val="002A7F20"/>
    <w:rsid w:val="002E192D"/>
    <w:rsid w:val="002E3915"/>
    <w:rsid w:val="002E5F0F"/>
    <w:rsid w:val="00307960"/>
    <w:rsid w:val="003134B3"/>
    <w:rsid w:val="003142E9"/>
    <w:rsid w:val="00315AE4"/>
    <w:rsid w:val="003245BA"/>
    <w:rsid w:val="00347FDA"/>
    <w:rsid w:val="00357022"/>
    <w:rsid w:val="003739F6"/>
    <w:rsid w:val="00374EE7"/>
    <w:rsid w:val="00376543"/>
    <w:rsid w:val="00387A7B"/>
    <w:rsid w:val="003A293A"/>
    <w:rsid w:val="003C0288"/>
    <w:rsid w:val="003C1047"/>
    <w:rsid w:val="003C63D2"/>
    <w:rsid w:val="003C6791"/>
    <w:rsid w:val="003F6AF6"/>
    <w:rsid w:val="0040177A"/>
    <w:rsid w:val="00402433"/>
    <w:rsid w:val="0040447B"/>
    <w:rsid w:val="004079AA"/>
    <w:rsid w:val="0043357C"/>
    <w:rsid w:val="004401B6"/>
    <w:rsid w:val="0045720E"/>
    <w:rsid w:val="00463BD9"/>
    <w:rsid w:val="00466845"/>
    <w:rsid w:val="00466E81"/>
    <w:rsid w:val="00480507"/>
    <w:rsid w:val="004B374C"/>
    <w:rsid w:val="004B4004"/>
    <w:rsid w:val="004B47DA"/>
    <w:rsid w:val="004C5148"/>
    <w:rsid w:val="004D65E7"/>
    <w:rsid w:val="004E7CC5"/>
    <w:rsid w:val="004F4CE0"/>
    <w:rsid w:val="005125EB"/>
    <w:rsid w:val="00515222"/>
    <w:rsid w:val="00525580"/>
    <w:rsid w:val="00556854"/>
    <w:rsid w:val="00557BD0"/>
    <w:rsid w:val="005870B0"/>
    <w:rsid w:val="005968D5"/>
    <w:rsid w:val="005D10F1"/>
    <w:rsid w:val="005E0388"/>
    <w:rsid w:val="005F508E"/>
    <w:rsid w:val="005F6E51"/>
    <w:rsid w:val="00602043"/>
    <w:rsid w:val="00605E5E"/>
    <w:rsid w:val="006161CA"/>
    <w:rsid w:val="00617C3E"/>
    <w:rsid w:val="006344CA"/>
    <w:rsid w:val="00641231"/>
    <w:rsid w:val="00641372"/>
    <w:rsid w:val="00656660"/>
    <w:rsid w:val="00660E64"/>
    <w:rsid w:val="006677F8"/>
    <w:rsid w:val="00673180"/>
    <w:rsid w:val="00676021"/>
    <w:rsid w:val="0069239E"/>
    <w:rsid w:val="00694ACC"/>
    <w:rsid w:val="006A72B2"/>
    <w:rsid w:val="006B395F"/>
    <w:rsid w:val="006C3BD7"/>
    <w:rsid w:val="006D5FBE"/>
    <w:rsid w:val="006E0F6F"/>
    <w:rsid w:val="0070615C"/>
    <w:rsid w:val="00707E7C"/>
    <w:rsid w:val="00727E8E"/>
    <w:rsid w:val="00741B9A"/>
    <w:rsid w:val="00747700"/>
    <w:rsid w:val="00755870"/>
    <w:rsid w:val="0075789C"/>
    <w:rsid w:val="007674E9"/>
    <w:rsid w:val="007A03BC"/>
    <w:rsid w:val="007A3F25"/>
    <w:rsid w:val="007A70B9"/>
    <w:rsid w:val="007B423B"/>
    <w:rsid w:val="007C1240"/>
    <w:rsid w:val="007C30A0"/>
    <w:rsid w:val="007C3D04"/>
    <w:rsid w:val="007D4CA4"/>
    <w:rsid w:val="007D7C23"/>
    <w:rsid w:val="007E053C"/>
    <w:rsid w:val="007E347E"/>
    <w:rsid w:val="007F61FE"/>
    <w:rsid w:val="007F63F9"/>
    <w:rsid w:val="00800E47"/>
    <w:rsid w:val="008215C0"/>
    <w:rsid w:val="00825FE2"/>
    <w:rsid w:val="008330B2"/>
    <w:rsid w:val="00834719"/>
    <w:rsid w:val="00836E68"/>
    <w:rsid w:val="00840F2C"/>
    <w:rsid w:val="00842998"/>
    <w:rsid w:val="0084533C"/>
    <w:rsid w:val="00872672"/>
    <w:rsid w:val="008A70C3"/>
    <w:rsid w:val="008B3C66"/>
    <w:rsid w:val="008C423E"/>
    <w:rsid w:val="008F7E91"/>
    <w:rsid w:val="00902793"/>
    <w:rsid w:val="00931ADA"/>
    <w:rsid w:val="00943C47"/>
    <w:rsid w:val="00945E1C"/>
    <w:rsid w:val="00946D31"/>
    <w:rsid w:val="00947DDE"/>
    <w:rsid w:val="0095028F"/>
    <w:rsid w:val="009502A4"/>
    <w:rsid w:val="00954117"/>
    <w:rsid w:val="00967FAD"/>
    <w:rsid w:val="00975428"/>
    <w:rsid w:val="00986D22"/>
    <w:rsid w:val="009B0AEB"/>
    <w:rsid w:val="009C0514"/>
    <w:rsid w:val="009D6074"/>
    <w:rsid w:val="009E1F20"/>
    <w:rsid w:val="009E6CE9"/>
    <w:rsid w:val="009E7896"/>
    <w:rsid w:val="00A169E6"/>
    <w:rsid w:val="00A175C2"/>
    <w:rsid w:val="00A24671"/>
    <w:rsid w:val="00A501B9"/>
    <w:rsid w:val="00A61DA9"/>
    <w:rsid w:val="00A72CDA"/>
    <w:rsid w:val="00A74DF5"/>
    <w:rsid w:val="00A82A8C"/>
    <w:rsid w:val="00AA0ADA"/>
    <w:rsid w:val="00AB321D"/>
    <w:rsid w:val="00AC2493"/>
    <w:rsid w:val="00AD5AF5"/>
    <w:rsid w:val="00AF32F5"/>
    <w:rsid w:val="00B000CF"/>
    <w:rsid w:val="00B03710"/>
    <w:rsid w:val="00B06865"/>
    <w:rsid w:val="00B07AC2"/>
    <w:rsid w:val="00B07E8A"/>
    <w:rsid w:val="00B11146"/>
    <w:rsid w:val="00B1542C"/>
    <w:rsid w:val="00B168E9"/>
    <w:rsid w:val="00B174C6"/>
    <w:rsid w:val="00B23117"/>
    <w:rsid w:val="00B2726C"/>
    <w:rsid w:val="00B37AC6"/>
    <w:rsid w:val="00B60645"/>
    <w:rsid w:val="00B61868"/>
    <w:rsid w:val="00B630C8"/>
    <w:rsid w:val="00B72066"/>
    <w:rsid w:val="00B757F7"/>
    <w:rsid w:val="00BB09C0"/>
    <w:rsid w:val="00BD00D3"/>
    <w:rsid w:val="00BE09FB"/>
    <w:rsid w:val="00BE439D"/>
    <w:rsid w:val="00BF1540"/>
    <w:rsid w:val="00BF600B"/>
    <w:rsid w:val="00C60C64"/>
    <w:rsid w:val="00C7720C"/>
    <w:rsid w:val="00C83990"/>
    <w:rsid w:val="00CB5DED"/>
    <w:rsid w:val="00CB7999"/>
    <w:rsid w:val="00CE6705"/>
    <w:rsid w:val="00D23CD6"/>
    <w:rsid w:val="00D345C2"/>
    <w:rsid w:val="00D352C8"/>
    <w:rsid w:val="00D42B57"/>
    <w:rsid w:val="00D4372B"/>
    <w:rsid w:val="00D45AF4"/>
    <w:rsid w:val="00D57338"/>
    <w:rsid w:val="00D64F81"/>
    <w:rsid w:val="00D654E4"/>
    <w:rsid w:val="00D876BE"/>
    <w:rsid w:val="00DD3A44"/>
    <w:rsid w:val="00DD4878"/>
    <w:rsid w:val="00DD76DD"/>
    <w:rsid w:val="00E017B8"/>
    <w:rsid w:val="00E01D5D"/>
    <w:rsid w:val="00E103CC"/>
    <w:rsid w:val="00E3478E"/>
    <w:rsid w:val="00E4259A"/>
    <w:rsid w:val="00E512C4"/>
    <w:rsid w:val="00E56FC8"/>
    <w:rsid w:val="00E85693"/>
    <w:rsid w:val="00E92AE0"/>
    <w:rsid w:val="00EA54AA"/>
    <w:rsid w:val="00EF657C"/>
    <w:rsid w:val="00F14B1B"/>
    <w:rsid w:val="00F257F2"/>
    <w:rsid w:val="00F27A1D"/>
    <w:rsid w:val="00F37AA5"/>
    <w:rsid w:val="00F4326F"/>
    <w:rsid w:val="00F52678"/>
    <w:rsid w:val="00F53237"/>
    <w:rsid w:val="00F55F9F"/>
    <w:rsid w:val="00F576FF"/>
    <w:rsid w:val="00F57DDC"/>
    <w:rsid w:val="00FB6675"/>
    <w:rsid w:val="00FE0A15"/>
    <w:rsid w:val="00FE4143"/>
    <w:rsid w:val="00FE59C1"/>
    <w:rsid w:val="00FE76B2"/>
    <w:rsid w:val="00FF5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6398A"/>
  <w15:chartTrackingRefBased/>
  <w15:docId w15:val="{5768ACB8-BBCB-479D-A54B-1D6357A9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2F5"/>
  </w:style>
  <w:style w:type="paragraph" w:styleId="Footer">
    <w:name w:val="footer"/>
    <w:basedOn w:val="Normal"/>
    <w:link w:val="FooterChar"/>
    <w:uiPriority w:val="99"/>
    <w:unhideWhenUsed/>
    <w:rsid w:val="00AF3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2F5"/>
  </w:style>
  <w:style w:type="character" w:styleId="CommentReference">
    <w:name w:val="annotation reference"/>
    <w:basedOn w:val="DefaultParagraphFont"/>
    <w:uiPriority w:val="99"/>
    <w:semiHidden/>
    <w:unhideWhenUsed/>
    <w:rsid w:val="007B423B"/>
    <w:rPr>
      <w:sz w:val="16"/>
      <w:szCs w:val="16"/>
    </w:rPr>
  </w:style>
  <w:style w:type="paragraph" w:styleId="CommentText">
    <w:name w:val="annotation text"/>
    <w:basedOn w:val="Normal"/>
    <w:link w:val="CommentTextChar"/>
    <w:uiPriority w:val="99"/>
    <w:semiHidden/>
    <w:unhideWhenUsed/>
    <w:rsid w:val="007B423B"/>
    <w:pPr>
      <w:spacing w:line="240" w:lineRule="auto"/>
    </w:pPr>
    <w:rPr>
      <w:sz w:val="20"/>
      <w:szCs w:val="20"/>
    </w:rPr>
  </w:style>
  <w:style w:type="character" w:customStyle="1" w:styleId="CommentTextChar">
    <w:name w:val="Comment Text Char"/>
    <w:basedOn w:val="DefaultParagraphFont"/>
    <w:link w:val="CommentText"/>
    <w:uiPriority w:val="99"/>
    <w:semiHidden/>
    <w:rsid w:val="007B423B"/>
    <w:rPr>
      <w:sz w:val="20"/>
      <w:szCs w:val="20"/>
    </w:rPr>
  </w:style>
  <w:style w:type="paragraph" w:styleId="CommentSubject">
    <w:name w:val="annotation subject"/>
    <w:basedOn w:val="CommentText"/>
    <w:next w:val="CommentText"/>
    <w:link w:val="CommentSubjectChar"/>
    <w:uiPriority w:val="99"/>
    <w:semiHidden/>
    <w:unhideWhenUsed/>
    <w:rsid w:val="007B423B"/>
    <w:rPr>
      <w:b/>
      <w:bCs/>
    </w:rPr>
  </w:style>
  <w:style w:type="character" w:customStyle="1" w:styleId="CommentSubjectChar">
    <w:name w:val="Comment Subject Char"/>
    <w:basedOn w:val="CommentTextChar"/>
    <w:link w:val="CommentSubject"/>
    <w:uiPriority w:val="99"/>
    <w:semiHidden/>
    <w:rsid w:val="007B423B"/>
    <w:rPr>
      <w:b/>
      <w:bCs/>
      <w:sz w:val="20"/>
      <w:szCs w:val="20"/>
    </w:rPr>
  </w:style>
  <w:style w:type="paragraph" w:styleId="BalloonText">
    <w:name w:val="Balloon Text"/>
    <w:basedOn w:val="Normal"/>
    <w:link w:val="BalloonTextChar"/>
    <w:uiPriority w:val="99"/>
    <w:semiHidden/>
    <w:unhideWhenUsed/>
    <w:rsid w:val="007B4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23B"/>
    <w:rPr>
      <w:rFonts w:ascii="Segoe UI" w:hAnsi="Segoe UI" w:cs="Segoe UI"/>
      <w:sz w:val="18"/>
      <w:szCs w:val="18"/>
    </w:rPr>
  </w:style>
  <w:style w:type="character" w:styleId="Hyperlink">
    <w:name w:val="Hyperlink"/>
    <w:basedOn w:val="DefaultParagraphFont"/>
    <w:uiPriority w:val="99"/>
    <w:unhideWhenUsed/>
    <w:rsid w:val="00F14B1B"/>
    <w:rPr>
      <w:color w:val="0563C1" w:themeColor="hyperlink"/>
      <w:u w:val="single"/>
    </w:rPr>
  </w:style>
  <w:style w:type="character" w:customStyle="1" w:styleId="UnresolvedMention1">
    <w:name w:val="Unresolved Mention1"/>
    <w:basedOn w:val="DefaultParagraphFont"/>
    <w:uiPriority w:val="99"/>
    <w:semiHidden/>
    <w:unhideWhenUsed/>
    <w:rsid w:val="0029325F"/>
    <w:rPr>
      <w:color w:val="605E5C"/>
      <w:shd w:val="clear" w:color="auto" w:fill="E1DFDD"/>
    </w:rPr>
  </w:style>
  <w:style w:type="paragraph" w:styleId="ListParagraph">
    <w:name w:val="List Paragraph"/>
    <w:basedOn w:val="Normal"/>
    <w:uiPriority w:val="34"/>
    <w:qFormat/>
    <w:rsid w:val="00F55F9F"/>
    <w:pPr>
      <w:ind w:left="720"/>
      <w:contextualSpacing/>
    </w:pPr>
  </w:style>
  <w:style w:type="paragraph" w:styleId="Bibliography">
    <w:name w:val="Bibliography"/>
    <w:basedOn w:val="Normal"/>
    <w:next w:val="Normal"/>
    <w:uiPriority w:val="37"/>
    <w:unhideWhenUsed/>
    <w:rsid w:val="00183367"/>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8205">
      <w:bodyDiv w:val="1"/>
      <w:marLeft w:val="0"/>
      <w:marRight w:val="0"/>
      <w:marTop w:val="0"/>
      <w:marBottom w:val="0"/>
      <w:divBdr>
        <w:top w:val="none" w:sz="0" w:space="0" w:color="auto"/>
        <w:left w:val="none" w:sz="0" w:space="0" w:color="auto"/>
        <w:bottom w:val="none" w:sz="0" w:space="0" w:color="auto"/>
        <w:right w:val="none" w:sz="0" w:space="0" w:color="auto"/>
      </w:divBdr>
    </w:div>
    <w:div w:id="73288566">
      <w:bodyDiv w:val="1"/>
      <w:marLeft w:val="0"/>
      <w:marRight w:val="0"/>
      <w:marTop w:val="0"/>
      <w:marBottom w:val="0"/>
      <w:divBdr>
        <w:top w:val="none" w:sz="0" w:space="0" w:color="auto"/>
        <w:left w:val="none" w:sz="0" w:space="0" w:color="auto"/>
        <w:bottom w:val="none" w:sz="0" w:space="0" w:color="auto"/>
        <w:right w:val="none" w:sz="0" w:space="0" w:color="auto"/>
      </w:divBdr>
    </w:div>
    <w:div w:id="245387382">
      <w:bodyDiv w:val="1"/>
      <w:marLeft w:val="0"/>
      <w:marRight w:val="0"/>
      <w:marTop w:val="0"/>
      <w:marBottom w:val="0"/>
      <w:divBdr>
        <w:top w:val="none" w:sz="0" w:space="0" w:color="auto"/>
        <w:left w:val="none" w:sz="0" w:space="0" w:color="auto"/>
        <w:bottom w:val="none" w:sz="0" w:space="0" w:color="auto"/>
        <w:right w:val="none" w:sz="0" w:space="0" w:color="auto"/>
      </w:divBdr>
    </w:div>
    <w:div w:id="246890050">
      <w:bodyDiv w:val="1"/>
      <w:marLeft w:val="0"/>
      <w:marRight w:val="0"/>
      <w:marTop w:val="0"/>
      <w:marBottom w:val="0"/>
      <w:divBdr>
        <w:top w:val="none" w:sz="0" w:space="0" w:color="auto"/>
        <w:left w:val="none" w:sz="0" w:space="0" w:color="auto"/>
        <w:bottom w:val="none" w:sz="0" w:space="0" w:color="auto"/>
        <w:right w:val="none" w:sz="0" w:space="0" w:color="auto"/>
      </w:divBdr>
    </w:div>
    <w:div w:id="278073080">
      <w:bodyDiv w:val="1"/>
      <w:marLeft w:val="0"/>
      <w:marRight w:val="0"/>
      <w:marTop w:val="0"/>
      <w:marBottom w:val="0"/>
      <w:divBdr>
        <w:top w:val="none" w:sz="0" w:space="0" w:color="auto"/>
        <w:left w:val="none" w:sz="0" w:space="0" w:color="auto"/>
        <w:bottom w:val="none" w:sz="0" w:space="0" w:color="auto"/>
        <w:right w:val="none" w:sz="0" w:space="0" w:color="auto"/>
      </w:divBdr>
    </w:div>
    <w:div w:id="376586016">
      <w:bodyDiv w:val="1"/>
      <w:marLeft w:val="0"/>
      <w:marRight w:val="0"/>
      <w:marTop w:val="0"/>
      <w:marBottom w:val="0"/>
      <w:divBdr>
        <w:top w:val="none" w:sz="0" w:space="0" w:color="auto"/>
        <w:left w:val="none" w:sz="0" w:space="0" w:color="auto"/>
        <w:bottom w:val="none" w:sz="0" w:space="0" w:color="auto"/>
        <w:right w:val="none" w:sz="0" w:space="0" w:color="auto"/>
      </w:divBdr>
    </w:div>
    <w:div w:id="690034665">
      <w:bodyDiv w:val="1"/>
      <w:marLeft w:val="0"/>
      <w:marRight w:val="0"/>
      <w:marTop w:val="0"/>
      <w:marBottom w:val="0"/>
      <w:divBdr>
        <w:top w:val="none" w:sz="0" w:space="0" w:color="auto"/>
        <w:left w:val="none" w:sz="0" w:space="0" w:color="auto"/>
        <w:bottom w:val="none" w:sz="0" w:space="0" w:color="auto"/>
        <w:right w:val="none" w:sz="0" w:space="0" w:color="auto"/>
      </w:divBdr>
    </w:div>
    <w:div w:id="773868067">
      <w:bodyDiv w:val="1"/>
      <w:marLeft w:val="0"/>
      <w:marRight w:val="0"/>
      <w:marTop w:val="0"/>
      <w:marBottom w:val="0"/>
      <w:divBdr>
        <w:top w:val="none" w:sz="0" w:space="0" w:color="auto"/>
        <w:left w:val="none" w:sz="0" w:space="0" w:color="auto"/>
        <w:bottom w:val="none" w:sz="0" w:space="0" w:color="auto"/>
        <w:right w:val="none" w:sz="0" w:space="0" w:color="auto"/>
      </w:divBdr>
    </w:div>
    <w:div w:id="893470933">
      <w:bodyDiv w:val="1"/>
      <w:marLeft w:val="0"/>
      <w:marRight w:val="0"/>
      <w:marTop w:val="0"/>
      <w:marBottom w:val="0"/>
      <w:divBdr>
        <w:top w:val="none" w:sz="0" w:space="0" w:color="auto"/>
        <w:left w:val="none" w:sz="0" w:space="0" w:color="auto"/>
        <w:bottom w:val="none" w:sz="0" w:space="0" w:color="auto"/>
        <w:right w:val="none" w:sz="0" w:space="0" w:color="auto"/>
      </w:divBdr>
    </w:div>
    <w:div w:id="1180663124">
      <w:bodyDiv w:val="1"/>
      <w:marLeft w:val="0"/>
      <w:marRight w:val="0"/>
      <w:marTop w:val="0"/>
      <w:marBottom w:val="0"/>
      <w:divBdr>
        <w:top w:val="none" w:sz="0" w:space="0" w:color="auto"/>
        <w:left w:val="none" w:sz="0" w:space="0" w:color="auto"/>
        <w:bottom w:val="none" w:sz="0" w:space="0" w:color="auto"/>
        <w:right w:val="none" w:sz="0" w:space="0" w:color="auto"/>
      </w:divBdr>
    </w:div>
    <w:div w:id="1604529326">
      <w:bodyDiv w:val="1"/>
      <w:marLeft w:val="0"/>
      <w:marRight w:val="0"/>
      <w:marTop w:val="0"/>
      <w:marBottom w:val="0"/>
      <w:divBdr>
        <w:top w:val="none" w:sz="0" w:space="0" w:color="auto"/>
        <w:left w:val="none" w:sz="0" w:space="0" w:color="auto"/>
        <w:bottom w:val="none" w:sz="0" w:space="0" w:color="auto"/>
        <w:right w:val="none" w:sz="0" w:space="0" w:color="auto"/>
      </w:divBdr>
    </w:div>
    <w:div w:id="1622027169">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p2q8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89613-B1D6-4AB6-9A90-8DF4CA6B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6442</Words>
  <Characters>36723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Qiliang He</dc:creator>
  <cp:keywords/>
  <dc:description/>
  <cp:lastModifiedBy>Qiliang</cp:lastModifiedBy>
  <cp:revision>15</cp:revision>
  <cp:lastPrinted>2019-05-10T13:49:00Z</cp:lastPrinted>
  <dcterms:created xsi:type="dcterms:W3CDTF">2020-01-07T20:43:00Z</dcterms:created>
  <dcterms:modified xsi:type="dcterms:W3CDTF">2020-07-16T17:44:00Z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id="SITjvqXq"/&gt;&lt;style id="http://www.zotero.org/styles/apa" locale="en-US" hasBibliography="1" bibliographyStyleHasBeenSet="1"/&gt;&lt;prefs&gt;&lt;pref name="fieldType" value="Field"/&gt;&lt;/prefs&gt;&lt;/data&gt;</vt:lpwstr>
  </property>
</Properties>
</file>