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DF7506" w14:textId="568C3E0B" w:rsidR="00446CD5" w:rsidRDefault="00446CD5" w:rsidP="00BC759C">
      <w:pPr>
        <w:spacing w:after="0" w:line="480" w:lineRule="auto"/>
        <w:contextualSpacing/>
        <w:jc w:val="center"/>
        <w:outlineLvl w:val="0"/>
        <w:rPr>
          <w:b/>
        </w:rPr>
      </w:pPr>
      <w:bookmarkStart w:id="0" w:name="_GoBack"/>
      <w:bookmarkEnd w:id="0"/>
      <w:r>
        <w:rPr>
          <w:b/>
        </w:rPr>
        <w:t xml:space="preserve">Supplementary </w:t>
      </w:r>
      <w:r w:rsidR="00D8231F">
        <w:rPr>
          <w:b/>
        </w:rPr>
        <w:t>Results</w:t>
      </w:r>
    </w:p>
    <w:p w14:paraId="7807992D" w14:textId="1AB8951F" w:rsidR="00D8231F" w:rsidRDefault="00D8231F" w:rsidP="00D948DE">
      <w:pPr>
        <w:spacing w:after="0" w:line="480" w:lineRule="auto"/>
        <w:contextualSpacing/>
      </w:pPr>
      <w:r>
        <w:t xml:space="preserve">In Experiment 1, we selected a limited range of stimulus intensity values for analyses in order to investigate how training affected stimulus sensitivity, confidence, and metacognitive efficiency. Specifically, we </w:t>
      </w:r>
      <w:r w:rsidR="000D46E0">
        <w:t>considered all stimulus intensity values used across the seven days and selected all intensities within the 35-65 percentile. We used a relatively small window in order to avoid</w:t>
      </w:r>
      <w:r w:rsidR="00845D06">
        <w:t xml:space="preserve"> excessive stimulus variability. However, this choice may appear arbitrary. Therefore, we tested the robustness of our results to using larger ranges of intensity values. In three </w:t>
      </w:r>
      <w:r w:rsidR="00940C85">
        <w:t>more</w:t>
      </w:r>
      <w:r w:rsidR="00845D06">
        <w:t xml:space="preserve"> analyses, we selected </w:t>
      </w:r>
      <w:r w:rsidR="00C82A47">
        <w:t xml:space="preserve">all intensities within </w:t>
      </w:r>
      <w:r w:rsidR="00845D06">
        <w:t>30-70, 20-80, and 10-90</w:t>
      </w:r>
      <w:r w:rsidR="00C82A47">
        <w:t xml:space="preserve"> percentile of all intensities. We found that when considering these intensity ranges, we still found the same increase in stimulus sensitivity </w:t>
      </w:r>
      <w:r w:rsidR="00C82A47">
        <w:rPr>
          <w:i/>
        </w:rPr>
        <w:t xml:space="preserve">d’ </w:t>
      </w:r>
      <w:r w:rsidR="00C82A47">
        <w:t>(</w:t>
      </w:r>
      <w:r w:rsidR="00B87D0E">
        <w:t>30-70</w:t>
      </w:r>
      <w:r w:rsidR="00CB4827">
        <w:t xml:space="preserve"> percentile</w:t>
      </w:r>
      <w:r w:rsidR="00B87D0E">
        <w:t xml:space="preserve">: </w:t>
      </w:r>
      <w:r w:rsidR="00BA7B89">
        <w:t>t(11)</w:t>
      </w:r>
      <w:r w:rsidR="00B87D0E" w:rsidRPr="00D566D7">
        <w:t xml:space="preserve"> = </w:t>
      </w:r>
      <w:r w:rsidR="00CB4827">
        <w:t>4</w:t>
      </w:r>
      <w:r w:rsidR="00B87D0E" w:rsidRPr="00D566D7">
        <w:t>.</w:t>
      </w:r>
      <w:r w:rsidR="00CB4827">
        <w:t>92</w:t>
      </w:r>
      <w:r w:rsidR="00B87D0E" w:rsidRPr="00D566D7">
        <w:t xml:space="preserve">, </w:t>
      </w:r>
      <w:r w:rsidR="00B87D0E" w:rsidRPr="00D566D7">
        <w:rPr>
          <w:i/>
        </w:rPr>
        <w:t>p</w:t>
      </w:r>
      <w:r w:rsidR="00B87D0E" w:rsidRPr="00D566D7">
        <w:t xml:space="preserve"> = .000</w:t>
      </w:r>
      <w:r w:rsidR="00CB4827">
        <w:t xml:space="preserve">5; </w:t>
      </w:r>
      <w:r w:rsidR="000C28FD">
        <w:t>2</w:t>
      </w:r>
      <w:r w:rsidR="00CB4827">
        <w:t>0-</w:t>
      </w:r>
      <w:r w:rsidR="000C28FD">
        <w:t>8</w:t>
      </w:r>
      <w:r w:rsidR="00CB4827">
        <w:t xml:space="preserve">0 percentile: </w:t>
      </w:r>
      <w:r w:rsidR="00BA7B89">
        <w:t>t(11)</w:t>
      </w:r>
      <w:r w:rsidR="00CB4827" w:rsidRPr="00D566D7">
        <w:t xml:space="preserve"> = </w:t>
      </w:r>
      <w:r w:rsidR="008B1158">
        <w:t>5</w:t>
      </w:r>
      <w:r w:rsidR="00CB4827" w:rsidRPr="00D566D7">
        <w:t>.</w:t>
      </w:r>
      <w:r w:rsidR="008B1158">
        <w:t>65</w:t>
      </w:r>
      <w:r w:rsidR="00CB4827" w:rsidRPr="00D566D7">
        <w:t xml:space="preserve">, </w:t>
      </w:r>
      <w:r w:rsidR="00CB4827" w:rsidRPr="00D566D7">
        <w:rPr>
          <w:i/>
        </w:rPr>
        <w:t>p</w:t>
      </w:r>
      <w:r w:rsidR="00CB4827" w:rsidRPr="00D566D7">
        <w:t xml:space="preserve"> = .000</w:t>
      </w:r>
      <w:r w:rsidR="008B1158">
        <w:t>1</w:t>
      </w:r>
      <w:r w:rsidR="00CB4827">
        <w:t xml:space="preserve">; </w:t>
      </w:r>
      <w:r w:rsidR="000C28FD">
        <w:t>1</w:t>
      </w:r>
      <w:r w:rsidR="00CB4827">
        <w:t>0-</w:t>
      </w:r>
      <w:r w:rsidR="000C28FD">
        <w:t>9</w:t>
      </w:r>
      <w:r w:rsidR="00CB4827">
        <w:t xml:space="preserve">0 percentile: </w:t>
      </w:r>
      <w:r w:rsidR="00BA7B89">
        <w:t>t(11)</w:t>
      </w:r>
      <w:r w:rsidR="00CB4827" w:rsidRPr="00D566D7">
        <w:t xml:space="preserve"> = </w:t>
      </w:r>
      <w:r w:rsidR="00D02035">
        <w:t>7</w:t>
      </w:r>
      <w:r w:rsidR="00CB4827" w:rsidRPr="00D566D7">
        <w:t>.</w:t>
      </w:r>
      <w:r w:rsidR="00D02035">
        <w:t>26</w:t>
      </w:r>
      <w:r w:rsidR="00CB4827" w:rsidRPr="00D566D7">
        <w:t xml:space="preserve">, </w:t>
      </w:r>
      <w:r w:rsidR="00CB4827" w:rsidRPr="00D566D7">
        <w:rPr>
          <w:i/>
        </w:rPr>
        <w:t>p</w:t>
      </w:r>
      <w:r w:rsidR="00CB4827" w:rsidRPr="00D566D7">
        <w:t xml:space="preserve"> = .000</w:t>
      </w:r>
      <w:r w:rsidR="00D02035">
        <w:t>02</w:t>
      </w:r>
      <w:r w:rsidR="00CB4827">
        <w:t>)</w:t>
      </w:r>
      <w:r w:rsidR="000C28FD">
        <w:t xml:space="preserve"> and decrease in metacognitive efficiency </w:t>
      </w:r>
      <w:r w:rsidR="000C28FD" w:rsidRPr="00D566D7">
        <w:rPr>
          <w:i/>
        </w:rPr>
        <w:t>M</w:t>
      </w:r>
      <w:r w:rsidR="000C28FD" w:rsidRPr="00D566D7">
        <w:rPr>
          <w:i/>
          <w:vertAlign w:val="subscript"/>
        </w:rPr>
        <w:t>ratio</w:t>
      </w:r>
      <w:r w:rsidR="00CB4827">
        <w:t xml:space="preserve"> </w:t>
      </w:r>
      <w:r w:rsidR="000C28FD">
        <w:t xml:space="preserve">(30-70 percentile: </w:t>
      </w:r>
      <w:r w:rsidR="00BA7B89">
        <w:t>t(11)</w:t>
      </w:r>
      <w:r w:rsidR="000C28FD" w:rsidRPr="00D566D7">
        <w:t xml:space="preserve"> = -</w:t>
      </w:r>
      <w:r w:rsidR="004655DA">
        <w:t>2</w:t>
      </w:r>
      <w:r w:rsidR="000C28FD" w:rsidRPr="00D566D7">
        <w:t>.</w:t>
      </w:r>
      <w:r w:rsidR="004655DA">
        <w:t>82</w:t>
      </w:r>
      <w:r w:rsidR="000C28FD" w:rsidRPr="00D566D7">
        <w:t xml:space="preserve">, </w:t>
      </w:r>
      <w:r w:rsidR="000C28FD" w:rsidRPr="00D566D7">
        <w:rPr>
          <w:i/>
        </w:rPr>
        <w:t>p</w:t>
      </w:r>
      <w:r w:rsidR="000C28FD" w:rsidRPr="00D566D7">
        <w:t xml:space="preserve"> = .0</w:t>
      </w:r>
      <w:r w:rsidR="004655DA">
        <w:t>165</w:t>
      </w:r>
      <w:r w:rsidR="000C28FD">
        <w:t xml:space="preserve">; 20-80 percentile: </w:t>
      </w:r>
      <w:r w:rsidR="00BA7B89">
        <w:t>t(11)</w:t>
      </w:r>
      <w:r w:rsidR="000C28FD" w:rsidRPr="00D566D7">
        <w:t xml:space="preserve"> = -</w:t>
      </w:r>
      <w:r w:rsidR="00D02035">
        <w:t>2.6</w:t>
      </w:r>
      <w:r w:rsidR="000C28FD" w:rsidRPr="00D566D7">
        <w:t xml:space="preserve">, </w:t>
      </w:r>
      <w:r w:rsidR="000C28FD" w:rsidRPr="00D566D7">
        <w:rPr>
          <w:i/>
        </w:rPr>
        <w:t>p</w:t>
      </w:r>
      <w:r w:rsidR="000C28FD" w:rsidRPr="00D566D7">
        <w:t xml:space="preserve"> = .</w:t>
      </w:r>
      <w:r w:rsidR="008B1158">
        <w:t>0246</w:t>
      </w:r>
      <w:r w:rsidR="000C28FD">
        <w:t xml:space="preserve">; 10-90 percentile: </w:t>
      </w:r>
      <w:r w:rsidR="00BA7B89">
        <w:t>t(11)</w:t>
      </w:r>
      <w:r w:rsidR="000C28FD" w:rsidRPr="00D566D7">
        <w:t xml:space="preserve"> = -</w:t>
      </w:r>
      <w:r w:rsidR="00925339">
        <w:t>2</w:t>
      </w:r>
      <w:r w:rsidR="000C28FD" w:rsidRPr="00D566D7">
        <w:t>.</w:t>
      </w:r>
      <w:r w:rsidR="00925339">
        <w:t>66</w:t>
      </w:r>
      <w:r w:rsidR="000C28FD" w:rsidRPr="00D566D7">
        <w:t xml:space="preserve">, </w:t>
      </w:r>
      <w:r w:rsidR="000C28FD" w:rsidRPr="00D566D7">
        <w:rPr>
          <w:i/>
        </w:rPr>
        <w:t>p</w:t>
      </w:r>
      <w:r w:rsidR="000C28FD" w:rsidRPr="00D566D7">
        <w:t xml:space="preserve"> = .</w:t>
      </w:r>
      <w:r w:rsidR="00925339">
        <w:t>0223</w:t>
      </w:r>
      <w:r w:rsidR="000C28FD">
        <w:t>)</w:t>
      </w:r>
      <w:r w:rsidR="00925339">
        <w:t>. Therefore, our results do not depend on the exact percentile selected.</w:t>
      </w:r>
    </w:p>
    <w:p w14:paraId="3BF0707F" w14:textId="77777777" w:rsidR="003813B5" w:rsidRDefault="003813B5" w:rsidP="00D948DE">
      <w:pPr>
        <w:spacing w:after="0" w:line="480" w:lineRule="auto"/>
        <w:contextualSpacing/>
      </w:pPr>
    </w:p>
    <w:p w14:paraId="59F388F6" w14:textId="7354F1B1" w:rsidR="00D8231F" w:rsidRDefault="00492C98" w:rsidP="00D948DE">
      <w:pPr>
        <w:spacing w:after="0" w:line="480" w:lineRule="auto"/>
        <w:contextualSpacing/>
      </w:pPr>
      <w:r>
        <w:t>A</w:t>
      </w:r>
      <w:r w:rsidR="0039665E">
        <w:t xml:space="preserve"> potential confound </w:t>
      </w:r>
      <w:r>
        <w:t xml:space="preserve">of these analyses is that </w:t>
      </w:r>
      <w:r w:rsidR="003A2669">
        <w:t>even though</w:t>
      </w:r>
      <w:r>
        <w:t xml:space="preserve"> </w:t>
      </w:r>
      <w:r w:rsidR="003A2669">
        <w:t>we</w:t>
      </w:r>
      <w:r>
        <w:t xml:space="preserve"> selected the same stimulus intensity ranges for all days, these ranges resulted in differences in </w:t>
      </w:r>
      <w:r w:rsidR="00C7718A">
        <w:t xml:space="preserve">other quantities such as average stimulus intensity, standard deviation (SD) of the intensities, and number of trials included in each condition. For example, for the 35-65 percentile range reported in the main text, one-way ANOVAs showed an effect of session number on </w:t>
      </w:r>
      <w:r w:rsidR="004644AE">
        <w:t>average stimulus intensity (</w:t>
      </w:r>
      <w:r w:rsidR="004644AE" w:rsidRPr="00F7555B">
        <w:rPr>
          <w:i/>
        </w:rPr>
        <w:t>p</w:t>
      </w:r>
      <w:r w:rsidR="004644AE">
        <w:t xml:space="preserve"> = .0027), SD of intensities included </w:t>
      </w:r>
      <w:r w:rsidR="004644AE">
        <w:lastRenderedPageBreak/>
        <w:t>(</w:t>
      </w:r>
      <w:r w:rsidR="004644AE" w:rsidRPr="00F7555B">
        <w:rPr>
          <w:i/>
        </w:rPr>
        <w:t>p</w:t>
      </w:r>
      <w:r w:rsidR="004644AE">
        <w:t xml:space="preserve"> = .0081), and number of trials included (</w:t>
      </w:r>
      <w:r w:rsidR="004644AE" w:rsidRPr="00F7555B">
        <w:rPr>
          <w:i/>
        </w:rPr>
        <w:t>p</w:t>
      </w:r>
      <w:r w:rsidR="004644AE">
        <w:t xml:space="preserve"> = .002). </w:t>
      </w:r>
      <w:r w:rsidR="00E05F6E">
        <w:t xml:space="preserve">Therefore, in a control analysis we </w:t>
      </w:r>
      <w:r w:rsidR="002C342F">
        <w:t xml:space="preserve">selected slightly different ranges for each session. Specifically, we selected the </w:t>
      </w:r>
      <w:r w:rsidR="002C342F" w:rsidRPr="002C342F">
        <w:t>19</w:t>
      </w:r>
      <w:r w:rsidR="002C342F">
        <w:t>-</w:t>
      </w:r>
      <w:r w:rsidR="002C342F" w:rsidRPr="002C342F">
        <w:t>4</w:t>
      </w:r>
      <w:r w:rsidR="002C342F">
        <w:t xml:space="preserve">9, </w:t>
      </w:r>
      <w:r w:rsidR="002C342F" w:rsidRPr="002C342F">
        <w:t>25</w:t>
      </w:r>
      <w:r w:rsidR="002C342F">
        <w:t>-</w:t>
      </w:r>
      <w:r w:rsidR="002C342F" w:rsidRPr="002C342F">
        <w:t>55, 35</w:t>
      </w:r>
      <w:r w:rsidR="002C342F">
        <w:t>-</w:t>
      </w:r>
      <w:r w:rsidR="002C342F" w:rsidRPr="002C342F">
        <w:t>65, 31</w:t>
      </w:r>
      <w:r w:rsidR="002C342F">
        <w:t>-</w:t>
      </w:r>
      <w:r w:rsidR="002C342F" w:rsidRPr="002C342F">
        <w:t>61, 36</w:t>
      </w:r>
      <w:r w:rsidR="002C342F">
        <w:t>-</w:t>
      </w:r>
      <w:r w:rsidR="002C342F" w:rsidRPr="002C342F">
        <w:t>66, 35</w:t>
      </w:r>
      <w:r w:rsidR="002C342F">
        <w:t>-65</w:t>
      </w:r>
      <w:r w:rsidR="002C342F" w:rsidRPr="002C342F">
        <w:t xml:space="preserve">, </w:t>
      </w:r>
      <w:r w:rsidR="002C342F">
        <w:t xml:space="preserve">and </w:t>
      </w:r>
      <w:r w:rsidR="002C342F" w:rsidRPr="002C342F">
        <w:t>36</w:t>
      </w:r>
      <w:r w:rsidR="002C342F">
        <w:t>-</w:t>
      </w:r>
      <w:r w:rsidR="002C342F" w:rsidRPr="002C342F">
        <w:t>66</w:t>
      </w:r>
      <w:r w:rsidR="002C342F">
        <w:t xml:space="preserve"> percentiles for sessions 1-7, respectively. </w:t>
      </w:r>
      <w:r w:rsidR="00F770A5">
        <w:t>The percentiles were selected to span 30% of stimulus intensities and result in approximately the same average intensity. This selection</w:t>
      </w:r>
      <w:r w:rsidR="001E26BA">
        <w:t xml:space="preserve"> equalized the different sessions on average stimulus intensity (</w:t>
      </w:r>
      <w:r w:rsidR="001E26BA" w:rsidRPr="006B7F84">
        <w:rPr>
          <w:i/>
        </w:rPr>
        <w:t>p</w:t>
      </w:r>
      <w:r w:rsidR="001E26BA">
        <w:t xml:space="preserve"> = 1), SD of intensities included (</w:t>
      </w:r>
      <w:r w:rsidR="001E26BA" w:rsidRPr="006B7F84">
        <w:rPr>
          <w:i/>
        </w:rPr>
        <w:t>p</w:t>
      </w:r>
      <w:r w:rsidR="001E26BA">
        <w:t xml:space="preserve"> = .73), and number of trials included (</w:t>
      </w:r>
      <w:r w:rsidR="001E26BA" w:rsidRPr="006B7F84">
        <w:rPr>
          <w:i/>
        </w:rPr>
        <w:t>p</w:t>
      </w:r>
      <w:r w:rsidR="001E26BA">
        <w:t xml:space="preserve"> = .6). </w:t>
      </w:r>
      <w:r w:rsidR="003804AE">
        <w:t xml:space="preserve">Critically, all results remained unchanged (see </w:t>
      </w:r>
      <w:r w:rsidR="003804AE" w:rsidRPr="00E06E82">
        <w:t xml:space="preserve">Supplementary Figure </w:t>
      </w:r>
      <w:r w:rsidR="005978E4">
        <w:t>4</w:t>
      </w:r>
      <w:r w:rsidR="003804AE">
        <w:t xml:space="preserve">): </w:t>
      </w:r>
      <w:r w:rsidR="00B07260" w:rsidRPr="00FD7A53">
        <w:t xml:space="preserve">training increased stimulus sensitivity </w:t>
      </w:r>
      <w:r w:rsidR="00B07260" w:rsidRPr="00FD7A53">
        <w:rPr>
          <w:i/>
        </w:rPr>
        <w:t>d’</w:t>
      </w:r>
      <w:r w:rsidR="00B07260" w:rsidRPr="00FD7A53">
        <w:t xml:space="preserve"> (</w:t>
      </w:r>
      <w:proofErr w:type="gramStart"/>
      <w:r w:rsidR="00BA7B89">
        <w:t>t(</w:t>
      </w:r>
      <w:proofErr w:type="gramEnd"/>
      <w:r w:rsidR="00BA7B89">
        <w:t>11)</w:t>
      </w:r>
      <w:r w:rsidR="00B07260" w:rsidRPr="00FD7A53">
        <w:t xml:space="preserve"> = </w:t>
      </w:r>
      <w:r w:rsidR="001758C5">
        <w:t>10</w:t>
      </w:r>
      <w:r w:rsidR="00B07260" w:rsidRPr="00FD7A53">
        <w:t>.</w:t>
      </w:r>
      <w:r w:rsidR="001758C5">
        <w:t>4</w:t>
      </w:r>
      <w:r w:rsidR="00B07260" w:rsidRPr="00FD7A53">
        <w:t xml:space="preserve">, </w:t>
      </w:r>
      <w:r w:rsidR="00B07260" w:rsidRPr="00FD7A53">
        <w:rPr>
          <w:i/>
        </w:rPr>
        <w:t>p</w:t>
      </w:r>
      <w:r w:rsidR="00B07260" w:rsidRPr="00FD7A53">
        <w:t xml:space="preserve"> = </w:t>
      </w:r>
      <w:r w:rsidR="0077607B">
        <w:t>5.1*</w:t>
      </w:r>
      <w:r w:rsidR="0077607B" w:rsidRPr="00FD7A53">
        <w:t>10</w:t>
      </w:r>
      <w:r w:rsidR="0077607B" w:rsidRPr="00FD7A53">
        <w:rPr>
          <w:vertAlign w:val="superscript"/>
        </w:rPr>
        <w:t>-</w:t>
      </w:r>
      <w:r w:rsidR="0077607B">
        <w:rPr>
          <w:vertAlign w:val="superscript"/>
        </w:rPr>
        <w:t>7</w:t>
      </w:r>
      <w:r w:rsidR="00B07260" w:rsidRPr="00FD7A53">
        <w:t xml:space="preserve">) </w:t>
      </w:r>
      <w:r w:rsidR="00B07260">
        <w:t>and</w:t>
      </w:r>
      <w:r w:rsidR="00B07260" w:rsidRPr="00FD7A53">
        <w:t xml:space="preserve"> average confidence (</w:t>
      </w:r>
      <w:r w:rsidR="00BA7B89">
        <w:t>t(11)</w:t>
      </w:r>
      <w:r w:rsidR="00B07260" w:rsidRPr="00FD7A53">
        <w:t xml:space="preserve"> = </w:t>
      </w:r>
      <w:r w:rsidR="0077607B">
        <w:t>2.2</w:t>
      </w:r>
      <w:r w:rsidR="00B07260" w:rsidRPr="00FD7A53">
        <w:t xml:space="preserve">3, </w:t>
      </w:r>
      <w:r w:rsidR="00B07260" w:rsidRPr="00FD7A53">
        <w:rPr>
          <w:i/>
        </w:rPr>
        <w:t>p</w:t>
      </w:r>
      <w:r w:rsidR="00B07260" w:rsidRPr="00FD7A53">
        <w:t xml:space="preserve"> = </w:t>
      </w:r>
      <w:r w:rsidR="001A4BD5">
        <w:t>.0</w:t>
      </w:r>
      <w:r w:rsidR="0077607B">
        <w:t>47</w:t>
      </w:r>
      <w:r w:rsidR="00B07260" w:rsidRPr="00FD7A53">
        <w:t>)</w:t>
      </w:r>
      <w:r w:rsidR="001A4BD5">
        <w:t xml:space="preserve"> but decreased </w:t>
      </w:r>
      <w:r w:rsidR="001A4BD5" w:rsidRPr="00FD7A53">
        <w:rPr>
          <w:i/>
        </w:rPr>
        <w:t>M</w:t>
      </w:r>
      <w:r w:rsidR="001A4BD5" w:rsidRPr="00FD7A53">
        <w:rPr>
          <w:i/>
          <w:vertAlign w:val="subscript"/>
        </w:rPr>
        <w:t>ratio</w:t>
      </w:r>
      <w:r w:rsidR="001A4BD5" w:rsidRPr="00FD7A53">
        <w:t xml:space="preserve"> (</w:t>
      </w:r>
      <w:r w:rsidR="00BA7B89">
        <w:t>t(11)</w:t>
      </w:r>
      <w:r w:rsidR="001A4BD5" w:rsidRPr="00FD7A53">
        <w:t xml:space="preserve"> = -</w:t>
      </w:r>
      <w:r w:rsidR="00083EA4">
        <w:t>4</w:t>
      </w:r>
      <w:r w:rsidR="001A4BD5" w:rsidRPr="00FD7A53">
        <w:t>.0</w:t>
      </w:r>
      <w:r w:rsidR="00083EA4">
        <w:t>7</w:t>
      </w:r>
      <w:r w:rsidR="001A4BD5" w:rsidRPr="00FD7A53">
        <w:t xml:space="preserve">, </w:t>
      </w:r>
      <w:r w:rsidR="001A4BD5" w:rsidRPr="00FD7A53">
        <w:rPr>
          <w:i/>
        </w:rPr>
        <w:t>p</w:t>
      </w:r>
      <w:r w:rsidR="001A4BD5" w:rsidRPr="00FD7A53">
        <w:t xml:space="preserve"> = </w:t>
      </w:r>
      <w:r w:rsidR="001A4BD5">
        <w:t>.0</w:t>
      </w:r>
      <w:r w:rsidR="0077607B">
        <w:t>02</w:t>
      </w:r>
      <w:r w:rsidR="001A4BD5">
        <w:t>)</w:t>
      </w:r>
      <w:r w:rsidR="00B07260" w:rsidRPr="00FD7A53">
        <w:t>.</w:t>
      </w:r>
      <w:r w:rsidR="00083EA4">
        <w:t xml:space="preserve"> Therefore, our results are not dependent either on the exact intensity range selected or </w:t>
      </w:r>
      <w:r w:rsidR="00EF3CA7">
        <w:t>other factors such as average stimulus intensity, SD of intensities included, or number of trials included.</w:t>
      </w:r>
    </w:p>
    <w:p w14:paraId="4A901AB3" w14:textId="77777777" w:rsidR="00D8231F" w:rsidRDefault="00D8231F" w:rsidP="00D948DE">
      <w:pPr>
        <w:spacing w:after="0" w:line="480" w:lineRule="auto"/>
        <w:rPr>
          <w:b/>
        </w:rPr>
      </w:pPr>
      <w:r>
        <w:rPr>
          <w:b/>
        </w:rPr>
        <w:br w:type="page"/>
      </w:r>
    </w:p>
    <w:p w14:paraId="4FB1BF56" w14:textId="678A9557" w:rsidR="0064188E" w:rsidRDefault="00D8231F" w:rsidP="00BC759C">
      <w:pPr>
        <w:spacing w:after="0" w:line="480" w:lineRule="auto"/>
        <w:contextualSpacing/>
        <w:jc w:val="center"/>
        <w:outlineLvl w:val="0"/>
        <w:rPr>
          <w:b/>
        </w:rPr>
      </w:pPr>
      <w:r>
        <w:rPr>
          <w:b/>
        </w:rPr>
        <w:lastRenderedPageBreak/>
        <w:t>Supplementary Figures</w:t>
      </w:r>
    </w:p>
    <w:p w14:paraId="34E83D08" w14:textId="67A0A9D8" w:rsidR="00CD35CD" w:rsidRDefault="00CD35CD" w:rsidP="00D948DE">
      <w:pPr>
        <w:spacing w:after="0" w:line="480" w:lineRule="auto"/>
        <w:contextualSpacing/>
      </w:pPr>
      <w:r>
        <w:rPr>
          <w:noProof/>
        </w:rPr>
        <w:drawing>
          <wp:inline distT="0" distB="0" distL="0" distR="0" wp14:anchorId="19A0B4B0" wp14:editId="57B73950">
            <wp:extent cx="3815689" cy="44958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Supp Figure multiplicative.eps"/>
                    <pic:cNvPicPr/>
                  </pic:nvPicPr>
                  <pic:blipFill>
                    <a:blip r:embed="rId7"/>
                    <a:stretch>
                      <a:fillRect/>
                    </a:stretch>
                  </pic:blipFill>
                  <pic:spPr>
                    <a:xfrm>
                      <a:off x="0" y="0"/>
                      <a:ext cx="3819051" cy="4499761"/>
                    </a:xfrm>
                    <a:prstGeom prst="rect">
                      <a:avLst/>
                    </a:prstGeom>
                  </pic:spPr>
                </pic:pic>
              </a:graphicData>
            </a:graphic>
          </wp:inline>
        </w:drawing>
      </w:r>
    </w:p>
    <w:p w14:paraId="4C7A1C1C" w14:textId="77CE628F" w:rsidR="00CD35CD" w:rsidRDefault="008A1677" w:rsidP="00D948DE">
      <w:pPr>
        <w:spacing w:after="0" w:line="480" w:lineRule="auto"/>
        <w:contextualSpacing/>
      </w:pPr>
      <w:r w:rsidRPr="00F7555B">
        <w:rPr>
          <w:b/>
        </w:rPr>
        <w:t xml:space="preserve">Supplementary Figure </w:t>
      </w:r>
      <w:r w:rsidR="00E06E82" w:rsidRPr="00F7555B">
        <w:rPr>
          <w:b/>
        </w:rPr>
        <w:t>1</w:t>
      </w:r>
      <w:r w:rsidR="005464EA">
        <w:t>.</w:t>
      </w:r>
      <w:r w:rsidR="00CD35CD">
        <w:t xml:space="preserve"> Model simulations with a hierarchical model of confidence in which the metacognitive noise </w:t>
      </w:r>
      <w:proofErr w:type="spellStart"/>
      <w:r w:rsidR="00CD35CD" w:rsidRPr="00FD7A53">
        <w:rPr>
          <w:i/>
        </w:rPr>
        <w:t>σ</w:t>
      </w:r>
      <w:r w:rsidR="00CD35CD" w:rsidRPr="00FD7A53">
        <w:rPr>
          <w:i/>
          <w:vertAlign w:val="subscript"/>
        </w:rPr>
        <w:t>meta</w:t>
      </w:r>
      <w:proofErr w:type="spellEnd"/>
      <w:r w:rsidR="00CD35CD">
        <w:t xml:space="preserve"> is </w:t>
      </w:r>
      <w:r w:rsidR="00842167">
        <w:t xml:space="preserve">proportionate to the sensory noise </w:t>
      </w:r>
      <w:proofErr w:type="spellStart"/>
      <w:r w:rsidR="00842167" w:rsidRPr="00FD7A53">
        <w:rPr>
          <w:i/>
        </w:rPr>
        <w:t>σ</w:t>
      </w:r>
      <w:r w:rsidR="00842167">
        <w:rPr>
          <w:i/>
          <w:vertAlign w:val="subscript"/>
        </w:rPr>
        <w:t>sens</w:t>
      </w:r>
      <w:proofErr w:type="spellEnd"/>
      <w:r w:rsidR="00CD35CD">
        <w:t>.</w:t>
      </w:r>
      <w:r w:rsidR="00895231">
        <w:t xml:space="preserve"> </w:t>
      </w:r>
      <w:r w:rsidR="00895231">
        <w:rPr>
          <w:rFonts w:eastAsia="Times New Roman"/>
          <w:iCs/>
        </w:rPr>
        <w:t xml:space="preserve">Following previous studies </w:t>
      </w:r>
      <w:r w:rsidR="00895231" w:rsidRPr="00E6350E">
        <w:fldChar w:fldCharType="begin" w:fldLock="1"/>
      </w:r>
      <w:r w:rsidR="005523BD">
        <w:instrText>ADDIN CSL_CITATION {"citationItems":[{"id":"ITEM-1","itemData":{"DOI":"10.1038/nn.3279","ISSN":"1546-1726","PMID":"23222911","abstract":"Decisions are never perfect, with confidence in one's choices fluctuating over time. How subjective confidence and valuation of choice options interact at the level of brain and behavior is unknown. Using a dynamic model of the decision process, we show that confidence reflects the evolution of a decision variable over time, explaining the observed relation between confidence, value, accuracy and reaction time. As predicted by our dynamic model, we show that a functional magnetic resonance imaging signal in human ventromedial prefrontal cortex (vmPFC) reflects both value comparison and confidence in the value comparison process. Crucially, individuals varied in how they related confidence to accuracy, allowing us to show that this introspective ability is predicted by a measure of functional connectivity between vmPFC and rostrolateral prefrontal cortex. Our findings provide a mechanistic link between noise in value comparison and metacognitive awareness of choice, enabling us both to want and to express knowledge of what we want.","author":[{"dropping-particle":"","family":"Martino","given":"Benedetto","non-dropping-particle":"De","parse-names":false,"suffix":""},{"dropping-particle":"","family":"Fleming","given":"Stephen M","non-dropping-particle":"","parse-names":false,"suffix":""},{"dropping-particle":"","family":"Garrett","given":"Neil","non-dropping-particle":"","parse-names":false,"suffix":""},{"dropping-particle":"","family":"Dolan","given":"Raymond J","non-dropping-particle":"","parse-names":false,"suffix":""}],"container-title":"Nature neuroscience","id":"ITEM-1","issue":"1","issued":{"date-parts":[["2013","1"]]},"page":"105-10","title":"Confidence in value-based choice.","type":"article-journal","volume":"16"},"uris":["http://www.mendeley.com/documents/?uuid=9cbe9b6a-795f-41cf-9541-bd4d94c687be"]},{"id":"ITEM-2","itemData":{"DOI":"10.1073/pnas.1522551113","ISSN":"0027-8424","abstract":"SignificanceThe frontal cortex has long been understood as the seat of higher level cognition. Recent research, however, highlights its role in modulating perception. Here, we present a theoretical framework for frontal involvement in perceptual decision making and test it with the causal technique of transcranial magnetic stimulation. We find that progressively rostral regions of frontal cortex are involved in the control of progressively later stages of perceptual decision making. These causal findings are further corroborated by functional MRI and simulations of a dynamic model of decision making. Our results point to a critical role of the frontal cortex in the control of perceptual processes and reveal its intrinsic organization in support of modulating perception. Although recent research has shown that the frontal cortex has a critical role in perceptual decision making, an overarching theory of frontal functional organization for perception has yet to emerge. Perceptual decision making is temporally organized such that it requires the processes of selection, criterion setting, and evaluation. We hypothesized that exploring this temporal structure would reveal a large-scale frontal organization for perception. A causal intervention with transcranial magnetic stimulation revealed clear specialization along the rostrocaudal axis such that the control of successive stages of perceptual decision making was selectively affected by perturbation of successively rostral areas. Simulations with a dynamic model of decision making suggested distinct computational contributions of each region. Finally, the emergent frontal gradient was further corroborated by functional MRI. These causal results provide an organizational principle for the role of frontal cortex in the control of perceptual decision making and suggest specific mechanistic contributions for its different subregions.","author":[{"dropping-particle":"","family":"Rahnev","given":"Dobromir","non-dropping-particle":"","parse-names":false,"suffix":""},{"dropping-particle":"","family":"Nee","given":"Derek Evan","non-dropping-particle":"","parse-names":false,"suffix":""},{"dropping-particle":"","family":"Riddle","given":"Justin","non-dropping-particle":"","parse-names":false,"suffix":""},{"dropping-particle":"","family":"Larson","given":"Alina Sue","non-dropping-particle":"","parse-names":false,"suffix":""},{"dropping-particle":"","family":"D’Esposito","given":"Mark","non-dropping-particle":"","parse-names":false,"suffix":""}],"container-title":"Proceedings of the National Academy of Sciences","id":"ITEM-2","issue":"20","issued":{"date-parts":[["2016","5","9"]]},"page":"6059–6064","title":"Causal evidence for frontal cortex organization for perceptual decision making","type":"article-journal","volume":"113"},"uris":["http://www.mendeley.com/documents/?uuid=3ed1e792-70bd-4a0e-9694-8946e00190af"]},{"id":"ITEM-3","itemData":{"ISBN":"4618471727","abstract":"Although visual working memory (VWM) has been studied extensively, it is unknown how people form confidence judgments about their memories. Peirce (1878) speculated that Fechner’s law—which states that sensation is proportional to the logarithm of stimulus intensity—might apply to confidence reports. Based on this idea, we hypothesize that humans map the precision of their VWM contents to a confidence rating through Fechner’s law. We incorporate this hypothesis into the best available model of VWM encoding and fit it to data from a delayed-estimation experiment. The model provides an excellent account of human confidence rating distributions as well as the relation between performance and confidence. Moreover, the best-fitting mapping in a model with a highly flexible mapping closely resembles the logarithmic mapping, suggesting that no alternative mapping exists that accounts better for the data than Fechner’s law. We propose a neural implementation of the model and find that this model also fits the behavioral data well. Furthermore, we find that jointly fitting memory errors and confidence ratings boosts the power to distinguish previously proposed VWM encoding models by a factor of 5.99 compared to fitting only memory errors. Finally, we show that Fechner’s law also accounts for metacognitive judgments in a word recognition memory task, which is a first indication that it may be a general law in metacognition. Our work presents the first model to jointly account for errors and confidence ratings in VWM and could lay the groundwork for understanding the computational mech- anisms of metacognition.","author":[{"dropping-particle":"","family":"Berg","given":"Ronald","non-dropping-particle":"van den","parse-names":false,"suffix":""},{"dropping-particle":"","family":"Yoo","given":"Aspen H.","non-dropping-particle":"","parse-names":false,"suffix":""},{"dropping-particle":"","family":"Ma","given":"Wei Ji","non-dropping-particle":"","parse-names":false,"suffix":""}],"container-title":"Psychological Review","id":"ITEM-3","issue":"2","issued":{"date-parts":[["2017"]]},"page":"197-214","title":"Fechner's law in metacognition: a quantitative model of visual working memory confidence","type":"article-journal","volume":"124"},"uris":["http://www.mendeley.com/documents/?uuid=8e027d40-1aad-4195-8c00-eb64bd058734"]},{"id":"ITEM-4","itemData":{"DOI":"10.1037/a0025960","PMID":"22059901","abstract":"We present a signal detection-like model termed the stochastic detection and retrieval model (SDRM) for use in studying metacognition. Focusing on paradigms that relate retrieval (e.g., recall or recognition) and confidence judgments, the SDRM measures (1) variance in the retrieval process, (2) variance in the confidence process, (3) the extent to which different sources of information underlie each response, (4) simple bias (i.e., increasing or decreasing confidence criteria across conditions), and (5) metacognitive bias (i.e., contraction or expansion of the confidence criteria across conditions). In the metacognition literature, gamma correlations have been used to measure the accuracy of confidence judgments. However, gamma cannot distinguish between the first 3 attributes, and it cannot measure either form of bias. In contrast, the SDRM can distinguish among the attributes, and it can measure both forms of bias. In this way, the SDRM can be used to test competing process theories by determining the attribute that best accounts for a change across conditions. To demonstrate the SDRM's usefulness, we investigated judgments of learning (JOLs) followed by cued-recall. Through a series of nested and non-nested model comparisons applied to a new experiment, the SDRM determined that a reduction in variance during the confidence process is the most likely explanation of the delayed-JOL effect, and a stronger relation between information underlying JOLs and recall is the most likely explanation of the testing-JOL effect. Following a brief discussion of implications for JOL theories, we conclude with a broader discussion of how the SDRM can benefit metacognition research.","author":[{"dropping-particle":"","family":"Jang","given":"Yoonhee","non-dropping-particle":"","parse-names":false,"suffix":""},{"dropping-particle":"","family":"Wallsten","given":"Thomas S.","non-dropping-particle":"","parse-names":false,"suffix":""},{"dropping-particle":"","family":"Huber","given":"David E.","non-dropping-particle":"","parse-names":false,"suffix":""}],"container-title":"Psychological Review","id":"ITEM-4","issue":"1","issued":{"date-parts":[["2012","1"]]},"page":"186-200","title":"A stochastic detection and retrieval model for the study of metacognition.","type":"article-journal","volume":"119"},"uris":["http://www.mendeley.com/documents/?uuid=2df9eb85-71ff-329e-b442-8ec10e246e70"]},{"id":"ITEM-5","itemData":{"DOI":"10.3758/PBR.15.3.465","ISSN":"1069-9384","author":[{"dropping-particle":"","family":"Mueller","given":"S. T.","non-dropping-particle":"","parse-names":false,"suffix":""},{"dropping-particle":"","family":"Weidemann","given":"C. T.","non-dropping-particle":"","parse-names":false,"suffix":""}],"container-title":"Psychonomic Bulletin &amp; Review","id":"ITEM-5","issue":"3","issued":{"date-parts":[["2008","6","1"]]},"page":"465-494","title":"Decision noise: An explanation for observed violations of signal detection theory","type":"article-journal","volume":"15"},"uris":["http://www.mendeley.com/documents/?uuid=ade89209-e304-4b4a-9277-0f486f91fbed"]}],"mendeley":{"formattedCitation":"(De Martino, Fleming, Garrett, &amp; Dolan, 2013; Jang, Wallsten, &amp; Huber, 2012; Mueller &amp; Weidemann, 2008; Rahnev, Nee, Riddle, Larson, &amp; D’Esposito, 2016; van den Berg, Yoo, &amp; Ma, 2017)","plainTextFormattedCitation":"(De Martino, Fleming, Garrett, &amp; Dolan, 2013; Jang, Wallsten, &amp; Huber, 2012; Mueller &amp; Weidemann, 2008; Rahnev, Nee, Riddle, Larson, &amp; D’Esposito, 2016; van den Berg, Yoo, &amp; Ma, 2017)","previouslyFormattedCitation":"(De Martino, Fleming, Garrett, &amp; Dolan, 2013; Jang, Wallsten, &amp; Huber, 2012; Mueller &amp; Weidemann, 2008; Rahnev, Nee, Riddle, Larson, &amp; D’Esposito, 2016; van den Berg, Yoo, &amp; Ma, 2017)"},"properties":{"noteIndex":0},"schema":"https://github.com/citation-style-language/schema/raw/master/csl-citation.json"}</w:instrText>
      </w:r>
      <w:r w:rsidR="00895231" w:rsidRPr="00E6350E">
        <w:fldChar w:fldCharType="separate"/>
      </w:r>
      <w:r w:rsidR="005523BD" w:rsidRPr="005523BD">
        <w:rPr>
          <w:noProof/>
        </w:rPr>
        <w:t>(De Martino, Fleming, Garrett, &amp; Dolan, 2013; Jang, Wallsten, &amp; Huber, 2012; Mueller &amp; Weidemann, 2008; Rahnev, Nee, Riddle, Larson, &amp; D’Esposito, 2016; van den Berg, Yoo, &amp; Ma, 2017)</w:t>
      </w:r>
      <w:r w:rsidR="00895231" w:rsidRPr="00E6350E">
        <w:fldChar w:fldCharType="end"/>
      </w:r>
      <w:r w:rsidR="00895231">
        <w:t xml:space="preserve">, we modeled the metacognitive noise as </w:t>
      </w:r>
      <w:r w:rsidR="00842167">
        <w:t>independent from</w:t>
      </w:r>
      <w:r w:rsidR="00895231">
        <w:t xml:space="preserve"> the sensory noise. A natural question concerns whether these two types of noise may, however, interact. </w:t>
      </w:r>
      <w:r w:rsidR="00842167">
        <w:t xml:space="preserve">An extreme case </w:t>
      </w:r>
      <w:r w:rsidR="00C85E05">
        <w:t xml:space="preserve">of such interaction occurs if </w:t>
      </w:r>
      <w:r w:rsidR="00895231">
        <w:t xml:space="preserve">metacognitive noise is </w:t>
      </w:r>
      <w:r w:rsidR="00842167">
        <w:t>simply proportionate to the sensory noise</w:t>
      </w:r>
      <w:r w:rsidR="00895231">
        <w:t xml:space="preserve">. We simulated this </w:t>
      </w:r>
      <w:r w:rsidR="006A1E62">
        <w:t>possibility</w:t>
      </w:r>
      <w:r w:rsidR="00842167">
        <w:t xml:space="preserve"> by generating the evidence at the </w:t>
      </w:r>
      <w:r w:rsidR="00842167">
        <w:lastRenderedPageBreak/>
        <w:t xml:space="preserve">decision level </w:t>
      </w:r>
      <w:r w:rsidR="00895231">
        <w:t xml:space="preserve">from a </w:t>
      </w:r>
      <m:oMath>
        <m:r>
          <w:rPr>
            <w:rFonts w:ascii="Cambria Math" w:eastAsia="Times New Roman" w:hAnsi="Cambria Math"/>
          </w:rPr>
          <m:t xml:space="preserve">N(μ, </m:t>
        </m:r>
        <m:sSup>
          <m:sSupPr>
            <m:ctrlPr>
              <w:rPr>
                <w:rFonts w:ascii="Cambria Math" w:eastAsia="Times New Roman" w:hAnsi="Cambria Math"/>
                <w:i/>
                <w:iCs/>
              </w:rPr>
            </m:ctrlPr>
          </m:sSupPr>
          <m:e>
            <m:r>
              <w:rPr>
                <w:rFonts w:ascii="Cambria Math" w:eastAsia="Times New Roman" w:hAnsi="Cambria Math"/>
              </w:rPr>
              <m:t>σ</m:t>
            </m:r>
            <m:ctrlPr>
              <w:rPr>
                <w:rFonts w:ascii="Cambria Math" w:eastAsia="Times New Roman" w:hAnsi="Cambria Math"/>
                <w:i/>
              </w:rPr>
            </m:ctrlPr>
          </m:e>
          <m:sup>
            <m:r>
              <w:rPr>
                <w:rFonts w:ascii="Cambria Math" w:eastAsia="Times New Roman" w:hAnsi="Cambria Math"/>
              </w:rPr>
              <m:t>2</m:t>
            </m:r>
          </m:sup>
        </m:sSup>
        <m:r>
          <w:rPr>
            <w:rFonts w:ascii="Cambria Math" w:eastAsia="Times New Roman" w:hAnsi="Cambria Math"/>
          </w:rPr>
          <m:t>)</m:t>
        </m:r>
      </m:oMath>
      <w:r w:rsidR="00895231" w:rsidRPr="00DC6B03">
        <w:rPr>
          <w:rFonts w:eastAsia="Times New Roman"/>
          <w:iCs/>
        </w:rPr>
        <w:t xml:space="preserve"> </w:t>
      </w:r>
      <w:r w:rsidR="00895231">
        <w:t xml:space="preserve">Gaussian distribution with </w:t>
      </w:r>
      <m:oMath>
        <m:r>
          <w:rPr>
            <w:rFonts w:ascii="Cambria Math" w:eastAsia="Times New Roman" w:hAnsi="Cambria Math"/>
          </w:rPr>
          <m:t>μ</m:t>
        </m:r>
        <m:r>
          <w:rPr>
            <w:rFonts w:ascii="Cambria Math" w:hAnsi="Cambria Math"/>
          </w:rPr>
          <m:t>=0</m:t>
        </m:r>
      </m:oMath>
      <w:r w:rsidR="00895231">
        <w:rPr>
          <w:iCs/>
        </w:rPr>
        <w:t xml:space="preserve"> and </w:t>
      </w:r>
      <m:oMath>
        <m:r>
          <w:rPr>
            <w:rFonts w:ascii="Cambria Math" w:eastAsia="Times New Roman" w:hAnsi="Cambria Math"/>
          </w:rPr>
          <m:t>σ=1</m:t>
        </m:r>
      </m:oMath>
      <w:r w:rsidR="00895231">
        <w:rPr>
          <w:iCs/>
        </w:rPr>
        <w:t>,</w:t>
      </w:r>
      <w:r w:rsidR="00895231">
        <w:t xml:space="preserve"> and on each trial </w:t>
      </w:r>
      <w:r w:rsidR="006B52C7">
        <w:t xml:space="preserve">set the deviation from </w:t>
      </w:r>
      <w:r w:rsidR="007F0325">
        <w:t>the mean of the distribution at the meta level to equal</w:t>
      </w:r>
      <w:r w:rsidR="00895231">
        <w:t xml:space="preserve"> </w:t>
      </w:r>
      <w:r w:rsidR="00ED687F">
        <w:t xml:space="preserve">1.1 times </w:t>
      </w:r>
      <w:r w:rsidR="007F0325">
        <w:t>the deviation at the decision level</w:t>
      </w:r>
      <w:r w:rsidR="00AA19AD">
        <w:t xml:space="preserve">. </w:t>
      </w:r>
      <w:r w:rsidR="00293EDB">
        <w:t xml:space="preserve">As can be seen from </w:t>
      </w:r>
      <w:r w:rsidR="003A6DF0">
        <w:t xml:space="preserve">the figure above, </w:t>
      </w:r>
      <w:r w:rsidR="00AA19AD">
        <w:t xml:space="preserve">this </w:t>
      </w:r>
      <w:r w:rsidR="00842167">
        <w:t xml:space="preserve">type of </w:t>
      </w:r>
      <w:r w:rsidR="00AA19AD">
        <w:t>meta</w:t>
      </w:r>
      <w:r w:rsidR="00BC0514">
        <w:t>cognitive</w:t>
      </w:r>
      <w:r w:rsidR="00AA19AD">
        <w:t xml:space="preserve"> noise resulted in a very similar pattern of results for </w:t>
      </w:r>
      <w:r w:rsidR="00AA19AD">
        <w:rPr>
          <w:i/>
        </w:rPr>
        <w:t>d’</w:t>
      </w:r>
      <w:r w:rsidR="00AA19AD">
        <w:t xml:space="preserve">, confidence, and </w:t>
      </w:r>
      <w:r w:rsidR="00AA19AD">
        <w:rPr>
          <w:i/>
        </w:rPr>
        <w:t>M</w:t>
      </w:r>
      <w:r w:rsidR="00AA19AD">
        <w:rPr>
          <w:i/>
          <w:vertAlign w:val="subscript"/>
        </w:rPr>
        <w:t>ratio</w:t>
      </w:r>
      <w:r w:rsidR="00293689">
        <w:t>.</w:t>
      </w:r>
      <w:r w:rsidR="00AA19AD">
        <w:t xml:space="preserve"> Thus, t</w:t>
      </w:r>
      <w:r w:rsidR="00895231">
        <w:t>he basic predictions of our model do not depend on the exact interaction of these two types of noise</w:t>
      </w:r>
      <w:r w:rsidR="00AA19AD">
        <w:t xml:space="preserve">. Rather, they depend on </w:t>
      </w:r>
      <w:r w:rsidR="00895231">
        <w:t xml:space="preserve">the presence of metacognitive noise </w:t>
      </w:r>
      <w:r w:rsidR="00AA19AD">
        <w:t>regardless of its putative</w:t>
      </w:r>
      <w:r w:rsidR="00895231">
        <w:t xml:space="preserve"> </w:t>
      </w:r>
      <w:r w:rsidR="00AA19AD">
        <w:t>dependence on</w:t>
      </w:r>
      <w:r w:rsidR="00895231">
        <w:t xml:space="preserve"> sensory noise.</w:t>
      </w:r>
    </w:p>
    <w:p w14:paraId="03954251" w14:textId="77777777" w:rsidR="00CD35CD" w:rsidRDefault="00CD35CD" w:rsidP="00D948DE">
      <w:pPr>
        <w:spacing w:after="0" w:line="480" w:lineRule="auto"/>
        <w:contextualSpacing/>
      </w:pPr>
    </w:p>
    <w:p w14:paraId="60B90B4E" w14:textId="35F3A14E" w:rsidR="00464A14" w:rsidRDefault="00464A14" w:rsidP="00D948DE">
      <w:pPr>
        <w:spacing w:line="480" w:lineRule="auto"/>
      </w:pPr>
      <w:r>
        <w:br w:type="page"/>
      </w:r>
    </w:p>
    <w:p w14:paraId="5E7FEB60" w14:textId="7876032D" w:rsidR="00464A14" w:rsidRPr="008C30C8" w:rsidRDefault="002266E6" w:rsidP="00D948DE">
      <w:pPr>
        <w:spacing w:after="0" w:line="480" w:lineRule="auto"/>
        <w:contextualSpacing/>
      </w:pPr>
      <w:r>
        <w:rPr>
          <w:noProof/>
        </w:rPr>
        <w:lastRenderedPageBreak/>
        <w:drawing>
          <wp:inline distT="0" distB="0" distL="0" distR="0" wp14:anchorId="6264DFE3" wp14:editId="0FD4465E">
            <wp:extent cx="5486400" cy="24638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Supp Fig 2NEW.png"/>
                    <pic:cNvPicPr/>
                  </pic:nvPicPr>
                  <pic:blipFill>
                    <a:blip r:embed="rId8"/>
                    <a:stretch>
                      <a:fillRect/>
                    </a:stretch>
                  </pic:blipFill>
                  <pic:spPr>
                    <a:xfrm>
                      <a:off x="0" y="0"/>
                      <a:ext cx="5486400" cy="2463800"/>
                    </a:xfrm>
                    <a:prstGeom prst="rect">
                      <a:avLst/>
                    </a:prstGeom>
                  </pic:spPr>
                </pic:pic>
              </a:graphicData>
            </a:graphic>
          </wp:inline>
        </w:drawing>
      </w:r>
    </w:p>
    <w:p w14:paraId="7A0C9713" w14:textId="4DCBEB9A" w:rsidR="00E06E82" w:rsidRDefault="00464A14" w:rsidP="00D948DE">
      <w:pPr>
        <w:spacing w:line="480" w:lineRule="auto"/>
      </w:pPr>
      <w:r w:rsidRPr="00F7555B">
        <w:rPr>
          <w:b/>
        </w:rPr>
        <w:t>Supplementary Figure 2</w:t>
      </w:r>
      <w:r>
        <w:t>. Distinguishing between changes in sensory noise vs. sensory signal.</w:t>
      </w:r>
      <w:r w:rsidRPr="00DB5884">
        <w:t xml:space="preserve"> </w:t>
      </w:r>
      <w:r w:rsidR="00357AC3">
        <w:t>A)</w:t>
      </w:r>
      <w:r w:rsidR="00853A22">
        <w:t xml:space="preserve"> </w:t>
      </w:r>
      <w:r w:rsidR="00914CF7">
        <w:t xml:space="preserve">An increase in sensory noise </w:t>
      </w:r>
      <w:r w:rsidR="00777939">
        <w:t>means</w:t>
      </w:r>
      <w:r w:rsidR="00853A22">
        <w:t xml:space="preserve"> </w:t>
      </w:r>
      <w:r w:rsidR="00777939">
        <w:t>that the</w:t>
      </w:r>
      <w:r w:rsidR="00853A22">
        <w:t xml:space="preserve"> </w:t>
      </w:r>
      <w:r w:rsidR="00777939">
        <w:t xml:space="preserve">Gaussian </w:t>
      </w:r>
      <w:r w:rsidR="00853A22">
        <w:t>distributions</w:t>
      </w:r>
      <w:r w:rsidR="003960CB">
        <w:t xml:space="preserve"> have higher standard deviations (SDs)</w:t>
      </w:r>
      <w:r w:rsidR="00357AC3">
        <w:t>. B)</w:t>
      </w:r>
      <w:r w:rsidR="00F2073B">
        <w:t xml:space="preserve"> </w:t>
      </w:r>
      <w:r w:rsidR="003960CB">
        <w:t xml:space="preserve">A decrease </w:t>
      </w:r>
      <w:r w:rsidR="00F2073B">
        <w:t>in the sen</w:t>
      </w:r>
      <w:r w:rsidR="002266E6">
        <w:t xml:space="preserve">sory signal </w:t>
      </w:r>
      <w:r w:rsidR="00777939">
        <w:t xml:space="preserve">means </w:t>
      </w:r>
      <w:r w:rsidR="003960CB">
        <w:t xml:space="preserve">that the </w:t>
      </w:r>
      <w:r w:rsidR="00777939">
        <w:t>Gaussian</w:t>
      </w:r>
      <w:r w:rsidR="002266E6">
        <w:t xml:space="preserve"> distributions </w:t>
      </w:r>
      <w:r w:rsidR="003960CB">
        <w:t>have the same SD</w:t>
      </w:r>
      <w:r w:rsidR="005E7BDC">
        <w:t>s but</w:t>
      </w:r>
      <w:r w:rsidR="002266E6">
        <w:t xml:space="preserve"> are shifted </w:t>
      </w:r>
      <w:r w:rsidR="00652EA3">
        <w:t xml:space="preserve">toward each other. </w:t>
      </w:r>
      <w:r w:rsidR="009325C6">
        <w:t>Conventional analyses</w:t>
      </w:r>
      <w:r w:rsidR="00243631">
        <w:t xml:space="preserve"> cannot distinguish between </w:t>
      </w:r>
      <w:r w:rsidR="005E7BDC">
        <w:t xml:space="preserve">manipulations that increase the sensory noise (that is, increase </w:t>
      </w:r>
      <w:r w:rsidR="00464881">
        <w:t xml:space="preserve">the </w:t>
      </w:r>
      <w:r w:rsidR="005E7BDC">
        <w:t>SD</w:t>
      </w:r>
      <w:r w:rsidR="00464881">
        <w:t xml:space="preserve">s of the distributions) </w:t>
      </w:r>
      <w:r w:rsidR="005E7BDC">
        <w:t xml:space="preserve">or decrease the sensory signal </w:t>
      </w:r>
      <w:r w:rsidR="00464881">
        <w:t xml:space="preserve">(that is, </w:t>
      </w:r>
      <w:r w:rsidR="005908B4">
        <w:t xml:space="preserve">decrease </w:t>
      </w:r>
      <w:r w:rsidR="00464881">
        <w:t>the distance between the peaks of the distributions) because both</w:t>
      </w:r>
      <w:r w:rsidR="00243631">
        <w:t xml:space="preserve"> possibilities </w:t>
      </w:r>
      <w:r w:rsidR="00464881">
        <w:t xml:space="preserve">manifest themselves in a similar decrease in </w:t>
      </w:r>
      <w:r w:rsidR="00243631" w:rsidRPr="00357AC3">
        <w:rPr>
          <w:i/>
        </w:rPr>
        <w:t>d’</w:t>
      </w:r>
      <w:r w:rsidR="00243631">
        <w:t xml:space="preserve">. </w:t>
      </w:r>
      <w:r w:rsidR="00A27E63">
        <w:t>Nevertheless, it may be possible to construct a rough rule of thumb</w:t>
      </w:r>
      <w:r w:rsidR="000F0338">
        <w:t xml:space="preserve"> for distinguishing</w:t>
      </w:r>
      <w:r w:rsidR="00A27E63">
        <w:t xml:space="preserve"> </w:t>
      </w:r>
      <w:r w:rsidR="000F0338">
        <w:t xml:space="preserve">between such manipulations based on subjective experience. </w:t>
      </w:r>
      <w:r w:rsidR="00DD512F">
        <w:t xml:space="preserve">The rule of thumb depends on the assumption that different </w:t>
      </w:r>
      <w:r w:rsidR="002735A1">
        <w:t xml:space="preserve">internal </w:t>
      </w:r>
      <w:r w:rsidR="00DD512F">
        <w:t xml:space="preserve">activations on the SDT evidence axis </w:t>
      </w:r>
      <w:r w:rsidR="00421546">
        <w:t xml:space="preserve">are experienced as subjectively different by subjects. This assumption is </w:t>
      </w:r>
      <w:r w:rsidR="00B4587B">
        <w:t>difficult to prove</w:t>
      </w:r>
      <w:r w:rsidR="007E60E4">
        <w:t xml:space="preserve"> but </w:t>
      </w:r>
      <w:r w:rsidR="004324F5">
        <w:t xml:space="preserve">appears reasonable since subjects are typically </w:t>
      </w:r>
      <w:r w:rsidR="00B17CD9">
        <w:t>considered</w:t>
      </w:r>
      <w:r w:rsidR="004324F5">
        <w:t xml:space="preserve"> able to distinguish different regions of the evidence axis using confidence ratings </w:t>
      </w:r>
      <w:r w:rsidR="004324F5">
        <w:fldChar w:fldCharType="begin" w:fldLock="1"/>
      </w:r>
      <w:r w:rsidR="005523BD">
        <w:instrText>ADDIN CSL_CITATION {"citationItems":[{"id":"ITEM-1","itemData":{"ISBN":"1410611140","abstract":"Detection Theory is an introduction to one of the most important tools for analysis of data where choices must be made and performance is not perfect. Originally developed for evaluation of electronic detection, detection theory was adopted by psychologists as a way to understand sensory decision making, then embraced by students of human memory. It has since been utilized in areas as diverse as animal behavior and X-ray diagnosis.This book covers the basic principles of detection theory, with separate initial chapters on measuring detection and evaluating decision criteria. Some other features include:*complete tools for application, including flowcharts, tables, pointers, and software;*student-friendly language;*complete coverage of content area, including both one-dimensional and multidimensional models;*separate, systematic coverage of sensitivity and response bias measurement;*integrated treatment of threshold and nonparametric approaches;*an organized, tutorial level introduction to multidimensional detection theory;*popular discrimination paradigms presented as applications of multidimensional detection theory; and*a new chapter on ideal observers and an updated chapter on adaptive threshold measurement.This up-to-date summary of signal detection theory is both a self-contained reference work for users and a readable text for graduate students and other researchers learning the material either in courses or on their own.","author":[{"dropping-particle":"","family":"Macmillan","given":"Neil A","non-dropping-particle":"","parse-names":false,"suffix":""},{"dropping-particle":"","family":"Creelman","given":"C. Douglas","non-dropping-particle":"","parse-names":false,"suffix":""}],"edition":"2","id":"ITEM-1","issued":{"date-parts":[["2005"]]},"number-of-pages":"512","publisher":"Erlbaum","publisher-place":"Mahwah, NJ","title":"Detection Theory: A User's Guide","type":"book"},"uris":["http://www.mendeley.com/documents/?uuid=029c631d-fae5-4fad-b4b2-b3bf3ed24429"]}],"mendeley":{"formattedCitation":"(Macmillan &amp; Creelman, 2005)","plainTextFormattedCitation":"(Macmillan &amp; Creelman, 2005)","previouslyFormattedCitation":"(Macmillan &amp; Creelman, 2005)"},"properties":{"noteIndex":0},"schema":"https://github.com/citation-style-language/schema/raw/master/csl-citation.json"}</w:instrText>
      </w:r>
      <w:r w:rsidR="004324F5">
        <w:fldChar w:fldCharType="separate"/>
      </w:r>
      <w:r w:rsidR="005523BD" w:rsidRPr="005523BD">
        <w:rPr>
          <w:noProof/>
        </w:rPr>
        <w:t>(Macmillan &amp; Creelman, 2005)</w:t>
      </w:r>
      <w:r w:rsidR="004324F5">
        <w:fldChar w:fldCharType="end"/>
      </w:r>
      <w:r w:rsidR="004324F5">
        <w:t xml:space="preserve">. </w:t>
      </w:r>
      <w:r w:rsidR="003E646F">
        <w:t>Points on the axis close to the decision criterion should be experienced as “difficult”</w:t>
      </w:r>
      <w:r w:rsidR="00B17CD9">
        <w:t xml:space="preserve"> (since they correspond to </w:t>
      </w:r>
      <w:r w:rsidR="0018320C">
        <w:lastRenderedPageBreak/>
        <w:t>weak</w:t>
      </w:r>
      <w:r w:rsidR="00B17CD9">
        <w:t xml:space="preserve"> evidence favoring one stimulus category over the other)</w:t>
      </w:r>
      <w:r w:rsidR="003E646F">
        <w:t xml:space="preserve"> whereas points on the axis far from the decision criterion should be experienced as “</w:t>
      </w:r>
      <w:r w:rsidR="00B17CD9">
        <w:t>easy</w:t>
      </w:r>
      <w:r w:rsidR="003E646F">
        <w:t>”</w:t>
      </w:r>
      <w:r w:rsidR="00B17CD9">
        <w:t xml:space="preserve"> (since they correspond to </w:t>
      </w:r>
      <w:r w:rsidR="0018320C">
        <w:t>strong</w:t>
      </w:r>
      <w:r w:rsidR="00B17CD9">
        <w:t xml:space="preserve"> evidence favoring one stimulus category over the other)</w:t>
      </w:r>
      <w:r w:rsidR="0018320C">
        <w:t>.</w:t>
      </w:r>
      <w:r w:rsidR="003E646F">
        <w:t xml:space="preserve"> </w:t>
      </w:r>
      <w:r w:rsidR="00592EA6">
        <w:t>If this assumption is granted, then</w:t>
      </w:r>
      <w:r w:rsidR="0018320C">
        <w:t>,</w:t>
      </w:r>
      <w:r w:rsidR="00592EA6">
        <w:t xml:space="preserve"> </w:t>
      </w:r>
      <w:r w:rsidR="00681D97">
        <w:t xml:space="preserve">as can be seen in panel A, a pure increase in sensory noise should lead to </w:t>
      </w:r>
      <w:r w:rsidR="0018320C">
        <w:t xml:space="preserve">a </w:t>
      </w:r>
      <w:r w:rsidR="00413AE4">
        <w:t xml:space="preserve">higher proportion of </w:t>
      </w:r>
      <w:r w:rsidR="007B02D6">
        <w:t>eas</w:t>
      </w:r>
      <w:r w:rsidR="00413AE4">
        <w:t>y</w:t>
      </w:r>
      <w:r w:rsidR="007B02D6">
        <w:t xml:space="preserve"> </w:t>
      </w:r>
      <w:r w:rsidR="00413AE4">
        <w:t>trials (that is, trials result</w:t>
      </w:r>
      <w:r w:rsidR="0018320C">
        <w:t>ing</w:t>
      </w:r>
      <w:r w:rsidR="00413AE4">
        <w:t xml:space="preserve"> in activations far from the decision criterion) </w:t>
      </w:r>
      <w:r w:rsidR="007B02D6">
        <w:t xml:space="preserve">even though overall </w:t>
      </w:r>
      <w:r w:rsidR="007B02D6" w:rsidRPr="00357AC3">
        <w:rPr>
          <w:i/>
        </w:rPr>
        <w:t>d’</w:t>
      </w:r>
      <w:r w:rsidR="007B02D6">
        <w:t xml:space="preserve"> has decreased. In contrast, as can be seen in panel B, a pure decrease in sensory signal should lead to </w:t>
      </w:r>
      <w:r w:rsidR="00413AE4">
        <w:t>a lower proportion of easy trials.</w:t>
      </w:r>
      <w:r w:rsidR="00681D97">
        <w:t xml:space="preserve"> </w:t>
      </w:r>
      <w:r w:rsidR="0097735C">
        <w:t xml:space="preserve">The rule of thumb then states that </w:t>
      </w:r>
      <w:r w:rsidR="00207B15">
        <w:t xml:space="preserve">manipulations that lead to a pure increase sensory noise should lead to lower </w:t>
      </w:r>
      <w:r w:rsidR="00207B15" w:rsidRPr="00207B15">
        <w:rPr>
          <w:i/>
        </w:rPr>
        <w:t>d’</w:t>
      </w:r>
      <w:r w:rsidR="00207B15">
        <w:t xml:space="preserve"> while at the same time </w:t>
      </w:r>
      <w:r w:rsidR="00644742">
        <w:t>resulting in</w:t>
      </w:r>
      <w:r w:rsidR="00207B15">
        <w:t xml:space="preserve"> more trials that are experienced as “easy” by the subject. </w:t>
      </w:r>
      <w:r w:rsidR="00D64582">
        <w:t xml:space="preserve">Now, this rule of thumb would suggest that a </w:t>
      </w:r>
      <w:r w:rsidR="00271BD9">
        <w:t xml:space="preserve">manipulation that </w:t>
      </w:r>
      <w:r w:rsidR="00D64582">
        <w:t>decrease</w:t>
      </w:r>
      <w:r w:rsidR="00271BD9">
        <w:t>s</w:t>
      </w:r>
      <w:r w:rsidR="00D64582">
        <w:t xml:space="preserve"> stimulus contrast should lead to a decrease in sensory signal </w:t>
      </w:r>
      <w:r w:rsidR="00207B15">
        <w:t>because</w:t>
      </w:r>
      <w:r w:rsidR="00D64582">
        <w:t xml:space="preserve"> </w:t>
      </w:r>
      <w:r w:rsidR="00271BD9">
        <w:t>such manipulations</w:t>
      </w:r>
      <w:r w:rsidR="002D4813">
        <w:t xml:space="preserve"> do not</w:t>
      </w:r>
      <w:r w:rsidR="00D64582">
        <w:t xml:space="preserve"> result in higher proportion of </w:t>
      </w:r>
      <w:r w:rsidR="002D4813">
        <w:t xml:space="preserve">trials that are experienced as </w:t>
      </w:r>
      <w:r w:rsidR="00D64582">
        <w:t xml:space="preserve">easy. </w:t>
      </w:r>
      <w:r w:rsidR="002B4EC9">
        <w:t xml:space="preserve">However, the same holds true for </w:t>
      </w:r>
      <w:r w:rsidR="00271BD9">
        <w:t xml:space="preserve">manipulations that </w:t>
      </w:r>
      <w:r w:rsidR="002B4EC9">
        <w:t xml:space="preserve">increase stimulus noise – </w:t>
      </w:r>
      <w:r w:rsidR="002D4813">
        <w:t xml:space="preserve">such </w:t>
      </w:r>
      <w:r w:rsidR="00271BD9">
        <w:t>manipulations</w:t>
      </w:r>
      <w:r w:rsidR="002B4EC9">
        <w:t xml:space="preserve"> virtually never lead to </w:t>
      </w:r>
      <w:r w:rsidR="005523BD">
        <w:t xml:space="preserve">an experience of higher proportion of easy trials. </w:t>
      </w:r>
      <w:r w:rsidR="009015C1">
        <w:t xml:space="preserve">Note that </w:t>
      </w:r>
      <w:r w:rsidR="0097274E">
        <w:t xml:space="preserve">in some cases, </w:t>
      </w:r>
      <w:r w:rsidR="00271BD9">
        <w:t xml:space="preserve">higher </w:t>
      </w:r>
      <w:r w:rsidR="0097274E">
        <w:t xml:space="preserve">stimulus noise can lead to “stochastic resonance” </w:t>
      </w:r>
      <w:r w:rsidR="00E65908">
        <w:t xml:space="preserve">and </w:t>
      </w:r>
      <w:r w:rsidR="00271BD9">
        <w:t xml:space="preserve">be experienced as making trials </w:t>
      </w:r>
      <w:r w:rsidR="00E65908">
        <w:t xml:space="preserve">easier but such cases are accompanied by higher, not lower, </w:t>
      </w:r>
      <w:r w:rsidR="00E65908" w:rsidRPr="00357AC3">
        <w:rPr>
          <w:i/>
        </w:rPr>
        <w:t>d’</w:t>
      </w:r>
      <w:r w:rsidR="00E65908">
        <w:t xml:space="preserve"> values</w:t>
      </w:r>
      <w:r w:rsidR="00A92E56">
        <w:t xml:space="preserve"> and thus </w:t>
      </w:r>
      <w:r w:rsidR="00207B15">
        <w:t>may</w:t>
      </w:r>
      <w:r w:rsidR="00A92E56">
        <w:t xml:space="preserve"> correspond to a sensory signal increase</w:t>
      </w:r>
      <w:r w:rsidR="00E65908">
        <w:t>.</w:t>
      </w:r>
      <w:r w:rsidR="002B1EB6">
        <w:t xml:space="preserve"> </w:t>
      </w:r>
      <w:r w:rsidR="00A92E56">
        <w:t>These</w:t>
      </w:r>
      <w:r w:rsidR="00D7198F">
        <w:t xml:space="preserve"> considerations suggest that stimulus noise </w:t>
      </w:r>
      <w:r w:rsidR="00F14799">
        <w:t xml:space="preserve">may in fact </w:t>
      </w:r>
      <w:r w:rsidR="00D7198F">
        <w:t>lead to a decrease in sensory signal (panel B) rather than an increase in sensory noise (panel A)</w:t>
      </w:r>
      <w:r w:rsidR="0054338E">
        <w:t xml:space="preserve">, though </w:t>
      </w:r>
      <w:r w:rsidR="00CD6A12">
        <w:t xml:space="preserve">such considerations should be regarded as only providing </w:t>
      </w:r>
      <w:r w:rsidR="0054338E">
        <w:t>a potentially helpful intuition rather than a formal proof</w:t>
      </w:r>
      <w:r w:rsidR="00D7198F">
        <w:t>.</w:t>
      </w:r>
      <w:r w:rsidR="00E06E82">
        <w:br w:type="page"/>
      </w:r>
    </w:p>
    <w:p w14:paraId="717DA3C1" w14:textId="77777777" w:rsidR="00DB5884" w:rsidRDefault="00DB5884" w:rsidP="00D948DE">
      <w:pPr>
        <w:spacing w:after="0" w:line="480" w:lineRule="auto"/>
        <w:contextualSpacing/>
      </w:pPr>
      <w:r w:rsidRPr="00D853BB">
        <w:rPr>
          <w:noProof/>
        </w:rPr>
        <w:lastRenderedPageBreak/>
        <w:drawing>
          <wp:inline distT="0" distB="0" distL="0" distR="0" wp14:anchorId="29CE0967" wp14:editId="604B7920">
            <wp:extent cx="4218074" cy="4519295"/>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220822" cy="4522240"/>
                    </a:xfrm>
                    <a:prstGeom prst="rect">
                      <a:avLst/>
                    </a:prstGeom>
                  </pic:spPr>
                </pic:pic>
              </a:graphicData>
            </a:graphic>
          </wp:inline>
        </w:drawing>
      </w:r>
    </w:p>
    <w:p w14:paraId="7F2F22E8" w14:textId="63E11ABF" w:rsidR="00DC3095" w:rsidRDefault="00DB5884" w:rsidP="00D948DE">
      <w:pPr>
        <w:spacing w:after="0" w:line="480" w:lineRule="auto"/>
        <w:contextualSpacing/>
      </w:pPr>
      <w:r w:rsidRPr="00F7555B">
        <w:rPr>
          <w:b/>
        </w:rPr>
        <w:t xml:space="preserve">Supplementary Figure </w:t>
      </w:r>
      <w:r w:rsidR="005978E4">
        <w:rPr>
          <w:b/>
        </w:rPr>
        <w:t>3</w:t>
      </w:r>
      <w:r w:rsidR="005464EA">
        <w:t xml:space="preserve">. </w:t>
      </w:r>
      <w:r w:rsidR="00844A01">
        <w:t>Simulations of t</w:t>
      </w:r>
      <w:r w:rsidRPr="00DB5884">
        <w:t xml:space="preserve">he influence of stimulus </w:t>
      </w:r>
      <w:r w:rsidR="002C3242">
        <w:t xml:space="preserve">contrast and stimulus </w:t>
      </w:r>
      <w:r w:rsidRPr="00DB5884">
        <w:t xml:space="preserve">noise on </w:t>
      </w:r>
      <w:r w:rsidR="002C3242">
        <w:t>sensory</w:t>
      </w:r>
      <w:r w:rsidRPr="00DB5884">
        <w:t xml:space="preserve"> signal and </w:t>
      </w:r>
      <w:r w:rsidR="002C3242">
        <w:t xml:space="preserve">sensory </w:t>
      </w:r>
      <w:r w:rsidR="002317C7">
        <w:t>noise</w:t>
      </w:r>
      <w:r w:rsidRPr="00DB5884">
        <w:t xml:space="preserve">. </w:t>
      </w:r>
      <w:r w:rsidR="00A365D1">
        <w:t xml:space="preserve">We were interested in whether </w:t>
      </w:r>
      <w:r w:rsidR="00AC70BB">
        <w:t xml:space="preserve">increasing </w:t>
      </w:r>
      <w:r w:rsidR="005569AB">
        <w:t>stimulus</w:t>
      </w:r>
      <w:r w:rsidR="00AC70BB">
        <w:t xml:space="preserve"> noise </w:t>
      </w:r>
      <w:r w:rsidR="005569AB">
        <w:t xml:space="preserve">necessarily </w:t>
      </w:r>
      <w:r w:rsidR="00AC70BB">
        <w:t>lead</w:t>
      </w:r>
      <w:r w:rsidR="00A365D1">
        <w:t>s</w:t>
      </w:r>
      <w:r w:rsidR="00AC70BB">
        <w:t xml:space="preserve"> to higher </w:t>
      </w:r>
      <w:r w:rsidR="002C3242">
        <w:t>sensory noise</w:t>
      </w:r>
      <w:r w:rsidR="00A365D1">
        <w:t xml:space="preserve">. </w:t>
      </w:r>
      <w:r w:rsidR="006273CA">
        <w:t xml:space="preserve">Ultimately, answering this question requires </w:t>
      </w:r>
      <w:r w:rsidR="00AE3610">
        <w:t>a model</w:t>
      </w:r>
      <w:r w:rsidR="006273CA">
        <w:t xml:space="preserve"> </w:t>
      </w:r>
      <w:r w:rsidR="00AE3610">
        <w:t xml:space="preserve">of how the stimulus </w:t>
      </w:r>
      <w:r w:rsidR="00F14799">
        <w:t>is</w:t>
      </w:r>
      <w:r w:rsidR="00AE3610">
        <w:t xml:space="preserve"> processed in different stages of the visual hierarchy and how this information is used to form a perceptual decision. </w:t>
      </w:r>
      <w:r w:rsidR="0030207D">
        <w:t>S</w:t>
      </w:r>
      <w:r w:rsidR="00AE3610">
        <w:t xml:space="preserve">uch </w:t>
      </w:r>
      <w:r w:rsidR="0030207D">
        <w:t xml:space="preserve">a </w:t>
      </w:r>
      <w:r w:rsidR="00AE3610">
        <w:t xml:space="preserve">model </w:t>
      </w:r>
      <w:r w:rsidR="0030207D">
        <w:t xml:space="preserve">is yet to be developed and therefore many possibilities exist, some of which may imply different answers </w:t>
      </w:r>
      <w:r w:rsidR="006606BF">
        <w:t xml:space="preserve">to the question </w:t>
      </w:r>
      <w:r w:rsidR="004D1042">
        <w:t>regarding what</w:t>
      </w:r>
      <w:r w:rsidR="006606BF">
        <w:t xml:space="preserve"> SDT parameters are affected by </w:t>
      </w:r>
      <w:r w:rsidR="004D1042">
        <w:t>an increase in</w:t>
      </w:r>
      <w:r w:rsidR="006606BF">
        <w:t xml:space="preserve"> stimulus noise</w:t>
      </w:r>
      <w:r w:rsidR="0030207D">
        <w:t xml:space="preserve">. </w:t>
      </w:r>
      <w:r w:rsidR="009B5A12">
        <w:t>Here we pick a certain set of assumptions</w:t>
      </w:r>
      <w:r w:rsidR="003E4A46">
        <w:t xml:space="preserve"> that we find reasonable. W</w:t>
      </w:r>
      <w:r w:rsidR="00B30CEB">
        <w:t xml:space="preserve">e do not claim that these assumptions are correct but simply want to demonstrate that </w:t>
      </w:r>
      <w:r w:rsidR="008D1C10">
        <w:t xml:space="preserve">increased </w:t>
      </w:r>
      <w:r w:rsidR="00B30CEB">
        <w:lastRenderedPageBreak/>
        <w:t xml:space="preserve">stimulus noise </w:t>
      </w:r>
      <w:r w:rsidR="003E4A46">
        <w:t>cannot simply be assumed to lead to</w:t>
      </w:r>
      <w:r w:rsidR="008D1C10">
        <w:t xml:space="preserve"> increased sensory noise. W</w:t>
      </w:r>
      <w:r w:rsidR="00AC70BB">
        <w:t xml:space="preserve">e simulated the results of manipulating different features of a stimulus consisting of a Gabor patch embedded in pixel noise. In two simulations we either decreased the contrast of the Gabor patch itself or increased the contrast of the pixel noise. In both cases, we measured the amount of signal in the resulting stimulus by performing a </w:t>
      </w:r>
      <w:r w:rsidR="00633A31">
        <w:t>Pearson</w:t>
      </w:r>
      <w:r w:rsidR="00AC70BB">
        <w:t xml:space="preserve"> correlation between each noisy Gabor patch and a Gabor patch of full contrast with no added noise. </w:t>
      </w:r>
      <w:r w:rsidR="00157A87">
        <w:t xml:space="preserve">The correlation was performed on </w:t>
      </w:r>
      <w:r w:rsidR="003E72B1">
        <w:t xml:space="preserve">the corresponding pixels of the two Gabor patches. </w:t>
      </w:r>
      <w:r w:rsidR="00AC70BB">
        <w:t xml:space="preserve">We found that both manipulations (decreasing the Gabor patch contrast and increasing pixel noise contrast) had virtually the same effect: they both decreased the sensory signal without changing the </w:t>
      </w:r>
      <w:r w:rsidR="002C3242">
        <w:t>sensory noise</w:t>
      </w:r>
      <w:r w:rsidR="00AC70BB">
        <w:t>. More specifically, w</w:t>
      </w:r>
      <w:r w:rsidRPr="00DB5884">
        <w:t xml:space="preserve">e performed three sets of 100,000-trial simulations. In each simulation, we generated equal number Gabor patches with 45° (left) and 135° (right) orientation. For each Gabor patch, we computed its </w:t>
      </w:r>
      <w:r w:rsidR="003E72B1">
        <w:t>pixel</w:t>
      </w:r>
      <w:r w:rsidRPr="00DB5884">
        <w:t>-by-</w:t>
      </w:r>
      <w:r w:rsidR="003E72B1">
        <w:t>pixel</w:t>
      </w:r>
      <w:r w:rsidR="003E72B1" w:rsidRPr="00DB5884">
        <w:t xml:space="preserve"> </w:t>
      </w:r>
      <w:r w:rsidRPr="00DB5884">
        <w:t>correlation with noiseless Gabor patches of full contrast with right and left orientations. The difference between these two correlation values was taken as the amount “evidence for right tilt” contained in that Gabor patch</w:t>
      </w:r>
      <w:r w:rsidR="00C0126B">
        <w:t xml:space="preserve"> (in control analyses, we z-transformed </w:t>
      </w:r>
      <w:r w:rsidR="00286418">
        <w:t>the correlation values and still found the same results)</w:t>
      </w:r>
      <w:r w:rsidRPr="00DB5884">
        <w:t xml:space="preserve">. In the first simulation, we </w:t>
      </w:r>
      <w:r w:rsidR="00430F18">
        <w:t>computed</w:t>
      </w:r>
      <w:r w:rsidRPr="00DB5884">
        <w:t xml:space="preserve"> the evidence for right til</w:t>
      </w:r>
      <w:r w:rsidR="00430F18">
        <w:t xml:space="preserve">t for baseline Gabor patches generated with 5% stimulus </w:t>
      </w:r>
      <w:r w:rsidRPr="00DB5884">
        <w:t>contrast</w:t>
      </w:r>
      <w:r w:rsidR="00430F18">
        <w:t xml:space="preserve"> and 40% noise pixel contrast</w:t>
      </w:r>
      <w:r w:rsidRPr="00DB5884">
        <w:t xml:space="preserve"> (top panel). In the second simulation, we decreased the contrast of the Gabor patches to </w:t>
      </w:r>
      <w:r w:rsidR="00430F18">
        <w:t>2.</w:t>
      </w:r>
      <w:r w:rsidRPr="00DB5884">
        <w:t>2</w:t>
      </w:r>
      <w:r w:rsidR="00430F18">
        <w:t>%</w:t>
      </w:r>
      <w:r w:rsidRPr="00DB5884">
        <w:t xml:space="preserve"> and left the </w:t>
      </w:r>
      <w:r w:rsidR="00430F18">
        <w:t>noise pixel contrast</w:t>
      </w:r>
      <w:r w:rsidR="00430F18" w:rsidRPr="00DB5884">
        <w:t xml:space="preserve"> </w:t>
      </w:r>
      <w:r w:rsidRPr="00DB5884">
        <w:t xml:space="preserve">unchanged (middle panel). Finally, in the third simulation, we left the </w:t>
      </w:r>
      <w:r w:rsidR="004E75AA">
        <w:t xml:space="preserve">stimulus </w:t>
      </w:r>
      <w:r w:rsidRPr="00DB5884">
        <w:t xml:space="preserve">contrast the same as the baseline </w:t>
      </w:r>
      <w:r w:rsidR="004E75AA">
        <w:t xml:space="preserve">(5%) </w:t>
      </w:r>
      <w:r w:rsidRPr="00DB5884">
        <w:t xml:space="preserve">but increased the </w:t>
      </w:r>
      <w:r w:rsidR="004E75AA">
        <w:t>noise pixel contrast</w:t>
      </w:r>
      <w:r w:rsidR="004E75AA" w:rsidRPr="00DB5884">
        <w:t xml:space="preserve"> </w:t>
      </w:r>
      <w:r w:rsidRPr="00DB5884">
        <w:t>to 9</w:t>
      </w:r>
      <w:r w:rsidR="004E75AA">
        <w:t>0%</w:t>
      </w:r>
      <w:r w:rsidRPr="00DB5884">
        <w:t xml:space="preserve"> (bottom panel). As can be seen from the </w:t>
      </w:r>
      <w:r w:rsidR="00F55446">
        <w:t>middle</w:t>
      </w:r>
      <w:r w:rsidRPr="00DB5884">
        <w:t xml:space="preserve"> and </w:t>
      </w:r>
      <w:r w:rsidR="00F55446">
        <w:t>bottom</w:t>
      </w:r>
      <w:r w:rsidRPr="00DB5884">
        <w:t xml:space="preserve"> panel</w:t>
      </w:r>
      <w:r w:rsidR="00F55446">
        <w:t>s</w:t>
      </w:r>
      <w:r w:rsidRPr="00DB5884">
        <w:t xml:space="preserve">, </w:t>
      </w:r>
      <w:r w:rsidRPr="00DB5884">
        <w:lastRenderedPageBreak/>
        <w:t xml:space="preserve">both the </w:t>
      </w:r>
      <w:r w:rsidR="004E75AA">
        <w:t>stimulus contrast</w:t>
      </w:r>
      <w:r w:rsidRPr="00DB5884">
        <w:t xml:space="preserve"> decrease and </w:t>
      </w:r>
      <w:r w:rsidR="004E75AA">
        <w:t xml:space="preserve">stimulus </w:t>
      </w:r>
      <w:r w:rsidRPr="00DB5884">
        <w:t xml:space="preserve">noise increase </w:t>
      </w:r>
      <w:r w:rsidR="000D7BA5">
        <w:t>had very similar effects on the</w:t>
      </w:r>
      <w:r w:rsidRPr="00DB5884">
        <w:t xml:space="preserve"> distributions </w:t>
      </w:r>
      <w:r w:rsidR="000D7BA5">
        <w:t>of sensory evidence: they both resulted</w:t>
      </w:r>
      <w:r w:rsidRPr="00DB5884">
        <w:t xml:space="preserve"> in decreased </w:t>
      </w:r>
      <w:r w:rsidR="000D7BA5">
        <w:t xml:space="preserve">sensory </w:t>
      </w:r>
      <w:r w:rsidRPr="00DB5884">
        <w:t xml:space="preserve">signal but virtually unchanged </w:t>
      </w:r>
      <w:r w:rsidR="000D7BA5">
        <w:t xml:space="preserve">sensory </w:t>
      </w:r>
      <w:r w:rsidRPr="00DB5884">
        <w:t>noise. In these panels, the distributions from the top panel are displayed with dashed lines for comparison. For illustration purposes, we show one exemplar from each Gabor patch type (to make the manipulation clea</w:t>
      </w:r>
      <w:r>
        <w:t>r</w:t>
      </w:r>
      <w:r w:rsidRPr="00DB5884">
        <w:t>er, w</w:t>
      </w:r>
      <w:r w:rsidR="000D7BA5">
        <w:t>e increased the stimulus contrasts from 5%</w:t>
      </w:r>
      <w:r w:rsidRPr="00DB5884">
        <w:t xml:space="preserve"> and </w:t>
      </w:r>
      <w:r w:rsidR="000D7BA5">
        <w:t>2.</w:t>
      </w:r>
      <w:r w:rsidRPr="00DB5884">
        <w:t>2</w:t>
      </w:r>
      <w:r w:rsidR="000D7BA5">
        <w:t>%</w:t>
      </w:r>
      <w:r w:rsidRPr="00DB5884">
        <w:t xml:space="preserve"> to 2</w:t>
      </w:r>
      <w:r w:rsidR="000D7BA5">
        <w:t>0%</w:t>
      </w:r>
      <w:r w:rsidRPr="00DB5884">
        <w:t xml:space="preserve"> and 1</w:t>
      </w:r>
      <w:r w:rsidR="000D7BA5">
        <w:t>0%</w:t>
      </w:r>
      <w:r w:rsidRPr="00DB5884">
        <w:t>, respectively).</w:t>
      </w:r>
      <w:r w:rsidR="00933A25">
        <w:t xml:space="preserve"> </w:t>
      </w:r>
      <w:r w:rsidR="00CE4461">
        <w:t>These simulations suggest that</w:t>
      </w:r>
      <w:r w:rsidR="00485C2A">
        <w:t xml:space="preserve">, under the assumption that </w:t>
      </w:r>
      <w:r w:rsidR="002672C2">
        <w:t xml:space="preserve">the computations performed in the brain are in some way similar to a correlation between the </w:t>
      </w:r>
      <w:r w:rsidR="007631C2">
        <w:t xml:space="preserve">current stimulus and a high-fidelity exemplar stored in </w:t>
      </w:r>
      <w:proofErr w:type="gramStart"/>
      <w:r w:rsidR="007631C2">
        <w:t xml:space="preserve">memory, </w:t>
      </w:r>
      <w:r w:rsidR="00933A25">
        <w:t xml:space="preserve"> manipulations</w:t>
      </w:r>
      <w:proofErr w:type="gramEnd"/>
      <w:r w:rsidR="00933A25">
        <w:t xml:space="preserve"> of stimulus contrast and stimulus noise can be expected to have equivalent effects, both </w:t>
      </w:r>
      <w:r w:rsidR="00EC2172">
        <w:t>altering the sensory signal and leaving the sensory noise largely unaffected.</w:t>
      </w:r>
      <w:r w:rsidR="005323C2">
        <w:t xml:space="preserve"> We note that taking the correlation involves an implicit normalization, </w:t>
      </w:r>
      <w:r w:rsidR="000B442A">
        <w:t>which is considered</w:t>
      </w:r>
      <w:r w:rsidR="001D7D42">
        <w:t xml:space="preserve"> biologically plausible. Other models lacking such implicit normalization may produce different results. </w:t>
      </w:r>
      <w:r w:rsidR="00891841">
        <w:t>Developing an adequate model of the computations actually performed in the brain is well beyond the scope of the current paper. Here we simply want to point</w:t>
      </w:r>
      <w:r w:rsidR="00CE4461">
        <w:t xml:space="preserve"> out</w:t>
      </w:r>
      <w:r w:rsidR="00891841">
        <w:t xml:space="preserve"> the uncertainty </w:t>
      </w:r>
      <w:r w:rsidR="00620102">
        <w:t>regarding</w:t>
      </w:r>
      <w:r w:rsidR="00891841">
        <w:t xml:space="preserve"> the</w:t>
      </w:r>
      <w:r w:rsidR="00620102">
        <w:t xml:space="preserve"> exact</w:t>
      </w:r>
      <w:r w:rsidR="00891841">
        <w:t xml:space="preserve"> effects of stimulus noise </w:t>
      </w:r>
      <w:r w:rsidR="00620102">
        <w:t xml:space="preserve">on the SDT parameters </w:t>
      </w:r>
      <w:r w:rsidR="00891841">
        <w:t xml:space="preserve">and these simulations should not be considered as positive evidence that stimulus noise always </w:t>
      </w:r>
      <w:r w:rsidR="002A29B7">
        <w:t>affects exclusively the sensory signal and not the sensory noise.</w:t>
      </w:r>
      <w:r w:rsidR="00DC3095">
        <w:br w:type="page"/>
      </w:r>
    </w:p>
    <w:p w14:paraId="47F281F2" w14:textId="77777777" w:rsidR="00DC3095" w:rsidRDefault="00DC3095" w:rsidP="00D948DE">
      <w:pPr>
        <w:spacing w:after="0" w:line="480" w:lineRule="auto"/>
      </w:pPr>
      <w:r>
        <w:rPr>
          <w:noProof/>
        </w:rPr>
        <w:lastRenderedPageBreak/>
        <w:drawing>
          <wp:inline distT="0" distB="0" distL="0" distR="0" wp14:anchorId="5BF4453C" wp14:editId="2C165949">
            <wp:extent cx="3322578" cy="4324350"/>
            <wp:effectExtent l="0" t="0" r="508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upplementary Figure XX.eps"/>
                    <pic:cNvPicPr/>
                  </pic:nvPicPr>
                  <pic:blipFill>
                    <a:blip r:embed="rId10"/>
                    <a:stretch>
                      <a:fillRect/>
                    </a:stretch>
                  </pic:blipFill>
                  <pic:spPr>
                    <a:xfrm>
                      <a:off x="0" y="0"/>
                      <a:ext cx="3329914" cy="4333897"/>
                    </a:xfrm>
                    <a:prstGeom prst="rect">
                      <a:avLst/>
                    </a:prstGeom>
                  </pic:spPr>
                </pic:pic>
              </a:graphicData>
            </a:graphic>
          </wp:inline>
        </w:drawing>
      </w:r>
    </w:p>
    <w:p w14:paraId="6A48C97F" w14:textId="0A1EB229" w:rsidR="00530986" w:rsidRDefault="00DC3095" w:rsidP="00D948DE">
      <w:pPr>
        <w:spacing w:after="0" w:line="480" w:lineRule="auto"/>
      </w:pPr>
      <w:r w:rsidRPr="00182F16">
        <w:rPr>
          <w:b/>
        </w:rPr>
        <w:t xml:space="preserve">Supplementary Figure </w:t>
      </w:r>
      <w:r w:rsidR="005978E4">
        <w:rPr>
          <w:b/>
        </w:rPr>
        <w:t>4</w:t>
      </w:r>
      <w:r w:rsidR="005464EA">
        <w:t xml:space="preserve">. </w:t>
      </w:r>
      <w:r>
        <w:t xml:space="preserve">Experiment 1 results for an alternative selection </w:t>
      </w:r>
      <w:r w:rsidR="00530986">
        <w:t>of stimulus intensities</w:t>
      </w:r>
      <w:r>
        <w:t>.</w:t>
      </w:r>
      <w:r w:rsidR="00530986">
        <w:t xml:space="preserve"> Figure 2B of the main manuscript plots the </w:t>
      </w:r>
      <w:r w:rsidR="00D03B92" w:rsidRPr="00182F16">
        <w:rPr>
          <w:i/>
        </w:rPr>
        <w:t>d’</w:t>
      </w:r>
      <w:r w:rsidR="00D03B92">
        <w:t xml:space="preserve">, average confidence, and </w:t>
      </w:r>
      <w:r w:rsidR="00D03B92">
        <w:rPr>
          <w:i/>
        </w:rPr>
        <w:t>M</w:t>
      </w:r>
      <w:r w:rsidR="00D03B92">
        <w:rPr>
          <w:i/>
          <w:vertAlign w:val="subscript"/>
        </w:rPr>
        <w:t>ratio</w:t>
      </w:r>
      <w:r w:rsidR="00D03B92">
        <w:t xml:space="preserve"> values for intensity values in the 35-65 quantile range of all intensity values used </w:t>
      </w:r>
      <w:r w:rsidR="00EB5BFC">
        <w:t>for a given subject. Th</w:t>
      </w:r>
      <w:r w:rsidR="006D4FF1">
        <w:t>is method of</w:t>
      </w:r>
      <w:r w:rsidR="00EB5BFC">
        <w:t xml:space="preserve"> selection</w:t>
      </w:r>
      <w:r w:rsidR="006D4FF1">
        <w:t xml:space="preserve"> resulted in differences in average intensity value, standard deviation of intensities, and number of trials used for each session. </w:t>
      </w:r>
      <w:r w:rsidR="006972B1">
        <w:t>Here we selected the ranges differently for each session in order to equalize all of these additional factors and still observed significant effects on</w:t>
      </w:r>
      <w:r w:rsidR="006972B1" w:rsidRPr="00FD7A53">
        <w:t xml:space="preserve"> </w:t>
      </w:r>
      <w:r w:rsidR="006972B1" w:rsidRPr="00FD7A53">
        <w:rPr>
          <w:i/>
        </w:rPr>
        <w:t>d’</w:t>
      </w:r>
      <w:r w:rsidR="006972B1">
        <w:t xml:space="preserve">, </w:t>
      </w:r>
      <w:r w:rsidR="006972B1" w:rsidRPr="00FD7A53">
        <w:t>average confidence</w:t>
      </w:r>
      <w:r w:rsidR="006972B1">
        <w:t>, and</w:t>
      </w:r>
      <w:r w:rsidR="006972B1" w:rsidRPr="00FD7A53">
        <w:t xml:space="preserve"> </w:t>
      </w:r>
      <w:r w:rsidR="006972B1" w:rsidRPr="00FD7A53">
        <w:rPr>
          <w:i/>
        </w:rPr>
        <w:t>M</w:t>
      </w:r>
      <w:r w:rsidR="006972B1" w:rsidRPr="00FD7A53">
        <w:rPr>
          <w:i/>
          <w:vertAlign w:val="subscript"/>
        </w:rPr>
        <w:t>ratio</w:t>
      </w:r>
      <w:r w:rsidR="006972B1" w:rsidRPr="00FD7A53">
        <w:t xml:space="preserve"> </w:t>
      </w:r>
      <w:r w:rsidR="00182F16">
        <w:t>(see Supplementary Results for details)</w:t>
      </w:r>
      <w:r w:rsidR="006972B1" w:rsidRPr="00084A37">
        <w:t xml:space="preserve">. </w:t>
      </w:r>
      <w:r w:rsidR="00084A37" w:rsidRPr="00182F16">
        <w:t>Error bars indicate across-subject S.E.M.</w:t>
      </w:r>
    </w:p>
    <w:p w14:paraId="33698D0B" w14:textId="1299767E" w:rsidR="0061640C" w:rsidRPr="00084A37" w:rsidRDefault="0061640C" w:rsidP="00D948DE">
      <w:pPr>
        <w:spacing w:after="0" w:line="480" w:lineRule="auto"/>
      </w:pPr>
      <w:r>
        <w:rPr>
          <w:noProof/>
        </w:rPr>
        <w:lastRenderedPageBreak/>
        <w:drawing>
          <wp:inline distT="0" distB="0" distL="0" distR="0" wp14:anchorId="24637832" wp14:editId="165BAC74">
            <wp:extent cx="5486400" cy="2877820"/>
            <wp:effectExtent l="0" t="0" r="0" b="50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upplementary Figure XXX.eps"/>
                    <pic:cNvPicPr/>
                  </pic:nvPicPr>
                  <pic:blipFill>
                    <a:blip r:embed="rId11"/>
                    <a:stretch>
                      <a:fillRect/>
                    </a:stretch>
                  </pic:blipFill>
                  <pic:spPr>
                    <a:xfrm>
                      <a:off x="0" y="0"/>
                      <a:ext cx="5486400" cy="2877820"/>
                    </a:xfrm>
                    <a:prstGeom prst="rect">
                      <a:avLst/>
                    </a:prstGeom>
                  </pic:spPr>
                </pic:pic>
              </a:graphicData>
            </a:graphic>
          </wp:inline>
        </w:drawing>
      </w:r>
    </w:p>
    <w:p w14:paraId="5D2FB782" w14:textId="247EFF98" w:rsidR="00530986" w:rsidRDefault="0061640C" w:rsidP="00D948DE">
      <w:pPr>
        <w:spacing w:after="0" w:line="480" w:lineRule="auto"/>
      </w:pPr>
      <w:r w:rsidRPr="00182F16">
        <w:rPr>
          <w:b/>
        </w:rPr>
        <w:t xml:space="preserve">Supplementary Figure </w:t>
      </w:r>
      <w:r w:rsidR="005978E4">
        <w:rPr>
          <w:b/>
        </w:rPr>
        <w:t>5</w:t>
      </w:r>
      <w:r w:rsidR="005464EA">
        <w:t xml:space="preserve">. </w:t>
      </w:r>
      <w:r>
        <w:t>Simulating the effects</w:t>
      </w:r>
      <w:r w:rsidR="004F0A66">
        <w:t xml:space="preserve"> of subject-level </w:t>
      </w:r>
      <w:r w:rsidR="004F0A66">
        <w:rPr>
          <w:i/>
        </w:rPr>
        <w:t>d’</w:t>
      </w:r>
      <w:r w:rsidR="004F0A66">
        <w:t xml:space="preserve"> increase in the absence of </w:t>
      </w:r>
      <w:proofErr w:type="spellStart"/>
      <w:r w:rsidR="004F0A66">
        <w:t>across</w:t>
      </w:r>
      <w:proofErr w:type="spellEnd"/>
      <w:r w:rsidR="004F0A66">
        <w:t>-subject change in sensory noise</w:t>
      </w:r>
      <w:r w:rsidR="00182F16">
        <w:t xml:space="preserve"> in Experiment 2</w:t>
      </w:r>
      <w:r w:rsidR="00025D21">
        <w:t xml:space="preserve">. </w:t>
      </w:r>
      <w:r w:rsidR="00182F16">
        <w:t>W</w:t>
      </w:r>
      <w:r w:rsidR="00267335">
        <w:t xml:space="preserve">e estimated </w:t>
      </w:r>
      <w:r w:rsidR="00182F16">
        <w:t>each</w:t>
      </w:r>
      <w:r w:rsidR="00FA0BA1">
        <w:t xml:space="preserve"> subject</w:t>
      </w:r>
      <w:r w:rsidR="00182F16">
        <w:t>’s</w:t>
      </w:r>
      <w:r w:rsidR="00FA0BA1">
        <w:t xml:space="preserve"> </w:t>
      </w:r>
      <w:r w:rsidR="00FA0BA1">
        <w:rPr>
          <w:i/>
        </w:rPr>
        <w:t>d’</w:t>
      </w:r>
      <w:r w:rsidR="00FA0BA1">
        <w:t xml:space="preserve"> and set of seven criterion values</w:t>
      </w:r>
      <w:r w:rsidR="00182F16">
        <w:t xml:space="preserve"> based on </w:t>
      </w:r>
      <w:r w:rsidR="002243C4">
        <w:t>all 97 trials that they completed from each task</w:t>
      </w:r>
      <w:r w:rsidR="00FA0BA1">
        <w:t>. We then defined a learning parameter</w:t>
      </w:r>
      <w:r w:rsidR="00CF786E">
        <w:t xml:space="preserve"> </w:t>
      </w:r>
      <w:r w:rsidR="00CF786E" w:rsidRPr="00CF786E">
        <w:t>γ</w:t>
      </w:r>
      <w:r w:rsidR="000B43EC">
        <w:t xml:space="preserve"> such that</w:t>
      </w:r>
      <w:r w:rsidR="002243C4">
        <w:t>,</w:t>
      </w:r>
      <w:r w:rsidR="000B43EC">
        <w:t xml:space="preserve"> for each subject</w:t>
      </w:r>
      <w:r w:rsidR="002243C4">
        <w:t>,</w:t>
      </w:r>
      <w:r w:rsidR="000B43EC">
        <w:t xml:space="preserve"> </w:t>
      </w:r>
      <w:r w:rsidR="000B43EC">
        <w:rPr>
          <w:i/>
        </w:rPr>
        <w:t>d’</w:t>
      </w:r>
      <w:r w:rsidR="000B43EC">
        <w:t xml:space="preserve"> increased by a value of </w:t>
      </w:r>
      <w:r w:rsidR="000B43EC" w:rsidRPr="00CF786E">
        <w:t>γ</w:t>
      </w:r>
      <w:r w:rsidR="000B43EC">
        <w:t xml:space="preserve"> on every subsequent trial. </w:t>
      </w:r>
      <w:r w:rsidR="00F65E00">
        <w:t xml:space="preserve">To roughly match the </w:t>
      </w:r>
      <w:r w:rsidR="00621A60">
        <w:t xml:space="preserve">learning effects observed in the coarse and fine discrimination tasks, </w:t>
      </w:r>
      <w:r w:rsidR="00621A60" w:rsidRPr="00CF786E">
        <w:t>γ</w:t>
      </w:r>
      <w:r w:rsidR="00621A60">
        <w:t xml:space="preserve"> was set to .0057 and .0024 for each of these tasks, respectively. </w:t>
      </w:r>
      <w:r w:rsidR="00EB1BB6">
        <w:t>Then, using the sequence of trials actually experience</w:t>
      </w:r>
      <w:r w:rsidR="003E5174">
        <w:t>d</w:t>
      </w:r>
      <w:r w:rsidR="00EB1BB6">
        <w:t xml:space="preserve"> by each individual subject, we simulated </w:t>
      </w:r>
      <w:r w:rsidR="00B87945">
        <w:t xml:space="preserve">data and computed across-subject </w:t>
      </w:r>
      <w:r w:rsidR="00B87945" w:rsidRPr="006B7F84">
        <w:rPr>
          <w:i/>
        </w:rPr>
        <w:t>d’</w:t>
      </w:r>
      <w:r w:rsidR="00B87945">
        <w:t xml:space="preserve"> and </w:t>
      </w:r>
      <w:r w:rsidR="00B87945">
        <w:rPr>
          <w:i/>
        </w:rPr>
        <w:t>M</w:t>
      </w:r>
      <w:r w:rsidR="00B87945">
        <w:rPr>
          <w:i/>
          <w:vertAlign w:val="subscript"/>
        </w:rPr>
        <w:t>ratio</w:t>
      </w:r>
      <w:r w:rsidR="00B87945">
        <w:t xml:space="preserve"> values for each task ten different times. </w:t>
      </w:r>
      <w:r w:rsidR="003E5174">
        <w:t>Note that these simulations do not involve any across-subjects decrease in sensory noise and therefore</w:t>
      </w:r>
      <w:r w:rsidR="009A1967">
        <w:t xml:space="preserve"> should not lead to a change in </w:t>
      </w:r>
      <w:r w:rsidR="009A1967">
        <w:rPr>
          <w:i/>
        </w:rPr>
        <w:t>M</w:t>
      </w:r>
      <w:r w:rsidR="009A1967">
        <w:rPr>
          <w:i/>
          <w:vertAlign w:val="subscript"/>
        </w:rPr>
        <w:t>ratio</w:t>
      </w:r>
      <w:r w:rsidR="009A1967">
        <w:t xml:space="preserve">. Indeed, we found that the </w:t>
      </w:r>
      <w:r w:rsidR="009A1967">
        <w:rPr>
          <w:i/>
        </w:rPr>
        <w:t>M</w:t>
      </w:r>
      <w:r w:rsidR="009A1967">
        <w:rPr>
          <w:i/>
          <w:vertAlign w:val="subscript"/>
        </w:rPr>
        <w:t>ratio</w:t>
      </w:r>
      <w:r w:rsidR="009A1967">
        <w:t xml:space="preserve"> slopes were significantly different from zero (at </w:t>
      </w:r>
      <w:r w:rsidR="009A1967">
        <w:rPr>
          <w:i/>
        </w:rPr>
        <w:t>p</w:t>
      </w:r>
      <w:r w:rsidR="009A1967">
        <w:t xml:space="preserve"> &lt; .05) for just </w:t>
      </w:r>
      <w:r w:rsidR="0066328A">
        <w:t xml:space="preserve">one of the 20 simulations (which is the </w:t>
      </w:r>
      <w:r w:rsidR="00A37FBA">
        <w:t>number</w:t>
      </w:r>
      <w:r w:rsidR="0066328A">
        <w:t xml:space="preserve"> of false positives one would expect to occur in the absence of any effects). </w:t>
      </w:r>
      <w:r w:rsidR="00A37FBA">
        <w:t xml:space="preserve">To visualize the results better, we averaged across the </w:t>
      </w:r>
      <w:r w:rsidR="00183825">
        <w:lastRenderedPageBreak/>
        <w:t>ten</w:t>
      </w:r>
      <w:r w:rsidR="00A37FBA">
        <w:t xml:space="preserve"> simu</w:t>
      </w:r>
      <w:r w:rsidR="00183825">
        <w:t xml:space="preserve">lations for each task and plotted </w:t>
      </w:r>
      <w:r w:rsidR="00183825" w:rsidRPr="006B7F84">
        <w:rPr>
          <w:i/>
        </w:rPr>
        <w:t>d’</w:t>
      </w:r>
      <w:r w:rsidR="00183825">
        <w:t xml:space="preserve"> and </w:t>
      </w:r>
      <w:r w:rsidR="00183825">
        <w:rPr>
          <w:i/>
        </w:rPr>
        <w:t>M</w:t>
      </w:r>
      <w:r w:rsidR="00183825">
        <w:rPr>
          <w:i/>
          <w:vertAlign w:val="subscript"/>
        </w:rPr>
        <w:t>ratio</w:t>
      </w:r>
      <w:r w:rsidR="00183825">
        <w:t xml:space="preserve"> as in Figure 3</w:t>
      </w:r>
      <w:proofErr w:type="gramStart"/>
      <w:r w:rsidR="00183825">
        <w:t>D,E.</w:t>
      </w:r>
      <w:proofErr w:type="gramEnd"/>
      <w:r w:rsidR="00183825">
        <w:t xml:space="preserve"> </w:t>
      </w:r>
      <w:r w:rsidR="00596F12">
        <w:t xml:space="preserve">For these </w:t>
      </w:r>
      <w:r w:rsidR="00E141E2">
        <w:t xml:space="preserve">averaged </w:t>
      </w:r>
      <w:proofErr w:type="spellStart"/>
      <w:r w:rsidR="00E141E2">
        <w:t>timecourses</w:t>
      </w:r>
      <w:proofErr w:type="spellEnd"/>
      <w:r w:rsidR="00E141E2">
        <w:t xml:space="preserve">, we found a significant increase in </w:t>
      </w:r>
      <w:r w:rsidR="00E141E2">
        <w:rPr>
          <w:i/>
        </w:rPr>
        <w:t>d’</w:t>
      </w:r>
      <w:r w:rsidR="00E141E2">
        <w:t xml:space="preserve"> (</w:t>
      </w:r>
      <w:r w:rsidR="00E141E2" w:rsidRPr="00FD7A53">
        <w:t xml:space="preserve">coarse discrimination task: </w:t>
      </w:r>
      <w:r w:rsidR="002243C4">
        <w:t>t(95)</w:t>
      </w:r>
      <w:r w:rsidR="00E141E2" w:rsidRPr="00FD7A53">
        <w:t xml:space="preserve"> = </w:t>
      </w:r>
      <w:r w:rsidR="00E141E2">
        <w:t>15</w:t>
      </w:r>
      <w:r w:rsidR="00E141E2" w:rsidRPr="00FD7A53">
        <w:t>.</w:t>
      </w:r>
      <w:r w:rsidR="00E141E2">
        <w:t>61</w:t>
      </w:r>
      <w:r w:rsidR="00E141E2" w:rsidRPr="00FD7A53">
        <w:t xml:space="preserve">, </w:t>
      </w:r>
      <w:r w:rsidR="00E141E2" w:rsidRPr="00FD7A53">
        <w:rPr>
          <w:i/>
        </w:rPr>
        <w:t>p</w:t>
      </w:r>
      <w:r w:rsidR="00E141E2" w:rsidRPr="00FD7A53">
        <w:t xml:space="preserve"> = </w:t>
      </w:r>
      <w:r w:rsidR="00B546A2">
        <w:t>5</w:t>
      </w:r>
      <w:r w:rsidR="00E141E2" w:rsidRPr="00FD7A53">
        <w:t>.</w:t>
      </w:r>
      <w:r w:rsidR="00B546A2">
        <w:t>8</w:t>
      </w:r>
      <w:r w:rsidR="00E141E2" w:rsidRPr="00FD7A53">
        <w:t>*10</w:t>
      </w:r>
      <w:r w:rsidR="00E141E2" w:rsidRPr="00FD7A53">
        <w:rPr>
          <w:vertAlign w:val="superscript"/>
        </w:rPr>
        <w:t>-</w:t>
      </w:r>
      <w:r w:rsidR="00B546A2">
        <w:rPr>
          <w:vertAlign w:val="superscript"/>
        </w:rPr>
        <w:t>28</w:t>
      </w:r>
      <w:r w:rsidR="00E141E2" w:rsidRPr="00FD7A53">
        <w:t xml:space="preserve">; fine discrimination task: </w:t>
      </w:r>
      <w:r w:rsidR="002243C4">
        <w:t>t(95)</w:t>
      </w:r>
      <w:r w:rsidR="00E141E2" w:rsidRPr="00FD7A53">
        <w:t xml:space="preserve"> = </w:t>
      </w:r>
      <w:r w:rsidR="00B546A2">
        <w:t>4</w:t>
      </w:r>
      <w:r w:rsidR="00E141E2" w:rsidRPr="00FD7A53">
        <w:t>.3</w:t>
      </w:r>
      <w:r w:rsidR="00B546A2">
        <w:t>8</w:t>
      </w:r>
      <w:r w:rsidR="00E141E2" w:rsidRPr="00FD7A53">
        <w:t xml:space="preserve">, </w:t>
      </w:r>
      <w:r w:rsidR="00E141E2" w:rsidRPr="00FD7A53">
        <w:rPr>
          <w:i/>
        </w:rPr>
        <w:t>p</w:t>
      </w:r>
      <w:r w:rsidR="00E141E2" w:rsidRPr="00FD7A53">
        <w:t xml:space="preserve"> = .0</w:t>
      </w:r>
      <w:r w:rsidR="00B546A2">
        <w:t>0003</w:t>
      </w:r>
      <w:r w:rsidR="00E141E2" w:rsidRPr="00FD7A53">
        <w:t>; t-tests on the slope p</w:t>
      </w:r>
      <w:r w:rsidR="00E141E2">
        <w:t>arameter in a linear regression)</w:t>
      </w:r>
      <w:r w:rsidR="00B546A2">
        <w:t xml:space="preserve"> but not on </w:t>
      </w:r>
      <w:r w:rsidR="00B546A2">
        <w:rPr>
          <w:i/>
        </w:rPr>
        <w:t>M</w:t>
      </w:r>
      <w:r w:rsidR="00B546A2">
        <w:rPr>
          <w:i/>
          <w:vertAlign w:val="subscript"/>
        </w:rPr>
        <w:t>ratio</w:t>
      </w:r>
      <w:r w:rsidR="00B546A2">
        <w:t xml:space="preserve"> (</w:t>
      </w:r>
      <w:r w:rsidR="00B546A2" w:rsidRPr="00FD7A53">
        <w:t xml:space="preserve">coarse discrimination task: </w:t>
      </w:r>
      <w:r w:rsidR="002243C4">
        <w:t>t(95)</w:t>
      </w:r>
      <w:r w:rsidR="00B546A2" w:rsidRPr="00FD7A53">
        <w:t xml:space="preserve"> = </w:t>
      </w:r>
      <w:r w:rsidR="00B546A2">
        <w:t>-1</w:t>
      </w:r>
      <w:r w:rsidR="00B546A2" w:rsidRPr="00FD7A53">
        <w:t>.</w:t>
      </w:r>
      <w:r w:rsidR="00B546A2">
        <w:t>6</w:t>
      </w:r>
      <w:r w:rsidR="00B546A2" w:rsidRPr="00FD7A53">
        <w:t xml:space="preserve">, </w:t>
      </w:r>
      <w:r w:rsidR="00B546A2" w:rsidRPr="00FD7A53">
        <w:rPr>
          <w:i/>
        </w:rPr>
        <w:t>p</w:t>
      </w:r>
      <w:r w:rsidR="00B546A2" w:rsidRPr="00FD7A53">
        <w:t xml:space="preserve"> = </w:t>
      </w:r>
      <w:r w:rsidR="00B546A2">
        <w:t>.11</w:t>
      </w:r>
      <w:r w:rsidR="00B546A2" w:rsidRPr="00FD7A53">
        <w:t xml:space="preserve">; fine discrimination task: </w:t>
      </w:r>
      <w:r w:rsidR="002243C4">
        <w:t>t(95)</w:t>
      </w:r>
      <w:r w:rsidR="00B546A2" w:rsidRPr="00FD7A53">
        <w:t xml:space="preserve"> = .</w:t>
      </w:r>
      <w:r w:rsidR="004C6526">
        <w:t>4</w:t>
      </w:r>
      <w:r w:rsidR="00B546A2" w:rsidRPr="00FD7A53">
        <w:t xml:space="preserve">, </w:t>
      </w:r>
      <w:r w:rsidR="00B546A2" w:rsidRPr="00FD7A53">
        <w:rPr>
          <w:i/>
        </w:rPr>
        <w:t>p</w:t>
      </w:r>
      <w:r w:rsidR="00B546A2" w:rsidRPr="00FD7A53">
        <w:t xml:space="preserve"> = .</w:t>
      </w:r>
      <w:r w:rsidR="004C6526">
        <w:t>69</w:t>
      </w:r>
      <w:r w:rsidR="00B546A2" w:rsidRPr="00FD7A53">
        <w:t>; t-tests on the slope p</w:t>
      </w:r>
      <w:r w:rsidR="00B546A2">
        <w:t>arameter in a linear regression)</w:t>
      </w:r>
      <w:r w:rsidR="004C6526">
        <w:t xml:space="preserve">. </w:t>
      </w:r>
      <w:r w:rsidR="00110B1E">
        <w:t xml:space="preserve">These results suggest that the effects on </w:t>
      </w:r>
      <w:r w:rsidR="00110B1E" w:rsidRPr="00FD7A53">
        <w:rPr>
          <w:i/>
        </w:rPr>
        <w:t>M</w:t>
      </w:r>
      <w:r w:rsidR="00110B1E" w:rsidRPr="00FD7A53">
        <w:rPr>
          <w:i/>
          <w:vertAlign w:val="subscript"/>
        </w:rPr>
        <w:t>ratio</w:t>
      </w:r>
      <w:r w:rsidR="00110B1E" w:rsidRPr="00FD7A53">
        <w:t xml:space="preserve"> </w:t>
      </w:r>
      <w:r w:rsidR="00110B1E">
        <w:t>in Figure 3</w:t>
      </w:r>
      <w:proofErr w:type="gramStart"/>
      <w:r w:rsidR="00110B1E">
        <w:t>D,E</w:t>
      </w:r>
      <w:proofErr w:type="gramEnd"/>
      <w:r w:rsidR="00110B1E">
        <w:t xml:space="preserve"> were not simply an artifact of the way we performed the analyses. </w:t>
      </w:r>
      <w:r w:rsidR="00025D21">
        <w:t>As in Figure 3</w:t>
      </w:r>
      <w:proofErr w:type="gramStart"/>
      <w:r w:rsidR="00F7555B">
        <w:t>D,E</w:t>
      </w:r>
      <w:proofErr w:type="gramEnd"/>
      <w:r w:rsidR="00025D21">
        <w:t>, t</w:t>
      </w:r>
      <w:r w:rsidR="00025D21" w:rsidRPr="00025D21">
        <w:t xml:space="preserve">he </w:t>
      </w:r>
      <w:proofErr w:type="spellStart"/>
      <w:r w:rsidR="00025D21" w:rsidRPr="00025D21">
        <w:t>timecourses</w:t>
      </w:r>
      <w:proofErr w:type="spellEnd"/>
      <w:r w:rsidR="00025D21" w:rsidRPr="00025D21">
        <w:t xml:space="preserve"> are smoothed with a 11-point moving window.</w:t>
      </w:r>
    </w:p>
    <w:p w14:paraId="0B0B77DC" w14:textId="77777777" w:rsidR="00126E37" w:rsidRDefault="00126E37" w:rsidP="00D948DE">
      <w:pPr>
        <w:spacing w:after="0" w:line="480" w:lineRule="auto"/>
      </w:pPr>
    </w:p>
    <w:p w14:paraId="3FFB425C" w14:textId="252D9864" w:rsidR="002B45E6" w:rsidRDefault="002B45E6" w:rsidP="00D948DE">
      <w:pPr>
        <w:spacing w:line="480" w:lineRule="auto"/>
      </w:pPr>
      <w:r>
        <w:br w:type="page"/>
      </w:r>
    </w:p>
    <w:p w14:paraId="613C0D6B" w14:textId="349809C0" w:rsidR="002B45E6" w:rsidRDefault="002B45E6" w:rsidP="00D948DE">
      <w:pPr>
        <w:spacing w:after="0" w:line="480" w:lineRule="auto"/>
      </w:pPr>
      <w:r>
        <w:rPr>
          <w:noProof/>
        </w:rPr>
        <w:lastRenderedPageBreak/>
        <w:drawing>
          <wp:inline distT="0" distB="0" distL="0" distR="0" wp14:anchorId="47BAD8E6" wp14:editId="5BC4DF3D">
            <wp:extent cx="4652057" cy="331997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Supp Figure ND.eps"/>
                    <pic:cNvPicPr/>
                  </pic:nvPicPr>
                  <pic:blipFill>
                    <a:blip r:embed="rId12"/>
                    <a:stretch>
                      <a:fillRect/>
                    </a:stretch>
                  </pic:blipFill>
                  <pic:spPr>
                    <a:xfrm>
                      <a:off x="0" y="0"/>
                      <a:ext cx="4654837" cy="3321959"/>
                    </a:xfrm>
                    <a:prstGeom prst="rect">
                      <a:avLst/>
                    </a:prstGeom>
                  </pic:spPr>
                </pic:pic>
              </a:graphicData>
            </a:graphic>
          </wp:inline>
        </w:drawing>
      </w:r>
    </w:p>
    <w:p w14:paraId="5201D6D0" w14:textId="20A57A37" w:rsidR="00126E37" w:rsidRDefault="002B45E6" w:rsidP="00D948DE">
      <w:pPr>
        <w:spacing w:line="480" w:lineRule="auto"/>
        <w:contextualSpacing/>
      </w:pPr>
      <w:r w:rsidRPr="00F7555B">
        <w:rPr>
          <w:b/>
        </w:rPr>
        <w:t xml:space="preserve">Supplementary Figure </w:t>
      </w:r>
      <w:r w:rsidR="005978E4">
        <w:rPr>
          <w:b/>
        </w:rPr>
        <w:t>6</w:t>
      </w:r>
      <w:r w:rsidR="005464EA">
        <w:t>.</w:t>
      </w:r>
      <w:r>
        <w:t xml:space="preserve"> Sensory distributions associated with each of the four levels of variability from Experiment 3. </w:t>
      </w:r>
      <w:r w:rsidRPr="007E0ACB">
        <w:t>The four levels were defined as follows: in Level 1, each of contrasts</w:t>
      </w:r>
      <w:r w:rsidR="004D46EE">
        <w:t xml:space="preserve"> 1-3 was considered separately</w:t>
      </w:r>
      <w:r w:rsidRPr="007E0ACB">
        <w:t>; in Level 2, contrasts 1-2 and con</w:t>
      </w:r>
      <w:r w:rsidR="004D46EE">
        <w:t>trasts 2-3 were combined</w:t>
      </w:r>
      <w:r w:rsidRPr="007E0ACB">
        <w:t>; in Level 3, all of contrasts 1-3 were considered together; and in Level 4, only contrasts 1 and 3 were considered together. Thus, more and more dissimilar contrasts were combined</w:t>
      </w:r>
      <w:r w:rsidR="00F7555B">
        <w:t xml:space="preserve"> in each of the four </w:t>
      </w:r>
      <w:r w:rsidR="00BE3352">
        <w:t>levels of variability</w:t>
      </w:r>
      <w:r w:rsidR="00735A16">
        <w:t xml:space="preserve">. </w:t>
      </w:r>
      <w:r>
        <w:t xml:space="preserve">To demonstrate </w:t>
      </w:r>
      <w:r w:rsidR="00735A16">
        <w:t>that Levels 1-4 indeed featured increasing sensory variability</w:t>
      </w:r>
      <w:r>
        <w:t xml:space="preserve">, </w:t>
      </w:r>
      <w:r w:rsidR="00735A16">
        <w:t>we plotted example distributions</w:t>
      </w:r>
      <w:r w:rsidR="00BE3352">
        <w:t xml:space="preserve"> from each level</w:t>
      </w:r>
      <w:r w:rsidR="00735A16">
        <w:t xml:space="preserve">. Since the average </w:t>
      </w:r>
      <w:r w:rsidR="00735A16">
        <w:rPr>
          <w:i/>
        </w:rPr>
        <w:t>d’</w:t>
      </w:r>
      <w:r w:rsidR="00735A16">
        <w:t xml:space="preserve"> values for the three contrasts were approximately </w:t>
      </w:r>
      <w:r w:rsidR="00735A16">
        <w:rPr>
          <w:i/>
        </w:rPr>
        <w:t>d’</w:t>
      </w:r>
      <w:r w:rsidR="00735A16">
        <w:t xml:space="preserve"> = 1, </w:t>
      </w:r>
      <w:r w:rsidR="00735A16">
        <w:rPr>
          <w:i/>
        </w:rPr>
        <w:t>d’</w:t>
      </w:r>
      <w:r w:rsidR="00735A16">
        <w:t xml:space="preserve"> = 2 and </w:t>
      </w:r>
      <w:r w:rsidR="00735A16">
        <w:rPr>
          <w:i/>
        </w:rPr>
        <w:t>d’</w:t>
      </w:r>
      <w:r w:rsidR="00735A16">
        <w:t xml:space="preserve"> = 3, we combined three distributions with unit variance and peak-to-peak distance of 1, 2 and 3. </w:t>
      </w:r>
      <w:r w:rsidR="00356FCD">
        <w:t xml:space="preserve">For Level 1, we plot the distribution corresponding to contrast 2, whereas for Level 2, we plot the distribution corresponding to the combination of contrasts 1 and 2 (this choice did not affect the resulting variability). As can be seen from the </w:t>
      </w:r>
      <w:r w:rsidR="00356FCD">
        <w:lastRenderedPageBreak/>
        <w:t xml:space="preserve">plots, the variance of the distributions increased monotonically across the four levels from 1 to 1.25. It should be noted that the mixtures of normal distributions in Levels 2-4 result in distributions that are no longer normally distributed. Nevertheless, because the mixtures involved distributions with similar means (relative to their variability), the resulting distributions’ deviations from normality were relatively minor, as can be seen in the plots above. </w:t>
      </w:r>
      <w:r w:rsidR="001F68A5">
        <w:t xml:space="preserve">Note that similar deviations from normality in Experiment 1 (where we considered a range of </w:t>
      </w:r>
      <w:r w:rsidR="00940B39">
        <w:t xml:space="preserve">stimulus intensity values) were similar across the seven days of testing and could thus not </w:t>
      </w:r>
      <w:r w:rsidR="009666B7">
        <w:t>affect</w:t>
      </w:r>
      <w:r w:rsidR="00940B39">
        <w:t xml:space="preserve"> our results. </w:t>
      </w:r>
      <w:r w:rsidR="00356FCD">
        <w:t>Var., variance.</w:t>
      </w:r>
      <w:r w:rsidR="00126E37">
        <w:br w:type="page"/>
      </w:r>
    </w:p>
    <w:p w14:paraId="035F29E6" w14:textId="576ECE6D" w:rsidR="00B73185" w:rsidRDefault="00B73185" w:rsidP="00D948DE">
      <w:pPr>
        <w:spacing w:after="0" w:line="480" w:lineRule="auto"/>
      </w:pPr>
      <w:r>
        <w:rPr>
          <w:noProof/>
          <w:lang w:eastAsia="en-US"/>
        </w:rPr>
        <w:lastRenderedPageBreak/>
        <w:drawing>
          <wp:inline distT="0" distB="0" distL="0" distR="0" wp14:anchorId="50F1FE05" wp14:editId="6445C9BA">
            <wp:extent cx="3440472" cy="3185622"/>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upp Fig 1.eps"/>
                    <pic:cNvPicPr/>
                  </pic:nvPicPr>
                  <pic:blipFill>
                    <a:blip r:embed="rId13">
                      <a:extLst>
                        <a:ext uri="{28A0092B-C50C-407E-A947-70E740481C1C}">
                          <a14:useLocalDpi xmlns:a14="http://schemas.microsoft.com/office/drawing/2010/main" val="0"/>
                        </a:ext>
                      </a:extLst>
                    </a:blip>
                    <a:stretch>
                      <a:fillRect/>
                    </a:stretch>
                  </pic:blipFill>
                  <pic:spPr>
                    <a:xfrm>
                      <a:off x="0" y="0"/>
                      <a:ext cx="3444476" cy="3189330"/>
                    </a:xfrm>
                    <a:prstGeom prst="rect">
                      <a:avLst/>
                    </a:prstGeom>
                  </pic:spPr>
                </pic:pic>
              </a:graphicData>
            </a:graphic>
          </wp:inline>
        </w:drawing>
      </w:r>
    </w:p>
    <w:p w14:paraId="6458DD81" w14:textId="2B981CE4" w:rsidR="00B73185" w:rsidRDefault="00B73185" w:rsidP="00D948DE">
      <w:pPr>
        <w:widowControl w:val="0"/>
        <w:autoSpaceDE w:val="0"/>
        <w:autoSpaceDN w:val="0"/>
        <w:adjustRightInd w:val="0"/>
        <w:spacing w:after="0" w:line="480" w:lineRule="auto"/>
      </w:pPr>
      <w:r w:rsidRPr="003E1A4C">
        <w:rPr>
          <w:b/>
        </w:rPr>
        <w:t xml:space="preserve">Supplementary Figure </w:t>
      </w:r>
      <w:r w:rsidR="005978E4">
        <w:rPr>
          <w:b/>
        </w:rPr>
        <w:t>7</w:t>
      </w:r>
      <w:r>
        <w:t xml:space="preserve">. </w:t>
      </w:r>
      <w:r w:rsidR="00C57792">
        <w:t>A graphical e</w:t>
      </w:r>
      <w:r>
        <w:t xml:space="preserve">xplanation as to why the </w:t>
      </w:r>
      <w:r w:rsidRPr="00B73185">
        <w:rPr>
          <w:i/>
        </w:rPr>
        <w:t>d’</w:t>
      </w:r>
      <w:r>
        <w:t xml:space="preserve"> value of two combined conditions is lower than the average </w:t>
      </w:r>
      <w:r w:rsidRPr="00B73185">
        <w:rPr>
          <w:i/>
        </w:rPr>
        <w:t>d’</w:t>
      </w:r>
      <w:r>
        <w:t xml:space="preserve"> values of those conditions. </w:t>
      </w:r>
      <w:r w:rsidR="00C57792">
        <w:t xml:space="preserve">The figure shows the receiver operating characteristic (ROC) curves for </w:t>
      </w:r>
      <w:r w:rsidR="00C57792" w:rsidRPr="007159BF">
        <w:rPr>
          <w:i/>
        </w:rPr>
        <w:t>d’</w:t>
      </w:r>
      <w:r w:rsidR="00C57792">
        <w:t xml:space="preserve"> of 0, 1, 2, 3, 4, and 5. The ROC curve plots the false alarm rate (FAR) on the x axis vs. the hit rate (HR) on the y axis. </w:t>
      </w:r>
      <w:r w:rsidR="007159BF">
        <w:t xml:space="preserve">Assume that an unbiased observer (who chooses each stimulus category equally often) shows stimulus sensitivity values of </w:t>
      </w:r>
      <w:r w:rsidR="007159BF" w:rsidRPr="007159BF">
        <w:rPr>
          <w:i/>
        </w:rPr>
        <w:t>d’</w:t>
      </w:r>
      <w:r w:rsidR="007159BF">
        <w:t xml:space="preserve"> = 1 and </w:t>
      </w:r>
      <w:r w:rsidR="007159BF" w:rsidRPr="007159BF">
        <w:rPr>
          <w:i/>
        </w:rPr>
        <w:t>d’</w:t>
      </w:r>
      <w:r w:rsidR="007159BF">
        <w:t xml:space="preserve"> = 3 in two different conditions.</w:t>
      </w:r>
      <w:r w:rsidR="007849E9">
        <w:t xml:space="preserve"> Such performance would result in the red dots marked on the graph, lying on the diagonal perpendicular to the line of </w:t>
      </w:r>
      <w:r w:rsidR="007849E9" w:rsidRPr="007849E9">
        <w:rPr>
          <w:i/>
        </w:rPr>
        <w:t>d’</w:t>
      </w:r>
      <w:r w:rsidR="007849E9">
        <w:t xml:space="preserve"> = 0. Assuming that the two conditions had equal number of trials from each category, then their combination would result in a point on the ROC curve (marked in blue) </w:t>
      </w:r>
      <w:r w:rsidR="00C57928">
        <w:t>lying</w:t>
      </w:r>
      <w:r w:rsidR="007849E9">
        <w:t xml:space="preserve"> exactly midway between the </w:t>
      </w:r>
      <w:r w:rsidR="007E6953">
        <w:t xml:space="preserve">two </w:t>
      </w:r>
      <w:r w:rsidR="007849E9">
        <w:t xml:space="preserve">red circles. As can be seen in the graph, this point corresponds to </w:t>
      </w:r>
      <w:r w:rsidR="007849E9" w:rsidRPr="007849E9">
        <w:rPr>
          <w:i/>
        </w:rPr>
        <w:t>d’</w:t>
      </w:r>
      <w:r w:rsidR="007849E9">
        <w:t xml:space="preserve"> of 1.773, which is lower than 2 – the average of 1 and 3.</w:t>
      </w:r>
      <w:r w:rsidR="00C62A90">
        <w:t xml:space="preserve"> </w:t>
      </w:r>
      <w:r w:rsidR="007E6953">
        <w:t>Mathematically</w:t>
      </w:r>
      <w:r w:rsidR="00C62A90">
        <w:t xml:space="preserve">, the distance from the </w:t>
      </w:r>
      <w:r w:rsidR="00C62A90" w:rsidRPr="00C62A90">
        <w:rPr>
          <w:i/>
        </w:rPr>
        <w:t>d’</w:t>
      </w:r>
      <w:r w:rsidR="00C62A90">
        <w:t xml:space="preserve"> = 0 line </w:t>
      </w:r>
      <w:r w:rsidR="00E36F46">
        <w:t xml:space="preserve">(which we can denote with </w:t>
      </w:r>
      <m:oMath>
        <m:r>
          <w:rPr>
            <w:rFonts w:ascii="Cambria Math" w:hAnsi="Cambria Math"/>
          </w:rPr>
          <m:t>l</m:t>
        </m:r>
      </m:oMath>
      <w:r w:rsidR="00E36F46">
        <w:t xml:space="preserve">) </w:t>
      </w:r>
      <w:r w:rsidR="00C62A90">
        <w:t xml:space="preserve">is </w:t>
      </w:r>
      <w:r w:rsidR="00C62A90">
        <w:lastRenderedPageBreak/>
        <w:t xml:space="preserve">equal to </w:t>
      </w:r>
      <m:oMath>
        <m:r>
          <w:rPr>
            <w:rFonts w:ascii="Cambria Math" w:hAnsi="Cambria Math"/>
          </w:rPr>
          <m:t>l=</m:t>
        </m:r>
        <m:r>
          <w:rPr>
            <w:rFonts w:ascii="Cambria Math" w:eastAsia="Times New Roman" w:hAnsi="Cambria Math" w:cs="Times New Roman"/>
          </w:rPr>
          <m:t>Φ</m:t>
        </m:r>
        <m:d>
          <m:dPr>
            <m:ctrlPr>
              <w:rPr>
                <w:rFonts w:ascii="Cambria Math" w:eastAsia="Times New Roman" w:hAnsi="Cambria Math" w:cs="Times New Roman"/>
                <w:i/>
                <w:iCs/>
              </w:rPr>
            </m:ctrlPr>
          </m:dPr>
          <m:e>
            <m:r>
              <w:rPr>
                <w:rFonts w:ascii="Cambria Math" w:eastAsia="Times New Roman" w:hAnsi="Cambria Math" w:cs="Times New Roman"/>
              </w:rPr>
              <m:t>d'</m:t>
            </m:r>
          </m:e>
        </m:d>
        <m:r>
          <w:rPr>
            <w:rFonts w:ascii="Cambria Math" w:eastAsia="Times New Roman" w:hAnsi="Cambria Math" w:cs="Times New Roman"/>
          </w:rPr>
          <m:t>=</m:t>
        </m:r>
        <m:f>
          <m:fPr>
            <m:ctrlPr>
              <w:rPr>
                <w:rFonts w:ascii="Cambria Math" w:eastAsia="Times New Roman" w:hAnsi="Cambria Math" w:cs="Times New Roman"/>
                <w:i/>
                <w:iCs/>
              </w:rPr>
            </m:ctrlPr>
          </m:fPr>
          <m:num>
            <m:r>
              <w:rPr>
                <w:rFonts w:ascii="Cambria Math" w:eastAsia="Times New Roman" w:hAnsi="Cambria Math" w:cs="Times New Roman"/>
              </w:rPr>
              <m:t>1</m:t>
            </m:r>
          </m:num>
          <m:den>
            <m:r>
              <w:rPr>
                <w:rFonts w:ascii="Cambria Math" w:eastAsia="Times New Roman" w:hAnsi="Cambria Math" w:cs="Times New Roman"/>
              </w:rPr>
              <m:t>2</m:t>
            </m:r>
          </m:den>
        </m:f>
        <m:d>
          <m:dPr>
            <m:ctrlPr>
              <w:rPr>
                <w:rFonts w:ascii="Cambria Math" w:eastAsia="Times New Roman" w:hAnsi="Cambria Math" w:cs="Times New Roman"/>
                <w:i/>
                <w:iCs/>
              </w:rPr>
            </m:ctrlPr>
          </m:dPr>
          <m:e>
            <m:r>
              <w:rPr>
                <w:rFonts w:ascii="Cambria Math" w:eastAsia="Times New Roman" w:hAnsi="Cambria Math" w:cs="Times New Roman"/>
              </w:rPr>
              <m:t>1+erf</m:t>
            </m:r>
            <m:d>
              <m:dPr>
                <m:ctrlPr>
                  <w:rPr>
                    <w:rFonts w:ascii="Cambria Math" w:eastAsia="Times New Roman" w:hAnsi="Cambria Math" w:cs="Times New Roman"/>
                    <w:i/>
                    <w:iCs/>
                  </w:rPr>
                </m:ctrlPr>
              </m:dPr>
              <m:e>
                <m:f>
                  <m:fPr>
                    <m:ctrlPr>
                      <w:rPr>
                        <w:rFonts w:ascii="Cambria Math" w:eastAsia="Times New Roman" w:hAnsi="Cambria Math" w:cs="Times New Roman"/>
                        <w:i/>
                        <w:iCs/>
                      </w:rPr>
                    </m:ctrlPr>
                  </m:fPr>
                  <m:num>
                    <m:sSup>
                      <m:sSupPr>
                        <m:ctrlPr>
                          <w:rPr>
                            <w:rFonts w:ascii="Cambria Math" w:eastAsia="Times New Roman" w:hAnsi="Cambria Math" w:cs="Times New Roman"/>
                            <w:i/>
                            <w:iCs/>
                          </w:rPr>
                        </m:ctrlPr>
                      </m:sSupPr>
                      <m:e>
                        <m:r>
                          <w:rPr>
                            <w:rFonts w:ascii="Cambria Math" w:eastAsia="Times New Roman" w:hAnsi="Cambria Math" w:cs="Times New Roman"/>
                          </w:rPr>
                          <m:t>d</m:t>
                        </m:r>
                      </m:e>
                      <m:sup>
                        <m:r>
                          <w:rPr>
                            <w:rFonts w:ascii="Cambria Math" w:eastAsia="Times New Roman" w:hAnsi="Cambria Math" w:cs="Times New Roman"/>
                          </w:rPr>
                          <m:t>'</m:t>
                        </m:r>
                      </m:sup>
                    </m:sSup>
                  </m:num>
                  <m:den>
                    <m:rad>
                      <m:radPr>
                        <m:degHide m:val="1"/>
                        <m:ctrlPr>
                          <w:rPr>
                            <w:rFonts w:ascii="Cambria Math" w:eastAsia="Times New Roman" w:hAnsi="Cambria Math" w:cs="Times New Roman"/>
                            <w:i/>
                            <w:iCs/>
                          </w:rPr>
                        </m:ctrlPr>
                      </m:radPr>
                      <m:deg/>
                      <m:e>
                        <m:r>
                          <w:rPr>
                            <w:rFonts w:ascii="Cambria Math" w:eastAsia="Times New Roman" w:hAnsi="Cambria Math" w:cs="Times New Roman"/>
                          </w:rPr>
                          <m:t>2</m:t>
                        </m:r>
                      </m:e>
                    </m:rad>
                  </m:den>
                </m:f>
              </m:e>
            </m:d>
          </m:e>
        </m:d>
      </m:oMath>
      <w:r w:rsidR="004F7E42">
        <w:rPr>
          <w:iCs/>
        </w:rPr>
        <w:t xml:space="preserve">, where </w:t>
      </w:r>
      <m:oMath>
        <m:r>
          <w:rPr>
            <w:rFonts w:ascii="Cambria Math" w:eastAsia="Times New Roman" w:hAnsi="Cambria Math" w:cs="Times New Roman"/>
          </w:rPr>
          <m:t>Φ</m:t>
        </m:r>
      </m:oMath>
      <w:r w:rsidR="004F7E42">
        <w:t xml:space="preserve"> is the cumulative normal distribution, and </w:t>
      </w:r>
      <m:oMath>
        <m:r>
          <w:rPr>
            <w:rFonts w:ascii="Cambria Math" w:eastAsia="Times New Roman" w:hAnsi="Cambria Math" w:cs="Times New Roman"/>
          </w:rPr>
          <m:t>erf</m:t>
        </m:r>
      </m:oMath>
      <w:r w:rsidR="004F7E42">
        <w:rPr>
          <w:iCs/>
        </w:rPr>
        <w:t xml:space="preserve"> signifies the error function. </w:t>
      </w:r>
      <w:r w:rsidR="00E36F46">
        <w:rPr>
          <w:iCs/>
        </w:rPr>
        <w:t xml:space="preserve">Therefore, </w:t>
      </w:r>
      <m:oMath>
        <m:r>
          <w:rPr>
            <w:rFonts w:ascii="Cambria Math" w:hAnsi="Cambria Math"/>
          </w:rPr>
          <m:t>d'=</m:t>
        </m:r>
        <m:sSup>
          <m:sSupPr>
            <m:ctrlPr>
              <w:rPr>
                <w:rFonts w:ascii="Cambria Math" w:eastAsia="Times New Roman" w:hAnsi="Cambria Math" w:cs="Times New Roman"/>
                <w:i/>
              </w:rPr>
            </m:ctrlPr>
          </m:sSupPr>
          <m:e>
            <m:r>
              <w:rPr>
                <w:rFonts w:ascii="Cambria Math" w:eastAsia="Times New Roman" w:hAnsi="Cambria Math" w:cs="Times New Roman"/>
              </w:rPr>
              <m:t>Φ</m:t>
            </m:r>
            <m:ctrlPr>
              <w:rPr>
                <w:rFonts w:ascii="Cambria Math" w:hAnsi="Cambria Math"/>
                <w:i/>
              </w:rPr>
            </m:ctrlPr>
          </m:e>
          <m:sup>
            <m:r>
              <w:rPr>
                <w:rFonts w:ascii="Cambria Math" w:hAnsi="Cambria Math"/>
              </w:rPr>
              <m:t>-1</m:t>
            </m:r>
          </m:sup>
        </m:sSup>
        <m:d>
          <m:dPr>
            <m:ctrlPr>
              <w:rPr>
                <w:rFonts w:ascii="Cambria Math" w:eastAsia="Times New Roman" w:hAnsi="Cambria Math" w:cs="Times New Roman"/>
                <w:i/>
                <w:iCs/>
              </w:rPr>
            </m:ctrlPr>
          </m:dPr>
          <m:e>
            <m:r>
              <w:rPr>
                <w:rFonts w:ascii="Cambria Math" w:eastAsia="Times New Roman" w:hAnsi="Cambria Math" w:cs="Times New Roman"/>
              </w:rPr>
              <m:t>l</m:t>
            </m:r>
          </m:e>
        </m:d>
      </m:oMath>
      <w:r w:rsidR="003447A2">
        <w:rPr>
          <w:iCs/>
        </w:rPr>
        <w:t xml:space="preserve"> and </w:t>
      </w:r>
      <w:r w:rsidR="00D35AB6">
        <w:rPr>
          <w:iCs/>
        </w:rPr>
        <w:t>since</w:t>
      </w:r>
      <w:r w:rsidR="004377E9">
        <w:rPr>
          <w:iCs/>
        </w:rPr>
        <w:t xml:space="preserve"> </w:t>
      </w:r>
      <m:oMath>
        <m:sSup>
          <m:sSupPr>
            <m:ctrlPr>
              <w:rPr>
                <w:rFonts w:ascii="Cambria Math" w:eastAsia="Times New Roman" w:hAnsi="Cambria Math" w:cs="Times New Roman"/>
                <w:i/>
              </w:rPr>
            </m:ctrlPr>
          </m:sSupPr>
          <m:e>
            <m:r>
              <w:rPr>
                <w:rFonts w:ascii="Cambria Math" w:eastAsia="Times New Roman" w:hAnsi="Cambria Math" w:cs="Times New Roman"/>
              </w:rPr>
              <m:t>Φ</m:t>
            </m:r>
          </m:e>
          <m:sup>
            <m:r>
              <w:rPr>
                <w:rFonts w:ascii="Cambria Math" w:eastAsia="Times New Roman" w:hAnsi="Cambria Math" w:cs="Times New Roman"/>
              </w:rPr>
              <m:t>-1</m:t>
            </m:r>
          </m:sup>
        </m:sSup>
        <m:d>
          <m:dPr>
            <m:ctrlPr>
              <w:rPr>
                <w:rFonts w:ascii="Cambria Math" w:eastAsia="Times New Roman" w:hAnsi="Cambria Math" w:cs="Times New Roman"/>
                <w:i/>
                <w:iCs/>
              </w:rPr>
            </m:ctrlPr>
          </m:dPr>
          <m:e>
            <m:r>
              <w:rPr>
                <w:rFonts w:ascii="Cambria Math" w:eastAsia="Times New Roman" w:hAnsi="Cambria Math" w:cs="Times New Roman"/>
              </w:rPr>
              <m:t>x</m:t>
            </m:r>
          </m:e>
        </m:d>
      </m:oMath>
      <w:r w:rsidR="004377E9">
        <w:rPr>
          <w:iCs/>
        </w:rPr>
        <w:t xml:space="preserve"> is convex in [0, </w:t>
      </w:r>
      <w:r w:rsidR="003447A2">
        <w:rPr>
          <w:iCs/>
        </w:rPr>
        <w:t>1]</w:t>
      </w:r>
      <w:r w:rsidR="004377E9">
        <w:rPr>
          <w:iCs/>
        </w:rPr>
        <w:t xml:space="preserve">, then </w:t>
      </w:r>
      <m:oMath>
        <m:sSup>
          <m:sSupPr>
            <m:ctrlPr>
              <w:rPr>
                <w:rFonts w:ascii="Cambria Math" w:eastAsia="Times New Roman" w:hAnsi="Cambria Math" w:cs="Times New Roman"/>
                <w:i/>
              </w:rPr>
            </m:ctrlPr>
          </m:sSupPr>
          <m:e>
            <m:r>
              <w:rPr>
                <w:rFonts w:ascii="Cambria Math" w:eastAsia="Times New Roman" w:hAnsi="Cambria Math" w:cs="Times New Roman"/>
              </w:rPr>
              <m:t>Φ</m:t>
            </m:r>
          </m:e>
          <m:sup>
            <m:r>
              <w:rPr>
                <w:rFonts w:ascii="Cambria Math" w:eastAsia="Times New Roman" w:hAnsi="Cambria Math" w:cs="Times New Roman"/>
              </w:rPr>
              <m:t>-1</m:t>
            </m:r>
          </m:sup>
        </m:sSup>
        <m:d>
          <m:dPr>
            <m:ctrlPr>
              <w:rPr>
                <w:rFonts w:ascii="Cambria Math" w:eastAsia="Times New Roman" w:hAnsi="Cambria Math" w:cs="Times New Roman"/>
                <w:i/>
                <w:iCs/>
              </w:rPr>
            </m:ctrlPr>
          </m:dPr>
          <m:e>
            <m:f>
              <m:fPr>
                <m:ctrlPr>
                  <w:rPr>
                    <w:rFonts w:ascii="Cambria Math" w:eastAsia="Times New Roman" w:hAnsi="Cambria Math" w:cs="Times New Roman"/>
                    <w:i/>
                  </w:rPr>
                </m:ctrlPr>
              </m:fPr>
              <m:num>
                <m:sSub>
                  <m:sSubPr>
                    <m:ctrlPr>
                      <w:rPr>
                        <w:rFonts w:ascii="Cambria Math" w:eastAsia="Times New Roman" w:hAnsi="Cambria Math" w:cs="Times New Roman"/>
                        <w:i/>
                      </w:rPr>
                    </m:ctrlPr>
                  </m:sSubPr>
                  <m:e>
                    <m:r>
                      <w:rPr>
                        <w:rFonts w:ascii="Cambria Math" w:eastAsia="Times New Roman" w:hAnsi="Cambria Math" w:cs="Times New Roman"/>
                      </w:rPr>
                      <m:t>x</m:t>
                    </m:r>
                  </m:e>
                  <m:sub>
                    <m:r>
                      <w:rPr>
                        <w:rFonts w:ascii="Cambria Math" w:eastAsia="Times New Roman" w:hAnsi="Cambria Math" w:cs="Times New Roman"/>
                      </w:rPr>
                      <m:t>1</m:t>
                    </m:r>
                  </m:sub>
                </m:sSub>
                <m:r>
                  <w:rPr>
                    <w:rFonts w:ascii="Cambria Math" w:eastAsia="Times New Roman" w:hAnsi="Cambria Math" w:cs="Times New Roman"/>
                  </w:rPr>
                  <m:t>+</m:t>
                </m:r>
                <m:sSub>
                  <m:sSubPr>
                    <m:ctrlPr>
                      <w:rPr>
                        <w:rFonts w:ascii="Cambria Math" w:eastAsia="Times New Roman" w:hAnsi="Cambria Math" w:cs="Times New Roman"/>
                        <w:i/>
                      </w:rPr>
                    </m:ctrlPr>
                  </m:sSubPr>
                  <m:e>
                    <m:r>
                      <w:rPr>
                        <w:rFonts w:ascii="Cambria Math" w:eastAsia="Times New Roman" w:hAnsi="Cambria Math" w:cs="Times New Roman"/>
                      </w:rPr>
                      <m:t>x</m:t>
                    </m:r>
                  </m:e>
                  <m:sub>
                    <m:r>
                      <w:rPr>
                        <w:rFonts w:ascii="Cambria Math" w:eastAsia="Times New Roman" w:hAnsi="Cambria Math" w:cs="Times New Roman"/>
                      </w:rPr>
                      <m:t>2</m:t>
                    </m:r>
                  </m:sub>
                </m:sSub>
              </m:num>
              <m:den>
                <m:r>
                  <w:rPr>
                    <w:rFonts w:ascii="Cambria Math" w:eastAsia="Times New Roman" w:hAnsi="Cambria Math" w:cs="Times New Roman"/>
                  </w:rPr>
                  <m:t>2</m:t>
                </m:r>
              </m:den>
            </m:f>
          </m:e>
        </m:d>
        <m:r>
          <w:rPr>
            <w:rFonts w:ascii="Cambria Math" w:eastAsia="Times New Roman" w:hAnsi="Cambria Math" w:cs="Times New Roman"/>
          </w:rPr>
          <m:t>&lt;</m:t>
        </m:r>
        <m:f>
          <m:fPr>
            <m:ctrlPr>
              <w:rPr>
                <w:rFonts w:ascii="Cambria Math" w:eastAsia="Times New Roman" w:hAnsi="Cambria Math" w:cs="Times New Roman"/>
                <w:i/>
                <w:iCs/>
              </w:rPr>
            </m:ctrlPr>
          </m:fPr>
          <m:num>
            <m:sSup>
              <m:sSupPr>
                <m:ctrlPr>
                  <w:rPr>
                    <w:rFonts w:ascii="Cambria Math" w:eastAsia="Times New Roman" w:hAnsi="Cambria Math" w:cs="Times New Roman"/>
                    <w:i/>
                  </w:rPr>
                </m:ctrlPr>
              </m:sSupPr>
              <m:e>
                <m:r>
                  <w:rPr>
                    <w:rFonts w:ascii="Cambria Math" w:eastAsia="Times New Roman" w:hAnsi="Cambria Math" w:cs="Times New Roman"/>
                  </w:rPr>
                  <m:t>Φ</m:t>
                </m:r>
              </m:e>
              <m:sup>
                <m:r>
                  <w:rPr>
                    <w:rFonts w:ascii="Cambria Math" w:eastAsia="Times New Roman" w:hAnsi="Cambria Math" w:cs="Times New Roman"/>
                  </w:rPr>
                  <m:t>-1</m:t>
                </m:r>
              </m:sup>
            </m:sSup>
            <m:d>
              <m:dPr>
                <m:ctrlPr>
                  <w:rPr>
                    <w:rFonts w:ascii="Cambria Math" w:eastAsia="Times New Roman" w:hAnsi="Cambria Math" w:cs="Times New Roman"/>
                    <w:i/>
                  </w:rPr>
                </m:ctrlPr>
              </m:dPr>
              <m:e>
                <m:sSub>
                  <m:sSubPr>
                    <m:ctrlPr>
                      <w:rPr>
                        <w:rFonts w:ascii="Cambria Math" w:eastAsia="Times New Roman" w:hAnsi="Cambria Math" w:cs="Times New Roman"/>
                        <w:i/>
                      </w:rPr>
                    </m:ctrlPr>
                  </m:sSubPr>
                  <m:e>
                    <m:r>
                      <w:rPr>
                        <w:rFonts w:ascii="Cambria Math" w:eastAsia="Times New Roman" w:hAnsi="Cambria Math" w:cs="Times New Roman"/>
                      </w:rPr>
                      <m:t>x</m:t>
                    </m:r>
                  </m:e>
                  <m:sub>
                    <m:r>
                      <w:rPr>
                        <w:rFonts w:ascii="Cambria Math" w:eastAsia="Times New Roman" w:hAnsi="Cambria Math" w:cs="Times New Roman"/>
                      </w:rPr>
                      <m:t>1</m:t>
                    </m:r>
                  </m:sub>
                </m:sSub>
              </m:e>
            </m:d>
            <m:r>
              <w:rPr>
                <w:rFonts w:ascii="Cambria Math" w:eastAsia="Times New Roman" w:hAnsi="Cambria Math" w:cs="Times New Roman"/>
              </w:rPr>
              <m:t>+</m:t>
            </m:r>
            <m:sSup>
              <m:sSupPr>
                <m:ctrlPr>
                  <w:rPr>
                    <w:rFonts w:ascii="Cambria Math" w:eastAsia="Times New Roman" w:hAnsi="Cambria Math" w:cs="Times New Roman"/>
                    <w:i/>
                  </w:rPr>
                </m:ctrlPr>
              </m:sSupPr>
              <m:e>
                <m:r>
                  <w:rPr>
                    <w:rFonts w:ascii="Cambria Math" w:eastAsia="Times New Roman" w:hAnsi="Cambria Math" w:cs="Times New Roman"/>
                  </w:rPr>
                  <m:t>Φ</m:t>
                </m:r>
              </m:e>
              <m:sup>
                <m:r>
                  <w:rPr>
                    <w:rFonts w:ascii="Cambria Math" w:eastAsia="Times New Roman" w:hAnsi="Cambria Math" w:cs="Times New Roman"/>
                  </w:rPr>
                  <m:t>-1</m:t>
                </m:r>
              </m:sup>
            </m:sSup>
            <m:d>
              <m:dPr>
                <m:ctrlPr>
                  <w:rPr>
                    <w:rFonts w:ascii="Cambria Math" w:eastAsia="Times New Roman" w:hAnsi="Cambria Math" w:cs="Times New Roman"/>
                    <w:i/>
                  </w:rPr>
                </m:ctrlPr>
              </m:dPr>
              <m:e>
                <m:sSub>
                  <m:sSubPr>
                    <m:ctrlPr>
                      <w:rPr>
                        <w:rFonts w:ascii="Cambria Math" w:eastAsia="Times New Roman" w:hAnsi="Cambria Math" w:cs="Times New Roman"/>
                        <w:i/>
                      </w:rPr>
                    </m:ctrlPr>
                  </m:sSubPr>
                  <m:e>
                    <m:r>
                      <w:rPr>
                        <w:rFonts w:ascii="Cambria Math" w:eastAsia="Times New Roman" w:hAnsi="Cambria Math" w:cs="Times New Roman"/>
                      </w:rPr>
                      <m:t>x</m:t>
                    </m:r>
                  </m:e>
                  <m:sub>
                    <m:r>
                      <w:rPr>
                        <w:rFonts w:ascii="Cambria Math" w:eastAsia="Times New Roman" w:hAnsi="Cambria Math" w:cs="Times New Roman"/>
                      </w:rPr>
                      <m:t>2</m:t>
                    </m:r>
                  </m:sub>
                </m:sSub>
              </m:e>
            </m:d>
          </m:num>
          <m:den>
            <m:r>
              <w:rPr>
                <w:rFonts w:ascii="Cambria Math" w:eastAsia="Times New Roman" w:hAnsi="Cambria Math" w:cs="Times New Roman"/>
              </w:rPr>
              <m:t>2</m:t>
            </m:r>
          </m:den>
        </m:f>
        <m:r>
          <w:rPr>
            <w:rFonts w:ascii="Cambria Math" w:eastAsia="Times New Roman" w:hAnsi="Cambria Math" w:cs="Times New Roman"/>
          </w:rPr>
          <m:t xml:space="preserve"> </m:t>
        </m:r>
      </m:oMath>
      <w:r w:rsidR="00BC709A">
        <w:rPr>
          <w:iCs/>
        </w:rPr>
        <w:t xml:space="preserve"> for </w:t>
      </w:r>
      <m:oMath>
        <m:r>
          <w:rPr>
            <w:rFonts w:ascii="Cambria Math" w:hAnsi="Cambria Math"/>
          </w:rPr>
          <m:t>0≤</m:t>
        </m:r>
        <m:sSub>
          <m:sSubPr>
            <m:ctrlPr>
              <w:rPr>
                <w:rFonts w:ascii="Cambria Math" w:hAnsi="Cambria Math"/>
                <w:i/>
                <w:iCs/>
              </w:rPr>
            </m:ctrlPr>
          </m:sSubPr>
          <m:e>
            <m:r>
              <w:rPr>
                <w:rFonts w:ascii="Cambria Math" w:hAnsi="Cambria Math"/>
              </w:rPr>
              <m:t>x</m:t>
            </m:r>
          </m:e>
          <m:sub>
            <m:r>
              <w:rPr>
                <w:rFonts w:ascii="Cambria Math" w:hAnsi="Cambria Math"/>
              </w:rPr>
              <m:t>1</m:t>
            </m:r>
          </m:sub>
        </m:sSub>
        <m:r>
          <w:rPr>
            <w:rFonts w:ascii="Cambria Math" w:hAnsi="Cambria Math"/>
          </w:rPr>
          <m:t>&lt;</m:t>
        </m:r>
        <m:sSub>
          <m:sSubPr>
            <m:ctrlPr>
              <w:rPr>
                <w:rFonts w:ascii="Cambria Math" w:hAnsi="Cambria Math"/>
                <w:i/>
                <w:iCs/>
              </w:rPr>
            </m:ctrlPr>
          </m:sSubPr>
          <m:e>
            <m:r>
              <w:rPr>
                <w:rFonts w:ascii="Cambria Math" w:hAnsi="Cambria Math"/>
              </w:rPr>
              <m:t>x</m:t>
            </m:r>
          </m:e>
          <m:sub>
            <m:r>
              <w:rPr>
                <w:rFonts w:ascii="Cambria Math" w:hAnsi="Cambria Math"/>
              </w:rPr>
              <m:t>2</m:t>
            </m:r>
          </m:sub>
        </m:sSub>
        <m:r>
          <w:rPr>
            <w:rFonts w:ascii="Cambria Math" w:hAnsi="Cambria Math"/>
          </w:rPr>
          <m:t>≤1</m:t>
        </m:r>
      </m:oMath>
      <w:r w:rsidR="0045752A">
        <w:rPr>
          <w:iCs/>
        </w:rPr>
        <w:t xml:space="preserve">, which means that the </w:t>
      </w:r>
      <w:r w:rsidR="0045752A" w:rsidRPr="0045752A">
        <w:rPr>
          <w:i/>
          <w:iCs/>
        </w:rPr>
        <w:t>d’</w:t>
      </w:r>
      <w:r w:rsidR="0045752A">
        <w:rPr>
          <w:iCs/>
        </w:rPr>
        <w:t xml:space="preserve"> of two combined conditions is lower than the average </w:t>
      </w:r>
      <w:r w:rsidR="0045752A" w:rsidRPr="0045752A">
        <w:rPr>
          <w:i/>
          <w:iCs/>
        </w:rPr>
        <w:t>d’</w:t>
      </w:r>
      <w:r w:rsidR="0045752A">
        <w:rPr>
          <w:iCs/>
        </w:rPr>
        <w:t xml:space="preserve"> of each of those conditions.</w:t>
      </w:r>
      <w:r w:rsidR="00D35AB6">
        <w:rPr>
          <w:iCs/>
        </w:rPr>
        <w:t xml:space="preserve"> The same arguments hold even if the observer is not</w:t>
      </w:r>
      <w:r w:rsidR="006B7D9C">
        <w:rPr>
          <w:iCs/>
        </w:rPr>
        <w:t xml:space="preserve"> unbiased and thus points on the ROC curve do not lie on the diagonal perpendicular to the </w:t>
      </w:r>
      <w:r w:rsidR="006B7D9C">
        <w:t xml:space="preserve">line of </w:t>
      </w:r>
      <w:r w:rsidR="006B7D9C" w:rsidRPr="007849E9">
        <w:rPr>
          <w:i/>
        </w:rPr>
        <w:t>d’</w:t>
      </w:r>
      <w:r w:rsidR="006B7D9C">
        <w:t xml:space="preserve"> = 0.</w:t>
      </w:r>
    </w:p>
    <w:p w14:paraId="58797CED" w14:textId="77777777" w:rsidR="00FD7C54" w:rsidRDefault="00FD7C54" w:rsidP="00D948DE">
      <w:pPr>
        <w:widowControl w:val="0"/>
        <w:autoSpaceDE w:val="0"/>
        <w:autoSpaceDN w:val="0"/>
        <w:adjustRightInd w:val="0"/>
        <w:spacing w:after="0" w:line="480" w:lineRule="auto"/>
      </w:pPr>
    </w:p>
    <w:p w14:paraId="47BA76F9" w14:textId="5773175B" w:rsidR="00FD7C54" w:rsidRDefault="00FD7C54" w:rsidP="00D948DE">
      <w:pPr>
        <w:spacing w:line="480" w:lineRule="auto"/>
      </w:pPr>
      <w:r>
        <w:br w:type="page"/>
      </w:r>
    </w:p>
    <w:p w14:paraId="46846A2A" w14:textId="65F8E03A" w:rsidR="0069413F" w:rsidRDefault="00182084" w:rsidP="00D948DE">
      <w:pPr>
        <w:widowControl w:val="0"/>
        <w:autoSpaceDE w:val="0"/>
        <w:autoSpaceDN w:val="0"/>
        <w:adjustRightInd w:val="0"/>
        <w:spacing w:after="0" w:line="480" w:lineRule="auto"/>
        <w:rPr>
          <w:iCs/>
        </w:rPr>
      </w:pPr>
      <w:r>
        <w:rPr>
          <w:iCs/>
          <w:noProof/>
        </w:rPr>
        <w:lastRenderedPageBreak/>
        <w:drawing>
          <wp:inline distT="0" distB="0" distL="0" distR="0" wp14:anchorId="17BF0BE1" wp14:editId="211F0780">
            <wp:extent cx="3682099" cy="2912012"/>
            <wp:effectExtent l="0" t="0" r="127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Supp Figure 7.eps"/>
                    <pic:cNvPicPr/>
                  </pic:nvPicPr>
                  <pic:blipFill>
                    <a:blip r:embed="rId14"/>
                    <a:stretch>
                      <a:fillRect/>
                    </a:stretch>
                  </pic:blipFill>
                  <pic:spPr>
                    <a:xfrm>
                      <a:off x="0" y="0"/>
                      <a:ext cx="3692818" cy="2920490"/>
                    </a:xfrm>
                    <a:prstGeom prst="rect">
                      <a:avLst/>
                    </a:prstGeom>
                  </pic:spPr>
                </pic:pic>
              </a:graphicData>
            </a:graphic>
          </wp:inline>
        </w:drawing>
      </w:r>
    </w:p>
    <w:p w14:paraId="59A9A06D" w14:textId="0D2893A8" w:rsidR="00182084" w:rsidRDefault="00182084" w:rsidP="00D948DE">
      <w:pPr>
        <w:widowControl w:val="0"/>
        <w:autoSpaceDE w:val="0"/>
        <w:autoSpaceDN w:val="0"/>
        <w:adjustRightInd w:val="0"/>
        <w:spacing w:after="0" w:line="480" w:lineRule="auto"/>
        <w:rPr>
          <w:iCs/>
        </w:rPr>
      </w:pPr>
      <w:r w:rsidRPr="003E1A4C">
        <w:rPr>
          <w:b/>
        </w:rPr>
        <w:t xml:space="preserve">Supplementary Figure </w:t>
      </w:r>
      <w:r w:rsidR="005978E4">
        <w:rPr>
          <w:b/>
        </w:rPr>
        <w:t>8</w:t>
      </w:r>
      <w:r>
        <w:t xml:space="preserve">. A comparison </w:t>
      </w:r>
      <w:r w:rsidR="00FC3338">
        <w:t xml:space="preserve">of two conditions in Experiment 3 that differ in </w:t>
      </w:r>
      <w:r w:rsidR="002C3242">
        <w:t>sensory noise</w:t>
      </w:r>
      <w:r w:rsidR="00FC3338">
        <w:t xml:space="preserve"> but do not feature the same trials. Our comparisons in Figure 4</w:t>
      </w:r>
      <w:proofErr w:type="gramStart"/>
      <w:r w:rsidR="00FC3338">
        <w:t>C,D</w:t>
      </w:r>
      <w:proofErr w:type="gramEnd"/>
      <w:r w:rsidR="00FC3338">
        <w:t xml:space="preserve"> featured the same trials combined in different ways to form four levels of variability. This analysis is not standard in the sense that the same trial</w:t>
      </w:r>
      <w:r w:rsidR="00D670D9">
        <w:t>s</w:t>
      </w:r>
      <w:r w:rsidR="00FC3338">
        <w:t xml:space="preserve"> feature in all conditions</w:t>
      </w:r>
      <w:r w:rsidR="00DF6FCB">
        <w:t xml:space="preserve"> (they are simply combined differently)</w:t>
      </w:r>
      <w:r w:rsidR="00FC3338">
        <w:t>. Here we perform a more standard analysis in which each trial appears in just one condition. We compared contrast 2 (which, by itself, has Level 1 variabi</w:t>
      </w:r>
      <w:r w:rsidR="005978E4">
        <w:t>lity; see Supplementary Figure 6</w:t>
      </w:r>
      <w:r w:rsidR="00FC3338">
        <w:t xml:space="preserve">) and the combination of contrasts 1 and 3 (equivalent to our Level 4 variability). We found that </w:t>
      </w:r>
      <w:r w:rsidR="00FC3338">
        <w:rPr>
          <w:i/>
        </w:rPr>
        <w:t>M</w:t>
      </w:r>
      <w:r w:rsidR="00FC3338">
        <w:rPr>
          <w:i/>
          <w:vertAlign w:val="subscript"/>
        </w:rPr>
        <w:t>ratio</w:t>
      </w:r>
      <w:r w:rsidR="00FC3338">
        <w:t xml:space="preserve"> increased significantly from contrast 2 to the combination of contrasts 1 and 3 </w:t>
      </w:r>
      <w:r w:rsidR="00FC3338" w:rsidRPr="00FD7A53">
        <w:t>(</w:t>
      </w:r>
      <w:r w:rsidR="00FC3338">
        <w:t xml:space="preserve">average </w:t>
      </w:r>
      <w:r w:rsidR="00FC3338">
        <w:rPr>
          <w:i/>
        </w:rPr>
        <w:t>M</w:t>
      </w:r>
      <w:r w:rsidR="00FC3338">
        <w:rPr>
          <w:i/>
          <w:vertAlign w:val="subscript"/>
        </w:rPr>
        <w:t>ratio</w:t>
      </w:r>
      <w:r w:rsidR="00FC3338">
        <w:t xml:space="preserve"> increased from .84 to .98</w:t>
      </w:r>
      <w:r w:rsidR="00FC3338" w:rsidRPr="00FD7A53">
        <w:t xml:space="preserve">, </w:t>
      </w:r>
      <w:proofErr w:type="gramStart"/>
      <w:r w:rsidR="00BA7B89">
        <w:t>t(</w:t>
      </w:r>
      <w:proofErr w:type="gramEnd"/>
      <w:r w:rsidR="00BA7B89">
        <w:t>11)</w:t>
      </w:r>
      <w:r w:rsidR="00FC3338">
        <w:t xml:space="preserve"> = 3</w:t>
      </w:r>
      <w:r w:rsidR="00FC3338" w:rsidRPr="00FD7A53">
        <w:t>.</w:t>
      </w:r>
      <w:r w:rsidR="00FC3338">
        <w:t>59</w:t>
      </w:r>
      <w:r w:rsidR="00FC3338" w:rsidRPr="00FD7A53">
        <w:t xml:space="preserve">, </w:t>
      </w:r>
      <w:r w:rsidR="00FC3338" w:rsidRPr="00FD7A53">
        <w:rPr>
          <w:i/>
        </w:rPr>
        <w:t xml:space="preserve">p </w:t>
      </w:r>
      <w:r w:rsidR="00FC3338" w:rsidRPr="00FD7A53">
        <w:t>= .00</w:t>
      </w:r>
      <w:r w:rsidR="00FC3338">
        <w:t>4</w:t>
      </w:r>
      <w:r w:rsidR="00FC3338" w:rsidRPr="00FD7A53">
        <w:t>)</w:t>
      </w:r>
      <w:r w:rsidR="00FC3338">
        <w:t xml:space="preserve">. </w:t>
      </w:r>
      <w:r w:rsidR="006E164B">
        <w:t xml:space="preserve">Therefore, the effect of increased </w:t>
      </w:r>
      <w:r w:rsidR="002C3242">
        <w:t>sensory noise</w:t>
      </w:r>
      <w:r w:rsidR="006E164B">
        <w:t xml:space="preserve"> on increased metacognitive efficiency can be seen in a more traditional analysis that does not feature </w:t>
      </w:r>
      <w:r w:rsidR="00DF6FCB">
        <w:t xml:space="preserve">a </w:t>
      </w:r>
      <w:r w:rsidR="006E164B">
        <w:t xml:space="preserve">reuse of the same trials in different conditions. Lines show individual subject data. </w:t>
      </w:r>
      <w:r w:rsidR="006E164B" w:rsidRPr="006E164B">
        <w:t xml:space="preserve">Error bars indicate </w:t>
      </w:r>
      <w:r w:rsidR="00DF6FCB">
        <w:t xml:space="preserve">across-subject </w:t>
      </w:r>
      <w:r w:rsidR="006E164B" w:rsidRPr="006E164B">
        <w:t>S.E.M.</w:t>
      </w:r>
    </w:p>
    <w:p w14:paraId="32CB7C9D" w14:textId="085F2D15" w:rsidR="00E06E82" w:rsidRDefault="00E06E82" w:rsidP="00D948DE">
      <w:pPr>
        <w:spacing w:line="480" w:lineRule="auto"/>
      </w:pPr>
      <w:r>
        <w:rPr>
          <w:iCs/>
        </w:rPr>
        <w:br w:type="page"/>
      </w:r>
      <w:r>
        <w:rPr>
          <w:noProof/>
        </w:rPr>
        <w:lastRenderedPageBreak/>
        <w:drawing>
          <wp:inline distT="0" distB="0" distL="0" distR="0" wp14:anchorId="7CE76B33" wp14:editId="55088707">
            <wp:extent cx="5486400" cy="3145790"/>
            <wp:effectExtent l="0" t="0" r="0" b="381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upplementary Figure XXXX.eps"/>
                    <pic:cNvPicPr/>
                  </pic:nvPicPr>
                  <pic:blipFill>
                    <a:blip r:embed="rId15"/>
                    <a:stretch>
                      <a:fillRect/>
                    </a:stretch>
                  </pic:blipFill>
                  <pic:spPr>
                    <a:xfrm>
                      <a:off x="0" y="0"/>
                      <a:ext cx="5486400" cy="3145790"/>
                    </a:xfrm>
                    <a:prstGeom prst="rect">
                      <a:avLst/>
                    </a:prstGeom>
                  </pic:spPr>
                </pic:pic>
              </a:graphicData>
            </a:graphic>
          </wp:inline>
        </w:drawing>
      </w:r>
    </w:p>
    <w:p w14:paraId="437865D5" w14:textId="7044D303" w:rsidR="00E06E82" w:rsidRDefault="00E06E82" w:rsidP="00D948DE">
      <w:pPr>
        <w:spacing w:after="0" w:line="480" w:lineRule="auto"/>
      </w:pPr>
      <w:r w:rsidRPr="00DF6FCB">
        <w:rPr>
          <w:b/>
        </w:rPr>
        <w:t xml:space="preserve">Supplementary Figure </w:t>
      </w:r>
      <w:r w:rsidR="005978E4">
        <w:rPr>
          <w:b/>
        </w:rPr>
        <w:t>9</w:t>
      </w:r>
      <w:r w:rsidR="005464EA">
        <w:t>.</w:t>
      </w:r>
      <w:r>
        <w:t xml:space="preserve"> Control analyses for Experiment 3. Three of the 12 subjects exhibited </w:t>
      </w:r>
      <w:r w:rsidRPr="00FD7A53">
        <w:rPr>
          <w:i/>
        </w:rPr>
        <w:t>M</w:t>
      </w:r>
      <w:r w:rsidRPr="00FD7A53">
        <w:rPr>
          <w:i/>
          <w:vertAlign w:val="subscript"/>
        </w:rPr>
        <w:t>ratio</w:t>
      </w:r>
      <w:r w:rsidRPr="007570F0">
        <w:t xml:space="preserve"> </w:t>
      </w:r>
      <w:r>
        <w:t xml:space="preserve">values higher than 1. For these subjects, we adjusted our model by including a separate decision-level noise in order to be able to account for </w:t>
      </w:r>
      <w:r w:rsidRPr="00FD7A53">
        <w:rPr>
          <w:i/>
        </w:rPr>
        <w:t>M</w:t>
      </w:r>
      <w:r w:rsidRPr="00FD7A53">
        <w:rPr>
          <w:i/>
          <w:vertAlign w:val="subscript"/>
        </w:rPr>
        <w:t>ratio</w:t>
      </w:r>
      <w:r w:rsidRPr="007570F0">
        <w:t xml:space="preserve"> </w:t>
      </w:r>
      <w:r>
        <w:t xml:space="preserve">values higher than 1. In order to confirm that this adjustment did not </w:t>
      </w:r>
      <w:r w:rsidR="00B37640">
        <w:t>drive</w:t>
      </w:r>
      <w:r>
        <w:t xml:space="preserve"> our results, here we report the results of Experiment 3 with these three subjects excluded. As before, both the standard SDT and the hierarchical model do a good job of fitting the observed </w:t>
      </w:r>
      <w:r>
        <w:rPr>
          <w:i/>
        </w:rPr>
        <w:t>d’</w:t>
      </w:r>
      <w:r>
        <w:t xml:space="preserve"> values. However, just as in the group of 12 subjects, </w:t>
      </w:r>
      <w:r w:rsidRPr="00FD7A53">
        <w:t xml:space="preserve">the SDT model predicted a shallower slope of increasing </w:t>
      </w:r>
      <w:r w:rsidRPr="00FD7A53">
        <w:rPr>
          <w:i/>
        </w:rPr>
        <w:t>M</w:t>
      </w:r>
      <w:r w:rsidRPr="00FD7A53">
        <w:rPr>
          <w:i/>
          <w:vertAlign w:val="subscript"/>
        </w:rPr>
        <w:t>ratio</w:t>
      </w:r>
      <w:r w:rsidRPr="00FD7A53">
        <w:t xml:space="preserve"> values (.02</w:t>
      </w:r>
      <w:r>
        <w:t>1</w:t>
      </w:r>
      <w:r w:rsidRPr="00FD7A53">
        <w:t xml:space="preserve"> in model vs. .04</w:t>
      </w:r>
      <w:r>
        <w:t>3</w:t>
      </w:r>
      <w:r w:rsidRPr="00FD7A53">
        <w:t xml:space="preserve"> in data, </w:t>
      </w:r>
      <w:proofErr w:type="gramStart"/>
      <w:r w:rsidRPr="00FD7A53">
        <w:t>t</w:t>
      </w:r>
      <w:r w:rsidR="00B37640">
        <w:t>(</w:t>
      </w:r>
      <w:proofErr w:type="gramEnd"/>
      <w:r w:rsidR="00B37640">
        <w:t>8)</w:t>
      </w:r>
      <w:r w:rsidRPr="00FD7A53">
        <w:t xml:space="preserve"> = </w:t>
      </w:r>
      <w:r>
        <w:t>6.03</w:t>
      </w:r>
      <w:r w:rsidRPr="00FD7A53">
        <w:t xml:space="preserve">, </w:t>
      </w:r>
      <w:r w:rsidRPr="00FD7A53">
        <w:rPr>
          <w:i/>
        </w:rPr>
        <w:t xml:space="preserve">p </w:t>
      </w:r>
      <w:r w:rsidRPr="00FD7A53">
        <w:t>= .000</w:t>
      </w:r>
      <w:r>
        <w:t>3</w:t>
      </w:r>
      <w:r w:rsidRPr="00FD7A53">
        <w:t xml:space="preserve">), indicating that metacognitive noise is needed to explain the steep </w:t>
      </w:r>
      <w:r w:rsidRPr="00FD7A53">
        <w:rPr>
          <w:i/>
        </w:rPr>
        <w:t>M</w:t>
      </w:r>
      <w:r w:rsidRPr="00FD7A53">
        <w:rPr>
          <w:i/>
          <w:vertAlign w:val="subscript"/>
        </w:rPr>
        <w:t>ratio</w:t>
      </w:r>
      <w:r w:rsidRPr="00FD7A53">
        <w:t xml:space="preserve"> increase caused by increased stimulus variability.</w:t>
      </w:r>
      <w:r>
        <w:t xml:space="preserve"> </w:t>
      </w:r>
      <w:r w:rsidRPr="007734CD">
        <w:t>Error bars indicate</w:t>
      </w:r>
      <w:r w:rsidR="00B37640">
        <w:t xml:space="preserve"> across-subject</w:t>
      </w:r>
      <w:r w:rsidRPr="007734CD">
        <w:t xml:space="preserve"> S.E.M.</w:t>
      </w:r>
    </w:p>
    <w:p w14:paraId="7A47E28F" w14:textId="77777777" w:rsidR="00E06E82" w:rsidRDefault="00E06E82" w:rsidP="00D948DE">
      <w:pPr>
        <w:widowControl w:val="0"/>
        <w:autoSpaceDE w:val="0"/>
        <w:autoSpaceDN w:val="0"/>
        <w:adjustRightInd w:val="0"/>
        <w:spacing w:after="0" w:line="480" w:lineRule="auto"/>
        <w:rPr>
          <w:iCs/>
        </w:rPr>
      </w:pPr>
    </w:p>
    <w:p w14:paraId="60E9A91E" w14:textId="7F09D842" w:rsidR="0069413F" w:rsidRDefault="0069413F" w:rsidP="00D948DE">
      <w:pPr>
        <w:spacing w:after="0" w:line="480" w:lineRule="auto"/>
        <w:rPr>
          <w:iCs/>
        </w:rPr>
      </w:pPr>
      <w:r>
        <w:rPr>
          <w:iCs/>
        </w:rPr>
        <w:br w:type="page"/>
      </w:r>
    </w:p>
    <w:p w14:paraId="37BA5F8D" w14:textId="23F0F4E1" w:rsidR="0069413F" w:rsidRDefault="008B72E8" w:rsidP="00D948DE">
      <w:pPr>
        <w:widowControl w:val="0"/>
        <w:autoSpaceDE w:val="0"/>
        <w:autoSpaceDN w:val="0"/>
        <w:adjustRightInd w:val="0"/>
        <w:spacing w:after="0" w:line="480" w:lineRule="auto"/>
      </w:pPr>
      <w:r>
        <w:rPr>
          <w:noProof/>
          <w:lang w:eastAsia="en-US"/>
        </w:rPr>
        <w:lastRenderedPageBreak/>
        <w:drawing>
          <wp:inline distT="0" distB="0" distL="0" distR="0" wp14:anchorId="6DEF217E" wp14:editId="67D8F56A">
            <wp:extent cx="5486400" cy="2405380"/>
            <wp:effectExtent l="0" t="0" r="0" b="762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upp Fig 2.eps"/>
                    <pic:cNvPicPr/>
                  </pic:nvPicPr>
                  <pic:blipFill>
                    <a:blip r:embed="rId16">
                      <a:extLst>
                        <a:ext uri="{28A0092B-C50C-407E-A947-70E740481C1C}">
                          <a14:useLocalDpi xmlns:a14="http://schemas.microsoft.com/office/drawing/2010/main" val="0"/>
                        </a:ext>
                      </a:extLst>
                    </a:blip>
                    <a:stretch>
                      <a:fillRect/>
                    </a:stretch>
                  </pic:blipFill>
                  <pic:spPr>
                    <a:xfrm>
                      <a:off x="0" y="0"/>
                      <a:ext cx="5486400" cy="2405380"/>
                    </a:xfrm>
                    <a:prstGeom prst="rect">
                      <a:avLst/>
                    </a:prstGeom>
                  </pic:spPr>
                </pic:pic>
              </a:graphicData>
            </a:graphic>
          </wp:inline>
        </w:drawing>
      </w:r>
    </w:p>
    <w:p w14:paraId="0C329562" w14:textId="2C034534" w:rsidR="00E06E82" w:rsidRDefault="0069413F" w:rsidP="00D948DE">
      <w:pPr>
        <w:widowControl w:val="0"/>
        <w:autoSpaceDE w:val="0"/>
        <w:autoSpaceDN w:val="0"/>
        <w:adjustRightInd w:val="0"/>
        <w:spacing w:after="0" w:line="480" w:lineRule="auto"/>
      </w:pPr>
      <w:r w:rsidRPr="003E1A4C">
        <w:rPr>
          <w:b/>
        </w:rPr>
        <w:t xml:space="preserve">Supplementary Figure </w:t>
      </w:r>
      <w:r w:rsidR="005978E4">
        <w:rPr>
          <w:b/>
        </w:rPr>
        <w:t>10</w:t>
      </w:r>
      <w:r>
        <w:t xml:space="preserve">. </w:t>
      </w:r>
      <w:r w:rsidR="00745287">
        <w:t xml:space="preserve">Effects of larger intensity range on </w:t>
      </w:r>
      <w:r w:rsidR="00745287" w:rsidRPr="00745287">
        <w:rPr>
          <w:i/>
        </w:rPr>
        <w:t>d’</w:t>
      </w:r>
      <w:r w:rsidR="00745287">
        <w:t xml:space="preserve"> and </w:t>
      </w:r>
      <w:r w:rsidR="00745287" w:rsidRPr="00D566D7">
        <w:rPr>
          <w:i/>
        </w:rPr>
        <w:t>M</w:t>
      </w:r>
      <w:r w:rsidR="00745287" w:rsidRPr="00D566D7">
        <w:rPr>
          <w:i/>
          <w:vertAlign w:val="subscript"/>
        </w:rPr>
        <w:t>ratio</w:t>
      </w:r>
      <w:r w:rsidR="00745287">
        <w:t>.</w:t>
      </w:r>
      <w:r w:rsidR="00FB1597">
        <w:t xml:space="preserve"> </w:t>
      </w:r>
      <w:r w:rsidR="00A43B61">
        <w:t>In Experiment 1, w</w:t>
      </w:r>
      <w:r w:rsidR="00FB1597">
        <w:t xml:space="preserve">e created four different conditions by choosing intensities that lie within a certain percentile range of all used stimulus intensities. We chose 35-65, 25-75, 15-85, and 5-95 percentiles, though different choices result in the same pattern of results. </w:t>
      </w:r>
      <w:r w:rsidR="00F87564">
        <w:t xml:space="preserve">As reported in the main text, </w:t>
      </w:r>
      <w:r w:rsidR="00F87564" w:rsidRPr="00D566D7">
        <w:t xml:space="preserve">larger ranges </w:t>
      </w:r>
      <w:r w:rsidR="00A43B61">
        <w:t>resulted in</w:t>
      </w:r>
      <w:r w:rsidR="00FA534A">
        <w:t xml:space="preserve"> slope of</w:t>
      </w:r>
      <w:r w:rsidR="00F87564" w:rsidRPr="00D566D7">
        <w:t xml:space="preserve"> </w:t>
      </w:r>
      <w:r w:rsidR="00F87564" w:rsidRPr="00D566D7">
        <w:rPr>
          <w:i/>
        </w:rPr>
        <w:t>d’</w:t>
      </w:r>
      <w:r w:rsidR="00F87564" w:rsidRPr="00D566D7">
        <w:t xml:space="preserve"> </w:t>
      </w:r>
      <w:r w:rsidR="00FA534A">
        <w:t>change over the four conditions</w:t>
      </w:r>
      <w:r w:rsidR="00AD417F">
        <w:t xml:space="preserve"> that is not significantly different from 0</w:t>
      </w:r>
      <w:r w:rsidR="00FA534A">
        <w:t xml:space="preserve"> </w:t>
      </w:r>
      <w:r w:rsidR="00F87564" w:rsidRPr="00D566D7">
        <w:t>(</w:t>
      </w:r>
      <w:proofErr w:type="gramStart"/>
      <w:r w:rsidR="00BA7B89">
        <w:t>t(</w:t>
      </w:r>
      <w:proofErr w:type="gramEnd"/>
      <w:r w:rsidR="00BA7B89">
        <w:t>11)</w:t>
      </w:r>
      <w:r w:rsidR="00F87564" w:rsidRPr="00D566D7">
        <w:t xml:space="preserve"> = 1.53, </w:t>
      </w:r>
      <w:r w:rsidR="00F87564" w:rsidRPr="00D566D7">
        <w:rPr>
          <w:i/>
        </w:rPr>
        <w:t>p</w:t>
      </w:r>
      <w:r w:rsidR="00F87564" w:rsidRPr="00D566D7">
        <w:t xml:space="preserve"> = .15) but led to significantly </w:t>
      </w:r>
      <w:r w:rsidR="00FA534A">
        <w:t>positive slopes of</w:t>
      </w:r>
      <w:r w:rsidR="00F87564" w:rsidRPr="00D566D7">
        <w:t xml:space="preserve"> </w:t>
      </w:r>
      <w:r w:rsidR="00F87564" w:rsidRPr="00D566D7">
        <w:rPr>
          <w:i/>
        </w:rPr>
        <w:t>M</w:t>
      </w:r>
      <w:r w:rsidR="00F87564" w:rsidRPr="00D566D7">
        <w:rPr>
          <w:i/>
          <w:vertAlign w:val="subscript"/>
        </w:rPr>
        <w:t>ratio</w:t>
      </w:r>
      <w:r w:rsidR="00F87564" w:rsidRPr="00D566D7">
        <w:t xml:space="preserve"> values (</w:t>
      </w:r>
      <w:r w:rsidR="00BA7B89">
        <w:t>t(11)</w:t>
      </w:r>
      <w:r w:rsidR="00F87564" w:rsidRPr="00D566D7">
        <w:t xml:space="preserve"> = 5.004, </w:t>
      </w:r>
      <w:r w:rsidR="00F87564" w:rsidRPr="00D566D7">
        <w:rPr>
          <w:i/>
        </w:rPr>
        <w:t>p</w:t>
      </w:r>
      <w:r w:rsidR="00F87564" w:rsidRPr="00D566D7">
        <w:t xml:space="preserve"> = .0004)</w:t>
      </w:r>
      <w:r w:rsidR="00FA534A">
        <w:t xml:space="preserve">, indicating that larger ranges </w:t>
      </w:r>
      <w:r w:rsidR="00AD417F">
        <w:t>resulted in higher metacognitive efficiency</w:t>
      </w:r>
      <w:r w:rsidR="00F87564">
        <w:t xml:space="preserve">. Error bars represent </w:t>
      </w:r>
      <w:r w:rsidR="00DB35D2">
        <w:t xml:space="preserve">across-subject </w:t>
      </w:r>
      <w:r w:rsidR="00F87564">
        <w:t>S.E.M.</w:t>
      </w:r>
    </w:p>
    <w:p w14:paraId="368DCA5D" w14:textId="6F8D79BD" w:rsidR="00E06E82" w:rsidRDefault="00E06E82" w:rsidP="00D948DE">
      <w:pPr>
        <w:spacing w:line="480" w:lineRule="auto"/>
      </w:pPr>
      <w:r>
        <w:br w:type="page"/>
      </w:r>
    </w:p>
    <w:tbl>
      <w:tblPr>
        <w:tblW w:w="8555" w:type="dxa"/>
        <w:tblCellMar>
          <w:left w:w="43" w:type="dxa"/>
          <w:right w:w="43" w:type="dxa"/>
        </w:tblCellMar>
        <w:tblLook w:val="04A0" w:firstRow="1" w:lastRow="0" w:firstColumn="1" w:lastColumn="0" w:noHBand="0" w:noVBand="1"/>
      </w:tblPr>
      <w:tblGrid>
        <w:gridCol w:w="639"/>
        <w:gridCol w:w="443"/>
        <w:gridCol w:w="409"/>
        <w:gridCol w:w="360"/>
        <w:gridCol w:w="464"/>
        <w:gridCol w:w="409"/>
        <w:gridCol w:w="409"/>
        <w:gridCol w:w="774"/>
        <w:gridCol w:w="409"/>
        <w:gridCol w:w="360"/>
        <w:gridCol w:w="464"/>
        <w:gridCol w:w="409"/>
        <w:gridCol w:w="409"/>
        <w:gridCol w:w="774"/>
        <w:gridCol w:w="724"/>
        <w:gridCol w:w="1099"/>
      </w:tblGrid>
      <w:tr w:rsidR="008B787A" w:rsidRPr="007A1CB3" w14:paraId="42E9AB6F" w14:textId="77777777" w:rsidTr="00426AA5">
        <w:trPr>
          <w:trHeight w:val="288"/>
        </w:trPr>
        <w:tc>
          <w:tcPr>
            <w:tcW w:w="639"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734E8F0" w14:textId="77777777" w:rsidR="008B787A" w:rsidRPr="00693E73" w:rsidRDefault="008B787A" w:rsidP="00D948DE">
            <w:pPr>
              <w:spacing w:line="480" w:lineRule="auto"/>
              <w:jc w:val="center"/>
              <w:rPr>
                <w:rFonts w:ascii="Calibri" w:eastAsia="Times New Roman" w:hAnsi="Calibri" w:cs="Calibri"/>
                <w:b/>
                <w:bCs/>
                <w:color w:val="000000"/>
                <w:sz w:val="18"/>
                <w:szCs w:val="18"/>
              </w:rPr>
            </w:pPr>
          </w:p>
        </w:tc>
        <w:tc>
          <w:tcPr>
            <w:tcW w:w="3268" w:type="dxa"/>
            <w:gridSpan w:val="7"/>
            <w:tcBorders>
              <w:top w:val="single" w:sz="8" w:space="0" w:color="auto"/>
              <w:left w:val="nil"/>
              <w:bottom w:val="single" w:sz="8" w:space="0" w:color="auto"/>
              <w:right w:val="single" w:sz="8" w:space="0" w:color="auto"/>
            </w:tcBorders>
            <w:shd w:val="clear" w:color="auto" w:fill="auto"/>
            <w:noWrap/>
            <w:vAlign w:val="center"/>
            <w:hideMark/>
          </w:tcPr>
          <w:p w14:paraId="63D8F908" w14:textId="77777777" w:rsidR="008B787A" w:rsidRPr="00693E73" w:rsidRDefault="008B787A" w:rsidP="00D948DE">
            <w:pPr>
              <w:spacing w:line="480" w:lineRule="auto"/>
              <w:jc w:val="center"/>
              <w:rPr>
                <w:rFonts w:ascii="Calibri" w:eastAsia="Times New Roman" w:hAnsi="Calibri" w:cs="Calibri"/>
                <w:b/>
                <w:bCs/>
                <w:color w:val="000000"/>
                <w:sz w:val="18"/>
                <w:szCs w:val="18"/>
              </w:rPr>
            </w:pPr>
            <w:r w:rsidRPr="00693E73">
              <w:rPr>
                <w:rFonts w:ascii="Calibri" w:eastAsia="Times New Roman" w:hAnsi="Calibri" w:cs="Calibri"/>
                <w:b/>
                <w:bCs/>
                <w:color w:val="000000"/>
                <w:sz w:val="18"/>
                <w:szCs w:val="18"/>
              </w:rPr>
              <w:t>Hierarchical model</w:t>
            </w:r>
          </w:p>
        </w:tc>
        <w:tc>
          <w:tcPr>
            <w:tcW w:w="2825" w:type="dxa"/>
            <w:gridSpan w:val="6"/>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289BF0E" w14:textId="77777777" w:rsidR="008B787A" w:rsidRPr="00693E73" w:rsidRDefault="008B787A" w:rsidP="00D948DE">
            <w:pPr>
              <w:spacing w:line="480" w:lineRule="auto"/>
              <w:jc w:val="center"/>
              <w:rPr>
                <w:rFonts w:ascii="Calibri" w:eastAsia="Times New Roman" w:hAnsi="Calibri" w:cs="Calibri"/>
                <w:b/>
                <w:bCs/>
                <w:color w:val="000000"/>
                <w:sz w:val="18"/>
                <w:szCs w:val="18"/>
              </w:rPr>
            </w:pPr>
            <w:r w:rsidRPr="00693E73">
              <w:rPr>
                <w:rFonts w:ascii="Calibri" w:eastAsia="Times New Roman" w:hAnsi="Calibri" w:cs="Calibri"/>
                <w:b/>
                <w:bCs/>
                <w:color w:val="000000"/>
                <w:sz w:val="18"/>
                <w:szCs w:val="18"/>
              </w:rPr>
              <w:t>SDT model</w:t>
            </w:r>
          </w:p>
        </w:tc>
        <w:tc>
          <w:tcPr>
            <w:tcW w:w="1823"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BBC53DA" w14:textId="77777777" w:rsidR="008B787A" w:rsidRPr="00693E73" w:rsidRDefault="008B787A" w:rsidP="00D948DE">
            <w:pPr>
              <w:spacing w:line="480" w:lineRule="auto"/>
              <w:jc w:val="center"/>
              <w:rPr>
                <w:rFonts w:ascii="Calibri" w:eastAsia="Times New Roman" w:hAnsi="Calibri" w:cs="Calibri"/>
                <w:b/>
                <w:bCs/>
                <w:color w:val="000000"/>
                <w:sz w:val="18"/>
                <w:szCs w:val="18"/>
              </w:rPr>
            </w:pPr>
            <w:r w:rsidRPr="00693E73">
              <w:rPr>
                <w:rFonts w:ascii="Calibri" w:eastAsia="Times New Roman" w:hAnsi="Calibri" w:cs="Calibri"/>
                <w:b/>
                <w:bCs/>
                <w:color w:val="000000"/>
                <w:sz w:val="18"/>
                <w:szCs w:val="18"/>
              </w:rPr>
              <w:t>Difference</w:t>
            </w:r>
          </w:p>
        </w:tc>
      </w:tr>
      <w:tr w:rsidR="007A1CB3" w:rsidRPr="007A1CB3" w14:paraId="7A49F203" w14:textId="77777777" w:rsidTr="00426AA5">
        <w:trPr>
          <w:trHeight w:val="288"/>
        </w:trPr>
        <w:tc>
          <w:tcPr>
            <w:tcW w:w="639"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962A7FB" w14:textId="77777777" w:rsidR="007A1CB3" w:rsidRPr="00693E73" w:rsidRDefault="007A1CB3" w:rsidP="00D948DE">
            <w:pPr>
              <w:spacing w:line="480" w:lineRule="auto"/>
              <w:jc w:val="center"/>
              <w:rPr>
                <w:rFonts w:ascii="Calibri" w:eastAsia="Times New Roman" w:hAnsi="Calibri" w:cs="Calibri"/>
                <w:b/>
                <w:color w:val="000000"/>
                <w:sz w:val="18"/>
                <w:szCs w:val="18"/>
              </w:rPr>
            </w:pPr>
            <w:r w:rsidRPr="00693E73">
              <w:rPr>
                <w:rFonts w:ascii="Calibri" w:eastAsia="Times New Roman" w:hAnsi="Calibri" w:cs="Calibri"/>
                <w:b/>
                <w:color w:val="000000"/>
                <w:sz w:val="18"/>
                <w:szCs w:val="18"/>
              </w:rPr>
              <w:t>Subject</w:t>
            </w:r>
          </w:p>
        </w:tc>
        <w:tc>
          <w:tcPr>
            <w:tcW w:w="443" w:type="dxa"/>
            <w:tcBorders>
              <w:top w:val="single" w:sz="8" w:space="0" w:color="auto"/>
              <w:left w:val="nil"/>
              <w:bottom w:val="single" w:sz="8" w:space="0" w:color="auto"/>
              <w:right w:val="single" w:sz="4" w:space="0" w:color="auto"/>
            </w:tcBorders>
            <w:shd w:val="clear" w:color="auto" w:fill="auto"/>
            <w:noWrap/>
            <w:vAlign w:val="center"/>
            <w:hideMark/>
          </w:tcPr>
          <w:p w14:paraId="78D2F5D0" w14:textId="77777777" w:rsidR="007A1CB3" w:rsidRPr="00693E73" w:rsidRDefault="007A1CB3" w:rsidP="00D948DE">
            <w:pPr>
              <w:spacing w:line="480" w:lineRule="auto"/>
              <w:jc w:val="center"/>
              <w:rPr>
                <w:rFonts w:ascii="Calibri" w:eastAsia="Times New Roman" w:hAnsi="Calibri" w:cs="Calibri"/>
                <w:b/>
                <w:color w:val="000000"/>
                <w:sz w:val="18"/>
                <w:szCs w:val="18"/>
              </w:rPr>
            </w:pPr>
            <w:proofErr w:type="spellStart"/>
            <w:r w:rsidRPr="00693E73">
              <w:rPr>
                <w:rFonts w:ascii="Calibri" w:eastAsia="Times New Roman" w:hAnsi="Calibri" w:cs="Calibri"/>
                <w:b/>
                <w:color w:val="000000"/>
                <w:sz w:val="18"/>
                <w:szCs w:val="18"/>
              </w:rPr>
              <w:t>σ</w:t>
            </w:r>
            <w:r w:rsidRPr="00693E73">
              <w:rPr>
                <w:rFonts w:ascii="Calibri" w:eastAsia="Times New Roman" w:hAnsi="Calibri" w:cs="Calibri"/>
                <w:b/>
                <w:color w:val="000000"/>
                <w:sz w:val="18"/>
                <w:szCs w:val="18"/>
                <w:vertAlign w:val="subscript"/>
              </w:rPr>
              <w:t>meta</w:t>
            </w:r>
            <w:proofErr w:type="spellEnd"/>
          </w:p>
        </w:tc>
        <w:tc>
          <w:tcPr>
            <w:tcW w:w="409" w:type="dxa"/>
            <w:tcBorders>
              <w:top w:val="single" w:sz="8" w:space="0" w:color="auto"/>
              <w:left w:val="nil"/>
              <w:bottom w:val="single" w:sz="8" w:space="0" w:color="auto"/>
              <w:right w:val="single" w:sz="4" w:space="0" w:color="auto"/>
            </w:tcBorders>
            <w:shd w:val="clear" w:color="auto" w:fill="auto"/>
            <w:noWrap/>
            <w:vAlign w:val="center"/>
            <w:hideMark/>
          </w:tcPr>
          <w:p w14:paraId="502D1E27" w14:textId="77777777" w:rsidR="007A1CB3" w:rsidRPr="00693E73" w:rsidRDefault="007A1CB3" w:rsidP="00D948DE">
            <w:pPr>
              <w:spacing w:line="480" w:lineRule="auto"/>
              <w:jc w:val="center"/>
              <w:rPr>
                <w:rFonts w:ascii="Calibri" w:eastAsia="Times New Roman" w:hAnsi="Calibri" w:cs="Calibri"/>
                <w:b/>
                <w:color w:val="000000"/>
                <w:sz w:val="18"/>
                <w:szCs w:val="18"/>
              </w:rPr>
            </w:pPr>
            <w:r w:rsidRPr="005324F6">
              <w:rPr>
                <w:rFonts w:ascii="Calibri" w:eastAsia="Times New Roman" w:hAnsi="Calibri" w:cs="Calibri"/>
                <w:b/>
                <w:color w:val="000000"/>
                <w:sz w:val="18"/>
                <w:szCs w:val="18"/>
              </w:rPr>
              <w:t>α</w:t>
            </w:r>
          </w:p>
        </w:tc>
        <w:tc>
          <w:tcPr>
            <w:tcW w:w="360" w:type="dxa"/>
            <w:tcBorders>
              <w:top w:val="single" w:sz="8" w:space="0" w:color="auto"/>
              <w:left w:val="nil"/>
              <w:bottom w:val="single" w:sz="8" w:space="0" w:color="auto"/>
              <w:right w:val="single" w:sz="4" w:space="0" w:color="auto"/>
            </w:tcBorders>
            <w:shd w:val="clear" w:color="auto" w:fill="auto"/>
            <w:noWrap/>
            <w:vAlign w:val="center"/>
            <w:hideMark/>
          </w:tcPr>
          <w:p w14:paraId="6DEAA617" w14:textId="77777777" w:rsidR="007A1CB3" w:rsidRPr="00693E73" w:rsidRDefault="007A1CB3" w:rsidP="00D948DE">
            <w:pPr>
              <w:spacing w:line="480" w:lineRule="auto"/>
              <w:jc w:val="center"/>
              <w:rPr>
                <w:rFonts w:ascii="Calibri" w:eastAsia="Times New Roman" w:hAnsi="Calibri" w:cs="Calibri"/>
                <w:b/>
                <w:color w:val="000000"/>
                <w:sz w:val="18"/>
                <w:szCs w:val="18"/>
              </w:rPr>
            </w:pPr>
            <w:proofErr w:type="spellStart"/>
            <w:r w:rsidRPr="00693E73">
              <w:rPr>
                <w:rFonts w:ascii="Calibri" w:eastAsia="Times New Roman" w:hAnsi="Calibri" w:cs="Calibri"/>
                <w:b/>
                <w:color w:val="000000"/>
                <w:sz w:val="18"/>
                <w:szCs w:val="18"/>
              </w:rPr>
              <w:t>σ</w:t>
            </w:r>
            <w:r w:rsidRPr="00693E73">
              <w:rPr>
                <w:rFonts w:ascii="Calibri" w:eastAsia="Times New Roman" w:hAnsi="Calibri" w:cs="Calibri"/>
                <w:b/>
                <w:color w:val="000000"/>
                <w:sz w:val="18"/>
                <w:szCs w:val="18"/>
                <w:vertAlign w:val="subscript"/>
              </w:rPr>
              <w:t>dec</w:t>
            </w:r>
            <w:proofErr w:type="spellEnd"/>
          </w:p>
        </w:tc>
        <w:tc>
          <w:tcPr>
            <w:tcW w:w="464" w:type="dxa"/>
            <w:tcBorders>
              <w:top w:val="single" w:sz="8" w:space="0" w:color="auto"/>
              <w:left w:val="nil"/>
              <w:bottom w:val="single" w:sz="8" w:space="0" w:color="auto"/>
              <w:right w:val="single" w:sz="4" w:space="0" w:color="auto"/>
            </w:tcBorders>
            <w:shd w:val="clear" w:color="auto" w:fill="auto"/>
            <w:noWrap/>
            <w:vAlign w:val="center"/>
            <w:hideMark/>
          </w:tcPr>
          <w:p w14:paraId="5DF2BE15" w14:textId="77777777" w:rsidR="007A1CB3" w:rsidRPr="00693E73" w:rsidRDefault="007A1CB3" w:rsidP="00D948DE">
            <w:pPr>
              <w:spacing w:line="480" w:lineRule="auto"/>
              <w:jc w:val="center"/>
              <w:rPr>
                <w:rFonts w:ascii="Calibri" w:eastAsia="Times New Roman" w:hAnsi="Calibri" w:cs="Calibri"/>
                <w:b/>
                <w:color w:val="000000"/>
                <w:sz w:val="18"/>
                <w:szCs w:val="18"/>
              </w:rPr>
            </w:pPr>
            <w:r w:rsidRPr="005324F6">
              <w:rPr>
                <w:rFonts w:ascii="Calibri" w:eastAsia="Times New Roman" w:hAnsi="Calibri" w:cs="Calibri"/>
                <w:b/>
                <w:color w:val="000000"/>
                <w:sz w:val="18"/>
                <w:szCs w:val="18"/>
              </w:rPr>
              <w:t>c</w:t>
            </w:r>
            <w:r w:rsidRPr="00693E73">
              <w:rPr>
                <w:rFonts w:ascii="Calibri" w:eastAsia="Times New Roman" w:hAnsi="Calibri" w:cs="Calibri"/>
                <w:b/>
                <w:color w:val="000000"/>
                <w:sz w:val="18"/>
                <w:szCs w:val="18"/>
                <w:vertAlign w:val="subscript"/>
              </w:rPr>
              <w:t>-1</w:t>
            </w:r>
          </w:p>
        </w:tc>
        <w:tc>
          <w:tcPr>
            <w:tcW w:w="409" w:type="dxa"/>
            <w:tcBorders>
              <w:top w:val="single" w:sz="8" w:space="0" w:color="auto"/>
              <w:left w:val="nil"/>
              <w:bottom w:val="single" w:sz="8" w:space="0" w:color="auto"/>
              <w:right w:val="single" w:sz="4" w:space="0" w:color="auto"/>
            </w:tcBorders>
            <w:shd w:val="clear" w:color="auto" w:fill="auto"/>
            <w:noWrap/>
            <w:vAlign w:val="center"/>
            <w:hideMark/>
          </w:tcPr>
          <w:p w14:paraId="4473240A" w14:textId="77777777" w:rsidR="007A1CB3" w:rsidRPr="00693E73" w:rsidRDefault="007A1CB3" w:rsidP="00D948DE">
            <w:pPr>
              <w:spacing w:line="480" w:lineRule="auto"/>
              <w:jc w:val="center"/>
              <w:rPr>
                <w:rFonts w:ascii="Calibri" w:eastAsia="Times New Roman" w:hAnsi="Calibri" w:cs="Calibri"/>
                <w:b/>
                <w:color w:val="000000"/>
                <w:sz w:val="18"/>
                <w:szCs w:val="18"/>
              </w:rPr>
            </w:pPr>
            <w:r w:rsidRPr="005324F6">
              <w:rPr>
                <w:rFonts w:ascii="Calibri" w:eastAsia="Times New Roman" w:hAnsi="Calibri" w:cs="Calibri"/>
                <w:b/>
                <w:color w:val="000000"/>
                <w:sz w:val="18"/>
                <w:szCs w:val="18"/>
              </w:rPr>
              <w:t>c</w:t>
            </w:r>
            <w:r w:rsidRPr="00693E73">
              <w:rPr>
                <w:rFonts w:ascii="Calibri" w:eastAsia="Times New Roman" w:hAnsi="Calibri" w:cs="Calibri"/>
                <w:b/>
                <w:color w:val="000000"/>
                <w:sz w:val="18"/>
                <w:szCs w:val="18"/>
                <w:vertAlign w:val="subscript"/>
              </w:rPr>
              <w:t>0</w:t>
            </w:r>
          </w:p>
        </w:tc>
        <w:tc>
          <w:tcPr>
            <w:tcW w:w="409" w:type="dxa"/>
            <w:tcBorders>
              <w:top w:val="single" w:sz="8" w:space="0" w:color="auto"/>
              <w:left w:val="nil"/>
              <w:bottom w:val="single" w:sz="8" w:space="0" w:color="auto"/>
              <w:right w:val="single" w:sz="4" w:space="0" w:color="auto"/>
            </w:tcBorders>
            <w:shd w:val="clear" w:color="auto" w:fill="auto"/>
            <w:noWrap/>
            <w:vAlign w:val="center"/>
            <w:hideMark/>
          </w:tcPr>
          <w:p w14:paraId="103A6981" w14:textId="77777777" w:rsidR="007A1CB3" w:rsidRPr="00693E73" w:rsidRDefault="007A1CB3" w:rsidP="00D948DE">
            <w:pPr>
              <w:spacing w:line="480" w:lineRule="auto"/>
              <w:jc w:val="center"/>
              <w:rPr>
                <w:rFonts w:ascii="Calibri" w:eastAsia="Times New Roman" w:hAnsi="Calibri" w:cs="Calibri"/>
                <w:b/>
                <w:color w:val="000000"/>
                <w:sz w:val="18"/>
                <w:szCs w:val="18"/>
              </w:rPr>
            </w:pPr>
            <w:r w:rsidRPr="005324F6">
              <w:rPr>
                <w:rFonts w:ascii="Calibri" w:eastAsia="Times New Roman" w:hAnsi="Calibri" w:cs="Calibri"/>
                <w:b/>
                <w:color w:val="000000"/>
                <w:sz w:val="18"/>
                <w:szCs w:val="18"/>
              </w:rPr>
              <w:t>c</w:t>
            </w:r>
            <w:r w:rsidRPr="00693E73">
              <w:rPr>
                <w:rFonts w:ascii="Calibri" w:eastAsia="Times New Roman" w:hAnsi="Calibri" w:cs="Calibri"/>
                <w:b/>
                <w:color w:val="000000"/>
                <w:sz w:val="18"/>
                <w:szCs w:val="18"/>
                <w:vertAlign w:val="subscript"/>
              </w:rPr>
              <w:t>1</w:t>
            </w:r>
          </w:p>
        </w:tc>
        <w:tc>
          <w:tcPr>
            <w:tcW w:w="774" w:type="dxa"/>
            <w:tcBorders>
              <w:top w:val="single" w:sz="8" w:space="0" w:color="auto"/>
              <w:left w:val="nil"/>
              <w:bottom w:val="single" w:sz="8" w:space="0" w:color="auto"/>
              <w:right w:val="single" w:sz="8" w:space="0" w:color="auto"/>
            </w:tcBorders>
            <w:shd w:val="clear" w:color="auto" w:fill="auto"/>
            <w:noWrap/>
            <w:vAlign w:val="center"/>
            <w:hideMark/>
          </w:tcPr>
          <w:p w14:paraId="2BEE337C" w14:textId="77777777" w:rsidR="007A1CB3" w:rsidRPr="00693E73" w:rsidRDefault="007A1CB3" w:rsidP="00D948DE">
            <w:pPr>
              <w:spacing w:line="480" w:lineRule="auto"/>
              <w:jc w:val="center"/>
              <w:rPr>
                <w:rFonts w:ascii="Calibri" w:eastAsia="Times New Roman" w:hAnsi="Calibri" w:cs="Calibri"/>
                <w:b/>
                <w:color w:val="000000"/>
                <w:sz w:val="18"/>
                <w:szCs w:val="18"/>
              </w:rPr>
            </w:pPr>
            <w:r w:rsidRPr="00693E73">
              <w:rPr>
                <w:rFonts w:ascii="Calibri" w:eastAsia="Times New Roman" w:hAnsi="Calibri" w:cs="Calibri"/>
                <w:b/>
                <w:color w:val="000000"/>
                <w:sz w:val="18"/>
                <w:szCs w:val="18"/>
              </w:rPr>
              <w:t>AIC</w:t>
            </w:r>
          </w:p>
        </w:tc>
        <w:tc>
          <w:tcPr>
            <w:tcW w:w="409"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04C64C39" w14:textId="77777777" w:rsidR="007A1CB3" w:rsidRPr="00693E73" w:rsidRDefault="007A1CB3" w:rsidP="00D948DE">
            <w:pPr>
              <w:spacing w:line="480" w:lineRule="auto"/>
              <w:jc w:val="center"/>
              <w:rPr>
                <w:rFonts w:ascii="Calibri" w:eastAsia="Times New Roman" w:hAnsi="Calibri" w:cs="Calibri"/>
                <w:b/>
                <w:color w:val="000000"/>
                <w:sz w:val="18"/>
                <w:szCs w:val="18"/>
              </w:rPr>
            </w:pPr>
            <w:r w:rsidRPr="005324F6">
              <w:rPr>
                <w:rFonts w:ascii="Calibri" w:eastAsia="Times New Roman" w:hAnsi="Calibri" w:cs="Calibri"/>
                <w:b/>
                <w:color w:val="000000"/>
                <w:sz w:val="18"/>
                <w:szCs w:val="18"/>
              </w:rPr>
              <w:t>α</w:t>
            </w:r>
          </w:p>
        </w:tc>
        <w:tc>
          <w:tcPr>
            <w:tcW w:w="360" w:type="dxa"/>
            <w:tcBorders>
              <w:top w:val="single" w:sz="8" w:space="0" w:color="auto"/>
              <w:left w:val="nil"/>
              <w:bottom w:val="single" w:sz="8" w:space="0" w:color="auto"/>
              <w:right w:val="single" w:sz="4" w:space="0" w:color="auto"/>
            </w:tcBorders>
            <w:shd w:val="clear" w:color="auto" w:fill="auto"/>
            <w:noWrap/>
            <w:vAlign w:val="center"/>
            <w:hideMark/>
          </w:tcPr>
          <w:p w14:paraId="4666C700" w14:textId="77777777" w:rsidR="007A1CB3" w:rsidRPr="00693E73" w:rsidRDefault="007A1CB3" w:rsidP="00D948DE">
            <w:pPr>
              <w:spacing w:line="480" w:lineRule="auto"/>
              <w:jc w:val="center"/>
              <w:rPr>
                <w:rFonts w:ascii="Calibri" w:eastAsia="Times New Roman" w:hAnsi="Calibri" w:cs="Calibri"/>
                <w:b/>
                <w:color w:val="000000"/>
                <w:sz w:val="18"/>
                <w:szCs w:val="18"/>
              </w:rPr>
            </w:pPr>
            <w:proofErr w:type="spellStart"/>
            <w:r w:rsidRPr="00693E73">
              <w:rPr>
                <w:rFonts w:ascii="Calibri" w:eastAsia="Times New Roman" w:hAnsi="Calibri" w:cs="Calibri"/>
                <w:b/>
                <w:color w:val="000000"/>
                <w:sz w:val="18"/>
                <w:szCs w:val="18"/>
              </w:rPr>
              <w:t>σ</w:t>
            </w:r>
            <w:r w:rsidRPr="00693E73">
              <w:rPr>
                <w:rFonts w:ascii="Calibri" w:eastAsia="Times New Roman" w:hAnsi="Calibri" w:cs="Calibri"/>
                <w:b/>
                <w:color w:val="000000"/>
                <w:sz w:val="18"/>
                <w:szCs w:val="18"/>
                <w:vertAlign w:val="subscript"/>
              </w:rPr>
              <w:t>dec</w:t>
            </w:r>
            <w:proofErr w:type="spellEnd"/>
          </w:p>
        </w:tc>
        <w:tc>
          <w:tcPr>
            <w:tcW w:w="464" w:type="dxa"/>
            <w:tcBorders>
              <w:top w:val="single" w:sz="8" w:space="0" w:color="auto"/>
              <w:left w:val="nil"/>
              <w:bottom w:val="single" w:sz="8" w:space="0" w:color="auto"/>
              <w:right w:val="single" w:sz="4" w:space="0" w:color="auto"/>
            </w:tcBorders>
            <w:shd w:val="clear" w:color="auto" w:fill="auto"/>
            <w:noWrap/>
            <w:vAlign w:val="center"/>
            <w:hideMark/>
          </w:tcPr>
          <w:p w14:paraId="6FED2FDA" w14:textId="42CBE838" w:rsidR="007A1CB3" w:rsidRPr="00693E73" w:rsidRDefault="007A1CB3" w:rsidP="00D948DE">
            <w:pPr>
              <w:spacing w:line="480" w:lineRule="auto"/>
              <w:jc w:val="center"/>
              <w:rPr>
                <w:rFonts w:ascii="Calibri" w:eastAsia="Times New Roman" w:hAnsi="Calibri" w:cs="Calibri"/>
                <w:b/>
                <w:color w:val="000000"/>
                <w:sz w:val="18"/>
                <w:szCs w:val="18"/>
              </w:rPr>
            </w:pPr>
            <w:r w:rsidRPr="005324F6">
              <w:rPr>
                <w:rFonts w:ascii="Calibri" w:eastAsia="Times New Roman" w:hAnsi="Calibri" w:cs="Calibri"/>
                <w:b/>
                <w:color w:val="000000"/>
                <w:sz w:val="18"/>
                <w:szCs w:val="18"/>
              </w:rPr>
              <w:t>c</w:t>
            </w:r>
            <w:r w:rsidRPr="00693E73">
              <w:rPr>
                <w:rFonts w:ascii="Calibri" w:eastAsia="Times New Roman" w:hAnsi="Calibri" w:cs="Calibri"/>
                <w:b/>
                <w:color w:val="000000"/>
                <w:sz w:val="18"/>
                <w:szCs w:val="18"/>
                <w:vertAlign w:val="subscript"/>
              </w:rPr>
              <w:t>-1</w:t>
            </w:r>
          </w:p>
        </w:tc>
        <w:tc>
          <w:tcPr>
            <w:tcW w:w="409" w:type="dxa"/>
            <w:tcBorders>
              <w:top w:val="single" w:sz="8" w:space="0" w:color="auto"/>
              <w:left w:val="nil"/>
              <w:bottom w:val="single" w:sz="8" w:space="0" w:color="auto"/>
              <w:right w:val="single" w:sz="4" w:space="0" w:color="auto"/>
            </w:tcBorders>
            <w:shd w:val="clear" w:color="auto" w:fill="auto"/>
            <w:noWrap/>
            <w:vAlign w:val="center"/>
            <w:hideMark/>
          </w:tcPr>
          <w:p w14:paraId="7951AAC3" w14:textId="2A839731" w:rsidR="007A1CB3" w:rsidRPr="00693E73" w:rsidRDefault="007A1CB3" w:rsidP="00D948DE">
            <w:pPr>
              <w:spacing w:line="480" w:lineRule="auto"/>
              <w:jc w:val="center"/>
              <w:rPr>
                <w:rFonts w:ascii="Calibri" w:eastAsia="Times New Roman" w:hAnsi="Calibri" w:cs="Calibri"/>
                <w:b/>
                <w:color w:val="000000"/>
                <w:sz w:val="18"/>
                <w:szCs w:val="18"/>
              </w:rPr>
            </w:pPr>
            <w:r w:rsidRPr="005324F6">
              <w:rPr>
                <w:rFonts w:ascii="Calibri" w:eastAsia="Times New Roman" w:hAnsi="Calibri" w:cs="Calibri"/>
                <w:b/>
                <w:color w:val="000000"/>
                <w:sz w:val="18"/>
                <w:szCs w:val="18"/>
              </w:rPr>
              <w:t>c</w:t>
            </w:r>
            <w:r w:rsidRPr="00693E73">
              <w:rPr>
                <w:rFonts w:ascii="Calibri" w:eastAsia="Times New Roman" w:hAnsi="Calibri" w:cs="Calibri"/>
                <w:b/>
                <w:color w:val="000000"/>
                <w:sz w:val="18"/>
                <w:szCs w:val="18"/>
                <w:vertAlign w:val="subscript"/>
              </w:rPr>
              <w:t>0</w:t>
            </w:r>
          </w:p>
        </w:tc>
        <w:tc>
          <w:tcPr>
            <w:tcW w:w="409" w:type="dxa"/>
            <w:tcBorders>
              <w:top w:val="single" w:sz="8" w:space="0" w:color="auto"/>
              <w:left w:val="nil"/>
              <w:bottom w:val="single" w:sz="8" w:space="0" w:color="auto"/>
              <w:right w:val="single" w:sz="4" w:space="0" w:color="auto"/>
            </w:tcBorders>
            <w:shd w:val="clear" w:color="auto" w:fill="auto"/>
            <w:noWrap/>
            <w:vAlign w:val="center"/>
            <w:hideMark/>
          </w:tcPr>
          <w:p w14:paraId="4D1102AF" w14:textId="1CCAF816" w:rsidR="007A1CB3" w:rsidRPr="00693E73" w:rsidRDefault="007A1CB3" w:rsidP="00D948DE">
            <w:pPr>
              <w:spacing w:line="480" w:lineRule="auto"/>
              <w:jc w:val="center"/>
              <w:rPr>
                <w:rFonts w:ascii="Calibri" w:eastAsia="Times New Roman" w:hAnsi="Calibri" w:cs="Calibri"/>
                <w:b/>
                <w:color w:val="000000"/>
                <w:sz w:val="18"/>
                <w:szCs w:val="18"/>
              </w:rPr>
            </w:pPr>
            <w:r w:rsidRPr="005324F6">
              <w:rPr>
                <w:rFonts w:ascii="Calibri" w:eastAsia="Times New Roman" w:hAnsi="Calibri" w:cs="Calibri"/>
                <w:b/>
                <w:color w:val="000000"/>
                <w:sz w:val="18"/>
                <w:szCs w:val="18"/>
              </w:rPr>
              <w:t>c</w:t>
            </w:r>
            <w:r w:rsidRPr="00693E73">
              <w:rPr>
                <w:rFonts w:ascii="Calibri" w:eastAsia="Times New Roman" w:hAnsi="Calibri" w:cs="Calibri"/>
                <w:b/>
                <w:color w:val="000000"/>
                <w:sz w:val="18"/>
                <w:szCs w:val="18"/>
                <w:vertAlign w:val="subscript"/>
              </w:rPr>
              <w:t>1</w:t>
            </w:r>
          </w:p>
        </w:tc>
        <w:tc>
          <w:tcPr>
            <w:tcW w:w="774" w:type="dxa"/>
            <w:tcBorders>
              <w:top w:val="single" w:sz="8" w:space="0" w:color="auto"/>
              <w:left w:val="nil"/>
              <w:bottom w:val="single" w:sz="8" w:space="0" w:color="auto"/>
              <w:right w:val="single" w:sz="8" w:space="0" w:color="auto"/>
            </w:tcBorders>
            <w:shd w:val="clear" w:color="auto" w:fill="auto"/>
            <w:noWrap/>
            <w:vAlign w:val="center"/>
            <w:hideMark/>
          </w:tcPr>
          <w:p w14:paraId="20A0D98E" w14:textId="77777777" w:rsidR="007A1CB3" w:rsidRPr="00693E73" w:rsidRDefault="007A1CB3" w:rsidP="00D948DE">
            <w:pPr>
              <w:spacing w:line="480" w:lineRule="auto"/>
              <w:jc w:val="center"/>
              <w:rPr>
                <w:rFonts w:ascii="Calibri" w:eastAsia="Times New Roman" w:hAnsi="Calibri" w:cs="Calibri"/>
                <w:b/>
                <w:color w:val="000000"/>
                <w:sz w:val="18"/>
                <w:szCs w:val="18"/>
              </w:rPr>
            </w:pPr>
            <w:r w:rsidRPr="00693E73">
              <w:rPr>
                <w:rFonts w:ascii="Calibri" w:eastAsia="Times New Roman" w:hAnsi="Calibri" w:cs="Calibri"/>
                <w:b/>
                <w:color w:val="000000"/>
                <w:sz w:val="18"/>
                <w:szCs w:val="18"/>
              </w:rPr>
              <w:t>AIC</w:t>
            </w:r>
          </w:p>
        </w:tc>
        <w:tc>
          <w:tcPr>
            <w:tcW w:w="724"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48621963" w14:textId="513E1996" w:rsidR="007A1CB3" w:rsidRPr="00693E73" w:rsidRDefault="005324F6" w:rsidP="00D948DE">
            <w:pPr>
              <w:spacing w:line="480" w:lineRule="auto"/>
              <w:jc w:val="center"/>
              <w:rPr>
                <w:rFonts w:ascii="Calibri" w:eastAsia="Times New Roman" w:hAnsi="Calibri" w:cs="Calibri"/>
                <w:b/>
                <w:color w:val="000000"/>
                <w:sz w:val="18"/>
                <w:szCs w:val="18"/>
              </w:rPr>
            </w:pPr>
            <w:r w:rsidRPr="005324F6">
              <w:rPr>
                <w:rFonts w:ascii="Calibri" w:eastAsia="Times New Roman" w:hAnsi="Calibri" w:cs="Calibri"/>
                <w:b/>
                <w:color w:val="000000"/>
                <w:sz w:val="18"/>
                <w:szCs w:val="18"/>
              </w:rPr>
              <w:t>Δ</w:t>
            </w:r>
            <w:r>
              <w:rPr>
                <w:rFonts w:ascii="Calibri" w:eastAsia="Times New Roman" w:hAnsi="Calibri" w:cs="Calibri"/>
                <w:b/>
                <w:color w:val="000000"/>
                <w:sz w:val="18"/>
                <w:szCs w:val="18"/>
              </w:rPr>
              <w:t>AIC</w:t>
            </w:r>
          </w:p>
        </w:tc>
        <w:tc>
          <w:tcPr>
            <w:tcW w:w="1099" w:type="dxa"/>
            <w:tcBorders>
              <w:top w:val="single" w:sz="8" w:space="0" w:color="auto"/>
              <w:left w:val="nil"/>
              <w:bottom w:val="single" w:sz="8" w:space="0" w:color="auto"/>
              <w:right w:val="single" w:sz="8" w:space="0" w:color="auto"/>
            </w:tcBorders>
            <w:shd w:val="clear" w:color="auto" w:fill="auto"/>
            <w:noWrap/>
            <w:vAlign w:val="center"/>
            <w:hideMark/>
          </w:tcPr>
          <w:p w14:paraId="7674CF84" w14:textId="77777777" w:rsidR="007A1CB3" w:rsidRPr="00693E73" w:rsidRDefault="007A1CB3" w:rsidP="00D948DE">
            <w:pPr>
              <w:spacing w:line="480" w:lineRule="auto"/>
              <w:jc w:val="center"/>
              <w:rPr>
                <w:rFonts w:ascii="Calibri" w:eastAsia="Times New Roman" w:hAnsi="Calibri" w:cs="Calibri"/>
                <w:b/>
                <w:color w:val="000000"/>
                <w:sz w:val="18"/>
                <w:szCs w:val="18"/>
              </w:rPr>
            </w:pPr>
            <w:r w:rsidRPr="00693E73">
              <w:rPr>
                <w:rFonts w:ascii="Calibri" w:eastAsia="Times New Roman" w:hAnsi="Calibri" w:cs="Calibri"/>
                <w:b/>
                <w:color w:val="000000"/>
                <w:sz w:val="18"/>
                <w:szCs w:val="18"/>
              </w:rPr>
              <w:t>Bayes factor</w:t>
            </w:r>
          </w:p>
        </w:tc>
      </w:tr>
      <w:tr w:rsidR="005324F6" w:rsidRPr="007A1CB3" w14:paraId="3F5E5A21" w14:textId="77777777" w:rsidTr="00426AA5">
        <w:trPr>
          <w:trHeight w:val="144"/>
        </w:trPr>
        <w:tc>
          <w:tcPr>
            <w:tcW w:w="639"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01D64F0F" w14:textId="77777777" w:rsidR="008B787A" w:rsidRPr="00693E73" w:rsidRDefault="008B787A" w:rsidP="00D948DE">
            <w:pPr>
              <w:spacing w:line="480" w:lineRule="auto"/>
              <w:jc w:val="center"/>
              <w:rPr>
                <w:rFonts w:ascii="Calibri" w:eastAsia="Times New Roman" w:hAnsi="Calibri" w:cs="Calibri"/>
                <w:color w:val="000000"/>
                <w:sz w:val="18"/>
                <w:szCs w:val="18"/>
              </w:rPr>
            </w:pPr>
            <w:r w:rsidRPr="00693E73">
              <w:rPr>
                <w:rFonts w:ascii="Calibri" w:eastAsia="Times New Roman" w:hAnsi="Calibri" w:cs="Calibri"/>
                <w:color w:val="000000"/>
                <w:sz w:val="18"/>
                <w:szCs w:val="18"/>
              </w:rPr>
              <w:t>1</w:t>
            </w:r>
          </w:p>
        </w:tc>
        <w:tc>
          <w:tcPr>
            <w:tcW w:w="443" w:type="dxa"/>
            <w:tcBorders>
              <w:top w:val="single" w:sz="8" w:space="0" w:color="auto"/>
              <w:left w:val="nil"/>
              <w:bottom w:val="single" w:sz="4" w:space="0" w:color="auto"/>
              <w:right w:val="single" w:sz="4" w:space="0" w:color="auto"/>
            </w:tcBorders>
            <w:shd w:val="clear" w:color="auto" w:fill="auto"/>
            <w:noWrap/>
            <w:vAlign w:val="center"/>
            <w:hideMark/>
          </w:tcPr>
          <w:p w14:paraId="15A3B091" w14:textId="77777777" w:rsidR="008B787A" w:rsidRPr="00693E73" w:rsidRDefault="008B787A" w:rsidP="00D948DE">
            <w:pPr>
              <w:spacing w:line="480" w:lineRule="auto"/>
              <w:jc w:val="center"/>
              <w:rPr>
                <w:rFonts w:ascii="Calibri" w:eastAsia="Times New Roman" w:hAnsi="Calibri" w:cs="Calibri"/>
                <w:color w:val="000000"/>
                <w:sz w:val="18"/>
                <w:szCs w:val="18"/>
              </w:rPr>
            </w:pPr>
            <w:r w:rsidRPr="00693E73">
              <w:rPr>
                <w:rFonts w:ascii="Calibri" w:eastAsia="Times New Roman" w:hAnsi="Calibri" w:cs="Calibri"/>
                <w:color w:val="000000"/>
                <w:sz w:val="18"/>
                <w:szCs w:val="18"/>
              </w:rPr>
              <w:t>0.56</w:t>
            </w:r>
          </w:p>
        </w:tc>
        <w:tc>
          <w:tcPr>
            <w:tcW w:w="409" w:type="dxa"/>
            <w:tcBorders>
              <w:top w:val="single" w:sz="8" w:space="0" w:color="auto"/>
              <w:left w:val="nil"/>
              <w:bottom w:val="single" w:sz="4" w:space="0" w:color="auto"/>
              <w:right w:val="single" w:sz="4" w:space="0" w:color="auto"/>
            </w:tcBorders>
            <w:shd w:val="clear" w:color="auto" w:fill="auto"/>
            <w:noWrap/>
            <w:vAlign w:val="center"/>
            <w:hideMark/>
          </w:tcPr>
          <w:p w14:paraId="43B97468" w14:textId="77777777" w:rsidR="008B787A" w:rsidRPr="00693E73" w:rsidRDefault="008B787A" w:rsidP="00D948DE">
            <w:pPr>
              <w:spacing w:line="480" w:lineRule="auto"/>
              <w:jc w:val="center"/>
              <w:rPr>
                <w:rFonts w:ascii="Calibri" w:eastAsia="Times New Roman" w:hAnsi="Calibri" w:cs="Calibri"/>
                <w:color w:val="000000"/>
                <w:sz w:val="18"/>
                <w:szCs w:val="18"/>
              </w:rPr>
            </w:pPr>
            <w:r w:rsidRPr="00693E73">
              <w:rPr>
                <w:rFonts w:ascii="Calibri" w:eastAsia="Times New Roman" w:hAnsi="Calibri" w:cs="Calibri"/>
                <w:color w:val="000000"/>
                <w:sz w:val="18"/>
                <w:szCs w:val="18"/>
              </w:rPr>
              <w:t>1.36</w:t>
            </w:r>
          </w:p>
        </w:tc>
        <w:tc>
          <w:tcPr>
            <w:tcW w:w="360" w:type="dxa"/>
            <w:tcBorders>
              <w:top w:val="single" w:sz="8" w:space="0" w:color="auto"/>
              <w:left w:val="nil"/>
              <w:bottom w:val="single" w:sz="4" w:space="0" w:color="auto"/>
              <w:right w:val="single" w:sz="4" w:space="0" w:color="auto"/>
            </w:tcBorders>
            <w:shd w:val="clear" w:color="auto" w:fill="auto"/>
            <w:noWrap/>
            <w:vAlign w:val="center"/>
            <w:hideMark/>
          </w:tcPr>
          <w:p w14:paraId="3CB3A06F" w14:textId="77777777" w:rsidR="008B787A" w:rsidRPr="00693E73" w:rsidRDefault="008B787A" w:rsidP="00D948DE">
            <w:pPr>
              <w:spacing w:line="480" w:lineRule="auto"/>
              <w:jc w:val="center"/>
              <w:rPr>
                <w:rFonts w:ascii="Calibri" w:eastAsia="Times New Roman" w:hAnsi="Calibri" w:cs="Calibri"/>
                <w:color w:val="000000"/>
                <w:sz w:val="18"/>
                <w:szCs w:val="18"/>
              </w:rPr>
            </w:pPr>
            <w:r w:rsidRPr="00693E73">
              <w:rPr>
                <w:rFonts w:ascii="Calibri" w:eastAsia="Times New Roman" w:hAnsi="Calibri" w:cs="Calibri"/>
                <w:color w:val="000000"/>
                <w:sz w:val="18"/>
                <w:szCs w:val="18"/>
              </w:rPr>
              <w:t>0</w:t>
            </w:r>
          </w:p>
        </w:tc>
        <w:tc>
          <w:tcPr>
            <w:tcW w:w="464" w:type="dxa"/>
            <w:tcBorders>
              <w:top w:val="single" w:sz="8" w:space="0" w:color="auto"/>
              <w:left w:val="nil"/>
              <w:bottom w:val="single" w:sz="4" w:space="0" w:color="auto"/>
              <w:right w:val="single" w:sz="4" w:space="0" w:color="auto"/>
            </w:tcBorders>
            <w:shd w:val="clear" w:color="auto" w:fill="auto"/>
            <w:noWrap/>
            <w:vAlign w:val="center"/>
            <w:hideMark/>
          </w:tcPr>
          <w:p w14:paraId="521E9651" w14:textId="77777777" w:rsidR="008B787A" w:rsidRPr="00693E73" w:rsidRDefault="008B787A" w:rsidP="00D948DE">
            <w:pPr>
              <w:spacing w:line="480" w:lineRule="auto"/>
              <w:jc w:val="center"/>
              <w:rPr>
                <w:rFonts w:ascii="Calibri" w:eastAsia="Times New Roman" w:hAnsi="Calibri" w:cs="Calibri"/>
                <w:color w:val="000000"/>
                <w:sz w:val="18"/>
                <w:szCs w:val="18"/>
              </w:rPr>
            </w:pPr>
            <w:r w:rsidRPr="00693E73">
              <w:rPr>
                <w:rFonts w:ascii="Calibri" w:eastAsia="Times New Roman" w:hAnsi="Calibri" w:cs="Calibri"/>
                <w:color w:val="000000"/>
                <w:sz w:val="18"/>
                <w:szCs w:val="18"/>
              </w:rPr>
              <w:t>-0.74</w:t>
            </w:r>
          </w:p>
        </w:tc>
        <w:tc>
          <w:tcPr>
            <w:tcW w:w="409" w:type="dxa"/>
            <w:tcBorders>
              <w:top w:val="single" w:sz="8" w:space="0" w:color="auto"/>
              <w:left w:val="nil"/>
              <w:bottom w:val="single" w:sz="4" w:space="0" w:color="auto"/>
              <w:right w:val="single" w:sz="4" w:space="0" w:color="auto"/>
            </w:tcBorders>
            <w:shd w:val="clear" w:color="auto" w:fill="auto"/>
            <w:noWrap/>
            <w:vAlign w:val="center"/>
            <w:hideMark/>
          </w:tcPr>
          <w:p w14:paraId="7A799304" w14:textId="77777777" w:rsidR="008B787A" w:rsidRPr="00693E73" w:rsidRDefault="008B787A" w:rsidP="00D948DE">
            <w:pPr>
              <w:spacing w:line="480" w:lineRule="auto"/>
              <w:jc w:val="center"/>
              <w:rPr>
                <w:rFonts w:ascii="Calibri" w:eastAsia="Times New Roman" w:hAnsi="Calibri" w:cs="Calibri"/>
                <w:color w:val="000000"/>
                <w:sz w:val="18"/>
                <w:szCs w:val="18"/>
              </w:rPr>
            </w:pPr>
            <w:r w:rsidRPr="00693E73">
              <w:rPr>
                <w:rFonts w:ascii="Calibri" w:eastAsia="Times New Roman" w:hAnsi="Calibri" w:cs="Calibri"/>
                <w:color w:val="000000"/>
                <w:sz w:val="18"/>
                <w:szCs w:val="18"/>
              </w:rPr>
              <w:t>0.85</w:t>
            </w:r>
          </w:p>
        </w:tc>
        <w:tc>
          <w:tcPr>
            <w:tcW w:w="409" w:type="dxa"/>
            <w:tcBorders>
              <w:top w:val="single" w:sz="8" w:space="0" w:color="auto"/>
              <w:left w:val="nil"/>
              <w:bottom w:val="single" w:sz="4" w:space="0" w:color="auto"/>
              <w:right w:val="single" w:sz="4" w:space="0" w:color="auto"/>
            </w:tcBorders>
            <w:shd w:val="clear" w:color="auto" w:fill="auto"/>
            <w:noWrap/>
            <w:vAlign w:val="center"/>
            <w:hideMark/>
          </w:tcPr>
          <w:p w14:paraId="2509E861" w14:textId="77777777" w:rsidR="008B787A" w:rsidRPr="00693E73" w:rsidRDefault="008B787A" w:rsidP="00D948DE">
            <w:pPr>
              <w:spacing w:line="480" w:lineRule="auto"/>
              <w:jc w:val="center"/>
              <w:rPr>
                <w:rFonts w:ascii="Calibri" w:eastAsia="Times New Roman" w:hAnsi="Calibri" w:cs="Calibri"/>
                <w:color w:val="000000"/>
                <w:sz w:val="18"/>
                <w:szCs w:val="18"/>
              </w:rPr>
            </w:pPr>
            <w:r w:rsidRPr="00693E73">
              <w:rPr>
                <w:rFonts w:ascii="Calibri" w:eastAsia="Times New Roman" w:hAnsi="Calibri" w:cs="Calibri"/>
                <w:color w:val="000000"/>
                <w:sz w:val="18"/>
                <w:szCs w:val="18"/>
              </w:rPr>
              <w:t>1.00</w:t>
            </w:r>
          </w:p>
        </w:tc>
        <w:tc>
          <w:tcPr>
            <w:tcW w:w="774" w:type="dxa"/>
            <w:tcBorders>
              <w:top w:val="single" w:sz="8" w:space="0" w:color="auto"/>
              <w:left w:val="nil"/>
              <w:bottom w:val="single" w:sz="4" w:space="0" w:color="auto"/>
              <w:right w:val="single" w:sz="8" w:space="0" w:color="auto"/>
            </w:tcBorders>
            <w:shd w:val="clear" w:color="auto" w:fill="auto"/>
            <w:noWrap/>
            <w:vAlign w:val="center"/>
            <w:hideMark/>
          </w:tcPr>
          <w:p w14:paraId="0824A8AF" w14:textId="77777777" w:rsidR="008B787A" w:rsidRPr="00693E73" w:rsidRDefault="008B787A" w:rsidP="00D948DE">
            <w:pPr>
              <w:spacing w:line="480" w:lineRule="auto"/>
              <w:jc w:val="center"/>
              <w:rPr>
                <w:rFonts w:ascii="Calibri" w:eastAsia="Times New Roman" w:hAnsi="Calibri" w:cs="Calibri"/>
                <w:color w:val="000000"/>
                <w:sz w:val="18"/>
                <w:szCs w:val="18"/>
              </w:rPr>
            </w:pPr>
            <w:r w:rsidRPr="00693E73">
              <w:rPr>
                <w:rFonts w:ascii="Calibri" w:eastAsia="Times New Roman" w:hAnsi="Calibri" w:cs="Calibri"/>
                <w:color w:val="000000"/>
                <w:sz w:val="18"/>
                <w:szCs w:val="18"/>
              </w:rPr>
              <w:t>14710.64</w:t>
            </w:r>
          </w:p>
        </w:tc>
        <w:tc>
          <w:tcPr>
            <w:tcW w:w="409"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0C0B6714" w14:textId="77777777" w:rsidR="008B787A" w:rsidRPr="00693E73" w:rsidRDefault="008B787A" w:rsidP="00D948DE">
            <w:pPr>
              <w:spacing w:line="480" w:lineRule="auto"/>
              <w:jc w:val="center"/>
              <w:rPr>
                <w:rFonts w:ascii="Calibri" w:eastAsia="Times New Roman" w:hAnsi="Calibri" w:cs="Calibri"/>
                <w:color w:val="000000"/>
                <w:sz w:val="18"/>
                <w:szCs w:val="18"/>
              </w:rPr>
            </w:pPr>
            <w:r w:rsidRPr="00693E73">
              <w:rPr>
                <w:rFonts w:ascii="Calibri" w:eastAsia="Times New Roman" w:hAnsi="Calibri" w:cs="Calibri"/>
                <w:color w:val="000000"/>
                <w:sz w:val="18"/>
                <w:szCs w:val="18"/>
              </w:rPr>
              <w:t>0.92</w:t>
            </w:r>
          </w:p>
        </w:tc>
        <w:tc>
          <w:tcPr>
            <w:tcW w:w="360" w:type="dxa"/>
            <w:tcBorders>
              <w:top w:val="single" w:sz="8" w:space="0" w:color="auto"/>
              <w:left w:val="nil"/>
              <w:bottom w:val="single" w:sz="4" w:space="0" w:color="auto"/>
              <w:right w:val="single" w:sz="4" w:space="0" w:color="auto"/>
            </w:tcBorders>
            <w:shd w:val="clear" w:color="auto" w:fill="auto"/>
            <w:noWrap/>
            <w:vAlign w:val="center"/>
            <w:hideMark/>
          </w:tcPr>
          <w:p w14:paraId="2C7E2C81" w14:textId="77777777" w:rsidR="008B787A" w:rsidRPr="00693E73" w:rsidRDefault="008B787A" w:rsidP="00D948DE">
            <w:pPr>
              <w:spacing w:line="480" w:lineRule="auto"/>
              <w:jc w:val="center"/>
              <w:rPr>
                <w:rFonts w:ascii="Calibri" w:eastAsia="Times New Roman" w:hAnsi="Calibri" w:cs="Calibri"/>
                <w:color w:val="000000"/>
                <w:sz w:val="18"/>
                <w:szCs w:val="18"/>
              </w:rPr>
            </w:pPr>
            <w:r w:rsidRPr="00693E73">
              <w:rPr>
                <w:rFonts w:ascii="Calibri" w:eastAsia="Times New Roman" w:hAnsi="Calibri" w:cs="Calibri"/>
                <w:color w:val="000000"/>
                <w:sz w:val="18"/>
                <w:szCs w:val="18"/>
              </w:rPr>
              <w:t>0</w:t>
            </w:r>
          </w:p>
        </w:tc>
        <w:tc>
          <w:tcPr>
            <w:tcW w:w="464" w:type="dxa"/>
            <w:tcBorders>
              <w:top w:val="single" w:sz="8" w:space="0" w:color="auto"/>
              <w:left w:val="nil"/>
              <w:bottom w:val="single" w:sz="4" w:space="0" w:color="auto"/>
              <w:right w:val="single" w:sz="4" w:space="0" w:color="auto"/>
            </w:tcBorders>
            <w:shd w:val="clear" w:color="auto" w:fill="auto"/>
            <w:noWrap/>
            <w:vAlign w:val="center"/>
            <w:hideMark/>
          </w:tcPr>
          <w:p w14:paraId="7F7E25B7" w14:textId="77777777" w:rsidR="008B787A" w:rsidRPr="00693E73" w:rsidRDefault="008B787A" w:rsidP="00D948DE">
            <w:pPr>
              <w:spacing w:line="480" w:lineRule="auto"/>
              <w:jc w:val="center"/>
              <w:rPr>
                <w:rFonts w:ascii="Calibri" w:eastAsia="Times New Roman" w:hAnsi="Calibri" w:cs="Calibri"/>
                <w:color w:val="000000"/>
                <w:sz w:val="18"/>
                <w:szCs w:val="18"/>
              </w:rPr>
            </w:pPr>
            <w:r w:rsidRPr="00693E73">
              <w:rPr>
                <w:rFonts w:ascii="Calibri" w:eastAsia="Times New Roman" w:hAnsi="Calibri" w:cs="Calibri"/>
                <w:color w:val="000000"/>
                <w:sz w:val="18"/>
                <w:szCs w:val="18"/>
              </w:rPr>
              <w:t>-0.71</w:t>
            </w:r>
          </w:p>
        </w:tc>
        <w:tc>
          <w:tcPr>
            <w:tcW w:w="409" w:type="dxa"/>
            <w:tcBorders>
              <w:top w:val="single" w:sz="8" w:space="0" w:color="auto"/>
              <w:left w:val="nil"/>
              <w:bottom w:val="single" w:sz="4" w:space="0" w:color="auto"/>
              <w:right w:val="single" w:sz="4" w:space="0" w:color="auto"/>
            </w:tcBorders>
            <w:shd w:val="clear" w:color="auto" w:fill="auto"/>
            <w:noWrap/>
            <w:vAlign w:val="center"/>
            <w:hideMark/>
          </w:tcPr>
          <w:p w14:paraId="2579E5AA" w14:textId="77777777" w:rsidR="008B787A" w:rsidRPr="00693E73" w:rsidRDefault="008B787A" w:rsidP="00D948DE">
            <w:pPr>
              <w:spacing w:line="480" w:lineRule="auto"/>
              <w:jc w:val="center"/>
              <w:rPr>
                <w:rFonts w:ascii="Calibri" w:eastAsia="Times New Roman" w:hAnsi="Calibri" w:cs="Calibri"/>
                <w:color w:val="000000"/>
                <w:sz w:val="18"/>
                <w:szCs w:val="18"/>
              </w:rPr>
            </w:pPr>
            <w:r w:rsidRPr="00693E73">
              <w:rPr>
                <w:rFonts w:ascii="Calibri" w:eastAsia="Times New Roman" w:hAnsi="Calibri" w:cs="Calibri"/>
                <w:color w:val="000000"/>
                <w:sz w:val="18"/>
                <w:szCs w:val="18"/>
              </w:rPr>
              <w:t>0.83</w:t>
            </w:r>
          </w:p>
        </w:tc>
        <w:tc>
          <w:tcPr>
            <w:tcW w:w="409" w:type="dxa"/>
            <w:tcBorders>
              <w:top w:val="single" w:sz="8" w:space="0" w:color="auto"/>
              <w:left w:val="nil"/>
              <w:bottom w:val="single" w:sz="4" w:space="0" w:color="auto"/>
              <w:right w:val="single" w:sz="4" w:space="0" w:color="auto"/>
            </w:tcBorders>
            <w:shd w:val="clear" w:color="auto" w:fill="auto"/>
            <w:noWrap/>
            <w:vAlign w:val="center"/>
            <w:hideMark/>
          </w:tcPr>
          <w:p w14:paraId="506C7682" w14:textId="77777777" w:rsidR="008B787A" w:rsidRPr="00693E73" w:rsidRDefault="008B787A" w:rsidP="00D948DE">
            <w:pPr>
              <w:spacing w:line="480" w:lineRule="auto"/>
              <w:jc w:val="center"/>
              <w:rPr>
                <w:rFonts w:ascii="Calibri" w:eastAsia="Times New Roman" w:hAnsi="Calibri" w:cs="Calibri"/>
                <w:color w:val="000000"/>
                <w:sz w:val="18"/>
                <w:szCs w:val="18"/>
              </w:rPr>
            </w:pPr>
            <w:r w:rsidRPr="00693E73">
              <w:rPr>
                <w:rFonts w:ascii="Calibri" w:eastAsia="Times New Roman" w:hAnsi="Calibri" w:cs="Calibri"/>
                <w:color w:val="000000"/>
                <w:sz w:val="18"/>
                <w:szCs w:val="18"/>
              </w:rPr>
              <w:t>0.90</w:t>
            </w:r>
          </w:p>
        </w:tc>
        <w:tc>
          <w:tcPr>
            <w:tcW w:w="774" w:type="dxa"/>
            <w:tcBorders>
              <w:top w:val="single" w:sz="8" w:space="0" w:color="auto"/>
              <w:left w:val="nil"/>
              <w:bottom w:val="single" w:sz="4" w:space="0" w:color="auto"/>
              <w:right w:val="single" w:sz="8" w:space="0" w:color="auto"/>
            </w:tcBorders>
            <w:shd w:val="clear" w:color="auto" w:fill="auto"/>
            <w:noWrap/>
            <w:vAlign w:val="center"/>
            <w:hideMark/>
          </w:tcPr>
          <w:p w14:paraId="6C0B4B91" w14:textId="77777777" w:rsidR="008B787A" w:rsidRPr="00693E73" w:rsidRDefault="008B787A" w:rsidP="00D948DE">
            <w:pPr>
              <w:spacing w:line="480" w:lineRule="auto"/>
              <w:jc w:val="center"/>
              <w:rPr>
                <w:rFonts w:ascii="Calibri" w:eastAsia="Times New Roman" w:hAnsi="Calibri" w:cs="Calibri"/>
                <w:color w:val="000000"/>
                <w:sz w:val="18"/>
                <w:szCs w:val="18"/>
              </w:rPr>
            </w:pPr>
            <w:r w:rsidRPr="00693E73">
              <w:rPr>
                <w:rFonts w:ascii="Calibri" w:eastAsia="Times New Roman" w:hAnsi="Calibri" w:cs="Calibri"/>
                <w:color w:val="000000"/>
                <w:sz w:val="18"/>
                <w:szCs w:val="18"/>
              </w:rPr>
              <w:t>14732.70</w:t>
            </w:r>
          </w:p>
        </w:tc>
        <w:tc>
          <w:tcPr>
            <w:tcW w:w="724"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39F3748B" w14:textId="77777777" w:rsidR="008B787A" w:rsidRPr="00693E73" w:rsidRDefault="008B787A" w:rsidP="00D948DE">
            <w:pPr>
              <w:spacing w:line="480" w:lineRule="auto"/>
              <w:jc w:val="center"/>
              <w:rPr>
                <w:rFonts w:ascii="Calibri" w:eastAsia="Times New Roman" w:hAnsi="Calibri" w:cs="Calibri"/>
                <w:color w:val="000000"/>
                <w:sz w:val="18"/>
                <w:szCs w:val="18"/>
              </w:rPr>
            </w:pPr>
            <w:r w:rsidRPr="00693E73">
              <w:rPr>
                <w:rFonts w:ascii="Calibri" w:eastAsia="Times New Roman" w:hAnsi="Calibri" w:cs="Calibri"/>
                <w:color w:val="000000"/>
                <w:sz w:val="18"/>
                <w:szCs w:val="18"/>
              </w:rPr>
              <w:t>-22.1</w:t>
            </w:r>
          </w:p>
        </w:tc>
        <w:tc>
          <w:tcPr>
            <w:tcW w:w="1099" w:type="dxa"/>
            <w:tcBorders>
              <w:top w:val="single" w:sz="8" w:space="0" w:color="auto"/>
              <w:left w:val="nil"/>
              <w:bottom w:val="single" w:sz="4" w:space="0" w:color="auto"/>
              <w:right w:val="single" w:sz="8" w:space="0" w:color="auto"/>
            </w:tcBorders>
            <w:shd w:val="clear" w:color="auto" w:fill="auto"/>
            <w:noWrap/>
            <w:vAlign w:val="center"/>
            <w:hideMark/>
          </w:tcPr>
          <w:p w14:paraId="4BCAD51B" w14:textId="6988C8AE" w:rsidR="008B787A" w:rsidRPr="00693E73" w:rsidRDefault="00BD7B4E" w:rsidP="00D948DE">
            <w:pPr>
              <w:spacing w:line="480" w:lineRule="auto"/>
              <w:jc w:val="center"/>
              <w:rPr>
                <w:rFonts w:ascii="Calibri" w:eastAsia="Times New Roman" w:hAnsi="Calibri" w:cs="Calibri"/>
                <w:color w:val="000000"/>
                <w:sz w:val="18"/>
                <w:szCs w:val="18"/>
              </w:rPr>
            </w:pPr>
            <w:r>
              <w:rPr>
                <w:rFonts w:ascii="Calibri" w:eastAsia="Times New Roman" w:hAnsi="Calibri" w:cs="Calibri"/>
                <w:color w:val="000000"/>
                <w:sz w:val="18"/>
                <w:szCs w:val="18"/>
              </w:rPr>
              <w:t>6.2*10</w:t>
            </w:r>
            <w:r>
              <w:rPr>
                <w:rFonts w:ascii="Calibri" w:eastAsia="Times New Roman" w:hAnsi="Calibri" w:cs="Calibri"/>
                <w:color w:val="000000"/>
                <w:sz w:val="18"/>
                <w:szCs w:val="18"/>
                <w:vertAlign w:val="superscript"/>
              </w:rPr>
              <w:t>5</w:t>
            </w:r>
          </w:p>
        </w:tc>
      </w:tr>
      <w:tr w:rsidR="005324F6" w:rsidRPr="007A1CB3" w14:paraId="0F4A7E10" w14:textId="77777777" w:rsidTr="00426AA5">
        <w:trPr>
          <w:trHeight w:val="288"/>
        </w:trPr>
        <w:tc>
          <w:tcPr>
            <w:tcW w:w="639" w:type="dxa"/>
            <w:tcBorders>
              <w:top w:val="nil"/>
              <w:left w:val="single" w:sz="8" w:space="0" w:color="auto"/>
              <w:bottom w:val="single" w:sz="4" w:space="0" w:color="auto"/>
              <w:right w:val="single" w:sz="8" w:space="0" w:color="auto"/>
            </w:tcBorders>
            <w:shd w:val="clear" w:color="auto" w:fill="auto"/>
            <w:noWrap/>
            <w:vAlign w:val="center"/>
            <w:hideMark/>
          </w:tcPr>
          <w:p w14:paraId="21B47E5B" w14:textId="77777777" w:rsidR="008B787A" w:rsidRPr="00693E73" w:rsidRDefault="008B787A" w:rsidP="00D948DE">
            <w:pPr>
              <w:spacing w:line="480" w:lineRule="auto"/>
              <w:jc w:val="center"/>
              <w:rPr>
                <w:rFonts w:ascii="Calibri" w:eastAsia="Times New Roman" w:hAnsi="Calibri" w:cs="Calibri"/>
                <w:color w:val="000000"/>
                <w:sz w:val="18"/>
                <w:szCs w:val="18"/>
              </w:rPr>
            </w:pPr>
            <w:r w:rsidRPr="00693E73">
              <w:rPr>
                <w:rFonts w:ascii="Calibri" w:eastAsia="Times New Roman" w:hAnsi="Calibri" w:cs="Calibri"/>
                <w:color w:val="000000"/>
                <w:sz w:val="18"/>
                <w:szCs w:val="18"/>
              </w:rPr>
              <w:t>2</w:t>
            </w:r>
          </w:p>
        </w:tc>
        <w:tc>
          <w:tcPr>
            <w:tcW w:w="443" w:type="dxa"/>
            <w:tcBorders>
              <w:top w:val="nil"/>
              <w:left w:val="nil"/>
              <w:bottom w:val="single" w:sz="4" w:space="0" w:color="auto"/>
              <w:right w:val="single" w:sz="4" w:space="0" w:color="auto"/>
            </w:tcBorders>
            <w:shd w:val="clear" w:color="auto" w:fill="auto"/>
            <w:noWrap/>
            <w:vAlign w:val="center"/>
            <w:hideMark/>
          </w:tcPr>
          <w:p w14:paraId="24601EC9" w14:textId="77777777" w:rsidR="008B787A" w:rsidRPr="00693E73" w:rsidRDefault="008B787A" w:rsidP="00D948DE">
            <w:pPr>
              <w:spacing w:line="480" w:lineRule="auto"/>
              <w:jc w:val="center"/>
              <w:rPr>
                <w:rFonts w:ascii="Calibri" w:eastAsia="Times New Roman" w:hAnsi="Calibri" w:cs="Calibri"/>
                <w:color w:val="000000"/>
                <w:sz w:val="18"/>
                <w:szCs w:val="18"/>
              </w:rPr>
            </w:pPr>
            <w:r w:rsidRPr="00693E73">
              <w:rPr>
                <w:rFonts w:ascii="Calibri" w:eastAsia="Times New Roman" w:hAnsi="Calibri" w:cs="Calibri"/>
                <w:color w:val="000000"/>
                <w:sz w:val="18"/>
                <w:szCs w:val="18"/>
              </w:rPr>
              <w:t>0.44</w:t>
            </w:r>
          </w:p>
        </w:tc>
        <w:tc>
          <w:tcPr>
            <w:tcW w:w="409" w:type="dxa"/>
            <w:tcBorders>
              <w:top w:val="nil"/>
              <w:left w:val="nil"/>
              <w:bottom w:val="single" w:sz="4" w:space="0" w:color="auto"/>
              <w:right w:val="single" w:sz="4" w:space="0" w:color="auto"/>
            </w:tcBorders>
            <w:shd w:val="clear" w:color="auto" w:fill="auto"/>
            <w:noWrap/>
            <w:vAlign w:val="center"/>
            <w:hideMark/>
          </w:tcPr>
          <w:p w14:paraId="1689C190" w14:textId="77777777" w:rsidR="008B787A" w:rsidRPr="00693E73" w:rsidRDefault="008B787A" w:rsidP="00D948DE">
            <w:pPr>
              <w:spacing w:line="480" w:lineRule="auto"/>
              <w:jc w:val="center"/>
              <w:rPr>
                <w:rFonts w:ascii="Calibri" w:eastAsia="Times New Roman" w:hAnsi="Calibri" w:cs="Calibri"/>
                <w:color w:val="000000"/>
                <w:sz w:val="18"/>
                <w:szCs w:val="18"/>
              </w:rPr>
            </w:pPr>
            <w:r w:rsidRPr="00693E73">
              <w:rPr>
                <w:rFonts w:ascii="Calibri" w:eastAsia="Times New Roman" w:hAnsi="Calibri" w:cs="Calibri"/>
                <w:color w:val="000000"/>
                <w:sz w:val="18"/>
                <w:szCs w:val="18"/>
              </w:rPr>
              <w:t>0.18</w:t>
            </w:r>
          </w:p>
        </w:tc>
        <w:tc>
          <w:tcPr>
            <w:tcW w:w="360" w:type="dxa"/>
            <w:tcBorders>
              <w:top w:val="nil"/>
              <w:left w:val="nil"/>
              <w:bottom w:val="single" w:sz="4" w:space="0" w:color="auto"/>
              <w:right w:val="single" w:sz="4" w:space="0" w:color="auto"/>
            </w:tcBorders>
            <w:shd w:val="clear" w:color="auto" w:fill="auto"/>
            <w:noWrap/>
            <w:vAlign w:val="center"/>
            <w:hideMark/>
          </w:tcPr>
          <w:p w14:paraId="3DD38229" w14:textId="77777777" w:rsidR="008B787A" w:rsidRPr="00693E73" w:rsidRDefault="008B787A" w:rsidP="00D948DE">
            <w:pPr>
              <w:spacing w:line="480" w:lineRule="auto"/>
              <w:jc w:val="center"/>
              <w:rPr>
                <w:rFonts w:ascii="Calibri" w:eastAsia="Times New Roman" w:hAnsi="Calibri" w:cs="Calibri"/>
                <w:color w:val="000000"/>
                <w:sz w:val="18"/>
                <w:szCs w:val="18"/>
              </w:rPr>
            </w:pPr>
            <w:r w:rsidRPr="00693E73">
              <w:rPr>
                <w:rFonts w:ascii="Calibri" w:eastAsia="Times New Roman" w:hAnsi="Calibri" w:cs="Calibri"/>
                <w:color w:val="000000"/>
                <w:sz w:val="18"/>
                <w:szCs w:val="18"/>
              </w:rPr>
              <w:t>0</w:t>
            </w:r>
          </w:p>
        </w:tc>
        <w:tc>
          <w:tcPr>
            <w:tcW w:w="464" w:type="dxa"/>
            <w:tcBorders>
              <w:top w:val="nil"/>
              <w:left w:val="nil"/>
              <w:bottom w:val="single" w:sz="4" w:space="0" w:color="auto"/>
              <w:right w:val="single" w:sz="4" w:space="0" w:color="auto"/>
            </w:tcBorders>
            <w:shd w:val="clear" w:color="auto" w:fill="auto"/>
            <w:noWrap/>
            <w:vAlign w:val="center"/>
            <w:hideMark/>
          </w:tcPr>
          <w:p w14:paraId="7635385B" w14:textId="77777777" w:rsidR="008B787A" w:rsidRPr="00693E73" w:rsidRDefault="008B787A" w:rsidP="00D948DE">
            <w:pPr>
              <w:spacing w:line="480" w:lineRule="auto"/>
              <w:jc w:val="center"/>
              <w:rPr>
                <w:rFonts w:ascii="Calibri" w:eastAsia="Times New Roman" w:hAnsi="Calibri" w:cs="Calibri"/>
                <w:color w:val="000000"/>
                <w:sz w:val="18"/>
                <w:szCs w:val="18"/>
              </w:rPr>
            </w:pPr>
            <w:r w:rsidRPr="00693E73">
              <w:rPr>
                <w:rFonts w:ascii="Calibri" w:eastAsia="Times New Roman" w:hAnsi="Calibri" w:cs="Calibri"/>
                <w:color w:val="000000"/>
                <w:sz w:val="18"/>
                <w:szCs w:val="18"/>
              </w:rPr>
              <w:t>-1.39</w:t>
            </w:r>
          </w:p>
        </w:tc>
        <w:tc>
          <w:tcPr>
            <w:tcW w:w="409" w:type="dxa"/>
            <w:tcBorders>
              <w:top w:val="nil"/>
              <w:left w:val="nil"/>
              <w:bottom w:val="single" w:sz="4" w:space="0" w:color="auto"/>
              <w:right w:val="single" w:sz="4" w:space="0" w:color="auto"/>
            </w:tcBorders>
            <w:shd w:val="clear" w:color="auto" w:fill="auto"/>
            <w:noWrap/>
            <w:vAlign w:val="center"/>
            <w:hideMark/>
          </w:tcPr>
          <w:p w14:paraId="72BFF69D" w14:textId="77777777" w:rsidR="008B787A" w:rsidRPr="00693E73" w:rsidRDefault="008B787A" w:rsidP="00D948DE">
            <w:pPr>
              <w:spacing w:line="480" w:lineRule="auto"/>
              <w:jc w:val="center"/>
              <w:rPr>
                <w:rFonts w:ascii="Calibri" w:eastAsia="Times New Roman" w:hAnsi="Calibri" w:cs="Calibri"/>
                <w:color w:val="000000"/>
                <w:sz w:val="18"/>
                <w:szCs w:val="18"/>
              </w:rPr>
            </w:pPr>
            <w:r w:rsidRPr="00693E73">
              <w:rPr>
                <w:rFonts w:ascii="Calibri" w:eastAsia="Times New Roman" w:hAnsi="Calibri" w:cs="Calibri"/>
                <w:color w:val="000000"/>
                <w:sz w:val="18"/>
                <w:szCs w:val="18"/>
              </w:rPr>
              <w:t>1.09</w:t>
            </w:r>
          </w:p>
        </w:tc>
        <w:tc>
          <w:tcPr>
            <w:tcW w:w="409" w:type="dxa"/>
            <w:tcBorders>
              <w:top w:val="nil"/>
              <w:left w:val="nil"/>
              <w:bottom w:val="single" w:sz="4" w:space="0" w:color="auto"/>
              <w:right w:val="single" w:sz="4" w:space="0" w:color="auto"/>
            </w:tcBorders>
            <w:shd w:val="clear" w:color="auto" w:fill="auto"/>
            <w:noWrap/>
            <w:vAlign w:val="center"/>
            <w:hideMark/>
          </w:tcPr>
          <w:p w14:paraId="4964D31B" w14:textId="77777777" w:rsidR="008B787A" w:rsidRPr="00693E73" w:rsidRDefault="008B787A" w:rsidP="00D948DE">
            <w:pPr>
              <w:spacing w:line="480" w:lineRule="auto"/>
              <w:jc w:val="center"/>
              <w:rPr>
                <w:rFonts w:ascii="Calibri" w:eastAsia="Times New Roman" w:hAnsi="Calibri" w:cs="Calibri"/>
                <w:color w:val="000000"/>
                <w:sz w:val="18"/>
                <w:szCs w:val="18"/>
              </w:rPr>
            </w:pPr>
            <w:r w:rsidRPr="00693E73">
              <w:rPr>
                <w:rFonts w:ascii="Calibri" w:eastAsia="Times New Roman" w:hAnsi="Calibri" w:cs="Calibri"/>
                <w:color w:val="000000"/>
                <w:sz w:val="18"/>
                <w:szCs w:val="18"/>
              </w:rPr>
              <w:t>1.57</w:t>
            </w:r>
          </w:p>
        </w:tc>
        <w:tc>
          <w:tcPr>
            <w:tcW w:w="774" w:type="dxa"/>
            <w:tcBorders>
              <w:top w:val="nil"/>
              <w:left w:val="nil"/>
              <w:bottom w:val="single" w:sz="4" w:space="0" w:color="auto"/>
              <w:right w:val="single" w:sz="8" w:space="0" w:color="auto"/>
            </w:tcBorders>
            <w:shd w:val="clear" w:color="auto" w:fill="auto"/>
            <w:noWrap/>
            <w:vAlign w:val="center"/>
            <w:hideMark/>
          </w:tcPr>
          <w:p w14:paraId="3C038634" w14:textId="77777777" w:rsidR="008B787A" w:rsidRPr="00693E73" w:rsidRDefault="008B787A" w:rsidP="00D948DE">
            <w:pPr>
              <w:spacing w:line="480" w:lineRule="auto"/>
              <w:jc w:val="center"/>
              <w:rPr>
                <w:rFonts w:ascii="Calibri" w:eastAsia="Times New Roman" w:hAnsi="Calibri" w:cs="Calibri"/>
                <w:color w:val="000000"/>
                <w:sz w:val="18"/>
                <w:szCs w:val="18"/>
              </w:rPr>
            </w:pPr>
            <w:r w:rsidRPr="00693E73">
              <w:rPr>
                <w:rFonts w:ascii="Calibri" w:eastAsia="Times New Roman" w:hAnsi="Calibri" w:cs="Calibri"/>
                <w:color w:val="000000"/>
                <w:sz w:val="18"/>
                <w:szCs w:val="18"/>
              </w:rPr>
              <w:t>13546.31</w:t>
            </w:r>
          </w:p>
        </w:tc>
        <w:tc>
          <w:tcPr>
            <w:tcW w:w="409"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35A6F69D" w14:textId="77777777" w:rsidR="008B787A" w:rsidRPr="00693E73" w:rsidRDefault="008B787A" w:rsidP="00D948DE">
            <w:pPr>
              <w:spacing w:line="480" w:lineRule="auto"/>
              <w:jc w:val="center"/>
              <w:rPr>
                <w:rFonts w:ascii="Calibri" w:eastAsia="Times New Roman" w:hAnsi="Calibri" w:cs="Calibri"/>
                <w:color w:val="000000"/>
                <w:sz w:val="18"/>
                <w:szCs w:val="18"/>
              </w:rPr>
            </w:pPr>
            <w:r w:rsidRPr="00693E73">
              <w:rPr>
                <w:rFonts w:ascii="Calibri" w:eastAsia="Times New Roman" w:hAnsi="Calibri" w:cs="Calibri"/>
                <w:color w:val="000000"/>
                <w:sz w:val="18"/>
                <w:szCs w:val="18"/>
              </w:rPr>
              <w:t>0.01</w:t>
            </w:r>
          </w:p>
        </w:tc>
        <w:tc>
          <w:tcPr>
            <w:tcW w:w="360" w:type="dxa"/>
            <w:tcBorders>
              <w:top w:val="single" w:sz="4" w:space="0" w:color="auto"/>
              <w:left w:val="nil"/>
              <w:bottom w:val="single" w:sz="4" w:space="0" w:color="auto"/>
              <w:right w:val="single" w:sz="4" w:space="0" w:color="auto"/>
            </w:tcBorders>
            <w:shd w:val="clear" w:color="auto" w:fill="auto"/>
            <w:noWrap/>
            <w:vAlign w:val="center"/>
            <w:hideMark/>
          </w:tcPr>
          <w:p w14:paraId="614FB97A" w14:textId="77777777" w:rsidR="008B787A" w:rsidRPr="00693E73" w:rsidRDefault="008B787A" w:rsidP="00D948DE">
            <w:pPr>
              <w:spacing w:line="480" w:lineRule="auto"/>
              <w:jc w:val="center"/>
              <w:rPr>
                <w:rFonts w:ascii="Calibri" w:eastAsia="Times New Roman" w:hAnsi="Calibri" w:cs="Calibri"/>
                <w:color w:val="000000"/>
                <w:sz w:val="18"/>
                <w:szCs w:val="18"/>
              </w:rPr>
            </w:pPr>
            <w:r w:rsidRPr="00693E73">
              <w:rPr>
                <w:rFonts w:ascii="Calibri" w:eastAsia="Times New Roman" w:hAnsi="Calibri" w:cs="Calibri"/>
                <w:color w:val="000000"/>
                <w:sz w:val="18"/>
                <w:szCs w:val="18"/>
              </w:rPr>
              <w:t>0</w:t>
            </w:r>
          </w:p>
        </w:tc>
        <w:tc>
          <w:tcPr>
            <w:tcW w:w="464" w:type="dxa"/>
            <w:tcBorders>
              <w:top w:val="single" w:sz="4" w:space="0" w:color="auto"/>
              <w:left w:val="nil"/>
              <w:bottom w:val="single" w:sz="4" w:space="0" w:color="auto"/>
              <w:right w:val="single" w:sz="4" w:space="0" w:color="auto"/>
            </w:tcBorders>
            <w:shd w:val="clear" w:color="auto" w:fill="auto"/>
            <w:noWrap/>
            <w:vAlign w:val="center"/>
            <w:hideMark/>
          </w:tcPr>
          <w:p w14:paraId="4A8B725C" w14:textId="77777777" w:rsidR="008B787A" w:rsidRPr="00693E73" w:rsidRDefault="008B787A" w:rsidP="00D948DE">
            <w:pPr>
              <w:spacing w:line="480" w:lineRule="auto"/>
              <w:jc w:val="center"/>
              <w:rPr>
                <w:rFonts w:ascii="Calibri" w:eastAsia="Times New Roman" w:hAnsi="Calibri" w:cs="Calibri"/>
                <w:color w:val="000000"/>
                <w:sz w:val="18"/>
                <w:szCs w:val="18"/>
              </w:rPr>
            </w:pPr>
            <w:r w:rsidRPr="00693E73">
              <w:rPr>
                <w:rFonts w:ascii="Calibri" w:eastAsia="Times New Roman" w:hAnsi="Calibri" w:cs="Calibri"/>
                <w:color w:val="000000"/>
                <w:sz w:val="18"/>
                <w:szCs w:val="18"/>
              </w:rPr>
              <w:t>-1.38</w:t>
            </w:r>
          </w:p>
        </w:tc>
        <w:tc>
          <w:tcPr>
            <w:tcW w:w="409" w:type="dxa"/>
            <w:tcBorders>
              <w:top w:val="single" w:sz="4" w:space="0" w:color="auto"/>
              <w:left w:val="nil"/>
              <w:bottom w:val="single" w:sz="4" w:space="0" w:color="auto"/>
              <w:right w:val="single" w:sz="4" w:space="0" w:color="auto"/>
            </w:tcBorders>
            <w:shd w:val="clear" w:color="auto" w:fill="auto"/>
            <w:noWrap/>
            <w:vAlign w:val="center"/>
            <w:hideMark/>
          </w:tcPr>
          <w:p w14:paraId="62AF029F" w14:textId="77777777" w:rsidR="008B787A" w:rsidRPr="00693E73" w:rsidRDefault="008B787A" w:rsidP="00D948DE">
            <w:pPr>
              <w:spacing w:line="480" w:lineRule="auto"/>
              <w:jc w:val="center"/>
              <w:rPr>
                <w:rFonts w:ascii="Calibri" w:eastAsia="Times New Roman" w:hAnsi="Calibri" w:cs="Calibri"/>
                <w:color w:val="000000"/>
                <w:sz w:val="18"/>
                <w:szCs w:val="18"/>
              </w:rPr>
            </w:pPr>
            <w:r w:rsidRPr="00693E73">
              <w:rPr>
                <w:rFonts w:ascii="Calibri" w:eastAsia="Times New Roman" w:hAnsi="Calibri" w:cs="Calibri"/>
                <w:color w:val="000000"/>
                <w:sz w:val="18"/>
                <w:szCs w:val="18"/>
              </w:rPr>
              <w:t>1.05</w:t>
            </w:r>
          </w:p>
        </w:tc>
        <w:tc>
          <w:tcPr>
            <w:tcW w:w="409" w:type="dxa"/>
            <w:tcBorders>
              <w:top w:val="single" w:sz="4" w:space="0" w:color="auto"/>
              <w:left w:val="nil"/>
              <w:bottom w:val="single" w:sz="4" w:space="0" w:color="auto"/>
              <w:right w:val="single" w:sz="4" w:space="0" w:color="auto"/>
            </w:tcBorders>
            <w:shd w:val="clear" w:color="auto" w:fill="auto"/>
            <w:noWrap/>
            <w:vAlign w:val="center"/>
            <w:hideMark/>
          </w:tcPr>
          <w:p w14:paraId="6F046760" w14:textId="77777777" w:rsidR="008B787A" w:rsidRPr="00693E73" w:rsidRDefault="008B787A" w:rsidP="00D948DE">
            <w:pPr>
              <w:spacing w:line="480" w:lineRule="auto"/>
              <w:jc w:val="center"/>
              <w:rPr>
                <w:rFonts w:ascii="Calibri" w:eastAsia="Times New Roman" w:hAnsi="Calibri" w:cs="Calibri"/>
                <w:color w:val="000000"/>
                <w:sz w:val="18"/>
                <w:szCs w:val="18"/>
              </w:rPr>
            </w:pPr>
            <w:r w:rsidRPr="00693E73">
              <w:rPr>
                <w:rFonts w:ascii="Calibri" w:eastAsia="Times New Roman" w:hAnsi="Calibri" w:cs="Calibri"/>
                <w:color w:val="000000"/>
                <w:sz w:val="18"/>
                <w:szCs w:val="18"/>
              </w:rPr>
              <w:t>1.57</w:t>
            </w:r>
          </w:p>
        </w:tc>
        <w:tc>
          <w:tcPr>
            <w:tcW w:w="774" w:type="dxa"/>
            <w:tcBorders>
              <w:top w:val="single" w:sz="4" w:space="0" w:color="auto"/>
              <w:left w:val="nil"/>
              <w:bottom w:val="single" w:sz="4" w:space="0" w:color="auto"/>
              <w:right w:val="single" w:sz="8" w:space="0" w:color="auto"/>
            </w:tcBorders>
            <w:shd w:val="clear" w:color="auto" w:fill="auto"/>
            <w:noWrap/>
            <w:vAlign w:val="center"/>
            <w:hideMark/>
          </w:tcPr>
          <w:p w14:paraId="16FEB102" w14:textId="77777777" w:rsidR="008B787A" w:rsidRPr="00693E73" w:rsidRDefault="008B787A" w:rsidP="00D948DE">
            <w:pPr>
              <w:spacing w:line="480" w:lineRule="auto"/>
              <w:jc w:val="center"/>
              <w:rPr>
                <w:rFonts w:ascii="Calibri" w:eastAsia="Times New Roman" w:hAnsi="Calibri" w:cs="Calibri"/>
                <w:color w:val="000000"/>
                <w:sz w:val="18"/>
                <w:szCs w:val="18"/>
              </w:rPr>
            </w:pPr>
            <w:r w:rsidRPr="00693E73">
              <w:rPr>
                <w:rFonts w:ascii="Calibri" w:eastAsia="Times New Roman" w:hAnsi="Calibri" w:cs="Calibri"/>
                <w:color w:val="000000"/>
                <w:sz w:val="18"/>
                <w:szCs w:val="18"/>
              </w:rPr>
              <w:t>13555.83</w:t>
            </w:r>
          </w:p>
        </w:tc>
        <w:tc>
          <w:tcPr>
            <w:tcW w:w="724" w:type="dxa"/>
            <w:tcBorders>
              <w:top w:val="nil"/>
              <w:left w:val="single" w:sz="8" w:space="0" w:color="auto"/>
              <w:bottom w:val="single" w:sz="4" w:space="0" w:color="auto"/>
              <w:right w:val="single" w:sz="4" w:space="0" w:color="auto"/>
            </w:tcBorders>
            <w:shd w:val="clear" w:color="auto" w:fill="auto"/>
            <w:noWrap/>
            <w:vAlign w:val="center"/>
            <w:hideMark/>
          </w:tcPr>
          <w:p w14:paraId="043F80E0" w14:textId="77777777" w:rsidR="008B787A" w:rsidRPr="00693E73" w:rsidRDefault="008B787A" w:rsidP="00D948DE">
            <w:pPr>
              <w:spacing w:line="480" w:lineRule="auto"/>
              <w:jc w:val="center"/>
              <w:rPr>
                <w:rFonts w:ascii="Calibri" w:eastAsia="Times New Roman" w:hAnsi="Calibri" w:cs="Calibri"/>
                <w:color w:val="000000"/>
                <w:sz w:val="18"/>
                <w:szCs w:val="18"/>
              </w:rPr>
            </w:pPr>
            <w:r w:rsidRPr="00693E73">
              <w:rPr>
                <w:rFonts w:ascii="Calibri" w:eastAsia="Times New Roman" w:hAnsi="Calibri" w:cs="Calibri"/>
                <w:color w:val="000000"/>
                <w:sz w:val="18"/>
                <w:szCs w:val="18"/>
              </w:rPr>
              <w:t>-9.5</w:t>
            </w:r>
          </w:p>
        </w:tc>
        <w:tc>
          <w:tcPr>
            <w:tcW w:w="1099" w:type="dxa"/>
            <w:tcBorders>
              <w:top w:val="nil"/>
              <w:left w:val="nil"/>
              <w:bottom w:val="single" w:sz="4" w:space="0" w:color="auto"/>
              <w:right w:val="single" w:sz="8" w:space="0" w:color="auto"/>
            </w:tcBorders>
            <w:shd w:val="clear" w:color="auto" w:fill="auto"/>
            <w:noWrap/>
            <w:vAlign w:val="center"/>
            <w:hideMark/>
          </w:tcPr>
          <w:p w14:paraId="133FBD36" w14:textId="77777777" w:rsidR="008B787A" w:rsidRPr="00693E73" w:rsidRDefault="008B787A" w:rsidP="00D948DE">
            <w:pPr>
              <w:spacing w:line="480" w:lineRule="auto"/>
              <w:jc w:val="center"/>
              <w:rPr>
                <w:rFonts w:ascii="Calibri" w:eastAsia="Times New Roman" w:hAnsi="Calibri" w:cs="Calibri"/>
                <w:color w:val="000000"/>
                <w:sz w:val="18"/>
                <w:szCs w:val="18"/>
              </w:rPr>
            </w:pPr>
            <w:r w:rsidRPr="00693E73">
              <w:rPr>
                <w:rFonts w:ascii="Calibri" w:eastAsia="Times New Roman" w:hAnsi="Calibri" w:cs="Calibri"/>
                <w:color w:val="000000"/>
                <w:sz w:val="18"/>
                <w:szCs w:val="18"/>
              </w:rPr>
              <w:t>117.0</w:t>
            </w:r>
          </w:p>
        </w:tc>
      </w:tr>
      <w:tr w:rsidR="005324F6" w:rsidRPr="007A1CB3" w14:paraId="4E71E02B" w14:textId="77777777" w:rsidTr="00426AA5">
        <w:trPr>
          <w:trHeight w:val="288"/>
        </w:trPr>
        <w:tc>
          <w:tcPr>
            <w:tcW w:w="639" w:type="dxa"/>
            <w:tcBorders>
              <w:top w:val="nil"/>
              <w:left w:val="single" w:sz="8" w:space="0" w:color="auto"/>
              <w:bottom w:val="single" w:sz="4" w:space="0" w:color="auto"/>
              <w:right w:val="single" w:sz="8" w:space="0" w:color="auto"/>
            </w:tcBorders>
            <w:shd w:val="clear" w:color="auto" w:fill="auto"/>
            <w:noWrap/>
            <w:vAlign w:val="center"/>
            <w:hideMark/>
          </w:tcPr>
          <w:p w14:paraId="37D2DD31" w14:textId="77777777" w:rsidR="008B787A" w:rsidRPr="00693E73" w:rsidRDefault="008B787A" w:rsidP="00D948DE">
            <w:pPr>
              <w:spacing w:line="480" w:lineRule="auto"/>
              <w:jc w:val="center"/>
              <w:rPr>
                <w:rFonts w:ascii="Calibri" w:eastAsia="Times New Roman" w:hAnsi="Calibri" w:cs="Calibri"/>
                <w:color w:val="000000"/>
                <w:sz w:val="18"/>
                <w:szCs w:val="18"/>
              </w:rPr>
            </w:pPr>
            <w:r w:rsidRPr="00693E73">
              <w:rPr>
                <w:rFonts w:ascii="Calibri" w:eastAsia="Times New Roman" w:hAnsi="Calibri" w:cs="Calibri"/>
                <w:color w:val="000000"/>
                <w:sz w:val="18"/>
                <w:szCs w:val="18"/>
              </w:rPr>
              <w:t>3</w:t>
            </w:r>
          </w:p>
        </w:tc>
        <w:tc>
          <w:tcPr>
            <w:tcW w:w="443" w:type="dxa"/>
            <w:tcBorders>
              <w:top w:val="nil"/>
              <w:left w:val="nil"/>
              <w:bottom w:val="single" w:sz="4" w:space="0" w:color="auto"/>
              <w:right w:val="single" w:sz="4" w:space="0" w:color="auto"/>
            </w:tcBorders>
            <w:shd w:val="clear" w:color="auto" w:fill="auto"/>
            <w:noWrap/>
            <w:vAlign w:val="center"/>
            <w:hideMark/>
          </w:tcPr>
          <w:p w14:paraId="2F7C6F2D" w14:textId="77777777" w:rsidR="008B787A" w:rsidRPr="00693E73" w:rsidRDefault="008B787A" w:rsidP="00D948DE">
            <w:pPr>
              <w:spacing w:line="480" w:lineRule="auto"/>
              <w:jc w:val="center"/>
              <w:rPr>
                <w:rFonts w:ascii="Calibri" w:eastAsia="Times New Roman" w:hAnsi="Calibri" w:cs="Calibri"/>
                <w:color w:val="000000"/>
                <w:sz w:val="18"/>
                <w:szCs w:val="18"/>
              </w:rPr>
            </w:pPr>
            <w:r w:rsidRPr="00693E73">
              <w:rPr>
                <w:rFonts w:ascii="Calibri" w:eastAsia="Times New Roman" w:hAnsi="Calibri" w:cs="Calibri"/>
                <w:color w:val="000000"/>
                <w:sz w:val="18"/>
                <w:szCs w:val="18"/>
              </w:rPr>
              <w:t>0.25</w:t>
            </w:r>
          </w:p>
        </w:tc>
        <w:tc>
          <w:tcPr>
            <w:tcW w:w="409" w:type="dxa"/>
            <w:tcBorders>
              <w:top w:val="nil"/>
              <w:left w:val="nil"/>
              <w:bottom w:val="single" w:sz="4" w:space="0" w:color="auto"/>
              <w:right w:val="single" w:sz="4" w:space="0" w:color="auto"/>
            </w:tcBorders>
            <w:shd w:val="clear" w:color="auto" w:fill="auto"/>
            <w:noWrap/>
            <w:vAlign w:val="center"/>
            <w:hideMark/>
          </w:tcPr>
          <w:p w14:paraId="53C1EB09" w14:textId="77777777" w:rsidR="008B787A" w:rsidRPr="00693E73" w:rsidRDefault="008B787A" w:rsidP="00D948DE">
            <w:pPr>
              <w:spacing w:line="480" w:lineRule="auto"/>
              <w:jc w:val="center"/>
              <w:rPr>
                <w:rFonts w:ascii="Calibri" w:eastAsia="Times New Roman" w:hAnsi="Calibri" w:cs="Calibri"/>
                <w:color w:val="000000"/>
                <w:sz w:val="18"/>
                <w:szCs w:val="18"/>
              </w:rPr>
            </w:pPr>
            <w:r w:rsidRPr="00693E73">
              <w:rPr>
                <w:rFonts w:ascii="Calibri" w:eastAsia="Times New Roman" w:hAnsi="Calibri" w:cs="Calibri"/>
                <w:color w:val="000000"/>
                <w:sz w:val="18"/>
                <w:szCs w:val="18"/>
              </w:rPr>
              <w:t>0.11</w:t>
            </w:r>
          </w:p>
        </w:tc>
        <w:tc>
          <w:tcPr>
            <w:tcW w:w="360" w:type="dxa"/>
            <w:tcBorders>
              <w:top w:val="nil"/>
              <w:left w:val="nil"/>
              <w:bottom w:val="single" w:sz="4" w:space="0" w:color="auto"/>
              <w:right w:val="single" w:sz="4" w:space="0" w:color="auto"/>
            </w:tcBorders>
            <w:shd w:val="clear" w:color="auto" w:fill="auto"/>
            <w:noWrap/>
            <w:vAlign w:val="center"/>
            <w:hideMark/>
          </w:tcPr>
          <w:p w14:paraId="5162A25E" w14:textId="77777777" w:rsidR="008B787A" w:rsidRPr="00693E73" w:rsidRDefault="008B787A" w:rsidP="00D948DE">
            <w:pPr>
              <w:spacing w:line="480" w:lineRule="auto"/>
              <w:jc w:val="center"/>
              <w:rPr>
                <w:rFonts w:ascii="Calibri" w:eastAsia="Times New Roman" w:hAnsi="Calibri" w:cs="Calibri"/>
                <w:color w:val="000000"/>
                <w:sz w:val="18"/>
                <w:szCs w:val="18"/>
              </w:rPr>
            </w:pPr>
            <w:r w:rsidRPr="00693E73">
              <w:rPr>
                <w:rFonts w:ascii="Calibri" w:eastAsia="Times New Roman" w:hAnsi="Calibri" w:cs="Calibri"/>
                <w:color w:val="000000"/>
                <w:sz w:val="18"/>
                <w:szCs w:val="18"/>
              </w:rPr>
              <w:t>0</w:t>
            </w:r>
          </w:p>
        </w:tc>
        <w:tc>
          <w:tcPr>
            <w:tcW w:w="464" w:type="dxa"/>
            <w:tcBorders>
              <w:top w:val="nil"/>
              <w:left w:val="nil"/>
              <w:bottom w:val="single" w:sz="4" w:space="0" w:color="auto"/>
              <w:right w:val="single" w:sz="4" w:space="0" w:color="auto"/>
            </w:tcBorders>
            <w:shd w:val="clear" w:color="auto" w:fill="auto"/>
            <w:noWrap/>
            <w:vAlign w:val="center"/>
            <w:hideMark/>
          </w:tcPr>
          <w:p w14:paraId="4FFBD1C8" w14:textId="77777777" w:rsidR="008B787A" w:rsidRPr="00693E73" w:rsidRDefault="008B787A" w:rsidP="00D948DE">
            <w:pPr>
              <w:spacing w:line="480" w:lineRule="auto"/>
              <w:jc w:val="center"/>
              <w:rPr>
                <w:rFonts w:ascii="Calibri" w:eastAsia="Times New Roman" w:hAnsi="Calibri" w:cs="Calibri"/>
                <w:color w:val="000000"/>
                <w:sz w:val="18"/>
                <w:szCs w:val="18"/>
              </w:rPr>
            </w:pPr>
            <w:r w:rsidRPr="00693E73">
              <w:rPr>
                <w:rFonts w:ascii="Calibri" w:eastAsia="Times New Roman" w:hAnsi="Calibri" w:cs="Calibri"/>
                <w:color w:val="000000"/>
                <w:sz w:val="18"/>
                <w:szCs w:val="18"/>
              </w:rPr>
              <w:t>-0.11</w:t>
            </w:r>
          </w:p>
        </w:tc>
        <w:tc>
          <w:tcPr>
            <w:tcW w:w="409" w:type="dxa"/>
            <w:tcBorders>
              <w:top w:val="nil"/>
              <w:left w:val="nil"/>
              <w:bottom w:val="single" w:sz="4" w:space="0" w:color="auto"/>
              <w:right w:val="single" w:sz="4" w:space="0" w:color="auto"/>
            </w:tcBorders>
            <w:shd w:val="clear" w:color="auto" w:fill="auto"/>
            <w:noWrap/>
            <w:vAlign w:val="center"/>
            <w:hideMark/>
          </w:tcPr>
          <w:p w14:paraId="0AABB323" w14:textId="77777777" w:rsidR="008B787A" w:rsidRPr="00693E73" w:rsidRDefault="008B787A" w:rsidP="00D948DE">
            <w:pPr>
              <w:spacing w:line="480" w:lineRule="auto"/>
              <w:jc w:val="center"/>
              <w:rPr>
                <w:rFonts w:ascii="Calibri" w:eastAsia="Times New Roman" w:hAnsi="Calibri" w:cs="Calibri"/>
                <w:color w:val="000000"/>
                <w:sz w:val="18"/>
                <w:szCs w:val="18"/>
              </w:rPr>
            </w:pPr>
            <w:r w:rsidRPr="00693E73">
              <w:rPr>
                <w:rFonts w:ascii="Calibri" w:eastAsia="Times New Roman" w:hAnsi="Calibri" w:cs="Calibri"/>
                <w:color w:val="000000"/>
                <w:sz w:val="18"/>
                <w:szCs w:val="18"/>
              </w:rPr>
              <w:t>0.03</w:t>
            </w:r>
          </w:p>
        </w:tc>
        <w:tc>
          <w:tcPr>
            <w:tcW w:w="409" w:type="dxa"/>
            <w:tcBorders>
              <w:top w:val="nil"/>
              <w:left w:val="nil"/>
              <w:bottom w:val="single" w:sz="4" w:space="0" w:color="auto"/>
              <w:right w:val="single" w:sz="4" w:space="0" w:color="auto"/>
            </w:tcBorders>
            <w:shd w:val="clear" w:color="auto" w:fill="auto"/>
            <w:noWrap/>
            <w:vAlign w:val="center"/>
            <w:hideMark/>
          </w:tcPr>
          <w:p w14:paraId="7803F225" w14:textId="77777777" w:rsidR="008B787A" w:rsidRPr="00693E73" w:rsidRDefault="008B787A" w:rsidP="00D948DE">
            <w:pPr>
              <w:spacing w:line="480" w:lineRule="auto"/>
              <w:jc w:val="center"/>
              <w:rPr>
                <w:rFonts w:ascii="Calibri" w:eastAsia="Times New Roman" w:hAnsi="Calibri" w:cs="Calibri"/>
                <w:color w:val="000000"/>
                <w:sz w:val="18"/>
                <w:szCs w:val="18"/>
              </w:rPr>
            </w:pPr>
            <w:r w:rsidRPr="00693E73">
              <w:rPr>
                <w:rFonts w:ascii="Calibri" w:eastAsia="Times New Roman" w:hAnsi="Calibri" w:cs="Calibri"/>
                <w:color w:val="000000"/>
                <w:sz w:val="18"/>
                <w:szCs w:val="18"/>
              </w:rPr>
              <w:t>0.19</w:t>
            </w:r>
          </w:p>
        </w:tc>
        <w:tc>
          <w:tcPr>
            <w:tcW w:w="774" w:type="dxa"/>
            <w:tcBorders>
              <w:top w:val="nil"/>
              <w:left w:val="nil"/>
              <w:bottom w:val="single" w:sz="4" w:space="0" w:color="auto"/>
              <w:right w:val="single" w:sz="8" w:space="0" w:color="auto"/>
            </w:tcBorders>
            <w:shd w:val="clear" w:color="auto" w:fill="auto"/>
            <w:noWrap/>
            <w:vAlign w:val="center"/>
            <w:hideMark/>
          </w:tcPr>
          <w:p w14:paraId="4A6D6AA1" w14:textId="77777777" w:rsidR="008B787A" w:rsidRPr="00693E73" w:rsidRDefault="008B787A" w:rsidP="00D948DE">
            <w:pPr>
              <w:spacing w:line="480" w:lineRule="auto"/>
              <w:jc w:val="center"/>
              <w:rPr>
                <w:rFonts w:ascii="Calibri" w:eastAsia="Times New Roman" w:hAnsi="Calibri" w:cs="Calibri"/>
                <w:color w:val="000000"/>
                <w:sz w:val="18"/>
                <w:szCs w:val="18"/>
              </w:rPr>
            </w:pPr>
            <w:r w:rsidRPr="00693E73">
              <w:rPr>
                <w:rFonts w:ascii="Calibri" w:eastAsia="Times New Roman" w:hAnsi="Calibri" w:cs="Calibri"/>
                <w:color w:val="000000"/>
                <w:sz w:val="18"/>
                <w:szCs w:val="18"/>
              </w:rPr>
              <w:t>11114.66</w:t>
            </w:r>
          </w:p>
        </w:tc>
        <w:tc>
          <w:tcPr>
            <w:tcW w:w="409"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424CEE7F" w14:textId="77777777" w:rsidR="008B787A" w:rsidRPr="00693E73" w:rsidRDefault="008B787A" w:rsidP="00D948DE">
            <w:pPr>
              <w:spacing w:line="480" w:lineRule="auto"/>
              <w:jc w:val="center"/>
              <w:rPr>
                <w:rFonts w:ascii="Calibri" w:eastAsia="Times New Roman" w:hAnsi="Calibri" w:cs="Calibri"/>
                <w:color w:val="000000"/>
                <w:sz w:val="18"/>
                <w:szCs w:val="18"/>
              </w:rPr>
            </w:pPr>
            <w:r w:rsidRPr="00693E73">
              <w:rPr>
                <w:rFonts w:ascii="Calibri" w:eastAsia="Times New Roman" w:hAnsi="Calibri" w:cs="Calibri"/>
                <w:color w:val="000000"/>
                <w:sz w:val="18"/>
                <w:szCs w:val="18"/>
              </w:rPr>
              <w:t>0.08</w:t>
            </w:r>
          </w:p>
        </w:tc>
        <w:tc>
          <w:tcPr>
            <w:tcW w:w="360" w:type="dxa"/>
            <w:tcBorders>
              <w:top w:val="single" w:sz="4" w:space="0" w:color="auto"/>
              <w:left w:val="nil"/>
              <w:bottom w:val="single" w:sz="4" w:space="0" w:color="auto"/>
              <w:right w:val="single" w:sz="4" w:space="0" w:color="auto"/>
            </w:tcBorders>
            <w:shd w:val="clear" w:color="auto" w:fill="auto"/>
            <w:noWrap/>
            <w:vAlign w:val="center"/>
            <w:hideMark/>
          </w:tcPr>
          <w:p w14:paraId="1C666205" w14:textId="77777777" w:rsidR="008B787A" w:rsidRPr="00693E73" w:rsidRDefault="008B787A" w:rsidP="00D948DE">
            <w:pPr>
              <w:spacing w:line="480" w:lineRule="auto"/>
              <w:jc w:val="center"/>
              <w:rPr>
                <w:rFonts w:ascii="Calibri" w:eastAsia="Times New Roman" w:hAnsi="Calibri" w:cs="Calibri"/>
                <w:color w:val="000000"/>
                <w:sz w:val="18"/>
                <w:szCs w:val="18"/>
              </w:rPr>
            </w:pPr>
            <w:r w:rsidRPr="00693E73">
              <w:rPr>
                <w:rFonts w:ascii="Calibri" w:eastAsia="Times New Roman" w:hAnsi="Calibri" w:cs="Calibri"/>
                <w:color w:val="000000"/>
                <w:sz w:val="18"/>
                <w:szCs w:val="18"/>
              </w:rPr>
              <w:t>0</w:t>
            </w:r>
          </w:p>
        </w:tc>
        <w:tc>
          <w:tcPr>
            <w:tcW w:w="464" w:type="dxa"/>
            <w:tcBorders>
              <w:top w:val="single" w:sz="4" w:space="0" w:color="auto"/>
              <w:left w:val="nil"/>
              <w:bottom w:val="single" w:sz="4" w:space="0" w:color="auto"/>
              <w:right w:val="single" w:sz="4" w:space="0" w:color="auto"/>
            </w:tcBorders>
            <w:shd w:val="clear" w:color="auto" w:fill="auto"/>
            <w:noWrap/>
            <w:vAlign w:val="center"/>
            <w:hideMark/>
          </w:tcPr>
          <w:p w14:paraId="1ECB122A" w14:textId="77777777" w:rsidR="008B787A" w:rsidRPr="00693E73" w:rsidRDefault="008B787A" w:rsidP="00D948DE">
            <w:pPr>
              <w:spacing w:line="480" w:lineRule="auto"/>
              <w:jc w:val="center"/>
              <w:rPr>
                <w:rFonts w:ascii="Calibri" w:eastAsia="Times New Roman" w:hAnsi="Calibri" w:cs="Calibri"/>
                <w:color w:val="000000"/>
                <w:sz w:val="18"/>
                <w:szCs w:val="18"/>
              </w:rPr>
            </w:pPr>
            <w:r w:rsidRPr="00693E73">
              <w:rPr>
                <w:rFonts w:ascii="Calibri" w:eastAsia="Times New Roman" w:hAnsi="Calibri" w:cs="Calibri"/>
                <w:color w:val="000000"/>
                <w:sz w:val="18"/>
                <w:szCs w:val="18"/>
              </w:rPr>
              <w:t>-0.19</w:t>
            </w:r>
          </w:p>
        </w:tc>
        <w:tc>
          <w:tcPr>
            <w:tcW w:w="409" w:type="dxa"/>
            <w:tcBorders>
              <w:top w:val="single" w:sz="4" w:space="0" w:color="auto"/>
              <w:left w:val="nil"/>
              <w:bottom w:val="single" w:sz="4" w:space="0" w:color="auto"/>
              <w:right w:val="single" w:sz="4" w:space="0" w:color="auto"/>
            </w:tcBorders>
            <w:shd w:val="clear" w:color="auto" w:fill="auto"/>
            <w:noWrap/>
            <w:vAlign w:val="center"/>
            <w:hideMark/>
          </w:tcPr>
          <w:p w14:paraId="6F849F82" w14:textId="77777777" w:rsidR="008B787A" w:rsidRPr="00693E73" w:rsidRDefault="008B787A" w:rsidP="00D948DE">
            <w:pPr>
              <w:spacing w:line="480" w:lineRule="auto"/>
              <w:jc w:val="center"/>
              <w:rPr>
                <w:rFonts w:ascii="Calibri" w:eastAsia="Times New Roman" w:hAnsi="Calibri" w:cs="Calibri"/>
                <w:color w:val="000000"/>
                <w:sz w:val="18"/>
                <w:szCs w:val="18"/>
              </w:rPr>
            </w:pPr>
            <w:r w:rsidRPr="00693E73">
              <w:rPr>
                <w:rFonts w:ascii="Calibri" w:eastAsia="Times New Roman" w:hAnsi="Calibri" w:cs="Calibri"/>
                <w:color w:val="000000"/>
                <w:sz w:val="18"/>
                <w:szCs w:val="18"/>
              </w:rPr>
              <w:t>0.11</w:t>
            </w:r>
          </w:p>
        </w:tc>
        <w:tc>
          <w:tcPr>
            <w:tcW w:w="409" w:type="dxa"/>
            <w:tcBorders>
              <w:top w:val="single" w:sz="4" w:space="0" w:color="auto"/>
              <w:left w:val="nil"/>
              <w:bottom w:val="single" w:sz="4" w:space="0" w:color="auto"/>
              <w:right w:val="single" w:sz="4" w:space="0" w:color="auto"/>
            </w:tcBorders>
            <w:shd w:val="clear" w:color="auto" w:fill="auto"/>
            <w:noWrap/>
            <w:vAlign w:val="center"/>
            <w:hideMark/>
          </w:tcPr>
          <w:p w14:paraId="4DE83EA7" w14:textId="77777777" w:rsidR="008B787A" w:rsidRPr="00693E73" w:rsidRDefault="008B787A" w:rsidP="00D948DE">
            <w:pPr>
              <w:spacing w:line="480" w:lineRule="auto"/>
              <w:jc w:val="center"/>
              <w:rPr>
                <w:rFonts w:ascii="Calibri" w:eastAsia="Times New Roman" w:hAnsi="Calibri" w:cs="Calibri"/>
                <w:color w:val="000000"/>
                <w:sz w:val="18"/>
                <w:szCs w:val="18"/>
              </w:rPr>
            </w:pPr>
            <w:r w:rsidRPr="00693E73">
              <w:rPr>
                <w:rFonts w:ascii="Calibri" w:eastAsia="Times New Roman" w:hAnsi="Calibri" w:cs="Calibri"/>
                <w:color w:val="000000"/>
                <w:sz w:val="18"/>
                <w:szCs w:val="18"/>
              </w:rPr>
              <w:t>0.22</w:t>
            </w:r>
          </w:p>
        </w:tc>
        <w:tc>
          <w:tcPr>
            <w:tcW w:w="774" w:type="dxa"/>
            <w:tcBorders>
              <w:top w:val="single" w:sz="4" w:space="0" w:color="auto"/>
              <w:left w:val="nil"/>
              <w:bottom w:val="single" w:sz="4" w:space="0" w:color="auto"/>
              <w:right w:val="single" w:sz="8" w:space="0" w:color="auto"/>
            </w:tcBorders>
            <w:shd w:val="clear" w:color="auto" w:fill="auto"/>
            <w:noWrap/>
            <w:vAlign w:val="center"/>
            <w:hideMark/>
          </w:tcPr>
          <w:p w14:paraId="61B87365" w14:textId="77777777" w:rsidR="008B787A" w:rsidRPr="00693E73" w:rsidRDefault="008B787A" w:rsidP="00D948DE">
            <w:pPr>
              <w:spacing w:line="480" w:lineRule="auto"/>
              <w:jc w:val="center"/>
              <w:rPr>
                <w:rFonts w:ascii="Calibri" w:eastAsia="Times New Roman" w:hAnsi="Calibri" w:cs="Calibri"/>
                <w:color w:val="000000"/>
                <w:sz w:val="18"/>
                <w:szCs w:val="18"/>
              </w:rPr>
            </w:pPr>
            <w:r w:rsidRPr="00693E73">
              <w:rPr>
                <w:rFonts w:ascii="Calibri" w:eastAsia="Times New Roman" w:hAnsi="Calibri" w:cs="Calibri"/>
                <w:color w:val="000000"/>
                <w:sz w:val="18"/>
                <w:szCs w:val="18"/>
              </w:rPr>
              <w:t>11126.91</w:t>
            </w:r>
          </w:p>
        </w:tc>
        <w:tc>
          <w:tcPr>
            <w:tcW w:w="724" w:type="dxa"/>
            <w:tcBorders>
              <w:top w:val="nil"/>
              <w:left w:val="single" w:sz="8" w:space="0" w:color="auto"/>
              <w:bottom w:val="single" w:sz="4" w:space="0" w:color="auto"/>
              <w:right w:val="single" w:sz="4" w:space="0" w:color="auto"/>
            </w:tcBorders>
            <w:shd w:val="clear" w:color="auto" w:fill="auto"/>
            <w:noWrap/>
            <w:vAlign w:val="center"/>
            <w:hideMark/>
          </w:tcPr>
          <w:p w14:paraId="4F982823" w14:textId="77777777" w:rsidR="008B787A" w:rsidRPr="00693E73" w:rsidRDefault="008B787A" w:rsidP="00D948DE">
            <w:pPr>
              <w:spacing w:line="480" w:lineRule="auto"/>
              <w:jc w:val="center"/>
              <w:rPr>
                <w:rFonts w:ascii="Calibri" w:eastAsia="Times New Roman" w:hAnsi="Calibri" w:cs="Calibri"/>
                <w:color w:val="000000"/>
                <w:sz w:val="18"/>
                <w:szCs w:val="18"/>
              </w:rPr>
            </w:pPr>
            <w:r w:rsidRPr="00693E73">
              <w:rPr>
                <w:rFonts w:ascii="Calibri" w:eastAsia="Times New Roman" w:hAnsi="Calibri" w:cs="Calibri"/>
                <w:color w:val="000000"/>
                <w:sz w:val="18"/>
                <w:szCs w:val="18"/>
              </w:rPr>
              <w:t>-12.3</w:t>
            </w:r>
          </w:p>
        </w:tc>
        <w:tc>
          <w:tcPr>
            <w:tcW w:w="1099" w:type="dxa"/>
            <w:tcBorders>
              <w:top w:val="nil"/>
              <w:left w:val="nil"/>
              <w:bottom w:val="single" w:sz="4" w:space="0" w:color="auto"/>
              <w:right w:val="single" w:sz="8" w:space="0" w:color="auto"/>
            </w:tcBorders>
            <w:shd w:val="clear" w:color="auto" w:fill="auto"/>
            <w:noWrap/>
            <w:vAlign w:val="center"/>
            <w:hideMark/>
          </w:tcPr>
          <w:p w14:paraId="1B48AF18" w14:textId="77777777" w:rsidR="008B787A" w:rsidRPr="00693E73" w:rsidRDefault="008B787A" w:rsidP="00D948DE">
            <w:pPr>
              <w:spacing w:line="480" w:lineRule="auto"/>
              <w:jc w:val="center"/>
              <w:rPr>
                <w:rFonts w:ascii="Calibri" w:eastAsia="Times New Roman" w:hAnsi="Calibri" w:cs="Calibri"/>
                <w:color w:val="000000"/>
                <w:sz w:val="18"/>
                <w:szCs w:val="18"/>
              </w:rPr>
            </w:pPr>
            <w:r w:rsidRPr="00693E73">
              <w:rPr>
                <w:rFonts w:ascii="Calibri" w:eastAsia="Times New Roman" w:hAnsi="Calibri" w:cs="Calibri"/>
                <w:color w:val="000000"/>
                <w:sz w:val="18"/>
                <w:szCs w:val="18"/>
              </w:rPr>
              <w:t>458.2</w:t>
            </w:r>
          </w:p>
        </w:tc>
      </w:tr>
      <w:tr w:rsidR="005324F6" w:rsidRPr="007A1CB3" w14:paraId="08BEE464" w14:textId="77777777" w:rsidTr="00426AA5">
        <w:trPr>
          <w:trHeight w:val="288"/>
        </w:trPr>
        <w:tc>
          <w:tcPr>
            <w:tcW w:w="639" w:type="dxa"/>
            <w:tcBorders>
              <w:top w:val="nil"/>
              <w:left w:val="single" w:sz="8" w:space="0" w:color="auto"/>
              <w:bottom w:val="single" w:sz="4" w:space="0" w:color="auto"/>
              <w:right w:val="single" w:sz="8" w:space="0" w:color="auto"/>
            </w:tcBorders>
            <w:shd w:val="clear" w:color="auto" w:fill="auto"/>
            <w:noWrap/>
            <w:vAlign w:val="center"/>
            <w:hideMark/>
          </w:tcPr>
          <w:p w14:paraId="01B1B129" w14:textId="77777777" w:rsidR="008B787A" w:rsidRPr="00693E73" w:rsidRDefault="008B787A" w:rsidP="00D948DE">
            <w:pPr>
              <w:spacing w:line="480" w:lineRule="auto"/>
              <w:jc w:val="center"/>
              <w:rPr>
                <w:rFonts w:ascii="Calibri" w:eastAsia="Times New Roman" w:hAnsi="Calibri" w:cs="Calibri"/>
                <w:color w:val="000000"/>
                <w:sz w:val="18"/>
                <w:szCs w:val="18"/>
              </w:rPr>
            </w:pPr>
            <w:r w:rsidRPr="00693E73">
              <w:rPr>
                <w:rFonts w:ascii="Calibri" w:eastAsia="Times New Roman" w:hAnsi="Calibri" w:cs="Calibri"/>
                <w:color w:val="000000"/>
                <w:sz w:val="18"/>
                <w:szCs w:val="18"/>
              </w:rPr>
              <w:t>4</w:t>
            </w:r>
          </w:p>
        </w:tc>
        <w:tc>
          <w:tcPr>
            <w:tcW w:w="443" w:type="dxa"/>
            <w:tcBorders>
              <w:top w:val="nil"/>
              <w:left w:val="nil"/>
              <w:bottom w:val="single" w:sz="4" w:space="0" w:color="auto"/>
              <w:right w:val="single" w:sz="4" w:space="0" w:color="auto"/>
            </w:tcBorders>
            <w:shd w:val="clear" w:color="auto" w:fill="auto"/>
            <w:noWrap/>
            <w:vAlign w:val="center"/>
            <w:hideMark/>
          </w:tcPr>
          <w:p w14:paraId="18E615B7" w14:textId="77777777" w:rsidR="008B787A" w:rsidRPr="00693E73" w:rsidRDefault="008B787A" w:rsidP="00D948DE">
            <w:pPr>
              <w:spacing w:line="480" w:lineRule="auto"/>
              <w:jc w:val="center"/>
              <w:rPr>
                <w:rFonts w:ascii="Calibri" w:eastAsia="Times New Roman" w:hAnsi="Calibri" w:cs="Calibri"/>
                <w:color w:val="000000"/>
                <w:sz w:val="18"/>
                <w:szCs w:val="18"/>
              </w:rPr>
            </w:pPr>
            <w:r w:rsidRPr="00693E73">
              <w:rPr>
                <w:rFonts w:ascii="Calibri" w:eastAsia="Times New Roman" w:hAnsi="Calibri" w:cs="Calibri"/>
                <w:color w:val="000000"/>
                <w:sz w:val="18"/>
                <w:szCs w:val="18"/>
              </w:rPr>
              <w:t>0.82</w:t>
            </w:r>
          </w:p>
        </w:tc>
        <w:tc>
          <w:tcPr>
            <w:tcW w:w="409" w:type="dxa"/>
            <w:tcBorders>
              <w:top w:val="nil"/>
              <w:left w:val="nil"/>
              <w:bottom w:val="single" w:sz="4" w:space="0" w:color="auto"/>
              <w:right w:val="single" w:sz="4" w:space="0" w:color="auto"/>
            </w:tcBorders>
            <w:shd w:val="clear" w:color="auto" w:fill="auto"/>
            <w:noWrap/>
            <w:vAlign w:val="center"/>
            <w:hideMark/>
          </w:tcPr>
          <w:p w14:paraId="4DDBBA37" w14:textId="77777777" w:rsidR="008B787A" w:rsidRPr="00693E73" w:rsidRDefault="008B787A" w:rsidP="00D948DE">
            <w:pPr>
              <w:spacing w:line="480" w:lineRule="auto"/>
              <w:jc w:val="center"/>
              <w:rPr>
                <w:rFonts w:ascii="Calibri" w:eastAsia="Times New Roman" w:hAnsi="Calibri" w:cs="Calibri"/>
                <w:color w:val="000000"/>
                <w:sz w:val="18"/>
                <w:szCs w:val="18"/>
              </w:rPr>
            </w:pPr>
            <w:r w:rsidRPr="00693E73">
              <w:rPr>
                <w:rFonts w:ascii="Calibri" w:eastAsia="Times New Roman" w:hAnsi="Calibri" w:cs="Calibri"/>
                <w:color w:val="000000"/>
                <w:sz w:val="18"/>
                <w:szCs w:val="18"/>
              </w:rPr>
              <w:t>1.42</w:t>
            </w:r>
          </w:p>
        </w:tc>
        <w:tc>
          <w:tcPr>
            <w:tcW w:w="360" w:type="dxa"/>
            <w:tcBorders>
              <w:top w:val="nil"/>
              <w:left w:val="nil"/>
              <w:bottom w:val="single" w:sz="4" w:space="0" w:color="auto"/>
              <w:right w:val="single" w:sz="4" w:space="0" w:color="auto"/>
            </w:tcBorders>
            <w:shd w:val="clear" w:color="auto" w:fill="auto"/>
            <w:noWrap/>
            <w:vAlign w:val="center"/>
            <w:hideMark/>
          </w:tcPr>
          <w:p w14:paraId="0183AB52" w14:textId="77777777" w:rsidR="008B787A" w:rsidRPr="00693E73" w:rsidRDefault="008B787A" w:rsidP="00D948DE">
            <w:pPr>
              <w:spacing w:line="480" w:lineRule="auto"/>
              <w:jc w:val="center"/>
              <w:rPr>
                <w:rFonts w:ascii="Calibri" w:eastAsia="Times New Roman" w:hAnsi="Calibri" w:cs="Calibri"/>
                <w:color w:val="000000"/>
                <w:sz w:val="18"/>
                <w:szCs w:val="18"/>
              </w:rPr>
            </w:pPr>
            <w:r w:rsidRPr="00693E73">
              <w:rPr>
                <w:rFonts w:ascii="Calibri" w:eastAsia="Times New Roman" w:hAnsi="Calibri" w:cs="Calibri"/>
                <w:color w:val="000000"/>
                <w:sz w:val="18"/>
                <w:szCs w:val="18"/>
              </w:rPr>
              <w:t>0.8</w:t>
            </w:r>
          </w:p>
        </w:tc>
        <w:tc>
          <w:tcPr>
            <w:tcW w:w="464" w:type="dxa"/>
            <w:tcBorders>
              <w:top w:val="nil"/>
              <w:left w:val="nil"/>
              <w:bottom w:val="single" w:sz="4" w:space="0" w:color="auto"/>
              <w:right w:val="single" w:sz="4" w:space="0" w:color="auto"/>
            </w:tcBorders>
            <w:shd w:val="clear" w:color="auto" w:fill="auto"/>
            <w:noWrap/>
            <w:vAlign w:val="center"/>
            <w:hideMark/>
          </w:tcPr>
          <w:p w14:paraId="33502C60" w14:textId="77777777" w:rsidR="008B787A" w:rsidRPr="00693E73" w:rsidRDefault="008B787A" w:rsidP="00D948DE">
            <w:pPr>
              <w:spacing w:line="480" w:lineRule="auto"/>
              <w:jc w:val="center"/>
              <w:rPr>
                <w:rFonts w:ascii="Calibri" w:eastAsia="Times New Roman" w:hAnsi="Calibri" w:cs="Calibri"/>
                <w:color w:val="000000"/>
                <w:sz w:val="18"/>
                <w:szCs w:val="18"/>
              </w:rPr>
            </w:pPr>
            <w:r w:rsidRPr="00693E73">
              <w:rPr>
                <w:rFonts w:ascii="Calibri" w:eastAsia="Times New Roman" w:hAnsi="Calibri" w:cs="Calibri"/>
                <w:color w:val="000000"/>
                <w:sz w:val="18"/>
                <w:szCs w:val="18"/>
              </w:rPr>
              <w:t>-1.68</w:t>
            </w:r>
          </w:p>
        </w:tc>
        <w:tc>
          <w:tcPr>
            <w:tcW w:w="409" w:type="dxa"/>
            <w:tcBorders>
              <w:top w:val="nil"/>
              <w:left w:val="nil"/>
              <w:bottom w:val="single" w:sz="4" w:space="0" w:color="auto"/>
              <w:right w:val="single" w:sz="4" w:space="0" w:color="auto"/>
            </w:tcBorders>
            <w:shd w:val="clear" w:color="auto" w:fill="auto"/>
            <w:noWrap/>
            <w:vAlign w:val="center"/>
            <w:hideMark/>
          </w:tcPr>
          <w:p w14:paraId="25C33293" w14:textId="77777777" w:rsidR="008B787A" w:rsidRPr="00693E73" w:rsidRDefault="008B787A" w:rsidP="00D948DE">
            <w:pPr>
              <w:spacing w:line="480" w:lineRule="auto"/>
              <w:jc w:val="center"/>
              <w:rPr>
                <w:rFonts w:ascii="Calibri" w:eastAsia="Times New Roman" w:hAnsi="Calibri" w:cs="Calibri"/>
                <w:color w:val="000000"/>
                <w:sz w:val="18"/>
                <w:szCs w:val="18"/>
              </w:rPr>
            </w:pPr>
            <w:r w:rsidRPr="00693E73">
              <w:rPr>
                <w:rFonts w:ascii="Calibri" w:eastAsia="Times New Roman" w:hAnsi="Calibri" w:cs="Calibri"/>
                <w:color w:val="000000"/>
                <w:sz w:val="18"/>
                <w:szCs w:val="18"/>
              </w:rPr>
              <w:t>1.71</w:t>
            </w:r>
          </w:p>
        </w:tc>
        <w:tc>
          <w:tcPr>
            <w:tcW w:w="409" w:type="dxa"/>
            <w:tcBorders>
              <w:top w:val="nil"/>
              <w:left w:val="nil"/>
              <w:bottom w:val="single" w:sz="4" w:space="0" w:color="auto"/>
              <w:right w:val="single" w:sz="4" w:space="0" w:color="auto"/>
            </w:tcBorders>
            <w:shd w:val="clear" w:color="auto" w:fill="auto"/>
            <w:noWrap/>
            <w:vAlign w:val="center"/>
            <w:hideMark/>
          </w:tcPr>
          <w:p w14:paraId="4C77EC42" w14:textId="77777777" w:rsidR="008B787A" w:rsidRPr="00693E73" w:rsidRDefault="008B787A" w:rsidP="00D948DE">
            <w:pPr>
              <w:spacing w:line="480" w:lineRule="auto"/>
              <w:jc w:val="center"/>
              <w:rPr>
                <w:rFonts w:ascii="Calibri" w:eastAsia="Times New Roman" w:hAnsi="Calibri" w:cs="Calibri"/>
                <w:color w:val="000000"/>
                <w:sz w:val="18"/>
                <w:szCs w:val="18"/>
              </w:rPr>
            </w:pPr>
            <w:r w:rsidRPr="00693E73">
              <w:rPr>
                <w:rFonts w:ascii="Calibri" w:eastAsia="Times New Roman" w:hAnsi="Calibri" w:cs="Calibri"/>
                <w:color w:val="000000"/>
                <w:sz w:val="18"/>
                <w:szCs w:val="18"/>
              </w:rPr>
              <w:t>1.44</w:t>
            </w:r>
          </w:p>
        </w:tc>
        <w:tc>
          <w:tcPr>
            <w:tcW w:w="774" w:type="dxa"/>
            <w:tcBorders>
              <w:top w:val="nil"/>
              <w:left w:val="nil"/>
              <w:bottom w:val="single" w:sz="4" w:space="0" w:color="auto"/>
              <w:right w:val="single" w:sz="8" w:space="0" w:color="auto"/>
            </w:tcBorders>
            <w:shd w:val="clear" w:color="auto" w:fill="auto"/>
            <w:noWrap/>
            <w:vAlign w:val="center"/>
            <w:hideMark/>
          </w:tcPr>
          <w:p w14:paraId="2FAF80AC" w14:textId="77777777" w:rsidR="008B787A" w:rsidRPr="00693E73" w:rsidRDefault="008B787A" w:rsidP="00D948DE">
            <w:pPr>
              <w:spacing w:line="480" w:lineRule="auto"/>
              <w:jc w:val="center"/>
              <w:rPr>
                <w:rFonts w:ascii="Calibri" w:eastAsia="Times New Roman" w:hAnsi="Calibri" w:cs="Calibri"/>
                <w:color w:val="000000"/>
                <w:sz w:val="18"/>
                <w:szCs w:val="18"/>
              </w:rPr>
            </w:pPr>
            <w:r w:rsidRPr="00693E73">
              <w:rPr>
                <w:rFonts w:ascii="Calibri" w:eastAsia="Times New Roman" w:hAnsi="Calibri" w:cs="Calibri"/>
                <w:color w:val="000000"/>
                <w:sz w:val="18"/>
                <w:szCs w:val="18"/>
              </w:rPr>
              <w:t>13305.52</w:t>
            </w:r>
          </w:p>
        </w:tc>
        <w:tc>
          <w:tcPr>
            <w:tcW w:w="409"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35A5C7E7" w14:textId="77777777" w:rsidR="008B787A" w:rsidRPr="00693E73" w:rsidRDefault="008B787A" w:rsidP="00D948DE">
            <w:pPr>
              <w:spacing w:line="480" w:lineRule="auto"/>
              <w:jc w:val="center"/>
              <w:rPr>
                <w:rFonts w:ascii="Calibri" w:eastAsia="Times New Roman" w:hAnsi="Calibri" w:cs="Calibri"/>
                <w:color w:val="000000"/>
                <w:sz w:val="18"/>
                <w:szCs w:val="18"/>
              </w:rPr>
            </w:pPr>
            <w:r w:rsidRPr="00693E73">
              <w:rPr>
                <w:rFonts w:ascii="Calibri" w:eastAsia="Times New Roman" w:hAnsi="Calibri" w:cs="Calibri"/>
                <w:color w:val="000000"/>
                <w:sz w:val="18"/>
                <w:szCs w:val="18"/>
              </w:rPr>
              <w:t>0.31</w:t>
            </w:r>
          </w:p>
        </w:tc>
        <w:tc>
          <w:tcPr>
            <w:tcW w:w="360" w:type="dxa"/>
            <w:tcBorders>
              <w:top w:val="single" w:sz="4" w:space="0" w:color="auto"/>
              <w:left w:val="nil"/>
              <w:bottom w:val="single" w:sz="4" w:space="0" w:color="auto"/>
              <w:right w:val="single" w:sz="4" w:space="0" w:color="auto"/>
            </w:tcBorders>
            <w:shd w:val="clear" w:color="auto" w:fill="auto"/>
            <w:noWrap/>
            <w:vAlign w:val="center"/>
            <w:hideMark/>
          </w:tcPr>
          <w:p w14:paraId="33F2C442" w14:textId="77777777" w:rsidR="008B787A" w:rsidRPr="00693E73" w:rsidRDefault="008B787A" w:rsidP="00D948DE">
            <w:pPr>
              <w:spacing w:line="480" w:lineRule="auto"/>
              <w:jc w:val="center"/>
              <w:rPr>
                <w:rFonts w:ascii="Calibri" w:eastAsia="Times New Roman" w:hAnsi="Calibri" w:cs="Calibri"/>
                <w:color w:val="000000"/>
                <w:sz w:val="18"/>
                <w:szCs w:val="18"/>
              </w:rPr>
            </w:pPr>
            <w:r w:rsidRPr="00693E73">
              <w:rPr>
                <w:rFonts w:ascii="Calibri" w:eastAsia="Times New Roman" w:hAnsi="Calibri" w:cs="Calibri"/>
                <w:color w:val="000000"/>
                <w:sz w:val="18"/>
                <w:szCs w:val="18"/>
              </w:rPr>
              <w:t>0.8</w:t>
            </w:r>
          </w:p>
        </w:tc>
        <w:tc>
          <w:tcPr>
            <w:tcW w:w="464" w:type="dxa"/>
            <w:tcBorders>
              <w:top w:val="single" w:sz="4" w:space="0" w:color="auto"/>
              <w:left w:val="nil"/>
              <w:bottom w:val="single" w:sz="4" w:space="0" w:color="auto"/>
              <w:right w:val="single" w:sz="4" w:space="0" w:color="auto"/>
            </w:tcBorders>
            <w:shd w:val="clear" w:color="auto" w:fill="auto"/>
            <w:noWrap/>
            <w:vAlign w:val="center"/>
            <w:hideMark/>
          </w:tcPr>
          <w:p w14:paraId="035FDB91" w14:textId="77777777" w:rsidR="008B787A" w:rsidRPr="00693E73" w:rsidRDefault="008B787A" w:rsidP="00D948DE">
            <w:pPr>
              <w:spacing w:line="480" w:lineRule="auto"/>
              <w:jc w:val="center"/>
              <w:rPr>
                <w:rFonts w:ascii="Calibri" w:eastAsia="Times New Roman" w:hAnsi="Calibri" w:cs="Calibri"/>
                <w:color w:val="000000"/>
                <w:sz w:val="18"/>
                <w:szCs w:val="18"/>
              </w:rPr>
            </w:pPr>
            <w:r w:rsidRPr="00693E73">
              <w:rPr>
                <w:rFonts w:ascii="Calibri" w:eastAsia="Times New Roman" w:hAnsi="Calibri" w:cs="Calibri"/>
                <w:color w:val="000000"/>
                <w:sz w:val="18"/>
                <w:szCs w:val="18"/>
              </w:rPr>
              <w:t>-1.63</w:t>
            </w:r>
          </w:p>
        </w:tc>
        <w:tc>
          <w:tcPr>
            <w:tcW w:w="409" w:type="dxa"/>
            <w:tcBorders>
              <w:top w:val="single" w:sz="4" w:space="0" w:color="auto"/>
              <w:left w:val="nil"/>
              <w:bottom w:val="single" w:sz="4" w:space="0" w:color="auto"/>
              <w:right w:val="single" w:sz="4" w:space="0" w:color="auto"/>
            </w:tcBorders>
            <w:shd w:val="clear" w:color="auto" w:fill="auto"/>
            <w:noWrap/>
            <w:vAlign w:val="center"/>
            <w:hideMark/>
          </w:tcPr>
          <w:p w14:paraId="0F76F703" w14:textId="77777777" w:rsidR="008B787A" w:rsidRPr="00693E73" w:rsidRDefault="008B787A" w:rsidP="00D948DE">
            <w:pPr>
              <w:spacing w:line="480" w:lineRule="auto"/>
              <w:jc w:val="center"/>
              <w:rPr>
                <w:rFonts w:ascii="Calibri" w:eastAsia="Times New Roman" w:hAnsi="Calibri" w:cs="Calibri"/>
                <w:color w:val="000000"/>
                <w:sz w:val="18"/>
                <w:szCs w:val="18"/>
              </w:rPr>
            </w:pPr>
            <w:r w:rsidRPr="00693E73">
              <w:rPr>
                <w:rFonts w:ascii="Calibri" w:eastAsia="Times New Roman" w:hAnsi="Calibri" w:cs="Calibri"/>
                <w:color w:val="000000"/>
                <w:sz w:val="18"/>
                <w:szCs w:val="18"/>
              </w:rPr>
              <w:t>1.71</w:t>
            </w:r>
          </w:p>
        </w:tc>
        <w:tc>
          <w:tcPr>
            <w:tcW w:w="409" w:type="dxa"/>
            <w:tcBorders>
              <w:top w:val="single" w:sz="4" w:space="0" w:color="auto"/>
              <w:left w:val="nil"/>
              <w:bottom w:val="single" w:sz="4" w:space="0" w:color="auto"/>
              <w:right w:val="single" w:sz="4" w:space="0" w:color="auto"/>
            </w:tcBorders>
            <w:shd w:val="clear" w:color="auto" w:fill="auto"/>
            <w:noWrap/>
            <w:vAlign w:val="center"/>
            <w:hideMark/>
          </w:tcPr>
          <w:p w14:paraId="61EEDD71" w14:textId="77777777" w:rsidR="008B787A" w:rsidRPr="00693E73" w:rsidRDefault="008B787A" w:rsidP="00D948DE">
            <w:pPr>
              <w:spacing w:line="480" w:lineRule="auto"/>
              <w:jc w:val="center"/>
              <w:rPr>
                <w:rFonts w:ascii="Calibri" w:eastAsia="Times New Roman" w:hAnsi="Calibri" w:cs="Calibri"/>
                <w:color w:val="000000"/>
                <w:sz w:val="18"/>
                <w:szCs w:val="18"/>
              </w:rPr>
            </w:pPr>
            <w:r w:rsidRPr="00693E73">
              <w:rPr>
                <w:rFonts w:ascii="Calibri" w:eastAsia="Times New Roman" w:hAnsi="Calibri" w:cs="Calibri"/>
                <w:color w:val="000000"/>
                <w:sz w:val="18"/>
                <w:szCs w:val="18"/>
              </w:rPr>
              <w:t>1.38</w:t>
            </w:r>
          </w:p>
        </w:tc>
        <w:tc>
          <w:tcPr>
            <w:tcW w:w="774" w:type="dxa"/>
            <w:tcBorders>
              <w:top w:val="single" w:sz="4" w:space="0" w:color="auto"/>
              <w:left w:val="nil"/>
              <w:bottom w:val="single" w:sz="4" w:space="0" w:color="auto"/>
              <w:right w:val="single" w:sz="8" w:space="0" w:color="auto"/>
            </w:tcBorders>
            <w:shd w:val="clear" w:color="auto" w:fill="auto"/>
            <w:noWrap/>
            <w:vAlign w:val="center"/>
            <w:hideMark/>
          </w:tcPr>
          <w:p w14:paraId="23B23076" w14:textId="77777777" w:rsidR="008B787A" w:rsidRPr="00693E73" w:rsidRDefault="008B787A" w:rsidP="00D948DE">
            <w:pPr>
              <w:spacing w:line="480" w:lineRule="auto"/>
              <w:jc w:val="center"/>
              <w:rPr>
                <w:rFonts w:ascii="Calibri" w:eastAsia="Times New Roman" w:hAnsi="Calibri" w:cs="Calibri"/>
                <w:color w:val="000000"/>
                <w:sz w:val="18"/>
                <w:szCs w:val="18"/>
              </w:rPr>
            </w:pPr>
            <w:r w:rsidRPr="00693E73">
              <w:rPr>
                <w:rFonts w:ascii="Calibri" w:eastAsia="Times New Roman" w:hAnsi="Calibri" w:cs="Calibri"/>
                <w:color w:val="000000"/>
                <w:sz w:val="18"/>
                <w:szCs w:val="18"/>
              </w:rPr>
              <w:t>13328.27</w:t>
            </w:r>
          </w:p>
        </w:tc>
        <w:tc>
          <w:tcPr>
            <w:tcW w:w="724" w:type="dxa"/>
            <w:tcBorders>
              <w:top w:val="nil"/>
              <w:left w:val="single" w:sz="8" w:space="0" w:color="auto"/>
              <w:bottom w:val="single" w:sz="4" w:space="0" w:color="auto"/>
              <w:right w:val="single" w:sz="4" w:space="0" w:color="auto"/>
            </w:tcBorders>
            <w:shd w:val="clear" w:color="auto" w:fill="auto"/>
            <w:noWrap/>
            <w:vAlign w:val="center"/>
            <w:hideMark/>
          </w:tcPr>
          <w:p w14:paraId="612EB047" w14:textId="77777777" w:rsidR="008B787A" w:rsidRPr="00693E73" w:rsidRDefault="008B787A" w:rsidP="00D948DE">
            <w:pPr>
              <w:spacing w:line="480" w:lineRule="auto"/>
              <w:jc w:val="center"/>
              <w:rPr>
                <w:rFonts w:ascii="Calibri" w:eastAsia="Times New Roman" w:hAnsi="Calibri" w:cs="Calibri"/>
                <w:color w:val="000000"/>
                <w:sz w:val="18"/>
                <w:szCs w:val="18"/>
              </w:rPr>
            </w:pPr>
            <w:r w:rsidRPr="00693E73">
              <w:rPr>
                <w:rFonts w:ascii="Calibri" w:eastAsia="Times New Roman" w:hAnsi="Calibri" w:cs="Calibri"/>
                <w:color w:val="000000"/>
                <w:sz w:val="18"/>
                <w:szCs w:val="18"/>
              </w:rPr>
              <w:t>-22.7</w:t>
            </w:r>
          </w:p>
        </w:tc>
        <w:tc>
          <w:tcPr>
            <w:tcW w:w="1099" w:type="dxa"/>
            <w:tcBorders>
              <w:top w:val="nil"/>
              <w:left w:val="nil"/>
              <w:bottom w:val="single" w:sz="4" w:space="0" w:color="auto"/>
              <w:right w:val="single" w:sz="8" w:space="0" w:color="auto"/>
            </w:tcBorders>
            <w:shd w:val="clear" w:color="auto" w:fill="auto"/>
            <w:noWrap/>
            <w:vAlign w:val="center"/>
            <w:hideMark/>
          </w:tcPr>
          <w:p w14:paraId="572D87C8" w14:textId="2C512D52" w:rsidR="008B787A" w:rsidRPr="00693E73" w:rsidRDefault="008B787A" w:rsidP="00D948DE">
            <w:pPr>
              <w:spacing w:line="480" w:lineRule="auto"/>
              <w:jc w:val="center"/>
              <w:rPr>
                <w:rFonts w:ascii="Calibri" w:eastAsia="Times New Roman" w:hAnsi="Calibri" w:cs="Calibri"/>
                <w:color w:val="000000"/>
                <w:sz w:val="18"/>
                <w:szCs w:val="18"/>
              </w:rPr>
            </w:pPr>
            <w:r w:rsidRPr="00693E73">
              <w:rPr>
                <w:rFonts w:ascii="Calibri" w:eastAsia="Times New Roman" w:hAnsi="Calibri" w:cs="Calibri"/>
                <w:color w:val="000000"/>
                <w:sz w:val="18"/>
                <w:szCs w:val="18"/>
              </w:rPr>
              <w:t>8</w:t>
            </w:r>
            <w:r w:rsidR="00BD7B4E">
              <w:rPr>
                <w:rFonts w:ascii="Calibri" w:eastAsia="Times New Roman" w:hAnsi="Calibri" w:cs="Calibri"/>
                <w:color w:val="000000"/>
                <w:sz w:val="18"/>
                <w:szCs w:val="18"/>
              </w:rPr>
              <w:t>.</w:t>
            </w:r>
            <w:r w:rsidRPr="00693E73">
              <w:rPr>
                <w:rFonts w:ascii="Calibri" w:eastAsia="Times New Roman" w:hAnsi="Calibri" w:cs="Calibri"/>
                <w:color w:val="000000"/>
                <w:sz w:val="18"/>
                <w:szCs w:val="18"/>
              </w:rPr>
              <w:t>6</w:t>
            </w:r>
            <w:r w:rsidR="00BD7B4E">
              <w:rPr>
                <w:rFonts w:ascii="Calibri" w:eastAsia="Times New Roman" w:hAnsi="Calibri" w:cs="Calibri"/>
                <w:color w:val="000000"/>
                <w:sz w:val="18"/>
                <w:szCs w:val="18"/>
              </w:rPr>
              <w:t>*10</w:t>
            </w:r>
            <w:r w:rsidR="00BD7B4E">
              <w:rPr>
                <w:rFonts w:ascii="Calibri" w:eastAsia="Times New Roman" w:hAnsi="Calibri" w:cs="Calibri"/>
                <w:color w:val="000000"/>
                <w:sz w:val="18"/>
                <w:szCs w:val="18"/>
                <w:vertAlign w:val="superscript"/>
              </w:rPr>
              <w:t>5</w:t>
            </w:r>
          </w:p>
        </w:tc>
      </w:tr>
      <w:tr w:rsidR="005324F6" w:rsidRPr="007A1CB3" w14:paraId="1421854D" w14:textId="77777777" w:rsidTr="00426AA5">
        <w:trPr>
          <w:trHeight w:val="288"/>
        </w:trPr>
        <w:tc>
          <w:tcPr>
            <w:tcW w:w="639" w:type="dxa"/>
            <w:tcBorders>
              <w:top w:val="nil"/>
              <w:left w:val="single" w:sz="8" w:space="0" w:color="auto"/>
              <w:bottom w:val="single" w:sz="4" w:space="0" w:color="auto"/>
              <w:right w:val="single" w:sz="8" w:space="0" w:color="auto"/>
            </w:tcBorders>
            <w:shd w:val="clear" w:color="auto" w:fill="auto"/>
            <w:noWrap/>
            <w:vAlign w:val="center"/>
            <w:hideMark/>
          </w:tcPr>
          <w:p w14:paraId="1E4C96EA" w14:textId="77777777" w:rsidR="008B787A" w:rsidRPr="00693E73" w:rsidRDefault="008B787A" w:rsidP="00D948DE">
            <w:pPr>
              <w:spacing w:line="480" w:lineRule="auto"/>
              <w:jc w:val="center"/>
              <w:rPr>
                <w:rFonts w:ascii="Calibri" w:eastAsia="Times New Roman" w:hAnsi="Calibri" w:cs="Calibri"/>
                <w:color w:val="000000"/>
                <w:sz w:val="18"/>
                <w:szCs w:val="18"/>
              </w:rPr>
            </w:pPr>
            <w:r w:rsidRPr="00693E73">
              <w:rPr>
                <w:rFonts w:ascii="Calibri" w:eastAsia="Times New Roman" w:hAnsi="Calibri" w:cs="Calibri"/>
                <w:color w:val="000000"/>
                <w:sz w:val="18"/>
                <w:szCs w:val="18"/>
              </w:rPr>
              <w:t>5</w:t>
            </w:r>
          </w:p>
        </w:tc>
        <w:tc>
          <w:tcPr>
            <w:tcW w:w="443" w:type="dxa"/>
            <w:tcBorders>
              <w:top w:val="nil"/>
              <w:left w:val="nil"/>
              <w:bottom w:val="single" w:sz="4" w:space="0" w:color="auto"/>
              <w:right w:val="single" w:sz="4" w:space="0" w:color="auto"/>
            </w:tcBorders>
            <w:shd w:val="clear" w:color="auto" w:fill="auto"/>
            <w:noWrap/>
            <w:vAlign w:val="center"/>
            <w:hideMark/>
          </w:tcPr>
          <w:p w14:paraId="7B464687" w14:textId="77777777" w:rsidR="008B787A" w:rsidRPr="00693E73" w:rsidRDefault="008B787A" w:rsidP="00D948DE">
            <w:pPr>
              <w:spacing w:line="480" w:lineRule="auto"/>
              <w:jc w:val="center"/>
              <w:rPr>
                <w:rFonts w:ascii="Calibri" w:eastAsia="Times New Roman" w:hAnsi="Calibri" w:cs="Calibri"/>
                <w:color w:val="000000"/>
                <w:sz w:val="18"/>
                <w:szCs w:val="18"/>
              </w:rPr>
            </w:pPr>
            <w:r w:rsidRPr="00693E73">
              <w:rPr>
                <w:rFonts w:ascii="Calibri" w:eastAsia="Times New Roman" w:hAnsi="Calibri" w:cs="Calibri"/>
                <w:color w:val="000000"/>
                <w:sz w:val="18"/>
                <w:szCs w:val="18"/>
              </w:rPr>
              <w:t>0.37</w:t>
            </w:r>
          </w:p>
        </w:tc>
        <w:tc>
          <w:tcPr>
            <w:tcW w:w="409" w:type="dxa"/>
            <w:tcBorders>
              <w:top w:val="nil"/>
              <w:left w:val="nil"/>
              <w:bottom w:val="single" w:sz="4" w:space="0" w:color="auto"/>
              <w:right w:val="single" w:sz="4" w:space="0" w:color="auto"/>
            </w:tcBorders>
            <w:shd w:val="clear" w:color="auto" w:fill="auto"/>
            <w:noWrap/>
            <w:vAlign w:val="center"/>
            <w:hideMark/>
          </w:tcPr>
          <w:p w14:paraId="520C99BC" w14:textId="77777777" w:rsidR="008B787A" w:rsidRPr="00693E73" w:rsidRDefault="008B787A" w:rsidP="00D948DE">
            <w:pPr>
              <w:spacing w:line="480" w:lineRule="auto"/>
              <w:jc w:val="center"/>
              <w:rPr>
                <w:rFonts w:ascii="Calibri" w:eastAsia="Times New Roman" w:hAnsi="Calibri" w:cs="Calibri"/>
                <w:color w:val="000000"/>
                <w:sz w:val="18"/>
                <w:szCs w:val="18"/>
              </w:rPr>
            </w:pPr>
            <w:r w:rsidRPr="00693E73">
              <w:rPr>
                <w:rFonts w:ascii="Calibri" w:eastAsia="Times New Roman" w:hAnsi="Calibri" w:cs="Calibri"/>
                <w:color w:val="000000"/>
                <w:sz w:val="18"/>
                <w:szCs w:val="18"/>
              </w:rPr>
              <w:t>0.52</w:t>
            </w:r>
          </w:p>
        </w:tc>
        <w:tc>
          <w:tcPr>
            <w:tcW w:w="360" w:type="dxa"/>
            <w:tcBorders>
              <w:top w:val="nil"/>
              <w:left w:val="nil"/>
              <w:bottom w:val="single" w:sz="4" w:space="0" w:color="auto"/>
              <w:right w:val="single" w:sz="4" w:space="0" w:color="auto"/>
            </w:tcBorders>
            <w:shd w:val="clear" w:color="auto" w:fill="auto"/>
            <w:noWrap/>
            <w:vAlign w:val="center"/>
            <w:hideMark/>
          </w:tcPr>
          <w:p w14:paraId="4872A254" w14:textId="77777777" w:rsidR="008B787A" w:rsidRPr="00693E73" w:rsidRDefault="008B787A" w:rsidP="00D948DE">
            <w:pPr>
              <w:spacing w:line="480" w:lineRule="auto"/>
              <w:jc w:val="center"/>
              <w:rPr>
                <w:rFonts w:ascii="Calibri" w:eastAsia="Times New Roman" w:hAnsi="Calibri" w:cs="Calibri"/>
                <w:color w:val="000000"/>
                <w:sz w:val="18"/>
                <w:szCs w:val="18"/>
              </w:rPr>
            </w:pPr>
            <w:r w:rsidRPr="00693E73">
              <w:rPr>
                <w:rFonts w:ascii="Calibri" w:eastAsia="Times New Roman" w:hAnsi="Calibri" w:cs="Calibri"/>
                <w:color w:val="000000"/>
                <w:sz w:val="18"/>
                <w:szCs w:val="18"/>
              </w:rPr>
              <w:t>0</w:t>
            </w:r>
          </w:p>
        </w:tc>
        <w:tc>
          <w:tcPr>
            <w:tcW w:w="464" w:type="dxa"/>
            <w:tcBorders>
              <w:top w:val="nil"/>
              <w:left w:val="nil"/>
              <w:bottom w:val="single" w:sz="4" w:space="0" w:color="auto"/>
              <w:right w:val="single" w:sz="4" w:space="0" w:color="auto"/>
            </w:tcBorders>
            <w:shd w:val="clear" w:color="auto" w:fill="auto"/>
            <w:noWrap/>
            <w:vAlign w:val="center"/>
            <w:hideMark/>
          </w:tcPr>
          <w:p w14:paraId="70CA52F8" w14:textId="77777777" w:rsidR="008B787A" w:rsidRPr="00693E73" w:rsidRDefault="008B787A" w:rsidP="00D948DE">
            <w:pPr>
              <w:spacing w:line="480" w:lineRule="auto"/>
              <w:jc w:val="center"/>
              <w:rPr>
                <w:rFonts w:ascii="Calibri" w:eastAsia="Times New Roman" w:hAnsi="Calibri" w:cs="Calibri"/>
                <w:color w:val="000000"/>
                <w:sz w:val="18"/>
                <w:szCs w:val="18"/>
              </w:rPr>
            </w:pPr>
            <w:r w:rsidRPr="00693E73">
              <w:rPr>
                <w:rFonts w:ascii="Calibri" w:eastAsia="Times New Roman" w:hAnsi="Calibri" w:cs="Calibri"/>
                <w:color w:val="000000"/>
                <w:sz w:val="18"/>
                <w:szCs w:val="18"/>
              </w:rPr>
              <w:t>-0.92</w:t>
            </w:r>
          </w:p>
        </w:tc>
        <w:tc>
          <w:tcPr>
            <w:tcW w:w="409" w:type="dxa"/>
            <w:tcBorders>
              <w:top w:val="nil"/>
              <w:left w:val="nil"/>
              <w:bottom w:val="single" w:sz="4" w:space="0" w:color="auto"/>
              <w:right w:val="single" w:sz="4" w:space="0" w:color="auto"/>
            </w:tcBorders>
            <w:shd w:val="clear" w:color="auto" w:fill="auto"/>
            <w:noWrap/>
            <w:vAlign w:val="center"/>
            <w:hideMark/>
          </w:tcPr>
          <w:p w14:paraId="1CDDE7DC" w14:textId="77777777" w:rsidR="008B787A" w:rsidRPr="00693E73" w:rsidRDefault="008B787A" w:rsidP="00D948DE">
            <w:pPr>
              <w:spacing w:line="480" w:lineRule="auto"/>
              <w:jc w:val="center"/>
              <w:rPr>
                <w:rFonts w:ascii="Calibri" w:eastAsia="Times New Roman" w:hAnsi="Calibri" w:cs="Calibri"/>
                <w:color w:val="000000"/>
                <w:sz w:val="18"/>
                <w:szCs w:val="18"/>
              </w:rPr>
            </w:pPr>
            <w:r w:rsidRPr="00693E73">
              <w:rPr>
                <w:rFonts w:ascii="Calibri" w:eastAsia="Times New Roman" w:hAnsi="Calibri" w:cs="Calibri"/>
                <w:color w:val="000000"/>
                <w:sz w:val="18"/>
                <w:szCs w:val="18"/>
              </w:rPr>
              <w:t>0.96</w:t>
            </w:r>
          </w:p>
        </w:tc>
        <w:tc>
          <w:tcPr>
            <w:tcW w:w="409" w:type="dxa"/>
            <w:tcBorders>
              <w:top w:val="nil"/>
              <w:left w:val="nil"/>
              <w:bottom w:val="single" w:sz="4" w:space="0" w:color="auto"/>
              <w:right w:val="single" w:sz="4" w:space="0" w:color="auto"/>
            </w:tcBorders>
            <w:shd w:val="clear" w:color="auto" w:fill="auto"/>
            <w:noWrap/>
            <w:vAlign w:val="center"/>
            <w:hideMark/>
          </w:tcPr>
          <w:p w14:paraId="0814AED4" w14:textId="77777777" w:rsidR="008B787A" w:rsidRPr="00693E73" w:rsidRDefault="008B787A" w:rsidP="00D948DE">
            <w:pPr>
              <w:spacing w:line="480" w:lineRule="auto"/>
              <w:jc w:val="center"/>
              <w:rPr>
                <w:rFonts w:ascii="Calibri" w:eastAsia="Times New Roman" w:hAnsi="Calibri" w:cs="Calibri"/>
                <w:color w:val="000000"/>
                <w:sz w:val="18"/>
                <w:szCs w:val="18"/>
              </w:rPr>
            </w:pPr>
            <w:r w:rsidRPr="00693E73">
              <w:rPr>
                <w:rFonts w:ascii="Calibri" w:eastAsia="Times New Roman" w:hAnsi="Calibri" w:cs="Calibri"/>
                <w:color w:val="000000"/>
                <w:sz w:val="18"/>
                <w:szCs w:val="18"/>
              </w:rPr>
              <w:t>0.88</w:t>
            </w:r>
          </w:p>
        </w:tc>
        <w:tc>
          <w:tcPr>
            <w:tcW w:w="774" w:type="dxa"/>
            <w:tcBorders>
              <w:top w:val="nil"/>
              <w:left w:val="nil"/>
              <w:bottom w:val="single" w:sz="4" w:space="0" w:color="auto"/>
              <w:right w:val="single" w:sz="8" w:space="0" w:color="auto"/>
            </w:tcBorders>
            <w:shd w:val="clear" w:color="auto" w:fill="auto"/>
            <w:noWrap/>
            <w:vAlign w:val="center"/>
            <w:hideMark/>
          </w:tcPr>
          <w:p w14:paraId="1C83AE92" w14:textId="77777777" w:rsidR="008B787A" w:rsidRPr="00693E73" w:rsidRDefault="008B787A" w:rsidP="00D948DE">
            <w:pPr>
              <w:spacing w:line="480" w:lineRule="auto"/>
              <w:jc w:val="center"/>
              <w:rPr>
                <w:rFonts w:ascii="Calibri" w:eastAsia="Times New Roman" w:hAnsi="Calibri" w:cs="Calibri"/>
                <w:color w:val="000000"/>
                <w:sz w:val="18"/>
                <w:szCs w:val="18"/>
              </w:rPr>
            </w:pPr>
            <w:r w:rsidRPr="00693E73">
              <w:rPr>
                <w:rFonts w:ascii="Calibri" w:eastAsia="Times New Roman" w:hAnsi="Calibri" w:cs="Calibri"/>
                <w:color w:val="000000"/>
                <w:sz w:val="18"/>
                <w:szCs w:val="18"/>
              </w:rPr>
              <w:t>15632.00</w:t>
            </w:r>
          </w:p>
        </w:tc>
        <w:tc>
          <w:tcPr>
            <w:tcW w:w="409"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0553FDB3" w14:textId="77777777" w:rsidR="008B787A" w:rsidRPr="00693E73" w:rsidRDefault="008B787A" w:rsidP="00D948DE">
            <w:pPr>
              <w:spacing w:line="480" w:lineRule="auto"/>
              <w:jc w:val="center"/>
              <w:rPr>
                <w:rFonts w:ascii="Calibri" w:eastAsia="Times New Roman" w:hAnsi="Calibri" w:cs="Calibri"/>
                <w:color w:val="000000"/>
                <w:sz w:val="18"/>
                <w:szCs w:val="18"/>
              </w:rPr>
            </w:pPr>
            <w:r w:rsidRPr="00693E73">
              <w:rPr>
                <w:rFonts w:ascii="Calibri" w:eastAsia="Times New Roman" w:hAnsi="Calibri" w:cs="Calibri"/>
                <w:color w:val="000000"/>
                <w:sz w:val="18"/>
                <w:szCs w:val="18"/>
              </w:rPr>
              <w:t>0.35</w:t>
            </w:r>
          </w:p>
        </w:tc>
        <w:tc>
          <w:tcPr>
            <w:tcW w:w="360" w:type="dxa"/>
            <w:tcBorders>
              <w:top w:val="single" w:sz="4" w:space="0" w:color="auto"/>
              <w:left w:val="nil"/>
              <w:bottom w:val="single" w:sz="4" w:space="0" w:color="auto"/>
              <w:right w:val="single" w:sz="4" w:space="0" w:color="auto"/>
            </w:tcBorders>
            <w:shd w:val="clear" w:color="auto" w:fill="auto"/>
            <w:noWrap/>
            <w:vAlign w:val="center"/>
            <w:hideMark/>
          </w:tcPr>
          <w:p w14:paraId="02386445" w14:textId="77777777" w:rsidR="008B787A" w:rsidRPr="00693E73" w:rsidRDefault="008B787A" w:rsidP="00D948DE">
            <w:pPr>
              <w:spacing w:line="480" w:lineRule="auto"/>
              <w:jc w:val="center"/>
              <w:rPr>
                <w:rFonts w:ascii="Calibri" w:eastAsia="Times New Roman" w:hAnsi="Calibri" w:cs="Calibri"/>
                <w:color w:val="000000"/>
                <w:sz w:val="18"/>
                <w:szCs w:val="18"/>
              </w:rPr>
            </w:pPr>
            <w:r w:rsidRPr="00693E73">
              <w:rPr>
                <w:rFonts w:ascii="Calibri" w:eastAsia="Times New Roman" w:hAnsi="Calibri" w:cs="Calibri"/>
                <w:color w:val="000000"/>
                <w:sz w:val="18"/>
                <w:szCs w:val="18"/>
              </w:rPr>
              <w:t>0</w:t>
            </w:r>
          </w:p>
        </w:tc>
        <w:tc>
          <w:tcPr>
            <w:tcW w:w="464" w:type="dxa"/>
            <w:tcBorders>
              <w:top w:val="single" w:sz="4" w:space="0" w:color="auto"/>
              <w:left w:val="nil"/>
              <w:bottom w:val="single" w:sz="4" w:space="0" w:color="auto"/>
              <w:right w:val="single" w:sz="4" w:space="0" w:color="auto"/>
            </w:tcBorders>
            <w:shd w:val="clear" w:color="auto" w:fill="auto"/>
            <w:noWrap/>
            <w:vAlign w:val="center"/>
            <w:hideMark/>
          </w:tcPr>
          <w:p w14:paraId="486B63ED" w14:textId="77777777" w:rsidR="008B787A" w:rsidRPr="00693E73" w:rsidRDefault="008B787A" w:rsidP="00D948DE">
            <w:pPr>
              <w:spacing w:line="480" w:lineRule="auto"/>
              <w:jc w:val="center"/>
              <w:rPr>
                <w:rFonts w:ascii="Calibri" w:eastAsia="Times New Roman" w:hAnsi="Calibri" w:cs="Calibri"/>
                <w:color w:val="000000"/>
                <w:sz w:val="18"/>
                <w:szCs w:val="18"/>
              </w:rPr>
            </w:pPr>
            <w:r w:rsidRPr="00693E73">
              <w:rPr>
                <w:rFonts w:ascii="Calibri" w:eastAsia="Times New Roman" w:hAnsi="Calibri" w:cs="Calibri"/>
                <w:color w:val="000000"/>
                <w:sz w:val="18"/>
                <w:szCs w:val="18"/>
              </w:rPr>
              <w:t>-0.87</w:t>
            </w:r>
          </w:p>
        </w:tc>
        <w:tc>
          <w:tcPr>
            <w:tcW w:w="409" w:type="dxa"/>
            <w:tcBorders>
              <w:top w:val="single" w:sz="4" w:space="0" w:color="auto"/>
              <w:left w:val="nil"/>
              <w:bottom w:val="single" w:sz="4" w:space="0" w:color="auto"/>
              <w:right w:val="single" w:sz="4" w:space="0" w:color="auto"/>
            </w:tcBorders>
            <w:shd w:val="clear" w:color="auto" w:fill="auto"/>
            <w:noWrap/>
            <w:vAlign w:val="center"/>
            <w:hideMark/>
          </w:tcPr>
          <w:p w14:paraId="5AE566E0" w14:textId="77777777" w:rsidR="008B787A" w:rsidRPr="00693E73" w:rsidRDefault="008B787A" w:rsidP="00D948DE">
            <w:pPr>
              <w:spacing w:line="480" w:lineRule="auto"/>
              <w:jc w:val="center"/>
              <w:rPr>
                <w:rFonts w:ascii="Calibri" w:eastAsia="Times New Roman" w:hAnsi="Calibri" w:cs="Calibri"/>
                <w:color w:val="000000"/>
                <w:sz w:val="18"/>
                <w:szCs w:val="18"/>
              </w:rPr>
            </w:pPr>
            <w:r w:rsidRPr="00693E73">
              <w:rPr>
                <w:rFonts w:ascii="Calibri" w:eastAsia="Times New Roman" w:hAnsi="Calibri" w:cs="Calibri"/>
                <w:color w:val="000000"/>
                <w:sz w:val="18"/>
                <w:szCs w:val="18"/>
              </w:rPr>
              <w:t>0.93</w:t>
            </w:r>
          </w:p>
        </w:tc>
        <w:tc>
          <w:tcPr>
            <w:tcW w:w="409" w:type="dxa"/>
            <w:tcBorders>
              <w:top w:val="single" w:sz="4" w:space="0" w:color="auto"/>
              <w:left w:val="nil"/>
              <w:bottom w:val="single" w:sz="4" w:space="0" w:color="auto"/>
              <w:right w:val="single" w:sz="4" w:space="0" w:color="auto"/>
            </w:tcBorders>
            <w:shd w:val="clear" w:color="auto" w:fill="auto"/>
            <w:noWrap/>
            <w:vAlign w:val="center"/>
            <w:hideMark/>
          </w:tcPr>
          <w:p w14:paraId="2DA878EA" w14:textId="77777777" w:rsidR="008B787A" w:rsidRPr="00693E73" w:rsidRDefault="008B787A" w:rsidP="00D948DE">
            <w:pPr>
              <w:spacing w:line="480" w:lineRule="auto"/>
              <w:jc w:val="center"/>
              <w:rPr>
                <w:rFonts w:ascii="Calibri" w:eastAsia="Times New Roman" w:hAnsi="Calibri" w:cs="Calibri"/>
                <w:color w:val="000000"/>
                <w:sz w:val="18"/>
                <w:szCs w:val="18"/>
              </w:rPr>
            </w:pPr>
            <w:r w:rsidRPr="00693E73">
              <w:rPr>
                <w:rFonts w:ascii="Calibri" w:eastAsia="Times New Roman" w:hAnsi="Calibri" w:cs="Calibri"/>
                <w:color w:val="000000"/>
                <w:sz w:val="18"/>
                <w:szCs w:val="18"/>
              </w:rPr>
              <w:t>0.83</w:t>
            </w:r>
          </w:p>
        </w:tc>
        <w:tc>
          <w:tcPr>
            <w:tcW w:w="774" w:type="dxa"/>
            <w:tcBorders>
              <w:top w:val="single" w:sz="4" w:space="0" w:color="auto"/>
              <w:left w:val="nil"/>
              <w:bottom w:val="single" w:sz="4" w:space="0" w:color="auto"/>
              <w:right w:val="single" w:sz="8" w:space="0" w:color="auto"/>
            </w:tcBorders>
            <w:shd w:val="clear" w:color="auto" w:fill="auto"/>
            <w:noWrap/>
            <w:vAlign w:val="center"/>
            <w:hideMark/>
          </w:tcPr>
          <w:p w14:paraId="3333852C" w14:textId="77777777" w:rsidR="008B787A" w:rsidRPr="00693E73" w:rsidRDefault="008B787A" w:rsidP="00D948DE">
            <w:pPr>
              <w:spacing w:line="480" w:lineRule="auto"/>
              <w:jc w:val="center"/>
              <w:rPr>
                <w:rFonts w:ascii="Calibri" w:eastAsia="Times New Roman" w:hAnsi="Calibri" w:cs="Calibri"/>
                <w:color w:val="000000"/>
                <w:sz w:val="18"/>
                <w:szCs w:val="18"/>
              </w:rPr>
            </w:pPr>
            <w:r w:rsidRPr="00693E73">
              <w:rPr>
                <w:rFonts w:ascii="Calibri" w:eastAsia="Times New Roman" w:hAnsi="Calibri" w:cs="Calibri"/>
                <w:color w:val="000000"/>
                <w:sz w:val="18"/>
                <w:szCs w:val="18"/>
              </w:rPr>
              <w:t>15637.46</w:t>
            </w:r>
          </w:p>
        </w:tc>
        <w:tc>
          <w:tcPr>
            <w:tcW w:w="724" w:type="dxa"/>
            <w:tcBorders>
              <w:top w:val="nil"/>
              <w:left w:val="single" w:sz="8" w:space="0" w:color="auto"/>
              <w:bottom w:val="single" w:sz="4" w:space="0" w:color="auto"/>
              <w:right w:val="single" w:sz="4" w:space="0" w:color="auto"/>
            </w:tcBorders>
            <w:shd w:val="clear" w:color="auto" w:fill="auto"/>
            <w:noWrap/>
            <w:vAlign w:val="center"/>
            <w:hideMark/>
          </w:tcPr>
          <w:p w14:paraId="484E50DD" w14:textId="77777777" w:rsidR="008B787A" w:rsidRPr="00693E73" w:rsidRDefault="008B787A" w:rsidP="00D948DE">
            <w:pPr>
              <w:spacing w:line="480" w:lineRule="auto"/>
              <w:jc w:val="center"/>
              <w:rPr>
                <w:rFonts w:ascii="Calibri" w:eastAsia="Times New Roman" w:hAnsi="Calibri" w:cs="Calibri"/>
                <w:color w:val="000000"/>
                <w:sz w:val="18"/>
                <w:szCs w:val="18"/>
              </w:rPr>
            </w:pPr>
            <w:r w:rsidRPr="00693E73">
              <w:rPr>
                <w:rFonts w:ascii="Calibri" w:eastAsia="Times New Roman" w:hAnsi="Calibri" w:cs="Calibri"/>
                <w:color w:val="000000"/>
                <w:sz w:val="18"/>
                <w:szCs w:val="18"/>
              </w:rPr>
              <w:t>-5.5</w:t>
            </w:r>
          </w:p>
        </w:tc>
        <w:tc>
          <w:tcPr>
            <w:tcW w:w="1099" w:type="dxa"/>
            <w:tcBorders>
              <w:top w:val="nil"/>
              <w:left w:val="nil"/>
              <w:bottom w:val="single" w:sz="4" w:space="0" w:color="auto"/>
              <w:right w:val="single" w:sz="8" w:space="0" w:color="auto"/>
            </w:tcBorders>
            <w:shd w:val="clear" w:color="auto" w:fill="auto"/>
            <w:noWrap/>
            <w:vAlign w:val="center"/>
            <w:hideMark/>
          </w:tcPr>
          <w:p w14:paraId="7F81081F" w14:textId="77777777" w:rsidR="008B787A" w:rsidRPr="00693E73" w:rsidRDefault="008B787A" w:rsidP="00D948DE">
            <w:pPr>
              <w:spacing w:line="480" w:lineRule="auto"/>
              <w:jc w:val="center"/>
              <w:rPr>
                <w:rFonts w:ascii="Calibri" w:eastAsia="Times New Roman" w:hAnsi="Calibri" w:cs="Calibri"/>
                <w:color w:val="000000"/>
                <w:sz w:val="18"/>
                <w:szCs w:val="18"/>
              </w:rPr>
            </w:pPr>
            <w:r w:rsidRPr="00693E73">
              <w:rPr>
                <w:rFonts w:ascii="Calibri" w:eastAsia="Times New Roman" w:hAnsi="Calibri" w:cs="Calibri"/>
                <w:color w:val="000000"/>
                <w:sz w:val="18"/>
                <w:szCs w:val="18"/>
              </w:rPr>
              <w:t>15.3</w:t>
            </w:r>
          </w:p>
        </w:tc>
      </w:tr>
      <w:tr w:rsidR="005324F6" w:rsidRPr="007A1CB3" w14:paraId="7A6DDCE5" w14:textId="77777777" w:rsidTr="00426AA5">
        <w:trPr>
          <w:trHeight w:val="288"/>
        </w:trPr>
        <w:tc>
          <w:tcPr>
            <w:tcW w:w="639" w:type="dxa"/>
            <w:tcBorders>
              <w:top w:val="nil"/>
              <w:left w:val="single" w:sz="8" w:space="0" w:color="auto"/>
              <w:bottom w:val="single" w:sz="4" w:space="0" w:color="auto"/>
              <w:right w:val="single" w:sz="8" w:space="0" w:color="auto"/>
            </w:tcBorders>
            <w:shd w:val="clear" w:color="auto" w:fill="auto"/>
            <w:noWrap/>
            <w:vAlign w:val="center"/>
            <w:hideMark/>
          </w:tcPr>
          <w:p w14:paraId="65038E26" w14:textId="77777777" w:rsidR="008B787A" w:rsidRPr="00693E73" w:rsidRDefault="008B787A" w:rsidP="00D948DE">
            <w:pPr>
              <w:spacing w:line="480" w:lineRule="auto"/>
              <w:jc w:val="center"/>
              <w:rPr>
                <w:rFonts w:ascii="Calibri" w:eastAsia="Times New Roman" w:hAnsi="Calibri" w:cs="Calibri"/>
                <w:color w:val="000000"/>
                <w:sz w:val="18"/>
                <w:szCs w:val="18"/>
              </w:rPr>
            </w:pPr>
            <w:r w:rsidRPr="00693E73">
              <w:rPr>
                <w:rFonts w:ascii="Calibri" w:eastAsia="Times New Roman" w:hAnsi="Calibri" w:cs="Calibri"/>
                <w:color w:val="000000"/>
                <w:sz w:val="18"/>
                <w:szCs w:val="18"/>
              </w:rPr>
              <w:t>6</w:t>
            </w:r>
          </w:p>
        </w:tc>
        <w:tc>
          <w:tcPr>
            <w:tcW w:w="443" w:type="dxa"/>
            <w:tcBorders>
              <w:top w:val="nil"/>
              <w:left w:val="nil"/>
              <w:bottom w:val="single" w:sz="4" w:space="0" w:color="auto"/>
              <w:right w:val="single" w:sz="4" w:space="0" w:color="auto"/>
            </w:tcBorders>
            <w:shd w:val="clear" w:color="auto" w:fill="auto"/>
            <w:noWrap/>
            <w:vAlign w:val="center"/>
            <w:hideMark/>
          </w:tcPr>
          <w:p w14:paraId="547123F7" w14:textId="77777777" w:rsidR="008B787A" w:rsidRPr="00693E73" w:rsidRDefault="008B787A" w:rsidP="00D948DE">
            <w:pPr>
              <w:spacing w:line="480" w:lineRule="auto"/>
              <w:jc w:val="center"/>
              <w:rPr>
                <w:rFonts w:ascii="Calibri" w:eastAsia="Times New Roman" w:hAnsi="Calibri" w:cs="Calibri"/>
                <w:color w:val="000000"/>
                <w:sz w:val="18"/>
                <w:szCs w:val="18"/>
              </w:rPr>
            </w:pPr>
            <w:r w:rsidRPr="00693E73">
              <w:rPr>
                <w:rFonts w:ascii="Calibri" w:eastAsia="Times New Roman" w:hAnsi="Calibri" w:cs="Calibri"/>
                <w:color w:val="000000"/>
                <w:sz w:val="18"/>
                <w:szCs w:val="18"/>
              </w:rPr>
              <w:t>0.84</w:t>
            </w:r>
          </w:p>
        </w:tc>
        <w:tc>
          <w:tcPr>
            <w:tcW w:w="409" w:type="dxa"/>
            <w:tcBorders>
              <w:top w:val="nil"/>
              <w:left w:val="nil"/>
              <w:bottom w:val="single" w:sz="4" w:space="0" w:color="auto"/>
              <w:right w:val="single" w:sz="4" w:space="0" w:color="auto"/>
            </w:tcBorders>
            <w:shd w:val="clear" w:color="auto" w:fill="auto"/>
            <w:noWrap/>
            <w:vAlign w:val="center"/>
            <w:hideMark/>
          </w:tcPr>
          <w:p w14:paraId="137DA49B" w14:textId="77777777" w:rsidR="008B787A" w:rsidRPr="00693E73" w:rsidRDefault="008B787A" w:rsidP="00D948DE">
            <w:pPr>
              <w:spacing w:line="480" w:lineRule="auto"/>
              <w:jc w:val="center"/>
              <w:rPr>
                <w:rFonts w:ascii="Calibri" w:eastAsia="Times New Roman" w:hAnsi="Calibri" w:cs="Calibri"/>
                <w:color w:val="000000"/>
                <w:sz w:val="18"/>
                <w:szCs w:val="18"/>
              </w:rPr>
            </w:pPr>
            <w:r w:rsidRPr="00693E73">
              <w:rPr>
                <w:rFonts w:ascii="Calibri" w:eastAsia="Times New Roman" w:hAnsi="Calibri" w:cs="Calibri"/>
                <w:color w:val="000000"/>
                <w:sz w:val="18"/>
                <w:szCs w:val="18"/>
              </w:rPr>
              <w:t>0.79</w:t>
            </w:r>
          </w:p>
        </w:tc>
        <w:tc>
          <w:tcPr>
            <w:tcW w:w="360" w:type="dxa"/>
            <w:tcBorders>
              <w:top w:val="nil"/>
              <w:left w:val="nil"/>
              <w:bottom w:val="single" w:sz="4" w:space="0" w:color="auto"/>
              <w:right w:val="single" w:sz="4" w:space="0" w:color="auto"/>
            </w:tcBorders>
            <w:shd w:val="clear" w:color="auto" w:fill="auto"/>
            <w:noWrap/>
            <w:vAlign w:val="center"/>
            <w:hideMark/>
          </w:tcPr>
          <w:p w14:paraId="56209B09" w14:textId="77777777" w:rsidR="008B787A" w:rsidRPr="00693E73" w:rsidRDefault="008B787A" w:rsidP="00D948DE">
            <w:pPr>
              <w:spacing w:line="480" w:lineRule="auto"/>
              <w:jc w:val="center"/>
              <w:rPr>
                <w:rFonts w:ascii="Calibri" w:eastAsia="Times New Roman" w:hAnsi="Calibri" w:cs="Calibri"/>
                <w:color w:val="000000"/>
                <w:sz w:val="18"/>
                <w:szCs w:val="18"/>
              </w:rPr>
            </w:pPr>
            <w:r w:rsidRPr="00693E73">
              <w:rPr>
                <w:rFonts w:ascii="Calibri" w:eastAsia="Times New Roman" w:hAnsi="Calibri" w:cs="Calibri"/>
                <w:color w:val="000000"/>
                <w:sz w:val="18"/>
                <w:szCs w:val="18"/>
              </w:rPr>
              <w:t>0</w:t>
            </w:r>
          </w:p>
        </w:tc>
        <w:tc>
          <w:tcPr>
            <w:tcW w:w="464" w:type="dxa"/>
            <w:tcBorders>
              <w:top w:val="nil"/>
              <w:left w:val="nil"/>
              <w:bottom w:val="single" w:sz="4" w:space="0" w:color="auto"/>
              <w:right w:val="single" w:sz="4" w:space="0" w:color="auto"/>
            </w:tcBorders>
            <w:shd w:val="clear" w:color="auto" w:fill="auto"/>
            <w:noWrap/>
            <w:vAlign w:val="center"/>
            <w:hideMark/>
          </w:tcPr>
          <w:p w14:paraId="3BE8821C" w14:textId="77777777" w:rsidR="008B787A" w:rsidRPr="00693E73" w:rsidRDefault="008B787A" w:rsidP="00D948DE">
            <w:pPr>
              <w:spacing w:line="480" w:lineRule="auto"/>
              <w:jc w:val="center"/>
              <w:rPr>
                <w:rFonts w:ascii="Calibri" w:eastAsia="Times New Roman" w:hAnsi="Calibri" w:cs="Calibri"/>
                <w:color w:val="000000"/>
                <w:sz w:val="18"/>
                <w:szCs w:val="18"/>
              </w:rPr>
            </w:pPr>
            <w:r w:rsidRPr="00693E73">
              <w:rPr>
                <w:rFonts w:ascii="Calibri" w:eastAsia="Times New Roman" w:hAnsi="Calibri" w:cs="Calibri"/>
                <w:color w:val="000000"/>
                <w:sz w:val="18"/>
                <w:szCs w:val="18"/>
              </w:rPr>
              <w:t>-1.61</w:t>
            </w:r>
          </w:p>
        </w:tc>
        <w:tc>
          <w:tcPr>
            <w:tcW w:w="409" w:type="dxa"/>
            <w:tcBorders>
              <w:top w:val="nil"/>
              <w:left w:val="nil"/>
              <w:bottom w:val="single" w:sz="4" w:space="0" w:color="auto"/>
              <w:right w:val="single" w:sz="4" w:space="0" w:color="auto"/>
            </w:tcBorders>
            <w:shd w:val="clear" w:color="auto" w:fill="auto"/>
            <w:noWrap/>
            <w:vAlign w:val="center"/>
            <w:hideMark/>
          </w:tcPr>
          <w:p w14:paraId="61D43DD8" w14:textId="77777777" w:rsidR="008B787A" w:rsidRPr="00693E73" w:rsidRDefault="008B787A" w:rsidP="00D948DE">
            <w:pPr>
              <w:spacing w:line="480" w:lineRule="auto"/>
              <w:jc w:val="center"/>
              <w:rPr>
                <w:rFonts w:ascii="Calibri" w:eastAsia="Times New Roman" w:hAnsi="Calibri" w:cs="Calibri"/>
                <w:color w:val="000000"/>
                <w:sz w:val="18"/>
                <w:szCs w:val="18"/>
              </w:rPr>
            </w:pPr>
            <w:r w:rsidRPr="00693E73">
              <w:rPr>
                <w:rFonts w:ascii="Calibri" w:eastAsia="Times New Roman" w:hAnsi="Calibri" w:cs="Calibri"/>
                <w:color w:val="000000"/>
                <w:sz w:val="18"/>
                <w:szCs w:val="18"/>
              </w:rPr>
              <w:t>0.93</w:t>
            </w:r>
          </w:p>
        </w:tc>
        <w:tc>
          <w:tcPr>
            <w:tcW w:w="409" w:type="dxa"/>
            <w:tcBorders>
              <w:top w:val="nil"/>
              <w:left w:val="nil"/>
              <w:bottom w:val="single" w:sz="4" w:space="0" w:color="auto"/>
              <w:right w:val="single" w:sz="4" w:space="0" w:color="auto"/>
            </w:tcBorders>
            <w:shd w:val="clear" w:color="auto" w:fill="auto"/>
            <w:noWrap/>
            <w:vAlign w:val="center"/>
            <w:hideMark/>
          </w:tcPr>
          <w:p w14:paraId="265560DC" w14:textId="77777777" w:rsidR="008B787A" w:rsidRPr="00693E73" w:rsidRDefault="008B787A" w:rsidP="00D948DE">
            <w:pPr>
              <w:spacing w:line="480" w:lineRule="auto"/>
              <w:jc w:val="center"/>
              <w:rPr>
                <w:rFonts w:ascii="Calibri" w:eastAsia="Times New Roman" w:hAnsi="Calibri" w:cs="Calibri"/>
                <w:color w:val="000000"/>
                <w:sz w:val="18"/>
                <w:szCs w:val="18"/>
              </w:rPr>
            </w:pPr>
            <w:r w:rsidRPr="00693E73">
              <w:rPr>
                <w:rFonts w:ascii="Calibri" w:eastAsia="Times New Roman" w:hAnsi="Calibri" w:cs="Calibri"/>
                <w:color w:val="000000"/>
                <w:sz w:val="18"/>
                <w:szCs w:val="18"/>
              </w:rPr>
              <w:t>1.32</w:t>
            </w:r>
          </w:p>
        </w:tc>
        <w:tc>
          <w:tcPr>
            <w:tcW w:w="774" w:type="dxa"/>
            <w:tcBorders>
              <w:top w:val="nil"/>
              <w:left w:val="nil"/>
              <w:bottom w:val="single" w:sz="4" w:space="0" w:color="auto"/>
              <w:right w:val="single" w:sz="8" w:space="0" w:color="auto"/>
            </w:tcBorders>
            <w:shd w:val="clear" w:color="auto" w:fill="auto"/>
            <w:noWrap/>
            <w:vAlign w:val="center"/>
            <w:hideMark/>
          </w:tcPr>
          <w:p w14:paraId="3471A626" w14:textId="77777777" w:rsidR="008B787A" w:rsidRPr="00693E73" w:rsidRDefault="008B787A" w:rsidP="00D948DE">
            <w:pPr>
              <w:spacing w:line="480" w:lineRule="auto"/>
              <w:jc w:val="center"/>
              <w:rPr>
                <w:rFonts w:ascii="Calibri" w:eastAsia="Times New Roman" w:hAnsi="Calibri" w:cs="Calibri"/>
                <w:color w:val="000000"/>
                <w:sz w:val="18"/>
                <w:szCs w:val="18"/>
              </w:rPr>
            </w:pPr>
            <w:r w:rsidRPr="00693E73">
              <w:rPr>
                <w:rFonts w:ascii="Calibri" w:eastAsia="Times New Roman" w:hAnsi="Calibri" w:cs="Calibri"/>
                <w:color w:val="000000"/>
                <w:sz w:val="18"/>
                <w:szCs w:val="18"/>
              </w:rPr>
              <w:t>14772.20</w:t>
            </w:r>
          </w:p>
        </w:tc>
        <w:tc>
          <w:tcPr>
            <w:tcW w:w="409"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1E30F8EE" w14:textId="77777777" w:rsidR="008B787A" w:rsidRPr="00693E73" w:rsidRDefault="008B787A" w:rsidP="00D948DE">
            <w:pPr>
              <w:spacing w:line="480" w:lineRule="auto"/>
              <w:jc w:val="center"/>
              <w:rPr>
                <w:rFonts w:ascii="Calibri" w:eastAsia="Times New Roman" w:hAnsi="Calibri" w:cs="Calibri"/>
                <w:color w:val="000000"/>
                <w:sz w:val="18"/>
                <w:szCs w:val="18"/>
              </w:rPr>
            </w:pPr>
            <w:r w:rsidRPr="00693E73">
              <w:rPr>
                <w:rFonts w:ascii="Calibri" w:eastAsia="Times New Roman" w:hAnsi="Calibri" w:cs="Calibri"/>
                <w:color w:val="000000"/>
                <w:sz w:val="18"/>
                <w:szCs w:val="18"/>
              </w:rPr>
              <w:t>0.41</w:t>
            </w:r>
          </w:p>
        </w:tc>
        <w:tc>
          <w:tcPr>
            <w:tcW w:w="360" w:type="dxa"/>
            <w:tcBorders>
              <w:top w:val="single" w:sz="4" w:space="0" w:color="auto"/>
              <w:left w:val="nil"/>
              <w:bottom w:val="single" w:sz="4" w:space="0" w:color="auto"/>
              <w:right w:val="single" w:sz="4" w:space="0" w:color="auto"/>
            </w:tcBorders>
            <w:shd w:val="clear" w:color="auto" w:fill="auto"/>
            <w:noWrap/>
            <w:vAlign w:val="center"/>
            <w:hideMark/>
          </w:tcPr>
          <w:p w14:paraId="57CA7CFB" w14:textId="77777777" w:rsidR="008B787A" w:rsidRPr="00693E73" w:rsidRDefault="008B787A" w:rsidP="00D948DE">
            <w:pPr>
              <w:spacing w:line="480" w:lineRule="auto"/>
              <w:jc w:val="center"/>
              <w:rPr>
                <w:rFonts w:ascii="Calibri" w:eastAsia="Times New Roman" w:hAnsi="Calibri" w:cs="Calibri"/>
                <w:color w:val="000000"/>
                <w:sz w:val="18"/>
                <w:szCs w:val="18"/>
              </w:rPr>
            </w:pPr>
            <w:r w:rsidRPr="00693E73">
              <w:rPr>
                <w:rFonts w:ascii="Calibri" w:eastAsia="Times New Roman" w:hAnsi="Calibri" w:cs="Calibri"/>
                <w:color w:val="000000"/>
                <w:sz w:val="18"/>
                <w:szCs w:val="18"/>
              </w:rPr>
              <w:t>0</w:t>
            </w:r>
          </w:p>
        </w:tc>
        <w:tc>
          <w:tcPr>
            <w:tcW w:w="464" w:type="dxa"/>
            <w:tcBorders>
              <w:top w:val="single" w:sz="4" w:space="0" w:color="auto"/>
              <w:left w:val="nil"/>
              <w:bottom w:val="single" w:sz="4" w:space="0" w:color="auto"/>
              <w:right w:val="single" w:sz="4" w:space="0" w:color="auto"/>
            </w:tcBorders>
            <w:shd w:val="clear" w:color="auto" w:fill="auto"/>
            <w:noWrap/>
            <w:vAlign w:val="center"/>
            <w:hideMark/>
          </w:tcPr>
          <w:p w14:paraId="0E297DB5" w14:textId="77777777" w:rsidR="008B787A" w:rsidRPr="00693E73" w:rsidRDefault="008B787A" w:rsidP="00D948DE">
            <w:pPr>
              <w:spacing w:line="480" w:lineRule="auto"/>
              <w:jc w:val="center"/>
              <w:rPr>
                <w:rFonts w:ascii="Calibri" w:eastAsia="Times New Roman" w:hAnsi="Calibri" w:cs="Calibri"/>
                <w:color w:val="000000"/>
                <w:sz w:val="18"/>
                <w:szCs w:val="18"/>
              </w:rPr>
            </w:pPr>
            <w:r w:rsidRPr="00693E73">
              <w:rPr>
                <w:rFonts w:ascii="Calibri" w:eastAsia="Times New Roman" w:hAnsi="Calibri" w:cs="Calibri"/>
                <w:color w:val="000000"/>
                <w:sz w:val="18"/>
                <w:szCs w:val="18"/>
              </w:rPr>
              <w:t>-1.48</w:t>
            </w:r>
          </w:p>
        </w:tc>
        <w:tc>
          <w:tcPr>
            <w:tcW w:w="409" w:type="dxa"/>
            <w:tcBorders>
              <w:top w:val="single" w:sz="4" w:space="0" w:color="auto"/>
              <w:left w:val="nil"/>
              <w:bottom w:val="single" w:sz="4" w:space="0" w:color="auto"/>
              <w:right w:val="single" w:sz="4" w:space="0" w:color="auto"/>
            </w:tcBorders>
            <w:shd w:val="clear" w:color="auto" w:fill="auto"/>
            <w:noWrap/>
            <w:vAlign w:val="center"/>
            <w:hideMark/>
          </w:tcPr>
          <w:p w14:paraId="68C83808" w14:textId="77777777" w:rsidR="008B787A" w:rsidRPr="00693E73" w:rsidRDefault="008B787A" w:rsidP="00D948DE">
            <w:pPr>
              <w:spacing w:line="480" w:lineRule="auto"/>
              <w:jc w:val="center"/>
              <w:rPr>
                <w:rFonts w:ascii="Calibri" w:eastAsia="Times New Roman" w:hAnsi="Calibri" w:cs="Calibri"/>
                <w:color w:val="000000"/>
                <w:sz w:val="18"/>
                <w:szCs w:val="18"/>
              </w:rPr>
            </w:pPr>
            <w:r w:rsidRPr="00693E73">
              <w:rPr>
                <w:rFonts w:ascii="Calibri" w:eastAsia="Times New Roman" w:hAnsi="Calibri" w:cs="Calibri"/>
                <w:color w:val="000000"/>
                <w:sz w:val="18"/>
                <w:szCs w:val="18"/>
              </w:rPr>
              <w:t>0.80</w:t>
            </w:r>
          </w:p>
        </w:tc>
        <w:tc>
          <w:tcPr>
            <w:tcW w:w="409" w:type="dxa"/>
            <w:tcBorders>
              <w:top w:val="single" w:sz="4" w:space="0" w:color="auto"/>
              <w:left w:val="nil"/>
              <w:bottom w:val="single" w:sz="4" w:space="0" w:color="auto"/>
              <w:right w:val="single" w:sz="4" w:space="0" w:color="auto"/>
            </w:tcBorders>
            <w:shd w:val="clear" w:color="auto" w:fill="auto"/>
            <w:noWrap/>
            <w:vAlign w:val="center"/>
            <w:hideMark/>
          </w:tcPr>
          <w:p w14:paraId="641A7C59" w14:textId="77777777" w:rsidR="008B787A" w:rsidRPr="00693E73" w:rsidRDefault="008B787A" w:rsidP="00D948DE">
            <w:pPr>
              <w:spacing w:line="480" w:lineRule="auto"/>
              <w:jc w:val="center"/>
              <w:rPr>
                <w:rFonts w:ascii="Calibri" w:eastAsia="Times New Roman" w:hAnsi="Calibri" w:cs="Calibri"/>
                <w:color w:val="000000"/>
                <w:sz w:val="18"/>
                <w:szCs w:val="18"/>
              </w:rPr>
            </w:pPr>
            <w:r w:rsidRPr="00693E73">
              <w:rPr>
                <w:rFonts w:ascii="Calibri" w:eastAsia="Times New Roman" w:hAnsi="Calibri" w:cs="Calibri"/>
                <w:color w:val="000000"/>
                <w:sz w:val="18"/>
                <w:szCs w:val="18"/>
              </w:rPr>
              <w:t>1.22</w:t>
            </w:r>
          </w:p>
        </w:tc>
        <w:tc>
          <w:tcPr>
            <w:tcW w:w="774" w:type="dxa"/>
            <w:tcBorders>
              <w:top w:val="single" w:sz="4" w:space="0" w:color="auto"/>
              <w:left w:val="nil"/>
              <w:bottom w:val="single" w:sz="4" w:space="0" w:color="auto"/>
              <w:right w:val="single" w:sz="8" w:space="0" w:color="auto"/>
            </w:tcBorders>
            <w:shd w:val="clear" w:color="auto" w:fill="auto"/>
            <w:noWrap/>
            <w:vAlign w:val="center"/>
            <w:hideMark/>
          </w:tcPr>
          <w:p w14:paraId="67213C52" w14:textId="77777777" w:rsidR="008B787A" w:rsidRPr="00693E73" w:rsidRDefault="008B787A" w:rsidP="00D948DE">
            <w:pPr>
              <w:spacing w:line="480" w:lineRule="auto"/>
              <w:jc w:val="center"/>
              <w:rPr>
                <w:rFonts w:ascii="Calibri" w:eastAsia="Times New Roman" w:hAnsi="Calibri" w:cs="Calibri"/>
                <w:color w:val="000000"/>
                <w:sz w:val="18"/>
                <w:szCs w:val="18"/>
              </w:rPr>
            </w:pPr>
            <w:r w:rsidRPr="00693E73">
              <w:rPr>
                <w:rFonts w:ascii="Calibri" w:eastAsia="Times New Roman" w:hAnsi="Calibri" w:cs="Calibri"/>
                <w:color w:val="000000"/>
                <w:sz w:val="18"/>
                <w:szCs w:val="18"/>
              </w:rPr>
              <w:t>14882.35</w:t>
            </w:r>
          </w:p>
        </w:tc>
        <w:tc>
          <w:tcPr>
            <w:tcW w:w="724" w:type="dxa"/>
            <w:tcBorders>
              <w:top w:val="nil"/>
              <w:left w:val="single" w:sz="8" w:space="0" w:color="auto"/>
              <w:bottom w:val="single" w:sz="4" w:space="0" w:color="auto"/>
              <w:right w:val="single" w:sz="4" w:space="0" w:color="auto"/>
            </w:tcBorders>
            <w:shd w:val="clear" w:color="auto" w:fill="auto"/>
            <w:noWrap/>
            <w:vAlign w:val="center"/>
            <w:hideMark/>
          </w:tcPr>
          <w:p w14:paraId="75BA1B33" w14:textId="77777777" w:rsidR="008B787A" w:rsidRPr="00693E73" w:rsidRDefault="008B787A" w:rsidP="00D948DE">
            <w:pPr>
              <w:spacing w:line="480" w:lineRule="auto"/>
              <w:jc w:val="center"/>
              <w:rPr>
                <w:rFonts w:ascii="Calibri" w:eastAsia="Times New Roman" w:hAnsi="Calibri" w:cs="Calibri"/>
                <w:color w:val="000000"/>
                <w:sz w:val="18"/>
                <w:szCs w:val="18"/>
              </w:rPr>
            </w:pPr>
            <w:r w:rsidRPr="00693E73">
              <w:rPr>
                <w:rFonts w:ascii="Calibri" w:eastAsia="Times New Roman" w:hAnsi="Calibri" w:cs="Calibri"/>
                <w:color w:val="000000"/>
                <w:sz w:val="18"/>
                <w:szCs w:val="18"/>
              </w:rPr>
              <w:t>-110.2</w:t>
            </w:r>
          </w:p>
        </w:tc>
        <w:tc>
          <w:tcPr>
            <w:tcW w:w="1099" w:type="dxa"/>
            <w:tcBorders>
              <w:top w:val="nil"/>
              <w:left w:val="nil"/>
              <w:bottom w:val="single" w:sz="4" w:space="0" w:color="auto"/>
              <w:right w:val="single" w:sz="8" w:space="0" w:color="auto"/>
            </w:tcBorders>
            <w:shd w:val="clear" w:color="auto" w:fill="auto"/>
            <w:noWrap/>
            <w:vAlign w:val="center"/>
            <w:hideMark/>
          </w:tcPr>
          <w:p w14:paraId="7FB268DD" w14:textId="65A5F88E" w:rsidR="008B787A" w:rsidRPr="00693E73" w:rsidRDefault="00FB6851" w:rsidP="00D948DE">
            <w:pPr>
              <w:spacing w:line="480" w:lineRule="auto"/>
              <w:jc w:val="center"/>
              <w:rPr>
                <w:rFonts w:ascii="Calibri" w:eastAsia="Times New Roman" w:hAnsi="Calibri" w:cs="Calibri"/>
                <w:color w:val="000000"/>
                <w:sz w:val="18"/>
                <w:szCs w:val="18"/>
                <w:vertAlign w:val="superscript"/>
              </w:rPr>
            </w:pPr>
            <w:r>
              <w:rPr>
                <w:rFonts w:ascii="Calibri" w:eastAsia="Times New Roman" w:hAnsi="Calibri" w:cs="Calibri"/>
                <w:color w:val="000000"/>
                <w:sz w:val="18"/>
                <w:szCs w:val="18"/>
              </w:rPr>
              <w:t>8.3</w:t>
            </w:r>
            <w:r w:rsidR="00BD7B4E">
              <w:rPr>
                <w:rFonts w:ascii="Calibri" w:eastAsia="Times New Roman" w:hAnsi="Calibri" w:cs="Calibri"/>
                <w:color w:val="000000"/>
                <w:sz w:val="18"/>
                <w:szCs w:val="18"/>
              </w:rPr>
              <w:t>*10</w:t>
            </w:r>
            <w:r w:rsidR="00BD7B4E">
              <w:rPr>
                <w:rFonts w:ascii="Calibri" w:eastAsia="Times New Roman" w:hAnsi="Calibri" w:cs="Calibri"/>
                <w:color w:val="000000"/>
                <w:sz w:val="18"/>
                <w:szCs w:val="18"/>
                <w:vertAlign w:val="superscript"/>
              </w:rPr>
              <w:t>23</w:t>
            </w:r>
          </w:p>
        </w:tc>
      </w:tr>
      <w:tr w:rsidR="005324F6" w:rsidRPr="007A1CB3" w14:paraId="0A3DEC99" w14:textId="77777777" w:rsidTr="00426AA5">
        <w:trPr>
          <w:trHeight w:val="288"/>
        </w:trPr>
        <w:tc>
          <w:tcPr>
            <w:tcW w:w="639" w:type="dxa"/>
            <w:tcBorders>
              <w:top w:val="nil"/>
              <w:left w:val="single" w:sz="8" w:space="0" w:color="auto"/>
              <w:bottom w:val="single" w:sz="4" w:space="0" w:color="auto"/>
              <w:right w:val="single" w:sz="8" w:space="0" w:color="auto"/>
            </w:tcBorders>
            <w:shd w:val="clear" w:color="auto" w:fill="auto"/>
            <w:noWrap/>
            <w:vAlign w:val="center"/>
            <w:hideMark/>
          </w:tcPr>
          <w:p w14:paraId="63C02BB5" w14:textId="77777777" w:rsidR="008B787A" w:rsidRPr="00693E73" w:rsidRDefault="008B787A" w:rsidP="00D948DE">
            <w:pPr>
              <w:spacing w:line="480" w:lineRule="auto"/>
              <w:jc w:val="center"/>
              <w:rPr>
                <w:rFonts w:ascii="Calibri" w:eastAsia="Times New Roman" w:hAnsi="Calibri" w:cs="Calibri"/>
                <w:color w:val="000000"/>
                <w:sz w:val="18"/>
                <w:szCs w:val="18"/>
              </w:rPr>
            </w:pPr>
            <w:r w:rsidRPr="00693E73">
              <w:rPr>
                <w:rFonts w:ascii="Calibri" w:eastAsia="Times New Roman" w:hAnsi="Calibri" w:cs="Calibri"/>
                <w:color w:val="000000"/>
                <w:sz w:val="18"/>
                <w:szCs w:val="18"/>
              </w:rPr>
              <w:t>7</w:t>
            </w:r>
          </w:p>
        </w:tc>
        <w:tc>
          <w:tcPr>
            <w:tcW w:w="443" w:type="dxa"/>
            <w:tcBorders>
              <w:top w:val="nil"/>
              <w:left w:val="nil"/>
              <w:bottom w:val="single" w:sz="4" w:space="0" w:color="auto"/>
              <w:right w:val="single" w:sz="4" w:space="0" w:color="auto"/>
            </w:tcBorders>
            <w:shd w:val="clear" w:color="auto" w:fill="auto"/>
            <w:noWrap/>
            <w:vAlign w:val="center"/>
            <w:hideMark/>
          </w:tcPr>
          <w:p w14:paraId="5E59BBF5" w14:textId="77777777" w:rsidR="008B787A" w:rsidRPr="00693E73" w:rsidRDefault="008B787A" w:rsidP="00D948DE">
            <w:pPr>
              <w:spacing w:line="480" w:lineRule="auto"/>
              <w:jc w:val="center"/>
              <w:rPr>
                <w:rFonts w:ascii="Calibri" w:eastAsia="Times New Roman" w:hAnsi="Calibri" w:cs="Calibri"/>
                <w:color w:val="000000"/>
                <w:sz w:val="18"/>
                <w:szCs w:val="18"/>
              </w:rPr>
            </w:pPr>
            <w:r w:rsidRPr="00693E73">
              <w:rPr>
                <w:rFonts w:ascii="Calibri" w:eastAsia="Times New Roman" w:hAnsi="Calibri" w:cs="Calibri"/>
                <w:color w:val="000000"/>
                <w:sz w:val="18"/>
                <w:szCs w:val="18"/>
              </w:rPr>
              <w:t>0.33</w:t>
            </w:r>
          </w:p>
        </w:tc>
        <w:tc>
          <w:tcPr>
            <w:tcW w:w="409" w:type="dxa"/>
            <w:tcBorders>
              <w:top w:val="nil"/>
              <w:left w:val="nil"/>
              <w:bottom w:val="single" w:sz="4" w:space="0" w:color="auto"/>
              <w:right w:val="single" w:sz="4" w:space="0" w:color="auto"/>
            </w:tcBorders>
            <w:shd w:val="clear" w:color="auto" w:fill="auto"/>
            <w:noWrap/>
            <w:vAlign w:val="center"/>
            <w:hideMark/>
          </w:tcPr>
          <w:p w14:paraId="338C93DA" w14:textId="77777777" w:rsidR="008B787A" w:rsidRPr="00693E73" w:rsidRDefault="008B787A" w:rsidP="00D948DE">
            <w:pPr>
              <w:spacing w:line="480" w:lineRule="auto"/>
              <w:jc w:val="center"/>
              <w:rPr>
                <w:rFonts w:ascii="Calibri" w:eastAsia="Times New Roman" w:hAnsi="Calibri" w:cs="Calibri"/>
                <w:color w:val="000000"/>
                <w:sz w:val="18"/>
                <w:szCs w:val="18"/>
              </w:rPr>
            </w:pPr>
            <w:r w:rsidRPr="00693E73">
              <w:rPr>
                <w:rFonts w:ascii="Calibri" w:eastAsia="Times New Roman" w:hAnsi="Calibri" w:cs="Calibri"/>
                <w:color w:val="000000"/>
                <w:sz w:val="18"/>
                <w:szCs w:val="18"/>
              </w:rPr>
              <w:t>1.64</w:t>
            </w:r>
          </w:p>
        </w:tc>
        <w:tc>
          <w:tcPr>
            <w:tcW w:w="360" w:type="dxa"/>
            <w:tcBorders>
              <w:top w:val="nil"/>
              <w:left w:val="nil"/>
              <w:bottom w:val="single" w:sz="4" w:space="0" w:color="auto"/>
              <w:right w:val="single" w:sz="4" w:space="0" w:color="auto"/>
            </w:tcBorders>
            <w:shd w:val="clear" w:color="auto" w:fill="auto"/>
            <w:noWrap/>
            <w:vAlign w:val="center"/>
            <w:hideMark/>
          </w:tcPr>
          <w:p w14:paraId="3310D09D" w14:textId="77777777" w:rsidR="008B787A" w:rsidRPr="00693E73" w:rsidRDefault="008B787A" w:rsidP="00D948DE">
            <w:pPr>
              <w:spacing w:line="480" w:lineRule="auto"/>
              <w:jc w:val="center"/>
              <w:rPr>
                <w:rFonts w:ascii="Calibri" w:eastAsia="Times New Roman" w:hAnsi="Calibri" w:cs="Calibri"/>
                <w:color w:val="000000"/>
                <w:sz w:val="18"/>
                <w:szCs w:val="18"/>
              </w:rPr>
            </w:pPr>
            <w:r w:rsidRPr="00693E73">
              <w:rPr>
                <w:rFonts w:ascii="Calibri" w:eastAsia="Times New Roman" w:hAnsi="Calibri" w:cs="Calibri"/>
                <w:color w:val="000000"/>
                <w:sz w:val="18"/>
                <w:szCs w:val="18"/>
              </w:rPr>
              <w:t>0.4</w:t>
            </w:r>
          </w:p>
        </w:tc>
        <w:tc>
          <w:tcPr>
            <w:tcW w:w="464" w:type="dxa"/>
            <w:tcBorders>
              <w:top w:val="nil"/>
              <w:left w:val="nil"/>
              <w:bottom w:val="single" w:sz="4" w:space="0" w:color="auto"/>
              <w:right w:val="single" w:sz="4" w:space="0" w:color="auto"/>
            </w:tcBorders>
            <w:shd w:val="clear" w:color="auto" w:fill="auto"/>
            <w:noWrap/>
            <w:vAlign w:val="center"/>
            <w:hideMark/>
          </w:tcPr>
          <w:p w14:paraId="271FD647" w14:textId="77777777" w:rsidR="008B787A" w:rsidRPr="00693E73" w:rsidRDefault="008B787A" w:rsidP="00D948DE">
            <w:pPr>
              <w:spacing w:line="480" w:lineRule="auto"/>
              <w:jc w:val="center"/>
              <w:rPr>
                <w:rFonts w:ascii="Calibri" w:eastAsia="Times New Roman" w:hAnsi="Calibri" w:cs="Calibri"/>
                <w:color w:val="000000"/>
                <w:sz w:val="18"/>
                <w:szCs w:val="18"/>
              </w:rPr>
            </w:pPr>
            <w:r w:rsidRPr="00693E73">
              <w:rPr>
                <w:rFonts w:ascii="Calibri" w:eastAsia="Times New Roman" w:hAnsi="Calibri" w:cs="Calibri"/>
                <w:color w:val="000000"/>
                <w:sz w:val="18"/>
                <w:szCs w:val="18"/>
              </w:rPr>
              <w:t>-0.73</w:t>
            </w:r>
          </w:p>
        </w:tc>
        <w:tc>
          <w:tcPr>
            <w:tcW w:w="409" w:type="dxa"/>
            <w:tcBorders>
              <w:top w:val="nil"/>
              <w:left w:val="nil"/>
              <w:bottom w:val="single" w:sz="4" w:space="0" w:color="auto"/>
              <w:right w:val="single" w:sz="4" w:space="0" w:color="auto"/>
            </w:tcBorders>
            <w:shd w:val="clear" w:color="auto" w:fill="auto"/>
            <w:noWrap/>
            <w:vAlign w:val="center"/>
            <w:hideMark/>
          </w:tcPr>
          <w:p w14:paraId="0B6C20F6" w14:textId="77777777" w:rsidR="008B787A" w:rsidRPr="00693E73" w:rsidRDefault="008B787A" w:rsidP="00D948DE">
            <w:pPr>
              <w:spacing w:line="480" w:lineRule="auto"/>
              <w:jc w:val="center"/>
              <w:rPr>
                <w:rFonts w:ascii="Calibri" w:eastAsia="Times New Roman" w:hAnsi="Calibri" w:cs="Calibri"/>
                <w:color w:val="000000"/>
                <w:sz w:val="18"/>
                <w:szCs w:val="18"/>
              </w:rPr>
            </w:pPr>
            <w:r w:rsidRPr="00693E73">
              <w:rPr>
                <w:rFonts w:ascii="Calibri" w:eastAsia="Times New Roman" w:hAnsi="Calibri" w:cs="Calibri"/>
                <w:color w:val="000000"/>
                <w:sz w:val="18"/>
                <w:szCs w:val="18"/>
              </w:rPr>
              <w:t>0.54</w:t>
            </w:r>
          </w:p>
        </w:tc>
        <w:tc>
          <w:tcPr>
            <w:tcW w:w="409" w:type="dxa"/>
            <w:tcBorders>
              <w:top w:val="nil"/>
              <w:left w:val="nil"/>
              <w:bottom w:val="single" w:sz="4" w:space="0" w:color="auto"/>
              <w:right w:val="single" w:sz="4" w:space="0" w:color="auto"/>
            </w:tcBorders>
            <w:shd w:val="clear" w:color="auto" w:fill="auto"/>
            <w:noWrap/>
            <w:vAlign w:val="center"/>
            <w:hideMark/>
          </w:tcPr>
          <w:p w14:paraId="4E393590" w14:textId="77777777" w:rsidR="008B787A" w:rsidRPr="00693E73" w:rsidRDefault="008B787A" w:rsidP="00D948DE">
            <w:pPr>
              <w:spacing w:line="480" w:lineRule="auto"/>
              <w:jc w:val="center"/>
              <w:rPr>
                <w:rFonts w:ascii="Calibri" w:eastAsia="Times New Roman" w:hAnsi="Calibri" w:cs="Calibri"/>
                <w:color w:val="000000"/>
                <w:sz w:val="18"/>
                <w:szCs w:val="18"/>
              </w:rPr>
            </w:pPr>
            <w:r w:rsidRPr="00693E73">
              <w:rPr>
                <w:rFonts w:ascii="Calibri" w:eastAsia="Times New Roman" w:hAnsi="Calibri" w:cs="Calibri"/>
                <w:color w:val="000000"/>
                <w:sz w:val="18"/>
                <w:szCs w:val="18"/>
              </w:rPr>
              <w:t>0.82</w:t>
            </w:r>
          </w:p>
        </w:tc>
        <w:tc>
          <w:tcPr>
            <w:tcW w:w="774" w:type="dxa"/>
            <w:tcBorders>
              <w:top w:val="nil"/>
              <w:left w:val="nil"/>
              <w:bottom w:val="single" w:sz="4" w:space="0" w:color="auto"/>
              <w:right w:val="single" w:sz="8" w:space="0" w:color="auto"/>
            </w:tcBorders>
            <w:shd w:val="clear" w:color="auto" w:fill="auto"/>
            <w:noWrap/>
            <w:vAlign w:val="center"/>
            <w:hideMark/>
          </w:tcPr>
          <w:p w14:paraId="03C8B7FF" w14:textId="77777777" w:rsidR="008B787A" w:rsidRPr="00693E73" w:rsidRDefault="008B787A" w:rsidP="00D948DE">
            <w:pPr>
              <w:spacing w:line="480" w:lineRule="auto"/>
              <w:jc w:val="center"/>
              <w:rPr>
                <w:rFonts w:ascii="Calibri" w:eastAsia="Times New Roman" w:hAnsi="Calibri" w:cs="Calibri"/>
                <w:color w:val="000000"/>
                <w:sz w:val="18"/>
                <w:szCs w:val="18"/>
              </w:rPr>
            </w:pPr>
            <w:r w:rsidRPr="00693E73">
              <w:rPr>
                <w:rFonts w:ascii="Calibri" w:eastAsia="Times New Roman" w:hAnsi="Calibri" w:cs="Calibri"/>
                <w:color w:val="000000"/>
                <w:sz w:val="18"/>
                <w:szCs w:val="18"/>
              </w:rPr>
              <w:t>12025.37</w:t>
            </w:r>
          </w:p>
        </w:tc>
        <w:tc>
          <w:tcPr>
            <w:tcW w:w="409"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3D43AC98" w14:textId="77777777" w:rsidR="008B787A" w:rsidRPr="00693E73" w:rsidRDefault="008B787A" w:rsidP="00D948DE">
            <w:pPr>
              <w:spacing w:line="480" w:lineRule="auto"/>
              <w:jc w:val="center"/>
              <w:rPr>
                <w:rFonts w:ascii="Calibri" w:eastAsia="Times New Roman" w:hAnsi="Calibri" w:cs="Calibri"/>
                <w:color w:val="000000"/>
                <w:sz w:val="18"/>
                <w:szCs w:val="18"/>
              </w:rPr>
            </w:pPr>
            <w:r w:rsidRPr="00693E73">
              <w:rPr>
                <w:rFonts w:ascii="Calibri" w:eastAsia="Times New Roman" w:hAnsi="Calibri" w:cs="Calibri"/>
                <w:color w:val="000000"/>
                <w:sz w:val="18"/>
                <w:szCs w:val="18"/>
              </w:rPr>
              <w:t>1.61</w:t>
            </w:r>
          </w:p>
        </w:tc>
        <w:tc>
          <w:tcPr>
            <w:tcW w:w="360" w:type="dxa"/>
            <w:tcBorders>
              <w:top w:val="single" w:sz="4" w:space="0" w:color="auto"/>
              <w:left w:val="nil"/>
              <w:bottom w:val="single" w:sz="4" w:space="0" w:color="auto"/>
              <w:right w:val="single" w:sz="4" w:space="0" w:color="auto"/>
            </w:tcBorders>
            <w:shd w:val="clear" w:color="auto" w:fill="auto"/>
            <w:noWrap/>
            <w:vAlign w:val="center"/>
            <w:hideMark/>
          </w:tcPr>
          <w:p w14:paraId="68411749" w14:textId="77777777" w:rsidR="008B787A" w:rsidRPr="00693E73" w:rsidRDefault="008B787A" w:rsidP="00D948DE">
            <w:pPr>
              <w:spacing w:line="480" w:lineRule="auto"/>
              <w:jc w:val="center"/>
              <w:rPr>
                <w:rFonts w:ascii="Calibri" w:eastAsia="Times New Roman" w:hAnsi="Calibri" w:cs="Calibri"/>
                <w:color w:val="000000"/>
                <w:sz w:val="18"/>
                <w:szCs w:val="18"/>
              </w:rPr>
            </w:pPr>
            <w:r w:rsidRPr="00693E73">
              <w:rPr>
                <w:rFonts w:ascii="Calibri" w:eastAsia="Times New Roman" w:hAnsi="Calibri" w:cs="Calibri"/>
                <w:color w:val="000000"/>
                <w:sz w:val="18"/>
                <w:szCs w:val="18"/>
              </w:rPr>
              <w:t>0.4</w:t>
            </w:r>
          </w:p>
        </w:tc>
        <w:tc>
          <w:tcPr>
            <w:tcW w:w="464" w:type="dxa"/>
            <w:tcBorders>
              <w:top w:val="single" w:sz="4" w:space="0" w:color="auto"/>
              <w:left w:val="nil"/>
              <w:bottom w:val="single" w:sz="4" w:space="0" w:color="auto"/>
              <w:right w:val="single" w:sz="4" w:space="0" w:color="auto"/>
            </w:tcBorders>
            <w:shd w:val="clear" w:color="auto" w:fill="auto"/>
            <w:noWrap/>
            <w:vAlign w:val="center"/>
            <w:hideMark/>
          </w:tcPr>
          <w:p w14:paraId="24274415" w14:textId="77777777" w:rsidR="008B787A" w:rsidRPr="00693E73" w:rsidRDefault="008B787A" w:rsidP="00D948DE">
            <w:pPr>
              <w:spacing w:line="480" w:lineRule="auto"/>
              <w:jc w:val="center"/>
              <w:rPr>
                <w:rFonts w:ascii="Calibri" w:eastAsia="Times New Roman" w:hAnsi="Calibri" w:cs="Calibri"/>
                <w:color w:val="000000"/>
                <w:sz w:val="18"/>
                <w:szCs w:val="18"/>
              </w:rPr>
            </w:pPr>
            <w:r w:rsidRPr="00693E73">
              <w:rPr>
                <w:rFonts w:ascii="Calibri" w:eastAsia="Times New Roman" w:hAnsi="Calibri" w:cs="Calibri"/>
                <w:color w:val="000000"/>
                <w:sz w:val="18"/>
                <w:szCs w:val="18"/>
              </w:rPr>
              <w:t>-0.72</w:t>
            </w:r>
          </w:p>
        </w:tc>
        <w:tc>
          <w:tcPr>
            <w:tcW w:w="409" w:type="dxa"/>
            <w:tcBorders>
              <w:top w:val="single" w:sz="4" w:space="0" w:color="auto"/>
              <w:left w:val="nil"/>
              <w:bottom w:val="single" w:sz="4" w:space="0" w:color="auto"/>
              <w:right w:val="single" w:sz="4" w:space="0" w:color="auto"/>
            </w:tcBorders>
            <w:shd w:val="clear" w:color="auto" w:fill="auto"/>
            <w:noWrap/>
            <w:vAlign w:val="center"/>
            <w:hideMark/>
          </w:tcPr>
          <w:p w14:paraId="116B9713" w14:textId="77777777" w:rsidR="008B787A" w:rsidRPr="00693E73" w:rsidRDefault="008B787A" w:rsidP="00D948DE">
            <w:pPr>
              <w:spacing w:line="480" w:lineRule="auto"/>
              <w:jc w:val="center"/>
              <w:rPr>
                <w:rFonts w:ascii="Calibri" w:eastAsia="Times New Roman" w:hAnsi="Calibri" w:cs="Calibri"/>
                <w:color w:val="000000"/>
                <w:sz w:val="18"/>
                <w:szCs w:val="18"/>
              </w:rPr>
            </w:pPr>
            <w:r w:rsidRPr="00693E73">
              <w:rPr>
                <w:rFonts w:ascii="Calibri" w:eastAsia="Times New Roman" w:hAnsi="Calibri" w:cs="Calibri"/>
                <w:color w:val="000000"/>
                <w:sz w:val="18"/>
                <w:szCs w:val="18"/>
              </w:rPr>
              <w:t>0.54</w:t>
            </w:r>
          </w:p>
        </w:tc>
        <w:tc>
          <w:tcPr>
            <w:tcW w:w="409" w:type="dxa"/>
            <w:tcBorders>
              <w:top w:val="single" w:sz="4" w:space="0" w:color="auto"/>
              <w:left w:val="nil"/>
              <w:bottom w:val="single" w:sz="4" w:space="0" w:color="auto"/>
              <w:right w:val="single" w:sz="4" w:space="0" w:color="auto"/>
            </w:tcBorders>
            <w:shd w:val="clear" w:color="auto" w:fill="auto"/>
            <w:noWrap/>
            <w:vAlign w:val="center"/>
            <w:hideMark/>
          </w:tcPr>
          <w:p w14:paraId="678F6547" w14:textId="77777777" w:rsidR="008B787A" w:rsidRPr="00693E73" w:rsidRDefault="008B787A" w:rsidP="00D948DE">
            <w:pPr>
              <w:spacing w:line="480" w:lineRule="auto"/>
              <w:jc w:val="center"/>
              <w:rPr>
                <w:rFonts w:ascii="Calibri" w:eastAsia="Times New Roman" w:hAnsi="Calibri" w:cs="Calibri"/>
                <w:color w:val="000000"/>
                <w:sz w:val="18"/>
                <w:szCs w:val="18"/>
              </w:rPr>
            </w:pPr>
            <w:r w:rsidRPr="00693E73">
              <w:rPr>
                <w:rFonts w:ascii="Calibri" w:eastAsia="Times New Roman" w:hAnsi="Calibri" w:cs="Calibri"/>
                <w:color w:val="000000"/>
                <w:sz w:val="18"/>
                <w:szCs w:val="18"/>
              </w:rPr>
              <w:t>0.81</w:t>
            </w:r>
          </w:p>
        </w:tc>
        <w:tc>
          <w:tcPr>
            <w:tcW w:w="774" w:type="dxa"/>
            <w:tcBorders>
              <w:top w:val="single" w:sz="4" w:space="0" w:color="auto"/>
              <w:left w:val="nil"/>
              <w:bottom w:val="single" w:sz="4" w:space="0" w:color="auto"/>
              <w:right w:val="single" w:sz="8" w:space="0" w:color="auto"/>
            </w:tcBorders>
            <w:shd w:val="clear" w:color="auto" w:fill="auto"/>
            <w:noWrap/>
            <w:vAlign w:val="center"/>
            <w:hideMark/>
          </w:tcPr>
          <w:p w14:paraId="032D4989" w14:textId="77777777" w:rsidR="008B787A" w:rsidRPr="00693E73" w:rsidRDefault="008B787A" w:rsidP="00D948DE">
            <w:pPr>
              <w:spacing w:line="480" w:lineRule="auto"/>
              <w:jc w:val="center"/>
              <w:rPr>
                <w:rFonts w:ascii="Calibri" w:eastAsia="Times New Roman" w:hAnsi="Calibri" w:cs="Calibri"/>
                <w:color w:val="000000"/>
                <w:sz w:val="18"/>
                <w:szCs w:val="18"/>
              </w:rPr>
            </w:pPr>
            <w:r w:rsidRPr="00693E73">
              <w:rPr>
                <w:rFonts w:ascii="Calibri" w:eastAsia="Times New Roman" w:hAnsi="Calibri" w:cs="Calibri"/>
                <w:color w:val="000000"/>
                <w:sz w:val="18"/>
                <w:szCs w:val="18"/>
              </w:rPr>
              <w:t>12028.79</w:t>
            </w:r>
          </w:p>
        </w:tc>
        <w:tc>
          <w:tcPr>
            <w:tcW w:w="724" w:type="dxa"/>
            <w:tcBorders>
              <w:top w:val="nil"/>
              <w:left w:val="single" w:sz="8" w:space="0" w:color="auto"/>
              <w:bottom w:val="single" w:sz="4" w:space="0" w:color="auto"/>
              <w:right w:val="single" w:sz="4" w:space="0" w:color="auto"/>
            </w:tcBorders>
            <w:shd w:val="clear" w:color="auto" w:fill="auto"/>
            <w:noWrap/>
            <w:vAlign w:val="center"/>
            <w:hideMark/>
          </w:tcPr>
          <w:p w14:paraId="495842D2" w14:textId="77777777" w:rsidR="008B787A" w:rsidRPr="00693E73" w:rsidRDefault="008B787A" w:rsidP="00D948DE">
            <w:pPr>
              <w:spacing w:line="480" w:lineRule="auto"/>
              <w:jc w:val="center"/>
              <w:rPr>
                <w:rFonts w:ascii="Calibri" w:eastAsia="Times New Roman" w:hAnsi="Calibri" w:cs="Calibri"/>
                <w:color w:val="000000"/>
                <w:sz w:val="18"/>
                <w:szCs w:val="18"/>
              </w:rPr>
            </w:pPr>
            <w:r w:rsidRPr="00693E73">
              <w:rPr>
                <w:rFonts w:ascii="Calibri" w:eastAsia="Times New Roman" w:hAnsi="Calibri" w:cs="Calibri"/>
                <w:color w:val="000000"/>
                <w:sz w:val="18"/>
                <w:szCs w:val="18"/>
              </w:rPr>
              <w:t>-3.4</w:t>
            </w:r>
          </w:p>
        </w:tc>
        <w:tc>
          <w:tcPr>
            <w:tcW w:w="1099" w:type="dxa"/>
            <w:tcBorders>
              <w:top w:val="nil"/>
              <w:left w:val="nil"/>
              <w:bottom w:val="single" w:sz="4" w:space="0" w:color="auto"/>
              <w:right w:val="single" w:sz="8" w:space="0" w:color="auto"/>
            </w:tcBorders>
            <w:shd w:val="clear" w:color="auto" w:fill="auto"/>
            <w:noWrap/>
            <w:vAlign w:val="center"/>
            <w:hideMark/>
          </w:tcPr>
          <w:p w14:paraId="5A0844A2" w14:textId="77777777" w:rsidR="008B787A" w:rsidRPr="00693E73" w:rsidRDefault="008B787A" w:rsidP="00D948DE">
            <w:pPr>
              <w:spacing w:line="480" w:lineRule="auto"/>
              <w:jc w:val="center"/>
              <w:rPr>
                <w:rFonts w:ascii="Calibri" w:eastAsia="Times New Roman" w:hAnsi="Calibri" w:cs="Calibri"/>
                <w:color w:val="000000"/>
                <w:sz w:val="18"/>
                <w:szCs w:val="18"/>
              </w:rPr>
            </w:pPr>
            <w:r w:rsidRPr="00693E73">
              <w:rPr>
                <w:rFonts w:ascii="Calibri" w:eastAsia="Times New Roman" w:hAnsi="Calibri" w:cs="Calibri"/>
                <w:color w:val="000000"/>
                <w:sz w:val="18"/>
                <w:szCs w:val="18"/>
              </w:rPr>
              <w:t>5.5</w:t>
            </w:r>
          </w:p>
        </w:tc>
      </w:tr>
      <w:tr w:rsidR="005324F6" w:rsidRPr="007A1CB3" w14:paraId="0D5B9D92" w14:textId="77777777" w:rsidTr="00426AA5">
        <w:trPr>
          <w:trHeight w:val="288"/>
        </w:trPr>
        <w:tc>
          <w:tcPr>
            <w:tcW w:w="639" w:type="dxa"/>
            <w:tcBorders>
              <w:top w:val="nil"/>
              <w:left w:val="single" w:sz="8" w:space="0" w:color="auto"/>
              <w:bottom w:val="single" w:sz="4" w:space="0" w:color="auto"/>
              <w:right w:val="single" w:sz="8" w:space="0" w:color="auto"/>
            </w:tcBorders>
            <w:shd w:val="clear" w:color="auto" w:fill="auto"/>
            <w:noWrap/>
            <w:vAlign w:val="center"/>
            <w:hideMark/>
          </w:tcPr>
          <w:p w14:paraId="04AA52B9" w14:textId="77777777" w:rsidR="008B787A" w:rsidRPr="00693E73" w:rsidRDefault="008B787A" w:rsidP="00D948DE">
            <w:pPr>
              <w:spacing w:line="480" w:lineRule="auto"/>
              <w:jc w:val="center"/>
              <w:rPr>
                <w:rFonts w:ascii="Calibri" w:eastAsia="Times New Roman" w:hAnsi="Calibri" w:cs="Calibri"/>
                <w:color w:val="000000"/>
                <w:sz w:val="18"/>
                <w:szCs w:val="18"/>
              </w:rPr>
            </w:pPr>
            <w:r w:rsidRPr="00693E73">
              <w:rPr>
                <w:rFonts w:ascii="Calibri" w:eastAsia="Times New Roman" w:hAnsi="Calibri" w:cs="Calibri"/>
                <w:color w:val="000000"/>
                <w:sz w:val="18"/>
                <w:szCs w:val="18"/>
              </w:rPr>
              <w:t>8</w:t>
            </w:r>
          </w:p>
        </w:tc>
        <w:tc>
          <w:tcPr>
            <w:tcW w:w="443" w:type="dxa"/>
            <w:tcBorders>
              <w:top w:val="nil"/>
              <w:left w:val="nil"/>
              <w:bottom w:val="single" w:sz="4" w:space="0" w:color="auto"/>
              <w:right w:val="single" w:sz="4" w:space="0" w:color="auto"/>
            </w:tcBorders>
            <w:shd w:val="clear" w:color="auto" w:fill="auto"/>
            <w:noWrap/>
            <w:vAlign w:val="center"/>
            <w:hideMark/>
          </w:tcPr>
          <w:p w14:paraId="15342BF9" w14:textId="77777777" w:rsidR="008B787A" w:rsidRPr="00693E73" w:rsidRDefault="008B787A" w:rsidP="00D948DE">
            <w:pPr>
              <w:spacing w:line="480" w:lineRule="auto"/>
              <w:jc w:val="center"/>
              <w:rPr>
                <w:rFonts w:ascii="Calibri" w:eastAsia="Times New Roman" w:hAnsi="Calibri" w:cs="Calibri"/>
                <w:color w:val="000000"/>
                <w:sz w:val="18"/>
                <w:szCs w:val="18"/>
              </w:rPr>
            </w:pPr>
            <w:r w:rsidRPr="00693E73">
              <w:rPr>
                <w:rFonts w:ascii="Calibri" w:eastAsia="Times New Roman" w:hAnsi="Calibri" w:cs="Calibri"/>
                <w:color w:val="000000"/>
                <w:sz w:val="18"/>
                <w:szCs w:val="18"/>
              </w:rPr>
              <w:t>0.49</w:t>
            </w:r>
          </w:p>
        </w:tc>
        <w:tc>
          <w:tcPr>
            <w:tcW w:w="409" w:type="dxa"/>
            <w:tcBorders>
              <w:top w:val="nil"/>
              <w:left w:val="nil"/>
              <w:bottom w:val="single" w:sz="4" w:space="0" w:color="auto"/>
              <w:right w:val="single" w:sz="4" w:space="0" w:color="auto"/>
            </w:tcBorders>
            <w:shd w:val="clear" w:color="auto" w:fill="auto"/>
            <w:noWrap/>
            <w:vAlign w:val="center"/>
            <w:hideMark/>
          </w:tcPr>
          <w:p w14:paraId="0D879BBE" w14:textId="77777777" w:rsidR="008B787A" w:rsidRPr="00693E73" w:rsidRDefault="008B787A" w:rsidP="00D948DE">
            <w:pPr>
              <w:spacing w:line="480" w:lineRule="auto"/>
              <w:jc w:val="center"/>
              <w:rPr>
                <w:rFonts w:ascii="Calibri" w:eastAsia="Times New Roman" w:hAnsi="Calibri" w:cs="Calibri"/>
                <w:color w:val="000000"/>
                <w:sz w:val="18"/>
                <w:szCs w:val="18"/>
              </w:rPr>
            </w:pPr>
            <w:r w:rsidRPr="00693E73">
              <w:rPr>
                <w:rFonts w:ascii="Calibri" w:eastAsia="Times New Roman" w:hAnsi="Calibri" w:cs="Calibri"/>
                <w:color w:val="000000"/>
                <w:sz w:val="18"/>
                <w:szCs w:val="18"/>
              </w:rPr>
              <w:t>0.46</w:t>
            </w:r>
          </w:p>
        </w:tc>
        <w:tc>
          <w:tcPr>
            <w:tcW w:w="360" w:type="dxa"/>
            <w:tcBorders>
              <w:top w:val="nil"/>
              <w:left w:val="nil"/>
              <w:bottom w:val="single" w:sz="4" w:space="0" w:color="auto"/>
              <w:right w:val="single" w:sz="4" w:space="0" w:color="auto"/>
            </w:tcBorders>
            <w:shd w:val="clear" w:color="auto" w:fill="auto"/>
            <w:noWrap/>
            <w:vAlign w:val="center"/>
            <w:hideMark/>
          </w:tcPr>
          <w:p w14:paraId="266E88EA" w14:textId="77777777" w:rsidR="008B787A" w:rsidRPr="00693E73" w:rsidRDefault="008B787A" w:rsidP="00D948DE">
            <w:pPr>
              <w:spacing w:line="480" w:lineRule="auto"/>
              <w:jc w:val="center"/>
              <w:rPr>
                <w:rFonts w:ascii="Calibri" w:eastAsia="Times New Roman" w:hAnsi="Calibri" w:cs="Calibri"/>
                <w:color w:val="000000"/>
                <w:sz w:val="18"/>
                <w:szCs w:val="18"/>
              </w:rPr>
            </w:pPr>
            <w:r w:rsidRPr="00693E73">
              <w:rPr>
                <w:rFonts w:ascii="Calibri" w:eastAsia="Times New Roman" w:hAnsi="Calibri" w:cs="Calibri"/>
                <w:color w:val="000000"/>
                <w:sz w:val="18"/>
                <w:szCs w:val="18"/>
              </w:rPr>
              <w:t>0</w:t>
            </w:r>
          </w:p>
        </w:tc>
        <w:tc>
          <w:tcPr>
            <w:tcW w:w="464" w:type="dxa"/>
            <w:tcBorders>
              <w:top w:val="nil"/>
              <w:left w:val="nil"/>
              <w:bottom w:val="single" w:sz="4" w:space="0" w:color="auto"/>
              <w:right w:val="single" w:sz="4" w:space="0" w:color="auto"/>
            </w:tcBorders>
            <w:shd w:val="clear" w:color="auto" w:fill="auto"/>
            <w:noWrap/>
            <w:vAlign w:val="center"/>
            <w:hideMark/>
          </w:tcPr>
          <w:p w14:paraId="79873805" w14:textId="77777777" w:rsidR="008B787A" w:rsidRPr="00693E73" w:rsidRDefault="008B787A" w:rsidP="00D948DE">
            <w:pPr>
              <w:spacing w:line="480" w:lineRule="auto"/>
              <w:jc w:val="center"/>
              <w:rPr>
                <w:rFonts w:ascii="Calibri" w:eastAsia="Times New Roman" w:hAnsi="Calibri" w:cs="Calibri"/>
                <w:color w:val="000000"/>
                <w:sz w:val="18"/>
                <w:szCs w:val="18"/>
              </w:rPr>
            </w:pPr>
            <w:r w:rsidRPr="00693E73">
              <w:rPr>
                <w:rFonts w:ascii="Calibri" w:eastAsia="Times New Roman" w:hAnsi="Calibri" w:cs="Calibri"/>
                <w:color w:val="000000"/>
                <w:sz w:val="18"/>
                <w:szCs w:val="18"/>
              </w:rPr>
              <w:t>-1.19</w:t>
            </w:r>
          </w:p>
        </w:tc>
        <w:tc>
          <w:tcPr>
            <w:tcW w:w="409" w:type="dxa"/>
            <w:tcBorders>
              <w:top w:val="nil"/>
              <w:left w:val="nil"/>
              <w:bottom w:val="single" w:sz="4" w:space="0" w:color="auto"/>
              <w:right w:val="single" w:sz="4" w:space="0" w:color="auto"/>
            </w:tcBorders>
            <w:shd w:val="clear" w:color="auto" w:fill="auto"/>
            <w:noWrap/>
            <w:vAlign w:val="center"/>
            <w:hideMark/>
          </w:tcPr>
          <w:p w14:paraId="537D0ECD" w14:textId="77777777" w:rsidR="008B787A" w:rsidRPr="00693E73" w:rsidRDefault="008B787A" w:rsidP="00D948DE">
            <w:pPr>
              <w:spacing w:line="480" w:lineRule="auto"/>
              <w:jc w:val="center"/>
              <w:rPr>
                <w:rFonts w:ascii="Calibri" w:eastAsia="Times New Roman" w:hAnsi="Calibri" w:cs="Calibri"/>
                <w:color w:val="000000"/>
                <w:sz w:val="18"/>
                <w:szCs w:val="18"/>
              </w:rPr>
            </w:pPr>
            <w:r w:rsidRPr="00693E73">
              <w:rPr>
                <w:rFonts w:ascii="Calibri" w:eastAsia="Times New Roman" w:hAnsi="Calibri" w:cs="Calibri"/>
                <w:color w:val="000000"/>
                <w:sz w:val="18"/>
                <w:szCs w:val="18"/>
              </w:rPr>
              <w:t>1.09</w:t>
            </w:r>
          </w:p>
        </w:tc>
        <w:tc>
          <w:tcPr>
            <w:tcW w:w="409" w:type="dxa"/>
            <w:tcBorders>
              <w:top w:val="nil"/>
              <w:left w:val="nil"/>
              <w:bottom w:val="single" w:sz="4" w:space="0" w:color="auto"/>
              <w:right w:val="single" w:sz="4" w:space="0" w:color="auto"/>
            </w:tcBorders>
            <w:shd w:val="clear" w:color="auto" w:fill="auto"/>
            <w:noWrap/>
            <w:vAlign w:val="center"/>
            <w:hideMark/>
          </w:tcPr>
          <w:p w14:paraId="7FADB964" w14:textId="77777777" w:rsidR="008B787A" w:rsidRPr="00693E73" w:rsidRDefault="008B787A" w:rsidP="00D948DE">
            <w:pPr>
              <w:spacing w:line="480" w:lineRule="auto"/>
              <w:jc w:val="center"/>
              <w:rPr>
                <w:rFonts w:ascii="Calibri" w:eastAsia="Times New Roman" w:hAnsi="Calibri" w:cs="Calibri"/>
                <w:color w:val="000000"/>
                <w:sz w:val="18"/>
                <w:szCs w:val="18"/>
              </w:rPr>
            </w:pPr>
            <w:r w:rsidRPr="00693E73">
              <w:rPr>
                <w:rFonts w:ascii="Calibri" w:eastAsia="Times New Roman" w:hAnsi="Calibri" w:cs="Calibri"/>
                <w:color w:val="000000"/>
                <w:sz w:val="18"/>
                <w:szCs w:val="18"/>
              </w:rPr>
              <w:t>1.10</w:t>
            </w:r>
          </w:p>
        </w:tc>
        <w:tc>
          <w:tcPr>
            <w:tcW w:w="774" w:type="dxa"/>
            <w:tcBorders>
              <w:top w:val="nil"/>
              <w:left w:val="nil"/>
              <w:bottom w:val="single" w:sz="4" w:space="0" w:color="auto"/>
              <w:right w:val="single" w:sz="8" w:space="0" w:color="auto"/>
            </w:tcBorders>
            <w:shd w:val="clear" w:color="auto" w:fill="auto"/>
            <w:noWrap/>
            <w:vAlign w:val="center"/>
            <w:hideMark/>
          </w:tcPr>
          <w:p w14:paraId="46AE393F" w14:textId="77777777" w:rsidR="008B787A" w:rsidRPr="00693E73" w:rsidRDefault="008B787A" w:rsidP="00D948DE">
            <w:pPr>
              <w:spacing w:line="480" w:lineRule="auto"/>
              <w:jc w:val="center"/>
              <w:rPr>
                <w:rFonts w:ascii="Calibri" w:eastAsia="Times New Roman" w:hAnsi="Calibri" w:cs="Calibri"/>
                <w:color w:val="000000"/>
                <w:sz w:val="18"/>
                <w:szCs w:val="18"/>
              </w:rPr>
            </w:pPr>
            <w:r w:rsidRPr="00693E73">
              <w:rPr>
                <w:rFonts w:ascii="Calibri" w:eastAsia="Times New Roman" w:hAnsi="Calibri" w:cs="Calibri"/>
                <w:color w:val="000000"/>
                <w:sz w:val="18"/>
                <w:szCs w:val="18"/>
              </w:rPr>
              <w:t>16124.80</w:t>
            </w:r>
          </w:p>
        </w:tc>
        <w:tc>
          <w:tcPr>
            <w:tcW w:w="409"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69FD3322" w14:textId="77777777" w:rsidR="008B787A" w:rsidRPr="00693E73" w:rsidRDefault="008B787A" w:rsidP="00D948DE">
            <w:pPr>
              <w:spacing w:line="480" w:lineRule="auto"/>
              <w:jc w:val="center"/>
              <w:rPr>
                <w:rFonts w:ascii="Calibri" w:eastAsia="Times New Roman" w:hAnsi="Calibri" w:cs="Calibri"/>
                <w:color w:val="000000"/>
                <w:sz w:val="18"/>
                <w:szCs w:val="18"/>
              </w:rPr>
            </w:pPr>
            <w:r w:rsidRPr="00693E73">
              <w:rPr>
                <w:rFonts w:ascii="Calibri" w:eastAsia="Times New Roman" w:hAnsi="Calibri" w:cs="Calibri"/>
                <w:color w:val="000000"/>
                <w:sz w:val="18"/>
                <w:szCs w:val="18"/>
              </w:rPr>
              <w:t>0.20</w:t>
            </w:r>
          </w:p>
        </w:tc>
        <w:tc>
          <w:tcPr>
            <w:tcW w:w="360" w:type="dxa"/>
            <w:tcBorders>
              <w:top w:val="single" w:sz="4" w:space="0" w:color="auto"/>
              <w:left w:val="nil"/>
              <w:bottom w:val="single" w:sz="4" w:space="0" w:color="auto"/>
              <w:right w:val="single" w:sz="4" w:space="0" w:color="auto"/>
            </w:tcBorders>
            <w:shd w:val="clear" w:color="auto" w:fill="auto"/>
            <w:noWrap/>
            <w:vAlign w:val="center"/>
            <w:hideMark/>
          </w:tcPr>
          <w:p w14:paraId="319F8BED" w14:textId="77777777" w:rsidR="008B787A" w:rsidRPr="00693E73" w:rsidRDefault="008B787A" w:rsidP="00D948DE">
            <w:pPr>
              <w:spacing w:line="480" w:lineRule="auto"/>
              <w:jc w:val="center"/>
              <w:rPr>
                <w:rFonts w:ascii="Calibri" w:eastAsia="Times New Roman" w:hAnsi="Calibri" w:cs="Calibri"/>
                <w:color w:val="000000"/>
                <w:sz w:val="18"/>
                <w:szCs w:val="18"/>
              </w:rPr>
            </w:pPr>
            <w:r w:rsidRPr="00693E73">
              <w:rPr>
                <w:rFonts w:ascii="Calibri" w:eastAsia="Times New Roman" w:hAnsi="Calibri" w:cs="Calibri"/>
                <w:color w:val="000000"/>
                <w:sz w:val="18"/>
                <w:szCs w:val="18"/>
              </w:rPr>
              <w:t>0</w:t>
            </w:r>
          </w:p>
        </w:tc>
        <w:tc>
          <w:tcPr>
            <w:tcW w:w="464" w:type="dxa"/>
            <w:tcBorders>
              <w:top w:val="single" w:sz="4" w:space="0" w:color="auto"/>
              <w:left w:val="nil"/>
              <w:bottom w:val="single" w:sz="4" w:space="0" w:color="auto"/>
              <w:right w:val="single" w:sz="4" w:space="0" w:color="auto"/>
            </w:tcBorders>
            <w:shd w:val="clear" w:color="auto" w:fill="auto"/>
            <w:noWrap/>
            <w:vAlign w:val="center"/>
            <w:hideMark/>
          </w:tcPr>
          <w:p w14:paraId="50C7BE24" w14:textId="77777777" w:rsidR="008B787A" w:rsidRPr="00693E73" w:rsidRDefault="008B787A" w:rsidP="00D948DE">
            <w:pPr>
              <w:spacing w:line="480" w:lineRule="auto"/>
              <w:jc w:val="center"/>
              <w:rPr>
                <w:rFonts w:ascii="Calibri" w:eastAsia="Times New Roman" w:hAnsi="Calibri" w:cs="Calibri"/>
                <w:color w:val="000000"/>
                <w:sz w:val="18"/>
                <w:szCs w:val="18"/>
              </w:rPr>
            </w:pPr>
            <w:r w:rsidRPr="00693E73">
              <w:rPr>
                <w:rFonts w:ascii="Calibri" w:eastAsia="Times New Roman" w:hAnsi="Calibri" w:cs="Calibri"/>
                <w:color w:val="000000"/>
                <w:sz w:val="18"/>
                <w:szCs w:val="18"/>
              </w:rPr>
              <w:t>-1.13</w:t>
            </w:r>
          </w:p>
        </w:tc>
        <w:tc>
          <w:tcPr>
            <w:tcW w:w="409" w:type="dxa"/>
            <w:tcBorders>
              <w:top w:val="single" w:sz="4" w:space="0" w:color="auto"/>
              <w:left w:val="nil"/>
              <w:bottom w:val="single" w:sz="4" w:space="0" w:color="auto"/>
              <w:right w:val="single" w:sz="4" w:space="0" w:color="auto"/>
            </w:tcBorders>
            <w:shd w:val="clear" w:color="auto" w:fill="auto"/>
            <w:noWrap/>
            <w:vAlign w:val="center"/>
            <w:hideMark/>
          </w:tcPr>
          <w:p w14:paraId="19D64A04" w14:textId="77777777" w:rsidR="008B787A" w:rsidRPr="00693E73" w:rsidRDefault="008B787A" w:rsidP="00D948DE">
            <w:pPr>
              <w:spacing w:line="480" w:lineRule="auto"/>
              <w:jc w:val="center"/>
              <w:rPr>
                <w:rFonts w:ascii="Calibri" w:eastAsia="Times New Roman" w:hAnsi="Calibri" w:cs="Calibri"/>
                <w:color w:val="000000"/>
                <w:sz w:val="18"/>
                <w:szCs w:val="18"/>
              </w:rPr>
            </w:pPr>
            <w:r w:rsidRPr="00693E73">
              <w:rPr>
                <w:rFonts w:ascii="Calibri" w:eastAsia="Times New Roman" w:hAnsi="Calibri" w:cs="Calibri"/>
                <w:color w:val="000000"/>
                <w:sz w:val="18"/>
                <w:szCs w:val="18"/>
              </w:rPr>
              <w:t>1.05</w:t>
            </w:r>
          </w:p>
        </w:tc>
        <w:tc>
          <w:tcPr>
            <w:tcW w:w="409" w:type="dxa"/>
            <w:tcBorders>
              <w:top w:val="single" w:sz="4" w:space="0" w:color="auto"/>
              <w:left w:val="nil"/>
              <w:bottom w:val="single" w:sz="4" w:space="0" w:color="auto"/>
              <w:right w:val="single" w:sz="4" w:space="0" w:color="auto"/>
            </w:tcBorders>
            <w:shd w:val="clear" w:color="auto" w:fill="auto"/>
            <w:noWrap/>
            <w:vAlign w:val="center"/>
            <w:hideMark/>
          </w:tcPr>
          <w:p w14:paraId="4CE23440" w14:textId="77777777" w:rsidR="008B787A" w:rsidRPr="00693E73" w:rsidRDefault="008B787A" w:rsidP="00D948DE">
            <w:pPr>
              <w:spacing w:line="480" w:lineRule="auto"/>
              <w:jc w:val="center"/>
              <w:rPr>
                <w:rFonts w:ascii="Calibri" w:eastAsia="Times New Roman" w:hAnsi="Calibri" w:cs="Calibri"/>
                <w:color w:val="000000"/>
                <w:sz w:val="18"/>
                <w:szCs w:val="18"/>
              </w:rPr>
            </w:pPr>
            <w:r w:rsidRPr="00693E73">
              <w:rPr>
                <w:rFonts w:ascii="Calibri" w:eastAsia="Times New Roman" w:hAnsi="Calibri" w:cs="Calibri"/>
                <w:color w:val="000000"/>
                <w:sz w:val="18"/>
                <w:szCs w:val="18"/>
              </w:rPr>
              <w:t>1.01</w:t>
            </w:r>
          </w:p>
        </w:tc>
        <w:tc>
          <w:tcPr>
            <w:tcW w:w="774" w:type="dxa"/>
            <w:tcBorders>
              <w:top w:val="single" w:sz="4" w:space="0" w:color="auto"/>
              <w:left w:val="nil"/>
              <w:bottom w:val="single" w:sz="4" w:space="0" w:color="auto"/>
              <w:right w:val="single" w:sz="8" w:space="0" w:color="auto"/>
            </w:tcBorders>
            <w:shd w:val="clear" w:color="auto" w:fill="auto"/>
            <w:noWrap/>
            <w:vAlign w:val="center"/>
            <w:hideMark/>
          </w:tcPr>
          <w:p w14:paraId="1CFB48F4" w14:textId="77777777" w:rsidR="008B787A" w:rsidRPr="00693E73" w:rsidRDefault="008B787A" w:rsidP="00D948DE">
            <w:pPr>
              <w:spacing w:line="480" w:lineRule="auto"/>
              <w:jc w:val="center"/>
              <w:rPr>
                <w:rFonts w:ascii="Calibri" w:eastAsia="Times New Roman" w:hAnsi="Calibri" w:cs="Calibri"/>
                <w:color w:val="000000"/>
                <w:sz w:val="18"/>
                <w:szCs w:val="18"/>
              </w:rPr>
            </w:pPr>
            <w:r w:rsidRPr="00693E73">
              <w:rPr>
                <w:rFonts w:ascii="Calibri" w:eastAsia="Times New Roman" w:hAnsi="Calibri" w:cs="Calibri"/>
                <w:color w:val="000000"/>
                <w:sz w:val="18"/>
                <w:szCs w:val="18"/>
              </w:rPr>
              <w:t>16137.14</w:t>
            </w:r>
          </w:p>
        </w:tc>
        <w:tc>
          <w:tcPr>
            <w:tcW w:w="724" w:type="dxa"/>
            <w:tcBorders>
              <w:top w:val="nil"/>
              <w:left w:val="single" w:sz="8" w:space="0" w:color="auto"/>
              <w:bottom w:val="single" w:sz="4" w:space="0" w:color="auto"/>
              <w:right w:val="single" w:sz="4" w:space="0" w:color="auto"/>
            </w:tcBorders>
            <w:shd w:val="clear" w:color="auto" w:fill="auto"/>
            <w:noWrap/>
            <w:vAlign w:val="center"/>
            <w:hideMark/>
          </w:tcPr>
          <w:p w14:paraId="4B9654A5" w14:textId="77777777" w:rsidR="008B787A" w:rsidRPr="00693E73" w:rsidRDefault="008B787A" w:rsidP="00D948DE">
            <w:pPr>
              <w:spacing w:line="480" w:lineRule="auto"/>
              <w:jc w:val="center"/>
              <w:rPr>
                <w:rFonts w:ascii="Calibri" w:eastAsia="Times New Roman" w:hAnsi="Calibri" w:cs="Calibri"/>
                <w:color w:val="000000"/>
                <w:sz w:val="18"/>
                <w:szCs w:val="18"/>
              </w:rPr>
            </w:pPr>
            <w:r w:rsidRPr="00693E73">
              <w:rPr>
                <w:rFonts w:ascii="Calibri" w:eastAsia="Times New Roman" w:hAnsi="Calibri" w:cs="Calibri"/>
                <w:color w:val="000000"/>
                <w:sz w:val="18"/>
                <w:szCs w:val="18"/>
              </w:rPr>
              <w:t>-12.3</w:t>
            </w:r>
          </w:p>
        </w:tc>
        <w:tc>
          <w:tcPr>
            <w:tcW w:w="1099" w:type="dxa"/>
            <w:tcBorders>
              <w:top w:val="nil"/>
              <w:left w:val="nil"/>
              <w:bottom w:val="single" w:sz="4" w:space="0" w:color="auto"/>
              <w:right w:val="single" w:sz="8" w:space="0" w:color="auto"/>
            </w:tcBorders>
            <w:shd w:val="clear" w:color="auto" w:fill="auto"/>
            <w:noWrap/>
            <w:vAlign w:val="center"/>
            <w:hideMark/>
          </w:tcPr>
          <w:p w14:paraId="613A1C46" w14:textId="77777777" w:rsidR="008B787A" w:rsidRPr="00693E73" w:rsidRDefault="008B787A" w:rsidP="00D948DE">
            <w:pPr>
              <w:spacing w:line="480" w:lineRule="auto"/>
              <w:jc w:val="center"/>
              <w:rPr>
                <w:rFonts w:ascii="Calibri" w:eastAsia="Times New Roman" w:hAnsi="Calibri" w:cs="Calibri"/>
                <w:color w:val="000000"/>
                <w:sz w:val="18"/>
                <w:szCs w:val="18"/>
              </w:rPr>
            </w:pPr>
            <w:r w:rsidRPr="00693E73">
              <w:rPr>
                <w:rFonts w:ascii="Calibri" w:eastAsia="Times New Roman" w:hAnsi="Calibri" w:cs="Calibri"/>
                <w:color w:val="000000"/>
                <w:sz w:val="18"/>
                <w:szCs w:val="18"/>
              </w:rPr>
              <w:t>477.9</w:t>
            </w:r>
          </w:p>
        </w:tc>
      </w:tr>
      <w:tr w:rsidR="005324F6" w:rsidRPr="007A1CB3" w14:paraId="77DCE9B8" w14:textId="77777777" w:rsidTr="00426AA5">
        <w:trPr>
          <w:trHeight w:val="288"/>
        </w:trPr>
        <w:tc>
          <w:tcPr>
            <w:tcW w:w="639" w:type="dxa"/>
            <w:tcBorders>
              <w:top w:val="nil"/>
              <w:left w:val="single" w:sz="8" w:space="0" w:color="auto"/>
              <w:bottom w:val="single" w:sz="4" w:space="0" w:color="auto"/>
              <w:right w:val="single" w:sz="8" w:space="0" w:color="auto"/>
            </w:tcBorders>
            <w:shd w:val="clear" w:color="auto" w:fill="auto"/>
            <w:noWrap/>
            <w:vAlign w:val="center"/>
            <w:hideMark/>
          </w:tcPr>
          <w:p w14:paraId="0EB8B259" w14:textId="77777777" w:rsidR="008B787A" w:rsidRPr="00693E73" w:rsidRDefault="008B787A" w:rsidP="00D948DE">
            <w:pPr>
              <w:spacing w:line="480" w:lineRule="auto"/>
              <w:jc w:val="center"/>
              <w:rPr>
                <w:rFonts w:ascii="Calibri" w:eastAsia="Times New Roman" w:hAnsi="Calibri" w:cs="Calibri"/>
                <w:color w:val="000000"/>
                <w:sz w:val="18"/>
                <w:szCs w:val="18"/>
              </w:rPr>
            </w:pPr>
            <w:r w:rsidRPr="00693E73">
              <w:rPr>
                <w:rFonts w:ascii="Calibri" w:eastAsia="Times New Roman" w:hAnsi="Calibri" w:cs="Calibri"/>
                <w:color w:val="000000"/>
                <w:sz w:val="18"/>
                <w:szCs w:val="18"/>
              </w:rPr>
              <w:t>9</w:t>
            </w:r>
          </w:p>
        </w:tc>
        <w:tc>
          <w:tcPr>
            <w:tcW w:w="443" w:type="dxa"/>
            <w:tcBorders>
              <w:top w:val="nil"/>
              <w:left w:val="nil"/>
              <w:bottom w:val="single" w:sz="4" w:space="0" w:color="auto"/>
              <w:right w:val="single" w:sz="4" w:space="0" w:color="auto"/>
            </w:tcBorders>
            <w:shd w:val="clear" w:color="auto" w:fill="auto"/>
            <w:noWrap/>
            <w:vAlign w:val="center"/>
            <w:hideMark/>
          </w:tcPr>
          <w:p w14:paraId="5E9EBEAC" w14:textId="77777777" w:rsidR="008B787A" w:rsidRPr="00693E73" w:rsidRDefault="008B787A" w:rsidP="00D948DE">
            <w:pPr>
              <w:spacing w:line="480" w:lineRule="auto"/>
              <w:jc w:val="center"/>
              <w:rPr>
                <w:rFonts w:ascii="Calibri" w:eastAsia="Times New Roman" w:hAnsi="Calibri" w:cs="Calibri"/>
                <w:color w:val="000000"/>
                <w:sz w:val="18"/>
                <w:szCs w:val="18"/>
              </w:rPr>
            </w:pPr>
            <w:r w:rsidRPr="00693E73">
              <w:rPr>
                <w:rFonts w:ascii="Calibri" w:eastAsia="Times New Roman" w:hAnsi="Calibri" w:cs="Calibri"/>
                <w:color w:val="000000"/>
                <w:sz w:val="18"/>
                <w:szCs w:val="18"/>
              </w:rPr>
              <w:t>0.05</w:t>
            </w:r>
          </w:p>
        </w:tc>
        <w:tc>
          <w:tcPr>
            <w:tcW w:w="409" w:type="dxa"/>
            <w:tcBorders>
              <w:top w:val="nil"/>
              <w:left w:val="nil"/>
              <w:bottom w:val="single" w:sz="4" w:space="0" w:color="auto"/>
              <w:right w:val="single" w:sz="4" w:space="0" w:color="auto"/>
            </w:tcBorders>
            <w:shd w:val="clear" w:color="auto" w:fill="auto"/>
            <w:noWrap/>
            <w:vAlign w:val="center"/>
            <w:hideMark/>
          </w:tcPr>
          <w:p w14:paraId="0B05AB1F" w14:textId="77777777" w:rsidR="008B787A" w:rsidRPr="00693E73" w:rsidRDefault="008B787A" w:rsidP="00D948DE">
            <w:pPr>
              <w:spacing w:line="480" w:lineRule="auto"/>
              <w:jc w:val="center"/>
              <w:rPr>
                <w:rFonts w:ascii="Calibri" w:eastAsia="Times New Roman" w:hAnsi="Calibri" w:cs="Calibri"/>
                <w:color w:val="000000"/>
                <w:sz w:val="18"/>
                <w:szCs w:val="18"/>
              </w:rPr>
            </w:pPr>
            <w:r w:rsidRPr="00693E73">
              <w:rPr>
                <w:rFonts w:ascii="Calibri" w:eastAsia="Times New Roman" w:hAnsi="Calibri" w:cs="Calibri"/>
                <w:color w:val="000000"/>
                <w:sz w:val="18"/>
                <w:szCs w:val="18"/>
              </w:rPr>
              <w:t>0.50</w:t>
            </w:r>
          </w:p>
        </w:tc>
        <w:tc>
          <w:tcPr>
            <w:tcW w:w="360" w:type="dxa"/>
            <w:tcBorders>
              <w:top w:val="nil"/>
              <w:left w:val="nil"/>
              <w:bottom w:val="single" w:sz="4" w:space="0" w:color="auto"/>
              <w:right w:val="single" w:sz="4" w:space="0" w:color="auto"/>
            </w:tcBorders>
            <w:shd w:val="clear" w:color="auto" w:fill="auto"/>
            <w:noWrap/>
            <w:vAlign w:val="center"/>
            <w:hideMark/>
          </w:tcPr>
          <w:p w14:paraId="7382878B" w14:textId="77777777" w:rsidR="008B787A" w:rsidRPr="00693E73" w:rsidRDefault="008B787A" w:rsidP="00D948DE">
            <w:pPr>
              <w:spacing w:line="480" w:lineRule="auto"/>
              <w:jc w:val="center"/>
              <w:rPr>
                <w:rFonts w:ascii="Calibri" w:eastAsia="Times New Roman" w:hAnsi="Calibri" w:cs="Calibri"/>
                <w:color w:val="000000"/>
                <w:sz w:val="18"/>
                <w:szCs w:val="18"/>
              </w:rPr>
            </w:pPr>
            <w:r w:rsidRPr="00693E73">
              <w:rPr>
                <w:rFonts w:ascii="Calibri" w:eastAsia="Times New Roman" w:hAnsi="Calibri" w:cs="Calibri"/>
                <w:color w:val="000000"/>
                <w:sz w:val="18"/>
                <w:szCs w:val="18"/>
              </w:rPr>
              <w:t>0.2</w:t>
            </w:r>
          </w:p>
        </w:tc>
        <w:tc>
          <w:tcPr>
            <w:tcW w:w="464" w:type="dxa"/>
            <w:tcBorders>
              <w:top w:val="nil"/>
              <w:left w:val="nil"/>
              <w:bottom w:val="single" w:sz="4" w:space="0" w:color="auto"/>
              <w:right w:val="single" w:sz="4" w:space="0" w:color="auto"/>
            </w:tcBorders>
            <w:shd w:val="clear" w:color="auto" w:fill="auto"/>
            <w:noWrap/>
            <w:vAlign w:val="center"/>
            <w:hideMark/>
          </w:tcPr>
          <w:p w14:paraId="7196E40B" w14:textId="77777777" w:rsidR="008B787A" w:rsidRPr="00693E73" w:rsidRDefault="008B787A" w:rsidP="00D948DE">
            <w:pPr>
              <w:spacing w:line="480" w:lineRule="auto"/>
              <w:jc w:val="center"/>
              <w:rPr>
                <w:rFonts w:ascii="Calibri" w:eastAsia="Times New Roman" w:hAnsi="Calibri" w:cs="Calibri"/>
                <w:color w:val="000000"/>
                <w:sz w:val="18"/>
                <w:szCs w:val="18"/>
              </w:rPr>
            </w:pPr>
            <w:r w:rsidRPr="00693E73">
              <w:rPr>
                <w:rFonts w:ascii="Calibri" w:eastAsia="Times New Roman" w:hAnsi="Calibri" w:cs="Calibri"/>
                <w:color w:val="000000"/>
                <w:sz w:val="18"/>
                <w:szCs w:val="18"/>
              </w:rPr>
              <w:t>-0.97</w:t>
            </w:r>
          </w:p>
        </w:tc>
        <w:tc>
          <w:tcPr>
            <w:tcW w:w="409" w:type="dxa"/>
            <w:tcBorders>
              <w:top w:val="nil"/>
              <w:left w:val="nil"/>
              <w:bottom w:val="single" w:sz="4" w:space="0" w:color="auto"/>
              <w:right w:val="single" w:sz="4" w:space="0" w:color="auto"/>
            </w:tcBorders>
            <w:shd w:val="clear" w:color="auto" w:fill="auto"/>
            <w:noWrap/>
            <w:vAlign w:val="center"/>
            <w:hideMark/>
          </w:tcPr>
          <w:p w14:paraId="44B76046" w14:textId="77777777" w:rsidR="008B787A" w:rsidRPr="00693E73" w:rsidRDefault="008B787A" w:rsidP="00D948DE">
            <w:pPr>
              <w:spacing w:line="480" w:lineRule="auto"/>
              <w:jc w:val="center"/>
              <w:rPr>
                <w:rFonts w:ascii="Calibri" w:eastAsia="Times New Roman" w:hAnsi="Calibri" w:cs="Calibri"/>
                <w:color w:val="000000"/>
                <w:sz w:val="18"/>
                <w:szCs w:val="18"/>
              </w:rPr>
            </w:pPr>
            <w:r w:rsidRPr="00693E73">
              <w:rPr>
                <w:rFonts w:ascii="Calibri" w:eastAsia="Times New Roman" w:hAnsi="Calibri" w:cs="Calibri"/>
                <w:color w:val="000000"/>
                <w:sz w:val="18"/>
                <w:szCs w:val="18"/>
              </w:rPr>
              <w:t>0.80</w:t>
            </w:r>
          </w:p>
        </w:tc>
        <w:tc>
          <w:tcPr>
            <w:tcW w:w="409" w:type="dxa"/>
            <w:tcBorders>
              <w:top w:val="nil"/>
              <w:left w:val="nil"/>
              <w:bottom w:val="single" w:sz="4" w:space="0" w:color="auto"/>
              <w:right w:val="single" w:sz="4" w:space="0" w:color="auto"/>
            </w:tcBorders>
            <w:shd w:val="clear" w:color="auto" w:fill="auto"/>
            <w:noWrap/>
            <w:vAlign w:val="center"/>
            <w:hideMark/>
          </w:tcPr>
          <w:p w14:paraId="49F53505" w14:textId="77777777" w:rsidR="008B787A" w:rsidRPr="00693E73" w:rsidRDefault="008B787A" w:rsidP="00D948DE">
            <w:pPr>
              <w:spacing w:line="480" w:lineRule="auto"/>
              <w:jc w:val="center"/>
              <w:rPr>
                <w:rFonts w:ascii="Calibri" w:eastAsia="Times New Roman" w:hAnsi="Calibri" w:cs="Calibri"/>
                <w:color w:val="000000"/>
                <w:sz w:val="18"/>
                <w:szCs w:val="18"/>
              </w:rPr>
            </w:pPr>
            <w:r w:rsidRPr="00693E73">
              <w:rPr>
                <w:rFonts w:ascii="Calibri" w:eastAsia="Times New Roman" w:hAnsi="Calibri" w:cs="Calibri"/>
                <w:color w:val="000000"/>
                <w:sz w:val="18"/>
                <w:szCs w:val="18"/>
              </w:rPr>
              <w:t>1.38</w:t>
            </w:r>
          </w:p>
        </w:tc>
        <w:tc>
          <w:tcPr>
            <w:tcW w:w="774" w:type="dxa"/>
            <w:tcBorders>
              <w:top w:val="nil"/>
              <w:left w:val="nil"/>
              <w:bottom w:val="single" w:sz="4" w:space="0" w:color="auto"/>
              <w:right w:val="single" w:sz="8" w:space="0" w:color="auto"/>
            </w:tcBorders>
            <w:shd w:val="clear" w:color="auto" w:fill="auto"/>
            <w:noWrap/>
            <w:vAlign w:val="center"/>
            <w:hideMark/>
          </w:tcPr>
          <w:p w14:paraId="5EFFE79E" w14:textId="77777777" w:rsidR="008B787A" w:rsidRPr="00693E73" w:rsidRDefault="008B787A" w:rsidP="00D948DE">
            <w:pPr>
              <w:spacing w:line="480" w:lineRule="auto"/>
              <w:jc w:val="center"/>
              <w:rPr>
                <w:rFonts w:ascii="Calibri" w:eastAsia="Times New Roman" w:hAnsi="Calibri" w:cs="Calibri"/>
                <w:color w:val="000000"/>
                <w:sz w:val="18"/>
                <w:szCs w:val="18"/>
              </w:rPr>
            </w:pPr>
            <w:r w:rsidRPr="00693E73">
              <w:rPr>
                <w:rFonts w:ascii="Calibri" w:eastAsia="Times New Roman" w:hAnsi="Calibri" w:cs="Calibri"/>
                <w:color w:val="000000"/>
                <w:sz w:val="18"/>
                <w:szCs w:val="18"/>
              </w:rPr>
              <w:t>14740.67</w:t>
            </w:r>
          </w:p>
        </w:tc>
        <w:tc>
          <w:tcPr>
            <w:tcW w:w="409"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4212D1DD" w14:textId="77777777" w:rsidR="008B787A" w:rsidRPr="00693E73" w:rsidRDefault="008B787A" w:rsidP="00D948DE">
            <w:pPr>
              <w:spacing w:line="480" w:lineRule="auto"/>
              <w:jc w:val="center"/>
              <w:rPr>
                <w:rFonts w:ascii="Calibri" w:eastAsia="Times New Roman" w:hAnsi="Calibri" w:cs="Calibri"/>
                <w:color w:val="000000"/>
                <w:sz w:val="18"/>
                <w:szCs w:val="18"/>
              </w:rPr>
            </w:pPr>
            <w:r w:rsidRPr="00693E73">
              <w:rPr>
                <w:rFonts w:ascii="Calibri" w:eastAsia="Times New Roman" w:hAnsi="Calibri" w:cs="Calibri"/>
                <w:color w:val="000000"/>
                <w:sz w:val="18"/>
                <w:szCs w:val="18"/>
              </w:rPr>
              <w:t>0.46</w:t>
            </w:r>
          </w:p>
        </w:tc>
        <w:tc>
          <w:tcPr>
            <w:tcW w:w="360" w:type="dxa"/>
            <w:tcBorders>
              <w:top w:val="single" w:sz="4" w:space="0" w:color="auto"/>
              <w:left w:val="nil"/>
              <w:bottom w:val="single" w:sz="4" w:space="0" w:color="auto"/>
              <w:right w:val="single" w:sz="4" w:space="0" w:color="auto"/>
            </w:tcBorders>
            <w:shd w:val="clear" w:color="auto" w:fill="auto"/>
            <w:noWrap/>
            <w:vAlign w:val="center"/>
            <w:hideMark/>
          </w:tcPr>
          <w:p w14:paraId="6709F3F5" w14:textId="77777777" w:rsidR="008B787A" w:rsidRPr="00693E73" w:rsidRDefault="008B787A" w:rsidP="00D948DE">
            <w:pPr>
              <w:spacing w:line="480" w:lineRule="auto"/>
              <w:jc w:val="center"/>
              <w:rPr>
                <w:rFonts w:ascii="Calibri" w:eastAsia="Times New Roman" w:hAnsi="Calibri" w:cs="Calibri"/>
                <w:color w:val="000000"/>
                <w:sz w:val="18"/>
                <w:szCs w:val="18"/>
              </w:rPr>
            </w:pPr>
            <w:r w:rsidRPr="00693E73">
              <w:rPr>
                <w:rFonts w:ascii="Calibri" w:eastAsia="Times New Roman" w:hAnsi="Calibri" w:cs="Calibri"/>
                <w:color w:val="000000"/>
                <w:sz w:val="18"/>
                <w:szCs w:val="18"/>
              </w:rPr>
              <w:t>0.2</w:t>
            </w:r>
          </w:p>
        </w:tc>
        <w:tc>
          <w:tcPr>
            <w:tcW w:w="464" w:type="dxa"/>
            <w:tcBorders>
              <w:top w:val="single" w:sz="4" w:space="0" w:color="auto"/>
              <w:left w:val="nil"/>
              <w:bottom w:val="single" w:sz="4" w:space="0" w:color="auto"/>
              <w:right w:val="single" w:sz="4" w:space="0" w:color="auto"/>
            </w:tcBorders>
            <w:shd w:val="clear" w:color="auto" w:fill="auto"/>
            <w:noWrap/>
            <w:vAlign w:val="center"/>
            <w:hideMark/>
          </w:tcPr>
          <w:p w14:paraId="03E0F4B2" w14:textId="77777777" w:rsidR="008B787A" w:rsidRPr="00693E73" w:rsidRDefault="008B787A" w:rsidP="00D948DE">
            <w:pPr>
              <w:spacing w:line="480" w:lineRule="auto"/>
              <w:jc w:val="center"/>
              <w:rPr>
                <w:rFonts w:ascii="Calibri" w:eastAsia="Times New Roman" w:hAnsi="Calibri" w:cs="Calibri"/>
                <w:color w:val="000000"/>
                <w:sz w:val="18"/>
                <w:szCs w:val="18"/>
              </w:rPr>
            </w:pPr>
            <w:r w:rsidRPr="00693E73">
              <w:rPr>
                <w:rFonts w:ascii="Calibri" w:eastAsia="Times New Roman" w:hAnsi="Calibri" w:cs="Calibri"/>
                <w:color w:val="000000"/>
                <w:sz w:val="18"/>
                <w:szCs w:val="18"/>
              </w:rPr>
              <w:t>-1.00</w:t>
            </w:r>
          </w:p>
        </w:tc>
        <w:tc>
          <w:tcPr>
            <w:tcW w:w="409" w:type="dxa"/>
            <w:tcBorders>
              <w:top w:val="single" w:sz="4" w:space="0" w:color="auto"/>
              <w:left w:val="nil"/>
              <w:bottom w:val="single" w:sz="4" w:space="0" w:color="auto"/>
              <w:right w:val="single" w:sz="4" w:space="0" w:color="auto"/>
            </w:tcBorders>
            <w:shd w:val="clear" w:color="auto" w:fill="auto"/>
            <w:noWrap/>
            <w:vAlign w:val="center"/>
            <w:hideMark/>
          </w:tcPr>
          <w:p w14:paraId="6817F959" w14:textId="77777777" w:rsidR="008B787A" w:rsidRPr="00693E73" w:rsidRDefault="008B787A" w:rsidP="00D948DE">
            <w:pPr>
              <w:spacing w:line="480" w:lineRule="auto"/>
              <w:jc w:val="center"/>
              <w:rPr>
                <w:rFonts w:ascii="Calibri" w:eastAsia="Times New Roman" w:hAnsi="Calibri" w:cs="Calibri"/>
                <w:color w:val="000000"/>
                <w:sz w:val="18"/>
                <w:szCs w:val="18"/>
              </w:rPr>
            </w:pPr>
            <w:r w:rsidRPr="00693E73">
              <w:rPr>
                <w:rFonts w:ascii="Calibri" w:eastAsia="Times New Roman" w:hAnsi="Calibri" w:cs="Calibri"/>
                <w:color w:val="000000"/>
                <w:sz w:val="18"/>
                <w:szCs w:val="18"/>
              </w:rPr>
              <w:t>0.82</w:t>
            </w:r>
          </w:p>
        </w:tc>
        <w:tc>
          <w:tcPr>
            <w:tcW w:w="409" w:type="dxa"/>
            <w:tcBorders>
              <w:top w:val="single" w:sz="4" w:space="0" w:color="auto"/>
              <w:left w:val="nil"/>
              <w:bottom w:val="single" w:sz="4" w:space="0" w:color="auto"/>
              <w:right w:val="single" w:sz="4" w:space="0" w:color="auto"/>
            </w:tcBorders>
            <w:shd w:val="clear" w:color="auto" w:fill="auto"/>
            <w:noWrap/>
            <w:vAlign w:val="center"/>
            <w:hideMark/>
          </w:tcPr>
          <w:p w14:paraId="7AC5BD5F" w14:textId="77777777" w:rsidR="008B787A" w:rsidRPr="00693E73" w:rsidRDefault="008B787A" w:rsidP="00D948DE">
            <w:pPr>
              <w:spacing w:line="480" w:lineRule="auto"/>
              <w:jc w:val="center"/>
              <w:rPr>
                <w:rFonts w:ascii="Calibri" w:eastAsia="Times New Roman" w:hAnsi="Calibri" w:cs="Calibri"/>
                <w:color w:val="000000"/>
                <w:sz w:val="18"/>
                <w:szCs w:val="18"/>
              </w:rPr>
            </w:pPr>
            <w:r w:rsidRPr="00693E73">
              <w:rPr>
                <w:rFonts w:ascii="Calibri" w:eastAsia="Times New Roman" w:hAnsi="Calibri" w:cs="Calibri"/>
                <w:color w:val="000000"/>
                <w:sz w:val="18"/>
                <w:szCs w:val="18"/>
              </w:rPr>
              <w:t>1.39</w:t>
            </w:r>
          </w:p>
        </w:tc>
        <w:tc>
          <w:tcPr>
            <w:tcW w:w="774" w:type="dxa"/>
            <w:tcBorders>
              <w:top w:val="single" w:sz="4" w:space="0" w:color="auto"/>
              <w:left w:val="nil"/>
              <w:bottom w:val="single" w:sz="4" w:space="0" w:color="auto"/>
              <w:right w:val="single" w:sz="8" w:space="0" w:color="auto"/>
            </w:tcBorders>
            <w:shd w:val="clear" w:color="auto" w:fill="auto"/>
            <w:noWrap/>
            <w:vAlign w:val="center"/>
            <w:hideMark/>
          </w:tcPr>
          <w:p w14:paraId="0EFED0E3" w14:textId="77777777" w:rsidR="008B787A" w:rsidRPr="00693E73" w:rsidRDefault="008B787A" w:rsidP="00D948DE">
            <w:pPr>
              <w:spacing w:line="480" w:lineRule="auto"/>
              <w:jc w:val="center"/>
              <w:rPr>
                <w:rFonts w:ascii="Calibri" w:eastAsia="Times New Roman" w:hAnsi="Calibri" w:cs="Calibri"/>
                <w:color w:val="000000"/>
                <w:sz w:val="18"/>
                <w:szCs w:val="18"/>
              </w:rPr>
            </w:pPr>
            <w:r w:rsidRPr="00693E73">
              <w:rPr>
                <w:rFonts w:ascii="Calibri" w:eastAsia="Times New Roman" w:hAnsi="Calibri" w:cs="Calibri"/>
                <w:color w:val="000000"/>
                <w:sz w:val="18"/>
                <w:szCs w:val="18"/>
              </w:rPr>
              <w:t>14739.10</w:t>
            </w:r>
          </w:p>
        </w:tc>
        <w:tc>
          <w:tcPr>
            <w:tcW w:w="724" w:type="dxa"/>
            <w:tcBorders>
              <w:top w:val="nil"/>
              <w:left w:val="single" w:sz="8" w:space="0" w:color="auto"/>
              <w:bottom w:val="single" w:sz="4" w:space="0" w:color="auto"/>
              <w:right w:val="single" w:sz="4" w:space="0" w:color="auto"/>
            </w:tcBorders>
            <w:shd w:val="clear" w:color="auto" w:fill="auto"/>
            <w:noWrap/>
            <w:vAlign w:val="center"/>
            <w:hideMark/>
          </w:tcPr>
          <w:p w14:paraId="01A3E6D4" w14:textId="77777777" w:rsidR="008B787A" w:rsidRPr="00693E73" w:rsidRDefault="008B787A" w:rsidP="00D948DE">
            <w:pPr>
              <w:spacing w:line="480" w:lineRule="auto"/>
              <w:jc w:val="center"/>
              <w:rPr>
                <w:rFonts w:ascii="Calibri" w:eastAsia="Times New Roman" w:hAnsi="Calibri" w:cs="Calibri"/>
                <w:color w:val="000000"/>
                <w:sz w:val="18"/>
                <w:szCs w:val="18"/>
              </w:rPr>
            </w:pPr>
            <w:r w:rsidRPr="00693E73">
              <w:rPr>
                <w:rFonts w:ascii="Calibri" w:eastAsia="Times New Roman" w:hAnsi="Calibri" w:cs="Calibri"/>
                <w:color w:val="000000"/>
                <w:sz w:val="18"/>
                <w:szCs w:val="18"/>
              </w:rPr>
              <w:t>1.6</w:t>
            </w:r>
          </w:p>
        </w:tc>
        <w:tc>
          <w:tcPr>
            <w:tcW w:w="1099" w:type="dxa"/>
            <w:tcBorders>
              <w:top w:val="nil"/>
              <w:left w:val="nil"/>
              <w:bottom w:val="single" w:sz="4" w:space="0" w:color="auto"/>
              <w:right w:val="single" w:sz="8" w:space="0" w:color="auto"/>
            </w:tcBorders>
            <w:shd w:val="clear" w:color="auto" w:fill="auto"/>
            <w:noWrap/>
            <w:vAlign w:val="center"/>
            <w:hideMark/>
          </w:tcPr>
          <w:p w14:paraId="07DB01B3" w14:textId="77777777" w:rsidR="008B787A" w:rsidRPr="00693E73" w:rsidRDefault="008B787A" w:rsidP="00D948DE">
            <w:pPr>
              <w:spacing w:line="480" w:lineRule="auto"/>
              <w:jc w:val="center"/>
              <w:rPr>
                <w:rFonts w:ascii="Calibri" w:eastAsia="Times New Roman" w:hAnsi="Calibri" w:cs="Calibri"/>
                <w:color w:val="000000"/>
                <w:sz w:val="18"/>
                <w:szCs w:val="18"/>
              </w:rPr>
            </w:pPr>
            <w:r w:rsidRPr="00693E73">
              <w:rPr>
                <w:rFonts w:ascii="Calibri" w:eastAsia="Times New Roman" w:hAnsi="Calibri" w:cs="Calibri"/>
                <w:color w:val="000000"/>
                <w:sz w:val="18"/>
                <w:szCs w:val="18"/>
              </w:rPr>
              <w:t>2.2</w:t>
            </w:r>
          </w:p>
        </w:tc>
      </w:tr>
      <w:tr w:rsidR="005324F6" w:rsidRPr="007A1CB3" w14:paraId="70B59CEC" w14:textId="77777777" w:rsidTr="00426AA5">
        <w:trPr>
          <w:trHeight w:val="288"/>
        </w:trPr>
        <w:tc>
          <w:tcPr>
            <w:tcW w:w="639" w:type="dxa"/>
            <w:tcBorders>
              <w:top w:val="nil"/>
              <w:left w:val="single" w:sz="8" w:space="0" w:color="auto"/>
              <w:bottom w:val="single" w:sz="4" w:space="0" w:color="auto"/>
              <w:right w:val="single" w:sz="8" w:space="0" w:color="auto"/>
            </w:tcBorders>
            <w:shd w:val="clear" w:color="auto" w:fill="auto"/>
            <w:noWrap/>
            <w:vAlign w:val="center"/>
            <w:hideMark/>
          </w:tcPr>
          <w:p w14:paraId="70FF3E4D" w14:textId="77777777" w:rsidR="008B787A" w:rsidRPr="00693E73" w:rsidRDefault="008B787A" w:rsidP="00D948DE">
            <w:pPr>
              <w:spacing w:line="480" w:lineRule="auto"/>
              <w:jc w:val="center"/>
              <w:rPr>
                <w:rFonts w:ascii="Calibri" w:eastAsia="Times New Roman" w:hAnsi="Calibri" w:cs="Calibri"/>
                <w:color w:val="000000"/>
                <w:sz w:val="18"/>
                <w:szCs w:val="18"/>
              </w:rPr>
            </w:pPr>
            <w:r w:rsidRPr="00693E73">
              <w:rPr>
                <w:rFonts w:ascii="Calibri" w:eastAsia="Times New Roman" w:hAnsi="Calibri" w:cs="Calibri"/>
                <w:color w:val="000000"/>
                <w:sz w:val="18"/>
                <w:szCs w:val="18"/>
              </w:rPr>
              <w:t>10</w:t>
            </w:r>
          </w:p>
        </w:tc>
        <w:tc>
          <w:tcPr>
            <w:tcW w:w="443" w:type="dxa"/>
            <w:tcBorders>
              <w:top w:val="nil"/>
              <w:left w:val="nil"/>
              <w:bottom w:val="single" w:sz="4" w:space="0" w:color="auto"/>
              <w:right w:val="single" w:sz="4" w:space="0" w:color="auto"/>
            </w:tcBorders>
            <w:shd w:val="clear" w:color="auto" w:fill="auto"/>
            <w:noWrap/>
            <w:vAlign w:val="center"/>
            <w:hideMark/>
          </w:tcPr>
          <w:p w14:paraId="0B05FB59" w14:textId="77777777" w:rsidR="008B787A" w:rsidRPr="00693E73" w:rsidRDefault="008B787A" w:rsidP="00D948DE">
            <w:pPr>
              <w:spacing w:line="480" w:lineRule="auto"/>
              <w:jc w:val="center"/>
              <w:rPr>
                <w:rFonts w:ascii="Calibri" w:eastAsia="Times New Roman" w:hAnsi="Calibri" w:cs="Calibri"/>
                <w:color w:val="000000"/>
                <w:sz w:val="18"/>
                <w:szCs w:val="18"/>
              </w:rPr>
            </w:pPr>
            <w:r w:rsidRPr="00693E73">
              <w:rPr>
                <w:rFonts w:ascii="Calibri" w:eastAsia="Times New Roman" w:hAnsi="Calibri" w:cs="Calibri"/>
                <w:color w:val="000000"/>
                <w:sz w:val="18"/>
                <w:szCs w:val="18"/>
              </w:rPr>
              <w:t>0.17</w:t>
            </w:r>
          </w:p>
        </w:tc>
        <w:tc>
          <w:tcPr>
            <w:tcW w:w="409" w:type="dxa"/>
            <w:tcBorders>
              <w:top w:val="nil"/>
              <w:left w:val="nil"/>
              <w:bottom w:val="single" w:sz="4" w:space="0" w:color="auto"/>
              <w:right w:val="single" w:sz="4" w:space="0" w:color="auto"/>
            </w:tcBorders>
            <w:shd w:val="clear" w:color="auto" w:fill="auto"/>
            <w:noWrap/>
            <w:vAlign w:val="center"/>
            <w:hideMark/>
          </w:tcPr>
          <w:p w14:paraId="7F88440B" w14:textId="77777777" w:rsidR="008B787A" w:rsidRPr="00693E73" w:rsidRDefault="008B787A" w:rsidP="00D948DE">
            <w:pPr>
              <w:spacing w:line="480" w:lineRule="auto"/>
              <w:jc w:val="center"/>
              <w:rPr>
                <w:rFonts w:ascii="Calibri" w:eastAsia="Times New Roman" w:hAnsi="Calibri" w:cs="Calibri"/>
                <w:color w:val="000000"/>
                <w:sz w:val="18"/>
                <w:szCs w:val="18"/>
              </w:rPr>
            </w:pPr>
            <w:r w:rsidRPr="00693E73">
              <w:rPr>
                <w:rFonts w:ascii="Calibri" w:eastAsia="Times New Roman" w:hAnsi="Calibri" w:cs="Calibri"/>
                <w:color w:val="000000"/>
                <w:sz w:val="18"/>
                <w:szCs w:val="18"/>
              </w:rPr>
              <w:t>0.03</w:t>
            </w:r>
          </w:p>
        </w:tc>
        <w:tc>
          <w:tcPr>
            <w:tcW w:w="360" w:type="dxa"/>
            <w:tcBorders>
              <w:top w:val="nil"/>
              <w:left w:val="nil"/>
              <w:bottom w:val="single" w:sz="4" w:space="0" w:color="auto"/>
              <w:right w:val="single" w:sz="4" w:space="0" w:color="auto"/>
            </w:tcBorders>
            <w:shd w:val="clear" w:color="auto" w:fill="auto"/>
            <w:noWrap/>
            <w:vAlign w:val="center"/>
            <w:hideMark/>
          </w:tcPr>
          <w:p w14:paraId="29A75B79" w14:textId="77777777" w:rsidR="008B787A" w:rsidRPr="00693E73" w:rsidRDefault="008B787A" w:rsidP="00D948DE">
            <w:pPr>
              <w:spacing w:line="480" w:lineRule="auto"/>
              <w:jc w:val="center"/>
              <w:rPr>
                <w:rFonts w:ascii="Calibri" w:eastAsia="Times New Roman" w:hAnsi="Calibri" w:cs="Calibri"/>
                <w:color w:val="000000"/>
                <w:sz w:val="18"/>
                <w:szCs w:val="18"/>
              </w:rPr>
            </w:pPr>
            <w:r w:rsidRPr="00693E73">
              <w:rPr>
                <w:rFonts w:ascii="Calibri" w:eastAsia="Times New Roman" w:hAnsi="Calibri" w:cs="Calibri"/>
                <w:color w:val="000000"/>
                <w:sz w:val="18"/>
                <w:szCs w:val="18"/>
              </w:rPr>
              <w:t>0</w:t>
            </w:r>
          </w:p>
        </w:tc>
        <w:tc>
          <w:tcPr>
            <w:tcW w:w="464" w:type="dxa"/>
            <w:tcBorders>
              <w:top w:val="nil"/>
              <w:left w:val="nil"/>
              <w:bottom w:val="single" w:sz="4" w:space="0" w:color="auto"/>
              <w:right w:val="single" w:sz="4" w:space="0" w:color="auto"/>
            </w:tcBorders>
            <w:shd w:val="clear" w:color="auto" w:fill="auto"/>
            <w:noWrap/>
            <w:vAlign w:val="center"/>
            <w:hideMark/>
          </w:tcPr>
          <w:p w14:paraId="146D0601" w14:textId="77777777" w:rsidR="008B787A" w:rsidRPr="00693E73" w:rsidRDefault="008B787A" w:rsidP="00D948DE">
            <w:pPr>
              <w:spacing w:line="480" w:lineRule="auto"/>
              <w:jc w:val="center"/>
              <w:rPr>
                <w:rFonts w:ascii="Calibri" w:eastAsia="Times New Roman" w:hAnsi="Calibri" w:cs="Calibri"/>
                <w:color w:val="000000"/>
                <w:sz w:val="18"/>
                <w:szCs w:val="18"/>
              </w:rPr>
            </w:pPr>
            <w:r w:rsidRPr="00693E73">
              <w:rPr>
                <w:rFonts w:ascii="Calibri" w:eastAsia="Times New Roman" w:hAnsi="Calibri" w:cs="Calibri"/>
                <w:color w:val="000000"/>
                <w:sz w:val="18"/>
                <w:szCs w:val="18"/>
              </w:rPr>
              <w:t>-0.79</w:t>
            </w:r>
          </w:p>
        </w:tc>
        <w:tc>
          <w:tcPr>
            <w:tcW w:w="409" w:type="dxa"/>
            <w:tcBorders>
              <w:top w:val="nil"/>
              <w:left w:val="nil"/>
              <w:bottom w:val="single" w:sz="4" w:space="0" w:color="auto"/>
              <w:right w:val="single" w:sz="4" w:space="0" w:color="auto"/>
            </w:tcBorders>
            <w:shd w:val="clear" w:color="auto" w:fill="auto"/>
            <w:noWrap/>
            <w:vAlign w:val="center"/>
            <w:hideMark/>
          </w:tcPr>
          <w:p w14:paraId="358C0E0F" w14:textId="77777777" w:rsidR="008B787A" w:rsidRPr="00693E73" w:rsidRDefault="008B787A" w:rsidP="00D948DE">
            <w:pPr>
              <w:spacing w:line="480" w:lineRule="auto"/>
              <w:jc w:val="center"/>
              <w:rPr>
                <w:rFonts w:ascii="Calibri" w:eastAsia="Times New Roman" w:hAnsi="Calibri" w:cs="Calibri"/>
                <w:color w:val="000000"/>
                <w:sz w:val="18"/>
                <w:szCs w:val="18"/>
              </w:rPr>
            </w:pPr>
            <w:r w:rsidRPr="00693E73">
              <w:rPr>
                <w:rFonts w:ascii="Calibri" w:eastAsia="Times New Roman" w:hAnsi="Calibri" w:cs="Calibri"/>
                <w:color w:val="000000"/>
                <w:sz w:val="18"/>
                <w:szCs w:val="18"/>
              </w:rPr>
              <w:t>0.36</w:t>
            </w:r>
          </w:p>
        </w:tc>
        <w:tc>
          <w:tcPr>
            <w:tcW w:w="409" w:type="dxa"/>
            <w:tcBorders>
              <w:top w:val="nil"/>
              <w:left w:val="nil"/>
              <w:bottom w:val="single" w:sz="4" w:space="0" w:color="auto"/>
              <w:right w:val="single" w:sz="4" w:space="0" w:color="auto"/>
            </w:tcBorders>
            <w:shd w:val="clear" w:color="auto" w:fill="auto"/>
            <w:noWrap/>
            <w:vAlign w:val="center"/>
            <w:hideMark/>
          </w:tcPr>
          <w:p w14:paraId="59042A0B" w14:textId="77777777" w:rsidR="008B787A" w:rsidRPr="00693E73" w:rsidRDefault="008B787A" w:rsidP="00D948DE">
            <w:pPr>
              <w:spacing w:line="480" w:lineRule="auto"/>
              <w:jc w:val="center"/>
              <w:rPr>
                <w:rFonts w:ascii="Calibri" w:eastAsia="Times New Roman" w:hAnsi="Calibri" w:cs="Calibri"/>
                <w:color w:val="000000"/>
                <w:sz w:val="18"/>
                <w:szCs w:val="18"/>
              </w:rPr>
            </w:pPr>
            <w:r w:rsidRPr="00693E73">
              <w:rPr>
                <w:rFonts w:ascii="Calibri" w:eastAsia="Times New Roman" w:hAnsi="Calibri" w:cs="Calibri"/>
                <w:color w:val="000000"/>
                <w:sz w:val="18"/>
                <w:szCs w:val="18"/>
              </w:rPr>
              <w:t>0.56</w:t>
            </w:r>
          </w:p>
        </w:tc>
        <w:tc>
          <w:tcPr>
            <w:tcW w:w="774" w:type="dxa"/>
            <w:tcBorders>
              <w:top w:val="nil"/>
              <w:left w:val="nil"/>
              <w:bottom w:val="single" w:sz="4" w:space="0" w:color="auto"/>
              <w:right w:val="single" w:sz="8" w:space="0" w:color="auto"/>
            </w:tcBorders>
            <w:shd w:val="clear" w:color="auto" w:fill="auto"/>
            <w:noWrap/>
            <w:vAlign w:val="center"/>
            <w:hideMark/>
          </w:tcPr>
          <w:p w14:paraId="0FCDC49C" w14:textId="77777777" w:rsidR="008B787A" w:rsidRPr="00693E73" w:rsidRDefault="008B787A" w:rsidP="00D948DE">
            <w:pPr>
              <w:spacing w:line="480" w:lineRule="auto"/>
              <w:jc w:val="center"/>
              <w:rPr>
                <w:rFonts w:ascii="Calibri" w:eastAsia="Times New Roman" w:hAnsi="Calibri" w:cs="Calibri"/>
                <w:color w:val="000000"/>
                <w:sz w:val="18"/>
                <w:szCs w:val="18"/>
              </w:rPr>
            </w:pPr>
            <w:r w:rsidRPr="00693E73">
              <w:rPr>
                <w:rFonts w:ascii="Calibri" w:eastAsia="Times New Roman" w:hAnsi="Calibri" w:cs="Calibri"/>
                <w:color w:val="000000"/>
                <w:sz w:val="18"/>
                <w:szCs w:val="18"/>
              </w:rPr>
              <w:t>12362.20</w:t>
            </w:r>
          </w:p>
        </w:tc>
        <w:tc>
          <w:tcPr>
            <w:tcW w:w="409"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635409DA" w14:textId="77777777" w:rsidR="008B787A" w:rsidRPr="00693E73" w:rsidRDefault="008B787A" w:rsidP="00D948DE">
            <w:pPr>
              <w:spacing w:line="480" w:lineRule="auto"/>
              <w:jc w:val="center"/>
              <w:rPr>
                <w:rFonts w:ascii="Calibri" w:eastAsia="Times New Roman" w:hAnsi="Calibri" w:cs="Calibri"/>
                <w:color w:val="000000"/>
                <w:sz w:val="18"/>
                <w:szCs w:val="18"/>
              </w:rPr>
            </w:pPr>
            <w:r w:rsidRPr="00693E73">
              <w:rPr>
                <w:rFonts w:ascii="Calibri" w:eastAsia="Times New Roman" w:hAnsi="Calibri" w:cs="Calibri"/>
                <w:color w:val="000000"/>
                <w:sz w:val="18"/>
                <w:szCs w:val="18"/>
              </w:rPr>
              <w:t>0.02</w:t>
            </w:r>
          </w:p>
        </w:tc>
        <w:tc>
          <w:tcPr>
            <w:tcW w:w="360" w:type="dxa"/>
            <w:tcBorders>
              <w:top w:val="single" w:sz="4" w:space="0" w:color="auto"/>
              <w:left w:val="nil"/>
              <w:bottom w:val="single" w:sz="4" w:space="0" w:color="auto"/>
              <w:right w:val="single" w:sz="4" w:space="0" w:color="auto"/>
            </w:tcBorders>
            <w:shd w:val="clear" w:color="auto" w:fill="auto"/>
            <w:noWrap/>
            <w:vAlign w:val="center"/>
            <w:hideMark/>
          </w:tcPr>
          <w:p w14:paraId="2A0ACC49" w14:textId="77777777" w:rsidR="008B787A" w:rsidRPr="00693E73" w:rsidRDefault="008B787A" w:rsidP="00D948DE">
            <w:pPr>
              <w:spacing w:line="480" w:lineRule="auto"/>
              <w:jc w:val="center"/>
              <w:rPr>
                <w:rFonts w:ascii="Calibri" w:eastAsia="Times New Roman" w:hAnsi="Calibri" w:cs="Calibri"/>
                <w:color w:val="000000"/>
                <w:sz w:val="18"/>
                <w:szCs w:val="18"/>
              </w:rPr>
            </w:pPr>
            <w:r w:rsidRPr="00693E73">
              <w:rPr>
                <w:rFonts w:ascii="Calibri" w:eastAsia="Times New Roman" w:hAnsi="Calibri" w:cs="Calibri"/>
                <w:color w:val="000000"/>
                <w:sz w:val="18"/>
                <w:szCs w:val="18"/>
              </w:rPr>
              <w:t>0</w:t>
            </w:r>
          </w:p>
        </w:tc>
        <w:tc>
          <w:tcPr>
            <w:tcW w:w="464" w:type="dxa"/>
            <w:tcBorders>
              <w:top w:val="single" w:sz="4" w:space="0" w:color="auto"/>
              <w:left w:val="nil"/>
              <w:bottom w:val="single" w:sz="4" w:space="0" w:color="auto"/>
              <w:right w:val="single" w:sz="4" w:space="0" w:color="auto"/>
            </w:tcBorders>
            <w:shd w:val="clear" w:color="auto" w:fill="auto"/>
            <w:noWrap/>
            <w:vAlign w:val="center"/>
            <w:hideMark/>
          </w:tcPr>
          <w:p w14:paraId="7B4BC90F" w14:textId="77777777" w:rsidR="008B787A" w:rsidRPr="00693E73" w:rsidRDefault="008B787A" w:rsidP="00D948DE">
            <w:pPr>
              <w:spacing w:line="480" w:lineRule="auto"/>
              <w:jc w:val="center"/>
              <w:rPr>
                <w:rFonts w:ascii="Calibri" w:eastAsia="Times New Roman" w:hAnsi="Calibri" w:cs="Calibri"/>
                <w:color w:val="000000"/>
                <w:sz w:val="18"/>
                <w:szCs w:val="18"/>
              </w:rPr>
            </w:pPr>
            <w:r w:rsidRPr="00693E73">
              <w:rPr>
                <w:rFonts w:ascii="Calibri" w:eastAsia="Times New Roman" w:hAnsi="Calibri" w:cs="Calibri"/>
                <w:color w:val="000000"/>
                <w:sz w:val="18"/>
                <w:szCs w:val="18"/>
              </w:rPr>
              <w:t>-0.80</w:t>
            </w:r>
          </w:p>
        </w:tc>
        <w:tc>
          <w:tcPr>
            <w:tcW w:w="409" w:type="dxa"/>
            <w:tcBorders>
              <w:top w:val="single" w:sz="4" w:space="0" w:color="auto"/>
              <w:left w:val="nil"/>
              <w:bottom w:val="single" w:sz="4" w:space="0" w:color="auto"/>
              <w:right w:val="single" w:sz="4" w:space="0" w:color="auto"/>
            </w:tcBorders>
            <w:shd w:val="clear" w:color="auto" w:fill="auto"/>
            <w:noWrap/>
            <w:vAlign w:val="center"/>
            <w:hideMark/>
          </w:tcPr>
          <w:p w14:paraId="256D3BA9" w14:textId="77777777" w:rsidR="008B787A" w:rsidRPr="00693E73" w:rsidRDefault="008B787A" w:rsidP="00D948DE">
            <w:pPr>
              <w:spacing w:line="480" w:lineRule="auto"/>
              <w:jc w:val="center"/>
              <w:rPr>
                <w:rFonts w:ascii="Calibri" w:eastAsia="Times New Roman" w:hAnsi="Calibri" w:cs="Calibri"/>
                <w:color w:val="000000"/>
                <w:sz w:val="18"/>
                <w:szCs w:val="18"/>
              </w:rPr>
            </w:pPr>
            <w:r w:rsidRPr="00693E73">
              <w:rPr>
                <w:rFonts w:ascii="Calibri" w:eastAsia="Times New Roman" w:hAnsi="Calibri" w:cs="Calibri"/>
                <w:color w:val="000000"/>
                <w:sz w:val="18"/>
                <w:szCs w:val="18"/>
              </w:rPr>
              <w:t>0.35</w:t>
            </w:r>
          </w:p>
        </w:tc>
        <w:tc>
          <w:tcPr>
            <w:tcW w:w="409" w:type="dxa"/>
            <w:tcBorders>
              <w:top w:val="single" w:sz="4" w:space="0" w:color="auto"/>
              <w:left w:val="nil"/>
              <w:bottom w:val="single" w:sz="4" w:space="0" w:color="auto"/>
              <w:right w:val="single" w:sz="4" w:space="0" w:color="auto"/>
            </w:tcBorders>
            <w:shd w:val="clear" w:color="auto" w:fill="auto"/>
            <w:noWrap/>
            <w:vAlign w:val="center"/>
            <w:hideMark/>
          </w:tcPr>
          <w:p w14:paraId="6A969BEE" w14:textId="77777777" w:rsidR="008B787A" w:rsidRPr="00693E73" w:rsidRDefault="008B787A" w:rsidP="00D948DE">
            <w:pPr>
              <w:spacing w:line="480" w:lineRule="auto"/>
              <w:jc w:val="center"/>
              <w:rPr>
                <w:rFonts w:ascii="Calibri" w:eastAsia="Times New Roman" w:hAnsi="Calibri" w:cs="Calibri"/>
                <w:color w:val="000000"/>
                <w:sz w:val="18"/>
                <w:szCs w:val="18"/>
              </w:rPr>
            </w:pPr>
            <w:r w:rsidRPr="00693E73">
              <w:rPr>
                <w:rFonts w:ascii="Calibri" w:eastAsia="Times New Roman" w:hAnsi="Calibri" w:cs="Calibri"/>
                <w:color w:val="000000"/>
                <w:sz w:val="18"/>
                <w:szCs w:val="18"/>
              </w:rPr>
              <w:t>0.56</w:t>
            </w:r>
          </w:p>
        </w:tc>
        <w:tc>
          <w:tcPr>
            <w:tcW w:w="774" w:type="dxa"/>
            <w:tcBorders>
              <w:top w:val="single" w:sz="4" w:space="0" w:color="auto"/>
              <w:left w:val="nil"/>
              <w:bottom w:val="single" w:sz="4" w:space="0" w:color="auto"/>
              <w:right w:val="single" w:sz="8" w:space="0" w:color="auto"/>
            </w:tcBorders>
            <w:shd w:val="clear" w:color="auto" w:fill="auto"/>
            <w:noWrap/>
            <w:vAlign w:val="center"/>
            <w:hideMark/>
          </w:tcPr>
          <w:p w14:paraId="2EE8FBFD" w14:textId="77777777" w:rsidR="008B787A" w:rsidRPr="00693E73" w:rsidRDefault="008B787A" w:rsidP="00D948DE">
            <w:pPr>
              <w:spacing w:line="480" w:lineRule="auto"/>
              <w:jc w:val="center"/>
              <w:rPr>
                <w:rFonts w:ascii="Calibri" w:eastAsia="Times New Roman" w:hAnsi="Calibri" w:cs="Calibri"/>
                <w:color w:val="000000"/>
                <w:sz w:val="18"/>
                <w:szCs w:val="18"/>
              </w:rPr>
            </w:pPr>
            <w:r w:rsidRPr="00693E73">
              <w:rPr>
                <w:rFonts w:ascii="Calibri" w:eastAsia="Times New Roman" w:hAnsi="Calibri" w:cs="Calibri"/>
                <w:color w:val="000000"/>
                <w:sz w:val="18"/>
                <w:szCs w:val="18"/>
              </w:rPr>
              <w:t>12362.97</w:t>
            </w:r>
          </w:p>
        </w:tc>
        <w:tc>
          <w:tcPr>
            <w:tcW w:w="724" w:type="dxa"/>
            <w:tcBorders>
              <w:top w:val="nil"/>
              <w:left w:val="single" w:sz="8" w:space="0" w:color="auto"/>
              <w:bottom w:val="single" w:sz="4" w:space="0" w:color="auto"/>
              <w:right w:val="single" w:sz="4" w:space="0" w:color="auto"/>
            </w:tcBorders>
            <w:shd w:val="clear" w:color="auto" w:fill="auto"/>
            <w:noWrap/>
            <w:vAlign w:val="center"/>
            <w:hideMark/>
          </w:tcPr>
          <w:p w14:paraId="1D6FE7F7" w14:textId="77777777" w:rsidR="008B787A" w:rsidRPr="00693E73" w:rsidRDefault="008B787A" w:rsidP="00D948DE">
            <w:pPr>
              <w:spacing w:line="480" w:lineRule="auto"/>
              <w:jc w:val="center"/>
              <w:rPr>
                <w:rFonts w:ascii="Calibri" w:eastAsia="Times New Roman" w:hAnsi="Calibri" w:cs="Calibri"/>
                <w:color w:val="000000"/>
                <w:sz w:val="18"/>
                <w:szCs w:val="18"/>
              </w:rPr>
            </w:pPr>
            <w:r w:rsidRPr="00693E73">
              <w:rPr>
                <w:rFonts w:ascii="Calibri" w:eastAsia="Times New Roman" w:hAnsi="Calibri" w:cs="Calibri"/>
                <w:color w:val="000000"/>
                <w:sz w:val="18"/>
                <w:szCs w:val="18"/>
              </w:rPr>
              <w:t>-0.8</w:t>
            </w:r>
          </w:p>
        </w:tc>
        <w:tc>
          <w:tcPr>
            <w:tcW w:w="1099" w:type="dxa"/>
            <w:tcBorders>
              <w:top w:val="nil"/>
              <w:left w:val="nil"/>
              <w:bottom w:val="single" w:sz="4" w:space="0" w:color="auto"/>
              <w:right w:val="single" w:sz="8" w:space="0" w:color="auto"/>
            </w:tcBorders>
            <w:shd w:val="clear" w:color="auto" w:fill="auto"/>
            <w:noWrap/>
            <w:vAlign w:val="center"/>
            <w:hideMark/>
          </w:tcPr>
          <w:p w14:paraId="6922A234" w14:textId="77777777" w:rsidR="008B787A" w:rsidRPr="00693E73" w:rsidRDefault="008B787A" w:rsidP="00D948DE">
            <w:pPr>
              <w:spacing w:line="480" w:lineRule="auto"/>
              <w:jc w:val="center"/>
              <w:rPr>
                <w:rFonts w:ascii="Calibri" w:eastAsia="Times New Roman" w:hAnsi="Calibri" w:cs="Calibri"/>
                <w:color w:val="000000"/>
                <w:sz w:val="18"/>
                <w:szCs w:val="18"/>
              </w:rPr>
            </w:pPr>
            <w:r w:rsidRPr="00693E73">
              <w:rPr>
                <w:rFonts w:ascii="Calibri" w:eastAsia="Times New Roman" w:hAnsi="Calibri" w:cs="Calibri"/>
                <w:color w:val="000000"/>
                <w:sz w:val="18"/>
                <w:szCs w:val="18"/>
              </w:rPr>
              <w:t>1.5</w:t>
            </w:r>
          </w:p>
        </w:tc>
      </w:tr>
      <w:tr w:rsidR="005324F6" w:rsidRPr="007A1CB3" w14:paraId="4DBC7D18" w14:textId="77777777" w:rsidTr="00426AA5">
        <w:trPr>
          <w:trHeight w:val="288"/>
        </w:trPr>
        <w:tc>
          <w:tcPr>
            <w:tcW w:w="639" w:type="dxa"/>
            <w:tcBorders>
              <w:top w:val="nil"/>
              <w:left w:val="single" w:sz="8" w:space="0" w:color="auto"/>
              <w:bottom w:val="single" w:sz="4" w:space="0" w:color="auto"/>
              <w:right w:val="single" w:sz="8" w:space="0" w:color="auto"/>
            </w:tcBorders>
            <w:shd w:val="clear" w:color="auto" w:fill="auto"/>
            <w:noWrap/>
            <w:vAlign w:val="center"/>
            <w:hideMark/>
          </w:tcPr>
          <w:p w14:paraId="0252097E" w14:textId="77777777" w:rsidR="008B787A" w:rsidRPr="00693E73" w:rsidRDefault="008B787A" w:rsidP="00D948DE">
            <w:pPr>
              <w:spacing w:line="480" w:lineRule="auto"/>
              <w:jc w:val="center"/>
              <w:rPr>
                <w:rFonts w:ascii="Calibri" w:eastAsia="Times New Roman" w:hAnsi="Calibri" w:cs="Calibri"/>
                <w:color w:val="000000"/>
                <w:sz w:val="18"/>
                <w:szCs w:val="18"/>
              </w:rPr>
            </w:pPr>
            <w:r w:rsidRPr="00693E73">
              <w:rPr>
                <w:rFonts w:ascii="Calibri" w:eastAsia="Times New Roman" w:hAnsi="Calibri" w:cs="Calibri"/>
                <w:color w:val="000000"/>
                <w:sz w:val="18"/>
                <w:szCs w:val="18"/>
              </w:rPr>
              <w:t>11</w:t>
            </w:r>
          </w:p>
        </w:tc>
        <w:tc>
          <w:tcPr>
            <w:tcW w:w="443" w:type="dxa"/>
            <w:tcBorders>
              <w:top w:val="nil"/>
              <w:left w:val="nil"/>
              <w:bottom w:val="single" w:sz="4" w:space="0" w:color="auto"/>
              <w:right w:val="single" w:sz="4" w:space="0" w:color="auto"/>
            </w:tcBorders>
            <w:shd w:val="clear" w:color="auto" w:fill="auto"/>
            <w:noWrap/>
            <w:vAlign w:val="center"/>
            <w:hideMark/>
          </w:tcPr>
          <w:p w14:paraId="2042CEB6" w14:textId="77777777" w:rsidR="008B787A" w:rsidRPr="00693E73" w:rsidRDefault="008B787A" w:rsidP="00D948DE">
            <w:pPr>
              <w:spacing w:line="480" w:lineRule="auto"/>
              <w:jc w:val="center"/>
              <w:rPr>
                <w:rFonts w:ascii="Calibri" w:eastAsia="Times New Roman" w:hAnsi="Calibri" w:cs="Calibri"/>
                <w:color w:val="000000"/>
                <w:sz w:val="18"/>
                <w:szCs w:val="18"/>
              </w:rPr>
            </w:pPr>
            <w:r w:rsidRPr="00693E73">
              <w:rPr>
                <w:rFonts w:ascii="Calibri" w:eastAsia="Times New Roman" w:hAnsi="Calibri" w:cs="Calibri"/>
                <w:color w:val="000000"/>
                <w:sz w:val="18"/>
                <w:szCs w:val="18"/>
              </w:rPr>
              <w:t>1.01</w:t>
            </w:r>
          </w:p>
        </w:tc>
        <w:tc>
          <w:tcPr>
            <w:tcW w:w="409" w:type="dxa"/>
            <w:tcBorders>
              <w:top w:val="nil"/>
              <w:left w:val="nil"/>
              <w:bottom w:val="single" w:sz="4" w:space="0" w:color="auto"/>
              <w:right w:val="single" w:sz="4" w:space="0" w:color="auto"/>
            </w:tcBorders>
            <w:shd w:val="clear" w:color="auto" w:fill="auto"/>
            <w:noWrap/>
            <w:vAlign w:val="center"/>
            <w:hideMark/>
          </w:tcPr>
          <w:p w14:paraId="3E00EED7" w14:textId="77777777" w:rsidR="008B787A" w:rsidRPr="00693E73" w:rsidRDefault="008B787A" w:rsidP="00D948DE">
            <w:pPr>
              <w:spacing w:line="480" w:lineRule="auto"/>
              <w:jc w:val="center"/>
              <w:rPr>
                <w:rFonts w:ascii="Calibri" w:eastAsia="Times New Roman" w:hAnsi="Calibri" w:cs="Calibri"/>
                <w:color w:val="000000"/>
                <w:sz w:val="18"/>
                <w:szCs w:val="18"/>
              </w:rPr>
            </w:pPr>
            <w:r w:rsidRPr="00693E73">
              <w:rPr>
                <w:rFonts w:ascii="Calibri" w:eastAsia="Times New Roman" w:hAnsi="Calibri" w:cs="Calibri"/>
                <w:color w:val="000000"/>
                <w:sz w:val="18"/>
                <w:szCs w:val="18"/>
              </w:rPr>
              <w:t>1.73</w:t>
            </w:r>
          </w:p>
        </w:tc>
        <w:tc>
          <w:tcPr>
            <w:tcW w:w="360" w:type="dxa"/>
            <w:tcBorders>
              <w:top w:val="nil"/>
              <w:left w:val="nil"/>
              <w:bottom w:val="single" w:sz="4" w:space="0" w:color="auto"/>
              <w:right w:val="single" w:sz="4" w:space="0" w:color="auto"/>
            </w:tcBorders>
            <w:shd w:val="clear" w:color="auto" w:fill="auto"/>
            <w:noWrap/>
            <w:vAlign w:val="center"/>
            <w:hideMark/>
          </w:tcPr>
          <w:p w14:paraId="44D78CF7" w14:textId="77777777" w:rsidR="008B787A" w:rsidRPr="00693E73" w:rsidRDefault="008B787A" w:rsidP="00D948DE">
            <w:pPr>
              <w:spacing w:line="480" w:lineRule="auto"/>
              <w:jc w:val="center"/>
              <w:rPr>
                <w:rFonts w:ascii="Calibri" w:eastAsia="Times New Roman" w:hAnsi="Calibri" w:cs="Calibri"/>
                <w:color w:val="000000"/>
                <w:sz w:val="18"/>
                <w:szCs w:val="18"/>
              </w:rPr>
            </w:pPr>
            <w:r w:rsidRPr="00693E73">
              <w:rPr>
                <w:rFonts w:ascii="Calibri" w:eastAsia="Times New Roman" w:hAnsi="Calibri" w:cs="Calibri"/>
                <w:color w:val="000000"/>
                <w:sz w:val="18"/>
                <w:szCs w:val="18"/>
              </w:rPr>
              <w:t>0</w:t>
            </w:r>
          </w:p>
        </w:tc>
        <w:tc>
          <w:tcPr>
            <w:tcW w:w="464" w:type="dxa"/>
            <w:tcBorders>
              <w:top w:val="nil"/>
              <w:left w:val="nil"/>
              <w:bottom w:val="single" w:sz="4" w:space="0" w:color="auto"/>
              <w:right w:val="single" w:sz="4" w:space="0" w:color="auto"/>
            </w:tcBorders>
            <w:shd w:val="clear" w:color="auto" w:fill="auto"/>
            <w:noWrap/>
            <w:vAlign w:val="center"/>
            <w:hideMark/>
          </w:tcPr>
          <w:p w14:paraId="1C47B7EC" w14:textId="77777777" w:rsidR="008B787A" w:rsidRPr="00693E73" w:rsidRDefault="008B787A" w:rsidP="00D948DE">
            <w:pPr>
              <w:spacing w:line="480" w:lineRule="auto"/>
              <w:jc w:val="center"/>
              <w:rPr>
                <w:rFonts w:ascii="Calibri" w:eastAsia="Times New Roman" w:hAnsi="Calibri" w:cs="Calibri"/>
                <w:color w:val="000000"/>
                <w:sz w:val="18"/>
                <w:szCs w:val="18"/>
              </w:rPr>
            </w:pPr>
            <w:r w:rsidRPr="00693E73">
              <w:rPr>
                <w:rFonts w:ascii="Calibri" w:eastAsia="Times New Roman" w:hAnsi="Calibri" w:cs="Calibri"/>
                <w:color w:val="000000"/>
                <w:sz w:val="18"/>
                <w:szCs w:val="18"/>
              </w:rPr>
              <w:t>-1.23</w:t>
            </w:r>
          </w:p>
        </w:tc>
        <w:tc>
          <w:tcPr>
            <w:tcW w:w="409" w:type="dxa"/>
            <w:tcBorders>
              <w:top w:val="nil"/>
              <w:left w:val="nil"/>
              <w:bottom w:val="single" w:sz="4" w:space="0" w:color="auto"/>
              <w:right w:val="single" w:sz="4" w:space="0" w:color="auto"/>
            </w:tcBorders>
            <w:shd w:val="clear" w:color="auto" w:fill="auto"/>
            <w:noWrap/>
            <w:vAlign w:val="center"/>
            <w:hideMark/>
          </w:tcPr>
          <w:p w14:paraId="0667AA8F" w14:textId="77777777" w:rsidR="008B787A" w:rsidRPr="00693E73" w:rsidRDefault="008B787A" w:rsidP="00D948DE">
            <w:pPr>
              <w:spacing w:line="480" w:lineRule="auto"/>
              <w:jc w:val="center"/>
              <w:rPr>
                <w:rFonts w:ascii="Calibri" w:eastAsia="Times New Roman" w:hAnsi="Calibri" w:cs="Calibri"/>
                <w:color w:val="000000"/>
                <w:sz w:val="18"/>
                <w:szCs w:val="18"/>
              </w:rPr>
            </w:pPr>
            <w:r w:rsidRPr="00693E73">
              <w:rPr>
                <w:rFonts w:ascii="Calibri" w:eastAsia="Times New Roman" w:hAnsi="Calibri" w:cs="Calibri"/>
                <w:color w:val="000000"/>
                <w:sz w:val="18"/>
                <w:szCs w:val="18"/>
              </w:rPr>
              <w:t>1.43</w:t>
            </w:r>
          </w:p>
        </w:tc>
        <w:tc>
          <w:tcPr>
            <w:tcW w:w="409" w:type="dxa"/>
            <w:tcBorders>
              <w:top w:val="nil"/>
              <w:left w:val="nil"/>
              <w:bottom w:val="single" w:sz="4" w:space="0" w:color="auto"/>
              <w:right w:val="single" w:sz="4" w:space="0" w:color="auto"/>
            </w:tcBorders>
            <w:shd w:val="clear" w:color="auto" w:fill="auto"/>
            <w:noWrap/>
            <w:vAlign w:val="center"/>
            <w:hideMark/>
          </w:tcPr>
          <w:p w14:paraId="5206F0E9" w14:textId="77777777" w:rsidR="008B787A" w:rsidRPr="00693E73" w:rsidRDefault="008B787A" w:rsidP="00D948DE">
            <w:pPr>
              <w:spacing w:line="480" w:lineRule="auto"/>
              <w:jc w:val="center"/>
              <w:rPr>
                <w:rFonts w:ascii="Calibri" w:eastAsia="Times New Roman" w:hAnsi="Calibri" w:cs="Calibri"/>
                <w:color w:val="000000"/>
                <w:sz w:val="18"/>
                <w:szCs w:val="18"/>
              </w:rPr>
            </w:pPr>
            <w:r w:rsidRPr="00693E73">
              <w:rPr>
                <w:rFonts w:ascii="Calibri" w:eastAsia="Times New Roman" w:hAnsi="Calibri" w:cs="Calibri"/>
                <w:color w:val="000000"/>
                <w:sz w:val="18"/>
                <w:szCs w:val="18"/>
              </w:rPr>
              <w:t>1.60</w:t>
            </w:r>
          </w:p>
        </w:tc>
        <w:tc>
          <w:tcPr>
            <w:tcW w:w="774" w:type="dxa"/>
            <w:tcBorders>
              <w:top w:val="nil"/>
              <w:left w:val="nil"/>
              <w:bottom w:val="single" w:sz="4" w:space="0" w:color="auto"/>
              <w:right w:val="single" w:sz="8" w:space="0" w:color="auto"/>
            </w:tcBorders>
            <w:shd w:val="clear" w:color="auto" w:fill="auto"/>
            <w:noWrap/>
            <w:vAlign w:val="center"/>
            <w:hideMark/>
          </w:tcPr>
          <w:p w14:paraId="6F5506FD" w14:textId="77777777" w:rsidR="008B787A" w:rsidRPr="00693E73" w:rsidRDefault="008B787A" w:rsidP="00D948DE">
            <w:pPr>
              <w:spacing w:line="480" w:lineRule="auto"/>
              <w:jc w:val="center"/>
              <w:rPr>
                <w:rFonts w:ascii="Calibri" w:eastAsia="Times New Roman" w:hAnsi="Calibri" w:cs="Calibri"/>
                <w:color w:val="000000"/>
                <w:sz w:val="18"/>
                <w:szCs w:val="18"/>
              </w:rPr>
            </w:pPr>
            <w:r w:rsidRPr="00693E73">
              <w:rPr>
                <w:rFonts w:ascii="Calibri" w:eastAsia="Times New Roman" w:hAnsi="Calibri" w:cs="Calibri"/>
                <w:color w:val="000000"/>
                <w:sz w:val="18"/>
                <w:szCs w:val="18"/>
              </w:rPr>
              <w:t>13326.29</w:t>
            </w:r>
          </w:p>
        </w:tc>
        <w:tc>
          <w:tcPr>
            <w:tcW w:w="409"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327C394E" w14:textId="77777777" w:rsidR="008B787A" w:rsidRPr="00693E73" w:rsidRDefault="008B787A" w:rsidP="00D948DE">
            <w:pPr>
              <w:spacing w:line="480" w:lineRule="auto"/>
              <w:jc w:val="center"/>
              <w:rPr>
                <w:rFonts w:ascii="Calibri" w:eastAsia="Times New Roman" w:hAnsi="Calibri" w:cs="Calibri"/>
                <w:color w:val="000000"/>
                <w:sz w:val="18"/>
                <w:szCs w:val="18"/>
              </w:rPr>
            </w:pPr>
            <w:r w:rsidRPr="00693E73">
              <w:rPr>
                <w:rFonts w:ascii="Calibri" w:eastAsia="Times New Roman" w:hAnsi="Calibri" w:cs="Calibri"/>
                <w:color w:val="000000"/>
                <w:sz w:val="18"/>
                <w:szCs w:val="18"/>
              </w:rPr>
              <w:t>0.58</w:t>
            </w:r>
          </w:p>
        </w:tc>
        <w:tc>
          <w:tcPr>
            <w:tcW w:w="360" w:type="dxa"/>
            <w:tcBorders>
              <w:top w:val="single" w:sz="4" w:space="0" w:color="auto"/>
              <w:left w:val="nil"/>
              <w:bottom w:val="single" w:sz="4" w:space="0" w:color="auto"/>
              <w:right w:val="single" w:sz="4" w:space="0" w:color="auto"/>
            </w:tcBorders>
            <w:shd w:val="clear" w:color="auto" w:fill="auto"/>
            <w:noWrap/>
            <w:vAlign w:val="center"/>
            <w:hideMark/>
          </w:tcPr>
          <w:p w14:paraId="62AF23F9" w14:textId="77777777" w:rsidR="008B787A" w:rsidRPr="00693E73" w:rsidRDefault="008B787A" w:rsidP="00D948DE">
            <w:pPr>
              <w:spacing w:line="480" w:lineRule="auto"/>
              <w:jc w:val="center"/>
              <w:rPr>
                <w:rFonts w:ascii="Calibri" w:eastAsia="Times New Roman" w:hAnsi="Calibri" w:cs="Calibri"/>
                <w:color w:val="000000"/>
                <w:sz w:val="18"/>
                <w:szCs w:val="18"/>
              </w:rPr>
            </w:pPr>
            <w:r w:rsidRPr="00693E73">
              <w:rPr>
                <w:rFonts w:ascii="Calibri" w:eastAsia="Times New Roman" w:hAnsi="Calibri" w:cs="Calibri"/>
                <w:color w:val="000000"/>
                <w:sz w:val="18"/>
                <w:szCs w:val="18"/>
              </w:rPr>
              <w:t>0</w:t>
            </w:r>
          </w:p>
        </w:tc>
        <w:tc>
          <w:tcPr>
            <w:tcW w:w="464" w:type="dxa"/>
            <w:tcBorders>
              <w:top w:val="single" w:sz="4" w:space="0" w:color="auto"/>
              <w:left w:val="nil"/>
              <w:bottom w:val="single" w:sz="4" w:space="0" w:color="auto"/>
              <w:right w:val="single" w:sz="4" w:space="0" w:color="auto"/>
            </w:tcBorders>
            <w:shd w:val="clear" w:color="auto" w:fill="auto"/>
            <w:noWrap/>
            <w:vAlign w:val="center"/>
            <w:hideMark/>
          </w:tcPr>
          <w:p w14:paraId="740401F6" w14:textId="77777777" w:rsidR="008B787A" w:rsidRPr="00693E73" w:rsidRDefault="008B787A" w:rsidP="00D948DE">
            <w:pPr>
              <w:spacing w:line="480" w:lineRule="auto"/>
              <w:jc w:val="center"/>
              <w:rPr>
                <w:rFonts w:ascii="Calibri" w:eastAsia="Times New Roman" w:hAnsi="Calibri" w:cs="Calibri"/>
                <w:color w:val="000000"/>
                <w:sz w:val="18"/>
                <w:szCs w:val="18"/>
              </w:rPr>
            </w:pPr>
            <w:r w:rsidRPr="00693E73">
              <w:rPr>
                <w:rFonts w:ascii="Calibri" w:eastAsia="Times New Roman" w:hAnsi="Calibri" w:cs="Calibri"/>
                <w:color w:val="000000"/>
                <w:sz w:val="18"/>
                <w:szCs w:val="18"/>
              </w:rPr>
              <w:t>-1.02</w:t>
            </w:r>
          </w:p>
        </w:tc>
        <w:tc>
          <w:tcPr>
            <w:tcW w:w="409" w:type="dxa"/>
            <w:tcBorders>
              <w:top w:val="single" w:sz="4" w:space="0" w:color="auto"/>
              <w:left w:val="nil"/>
              <w:bottom w:val="single" w:sz="4" w:space="0" w:color="auto"/>
              <w:right w:val="single" w:sz="4" w:space="0" w:color="auto"/>
            </w:tcBorders>
            <w:shd w:val="clear" w:color="auto" w:fill="auto"/>
            <w:noWrap/>
            <w:vAlign w:val="center"/>
            <w:hideMark/>
          </w:tcPr>
          <w:p w14:paraId="58CC39E5" w14:textId="77777777" w:rsidR="008B787A" w:rsidRPr="00693E73" w:rsidRDefault="008B787A" w:rsidP="00D948DE">
            <w:pPr>
              <w:spacing w:line="480" w:lineRule="auto"/>
              <w:jc w:val="center"/>
              <w:rPr>
                <w:rFonts w:ascii="Calibri" w:eastAsia="Times New Roman" w:hAnsi="Calibri" w:cs="Calibri"/>
                <w:color w:val="000000"/>
                <w:sz w:val="18"/>
                <w:szCs w:val="18"/>
              </w:rPr>
            </w:pPr>
            <w:r w:rsidRPr="00693E73">
              <w:rPr>
                <w:rFonts w:ascii="Calibri" w:eastAsia="Times New Roman" w:hAnsi="Calibri" w:cs="Calibri"/>
                <w:color w:val="000000"/>
                <w:sz w:val="18"/>
                <w:szCs w:val="18"/>
              </w:rPr>
              <w:t>1.24</w:t>
            </w:r>
          </w:p>
        </w:tc>
        <w:tc>
          <w:tcPr>
            <w:tcW w:w="409" w:type="dxa"/>
            <w:tcBorders>
              <w:top w:val="single" w:sz="4" w:space="0" w:color="auto"/>
              <w:left w:val="nil"/>
              <w:bottom w:val="single" w:sz="4" w:space="0" w:color="auto"/>
              <w:right w:val="single" w:sz="4" w:space="0" w:color="auto"/>
            </w:tcBorders>
            <w:shd w:val="clear" w:color="auto" w:fill="auto"/>
            <w:noWrap/>
            <w:vAlign w:val="center"/>
            <w:hideMark/>
          </w:tcPr>
          <w:p w14:paraId="2DD5E607" w14:textId="77777777" w:rsidR="008B787A" w:rsidRPr="00693E73" w:rsidRDefault="008B787A" w:rsidP="00D948DE">
            <w:pPr>
              <w:spacing w:line="480" w:lineRule="auto"/>
              <w:jc w:val="center"/>
              <w:rPr>
                <w:rFonts w:ascii="Calibri" w:eastAsia="Times New Roman" w:hAnsi="Calibri" w:cs="Calibri"/>
                <w:color w:val="000000"/>
                <w:sz w:val="18"/>
                <w:szCs w:val="18"/>
              </w:rPr>
            </w:pPr>
            <w:r w:rsidRPr="00693E73">
              <w:rPr>
                <w:rFonts w:ascii="Calibri" w:eastAsia="Times New Roman" w:hAnsi="Calibri" w:cs="Calibri"/>
                <w:color w:val="000000"/>
                <w:sz w:val="18"/>
                <w:szCs w:val="18"/>
              </w:rPr>
              <w:t>1.31</w:t>
            </w:r>
          </w:p>
        </w:tc>
        <w:tc>
          <w:tcPr>
            <w:tcW w:w="774" w:type="dxa"/>
            <w:tcBorders>
              <w:top w:val="single" w:sz="4" w:space="0" w:color="auto"/>
              <w:left w:val="nil"/>
              <w:bottom w:val="single" w:sz="4" w:space="0" w:color="auto"/>
              <w:right w:val="single" w:sz="8" w:space="0" w:color="auto"/>
            </w:tcBorders>
            <w:shd w:val="clear" w:color="auto" w:fill="auto"/>
            <w:noWrap/>
            <w:vAlign w:val="center"/>
            <w:hideMark/>
          </w:tcPr>
          <w:p w14:paraId="01E65A3C" w14:textId="77777777" w:rsidR="008B787A" w:rsidRPr="00693E73" w:rsidRDefault="008B787A" w:rsidP="00D948DE">
            <w:pPr>
              <w:spacing w:line="480" w:lineRule="auto"/>
              <w:jc w:val="center"/>
              <w:rPr>
                <w:rFonts w:ascii="Calibri" w:eastAsia="Times New Roman" w:hAnsi="Calibri" w:cs="Calibri"/>
                <w:color w:val="000000"/>
                <w:sz w:val="18"/>
                <w:szCs w:val="18"/>
              </w:rPr>
            </w:pPr>
            <w:r w:rsidRPr="00693E73">
              <w:rPr>
                <w:rFonts w:ascii="Calibri" w:eastAsia="Times New Roman" w:hAnsi="Calibri" w:cs="Calibri"/>
                <w:color w:val="000000"/>
                <w:sz w:val="18"/>
                <w:szCs w:val="18"/>
              </w:rPr>
              <w:t>13401.29</w:t>
            </w:r>
          </w:p>
        </w:tc>
        <w:tc>
          <w:tcPr>
            <w:tcW w:w="724" w:type="dxa"/>
            <w:tcBorders>
              <w:top w:val="nil"/>
              <w:left w:val="single" w:sz="8" w:space="0" w:color="auto"/>
              <w:bottom w:val="single" w:sz="4" w:space="0" w:color="auto"/>
              <w:right w:val="single" w:sz="4" w:space="0" w:color="auto"/>
            </w:tcBorders>
            <w:shd w:val="clear" w:color="auto" w:fill="auto"/>
            <w:noWrap/>
            <w:vAlign w:val="center"/>
            <w:hideMark/>
          </w:tcPr>
          <w:p w14:paraId="60D1EBFA" w14:textId="77777777" w:rsidR="008B787A" w:rsidRPr="00693E73" w:rsidRDefault="008B787A" w:rsidP="00D948DE">
            <w:pPr>
              <w:spacing w:line="480" w:lineRule="auto"/>
              <w:jc w:val="center"/>
              <w:rPr>
                <w:rFonts w:ascii="Calibri" w:eastAsia="Times New Roman" w:hAnsi="Calibri" w:cs="Calibri"/>
                <w:color w:val="000000"/>
                <w:sz w:val="18"/>
                <w:szCs w:val="18"/>
              </w:rPr>
            </w:pPr>
            <w:r w:rsidRPr="00693E73">
              <w:rPr>
                <w:rFonts w:ascii="Calibri" w:eastAsia="Times New Roman" w:hAnsi="Calibri" w:cs="Calibri"/>
                <w:color w:val="000000"/>
                <w:sz w:val="18"/>
                <w:szCs w:val="18"/>
              </w:rPr>
              <w:t>-75.0</w:t>
            </w:r>
          </w:p>
        </w:tc>
        <w:tc>
          <w:tcPr>
            <w:tcW w:w="1099" w:type="dxa"/>
            <w:tcBorders>
              <w:top w:val="nil"/>
              <w:left w:val="nil"/>
              <w:bottom w:val="single" w:sz="4" w:space="0" w:color="auto"/>
              <w:right w:val="single" w:sz="8" w:space="0" w:color="auto"/>
            </w:tcBorders>
            <w:shd w:val="clear" w:color="auto" w:fill="auto"/>
            <w:noWrap/>
            <w:vAlign w:val="center"/>
            <w:hideMark/>
          </w:tcPr>
          <w:p w14:paraId="7056D1D3" w14:textId="7766E369" w:rsidR="008B787A" w:rsidRPr="00693E73" w:rsidRDefault="00BD7B4E" w:rsidP="00D948DE">
            <w:pPr>
              <w:spacing w:line="480" w:lineRule="auto"/>
              <w:jc w:val="center"/>
              <w:rPr>
                <w:rFonts w:ascii="Calibri" w:eastAsia="Times New Roman" w:hAnsi="Calibri" w:cs="Calibri"/>
                <w:color w:val="000000"/>
                <w:sz w:val="18"/>
                <w:szCs w:val="18"/>
                <w:vertAlign w:val="superscript"/>
              </w:rPr>
            </w:pPr>
            <w:r>
              <w:rPr>
                <w:rFonts w:ascii="Calibri" w:eastAsia="Times New Roman" w:hAnsi="Calibri" w:cs="Calibri"/>
                <w:color w:val="000000"/>
                <w:sz w:val="18"/>
                <w:szCs w:val="18"/>
              </w:rPr>
              <w:t>1.9*10</w:t>
            </w:r>
            <w:r>
              <w:rPr>
                <w:rFonts w:ascii="Calibri" w:eastAsia="Times New Roman" w:hAnsi="Calibri" w:cs="Calibri"/>
                <w:color w:val="000000"/>
                <w:sz w:val="18"/>
                <w:szCs w:val="18"/>
                <w:vertAlign w:val="superscript"/>
              </w:rPr>
              <w:t>16</w:t>
            </w:r>
          </w:p>
        </w:tc>
      </w:tr>
      <w:tr w:rsidR="005324F6" w:rsidRPr="007A1CB3" w14:paraId="6B83E584" w14:textId="77777777" w:rsidTr="00426AA5">
        <w:trPr>
          <w:trHeight w:val="288"/>
        </w:trPr>
        <w:tc>
          <w:tcPr>
            <w:tcW w:w="639" w:type="dxa"/>
            <w:tcBorders>
              <w:top w:val="nil"/>
              <w:left w:val="single" w:sz="8" w:space="0" w:color="auto"/>
              <w:bottom w:val="single" w:sz="8" w:space="0" w:color="auto"/>
              <w:right w:val="single" w:sz="8" w:space="0" w:color="auto"/>
            </w:tcBorders>
            <w:shd w:val="clear" w:color="auto" w:fill="auto"/>
            <w:noWrap/>
            <w:vAlign w:val="center"/>
            <w:hideMark/>
          </w:tcPr>
          <w:p w14:paraId="5317DBDB" w14:textId="77777777" w:rsidR="008B787A" w:rsidRPr="00693E73" w:rsidRDefault="008B787A" w:rsidP="00D948DE">
            <w:pPr>
              <w:spacing w:line="480" w:lineRule="auto"/>
              <w:jc w:val="center"/>
              <w:rPr>
                <w:rFonts w:ascii="Calibri" w:eastAsia="Times New Roman" w:hAnsi="Calibri" w:cs="Calibri"/>
                <w:color w:val="000000"/>
                <w:sz w:val="18"/>
                <w:szCs w:val="18"/>
              </w:rPr>
            </w:pPr>
            <w:r w:rsidRPr="00693E73">
              <w:rPr>
                <w:rFonts w:ascii="Calibri" w:eastAsia="Times New Roman" w:hAnsi="Calibri" w:cs="Calibri"/>
                <w:color w:val="000000"/>
                <w:sz w:val="18"/>
                <w:szCs w:val="18"/>
              </w:rPr>
              <w:t>12</w:t>
            </w:r>
          </w:p>
        </w:tc>
        <w:tc>
          <w:tcPr>
            <w:tcW w:w="443" w:type="dxa"/>
            <w:tcBorders>
              <w:top w:val="nil"/>
              <w:left w:val="nil"/>
              <w:bottom w:val="single" w:sz="8" w:space="0" w:color="auto"/>
              <w:right w:val="single" w:sz="4" w:space="0" w:color="auto"/>
            </w:tcBorders>
            <w:shd w:val="clear" w:color="auto" w:fill="auto"/>
            <w:noWrap/>
            <w:vAlign w:val="center"/>
            <w:hideMark/>
          </w:tcPr>
          <w:p w14:paraId="555A4E1A" w14:textId="77777777" w:rsidR="008B787A" w:rsidRPr="00693E73" w:rsidRDefault="008B787A" w:rsidP="00D948DE">
            <w:pPr>
              <w:spacing w:line="480" w:lineRule="auto"/>
              <w:jc w:val="center"/>
              <w:rPr>
                <w:rFonts w:ascii="Calibri" w:eastAsia="Times New Roman" w:hAnsi="Calibri" w:cs="Calibri"/>
                <w:color w:val="000000"/>
                <w:sz w:val="18"/>
                <w:szCs w:val="18"/>
              </w:rPr>
            </w:pPr>
            <w:r w:rsidRPr="00693E73">
              <w:rPr>
                <w:rFonts w:ascii="Calibri" w:eastAsia="Times New Roman" w:hAnsi="Calibri" w:cs="Calibri"/>
                <w:color w:val="000000"/>
                <w:sz w:val="18"/>
                <w:szCs w:val="18"/>
              </w:rPr>
              <w:t>0.57</w:t>
            </w:r>
          </w:p>
        </w:tc>
        <w:tc>
          <w:tcPr>
            <w:tcW w:w="409" w:type="dxa"/>
            <w:tcBorders>
              <w:top w:val="nil"/>
              <w:left w:val="nil"/>
              <w:bottom w:val="single" w:sz="8" w:space="0" w:color="auto"/>
              <w:right w:val="single" w:sz="4" w:space="0" w:color="auto"/>
            </w:tcBorders>
            <w:shd w:val="clear" w:color="auto" w:fill="auto"/>
            <w:noWrap/>
            <w:vAlign w:val="center"/>
            <w:hideMark/>
          </w:tcPr>
          <w:p w14:paraId="04732AB8" w14:textId="77777777" w:rsidR="008B787A" w:rsidRPr="00693E73" w:rsidRDefault="008B787A" w:rsidP="00D948DE">
            <w:pPr>
              <w:spacing w:line="480" w:lineRule="auto"/>
              <w:jc w:val="center"/>
              <w:rPr>
                <w:rFonts w:ascii="Calibri" w:eastAsia="Times New Roman" w:hAnsi="Calibri" w:cs="Calibri"/>
                <w:color w:val="000000"/>
                <w:sz w:val="18"/>
                <w:szCs w:val="18"/>
              </w:rPr>
            </w:pPr>
            <w:r w:rsidRPr="00693E73">
              <w:rPr>
                <w:rFonts w:ascii="Calibri" w:eastAsia="Times New Roman" w:hAnsi="Calibri" w:cs="Calibri"/>
                <w:color w:val="000000"/>
                <w:sz w:val="18"/>
                <w:szCs w:val="18"/>
              </w:rPr>
              <w:t>0.36</w:t>
            </w:r>
          </w:p>
        </w:tc>
        <w:tc>
          <w:tcPr>
            <w:tcW w:w="360" w:type="dxa"/>
            <w:tcBorders>
              <w:top w:val="nil"/>
              <w:left w:val="nil"/>
              <w:bottom w:val="single" w:sz="8" w:space="0" w:color="auto"/>
              <w:right w:val="single" w:sz="4" w:space="0" w:color="auto"/>
            </w:tcBorders>
            <w:shd w:val="clear" w:color="auto" w:fill="auto"/>
            <w:noWrap/>
            <w:vAlign w:val="center"/>
            <w:hideMark/>
          </w:tcPr>
          <w:p w14:paraId="513A7E34" w14:textId="77777777" w:rsidR="008B787A" w:rsidRPr="00693E73" w:rsidRDefault="008B787A" w:rsidP="00D948DE">
            <w:pPr>
              <w:spacing w:line="480" w:lineRule="auto"/>
              <w:jc w:val="center"/>
              <w:rPr>
                <w:rFonts w:ascii="Calibri" w:eastAsia="Times New Roman" w:hAnsi="Calibri" w:cs="Calibri"/>
                <w:color w:val="000000"/>
                <w:sz w:val="18"/>
                <w:szCs w:val="18"/>
              </w:rPr>
            </w:pPr>
            <w:r w:rsidRPr="00693E73">
              <w:rPr>
                <w:rFonts w:ascii="Calibri" w:eastAsia="Times New Roman" w:hAnsi="Calibri" w:cs="Calibri"/>
                <w:color w:val="000000"/>
                <w:sz w:val="18"/>
                <w:szCs w:val="18"/>
              </w:rPr>
              <w:t>0</w:t>
            </w:r>
          </w:p>
        </w:tc>
        <w:tc>
          <w:tcPr>
            <w:tcW w:w="464" w:type="dxa"/>
            <w:tcBorders>
              <w:top w:val="nil"/>
              <w:left w:val="nil"/>
              <w:bottom w:val="single" w:sz="8" w:space="0" w:color="auto"/>
              <w:right w:val="single" w:sz="4" w:space="0" w:color="auto"/>
            </w:tcBorders>
            <w:shd w:val="clear" w:color="auto" w:fill="auto"/>
            <w:noWrap/>
            <w:vAlign w:val="center"/>
            <w:hideMark/>
          </w:tcPr>
          <w:p w14:paraId="4C0874EB" w14:textId="77777777" w:rsidR="008B787A" w:rsidRPr="00693E73" w:rsidRDefault="008B787A" w:rsidP="00D948DE">
            <w:pPr>
              <w:spacing w:line="480" w:lineRule="auto"/>
              <w:jc w:val="center"/>
              <w:rPr>
                <w:rFonts w:ascii="Calibri" w:eastAsia="Times New Roman" w:hAnsi="Calibri" w:cs="Calibri"/>
                <w:color w:val="000000"/>
                <w:sz w:val="18"/>
                <w:szCs w:val="18"/>
              </w:rPr>
            </w:pPr>
            <w:r w:rsidRPr="00693E73">
              <w:rPr>
                <w:rFonts w:ascii="Calibri" w:eastAsia="Times New Roman" w:hAnsi="Calibri" w:cs="Calibri"/>
                <w:color w:val="000000"/>
                <w:sz w:val="18"/>
                <w:szCs w:val="18"/>
              </w:rPr>
              <w:t>-1.68</w:t>
            </w:r>
          </w:p>
        </w:tc>
        <w:tc>
          <w:tcPr>
            <w:tcW w:w="409" w:type="dxa"/>
            <w:tcBorders>
              <w:top w:val="nil"/>
              <w:left w:val="nil"/>
              <w:bottom w:val="single" w:sz="8" w:space="0" w:color="auto"/>
              <w:right w:val="single" w:sz="4" w:space="0" w:color="auto"/>
            </w:tcBorders>
            <w:shd w:val="clear" w:color="auto" w:fill="auto"/>
            <w:noWrap/>
            <w:vAlign w:val="center"/>
            <w:hideMark/>
          </w:tcPr>
          <w:p w14:paraId="7B7A4804" w14:textId="77777777" w:rsidR="008B787A" w:rsidRPr="00693E73" w:rsidRDefault="008B787A" w:rsidP="00D948DE">
            <w:pPr>
              <w:spacing w:line="480" w:lineRule="auto"/>
              <w:jc w:val="center"/>
              <w:rPr>
                <w:rFonts w:ascii="Calibri" w:eastAsia="Times New Roman" w:hAnsi="Calibri" w:cs="Calibri"/>
                <w:color w:val="000000"/>
                <w:sz w:val="18"/>
                <w:szCs w:val="18"/>
              </w:rPr>
            </w:pPr>
            <w:r w:rsidRPr="00693E73">
              <w:rPr>
                <w:rFonts w:ascii="Calibri" w:eastAsia="Times New Roman" w:hAnsi="Calibri" w:cs="Calibri"/>
                <w:color w:val="000000"/>
                <w:sz w:val="18"/>
                <w:szCs w:val="18"/>
              </w:rPr>
              <w:t>1.72</w:t>
            </w:r>
          </w:p>
        </w:tc>
        <w:tc>
          <w:tcPr>
            <w:tcW w:w="409" w:type="dxa"/>
            <w:tcBorders>
              <w:top w:val="nil"/>
              <w:left w:val="nil"/>
              <w:bottom w:val="single" w:sz="8" w:space="0" w:color="auto"/>
              <w:right w:val="single" w:sz="4" w:space="0" w:color="auto"/>
            </w:tcBorders>
            <w:shd w:val="clear" w:color="auto" w:fill="auto"/>
            <w:noWrap/>
            <w:vAlign w:val="center"/>
            <w:hideMark/>
          </w:tcPr>
          <w:p w14:paraId="1D29A9D5" w14:textId="77777777" w:rsidR="008B787A" w:rsidRPr="00693E73" w:rsidRDefault="008B787A" w:rsidP="00D948DE">
            <w:pPr>
              <w:spacing w:line="480" w:lineRule="auto"/>
              <w:jc w:val="center"/>
              <w:rPr>
                <w:rFonts w:ascii="Calibri" w:eastAsia="Times New Roman" w:hAnsi="Calibri" w:cs="Calibri"/>
                <w:color w:val="000000"/>
                <w:sz w:val="18"/>
                <w:szCs w:val="18"/>
              </w:rPr>
            </w:pPr>
            <w:r w:rsidRPr="00693E73">
              <w:rPr>
                <w:rFonts w:ascii="Calibri" w:eastAsia="Times New Roman" w:hAnsi="Calibri" w:cs="Calibri"/>
                <w:color w:val="000000"/>
                <w:sz w:val="18"/>
                <w:szCs w:val="18"/>
              </w:rPr>
              <w:t>1.49</w:t>
            </w:r>
          </w:p>
        </w:tc>
        <w:tc>
          <w:tcPr>
            <w:tcW w:w="774" w:type="dxa"/>
            <w:tcBorders>
              <w:top w:val="nil"/>
              <w:left w:val="nil"/>
              <w:bottom w:val="single" w:sz="8" w:space="0" w:color="auto"/>
              <w:right w:val="single" w:sz="8" w:space="0" w:color="auto"/>
            </w:tcBorders>
            <w:shd w:val="clear" w:color="auto" w:fill="auto"/>
            <w:noWrap/>
            <w:vAlign w:val="center"/>
            <w:hideMark/>
          </w:tcPr>
          <w:p w14:paraId="626504E7" w14:textId="77777777" w:rsidR="008B787A" w:rsidRPr="00693E73" w:rsidRDefault="008B787A" w:rsidP="00D948DE">
            <w:pPr>
              <w:spacing w:line="480" w:lineRule="auto"/>
              <w:jc w:val="center"/>
              <w:rPr>
                <w:rFonts w:ascii="Calibri" w:eastAsia="Times New Roman" w:hAnsi="Calibri" w:cs="Calibri"/>
                <w:color w:val="000000"/>
                <w:sz w:val="18"/>
                <w:szCs w:val="18"/>
              </w:rPr>
            </w:pPr>
            <w:r w:rsidRPr="00693E73">
              <w:rPr>
                <w:rFonts w:ascii="Calibri" w:eastAsia="Times New Roman" w:hAnsi="Calibri" w:cs="Calibri"/>
                <w:color w:val="000000"/>
                <w:sz w:val="18"/>
                <w:szCs w:val="18"/>
              </w:rPr>
              <w:t>13774.56</w:t>
            </w:r>
          </w:p>
        </w:tc>
        <w:tc>
          <w:tcPr>
            <w:tcW w:w="409" w:type="dxa"/>
            <w:tcBorders>
              <w:top w:val="single" w:sz="4" w:space="0" w:color="auto"/>
              <w:left w:val="single" w:sz="8" w:space="0" w:color="auto"/>
              <w:bottom w:val="single" w:sz="8" w:space="0" w:color="auto"/>
              <w:right w:val="single" w:sz="4" w:space="0" w:color="auto"/>
            </w:tcBorders>
            <w:shd w:val="clear" w:color="auto" w:fill="auto"/>
            <w:noWrap/>
            <w:vAlign w:val="center"/>
            <w:hideMark/>
          </w:tcPr>
          <w:p w14:paraId="5A3C0D4B" w14:textId="77777777" w:rsidR="008B787A" w:rsidRPr="00693E73" w:rsidRDefault="008B787A" w:rsidP="00D948DE">
            <w:pPr>
              <w:spacing w:line="480" w:lineRule="auto"/>
              <w:jc w:val="center"/>
              <w:rPr>
                <w:rFonts w:ascii="Calibri" w:eastAsia="Times New Roman" w:hAnsi="Calibri" w:cs="Calibri"/>
                <w:color w:val="000000"/>
                <w:sz w:val="18"/>
                <w:szCs w:val="18"/>
              </w:rPr>
            </w:pPr>
            <w:r w:rsidRPr="00693E73">
              <w:rPr>
                <w:rFonts w:ascii="Calibri" w:eastAsia="Times New Roman" w:hAnsi="Calibri" w:cs="Calibri"/>
                <w:color w:val="000000"/>
                <w:sz w:val="18"/>
                <w:szCs w:val="18"/>
              </w:rPr>
              <w:t>0.08</w:t>
            </w:r>
          </w:p>
        </w:tc>
        <w:tc>
          <w:tcPr>
            <w:tcW w:w="360" w:type="dxa"/>
            <w:tcBorders>
              <w:top w:val="single" w:sz="4" w:space="0" w:color="auto"/>
              <w:left w:val="nil"/>
              <w:bottom w:val="single" w:sz="8" w:space="0" w:color="auto"/>
              <w:right w:val="single" w:sz="4" w:space="0" w:color="auto"/>
            </w:tcBorders>
            <w:shd w:val="clear" w:color="auto" w:fill="auto"/>
            <w:noWrap/>
            <w:vAlign w:val="center"/>
            <w:hideMark/>
          </w:tcPr>
          <w:p w14:paraId="4CD6C9B7" w14:textId="77777777" w:rsidR="008B787A" w:rsidRPr="00693E73" w:rsidRDefault="008B787A" w:rsidP="00D948DE">
            <w:pPr>
              <w:spacing w:line="480" w:lineRule="auto"/>
              <w:jc w:val="center"/>
              <w:rPr>
                <w:rFonts w:ascii="Calibri" w:eastAsia="Times New Roman" w:hAnsi="Calibri" w:cs="Calibri"/>
                <w:color w:val="000000"/>
                <w:sz w:val="18"/>
                <w:szCs w:val="18"/>
              </w:rPr>
            </w:pPr>
            <w:r w:rsidRPr="00693E73">
              <w:rPr>
                <w:rFonts w:ascii="Calibri" w:eastAsia="Times New Roman" w:hAnsi="Calibri" w:cs="Calibri"/>
                <w:color w:val="000000"/>
                <w:sz w:val="18"/>
                <w:szCs w:val="18"/>
              </w:rPr>
              <w:t>0</w:t>
            </w:r>
          </w:p>
        </w:tc>
        <w:tc>
          <w:tcPr>
            <w:tcW w:w="464" w:type="dxa"/>
            <w:tcBorders>
              <w:top w:val="single" w:sz="4" w:space="0" w:color="auto"/>
              <w:left w:val="nil"/>
              <w:bottom w:val="single" w:sz="8" w:space="0" w:color="auto"/>
              <w:right w:val="single" w:sz="4" w:space="0" w:color="auto"/>
            </w:tcBorders>
            <w:shd w:val="clear" w:color="auto" w:fill="auto"/>
            <w:noWrap/>
            <w:vAlign w:val="center"/>
            <w:hideMark/>
          </w:tcPr>
          <w:p w14:paraId="670558A8" w14:textId="77777777" w:rsidR="008B787A" w:rsidRPr="00693E73" w:rsidRDefault="008B787A" w:rsidP="00D948DE">
            <w:pPr>
              <w:spacing w:line="480" w:lineRule="auto"/>
              <w:jc w:val="center"/>
              <w:rPr>
                <w:rFonts w:ascii="Calibri" w:eastAsia="Times New Roman" w:hAnsi="Calibri" w:cs="Calibri"/>
                <w:color w:val="000000"/>
                <w:sz w:val="18"/>
                <w:szCs w:val="18"/>
              </w:rPr>
            </w:pPr>
            <w:r w:rsidRPr="00693E73">
              <w:rPr>
                <w:rFonts w:ascii="Calibri" w:eastAsia="Times New Roman" w:hAnsi="Calibri" w:cs="Calibri"/>
                <w:color w:val="000000"/>
                <w:sz w:val="18"/>
                <w:szCs w:val="18"/>
              </w:rPr>
              <w:t>-1.56</w:t>
            </w:r>
          </w:p>
        </w:tc>
        <w:tc>
          <w:tcPr>
            <w:tcW w:w="409" w:type="dxa"/>
            <w:tcBorders>
              <w:top w:val="single" w:sz="4" w:space="0" w:color="auto"/>
              <w:left w:val="nil"/>
              <w:bottom w:val="single" w:sz="8" w:space="0" w:color="auto"/>
              <w:right w:val="single" w:sz="4" w:space="0" w:color="auto"/>
            </w:tcBorders>
            <w:shd w:val="clear" w:color="auto" w:fill="auto"/>
            <w:noWrap/>
            <w:vAlign w:val="center"/>
            <w:hideMark/>
          </w:tcPr>
          <w:p w14:paraId="53270371" w14:textId="77777777" w:rsidR="008B787A" w:rsidRPr="00693E73" w:rsidRDefault="008B787A" w:rsidP="00D948DE">
            <w:pPr>
              <w:spacing w:line="480" w:lineRule="auto"/>
              <w:jc w:val="center"/>
              <w:rPr>
                <w:rFonts w:ascii="Calibri" w:eastAsia="Times New Roman" w:hAnsi="Calibri" w:cs="Calibri"/>
                <w:color w:val="000000"/>
                <w:sz w:val="18"/>
                <w:szCs w:val="18"/>
              </w:rPr>
            </w:pPr>
            <w:r w:rsidRPr="00693E73">
              <w:rPr>
                <w:rFonts w:ascii="Calibri" w:eastAsia="Times New Roman" w:hAnsi="Calibri" w:cs="Calibri"/>
                <w:color w:val="000000"/>
                <w:sz w:val="18"/>
                <w:szCs w:val="18"/>
              </w:rPr>
              <w:t>1.57</w:t>
            </w:r>
          </w:p>
        </w:tc>
        <w:tc>
          <w:tcPr>
            <w:tcW w:w="409" w:type="dxa"/>
            <w:tcBorders>
              <w:top w:val="single" w:sz="4" w:space="0" w:color="auto"/>
              <w:left w:val="nil"/>
              <w:bottom w:val="single" w:sz="8" w:space="0" w:color="auto"/>
              <w:right w:val="single" w:sz="4" w:space="0" w:color="auto"/>
            </w:tcBorders>
            <w:shd w:val="clear" w:color="auto" w:fill="auto"/>
            <w:noWrap/>
            <w:vAlign w:val="center"/>
            <w:hideMark/>
          </w:tcPr>
          <w:p w14:paraId="1ABBDACC" w14:textId="77777777" w:rsidR="008B787A" w:rsidRPr="00693E73" w:rsidRDefault="008B787A" w:rsidP="00D948DE">
            <w:pPr>
              <w:spacing w:line="480" w:lineRule="auto"/>
              <w:jc w:val="center"/>
              <w:rPr>
                <w:rFonts w:ascii="Calibri" w:eastAsia="Times New Roman" w:hAnsi="Calibri" w:cs="Calibri"/>
                <w:color w:val="000000"/>
                <w:sz w:val="18"/>
                <w:szCs w:val="18"/>
              </w:rPr>
            </w:pPr>
            <w:r w:rsidRPr="00693E73">
              <w:rPr>
                <w:rFonts w:ascii="Calibri" w:eastAsia="Times New Roman" w:hAnsi="Calibri" w:cs="Calibri"/>
                <w:color w:val="000000"/>
                <w:sz w:val="18"/>
                <w:szCs w:val="18"/>
              </w:rPr>
              <w:t>1.43</w:t>
            </w:r>
          </w:p>
        </w:tc>
        <w:tc>
          <w:tcPr>
            <w:tcW w:w="774" w:type="dxa"/>
            <w:tcBorders>
              <w:top w:val="single" w:sz="4" w:space="0" w:color="auto"/>
              <w:left w:val="nil"/>
              <w:bottom w:val="single" w:sz="8" w:space="0" w:color="auto"/>
              <w:right w:val="single" w:sz="8" w:space="0" w:color="auto"/>
            </w:tcBorders>
            <w:shd w:val="clear" w:color="auto" w:fill="auto"/>
            <w:noWrap/>
            <w:vAlign w:val="center"/>
            <w:hideMark/>
          </w:tcPr>
          <w:p w14:paraId="33C5884C" w14:textId="77777777" w:rsidR="008B787A" w:rsidRPr="00693E73" w:rsidRDefault="008B787A" w:rsidP="00D948DE">
            <w:pPr>
              <w:spacing w:line="480" w:lineRule="auto"/>
              <w:jc w:val="center"/>
              <w:rPr>
                <w:rFonts w:ascii="Calibri" w:eastAsia="Times New Roman" w:hAnsi="Calibri" w:cs="Calibri"/>
                <w:color w:val="000000"/>
                <w:sz w:val="18"/>
                <w:szCs w:val="18"/>
              </w:rPr>
            </w:pPr>
            <w:r w:rsidRPr="00693E73">
              <w:rPr>
                <w:rFonts w:ascii="Calibri" w:eastAsia="Times New Roman" w:hAnsi="Calibri" w:cs="Calibri"/>
                <w:color w:val="000000"/>
                <w:sz w:val="18"/>
                <w:szCs w:val="18"/>
              </w:rPr>
              <w:t>13784.13</w:t>
            </w:r>
          </w:p>
        </w:tc>
        <w:tc>
          <w:tcPr>
            <w:tcW w:w="724" w:type="dxa"/>
            <w:tcBorders>
              <w:top w:val="nil"/>
              <w:left w:val="single" w:sz="8" w:space="0" w:color="auto"/>
              <w:bottom w:val="single" w:sz="8" w:space="0" w:color="auto"/>
              <w:right w:val="single" w:sz="4" w:space="0" w:color="auto"/>
            </w:tcBorders>
            <w:shd w:val="clear" w:color="auto" w:fill="auto"/>
            <w:noWrap/>
            <w:vAlign w:val="center"/>
            <w:hideMark/>
          </w:tcPr>
          <w:p w14:paraId="7B696D43" w14:textId="77777777" w:rsidR="008B787A" w:rsidRPr="00693E73" w:rsidRDefault="008B787A" w:rsidP="00D948DE">
            <w:pPr>
              <w:spacing w:line="480" w:lineRule="auto"/>
              <w:jc w:val="center"/>
              <w:rPr>
                <w:rFonts w:ascii="Calibri" w:eastAsia="Times New Roman" w:hAnsi="Calibri" w:cs="Calibri"/>
                <w:color w:val="000000"/>
                <w:sz w:val="18"/>
                <w:szCs w:val="18"/>
              </w:rPr>
            </w:pPr>
            <w:r w:rsidRPr="00693E73">
              <w:rPr>
                <w:rFonts w:ascii="Calibri" w:eastAsia="Times New Roman" w:hAnsi="Calibri" w:cs="Calibri"/>
                <w:color w:val="000000"/>
                <w:sz w:val="18"/>
                <w:szCs w:val="18"/>
              </w:rPr>
              <w:t>-9.6</w:t>
            </w:r>
          </w:p>
        </w:tc>
        <w:tc>
          <w:tcPr>
            <w:tcW w:w="1099" w:type="dxa"/>
            <w:tcBorders>
              <w:top w:val="nil"/>
              <w:left w:val="nil"/>
              <w:bottom w:val="single" w:sz="8" w:space="0" w:color="auto"/>
              <w:right w:val="single" w:sz="8" w:space="0" w:color="auto"/>
            </w:tcBorders>
            <w:shd w:val="clear" w:color="auto" w:fill="auto"/>
            <w:noWrap/>
            <w:vAlign w:val="center"/>
            <w:hideMark/>
          </w:tcPr>
          <w:p w14:paraId="16919EC0" w14:textId="77777777" w:rsidR="008B787A" w:rsidRPr="00693E73" w:rsidRDefault="008B787A" w:rsidP="00D948DE">
            <w:pPr>
              <w:spacing w:line="480" w:lineRule="auto"/>
              <w:jc w:val="center"/>
              <w:rPr>
                <w:rFonts w:ascii="Calibri" w:eastAsia="Times New Roman" w:hAnsi="Calibri" w:cs="Calibri"/>
                <w:color w:val="000000"/>
                <w:sz w:val="18"/>
                <w:szCs w:val="18"/>
              </w:rPr>
            </w:pPr>
            <w:r w:rsidRPr="00693E73">
              <w:rPr>
                <w:rFonts w:ascii="Calibri" w:eastAsia="Times New Roman" w:hAnsi="Calibri" w:cs="Calibri"/>
                <w:color w:val="000000"/>
                <w:sz w:val="18"/>
                <w:szCs w:val="18"/>
              </w:rPr>
              <w:t>119.8</w:t>
            </w:r>
          </w:p>
        </w:tc>
      </w:tr>
    </w:tbl>
    <w:p w14:paraId="791B0143" w14:textId="77777777" w:rsidR="00B233DE" w:rsidRPr="00B233DE" w:rsidRDefault="00B233DE" w:rsidP="00D948DE">
      <w:pPr>
        <w:widowControl w:val="0"/>
        <w:autoSpaceDE w:val="0"/>
        <w:autoSpaceDN w:val="0"/>
        <w:adjustRightInd w:val="0"/>
        <w:spacing w:after="0" w:line="480" w:lineRule="auto"/>
        <w:rPr>
          <w:sz w:val="10"/>
          <w:szCs w:val="10"/>
        </w:rPr>
      </w:pPr>
    </w:p>
    <w:p w14:paraId="73356FC1" w14:textId="588F196E" w:rsidR="00DB35D2" w:rsidRPr="000054B0" w:rsidRDefault="00DB35D2" w:rsidP="00D948DE">
      <w:pPr>
        <w:widowControl w:val="0"/>
        <w:autoSpaceDE w:val="0"/>
        <w:autoSpaceDN w:val="0"/>
        <w:adjustRightInd w:val="0"/>
        <w:spacing w:after="0" w:line="480" w:lineRule="auto"/>
      </w:pPr>
      <w:r w:rsidRPr="00DB35D2">
        <w:rPr>
          <w:b/>
        </w:rPr>
        <w:t>Supplementary Table 1</w:t>
      </w:r>
      <w:r>
        <w:t xml:space="preserve">. Parameter fits for the hierarchical and SDT models. </w:t>
      </w:r>
      <w:r w:rsidR="00371C9F">
        <w:t xml:space="preserve">The hierarchical model featured five free parameters: </w:t>
      </w:r>
      <m:oMath>
        <m:r>
          <w:rPr>
            <w:rFonts w:ascii="Cambria Math" w:eastAsia="Times New Roman" w:hAnsi="Cambria Math"/>
          </w:rPr>
          <m:t>α</m:t>
        </m:r>
      </m:oMath>
      <w:r w:rsidR="00371C9F">
        <w:t xml:space="preserve">, </w:t>
      </w:r>
      <w:proofErr w:type="spellStart"/>
      <w:r w:rsidR="00371C9F" w:rsidRPr="00371C9F">
        <w:rPr>
          <w:i/>
        </w:rPr>
        <w:t>σ</w:t>
      </w:r>
      <w:r w:rsidR="00371C9F" w:rsidRPr="00371C9F">
        <w:rPr>
          <w:i/>
          <w:vertAlign w:val="subscript"/>
        </w:rPr>
        <w:t>meta</w:t>
      </w:r>
      <w:proofErr w:type="spellEnd"/>
      <w:r w:rsidR="00371C9F">
        <w:rPr>
          <w:rFonts w:eastAsia="Times New Roman"/>
          <w:iCs/>
        </w:rPr>
        <w:t xml:space="preserve">, </w:t>
      </w:r>
      <m:oMath>
        <m:sSub>
          <m:sSubPr>
            <m:ctrlPr>
              <w:rPr>
                <w:rFonts w:ascii="Cambria Math" w:eastAsia="Times New Roman" w:hAnsi="Cambria Math"/>
                <w:i/>
                <w:iCs/>
              </w:rPr>
            </m:ctrlPr>
          </m:sSubPr>
          <m:e>
            <m:r>
              <w:rPr>
                <w:rFonts w:ascii="Cambria Math" w:eastAsia="Times New Roman" w:hAnsi="Cambria Math"/>
              </w:rPr>
              <m:t>c</m:t>
            </m:r>
          </m:e>
          <m:sub>
            <m:r>
              <w:rPr>
                <w:rFonts w:ascii="Cambria Math" w:eastAsia="Times New Roman" w:hAnsi="Cambria Math"/>
              </w:rPr>
              <m:t>-1</m:t>
            </m:r>
          </m:sub>
        </m:sSub>
        <m:r>
          <w:rPr>
            <w:rFonts w:ascii="Cambria Math" w:eastAsia="Times New Roman" w:hAnsi="Cambria Math"/>
          </w:rPr>
          <m:t xml:space="preserve">, </m:t>
        </m:r>
        <m:sSub>
          <m:sSubPr>
            <m:ctrlPr>
              <w:rPr>
                <w:rFonts w:ascii="Cambria Math" w:eastAsia="Times New Roman" w:hAnsi="Cambria Math"/>
                <w:i/>
                <w:iCs/>
              </w:rPr>
            </m:ctrlPr>
          </m:sSubPr>
          <m:e>
            <m:r>
              <w:rPr>
                <w:rFonts w:ascii="Cambria Math" w:eastAsia="Times New Roman" w:hAnsi="Cambria Math"/>
              </w:rPr>
              <m:t>c</m:t>
            </m:r>
          </m:e>
          <m:sub>
            <m:r>
              <w:rPr>
                <w:rFonts w:ascii="Cambria Math" w:eastAsia="Times New Roman" w:hAnsi="Cambria Math"/>
              </w:rPr>
              <m:t>0</m:t>
            </m:r>
          </m:sub>
        </m:sSub>
        <m:r>
          <w:rPr>
            <w:rFonts w:ascii="Cambria Math" w:eastAsia="Times New Roman" w:hAnsi="Cambria Math"/>
          </w:rPr>
          <m:t>,</m:t>
        </m:r>
      </m:oMath>
      <w:r w:rsidR="00371C9F">
        <w:rPr>
          <w:rFonts w:eastAsia="Times New Roman"/>
          <w:iCs/>
        </w:rPr>
        <w:t xml:space="preserve"> and </w:t>
      </w:r>
      <m:oMath>
        <m:sSub>
          <m:sSubPr>
            <m:ctrlPr>
              <w:rPr>
                <w:rFonts w:ascii="Cambria Math" w:eastAsia="Times New Roman" w:hAnsi="Cambria Math"/>
                <w:i/>
                <w:iCs/>
              </w:rPr>
            </m:ctrlPr>
          </m:sSubPr>
          <m:e>
            <m:r>
              <w:rPr>
                <w:rFonts w:ascii="Cambria Math" w:eastAsia="Times New Roman" w:hAnsi="Cambria Math"/>
              </w:rPr>
              <m:t>c</m:t>
            </m:r>
          </m:e>
          <m:sub>
            <m:r>
              <w:rPr>
                <w:rFonts w:ascii="Cambria Math" w:eastAsia="Times New Roman" w:hAnsi="Cambria Math"/>
              </w:rPr>
              <m:t>1</m:t>
            </m:r>
          </m:sub>
        </m:sSub>
      </m:oMath>
      <w:r w:rsidR="00371C9F">
        <w:rPr>
          <w:rFonts w:eastAsia="Times New Roman"/>
          <w:iCs/>
        </w:rPr>
        <w:t>, whereas the SDT model featured four free parameters (</w:t>
      </w:r>
      <w:r w:rsidR="0009556E">
        <w:rPr>
          <w:rFonts w:eastAsia="Times New Roman"/>
          <w:iCs/>
        </w:rPr>
        <w:t xml:space="preserve">all of the above except </w:t>
      </w:r>
      <w:proofErr w:type="spellStart"/>
      <w:r w:rsidR="0009556E" w:rsidRPr="00371C9F">
        <w:rPr>
          <w:i/>
        </w:rPr>
        <w:t>σ</w:t>
      </w:r>
      <w:r w:rsidR="0009556E" w:rsidRPr="00371C9F">
        <w:rPr>
          <w:i/>
          <w:vertAlign w:val="subscript"/>
        </w:rPr>
        <w:t>meta</w:t>
      </w:r>
      <w:proofErr w:type="spellEnd"/>
      <w:r w:rsidR="0009556E">
        <w:rPr>
          <w:rFonts w:eastAsia="Times New Roman"/>
          <w:iCs/>
        </w:rPr>
        <w:t xml:space="preserve">). </w:t>
      </w:r>
      <w:r>
        <w:t xml:space="preserve">Note that the decisional noise (denoted </w:t>
      </w:r>
      <w:r w:rsidRPr="000054B0">
        <w:t xml:space="preserve">by </w:t>
      </w:r>
      <w:proofErr w:type="spellStart"/>
      <w:r w:rsidRPr="00371C9F">
        <w:rPr>
          <w:i/>
        </w:rPr>
        <w:t>σ</w:t>
      </w:r>
      <w:r w:rsidRPr="00371C9F">
        <w:rPr>
          <w:i/>
          <w:vertAlign w:val="subscript"/>
        </w:rPr>
        <w:t>dec</w:t>
      </w:r>
      <w:proofErr w:type="spellEnd"/>
      <w:r w:rsidRPr="000054B0">
        <w:t xml:space="preserve"> in the table</w:t>
      </w:r>
      <w:r>
        <w:t xml:space="preserve">) was not a free parameter but was fixed for each subject (see Methods). The </w:t>
      </w:r>
      <w:r w:rsidRPr="000054B0">
        <w:t>Δ</w:t>
      </w:r>
      <w:r>
        <w:t xml:space="preserve">AIC values are the difference between the AIC values for the hierarchical and SDT models (numbers lower than 0 </w:t>
      </w:r>
      <w:r>
        <w:lastRenderedPageBreak/>
        <w:t xml:space="preserve">indicate a better fit of the hierarchical model). The Bayes factor indicates how much more likely the better model is. The hierarchical model is preferred for 11 of the 12 subjects. Computing </w:t>
      </w:r>
      <w:proofErr w:type="spellStart"/>
      <w:r>
        <w:t>AICc</w:t>
      </w:r>
      <w:proofErr w:type="spellEnd"/>
      <w:r>
        <w:t xml:space="preserve"> (which corrects for small sample sizes) or BIC produced similar results as AIC.</w:t>
      </w:r>
    </w:p>
    <w:p w14:paraId="193EBF13" w14:textId="5E295883" w:rsidR="004C3340" w:rsidRDefault="004C3340" w:rsidP="00D948DE">
      <w:pPr>
        <w:widowControl w:val="0"/>
        <w:autoSpaceDE w:val="0"/>
        <w:autoSpaceDN w:val="0"/>
        <w:adjustRightInd w:val="0"/>
        <w:spacing w:after="0" w:line="480" w:lineRule="auto"/>
      </w:pPr>
    </w:p>
    <w:p w14:paraId="0949D4A4" w14:textId="706F3BC4" w:rsidR="005523BD" w:rsidRDefault="005523BD">
      <w:r>
        <w:br w:type="page"/>
      </w:r>
    </w:p>
    <w:p w14:paraId="7654C423" w14:textId="21A0D3F2" w:rsidR="005523BD" w:rsidRPr="00357AC3" w:rsidRDefault="00BC759C" w:rsidP="00BC759C">
      <w:pPr>
        <w:widowControl w:val="0"/>
        <w:autoSpaceDE w:val="0"/>
        <w:autoSpaceDN w:val="0"/>
        <w:adjustRightInd w:val="0"/>
        <w:spacing w:after="0" w:line="480" w:lineRule="auto"/>
        <w:jc w:val="center"/>
        <w:rPr>
          <w:b/>
        </w:rPr>
      </w:pPr>
      <w:r>
        <w:rPr>
          <w:b/>
        </w:rPr>
        <w:lastRenderedPageBreak/>
        <w:t xml:space="preserve">Supplementary </w:t>
      </w:r>
      <w:r w:rsidR="005523BD" w:rsidRPr="00357AC3">
        <w:rPr>
          <w:b/>
        </w:rPr>
        <w:t>References</w:t>
      </w:r>
    </w:p>
    <w:p w14:paraId="62A39E5F" w14:textId="31A0FFF9" w:rsidR="000B442A" w:rsidRPr="000B442A" w:rsidRDefault="005523BD" w:rsidP="000B442A">
      <w:pPr>
        <w:widowControl w:val="0"/>
        <w:autoSpaceDE w:val="0"/>
        <w:autoSpaceDN w:val="0"/>
        <w:adjustRightInd w:val="0"/>
        <w:spacing w:after="0" w:line="480" w:lineRule="auto"/>
        <w:ind w:left="480" w:hanging="480"/>
        <w:rPr>
          <w:rFonts w:ascii="Cambria" w:hAnsi="Cambria" w:cs="Times New Roman"/>
          <w:noProof/>
        </w:rPr>
      </w:pPr>
      <w:r>
        <w:fldChar w:fldCharType="begin" w:fldLock="1"/>
      </w:r>
      <w:r>
        <w:instrText xml:space="preserve">ADDIN Mendeley Bibliography CSL_BIBLIOGRAPHY </w:instrText>
      </w:r>
      <w:r>
        <w:fldChar w:fldCharType="separate"/>
      </w:r>
      <w:r w:rsidR="000B442A" w:rsidRPr="000B442A">
        <w:rPr>
          <w:rFonts w:ascii="Cambria" w:hAnsi="Cambria" w:cs="Times New Roman"/>
          <w:noProof/>
        </w:rPr>
        <w:t xml:space="preserve">De Martino, B., Fleming, S. M., Garrett, N., &amp; Dolan, R. J. (2013). Confidence in value-based choice. </w:t>
      </w:r>
      <w:r w:rsidR="000B442A" w:rsidRPr="000B442A">
        <w:rPr>
          <w:rFonts w:ascii="Cambria" w:hAnsi="Cambria" w:cs="Times New Roman"/>
          <w:i/>
          <w:iCs/>
          <w:noProof/>
        </w:rPr>
        <w:t>Nature Neuroscience</w:t>
      </w:r>
      <w:r w:rsidR="000B442A" w:rsidRPr="000B442A">
        <w:rPr>
          <w:rFonts w:ascii="Cambria" w:hAnsi="Cambria" w:cs="Times New Roman"/>
          <w:noProof/>
        </w:rPr>
        <w:t xml:space="preserve">, </w:t>
      </w:r>
      <w:r w:rsidR="000B442A" w:rsidRPr="000B442A">
        <w:rPr>
          <w:rFonts w:ascii="Cambria" w:hAnsi="Cambria" w:cs="Times New Roman"/>
          <w:i/>
          <w:iCs/>
          <w:noProof/>
        </w:rPr>
        <w:t>16</w:t>
      </w:r>
      <w:r w:rsidR="000B442A" w:rsidRPr="000B442A">
        <w:rPr>
          <w:rFonts w:ascii="Cambria" w:hAnsi="Cambria" w:cs="Times New Roman"/>
          <w:noProof/>
        </w:rPr>
        <w:t>(1), 105–10. http://doi.org/10.1038/nn.3279</w:t>
      </w:r>
    </w:p>
    <w:p w14:paraId="39FF90A8" w14:textId="77777777" w:rsidR="000B442A" w:rsidRPr="000B442A" w:rsidRDefault="000B442A" w:rsidP="000B442A">
      <w:pPr>
        <w:widowControl w:val="0"/>
        <w:autoSpaceDE w:val="0"/>
        <w:autoSpaceDN w:val="0"/>
        <w:adjustRightInd w:val="0"/>
        <w:spacing w:after="0" w:line="480" w:lineRule="auto"/>
        <w:ind w:left="480" w:hanging="480"/>
        <w:rPr>
          <w:rFonts w:ascii="Cambria" w:hAnsi="Cambria" w:cs="Times New Roman"/>
          <w:noProof/>
        </w:rPr>
      </w:pPr>
      <w:r w:rsidRPr="000B442A">
        <w:rPr>
          <w:rFonts w:ascii="Cambria" w:hAnsi="Cambria" w:cs="Times New Roman"/>
          <w:noProof/>
        </w:rPr>
        <w:t xml:space="preserve">Jang, Y., Wallsten, T. S., &amp; Huber, D. E. (2012). A stochastic detection and retrieval model for the study of metacognition. </w:t>
      </w:r>
      <w:r w:rsidRPr="000B442A">
        <w:rPr>
          <w:rFonts w:ascii="Cambria" w:hAnsi="Cambria" w:cs="Times New Roman"/>
          <w:i/>
          <w:iCs/>
          <w:noProof/>
        </w:rPr>
        <w:t>Psychological Review</w:t>
      </w:r>
      <w:r w:rsidRPr="000B442A">
        <w:rPr>
          <w:rFonts w:ascii="Cambria" w:hAnsi="Cambria" w:cs="Times New Roman"/>
          <w:noProof/>
        </w:rPr>
        <w:t xml:space="preserve">, </w:t>
      </w:r>
      <w:r w:rsidRPr="000B442A">
        <w:rPr>
          <w:rFonts w:ascii="Cambria" w:hAnsi="Cambria" w:cs="Times New Roman"/>
          <w:i/>
          <w:iCs/>
          <w:noProof/>
        </w:rPr>
        <w:t>119</w:t>
      </w:r>
      <w:r w:rsidRPr="000B442A">
        <w:rPr>
          <w:rFonts w:ascii="Cambria" w:hAnsi="Cambria" w:cs="Times New Roman"/>
          <w:noProof/>
        </w:rPr>
        <w:t>(1), 186–200. http://doi.org/10.1037/a0025960</w:t>
      </w:r>
    </w:p>
    <w:p w14:paraId="1C5D5753" w14:textId="77777777" w:rsidR="000B442A" w:rsidRPr="000B442A" w:rsidRDefault="000B442A" w:rsidP="000B442A">
      <w:pPr>
        <w:widowControl w:val="0"/>
        <w:autoSpaceDE w:val="0"/>
        <w:autoSpaceDN w:val="0"/>
        <w:adjustRightInd w:val="0"/>
        <w:spacing w:after="0" w:line="480" w:lineRule="auto"/>
        <w:ind w:left="480" w:hanging="480"/>
        <w:rPr>
          <w:rFonts w:ascii="Cambria" w:hAnsi="Cambria" w:cs="Times New Roman"/>
          <w:noProof/>
        </w:rPr>
      </w:pPr>
      <w:r w:rsidRPr="000B442A">
        <w:rPr>
          <w:rFonts w:ascii="Cambria" w:hAnsi="Cambria" w:cs="Times New Roman"/>
          <w:noProof/>
        </w:rPr>
        <w:t xml:space="preserve">Macmillan, N. A., &amp; Creelman, C. D. (2005). </w:t>
      </w:r>
      <w:r w:rsidRPr="000B442A">
        <w:rPr>
          <w:rFonts w:ascii="Cambria" w:hAnsi="Cambria" w:cs="Times New Roman"/>
          <w:i/>
          <w:iCs/>
          <w:noProof/>
        </w:rPr>
        <w:t>Detection Theory: A User’s Guide</w:t>
      </w:r>
      <w:r w:rsidRPr="000B442A">
        <w:rPr>
          <w:rFonts w:ascii="Cambria" w:hAnsi="Cambria" w:cs="Times New Roman"/>
          <w:noProof/>
        </w:rPr>
        <w:t xml:space="preserve"> (2nd ed.). Mahwah, NJ: Erlbaum.</w:t>
      </w:r>
    </w:p>
    <w:p w14:paraId="43EBB9E8" w14:textId="77777777" w:rsidR="000B442A" w:rsidRPr="000B442A" w:rsidRDefault="000B442A" w:rsidP="000B442A">
      <w:pPr>
        <w:widowControl w:val="0"/>
        <w:autoSpaceDE w:val="0"/>
        <w:autoSpaceDN w:val="0"/>
        <w:adjustRightInd w:val="0"/>
        <w:spacing w:after="0" w:line="480" w:lineRule="auto"/>
        <w:ind w:left="480" w:hanging="480"/>
        <w:rPr>
          <w:rFonts w:ascii="Cambria" w:hAnsi="Cambria" w:cs="Times New Roman"/>
          <w:noProof/>
        </w:rPr>
      </w:pPr>
      <w:r w:rsidRPr="000B442A">
        <w:rPr>
          <w:rFonts w:ascii="Cambria" w:hAnsi="Cambria" w:cs="Times New Roman"/>
          <w:noProof/>
        </w:rPr>
        <w:t xml:space="preserve">Mueller, S. T., &amp; Weidemann, C. T. (2008). Decision noise: An explanation for observed violations of signal detection theory. </w:t>
      </w:r>
      <w:r w:rsidRPr="000B442A">
        <w:rPr>
          <w:rFonts w:ascii="Cambria" w:hAnsi="Cambria" w:cs="Times New Roman"/>
          <w:i/>
          <w:iCs/>
          <w:noProof/>
        </w:rPr>
        <w:t>Psychonomic Bulletin &amp; Review</w:t>
      </w:r>
      <w:r w:rsidRPr="000B442A">
        <w:rPr>
          <w:rFonts w:ascii="Cambria" w:hAnsi="Cambria" w:cs="Times New Roman"/>
          <w:noProof/>
        </w:rPr>
        <w:t xml:space="preserve">, </w:t>
      </w:r>
      <w:r w:rsidRPr="000B442A">
        <w:rPr>
          <w:rFonts w:ascii="Cambria" w:hAnsi="Cambria" w:cs="Times New Roman"/>
          <w:i/>
          <w:iCs/>
          <w:noProof/>
        </w:rPr>
        <w:t>15</w:t>
      </w:r>
      <w:r w:rsidRPr="000B442A">
        <w:rPr>
          <w:rFonts w:ascii="Cambria" w:hAnsi="Cambria" w:cs="Times New Roman"/>
          <w:noProof/>
        </w:rPr>
        <w:t>(3), 465–494. http://doi.org/10.3758/PBR.15.3.465</w:t>
      </w:r>
    </w:p>
    <w:p w14:paraId="4547E04F" w14:textId="77777777" w:rsidR="000B442A" w:rsidRPr="000B442A" w:rsidRDefault="000B442A" w:rsidP="000B442A">
      <w:pPr>
        <w:widowControl w:val="0"/>
        <w:autoSpaceDE w:val="0"/>
        <w:autoSpaceDN w:val="0"/>
        <w:adjustRightInd w:val="0"/>
        <w:spacing w:after="0" w:line="480" w:lineRule="auto"/>
        <w:ind w:left="480" w:hanging="480"/>
        <w:rPr>
          <w:rFonts w:ascii="Cambria" w:hAnsi="Cambria" w:cs="Times New Roman"/>
          <w:noProof/>
        </w:rPr>
      </w:pPr>
      <w:r w:rsidRPr="000B442A">
        <w:rPr>
          <w:rFonts w:ascii="Cambria" w:hAnsi="Cambria" w:cs="Times New Roman"/>
          <w:noProof/>
        </w:rPr>
        <w:t xml:space="preserve">Rahnev, D., Nee, D. E., Riddle, J., Larson, A. S., &amp; D’Esposito, M. (2016). Causal evidence for frontal cortex organization for perceptual decision making. </w:t>
      </w:r>
      <w:r w:rsidRPr="000B442A">
        <w:rPr>
          <w:rFonts w:ascii="Cambria" w:hAnsi="Cambria" w:cs="Times New Roman"/>
          <w:i/>
          <w:iCs/>
          <w:noProof/>
        </w:rPr>
        <w:t>Proceedings of the National Academy of Sciences</w:t>
      </w:r>
      <w:r w:rsidRPr="000B442A">
        <w:rPr>
          <w:rFonts w:ascii="Cambria" w:hAnsi="Cambria" w:cs="Times New Roman"/>
          <w:noProof/>
        </w:rPr>
        <w:t xml:space="preserve">, </w:t>
      </w:r>
      <w:r w:rsidRPr="000B442A">
        <w:rPr>
          <w:rFonts w:ascii="Cambria" w:hAnsi="Cambria" w:cs="Times New Roman"/>
          <w:i/>
          <w:iCs/>
          <w:noProof/>
        </w:rPr>
        <w:t>113</w:t>
      </w:r>
      <w:r w:rsidRPr="000B442A">
        <w:rPr>
          <w:rFonts w:ascii="Cambria" w:hAnsi="Cambria" w:cs="Times New Roman"/>
          <w:noProof/>
        </w:rPr>
        <w:t>(20), 6059–6064. http://doi.org/10.1073/pnas.1522551113</w:t>
      </w:r>
    </w:p>
    <w:p w14:paraId="7175072B" w14:textId="77777777" w:rsidR="000B442A" w:rsidRPr="000B442A" w:rsidRDefault="000B442A" w:rsidP="000B442A">
      <w:pPr>
        <w:widowControl w:val="0"/>
        <w:autoSpaceDE w:val="0"/>
        <w:autoSpaceDN w:val="0"/>
        <w:adjustRightInd w:val="0"/>
        <w:spacing w:after="0" w:line="480" w:lineRule="auto"/>
        <w:ind w:left="480" w:hanging="480"/>
        <w:rPr>
          <w:rFonts w:ascii="Cambria" w:hAnsi="Cambria"/>
          <w:noProof/>
        </w:rPr>
      </w:pPr>
      <w:r w:rsidRPr="000B442A">
        <w:rPr>
          <w:rFonts w:ascii="Cambria" w:hAnsi="Cambria" w:cs="Times New Roman"/>
          <w:noProof/>
        </w:rPr>
        <w:t xml:space="preserve">van den Berg, R., Yoo, A. H., &amp; Ma, W. J. (2017). Fechner’s law in metacognition: a quantitative model of visual working memory confidence. </w:t>
      </w:r>
      <w:r w:rsidRPr="000B442A">
        <w:rPr>
          <w:rFonts w:ascii="Cambria" w:hAnsi="Cambria" w:cs="Times New Roman"/>
          <w:i/>
          <w:iCs/>
          <w:noProof/>
        </w:rPr>
        <w:t>Psychological Review</w:t>
      </w:r>
      <w:r w:rsidRPr="000B442A">
        <w:rPr>
          <w:rFonts w:ascii="Cambria" w:hAnsi="Cambria" w:cs="Times New Roman"/>
          <w:noProof/>
        </w:rPr>
        <w:t xml:space="preserve">, </w:t>
      </w:r>
      <w:r w:rsidRPr="000B442A">
        <w:rPr>
          <w:rFonts w:ascii="Cambria" w:hAnsi="Cambria" w:cs="Times New Roman"/>
          <w:i/>
          <w:iCs/>
          <w:noProof/>
        </w:rPr>
        <w:t>124</w:t>
      </w:r>
      <w:r w:rsidRPr="000B442A">
        <w:rPr>
          <w:rFonts w:ascii="Cambria" w:hAnsi="Cambria" w:cs="Times New Roman"/>
          <w:noProof/>
        </w:rPr>
        <w:t>(2), 197–214.</w:t>
      </w:r>
    </w:p>
    <w:p w14:paraId="0468725A" w14:textId="294EA03C" w:rsidR="005523BD" w:rsidRPr="000054B0" w:rsidRDefault="005523BD" w:rsidP="000B442A">
      <w:pPr>
        <w:widowControl w:val="0"/>
        <w:autoSpaceDE w:val="0"/>
        <w:autoSpaceDN w:val="0"/>
        <w:adjustRightInd w:val="0"/>
        <w:spacing w:after="0" w:line="480" w:lineRule="auto"/>
        <w:ind w:left="480" w:hanging="480"/>
      </w:pPr>
      <w:r>
        <w:fldChar w:fldCharType="end"/>
      </w:r>
    </w:p>
    <w:sectPr w:rsidR="005523BD" w:rsidRPr="000054B0" w:rsidSect="00F233AD">
      <w:footerReference w:type="even" r:id="rId17"/>
      <w:footerReference w:type="default" r:id="rId18"/>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59C233" w14:textId="77777777" w:rsidR="006908C5" w:rsidRDefault="006908C5" w:rsidP="006A745D">
      <w:pPr>
        <w:spacing w:after="0"/>
      </w:pPr>
      <w:r>
        <w:separator/>
      </w:r>
    </w:p>
  </w:endnote>
  <w:endnote w:type="continuationSeparator" w:id="0">
    <w:p w14:paraId="154C6DED" w14:textId="77777777" w:rsidR="006908C5" w:rsidRDefault="006908C5" w:rsidP="006A745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charset w:val="00"/>
    <w:family w:val="swiss"/>
    <w:pitch w:val="variable"/>
    <w:sig w:usb0="E1000AEF" w:usb1="5000A1FF" w:usb2="00000000" w:usb3="00000000" w:csb0="000001B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5509C1" w14:textId="77777777" w:rsidR="00891841" w:rsidRDefault="00891841" w:rsidP="00B45EB1">
    <w:pPr>
      <w:pStyle w:val="Footer"/>
      <w:framePr w:wrap="none"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C34F984" w14:textId="77777777" w:rsidR="00891841" w:rsidRDefault="0089184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17C248" w14:textId="77777777" w:rsidR="00891841" w:rsidRDefault="00891841" w:rsidP="00B45EB1">
    <w:pPr>
      <w:pStyle w:val="Footer"/>
      <w:framePr w:wrap="none"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1E10584A" w14:textId="77777777" w:rsidR="00891841" w:rsidRDefault="0089184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385035" w14:textId="77777777" w:rsidR="006908C5" w:rsidRDefault="006908C5" w:rsidP="006A745D">
      <w:pPr>
        <w:spacing w:after="0"/>
      </w:pPr>
      <w:r>
        <w:separator/>
      </w:r>
    </w:p>
  </w:footnote>
  <w:footnote w:type="continuationSeparator" w:id="0">
    <w:p w14:paraId="04523890" w14:textId="77777777" w:rsidR="006908C5" w:rsidRDefault="006908C5" w:rsidP="006A745D">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N.InstantFormat" w:val="&lt;ENInstantFormat&gt;&lt;Enabled&gt;0&lt;/Enabled&gt;&lt;ScanUnformatted&gt;1&lt;/ScanUnformatted&gt;&lt;ScanChanges&gt;1&lt;/ScanChanges&gt;&lt;Suspended&gt;0&lt;/Suspended&gt;&lt;/ENInstantFormat&gt;"/>
    <w:docVar w:name="EN.Layout" w:val="&lt;ENLayout&gt;&lt;Style&gt;APA 6th&lt;/Style&gt;&lt;LeftDelim&gt;{&lt;/LeftDelim&gt;&lt;RightDelim&gt;}&lt;/RightDelim&gt;&lt;FontName&gt;Cambria&lt;/FontName&gt;&lt;FontSize&gt;12&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5xvpeswfsdtw5uewxvlxwzwpw2d2rpa9ptwf&quot;&gt;My EndNote Library&lt;record-ids&gt;&lt;item&gt;1&lt;/item&gt;&lt;item&gt;48&lt;/item&gt;&lt;item&gt;75&lt;/item&gt;&lt;item&gt;89&lt;/item&gt;&lt;item&gt;203&lt;/item&gt;&lt;item&gt;204&lt;/item&gt;&lt;item&gt;209&lt;/item&gt;&lt;item&gt;224&lt;/item&gt;&lt;item&gt;227&lt;/item&gt;&lt;item&gt;338&lt;/item&gt;&lt;item&gt;340&lt;/item&gt;&lt;item&gt;349&lt;/item&gt;&lt;item&gt;350&lt;/item&gt;&lt;item&gt;351&lt;/item&gt;&lt;item&gt;352&lt;/item&gt;&lt;item&gt;353&lt;/item&gt;&lt;item&gt;363&lt;/item&gt;&lt;item&gt;364&lt;/item&gt;&lt;item&gt;366&lt;/item&gt;&lt;item&gt;367&lt;/item&gt;&lt;item&gt;368&lt;/item&gt;&lt;item&gt;369&lt;/item&gt;&lt;item&gt;370&lt;/item&gt;&lt;item&gt;371&lt;/item&gt;&lt;item&gt;372&lt;/item&gt;&lt;/record-ids&gt;&lt;/item&gt;&lt;/Libraries&gt;"/>
  </w:docVars>
  <w:rsids>
    <w:rsidRoot w:val="00267E13"/>
    <w:rsid w:val="00001D23"/>
    <w:rsid w:val="00002148"/>
    <w:rsid w:val="00004BC3"/>
    <w:rsid w:val="000054B0"/>
    <w:rsid w:val="00007CC5"/>
    <w:rsid w:val="00010956"/>
    <w:rsid w:val="00011469"/>
    <w:rsid w:val="00011DCE"/>
    <w:rsid w:val="00012044"/>
    <w:rsid w:val="00012BC4"/>
    <w:rsid w:val="000148F8"/>
    <w:rsid w:val="00016AE3"/>
    <w:rsid w:val="0002059D"/>
    <w:rsid w:val="000229E6"/>
    <w:rsid w:val="00022EFC"/>
    <w:rsid w:val="0002318F"/>
    <w:rsid w:val="00023554"/>
    <w:rsid w:val="00023877"/>
    <w:rsid w:val="00025D21"/>
    <w:rsid w:val="00026616"/>
    <w:rsid w:val="00030F0E"/>
    <w:rsid w:val="00033121"/>
    <w:rsid w:val="00036764"/>
    <w:rsid w:val="00041388"/>
    <w:rsid w:val="00041B75"/>
    <w:rsid w:val="00042017"/>
    <w:rsid w:val="00042B36"/>
    <w:rsid w:val="00044ECB"/>
    <w:rsid w:val="00045870"/>
    <w:rsid w:val="000465DA"/>
    <w:rsid w:val="00046ABE"/>
    <w:rsid w:val="0005084C"/>
    <w:rsid w:val="0005245F"/>
    <w:rsid w:val="00052652"/>
    <w:rsid w:val="00053CD3"/>
    <w:rsid w:val="0005527C"/>
    <w:rsid w:val="00057D3A"/>
    <w:rsid w:val="0006146D"/>
    <w:rsid w:val="00063D24"/>
    <w:rsid w:val="000652E7"/>
    <w:rsid w:val="000659B5"/>
    <w:rsid w:val="00070470"/>
    <w:rsid w:val="0007089D"/>
    <w:rsid w:val="00075A1F"/>
    <w:rsid w:val="00076141"/>
    <w:rsid w:val="0007652C"/>
    <w:rsid w:val="00077B82"/>
    <w:rsid w:val="00080184"/>
    <w:rsid w:val="00083DB1"/>
    <w:rsid w:val="00083EA4"/>
    <w:rsid w:val="00084A37"/>
    <w:rsid w:val="0009032B"/>
    <w:rsid w:val="0009417E"/>
    <w:rsid w:val="00094CD9"/>
    <w:rsid w:val="0009556E"/>
    <w:rsid w:val="00095F8C"/>
    <w:rsid w:val="000976C8"/>
    <w:rsid w:val="000A206A"/>
    <w:rsid w:val="000A244E"/>
    <w:rsid w:val="000A70E0"/>
    <w:rsid w:val="000A7674"/>
    <w:rsid w:val="000B1039"/>
    <w:rsid w:val="000B382D"/>
    <w:rsid w:val="000B43EC"/>
    <w:rsid w:val="000B442A"/>
    <w:rsid w:val="000B48F0"/>
    <w:rsid w:val="000B54C9"/>
    <w:rsid w:val="000B6435"/>
    <w:rsid w:val="000B67B1"/>
    <w:rsid w:val="000B6E23"/>
    <w:rsid w:val="000C117E"/>
    <w:rsid w:val="000C15BB"/>
    <w:rsid w:val="000C28FD"/>
    <w:rsid w:val="000C3B5A"/>
    <w:rsid w:val="000C3D7B"/>
    <w:rsid w:val="000C3ED7"/>
    <w:rsid w:val="000C55B6"/>
    <w:rsid w:val="000C735E"/>
    <w:rsid w:val="000D07C9"/>
    <w:rsid w:val="000D0842"/>
    <w:rsid w:val="000D2502"/>
    <w:rsid w:val="000D46E0"/>
    <w:rsid w:val="000D548B"/>
    <w:rsid w:val="000D6657"/>
    <w:rsid w:val="000D67E1"/>
    <w:rsid w:val="000D6BA4"/>
    <w:rsid w:val="000D7BA5"/>
    <w:rsid w:val="000E0649"/>
    <w:rsid w:val="000E179D"/>
    <w:rsid w:val="000E2DAA"/>
    <w:rsid w:val="000E2F9E"/>
    <w:rsid w:val="000E359E"/>
    <w:rsid w:val="000E7C3E"/>
    <w:rsid w:val="000E7E96"/>
    <w:rsid w:val="000F0338"/>
    <w:rsid w:val="000F189A"/>
    <w:rsid w:val="000F23D2"/>
    <w:rsid w:val="000F6B0C"/>
    <w:rsid w:val="000F6EE0"/>
    <w:rsid w:val="001003B9"/>
    <w:rsid w:val="00100995"/>
    <w:rsid w:val="00100BDF"/>
    <w:rsid w:val="001011F2"/>
    <w:rsid w:val="0010151C"/>
    <w:rsid w:val="001015B9"/>
    <w:rsid w:val="00101F64"/>
    <w:rsid w:val="00102C1F"/>
    <w:rsid w:val="00105646"/>
    <w:rsid w:val="001062F8"/>
    <w:rsid w:val="00107CAC"/>
    <w:rsid w:val="00107DF0"/>
    <w:rsid w:val="00110B1E"/>
    <w:rsid w:val="00110FA2"/>
    <w:rsid w:val="0011239B"/>
    <w:rsid w:val="001124BF"/>
    <w:rsid w:val="0011302A"/>
    <w:rsid w:val="00113B40"/>
    <w:rsid w:val="001151F7"/>
    <w:rsid w:val="0011635E"/>
    <w:rsid w:val="001169E1"/>
    <w:rsid w:val="00116E67"/>
    <w:rsid w:val="001175B7"/>
    <w:rsid w:val="00124D89"/>
    <w:rsid w:val="0012527A"/>
    <w:rsid w:val="0012642F"/>
    <w:rsid w:val="00126E37"/>
    <w:rsid w:val="001273DD"/>
    <w:rsid w:val="001300E9"/>
    <w:rsid w:val="00130EE6"/>
    <w:rsid w:val="00132EC1"/>
    <w:rsid w:val="001352FE"/>
    <w:rsid w:val="00135A86"/>
    <w:rsid w:val="00140AF9"/>
    <w:rsid w:val="001421CE"/>
    <w:rsid w:val="0014282C"/>
    <w:rsid w:val="001441D9"/>
    <w:rsid w:val="00146828"/>
    <w:rsid w:val="00147E80"/>
    <w:rsid w:val="00150A21"/>
    <w:rsid w:val="00151907"/>
    <w:rsid w:val="00153114"/>
    <w:rsid w:val="0015392B"/>
    <w:rsid w:val="00153F1D"/>
    <w:rsid w:val="00154379"/>
    <w:rsid w:val="00154C46"/>
    <w:rsid w:val="0015523C"/>
    <w:rsid w:val="00157A87"/>
    <w:rsid w:val="00160DE1"/>
    <w:rsid w:val="001646B6"/>
    <w:rsid w:val="00164A49"/>
    <w:rsid w:val="00164C71"/>
    <w:rsid w:val="001655F9"/>
    <w:rsid w:val="00166998"/>
    <w:rsid w:val="00166B12"/>
    <w:rsid w:val="00166B89"/>
    <w:rsid w:val="0017347F"/>
    <w:rsid w:val="0017368E"/>
    <w:rsid w:val="001758C5"/>
    <w:rsid w:val="001759E2"/>
    <w:rsid w:val="00180307"/>
    <w:rsid w:val="00180E2B"/>
    <w:rsid w:val="00182084"/>
    <w:rsid w:val="00182F16"/>
    <w:rsid w:val="0018320C"/>
    <w:rsid w:val="00183825"/>
    <w:rsid w:val="00183B71"/>
    <w:rsid w:val="0018529B"/>
    <w:rsid w:val="0018568A"/>
    <w:rsid w:val="00186825"/>
    <w:rsid w:val="00187638"/>
    <w:rsid w:val="0018793B"/>
    <w:rsid w:val="0019043C"/>
    <w:rsid w:val="00193BF7"/>
    <w:rsid w:val="00193F97"/>
    <w:rsid w:val="00194087"/>
    <w:rsid w:val="00195411"/>
    <w:rsid w:val="00196C38"/>
    <w:rsid w:val="00197008"/>
    <w:rsid w:val="0019719F"/>
    <w:rsid w:val="001978A2"/>
    <w:rsid w:val="001A09F2"/>
    <w:rsid w:val="001A1846"/>
    <w:rsid w:val="001A2E00"/>
    <w:rsid w:val="001A4BD5"/>
    <w:rsid w:val="001A695B"/>
    <w:rsid w:val="001B09DD"/>
    <w:rsid w:val="001B41E7"/>
    <w:rsid w:val="001B4DC4"/>
    <w:rsid w:val="001B516D"/>
    <w:rsid w:val="001B79EF"/>
    <w:rsid w:val="001C18B1"/>
    <w:rsid w:val="001C2CC3"/>
    <w:rsid w:val="001C3AAA"/>
    <w:rsid w:val="001C5ADB"/>
    <w:rsid w:val="001D0CEB"/>
    <w:rsid w:val="001D14D3"/>
    <w:rsid w:val="001D199F"/>
    <w:rsid w:val="001D38DE"/>
    <w:rsid w:val="001D478A"/>
    <w:rsid w:val="001D7D42"/>
    <w:rsid w:val="001E0751"/>
    <w:rsid w:val="001E1093"/>
    <w:rsid w:val="001E1894"/>
    <w:rsid w:val="001E1D13"/>
    <w:rsid w:val="001E2272"/>
    <w:rsid w:val="001E26BA"/>
    <w:rsid w:val="001E579D"/>
    <w:rsid w:val="001E591B"/>
    <w:rsid w:val="001E629F"/>
    <w:rsid w:val="001F049E"/>
    <w:rsid w:val="001F3207"/>
    <w:rsid w:val="001F429A"/>
    <w:rsid w:val="001F479A"/>
    <w:rsid w:val="001F4CDA"/>
    <w:rsid w:val="001F68A5"/>
    <w:rsid w:val="001F7921"/>
    <w:rsid w:val="001F7FD8"/>
    <w:rsid w:val="002006F2"/>
    <w:rsid w:val="00203A89"/>
    <w:rsid w:val="00204BDD"/>
    <w:rsid w:val="002051E8"/>
    <w:rsid w:val="002052D2"/>
    <w:rsid w:val="00205847"/>
    <w:rsid w:val="00205E6C"/>
    <w:rsid w:val="002078D0"/>
    <w:rsid w:val="00207B15"/>
    <w:rsid w:val="00210B3A"/>
    <w:rsid w:val="00212E41"/>
    <w:rsid w:val="00213D2A"/>
    <w:rsid w:val="00215A58"/>
    <w:rsid w:val="002165B2"/>
    <w:rsid w:val="00217A54"/>
    <w:rsid w:val="0022298B"/>
    <w:rsid w:val="002243C4"/>
    <w:rsid w:val="002257EF"/>
    <w:rsid w:val="002260B4"/>
    <w:rsid w:val="002266E6"/>
    <w:rsid w:val="002300E0"/>
    <w:rsid w:val="002304A3"/>
    <w:rsid w:val="002317C7"/>
    <w:rsid w:val="00231ED9"/>
    <w:rsid w:val="00232A73"/>
    <w:rsid w:val="002331F8"/>
    <w:rsid w:val="002348BE"/>
    <w:rsid w:val="002400E7"/>
    <w:rsid w:val="00240D9F"/>
    <w:rsid w:val="00242250"/>
    <w:rsid w:val="002423A8"/>
    <w:rsid w:val="0024294B"/>
    <w:rsid w:val="00242AAA"/>
    <w:rsid w:val="00242CF2"/>
    <w:rsid w:val="00243631"/>
    <w:rsid w:val="00245EA7"/>
    <w:rsid w:val="002511A2"/>
    <w:rsid w:val="00251400"/>
    <w:rsid w:val="002547C0"/>
    <w:rsid w:val="0025625D"/>
    <w:rsid w:val="00257B55"/>
    <w:rsid w:val="00264445"/>
    <w:rsid w:val="002647DD"/>
    <w:rsid w:val="00264FE2"/>
    <w:rsid w:val="00266C02"/>
    <w:rsid w:val="00266F7B"/>
    <w:rsid w:val="002672C2"/>
    <w:rsid w:val="00267335"/>
    <w:rsid w:val="00267E13"/>
    <w:rsid w:val="00270622"/>
    <w:rsid w:val="00271409"/>
    <w:rsid w:val="00271445"/>
    <w:rsid w:val="00271BD9"/>
    <w:rsid w:val="00273553"/>
    <w:rsid w:val="002735A1"/>
    <w:rsid w:val="00274279"/>
    <w:rsid w:val="00274829"/>
    <w:rsid w:val="0027525E"/>
    <w:rsid w:val="00276E06"/>
    <w:rsid w:val="0027717A"/>
    <w:rsid w:val="00280890"/>
    <w:rsid w:val="0028160A"/>
    <w:rsid w:val="00286418"/>
    <w:rsid w:val="0029047B"/>
    <w:rsid w:val="0029125F"/>
    <w:rsid w:val="00291CA8"/>
    <w:rsid w:val="00293689"/>
    <w:rsid w:val="00293EDB"/>
    <w:rsid w:val="0029470F"/>
    <w:rsid w:val="00294A31"/>
    <w:rsid w:val="00296233"/>
    <w:rsid w:val="00296C5F"/>
    <w:rsid w:val="00296C76"/>
    <w:rsid w:val="002A0728"/>
    <w:rsid w:val="002A198A"/>
    <w:rsid w:val="002A29B7"/>
    <w:rsid w:val="002A2AE1"/>
    <w:rsid w:val="002A3804"/>
    <w:rsid w:val="002A4899"/>
    <w:rsid w:val="002A68FA"/>
    <w:rsid w:val="002B1EB6"/>
    <w:rsid w:val="002B32D1"/>
    <w:rsid w:val="002B45E6"/>
    <w:rsid w:val="002B4EC9"/>
    <w:rsid w:val="002B4FC4"/>
    <w:rsid w:val="002B52BA"/>
    <w:rsid w:val="002B59EB"/>
    <w:rsid w:val="002C08D0"/>
    <w:rsid w:val="002C3242"/>
    <w:rsid w:val="002C342F"/>
    <w:rsid w:val="002C6583"/>
    <w:rsid w:val="002C6CD5"/>
    <w:rsid w:val="002C7B3F"/>
    <w:rsid w:val="002D19EB"/>
    <w:rsid w:val="002D1E2A"/>
    <w:rsid w:val="002D2655"/>
    <w:rsid w:val="002D3392"/>
    <w:rsid w:val="002D4813"/>
    <w:rsid w:val="002D5597"/>
    <w:rsid w:val="002E0EF3"/>
    <w:rsid w:val="002E227C"/>
    <w:rsid w:val="002E286C"/>
    <w:rsid w:val="002E3881"/>
    <w:rsid w:val="002E4242"/>
    <w:rsid w:val="002E56AF"/>
    <w:rsid w:val="002E7919"/>
    <w:rsid w:val="002F14F2"/>
    <w:rsid w:val="002F1D9B"/>
    <w:rsid w:val="002F2ED9"/>
    <w:rsid w:val="002F4393"/>
    <w:rsid w:val="002F7735"/>
    <w:rsid w:val="002F7D68"/>
    <w:rsid w:val="002F7FBC"/>
    <w:rsid w:val="00300C68"/>
    <w:rsid w:val="00301D92"/>
    <w:rsid w:val="0030207D"/>
    <w:rsid w:val="00304378"/>
    <w:rsid w:val="00306AA5"/>
    <w:rsid w:val="00306D52"/>
    <w:rsid w:val="00306F30"/>
    <w:rsid w:val="003117E8"/>
    <w:rsid w:val="00312B0C"/>
    <w:rsid w:val="003204C2"/>
    <w:rsid w:val="00322994"/>
    <w:rsid w:val="00323DAA"/>
    <w:rsid w:val="00325300"/>
    <w:rsid w:val="0032551D"/>
    <w:rsid w:val="00332FD2"/>
    <w:rsid w:val="003344EA"/>
    <w:rsid w:val="00334C76"/>
    <w:rsid w:val="00334DED"/>
    <w:rsid w:val="003352DD"/>
    <w:rsid w:val="00337A5E"/>
    <w:rsid w:val="00337D01"/>
    <w:rsid w:val="00341D8B"/>
    <w:rsid w:val="00343EA7"/>
    <w:rsid w:val="0034400A"/>
    <w:rsid w:val="003447A2"/>
    <w:rsid w:val="00345CB5"/>
    <w:rsid w:val="00350B43"/>
    <w:rsid w:val="0035192D"/>
    <w:rsid w:val="00351946"/>
    <w:rsid w:val="0035248D"/>
    <w:rsid w:val="00352930"/>
    <w:rsid w:val="003532D3"/>
    <w:rsid w:val="003548DF"/>
    <w:rsid w:val="003551B3"/>
    <w:rsid w:val="0035624D"/>
    <w:rsid w:val="003566CF"/>
    <w:rsid w:val="00356A40"/>
    <w:rsid w:val="00356FCD"/>
    <w:rsid w:val="00357AC3"/>
    <w:rsid w:val="00357D0B"/>
    <w:rsid w:val="00360F6B"/>
    <w:rsid w:val="00362636"/>
    <w:rsid w:val="00362C2A"/>
    <w:rsid w:val="00364696"/>
    <w:rsid w:val="00364818"/>
    <w:rsid w:val="00365591"/>
    <w:rsid w:val="0036777D"/>
    <w:rsid w:val="00370552"/>
    <w:rsid w:val="00371C9F"/>
    <w:rsid w:val="00372E2D"/>
    <w:rsid w:val="003742AA"/>
    <w:rsid w:val="0037730B"/>
    <w:rsid w:val="0037792C"/>
    <w:rsid w:val="00377D0D"/>
    <w:rsid w:val="003804AE"/>
    <w:rsid w:val="0038108F"/>
    <w:rsid w:val="003813B5"/>
    <w:rsid w:val="00382FA6"/>
    <w:rsid w:val="00383CA1"/>
    <w:rsid w:val="00384219"/>
    <w:rsid w:val="00385770"/>
    <w:rsid w:val="00386099"/>
    <w:rsid w:val="003907EA"/>
    <w:rsid w:val="00391891"/>
    <w:rsid w:val="003926D6"/>
    <w:rsid w:val="003960CB"/>
    <w:rsid w:val="0039665E"/>
    <w:rsid w:val="003979C3"/>
    <w:rsid w:val="003A0E43"/>
    <w:rsid w:val="003A131F"/>
    <w:rsid w:val="003A2669"/>
    <w:rsid w:val="003A4243"/>
    <w:rsid w:val="003A5358"/>
    <w:rsid w:val="003A6079"/>
    <w:rsid w:val="003A6DF0"/>
    <w:rsid w:val="003A7C65"/>
    <w:rsid w:val="003B1F1A"/>
    <w:rsid w:val="003B238A"/>
    <w:rsid w:val="003B37C9"/>
    <w:rsid w:val="003B4595"/>
    <w:rsid w:val="003B5AEE"/>
    <w:rsid w:val="003B5B49"/>
    <w:rsid w:val="003B7F54"/>
    <w:rsid w:val="003C13B0"/>
    <w:rsid w:val="003C2846"/>
    <w:rsid w:val="003C3798"/>
    <w:rsid w:val="003C489B"/>
    <w:rsid w:val="003D079E"/>
    <w:rsid w:val="003D0AEC"/>
    <w:rsid w:val="003D1F44"/>
    <w:rsid w:val="003D1FB6"/>
    <w:rsid w:val="003D237D"/>
    <w:rsid w:val="003D49A3"/>
    <w:rsid w:val="003E1A4C"/>
    <w:rsid w:val="003E1C13"/>
    <w:rsid w:val="003E2EC1"/>
    <w:rsid w:val="003E33E6"/>
    <w:rsid w:val="003E4A46"/>
    <w:rsid w:val="003E5174"/>
    <w:rsid w:val="003E646F"/>
    <w:rsid w:val="003E6807"/>
    <w:rsid w:val="003E68A3"/>
    <w:rsid w:val="003E72B1"/>
    <w:rsid w:val="003E7B62"/>
    <w:rsid w:val="003F1788"/>
    <w:rsid w:val="003F1F7F"/>
    <w:rsid w:val="003F2656"/>
    <w:rsid w:val="003F555C"/>
    <w:rsid w:val="003F6AEE"/>
    <w:rsid w:val="003F7D8C"/>
    <w:rsid w:val="00400297"/>
    <w:rsid w:val="0040143C"/>
    <w:rsid w:val="00405473"/>
    <w:rsid w:val="00405E83"/>
    <w:rsid w:val="004079ED"/>
    <w:rsid w:val="00410362"/>
    <w:rsid w:val="0041224C"/>
    <w:rsid w:val="00413AE4"/>
    <w:rsid w:val="0041785C"/>
    <w:rsid w:val="00417CDF"/>
    <w:rsid w:val="00421546"/>
    <w:rsid w:val="00421D84"/>
    <w:rsid w:val="004232C6"/>
    <w:rsid w:val="00425BCF"/>
    <w:rsid w:val="00426AA5"/>
    <w:rsid w:val="00426CA2"/>
    <w:rsid w:val="004275CC"/>
    <w:rsid w:val="00430131"/>
    <w:rsid w:val="00430F18"/>
    <w:rsid w:val="00431C3B"/>
    <w:rsid w:val="004324F5"/>
    <w:rsid w:val="00432C01"/>
    <w:rsid w:val="00432C8F"/>
    <w:rsid w:val="00434CAD"/>
    <w:rsid w:val="0043605B"/>
    <w:rsid w:val="00436333"/>
    <w:rsid w:val="004377E9"/>
    <w:rsid w:val="004410E7"/>
    <w:rsid w:val="004411BF"/>
    <w:rsid w:val="00441C8C"/>
    <w:rsid w:val="004441AD"/>
    <w:rsid w:val="0044518C"/>
    <w:rsid w:val="0044608D"/>
    <w:rsid w:val="00446CD5"/>
    <w:rsid w:val="004478B5"/>
    <w:rsid w:val="00453877"/>
    <w:rsid w:val="0045523E"/>
    <w:rsid w:val="00455C3B"/>
    <w:rsid w:val="00456F0B"/>
    <w:rsid w:val="0045752A"/>
    <w:rsid w:val="00457DAA"/>
    <w:rsid w:val="00457F24"/>
    <w:rsid w:val="00461679"/>
    <w:rsid w:val="0046320A"/>
    <w:rsid w:val="004644AE"/>
    <w:rsid w:val="00464881"/>
    <w:rsid w:val="0046492D"/>
    <w:rsid w:val="00464A14"/>
    <w:rsid w:val="00464F82"/>
    <w:rsid w:val="004651CA"/>
    <w:rsid w:val="004655DA"/>
    <w:rsid w:val="004662B0"/>
    <w:rsid w:val="00467162"/>
    <w:rsid w:val="00471508"/>
    <w:rsid w:val="00471E9A"/>
    <w:rsid w:val="00473419"/>
    <w:rsid w:val="00474AF4"/>
    <w:rsid w:val="004754F3"/>
    <w:rsid w:val="0047614C"/>
    <w:rsid w:val="004768D3"/>
    <w:rsid w:val="00476B3E"/>
    <w:rsid w:val="00480EB0"/>
    <w:rsid w:val="00481330"/>
    <w:rsid w:val="0048183F"/>
    <w:rsid w:val="00482581"/>
    <w:rsid w:val="00484F15"/>
    <w:rsid w:val="00485C2A"/>
    <w:rsid w:val="00486BB8"/>
    <w:rsid w:val="00492463"/>
    <w:rsid w:val="00492C98"/>
    <w:rsid w:val="004933E2"/>
    <w:rsid w:val="00493484"/>
    <w:rsid w:val="0049460A"/>
    <w:rsid w:val="004A1679"/>
    <w:rsid w:val="004A32EA"/>
    <w:rsid w:val="004A3DD3"/>
    <w:rsid w:val="004A4413"/>
    <w:rsid w:val="004A4C5C"/>
    <w:rsid w:val="004A680C"/>
    <w:rsid w:val="004A6D87"/>
    <w:rsid w:val="004B04FE"/>
    <w:rsid w:val="004B2DEF"/>
    <w:rsid w:val="004B341D"/>
    <w:rsid w:val="004B3F53"/>
    <w:rsid w:val="004B5CF4"/>
    <w:rsid w:val="004B6271"/>
    <w:rsid w:val="004B6F74"/>
    <w:rsid w:val="004B7CA7"/>
    <w:rsid w:val="004C02B4"/>
    <w:rsid w:val="004C0B77"/>
    <w:rsid w:val="004C3340"/>
    <w:rsid w:val="004C3A07"/>
    <w:rsid w:val="004C54B5"/>
    <w:rsid w:val="004C6526"/>
    <w:rsid w:val="004D1042"/>
    <w:rsid w:val="004D1307"/>
    <w:rsid w:val="004D2605"/>
    <w:rsid w:val="004D37B3"/>
    <w:rsid w:val="004D430E"/>
    <w:rsid w:val="004D46EE"/>
    <w:rsid w:val="004D5F64"/>
    <w:rsid w:val="004D70B7"/>
    <w:rsid w:val="004D78FF"/>
    <w:rsid w:val="004D7B7B"/>
    <w:rsid w:val="004E1B43"/>
    <w:rsid w:val="004E1EEC"/>
    <w:rsid w:val="004E50F1"/>
    <w:rsid w:val="004E5CDA"/>
    <w:rsid w:val="004E6930"/>
    <w:rsid w:val="004E75AA"/>
    <w:rsid w:val="004F0419"/>
    <w:rsid w:val="004F0A66"/>
    <w:rsid w:val="004F379F"/>
    <w:rsid w:val="004F3994"/>
    <w:rsid w:val="004F412D"/>
    <w:rsid w:val="004F6761"/>
    <w:rsid w:val="004F6BC0"/>
    <w:rsid w:val="004F7288"/>
    <w:rsid w:val="004F7385"/>
    <w:rsid w:val="004F7E42"/>
    <w:rsid w:val="00500223"/>
    <w:rsid w:val="00500388"/>
    <w:rsid w:val="00500761"/>
    <w:rsid w:val="00501522"/>
    <w:rsid w:val="00501E56"/>
    <w:rsid w:val="00510649"/>
    <w:rsid w:val="00511467"/>
    <w:rsid w:val="00511C6B"/>
    <w:rsid w:val="00515518"/>
    <w:rsid w:val="005164CA"/>
    <w:rsid w:val="005168D1"/>
    <w:rsid w:val="00517682"/>
    <w:rsid w:val="00517ACA"/>
    <w:rsid w:val="00517B9B"/>
    <w:rsid w:val="00520307"/>
    <w:rsid w:val="005208B6"/>
    <w:rsid w:val="00526BEF"/>
    <w:rsid w:val="00526D4A"/>
    <w:rsid w:val="00530986"/>
    <w:rsid w:val="00530B83"/>
    <w:rsid w:val="005323C2"/>
    <w:rsid w:val="005324F6"/>
    <w:rsid w:val="00532800"/>
    <w:rsid w:val="005331AA"/>
    <w:rsid w:val="0053532B"/>
    <w:rsid w:val="005417F2"/>
    <w:rsid w:val="0054338E"/>
    <w:rsid w:val="00543709"/>
    <w:rsid w:val="00544DA8"/>
    <w:rsid w:val="005464EA"/>
    <w:rsid w:val="00546851"/>
    <w:rsid w:val="005523BD"/>
    <w:rsid w:val="00552655"/>
    <w:rsid w:val="00552B45"/>
    <w:rsid w:val="005537BA"/>
    <w:rsid w:val="00553F9E"/>
    <w:rsid w:val="005555E6"/>
    <w:rsid w:val="005569AB"/>
    <w:rsid w:val="00557511"/>
    <w:rsid w:val="0055755E"/>
    <w:rsid w:val="00557FD0"/>
    <w:rsid w:val="0056128E"/>
    <w:rsid w:val="00562B19"/>
    <w:rsid w:val="005640EA"/>
    <w:rsid w:val="00564BFB"/>
    <w:rsid w:val="00564CE5"/>
    <w:rsid w:val="005662C5"/>
    <w:rsid w:val="00573E1B"/>
    <w:rsid w:val="00574121"/>
    <w:rsid w:val="0057490E"/>
    <w:rsid w:val="00575EF4"/>
    <w:rsid w:val="00576C69"/>
    <w:rsid w:val="00580AB6"/>
    <w:rsid w:val="005835FF"/>
    <w:rsid w:val="00585054"/>
    <w:rsid w:val="00586881"/>
    <w:rsid w:val="005871BA"/>
    <w:rsid w:val="005908B4"/>
    <w:rsid w:val="00590D29"/>
    <w:rsid w:val="00591A2B"/>
    <w:rsid w:val="00592AD1"/>
    <w:rsid w:val="00592EA6"/>
    <w:rsid w:val="00593700"/>
    <w:rsid w:val="005941DF"/>
    <w:rsid w:val="005943D6"/>
    <w:rsid w:val="005969A7"/>
    <w:rsid w:val="00596F12"/>
    <w:rsid w:val="00596F67"/>
    <w:rsid w:val="005978E4"/>
    <w:rsid w:val="00597B60"/>
    <w:rsid w:val="00597F0D"/>
    <w:rsid w:val="005A00CB"/>
    <w:rsid w:val="005A057A"/>
    <w:rsid w:val="005A42C5"/>
    <w:rsid w:val="005A4853"/>
    <w:rsid w:val="005A57EF"/>
    <w:rsid w:val="005A5CC7"/>
    <w:rsid w:val="005A7EC8"/>
    <w:rsid w:val="005B0710"/>
    <w:rsid w:val="005B19CD"/>
    <w:rsid w:val="005B2868"/>
    <w:rsid w:val="005B3C85"/>
    <w:rsid w:val="005B57E2"/>
    <w:rsid w:val="005C0E90"/>
    <w:rsid w:val="005C647C"/>
    <w:rsid w:val="005D0E43"/>
    <w:rsid w:val="005D1EA2"/>
    <w:rsid w:val="005D4B5A"/>
    <w:rsid w:val="005D5E90"/>
    <w:rsid w:val="005D6704"/>
    <w:rsid w:val="005D6B1C"/>
    <w:rsid w:val="005E07A1"/>
    <w:rsid w:val="005E0E4F"/>
    <w:rsid w:val="005E20F7"/>
    <w:rsid w:val="005E59BB"/>
    <w:rsid w:val="005E6186"/>
    <w:rsid w:val="005E6731"/>
    <w:rsid w:val="005E7BDC"/>
    <w:rsid w:val="005F2104"/>
    <w:rsid w:val="005F2C9C"/>
    <w:rsid w:val="005F2F3D"/>
    <w:rsid w:val="005F33A2"/>
    <w:rsid w:val="005F34AC"/>
    <w:rsid w:val="005F47F2"/>
    <w:rsid w:val="005F4988"/>
    <w:rsid w:val="005F52D3"/>
    <w:rsid w:val="005F5E1A"/>
    <w:rsid w:val="005F70B5"/>
    <w:rsid w:val="005F77B5"/>
    <w:rsid w:val="005F7BDD"/>
    <w:rsid w:val="00601580"/>
    <w:rsid w:val="00602AAE"/>
    <w:rsid w:val="00606A2E"/>
    <w:rsid w:val="00607E7F"/>
    <w:rsid w:val="006113E9"/>
    <w:rsid w:val="006119FF"/>
    <w:rsid w:val="006136CB"/>
    <w:rsid w:val="0061640C"/>
    <w:rsid w:val="00616C2F"/>
    <w:rsid w:val="00620102"/>
    <w:rsid w:val="00621A60"/>
    <w:rsid w:val="00624A5E"/>
    <w:rsid w:val="00624D2D"/>
    <w:rsid w:val="006253A5"/>
    <w:rsid w:val="0062634F"/>
    <w:rsid w:val="006265FA"/>
    <w:rsid w:val="006273CA"/>
    <w:rsid w:val="00627AD2"/>
    <w:rsid w:val="0063041A"/>
    <w:rsid w:val="0063196C"/>
    <w:rsid w:val="006319EF"/>
    <w:rsid w:val="006328C0"/>
    <w:rsid w:val="00633030"/>
    <w:rsid w:val="00633A31"/>
    <w:rsid w:val="006349EE"/>
    <w:rsid w:val="0063549F"/>
    <w:rsid w:val="00636499"/>
    <w:rsid w:val="00637047"/>
    <w:rsid w:val="0064185E"/>
    <w:rsid w:val="0064188E"/>
    <w:rsid w:val="00641909"/>
    <w:rsid w:val="006440C9"/>
    <w:rsid w:val="00644742"/>
    <w:rsid w:val="006450C0"/>
    <w:rsid w:val="00647A9E"/>
    <w:rsid w:val="00651011"/>
    <w:rsid w:val="00652EA3"/>
    <w:rsid w:val="00652F6B"/>
    <w:rsid w:val="006554DD"/>
    <w:rsid w:val="0065787D"/>
    <w:rsid w:val="006606BF"/>
    <w:rsid w:val="006606CA"/>
    <w:rsid w:val="00660F15"/>
    <w:rsid w:val="0066211B"/>
    <w:rsid w:val="0066328A"/>
    <w:rsid w:val="006632CC"/>
    <w:rsid w:val="00674808"/>
    <w:rsid w:val="0067508A"/>
    <w:rsid w:val="006758A3"/>
    <w:rsid w:val="00675A6B"/>
    <w:rsid w:val="00676095"/>
    <w:rsid w:val="00676683"/>
    <w:rsid w:val="00681D97"/>
    <w:rsid w:val="006825BA"/>
    <w:rsid w:val="00684EC5"/>
    <w:rsid w:val="0068631C"/>
    <w:rsid w:val="006864D6"/>
    <w:rsid w:val="00686629"/>
    <w:rsid w:val="00687661"/>
    <w:rsid w:val="006879BB"/>
    <w:rsid w:val="006908C5"/>
    <w:rsid w:val="0069155B"/>
    <w:rsid w:val="00692E24"/>
    <w:rsid w:val="00693D54"/>
    <w:rsid w:val="00693D98"/>
    <w:rsid w:val="0069413F"/>
    <w:rsid w:val="00695859"/>
    <w:rsid w:val="00695CFA"/>
    <w:rsid w:val="00696B86"/>
    <w:rsid w:val="006972B1"/>
    <w:rsid w:val="006A05D8"/>
    <w:rsid w:val="006A072F"/>
    <w:rsid w:val="006A1E62"/>
    <w:rsid w:val="006A4C5C"/>
    <w:rsid w:val="006A6B35"/>
    <w:rsid w:val="006A745D"/>
    <w:rsid w:val="006A7F99"/>
    <w:rsid w:val="006B0C7F"/>
    <w:rsid w:val="006B1695"/>
    <w:rsid w:val="006B1924"/>
    <w:rsid w:val="006B1A73"/>
    <w:rsid w:val="006B335F"/>
    <w:rsid w:val="006B52C7"/>
    <w:rsid w:val="006B64DD"/>
    <w:rsid w:val="006B689E"/>
    <w:rsid w:val="006B6F43"/>
    <w:rsid w:val="006B7D9C"/>
    <w:rsid w:val="006C1613"/>
    <w:rsid w:val="006C1D3B"/>
    <w:rsid w:val="006C646D"/>
    <w:rsid w:val="006D0F9E"/>
    <w:rsid w:val="006D3B46"/>
    <w:rsid w:val="006D3EE0"/>
    <w:rsid w:val="006D3F7D"/>
    <w:rsid w:val="006D4FF1"/>
    <w:rsid w:val="006D5885"/>
    <w:rsid w:val="006D7798"/>
    <w:rsid w:val="006E1290"/>
    <w:rsid w:val="006E164B"/>
    <w:rsid w:val="006E1908"/>
    <w:rsid w:val="006E6E2A"/>
    <w:rsid w:val="006E783B"/>
    <w:rsid w:val="006E7F3E"/>
    <w:rsid w:val="006F0E54"/>
    <w:rsid w:val="006F106E"/>
    <w:rsid w:val="006F1EEB"/>
    <w:rsid w:val="006F7AAB"/>
    <w:rsid w:val="006F7D12"/>
    <w:rsid w:val="006F7FC1"/>
    <w:rsid w:val="00700543"/>
    <w:rsid w:val="00706A8B"/>
    <w:rsid w:val="00707486"/>
    <w:rsid w:val="00713979"/>
    <w:rsid w:val="00714E37"/>
    <w:rsid w:val="007159BF"/>
    <w:rsid w:val="00716B8A"/>
    <w:rsid w:val="007234B9"/>
    <w:rsid w:val="0072446D"/>
    <w:rsid w:val="00727B44"/>
    <w:rsid w:val="00727D3A"/>
    <w:rsid w:val="00730090"/>
    <w:rsid w:val="00730200"/>
    <w:rsid w:val="0073024C"/>
    <w:rsid w:val="007303A6"/>
    <w:rsid w:val="00731CAE"/>
    <w:rsid w:val="0073205A"/>
    <w:rsid w:val="00732291"/>
    <w:rsid w:val="00732FD2"/>
    <w:rsid w:val="00734530"/>
    <w:rsid w:val="00734BB7"/>
    <w:rsid w:val="00735A16"/>
    <w:rsid w:val="00737AFF"/>
    <w:rsid w:val="00744467"/>
    <w:rsid w:val="00745287"/>
    <w:rsid w:val="00746655"/>
    <w:rsid w:val="007468E3"/>
    <w:rsid w:val="00747631"/>
    <w:rsid w:val="00750B56"/>
    <w:rsid w:val="00753F52"/>
    <w:rsid w:val="00755DC9"/>
    <w:rsid w:val="00760DD4"/>
    <w:rsid w:val="00760F73"/>
    <w:rsid w:val="007625B5"/>
    <w:rsid w:val="007631C2"/>
    <w:rsid w:val="007639F1"/>
    <w:rsid w:val="007652B5"/>
    <w:rsid w:val="007664AC"/>
    <w:rsid w:val="00766562"/>
    <w:rsid w:val="0077013C"/>
    <w:rsid w:val="00773314"/>
    <w:rsid w:val="007734CD"/>
    <w:rsid w:val="00774986"/>
    <w:rsid w:val="00774C26"/>
    <w:rsid w:val="0077607B"/>
    <w:rsid w:val="007760C2"/>
    <w:rsid w:val="0077612D"/>
    <w:rsid w:val="00777939"/>
    <w:rsid w:val="007779E9"/>
    <w:rsid w:val="0078090B"/>
    <w:rsid w:val="007849E9"/>
    <w:rsid w:val="00790E24"/>
    <w:rsid w:val="00791944"/>
    <w:rsid w:val="0079399A"/>
    <w:rsid w:val="00793C90"/>
    <w:rsid w:val="007956E3"/>
    <w:rsid w:val="00796ED4"/>
    <w:rsid w:val="007A120A"/>
    <w:rsid w:val="007A15C0"/>
    <w:rsid w:val="007A1CB3"/>
    <w:rsid w:val="007A5B03"/>
    <w:rsid w:val="007B02D6"/>
    <w:rsid w:val="007B095B"/>
    <w:rsid w:val="007B0D8E"/>
    <w:rsid w:val="007B168D"/>
    <w:rsid w:val="007B33E7"/>
    <w:rsid w:val="007B369D"/>
    <w:rsid w:val="007B45D9"/>
    <w:rsid w:val="007B5AA3"/>
    <w:rsid w:val="007B5D39"/>
    <w:rsid w:val="007B5D87"/>
    <w:rsid w:val="007B666C"/>
    <w:rsid w:val="007B6D8A"/>
    <w:rsid w:val="007B7C6B"/>
    <w:rsid w:val="007C3950"/>
    <w:rsid w:val="007C3FC0"/>
    <w:rsid w:val="007C6018"/>
    <w:rsid w:val="007C76DA"/>
    <w:rsid w:val="007D047A"/>
    <w:rsid w:val="007D0A44"/>
    <w:rsid w:val="007D2349"/>
    <w:rsid w:val="007D3314"/>
    <w:rsid w:val="007D4056"/>
    <w:rsid w:val="007D445D"/>
    <w:rsid w:val="007D482B"/>
    <w:rsid w:val="007D526E"/>
    <w:rsid w:val="007D7DE2"/>
    <w:rsid w:val="007E03AB"/>
    <w:rsid w:val="007E2E25"/>
    <w:rsid w:val="007E3640"/>
    <w:rsid w:val="007E60DA"/>
    <w:rsid w:val="007E60E4"/>
    <w:rsid w:val="007E6953"/>
    <w:rsid w:val="007E6B96"/>
    <w:rsid w:val="007F0325"/>
    <w:rsid w:val="007F10EC"/>
    <w:rsid w:val="007F2A37"/>
    <w:rsid w:val="007F6C96"/>
    <w:rsid w:val="007F7D21"/>
    <w:rsid w:val="00800D4B"/>
    <w:rsid w:val="00802588"/>
    <w:rsid w:val="008032D2"/>
    <w:rsid w:val="0080441E"/>
    <w:rsid w:val="0080481F"/>
    <w:rsid w:val="00804EA0"/>
    <w:rsid w:val="0080683C"/>
    <w:rsid w:val="00806D4C"/>
    <w:rsid w:val="00810256"/>
    <w:rsid w:val="00811288"/>
    <w:rsid w:val="00813661"/>
    <w:rsid w:val="0081388A"/>
    <w:rsid w:val="00813B04"/>
    <w:rsid w:val="00813C54"/>
    <w:rsid w:val="008152AB"/>
    <w:rsid w:val="008166A6"/>
    <w:rsid w:val="00816E9B"/>
    <w:rsid w:val="00817387"/>
    <w:rsid w:val="00822834"/>
    <w:rsid w:val="008230E1"/>
    <w:rsid w:val="00823382"/>
    <w:rsid w:val="00824E7D"/>
    <w:rsid w:val="00825278"/>
    <w:rsid w:val="00825AB3"/>
    <w:rsid w:val="00827257"/>
    <w:rsid w:val="00832140"/>
    <w:rsid w:val="00833714"/>
    <w:rsid w:val="00834BB8"/>
    <w:rsid w:val="00834F78"/>
    <w:rsid w:val="00835893"/>
    <w:rsid w:val="00837923"/>
    <w:rsid w:val="008409AB"/>
    <w:rsid w:val="00841E29"/>
    <w:rsid w:val="00842050"/>
    <w:rsid w:val="00842167"/>
    <w:rsid w:val="00844014"/>
    <w:rsid w:val="00844A01"/>
    <w:rsid w:val="00845897"/>
    <w:rsid w:val="00845D06"/>
    <w:rsid w:val="00850ACB"/>
    <w:rsid w:val="00850FEE"/>
    <w:rsid w:val="00852843"/>
    <w:rsid w:val="00852A6A"/>
    <w:rsid w:val="00852FEE"/>
    <w:rsid w:val="00853A22"/>
    <w:rsid w:val="008564F5"/>
    <w:rsid w:val="00857769"/>
    <w:rsid w:val="008600B6"/>
    <w:rsid w:val="008600F0"/>
    <w:rsid w:val="008647F1"/>
    <w:rsid w:val="008720EC"/>
    <w:rsid w:val="008724CD"/>
    <w:rsid w:val="008739CC"/>
    <w:rsid w:val="0087470C"/>
    <w:rsid w:val="00874BC6"/>
    <w:rsid w:val="00875685"/>
    <w:rsid w:val="008759E3"/>
    <w:rsid w:val="00875BDF"/>
    <w:rsid w:val="00877223"/>
    <w:rsid w:val="0087791D"/>
    <w:rsid w:val="00881D37"/>
    <w:rsid w:val="008821EF"/>
    <w:rsid w:val="008821F2"/>
    <w:rsid w:val="00882576"/>
    <w:rsid w:val="00883739"/>
    <w:rsid w:val="00884C44"/>
    <w:rsid w:val="0088700C"/>
    <w:rsid w:val="00891841"/>
    <w:rsid w:val="00895231"/>
    <w:rsid w:val="008A155D"/>
    <w:rsid w:val="008A1677"/>
    <w:rsid w:val="008A232B"/>
    <w:rsid w:val="008A2FAB"/>
    <w:rsid w:val="008A4A0F"/>
    <w:rsid w:val="008A5808"/>
    <w:rsid w:val="008A6C47"/>
    <w:rsid w:val="008B1158"/>
    <w:rsid w:val="008B3104"/>
    <w:rsid w:val="008B488C"/>
    <w:rsid w:val="008B685C"/>
    <w:rsid w:val="008B72E8"/>
    <w:rsid w:val="008B787A"/>
    <w:rsid w:val="008C2E97"/>
    <w:rsid w:val="008C30C8"/>
    <w:rsid w:val="008C3FD8"/>
    <w:rsid w:val="008D0412"/>
    <w:rsid w:val="008D1C10"/>
    <w:rsid w:val="008D1DD3"/>
    <w:rsid w:val="008D2CCA"/>
    <w:rsid w:val="008D4749"/>
    <w:rsid w:val="008D57AF"/>
    <w:rsid w:val="008D57B4"/>
    <w:rsid w:val="008E0180"/>
    <w:rsid w:val="008E10D2"/>
    <w:rsid w:val="008E16FC"/>
    <w:rsid w:val="008E218C"/>
    <w:rsid w:val="008E2726"/>
    <w:rsid w:val="008E44E6"/>
    <w:rsid w:val="008E53B7"/>
    <w:rsid w:val="008E6017"/>
    <w:rsid w:val="008E79D8"/>
    <w:rsid w:val="008E7B3E"/>
    <w:rsid w:val="008F2000"/>
    <w:rsid w:val="008F2901"/>
    <w:rsid w:val="008F346C"/>
    <w:rsid w:val="008F35D5"/>
    <w:rsid w:val="008F47C6"/>
    <w:rsid w:val="008F69C4"/>
    <w:rsid w:val="008F7161"/>
    <w:rsid w:val="008F74DF"/>
    <w:rsid w:val="009009BC"/>
    <w:rsid w:val="00901117"/>
    <w:rsid w:val="009015C1"/>
    <w:rsid w:val="00902F30"/>
    <w:rsid w:val="0090501A"/>
    <w:rsid w:val="00905E9E"/>
    <w:rsid w:val="00907391"/>
    <w:rsid w:val="009079B5"/>
    <w:rsid w:val="00910286"/>
    <w:rsid w:val="00912872"/>
    <w:rsid w:val="00912FE1"/>
    <w:rsid w:val="00914CF7"/>
    <w:rsid w:val="00915997"/>
    <w:rsid w:val="0091796E"/>
    <w:rsid w:val="00917E19"/>
    <w:rsid w:val="009205CA"/>
    <w:rsid w:val="009221C6"/>
    <w:rsid w:val="0092251A"/>
    <w:rsid w:val="009225C8"/>
    <w:rsid w:val="00923F70"/>
    <w:rsid w:val="0092424F"/>
    <w:rsid w:val="0092525E"/>
    <w:rsid w:val="00925339"/>
    <w:rsid w:val="00925EC0"/>
    <w:rsid w:val="0092664B"/>
    <w:rsid w:val="009325C6"/>
    <w:rsid w:val="009333B7"/>
    <w:rsid w:val="00933A25"/>
    <w:rsid w:val="00935895"/>
    <w:rsid w:val="00940B39"/>
    <w:rsid w:val="00940C85"/>
    <w:rsid w:val="00945B3D"/>
    <w:rsid w:val="009460A7"/>
    <w:rsid w:val="009476F0"/>
    <w:rsid w:val="0095047A"/>
    <w:rsid w:val="009513F7"/>
    <w:rsid w:val="00951D3D"/>
    <w:rsid w:val="0095427D"/>
    <w:rsid w:val="00954546"/>
    <w:rsid w:val="00954B54"/>
    <w:rsid w:val="00955367"/>
    <w:rsid w:val="00955418"/>
    <w:rsid w:val="009601AD"/>
    <w:rsid w:val="0096084B"/>
    <w:rsid w:val="00960A5A"/>
    <w:rsid w:val="00960B3E"/>
    <w:rsid w:val="00960DA0"/>
    <w:rsid w:val="0096127D"/>
    <w:rsid w:val="00962A35"/>
    <w:rsid w:val="00963094"/>
    <w:rsid w:val="009641E7"/>
    <w:rsid w:val="009646E4"/>
    <w:rsid w:val="00965436"/>
    <w:rsid w:val="00965DC1"/>
    <w:rsid w:val="00965E81"/>
    <w:rsid w:val="009666B7"/>
    <w:rsid w:val="00967D01"/>
    <w:rsid w:val="00971CB4"/>
    <w:rsid w:val="0097274E"/>
    <w:rsid w:val="00972DAE"/>
    <w:rsid w:val="00972E57"/>
    <w:rsid w:val="009732A0"/>
    <w:rsid w:val="0097401E"/>
    <w:rsid w:val="00975990"/>
    <w:rsid w:val="0097656B"/>
    <w:rsid w:val="00976640"/>
    <w:rsid w:val="0097735C"/>
    <w:rsid w:val="009804BA"/>
    <w:rsid w:val="00981611"/>
    <w:rsid w:val="00983C4B"/>
    <w:rsid w:val="00983C78"/>
    <w:rsid w:val="00983CC1"/>
    <w:rsid w:val="009862C0"/>
    <w:rsid w:val="009877FE"/>
    <w:rsid w:val="00991CDF"/>
    <w:rsid w:val="00991D59"/>
    <w:rsid w:val="00992BAC"/>
    <w:rsid w:val="00994E61"/>
    <w:rsid w:val="00997E33"/>
    <w:rsid w:val="009A1967"/>
    <w:rsid w:val="009A446A"/>
    <w:rsid w:val="009A54B6"/>
    <w:rsid w:val="009A74CE"/>
    <w:rsid w:val="009B0416"/>
    <w:rsid w:val="009B4F2A"/>
    <w:rsid w:val="009B50E0"/>
    <w:rsid w:val="009B5A12"/>
    <w:rsid w:val="009B6D10"/>
    <w:rsid w:val="009B72C0"/>
    <w:rsid w:val="009B79EB"/>
    <w:rsid w:val="009C0C00"/>
    <w:rsid w:val="009C1161"/>
    <w:rsid w:val="009C1363"/>
    <w:rsid w:val="009C2013"/>
    <w:rsid w:val="009C2E41"/>
    <w:rsid w:val="009C51D9"/>
    <w:rsid w:val="009C5EDF"/>
    <w:rsid w:val="009D1745"/>
    <w:rsid w:val="009D23A1"/>
    <w:rsid w:val="009D2459"/>
    <w:rsid w:val="009D39EB"/>
    <w:rsid w:val="009D58C1"/>
    <w:rsid w:val="009D5E5E"/>
    <w:rsid w:val="009D63D4"/>
    <w:rsid w:val="009E024B"/>
    <w:rsid w:val="009E0444"/>
    <w:rsid w:val="009E0C5A"/>
    <w:rsid w:val="009E4DD0"/>
    <w:rsid w:val="009E702E"/>
    <w:rsid w:val="009F0B85"/>
    <w:rsid w:val="009F1DC8"/>
    <w:rsid w:val="009F4D1E"/>
    <w:rsid w:val="00A02244"/>
    <w:rsid w:val="00A02B47"/>
    <w:rsid w:val="00A02D22"/>
    <w:rsid w:val="00A041DE"/>
    <w:rsid w:val="00A0528D"/>
    <w:rsid w:val="00A0539D"/>
    <w:rsid w:val="00A055AD"/>
    <w:rsid w:val="00A05F63"/>
    <w:rsid w:val="00A06B10"/>
    <w:rsid w:val="00A2100F"/>
    <w:rsid w:val="00A22C3D"/>
    <w:rsid w:val="00A23536"/>
    <w:rsid w:val="00A247AB"/>
    <w:rsid w:val="00A24FC1"/>
    <w:rsid w:val="00A279A5"/>
    <w:rsid w:val="00A27E63"/>
    <w:rsid w:val="00A30E87"/>
    <w:rsid w:val="00A310A0"/>
    <w:rsid w:val="00A32252"/>
    <w:rsid w:val="00A365D1"/>
    <w:rsid w:val="00A3740A"/>
    <w:rsid w:val="00A37FBA"/>
    <w:rsid w:val="00A43B61"/>
    <w:rsid w:val="00A45ABD"/>
    <w:rsid w:val="00A50A8B"/>
    <w:rsid w:val="00A5212F"/>
    <w:rsid w:val="00A52B1C"/>
    <w:rsid w:val="00A52F45"/>
    <w:rsid w:val="00A54360"/>
    <w:rsid w:val="00A54A37"/>
    <w:rsid w:val="00A6111E"/>
    <w:rsid w:val="00A613E0"/>
    <w:rsid w:val="00A61C43"/>
    <w:rsid w:val="00A62AFC"/>
    <w:rsid w:val="00A62F73"/>
    <w:rsid w:val="00A63536"/>
    <w:rsid w:val="00A636F5"/>
    <w:rsid w:val="00A64603"/>
    <w:rsid w:val="00A66BC3"/>
    <w:rsid w:val="00A70712"/>
    <w:rsid w:val="00A72803"/>
    <w:rsid w:val="00A75371"/>
    <w:rsid w:val="00A75C17"/>
    <w:rsid w:val="00A7762B"/>
    <w:rsid w:val="00A7783D"/>
    <w:rsid w:val="00A8037D"/>
    <w:rsid w:val="00A80ED3"/>
    <w:rsid w:val="00A83026"/>
    <w:rsid w:val="00A84895"/>
    <w:rsid w:val="00A8521B"/>
    <w:rsid w:val="00A863E4"/>
    <w:rsid w:val="00A87182"/>
    <w:rsid w:val="00A9030C"/>
    <w:rsid w:val="00A92E56"/>
    <w:rsid w:val="00A92F30"/>
    <w:rsid w:val="00A93477"/>
    <w:rsid w:val="00A96FF2"/>
    <w:rsid w:val="00A97FBE"/>
    <w:rsid w:val="00AA05AA"/>
    <w:rsid w:val="00AA19AD"/>
    <w:rsid w:val="00AA320D"/>
    <w:rsid w:val="00AA3A01"/>
    <w:rsid w:val="00AA614C"/>
    <w:rsid w:val="00AA6242"/>
    <w:rsid w:val="00AA7380"/>
    <w:rsid w:val="00AB372E"/>
    <w:rsid w:val="00AB455E"/>
    <w:rsid w:val="00AB57F8"/>
    <w:rsid w:val="00AB6365"/>
    <w:rsid w:val="00AC0431"/>
    <w:rsid w:val="00AC09F7"/>
    <w:rsid w:val="00AC0A67"/>
    <w:rsid w:val="00AC3282"/>
    <w:rsid w:val="00AC4DC5"/>
    <w:rsid w:val="00AC70BB"/>
    <w:rsid w:val="00AC728C"/>
    <w:rsid w:val="00AD3399"/>
    <w:rsid w:val="00AD3DD2"/>
    <w:rsid w:val="00AD417F"/>
    <w:rsid w:val="00AD42FB"/>
    <w:rsid w:val="00AD4414"/>
    <w:rsid w:val="00AD4D1E"/>
    <w:rsid w:val="00AE04A4"/>
    <w:rsid w:val="00AE0C84"/>
    <w:rsid w:val="00AE1383"/>
    <w:rsid w:val="00AE2B79"/>
    <w:rsid w:val="00AE3435"/>
    <w:rsid w:val="00AE3610"/>
    <w:rsid w:val="00AE528C"/>
    <w:rsid w:val="00AE694D"/>
    <w:rsid w:val="00AF0676"/>
    <w:rsid w:val="00AF0A18"/>
    <w:rsid w:val="00AF0BC9"/>
    <w:rsid w:val="00AF1B27"/>
    <w:rsid w:val="00AF2AF0"/>
    <w:rsid w:val="00AF30E6"/>
    <w:rsid w:val="00AF3BB4"/>
    <w:rsid w:val="00AF56C5"/>
    <w:rsid w:val="00AF5C2F"/>
    <w:rsid w:val="00AF5D31"/>
    <w:rsid w:val="00AF672C"/>
    <w:rsid w:val="00B00389"/>
    <w:rsid w:val="00B018B3"/>
    <w:rsid w:val="00B050FB"/>
    <w:rsid w:val="00B059B7"/>
    <w:rsid w:val="00B06C1D"/>
    <w:rsid w:val="00B07260"/>
    <w:rsid w:val="00B0747D"/>
    <w:rsid w:val="00B07655"/>
    <w:rsid w:val="00B07C18"/>
    <w:rsid w:val="00B11A28"/>
    <w:rsid w:val="00B11E4D"/>
    <w:rsid w:val="00B129CE"/>
    <w:rsid w:val="00B13688"/>
    <w:rsid w:val="00B1599B"/>
    <w:rsid w:val="00B17CD9"/>
    <w:rsid w:val="00B2151B"/>
    <w:rsid w:val="00B233DE"/>
    <w:rsid w:val="00B24420"/>
    <w:rsid w:val="00B247D7"/>
    <w:rsid w:val="00B259C2"/>
    <w:rsid w:val="00B2639D"/>
    <w:rsid w:val="00B30693"/>
    <w:rsid w:val="00B30CEB"/>
    <w:rsid w:val="00B31D44"/>
    <w:rsid w:val="00B334F9"/>
    <w:rsid w:val="00B34F94"/>
    <w:rsid w:val="00B36941"/>
    <w:rsid w:val="00B37640"/>
    <w:rsid w:val="00B4045A"/>
    <w:rsid w:val="00B43189"/>
    <w:rsid w:val="00B43264"/>
    <w:rsid w:val="00B4500A"/>
    <w:rsid w:val="00B45048"/>
    <w:rsid w:val="00B4587B"/>
    <w:rsid w:val="00B45EB1"/>
    <w:rsid w:val="00B46E13"/>
    <w:rsid w:val="00B50A26"/>
    <w:rsid w:val="00B546A2"/>
    <w:rsid w:val="00B553B2"/>
    <w:rsid w:val="00B57F0D"/>
    <w:rsid w:val="00B60CF8"/>
    <w:rsid w:val="00B6248E"/>
    <w:rsid w:val="00B63A43"/>
    <w:rsid w:val="00B6773B"/>
    <w:rsid w:val="00B67BA4"/>
    <w:rsid w:val="00B716C8"/>
    <w:rsid w:val="00B72BCC"/>
    <w:rsid w:val="00B73185"/>
    <w:rsid w:val="00B77A3F"/>
    <w:rsid w:val="00B8423D"/>
    <w:rsid w:val="00B84A79"/>
    <w:rsid w:val="00B84C2A"/>
    <w:rsid w:val="00B87604"/>
    <w:rsid w:val="00B87945"/>
    <w:rsid w:val="00B87D0E"/>
    <w:rsid w:val="00B90F9D"/>
    <w:rsid w:val="00B93BA4"/>
    <w:rsid w:val="00B95ED7"/>
    <w:rsid w:val="00B97150"/>
    <w:rsid w:val="00B97832"/>
    <w:rsid w:val="00BA0518"/>
    <w:rsid w:val="00BA1264"/>
    <w:rsid w:val="00BA536B"/>
    <w:rsid w:val="00BA55EF"/>
    <w:rsid w:val="00BA6779"/>
    <w:rsid w:val="00BA6C21"/>
    <w:rsid w:val="00BA7248"/>
    <w:rsid w:val="00BA73D0"/>
    <w:rsid w:val="00BA7B89"/>
    <w:rsid w:val="00BB0A34"/>
    <w:rsid w:val="00BB2BB1"/>
    <w:rsid w:val="00BC0514"/>
    <w:rsid w:val="00BC2374"/>
    <w:rsid w:val="00BC2F62"/>
    <w:rsid w:val="00BC346C"/>
    <w:rsid w:val="00BC3591"/>
    <w:rsid w:val="00BC3C05"/>
    <w:rsid w:val="00BC612F"/>
    <w:rsid w:val="00BC6715"/>
    <w:rsid w:val="00BC709A"/>
    <w:rsid w:val="00BC748D"/>
    <w:rsid w:val="00BC759C"/>
    <w:rsid w:val="00BC7B77"/>
    <w:rsid w:val="00BD03E0"/>
    <w:rsid w:val="00BD49F9"/>
    <w:rsid w:val="00BD6353"/>
    <w:rsid w:val="00BD640F"/>
    <w:rsid w:val="00BD64AE"/>
    <w:rsid w:val="00BD6FCA"/>
    <w:rsid w:val="00BD70E0"/>
    <w:rsid w:val="00BD7B4E"/>
    <w:rsid w:val="00BD7EF6"/>
    <w:rsid w:val="00BE1A5F"/>
    <w:rsid w:val="00BE22B4"/>
    <w:rsid w:val="00BE3352"/>
    <w:rsid w:val="00BE6F06"/>
    <w:rsid w:val="00BE7867"/>
    <w:rsid w:val="00BF1A1B"/>
    <w:rsid w:val="00BF1D49"/>
    <w:rsid w:val="00BF33DC"/>
    <w:rsid w:val="00BF3751"/>
    <w:rsid w:val="00BF6365"/>
    <w:rsid w:val="00BF7572"/>
    <w:rsid w:val="00C00486"/>
    <w:rsid w:val="00C010F5"/>
    <w:rsid w:val="00C0126B"/>
    <w:rsid w:val="00C01803"/>
    <w:rsid w:val="00C02481"/>
    <w:rsid w:val="00C02DB5"/>
    <w:rsid w:val="00C02ED6"/>
    <w:rsid w:val="00C0581B"/>
    <w:rsid w:val="00C07B7C"/>
    <w:rsid w:val="00C11078"/>
    <w:rsid w:val="00C11F52"/>
    <w:rsid w:val="00C1204E"/>
    <w:rsid w:val="00C13F3D"/>
    <w:rsid w:val="00C154EA"/>
    <w:rsid w:val="00C156CF"/>
    <w:rsid w:val="00C17240"/>
    <w:rsid w:val="00C22296"/>
    <w:rsid w:val="00C22D15"/>
    <w:rsid w:val="00C2393D"/>
    <w:rsid w:val="00C23A3D"/>
    <w:rsid w:val="00C24707"/>
    <w:rsid w:val="00C24BC8"/>
    <w:rsid w:val="00C2506D"/>
    <w:rsid w:val="00C2684D"/>
    <w:rsid w:val="00C273BF"/>
    <w:rsid w:val="00C31ED0"/>
    <w:rsid w:val="00C32856"/>
    <w:rsid w:val="00C3349E"/>
    <w:rsid w:val="00C340D6"/>
    <w:rsid w:val="00C34153"/>
    <w:rsid w:val="00C36008"/>
    <w:rsid w:val="00C41E0E"/>
    <w:rsid w:val="00C4317B"/>
    <w:rsid w:val="00C44175"/>
    <w:rsid w:val="00C44A32"/>
    <w:rsid w:val="00C44FC8"/>
    <w:rsid w:val="00C451ED"/>
    <w:rsid w:val="00C45FBF"/>
    <w:rsid w:val="00C506BB"/>
    <w:rsid w:val="00C5139A"/>
    <w:rsid w:val="00C54C97"/>
    <w:rsid w:val="00C570B3"/>
    <w:rsid w:val="00C5746D"/>
    <w:rsid w:val="00C575ED"/>
    <w:rsid w:val="00C57792"/>
    <w:rsid w:val="00C57928"/>
    <w:rsid w:val="00C60B46"/>
    <w:rsid w:val="00C62A90"/>
    <w:rsid w:val="00C64ACB"/>
    <w:rsid w:val="00C670F1"/>
    <w:rsid w:val="00C6727D"/>
    <w:rsid w:val="00C6799C"/>
    <w:rsid w:val="00C715DC"/>
    <w:rsid w:val="00C72D51"/>
    <w:rsid w:val="00C72D71"/>
    <w:rsid w:val="00C72E9E"/>
    <w:rsid w:val="00C75FEF"/>
    <w:rsid w:val="00C76A50"/>
    <w:rsid w:val="00C7718A"/>
    <w:rsid w:val="00C77827"/>
    <w:rsid w:val="00C778DA"/>
    <w:rsid w:val="00C779D2"/>
    <w:rsid w:val="00C80FA3"/>
    <w:rsid w:val="00C827CC"/>
    <w:rsid w:val="00C82A47"/>
    <w:rsid w:val="00C846A8"/>
    <w:rsid w:val="00C84A3E"/>
    <w:rsid w:val="00C85E05"/>
    <w:rsid w:val="00C862BB"/>
    <w:rsid w:val="00C862E6"/>
    <w:rsid w:val="00C914B4"/>
    <w:rsid w:val="00C95D5C"/>
    <w:rsid w:val="00C977A3"/>
    <w:rsid w:val="00C978AB"/>
    <w:rsid w:val="00CA26CE"/>
    <w:rsid w:val="00CA35EE"/>
    <w:rsid w:val="00CA4B28"/>
    <w:rsid w:val="00CA790B"/>
    <w:rsid w:val="00CA7B64"/>
    <w:rsid w:val="00CB21A0"/>
    <w:rsid w:val="00CB323E"/>
    <w:rsid w:val="00CB4827"/>
    <w:rsid w:val="00CB72C6"/>
    <w:rsid w:val="00CC1412"/>
    <w:rsid w:val="00CC2495"/>
    <w:rsid w:val="00CC456A"/>
    <w:rsid w:val="00CC47EE"/>
    <w:rsid w:val="00CC4B77"/>
    <w:rsid w:val="00CC4D5C"/>
    <w:rsid w:val="00CC6586"/>
    <w:rsid w:val="00CC65A1"/>
    <w:rsid w:val="00CC6EDA"/>
    <w:rsid w:val="00CC7037"/>
    <w:rsid w:val="00CD16D8"/>
    <w:rsid w:val="00CD35CD"/>
    <w:rsid w:val="00CD4EBD"/>
    <w:rsid w:val="00CD5A48"/>
    <w:rsid w:val="00CD5AF6"/>
    <w:rsid w:val="00CD5C08"/>
    <w:rsid w:val="00CD6627"/>
    <w:rsid w:val="00CD6A12"/>
    <w:rsid w:val="00CD6EC0"/>
    <w:rsid w:val="00CE034F"/>
    <w:rsid w:val="00CE33E8"/>
    <w:rsid w:val="00CE4461"/>
    <w:rsid w:val="00CF0B0B"/>
    <w:rsid w:val="00CF1339"/>
    <w:rsid w:val="00CF3787"/>
    <w:rsid w:val="00CF4E53"/>
    <w:rsid w:val="00CF786E"/>
    <w:rsid w:val="00D02035"/>
    <w:rsid w:val="00D03B11"/>
    <w:rsid w:val="00D03B92"/>
    <w:rsid w:val="00D06FE7"/>
    <w:rsid w:val="00D10026"/>
    <w:rsid w:val="00D14775"/>
    <w:rsid w:val="00D15B4D"/>
    <w:rsid w:val="00D15D36"/>
    <w:rsid w:val="00D16FD0"/>
    <w:rsid w:val="00D17600"/>
    <w:rsid w:val="00D21667"/>
    <w:rsid w:val="00D21BB0"/>
    <w:rsid w:val="00D21CD4"/>
    <w:rsid w:val="00D27A38"/>
    <w:rsid w:val="00D27C8C"/>
    <w:rsid w:val="00D3032C"/>
    <w:rsid w:val="00D308E4"/>
    <w:rsid w:val="00D30CFA"/>
    <w:rsid w:val="00D30E9F"/>
    <w:rsid w:val="00D31045"/>
    <w:rsid w:val="00D31AC7"/>
    <w:rsid w:val="00D3442D"/>
    <w:rsid w:val="00D35AB6"/>
    <w:rsid w:val="00D4131B"/>
    <w:rsid w:val="00D42440"/>
    <w:rsid w:val="00D425C5"/>
    <w:rsid w:val="00D42771"/>
    <w:rsid w:val="00D42D3F"/>
    <w:rsid w:val="00D455D9"/>
    <w:rsid w:val="00D4616A"/>
    <w:rsid w:val="00D466FE"/>
    <w:rsid w:val="00D478F5"/>
    <w:rsid w:val="00D47C63"/>
    <w:rsid w:val="00D501D6"/>
    <w:rsid w:val="00D54326"/>
    <w:rsid w:val="00D566D7"/>
    <w:rsid w:val="00D56E8F"/>
    <w:rsid w:val="00D61C9A"/>
    <w:rsid w:val="00D620D5"/>
    <w:rsid w:val="00D62EDC"/>
    <w:rsid w:val="00D633BE"/>
    <w:rsid w:val="00D64582"/>
    <w:rsid w:val="00D65782"/>
    <w:rsid w:val="00D670D9"/>
    <w:rsid w:val="00D67C8B"/>
    <w:rsid w:val="00D7198F"/>
    <w:rsid w:val="00D73B5B"/>
    <w:rsid w:val="00D74627"/>
    <w:rsid w:val="00D749C5"/>
    <w:rsid w:val="00D75A93"/>
    <w:rsid w:val="00D778D4"/>
    <w:rsid w:val="00D779DF"/>
    <w:rsid w:val="00D8231F"/>
    <w:rsid w:val="00D8610F"/>
    <w:rsid w:val="00D93AFF"/>
    <w:rsid w:val="00D948DE"/>
    <w:rsid w:val="00D94D67"/>
    <w:rsid w:val="00D95250"/>
    <w:rsid w:val="00D95684"/>
    <w:rsid w:val="00D96261"/>
    <w:rsid w:val="00DA0BC3"/>
    <w:rsid w:val="00DA3807"/>
    <w:rsid w:val="00DA77B2"/>
    <w:rsid w:val="00DB24C9"/>
    <w:rsid w:val="00DB2D83"/>
    <w:rsid w:val="00DB35D2"/>
    <w:rsid w:val="00DB5884"/>
    <w:rsid w:val="00DB5AFC"/>
    <w:rsid w:val="00DB66A7"/>
    <w:rsid w:val="00DB7618"/>
    <w:rsid w:val="00DC0AFA"/>
    <w:rsid w:val="00DC2CC3"/>
    <w:rsid w:val="00DC3095"/>
    <w:rsid w:val="00DC3450"/>
    <w:rsid w:val="00DC35C3"/>
    <w:rsid w:val="00DC448C"/>
    <w:rsid w:val="00DC60C0"/>
    <w:rsid w:val="00DC7A25"/>
    <w:rsid w:val="00DC7F8D"/>
    <w:rsid w:val="00DD021E"/>
    <w:rsid w:val="00DD175E"/>
    <w:rsid w:val="00DD2203"/>
    <w:rsid w:val="00DD27A6"/>
    <w:rsid w:val="00DD512F"/>
    <w:rsid w:val="00DD5E10"/>
    <w:rsid w:val="00DE0009"/>
    <w:rsid w:val="00DE3665"/>
    <w:rsid w:val="00DE4EBA"/>
    <w:rsid w:val="00DE56AB"/>
    <w:rsid w:val="00DE5E0C"/>
    <w:rsid w:val="00DE6245"/>
    <w:rsid w:val="00DE73E7"/>
    <w:rsid w:val="00DF141C"/>
    <w:rsid w:val="00DF2F1D"/>
    <w:rsid w:val="00DF4C2F"/>
    <w:rsid w:val="00DF5CB8"/>
    <w:rsid w:val="00DF68F7"/>
    <w:rsid w:val="00DF6FCB"/>
    <w:rsid w:val="00DF71E1"/>
    <w:rsid w:val="00DF7744"/>
    <w:rsid w:val="00E00B8A"/>
    <w:rsid w:val="00E01E84"/>
    <w:rsid w:val="00E0237C"/>
    <w:rsid w:val="00E03596"/>
    <w:rsid w:val="00E04ED9"/>
    <w:rsid w:val="00E05F6E"/>
    <w:rsid w:val="00E06E49"/>
    <w:rsid w:val="00E06E82"/>
    <w:rsid w:val="00E076F6"/>
    <w:rsid w:val="00E11801"/>
    <w:rsid w:val="00E11ABA"/>
    <w:rsid w:val="00E136C3"/>
    <w:rsid w:val="00E13FC8"/>
    <w:rsid w:val="00E141E2"/>
    <w:rsid w:val="00E144EB"/>
    <w:rsid w:val="00E157C4"/>
    <w:rsid w:val="00E16FC4"/>
    <w:rsid w:val="00E1783E"/>
    <w:rsid w:val="00E2022B"/>
    <w:rsid w:val="00E26D07"/>
    <w:rsid w:val="00E31475"/>
    <w:rsid w:val="00E31AEF"/>
    <w:rsid w:val="00E31AF0"/>
    <w:rsid w:val="00E31C87"/>
    <w:rsid w:val="00E32265"/>
    <w:rsid w:val="00E35C66"/>
    <w:rsid w:val="00E3664F"/>
    <w:rsid w:val="00E36A21"/>
    <w:rsid w:val="00E36F46"/>
    <w:rsid w:val="00E372F9"/>
    <w:rsid w:val="00E437A9"/>
    <w:rsid w:val="00E44D6C"/>
    <w:rsid w:val="00E450FC"/>
    <w:rsid w:val="00E508A1"/>
    <w:rsid w:val="00E50B03"/>
    <w:rsid w:val="00E5156D"/>
    <w:rsid w:val="00E51ACF"/>
    <w:rsid w:val="00E5373F"/>
    <w:rsid w:val="00E54333"/>
    <w:rsid w:val="00E54C48"/>
    <w:rsid w:val="00E54F04"/>
    <w:rsid w:val="00E559B5"/>
    <w:rsid w:val="00E56412"/>
    <w:rsid w:val="00E569F6"/>
    <w:rsid w:val="00E618A3"/>
    <w:rsid w:val="00E630B2"/>
    <w:rsid w:val="00E65908"/>
    <w:rsid w:val="00E65B85"/>
    <w:rsid w:val="00E66A89"/>
    <w:rsid w:val="00E66B76"/>
    <w:rsid w:val="00E673B8"/>
    <w:rsid w:val="00E7062D"/>
    <w:rsid w:val="00E7396C"/>
    <w:rsid w:val="00E73D21"/>
    <w:rsid w:val="00E74A0B"/>
    <w:rsid w:val="00E75DFD"/>
    <w:rsid w:val="00E7615D"/>
    <w:rsid w:val="00E82A2F"/>
    <w:rsid w:val="00E83F4C"/>
    <w:rsid w:val="00E8494F"/>
    <w:rsid w:val="00E8495C"/>
    <w:rsid w:val="00E85AC4"/>
    <w:rsid w:val="00E86A1D"/>
    <w:rsid w:val="00E87F1E"/>
    <w:rsid w:val="00E94885"/>
    <w:rsid w:val="00E94D6E"/>
    <w:rsid w:val="00E9606A"/>
    <w:rsid w:val="00EA0EC1"/>
    <w:rsid w:val="00EA3C1B"/>
    <w:rsid w:val="00EB1BB6"/>
    <w:rsid w:val="00EB3025"/>
    <w:rsid w:val="00EB3869"/>
    <w:rsid w:val="00EB3BC7"/>
    <w:rsid w:val="00EB477B"/>
    <w:rsid w:val="00EB47FB"/>
    <w:rsid w:val="00EB5478"/>
    <w:rsid w:val="00EB5BFC"/>
    <w:rsid w:val="00EB6F59"/>
    <w:rsid w:val="00EB7A80"/>
    <w:rsid w:val="00EC2172"/>
    <w:rsid w:val="00ED0E17"/>
    <w:rsid w:val="00ED3324"/>
    <w:rsid w:val="00ED484D"/>
    <w:rsid w:val="00ED4A44"/>
    <w:rsid w:val="00ED5E35"/>
    <w:rsid w:val="00ED6319"/>
    <w:rsid w:val="00ED687F"/>
    <w:rsid w:val="00ED7FD5"/>
    <w:rsid w:val="00EE007A"/>
    <w:rsid w:val="00EE3E87"/>
    <w:rsid w:val="00EF03FC"/>
    <w:rsid w:val="00EF08BA"/>
    <w:rsid w:val="00EF1E3D"/>
    <w:rsid w:val="00EF3CA7"/>
    <w:rsid w:val="00F005B5"/>
    <w:rsid w:val="00F006D8"/>
    <w:rsid w:val="00F02042"/>
    <w:rsid w:val="00F0220B"/>
    <w:rsid w:val="00F06513"/>
    <w:rsid w:val="00F070EB"/>
    <w:rsid w:val="00F0789E"/>
    <w:rsid w:val="00F1066C"/>
    <w:rsid w:val="00F14799"/>
    <w:rsid w:val="00F14939"/>
    <w:rsid w:val="00F14D15"/>
    <w:rsid w:val="00F15F8E"/>
    <w:rsid w:val="00F16638"/>
    <w:rsid w:val="00F20387"/>
    <w:rsid w:val="00F2073B"/>
    <w:rsid w:val="00F20AB6"/>
    <w:rsid w:val="00F21CF0"/>
    <w:rsid w:val="00F21F16"/>
    <w:rsid w:val="00F226EB"/>
    <w:rsid w:val="00F233AD"/>
    <w:rsid w:val="00F25DC7"/>
    <w:rsid w:val="00F277D7"/>
    <w:rsid w:val="00F30251"/>
    <w:rsid w:val="00F30860"/>
    <w:rsid w:val="00F3267C"/>
    <w:rsid w:val="00F3607A"/>
    <w:rsid w:val="00F36BF2"/>
    <w:rsid w:val="00F406C1"/>
    <w:rsid w:val="00F407BB"/>
    <w:rsid w:val="00F40909"/>
    <w:rsid w:val="00F41FD5"/>
    <w:rsid w:val="00F422BB"/>
    <w:rsid w:val="00F4532E"/>
    <w:rsid w:val="00F46A77"/>
    <w:rsid w:val="00F47512"/>
    <w:rsid w:val="00F47607"/>
    <w:rsid w:val="00F500E4"/>
    <w:rsid w:val="00F540BE"/>
    <w:rsid w:val="00F55446"/>
    <w:rsid w:val="00F6204D"/>
    <w:rsid w:val="00F62EC1"/>
    <w:rsid w:val="00F6347D"/>
    <w:rsid w:val="00F65E00"/>
    <w:rsid w:val="00F667A7"/>
    <w:rsid w:val="00F66F3B"/>
    <w:rsid w:val="00F6761E"/>
    <w:rsid w:val="00F7014F"/>
    <w:rsid w:val="00F73716"/>
    <w:rsid w:val="00F7555B"/>
    <w:rsid w:val="00F770A5"/>
    <w:rsid w:val="00F77898"/>
    <w:rsid w:val="00F81BB7"/>
    <w:rsid w:val="00F81ED0"/>
    <w:rsid w:val="00F8614E"/>
    <w:rsid w:val="00F86169"/>
    <w:rsid w:val="00F86EFB"/>
    <w:rsid w:val="00F87564"/>
    <w:rsid w:val="00F90887"/>
    <w:rsid w:val="00F94888"/>
    <w:rsid w:val="00F94EEA"/>
    <w:rsid w:val="00FA0BA1"/>
    <w:rsid w:val="00FA258B"/>
    <w:rsid w:val="00FA47AD"/>
    <w:rsid w:val="00FA4E5C"/>
    <w:rsid w:val="00FA534A"/>
    <w:rsid w:val="00FA5707"/>
    <w:rsid w:val="00FA5E9A"/>
    <w:rsid w:val="00FA5F49"/>
    <w:rsid w:val="00FA7270"/>
    <w:rsid w:val="00FA7C24"/>
    <w:rsid w:val="00FB1597"/>
    <w:rsid w:val="00FB32A8"/>
    <w:rsid w:val="00FB582E"/>
    <w:rsid w:val="00FB6851"/>
    <w:rsid w:val="00FB6B9A"/>
    <w:rsid w:val="00FB6E1B"/>
    <w:rsid w:val="00FC07F6"/>
    <w:rsid w:val="00FC3161"/>
    <w:rsid w:val="00FC3338"/>
    <w:rsid w:val="00FC455C"/>
    <w:rsid w:val="00FC7084"/>
    <w:rsid w:val="00FC7418"/>
    <w:rsid w:val="00FC75B3"/>
    <w:rsid w:val="00FC7EBF"/>
    <w:rsid w:val="00FD226B"/>
    <w:rsid w:val="00FD2753"/>
    <w:rsid w:val="00FD3EBD"/>
    <w:rsid w:val="00FD4FD5"/>
    <w:rsid w:val="00FD589C"/>
    <w:rsid w:val="00FD6239"/>
    <w:rsid w:val="00FD7C54"/>
    <w:rsid w:val="00FE02AB"/>
    <w:rsid w:val="00FE3F00"/>
    <w:rsid w:val="00FE4AE4"/>
    <w:rsid w:val="00FE4BF0"/>
    <w:rsid w:val="00FE55EE"/>
    <w:rsid w:val="00FF1996"/>
    <w:rsid w:val="00FF3103"/>
    <w:rsid w:val="00FF311D"/>
    <w:rsid w:val="00FF36BF"/>
    <w:rsid w:val="00FF4FD6"/>
    <w:rsid w:val="00FF787D"/>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669F61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ja-JP" w:bidi="ar-SA"/>
      </w:rPr>
    </w:rPrDefault>
    <w:pPrDefault>
      <w:pPr>
        <w:spacing w:after="20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C3798"/>
    <w:pPr>
      <w:keepNext/>
      <w:keepLines/>
      <w:spacing w:before="480" w:after="0"/>
      <w:outlineLvl w:val="0"/>
    </w:pPr>
    <w:rPr>
      <w:rFonts w:asciiTheme="majorHAnsi" w:eastAsiaTheme="majorEastAsia" w:hAnsiTheme="majorHAnsi" w:cstheme="majorBidi"/>
      <w:b/>
      <w:bCs/>
      <w:color w:val="345A8A" w:themeColor="accent1" w:themeShade="B5"/>
      <w:sz w:val="32"/>
      <w:szCs w:val="32"/>
    </w:rPr>
  </w:style>
  <w:style w:type="paragraph" w:styleId="Heading4">
    <w:name w:val="heading 4"/>
    <w:basedOn w:val="Heading1"/>
    <w:next w:val="Normal"/>
    <w:link w:val="Heading4Char"/>
    <w:uiPriority w:val="9"/>
    <w:unhideWhenUsed/>
    <w:qFormat/>
    <w:rsid w:val="003C3798"/>
    <w:pPr>
      <w:spacing w:before="0" w:after="200" w:line="480" w:lineRule="auto"/>
      <w:outlineLvl w:val="3"/>
    </w:pPr>
    <w:rPr>
      <w:rFonts w:ascii="Times New Roman" w:hAnsi="Times New Roman"/>
      <w:bCs w:val="0"/>
      <w:iCs/>
      <w:color w:val="auto"/>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9155B"/>
    <w:pPr>
      <w:spacing w:after="0"/>
    </w:pPr>
    <w:rPr>
      <w:rFonts w:ascii="Lucida Grande" w:hAnsi="Lucida Grande"/>
      <w:sz w:val="18"/>
      <w:szCs w:val="18"/>
    </w:rPr>
  </w:style>
  <w:style w:type="character" w:customStyle="1" w:styleId="BalloonTextChar">
    <w:name w:val="Balloon Text Char"/>
    <w:basedOn w:val="DefaultParagraphFont"/>
    <w:link w:val="BalloonText"/>
    <w:uiPriority w:val="99"/>
    <w:semiHidden/>
    <w:rsid w:val="0069155B"/>
    <w:rPr>
      <w:rFonts w:ascii="Lucida Grande" w:hAnsi="Lucida Grande"/>
      <w:sz w:val="18"/>
      <w:szCs w:val="18"/>
    </w:rPr>
  </w:style>
  <w:style w:type="character" w:styleId="CommentReference">
    <w:name w:val="annotation reference"/>
    <w:basedOn w:val="DefaultParagraphFont"/>
    <w:uiPriority w:val="99"/>
    <w:semiHidden/>
    <w:unhideWhenUsed/>
    <w:rsid w:val="00CF4E53"/>
    <w:rPr>
      <w:sz w:val="18"/>
      <w:szCs w:val="18"/>
    </w:rPr>
  </w:style>
  <w:style w:type="paragraph" w:styleId="CommentText">
    <w:name w:val="annotation text"/>
    <w:basedOn w:val="Normal"/>
    <w:link w:val="CommentTextChar"/>
    <w:uiPriority w:val="99"/>
    <w:semiHidden/>
    <w:unhideWhenUsed/>
    <w:rsid w:val="00CF4E53"/>
  </w:style>
  <w:style w:type="character" w:customStyle="1" w:styleId="CommentTextChar">
    <w:name w:val="Comment Text Char"/>
    <w:basedOn w:val="DefaultParagraphFont"/>
    <w:link w:val="CommentText"/>
    <w:uiPriority w:val="99"/>
    <w:semiHidden/>
    <w:rsid w:val="00CF4E53"/>
  </w:style>
  <w:style w:type="character" w:customStyle="1" w:styleId="Heading4Char">
    <w:name w:val="Heading 4 Char"/>
    <w:basedOn w:val="DefaultParagraphFont"/>
    <w:link w:val="Heading4"/>
    <w:uiPriority w:val="9"/>
    <w:rsid w:val="003C3798"/>
    <w:rPr>
      <w:rFonts w:ascii="Times New Roman" w:eastAsiaTheme="majorEastAsia" w:hAnsi="Times New Roman" w:cstheme="majorBidi"/>
      <w:b/>
      <w:iCs/>
      <w:szCs w:val="32"/>
    </w:rPr>
  </w:style>
  <w:style w:type="character" w:customStyle="1" w:styleId="Heading1Char">
    <w:name w:val="Heading 1 Char"/>
    <w:basedOn w:val="DefaultParagraphFont"/>
    <w:link w:val="Heading1"/>
    <w:uiPriority w:val="9"/>
    <w:rsid w:val="003C3798"/>
    <w:rPr>
      <w:rFonts w:asciiTheme="majorHAnsi" w:eastAsiaTheme="majorEastAsia" w:hAnsiTheme="majorHAnsi" w:cstheme="majorBidi"/>
      <w:b/>
      <w:bCs/>
      <w:color w:val="345A8A" w:themeColor="accent1" w:themeShade="B5"/>
      <w:sz w:val="32"/>
      <w:szCs w:val="32"/>
    </w:rPr>
  </w:style>
  <w:style w:type="character" w:styleId="Hyperlink">
    <w:name w:val="Hyperlink"/>
    <w:basedOn w:val="DefaultParagraphFont"/>
    <w:uiPriority w:val="99"/>
    <w:unhideWhenUsed/>
    <w:rsid w:val="00154379"/>
    <w:rPr>
      <w:color w:val="0000FF" w:themeColor="hyperlink"/>
      <w:u w:val="single"/>
    </w:rPr>
  </w:style>
  <w:style w:type="paragraph" w:customStyle="1" w:styleId="EndNoteBibliographyTitle">
    <w:name w:val="EndNote Bibliography Title"/>
    <w:basedOn w:val="Normal"/>
    <w:rsid w:val="00457F24"/>
    <w:pPr>
      <w:spacing w:after="0"/>
      <w:jc w:val="center"/>
    </w:pPr>
    <w:rPr>
      <w:rFonts w:ascii="Cambria" w:hAnsi="Cambria"/>
    </w:rPr>
  </w:style>
  <w:style w:type="paragraph" w:customStyle="1" w:styleId="EndNoteBibliography">
    <w:name w:val="EndNote Bibliography"/>
    <w:basedOn w:val="Normal"/>
    <w:rsid w:val="00457F24"/>
    <w:rPr>
      <w:rFonts w:ascii="Cambria" w:hAnsi="Cambria"/>
    </w:rPr>
  </w:style>
  <w:style w:type="paragraph" w:styleId="CommentSubject">
    <w:name w:val="annotation subject"/>
    <w:basedOn w:val="CommentText"/>
    <w:next w:val="CommentText"/>
    <w:link w:val="CommentSubjectChar"/>
    <w:uiPriority w:val="99"/>
    <w:semiHidden/>
    <w:unhideWhenUsed/>
    <w:rsid w:val="00197008"/>
    <w:rPr>
      <w:b/>
      <w:bCs/>
      <w:sz w:val="20"/>
      <w:szCs w:val="20"/>
    </w:rPr>
  </w:style>
  <w:style w:type="character" w:customStyle="1" w:styleId="CommentSubjectChar">
    <w:name w:val="Comment Subject Char"/>
    <w:basedOn w:val="CommentTextChar"/>
    <w:link w:val="CommentSubject"/>
    <w:uiPriority w:val="99"/>
    <w:semiHidden/>
    <w:rsid w:val="00197008"/>
    <w:rPr>
      <w:b/>
      <w:bCs/>
      <w:sz w:val="20"/>
      <w:szCs w:val="20"/>
    </w:rPr>
  </w:style>
  <w:style w:type="paragraph" w:styleId="Revision">
    <w:name w:val="Revision"/>
    <w:hidden/>
    <w:uiPriority w:val="99"/>
    <w:semiHidden/>
    <w:rsid w:val="00CC4B77"/>
    <w:pPr>
      <w:spacing w:after="0"/>
    </w:pPr>
  </w:style>
  <w:style w:type="character" w:styleId="Emphasis">
    <w:name w:val="Emphasis"/>
    <w:basedOn w:val="DefaultParagraphFont"/>
    <w:uiPriority w:val="20"/>
    <w:qFormat/>
    <w:rsid w:val="00CA790B"/>
    <w:rPr>
      <w:i/>
      <w:iCs/>
    </w:rPr>
  </w:style>
  <w:style w:type="paragraph" w:styleId="Footer">
    <w:name w:val="footer"/>
    <w:basedOn w:val="Normal"/>
    <w:link w:val="FooterChar"/>
    <w:uiPriority w:val="99"/>
    <w:unhideWhenUsed/>
    <w:rsid w:val="006A745D"/>
    <w:pPr>
      <w:tabs>
        <w:tab w:val="center" w:pos="4680"/>
        <w:tab w:val="right" w:pos="9360"/>
      </w:tabs>
      <w:spacing w:after="0"/>
    </w:pPr>
  </w:style>
  <w:style w:type="character" w:customStyle="1" w:styleId="FooterChar">
    <w:name w:val="Footer Char"/>
    <w:basedOn w:val="DefaultParagraphFont"/>
    <w:link w:val="Footer"/>
    <w:uiPriority w:val="99"/>
    <w:rsid w:val="006A745D"/>
  </w:style>
  <w:style w:type="character" w:styleId="PageNumber">
    <w:name w:val="page number"/>
    <w:basedOn w:val="DefaultParagraphFont"/>
    <w:uiPriority w:val="99"/>
    <w:semiHidden/>
    <w:unhideWhenUsed/>
    <w:rsid w:val="006A745D"/>
  </w:style>
  <w:style w:type="character" w:styleId="PlaceholderText">
    <w:name w:val="Placeholder Text"/>
    <w:basedOn w:val="DefaultParagraphFont"/>
    <w:uiPriority w:val="99"/>
    <w:semiHidden/>
    <w:rsid w:val="00FC3161"/>
    <w:rPr>
      <w:color w:val="808080"/>
    </w:rPr>
  </w:style>
  <w:style w:type="paragraph" w:styleId="DocumentMap">
    <w:name w:val="Document Map"/>
    <w:basedOn w:val="Normal"/>
    <w:link w:val="DocumentMapChar"/>
    <w:uiPriority w:val="99"/>
    <w:semiHidden/>
    <w:unhideWhenUsed/>
    <w:rsid w:val="00012BC4"/>
    <w:pPr>
      <w:spacing w:after="0"/>
    </w:pPr>
    <w:rPr>
      <w:rFonts w:ascii="Times New Roman" w:hAnsi="Times New Roman" w:cs="Times New Roman"/>
    </w:rPr>
  </w:style>
  <w:style w:type="character" w:customStyle="1" w:styleId="DocumentMapChar">
    <w:name w:val="Document Map Char"/>
    <w:basedOn w:val="DefaultParagraphFont"/>
    <w:link w:val="DocumentMap"/>
    <w:uiPriority w:val="99"/>
    <w:semiHidden/>
    <w:rsid w:val="00012BC4"/>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228209">
      <w:bodyDiv w:val="1"/>
      <w:marLeft w:val="0"/>
      <w:marRight w:val="0"/>
      <w:marTop w:val="0"/>
      <w:marBottom w:val="0"/>
      <w:divBdr>
        <w:top w:val="none" w:sz="0" w:space="0" w:color="auto"/>
        <w:left w:val="none" w:sz="0" w:space="0" w:color="auto"/>
        <w:bottom w:val="none" w:sz="0" w:space="0" w:color="auto"/>
        <w:right w:val="none" w:sz="0" w:space="0" w:color="auto"/>
      </w:divBdr>
    </w:div>
    <w:div w:id="198662485">
      <w:bodyDiv w:val="1"/>
      <w:marLeft w:val="0"/>
      <w:marRight w:val="0"/>
      <w:marTop w:val="0"/>
      <w:marBottom w:val="0"/>
      <w:divBdr>
        <w:top w:val="none" w:sz="0" w:space="0" w:color="auto"/>
        <w:left w:val="none" w:sz="0" w:space="0" w:color="auto"/>
        <w:bottom w:val="none" w:sz="0" w:space="0" w:color="auto"/>
        <w:right w:val="none" w:sz="0" w:space="0" w:color="auto"/>
      </w:divBdr>
    </w:div>
    <w:div w:id="389618507">
      <w:bodyDiv w:val="1"/>
      <w:marLeft w:val="0"/>
      <w:marRight w:val="0"/>
      <w:marTop w:val="0"/>
      <w:marBottom w:val="0"/>
      <w:divBdr>
        <w:top w:val="none" w:sz="0" w:space="0" w:color="auto"/>
        <w:left w:val="none" w:sz="0" w:space="0" w:color="auto"/>
        <w:bottom w:val="none" w:sz="0" w:space="0" w:color="auto"/>
        <w:right w:val="none" w:sz="0" w:space="0" w:color="auto"/>
      </w:divBdr>
    </w:div>
    <w:div w:id="614019385">
      <w:bodyDiv w:val="1"/>
      <w:marLeft w:val="0"/>
      <w:marRight w:val="0"/>
      <w:marTop w:val="0"/>
      <w:marBottom w:val="0"/>
      <w:divBdr>
        <w:top w:val="none" w:sz="0" w:space="0" w:color="auto"/>
        <w:left w:val="none" w:sz="0" w:space="0" w:color="auto"/>
        <w:bottom w:val="none" w:sz="0" w:space="0" w:color="auto"/>
        <w:right w:val="none" w:sz="0" w:space="0" w:color="auto"/>
      </w:divBdr>
    </w:div>
    <w:div w:id="649331849">
      <w:bodyDiv w:val="1"/>
      <w:marLeft w:val="0"/>
      <w:marRight w:val="0"/>
      <w:marTop w:val="0"/>
      <w:marBottom w:val="0"/>
      <w:divBdr>
        <w:top w:val="none" w:sz="0" w:space="0" w:color="auto"/>
        <w:left w:val="none" w:sz="0" w:space="0" w:color="auto"/>
        <w:bottom w:val="none" w:sz="0" w:space="0" w:color="auto"/>
        <w:right w:val="none" w:sz="0" w:space="0" w:color="auto"/>
      </w:divBdr>
    </w:div>
    <w:div w:id="812675149">
      <w:bodyDiv w:val="1"/>
      <w:marLeft w:val="0"/>
      <w:marRight w:val="0"/>
      <w:marTop w:val="0"/>
      <w:marBottom w:val="0"/>
      <w:divBdr>
        <w:top w:val="none" w:sz="0" w:space="0" w:color="auto"/>
        <w:left w:val="none" w:sz="0" w:space="0" w:color="auto"/>
        <w:bottom w:val="none" w:sz="0" w:space="0" w:color="auto"/>
        <w:right w:val="none" w:sz="0" w:space="0" w:color="auto"/>
      </w:divBdr>
    </w:div>
    <w:div w:id="935165551">
      <w:bodyDiv w:val="1"/>
      <w:marLeft w:val="0"/>
      <w:marRight w:val="0"/>
      <w:marTop w:val="0"/>
      <w:marBottom w:val="0"/>
      <w:divBdr>
        <w:top w:val="none" w:sz="0" w:space="0" w:color="auto"/>
        <w:left w:val="none" w:sz="0" w:space="0" w:color="auto"/>
        <w:bottom w:val="none" w:sz="0" w:space="0" w:color="auto"/>
        <w:right w:val="none" w:sz="0" w:space="0" w:color="auto"/>
      </w:divBdr>
    </w:div>
    <w:div w:id="1103840811">
      <w:bodyDiv w:val="1"/>
      <w:marLeft w:val="0"/>
      <w:marRight w:val="0"/>
      <w:marTop w:val="0"/>
      <w:marBottom w:val="0"/>
      <w:divBdr>
        <w:top w:val="none" w:sz="0" w:space="0" w:color="auto"/>
        <w:left w:val="none" w:sz="0" w:space="0" w:color="auto"/>
        <w:bottom w:val="none" w:sz="0" w:space="0" w:color="auto"/>
        <w:right w:val="none" w:sz="0" w:space="0" w:color="auto"/>
      </w:divBdr>
    </w:div>
    <w:div w:id="1188562609">
      <w:bodyDiv w:val="1"/>
      <w:marLeft w:val="0"/>
      <w:marRight w:val="0"/>
      <w:marTop w:val="0"/>
      <w:marBottom w:val="0"/>
      <w:divBdr>
        <w:top w:val="none" w:sz="0" w:space="0" w:color="auto"/>
        <w:left w:val="none" w:sz="0" w:space="0" w:color="auto"/>
        <w:bottom w:val="none" w:sz="0" w:space="0" w:color="auto"/>
        <w:right w:val="none" w:sz="0" w:space="0" w:color="auto"/>
      </w:divBdr>
    </w:div>
    <w:div w:id="1191261554">
      <w:bodyDiv w:val="1"/>
      <w:marLeft w:val="0"/>
      <w:marRight w:val="0"/>
      <w:marTop w:val="0"/>
      <w:marBottom w:val="0"/>
      <w:divBdr>
        <w:top w:val="none" w:sz="0" w:space="0" w:color="auto"/>
        <w:left w:val="none" w:sz="0" w:space="0" w:color="auto"/>
        <w:bottom w:val="none" w:sz="0" w:space="0" w:color="auto"/>
        <w:right w:val="none" w:sz="0" w:space="0" w:color="auto"/>
      </w:divBdr>
    </w:div>
    <w:div w:id="1584532986">
      <w:bodyDiv w:val="1"/>
      <w:marLeft w:val="0"/>
      <w:marRight w:val="0"/>
      <w:marTop w:val="0"/>
      <w:marBottom w:val="0"/>
      <w:divBdr>
        <w:top w:val="none" w:sz="0" w:space="0" w:color="auto"/>
        <w:left w:val="none" w:sz="0" w:space="0" w:color="auto"/>
        <w:bottom w:val="none" w:sz="0" w:space="0" w:color="auto"/>
        <w:right w:val="none" w:sz="0" w:space="0" w:color="auto"/>
      </w:divBdr>
    </w:div>
    <w:div w:id="1760757218">
      <w:bodyDiv w:val="1"/>
      <w:marLeft w:val="0"/>
      <w:marRight w:val="0"/>
      <w:marTop w:val="0"/>
      <w:marBottom w:val="0"/>
      <w:divBdr>
        <w:top w:val="none" w:sz="0" w:space="0" w:color="auto"/>
        <w:left w:val="none" w:sz="0" w:space="0" w:color="auto"/>
        <w:bottom w:val="none" w:sz="0" w:space="0" w:color="auto"/>
        <w:right w:val="none" w:sz="0" w:space="0" w:color="auto"/>
      </w:divBdr>
    </w:div>
    <w:div w:id="1957447553">
      <w:bodyDiv w:val="1"/>
      <w:marLeft w:val="0"/>
      <w:marRight w:val="0"/>
      <w:marTop w:val="0"/>
      <w:marBottom w:val="0"/>
      <w:divBdr>
        <w:top w:val="none" w:sz="0" w:space="0" w:color="auto"/>
        <w:left w:val="none" w:sz="0" w:space="0" w:color="auto"/>
        <w:bottom w:val="none" w:sz="0" w:space="0" w:color="auto"/>
        <w:right w:val="none" w:sz="0" w:space="0" w:color="auto"/>
      </w:divBdr>
    </w:div>
    <w:div w:id="200851387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emf"/><Relationship Id="rId1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image" Target="media/image6.emf"/><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image" Target="media/image10.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emf"/><Relationship Id="rId5" Type="http://schemas.openxmlformats.org/officeDocument/2006/relationships/footnotes" Target="footnotes.xml"/><Relationship Id="rId15" Type="http://schemas.openxmlformats.org/officeDocument/2006/relationships/image" Target="media/image9.emf"/><Relationship Id="rId10" Type="http://schemas.openxmlformats.org/officeDocument/2006/relationships/image" Target="media/image4.emf"/><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image" Target="media/image8.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661F1288-4688-4824-B8BF-98946C17CD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5493</Words>
  <Characters>31313</Characters>
  <Application>Microsoft Office Word</Application>
  <DocSecurity>0</DocSecurity>
  <Lines>260</Lines>
  <Paragraphs>73</Paragraphs>
  <ScaleCrop>false</ScaleCrop>
  <HeadingPairs>
    <vt:vector size="2" baseType="variant">
      <vt:variant>
        <vt:lpstr>Title</vt:lpstr>
      </vt:variant>
      <vt:variant>
        <vt:i4>1</vt:i4>
      </vt:variant>
    </vt:vector>
  </HeadingPairs>
  <TitlesOfParts>
    <vt:vector size="1" baseType="lpstr">
      <vt:lpstr/>
    </vt:vector>
  </TitlesOfParts>
  <Company>Boston University</Company>
  <LinksUpToDate>false</LinksUpToDate>
  <CharactersWithSpaces>36733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 Won Bang</dc:creator>
  <cp:keywords/>
  <dc:description/>
  <cp:lastModifiedBy>Stern, Elizabeth</cp:lastModifiedBy>
  <cp:revision>2</cp:revision>
  <dcterms:created xsi:type="dcterms:W3CDTF">2018-08-20T14:38:00Z</dcterms:created>
  <dcterms:modified xsi:type="dcterms:W3CDTF">2018-08-20T14:38:00Z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Document_1">
    <vt:lpwstr>True</vt:lpwstr>
  </property>
  <property fmtid="{D5CDD505-2E9C-101B-9397-08002B2CF9AE}" pid="3" name="Mendeley Unique User Id_1">
    <vt:lpwstr>f7204e3f-3f38-31dd-b054-49d94db2f523</vt:lpwstr>
  </property>
  <property fmtid="{D5CDD505-2E9C-101B-9397-08002B2CF9AE}" pid="4" name="Mendeley Citation Style_1">
    <vt:lpwstr>http://www.zotero.org/styles/apa</vt:lpwstr>
  </property>
  <property fmtid="{D5CDD505-2E9C-101B-9397-08002B2CF9AE}" pid="5" name="Mendeley Recent Style Id 0_1">
    <vt:lpwstr>http://www.zotero.org/styles/american-medical-association</vt:lpwstr>
  </property>
  <property fmtid="{D5CDD505-2E9C-101B-9397-08002B2CF9AE}" pid="6" name="Mendeley Recent Style Name 0_1">
    <vt:lpwstr>American Medical Association</vt:lpwstr>
  </property>
  <property fmtid="{D5CDD505-2E9C-101B-9397-08002B2CF9AE}" pid="7" name="Mendeley Recent Style Id 1_1">
    <vt:lpwstr>http://www.zotero.org/styles/american-political-science-association</vt:lpwstr>
  </property>
  <property fmtid="{D5CDD505-2E9C-101B-9397-08002B2CF9AE}" pid="8" name="Mendeley Recent Style Name 1_1">
    <vt:lpwstr>American Political Science Association</vt:lpwstr>
  </property>
  <property fmtid="{D5CDD505-2E9C-101B-9397-08002B2CF9AE}" pid="9" name="Mendeley Recent Style Id 2_1">
    <vt:lpwstr>http://www.zotero.org/styles/apa</vt:lpwstr>
  </property>
  <property fmtid="{D5CDD505-2E9C-101B-9397-08002B2CF9AE}" pid="10" name="Mendeley Recent Style Name 2_1">
    <vt:lpwstr>American Psychological Association 6th edition</vt:lpwstr>
  </property>
  <property fmtid="{D5CDD505-2E9C-101B-9397-08002B2CF9AE}" pid="11" name="Mendeley Recent Style Id 3_1">
    <vt:lpwstr>http://www.zotero.org/styles/chicago-author-date</vt:lpwstr>
  </property>
  <property fmtid="{D5CDD505-2E9C-101B-9397-08002B2CF9AE}" pid="12" name="Mendeley Recent Style Name 3_1">
    <vt:lpwstr>Chicago Manual of Style 16th edition (author-date)</vt:lpwstr>
  </property>
  <property fmtid="{D5CDD505-2E9C-101B-9397-08002B2CF9AE}" pid="13" name="Mendeley Recent Style Id 4_1">
    <vt:lpwstr>http://www.zotero.org/styles/harvard-cite-them-right</vt:lpwstr>
  </property>
  <property fmtid="{D5CDD505-2E9C-101B-9397-08002B2CF9AE}" pid="14" name="Mendeley Recent Style Name 4_1">
    <vt:lpwstr>Harvard - Cite Them Right 9th edition</vt:lpwstr>
  </property>
  <property fmtid="{D5CDD505-2E9C-101B-9397-08002B2CF9AE}" pid="15" name="Mendeley Recent Style Id 5_1">
    <vt:lpwstr>http://www.zotero.org/styles/ieee</vt:lpwstr>
  </property>
  <property fmtid="{D5CDD505-2E9C-101B-9397-08002B2CF9AE}" pid="16" name="Mendeley Recent Style Name 5_1">
    <vt:lpwstr>IEEE</vt:lpwstr>
  </property>
  <property fmtid="{D5CDD505-2E9C-101B-9397-08002B2CF9AE}" pid="17" name="Mendeley Recent Style Id 6_1">
    <vt:lpwstr>http://www.zotero.org/styles/modern-humanities-research-association</vt:lpwstr>
  </property>
  <property fmtid="{D5CDD505-2E9C-101B-9397-08002B2CF9AE}" pid="18" name="Mendeley Recent Style Name 6_1">
    <vt:lpwstr>Modern Humanities Research Association 3rd edition (note with bibliography)</vt:lpwstr>
  </property>
  <property fmtid="{D5CDD505-2E9C-101B-9397-08002B2CF9AE}" pid="19" name="Mendeley Recent Style Id 7_1">
    <vt:lpwstr>http://www.zotero.org/styles/pnas</vt:lpwstr>
  </property>
  <property fmtid="{D5CDD505-2E9C-101B-9397-08002B2CF9AE}" pid="20" name="Mendeley Recent Style Name 7_1">
    <vt:lpwstr>Proceedings of the National Academy of Sciences of the United States of America</vt:lpwstr>
  </property>
  <property fmtid="{D5CDD505-2E9C-101B-9397-08002B2CF9AE}" pid="21" name="Mendeley Recent Style Id 8_1">
    <vt:lpwstr>http://www.zotero.org/styles/the-journal-of-neuroscience</vt:lpwstr>
  </property>
  <property fmtid="{D5CDD505-2E9C-101B-9397-08002B2CF9AE}" pid="22" name="Mendeley Recent Style Name 8_1">
    <vt:lpwstr>The Journal of Neuroscience</vt:lpwstr>
  </property>
  <property fmtid="{D5CDD505-2E9C-101B-9397-08002B2CF9AE}" pid="23" name="Mendeley Recent Style Id 9_1">
    <vt:lpwstr>http://www.zotero.org/styles/trends-in-cognitive-sciences</vt:lpwstr>
  </property>
  <property fmtid="{D5CDD505-2E9C-101B-9397-08002B2CF9AE}" pid="24" name="Mendeley Recent Style Name 9_1">
    <vt:lpwstr>Trends in Cognitive Sciences</vt:lpwstr>
  </property>
</Properties>
</file>