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6E254" w14:textId="77777777" w:rsidR="00883D23" w:rsidRPr="00D23289" w:rsidRDefault="00883D23" w:rsidP="00883D23">
      <w:pPr>
        <w:spacing w:line="240" w:lineRule="auto"/>
        <w:jc w:val="center"/>
        <w:rPr>
          <w:rFonts w:ascii="Times New Roman" w:hAnsi="Times New Roman" w:cs="Times New Roman"/>
          <w:b/>
          <w:sz w:val="24"/>
          <w:szCs w:val="24"/>
        </w:rPr>
      </w:pPr>
      <w:r w:rsidRPr="00D23289">
        <w:rPr>
          <w:rFonts w:ascii="Times New Roman" w:hAnsi="Times New Roman" w:cs="Times New Roman"/>
          <w:b/>
          <w:sz w:val="24"/>
          <w:szCs w:val="24"/>
        </w:rPr>
        <w:t>Supplemental Material for:</w:t>
      </w:r>
    </w:p>
    <w:p w14:paraId="235B24DA" w14:textId="791838ED" w:rsidR="00883D23" w:rsidRPr="007D167D" w:rsidRDefault="00883D23" w:rsidP="00883D23">
      <w:pPr>
        <w:spacing w:line="480" w:lineRule="auto"/>
        <w:jc w:val="center"/>
        <w:rPr>
          <w:rFonts w:ascii="Times New Roman" w:hAnsi="Times New Roman" w:cs="Times New Roman"/>
          <w:b/>
          <w:bCs/>
          <w:color w:val="000000" w:themeColor="text1"/>
          <w:sz w:val="28"/>
          <w:szCs w:val="28"/>
        </w:rPr>
      </w:pPr>
      <w:r w:rsidRPr="007D167D">
        <w:rPr>
          <w:rFonts w:ascii="Times New Roman" w:hAnsi="Times New Roman" w:cs="Times New Roman"/>
          <w:b/>
          <w:bCs/>
          <w:color w:val="000000" w:themeColor="text1"/>
          <w:sz w:val="28"/>
          <w:szCs w:val="28"/>
        </w:rPr>
        <w:t xml:space="preserve">Modulating Perceptual Learning: Anodal transcranial Direct Current Stimulation (tDCS) </w:t>
      </w:r>
      <w:r w:rsidR="009E353E">
        <w:rPr>
          <w:rFonts w:ascii="Times New Roman" w:hAnsi="Times New Roman" w:cs="Times New Roman"/>
          <w:b/>
          <w:bCs/>
          <w:color w:val="000000" w:themeColor="text1"/>
          <w:sz w:val="28"/>
          <w:szCs w:val="28"/>
        </w:rPr>
        <w:t>reduces</w:t>
      </w:r>
      <w:r w:rsidRPr="007D167D">
        <w:rPr>
          <w:rFonts w:ascii="Times New Roman" w:hAnsi="Times New Roman" w:cs="Times New Roman"/>
          <w:b/>
          <w:bCs/>
          <w:color w:val="000000" w:themeColor="text1"/>
          <w:sz w:val="28"/>
          <w:szCs w:val="28"/>
        </w:rPr>
        <w:t xml:space="preserve"> the Face Inversion Effect (FIE), while cathodal tDCS restores it to baseline</w:t>
      </w:r>
    </w:p>
    <w:p w14:paraId="498FD385" w14:textId="2DB263EB" w:rsidR="00DB03F8" w:rsidRDefault="00883D23" w:rsidP="00DB03F8">
      <w:pPr>
        <w:spacing w:line="480" w:lineRule="auto"/>
        <w:ind w:firstLine="720"/>
        <w:jc w:val="center"/>
        <w:rPr>
          <w:rFonts w:ascii="Times New Roman" w:hAnsi="Times New Roman" w:cs="Times New Roman"/>
          <w:color w:val="000000" w:themeColor="text1"/>
          <w:sz w:val="24"/>
          <w:szCs w:val="24"/>
        </w:rPr>
      </w:pPr>
      <w:r w:rsidRPr="00883D23">
        <w:rPr>
          <w:rFonts w:ascii="Times New Roman" w:hAnsi="Times New Roman" w:cs="Times New Roman"/>
          <w:color w:val="000000" w:themeColor="text1"/>
          <w:sz w:val="24"/>
          <w:szCs w:val="24"/>
        </w:rPr>
        <w:t xml:space="preserve">Ciro Civile, </w:t>
      </w:r>
      <w:proofErr w:type="spellStart"/>
      <w:r w:rsidR="00471746" w:rsidRPr="00883D23">
        <w:rPr>
          <w:rFonts w:ascii="Times New Roman" w:hAnsi="Times New Roman" w:cs="Times New Roman"/>
          <w:color w:val="000000" w:themeColor="text1"/>
          <w:sz w:val="24"/>
          <w:szCs w:val="24"/>
        </w:rPr>
        <w:t>Yizhen</w:t>
      </w:r>
      <w:proofErr w:type="spellEnd"/>
      <w:r w:rsidR="00471746" w:rsidRPr="00883D23">
        <w:rPr>
          <w:rFonts w:ascii="Times New Roman" w:hAnsi="Times New Roman" w:cs="Times New Roman"/>
          <w:color w:val="000000" w:themeColor="text1"/>
          <w:sz w:val="24"/>
          <w:szCs w:val="24"/>
        </w:rPr>
        <w:t xml:space="preserve"> Shen</w:t>
      </w:r>
      <w:r w:rsidR="00471746">
        <w:rPr>
          <w:rFonts w:ascii="Times New Roman" w:hAnsi="Times New Roman" w:cs="Times New Roman"/>
          <w:color w:val="000000" w:themeColor="text1"/>
          <w:sz w:val="24"/>
          <w:szCs w:val="24"/>
        </w:rPr>
        <w:t xml:space="preserve">, </w:t>
      </w:r>
      <w:r w:rsidRPr="00883D23">
        <w:rPr>
          <w:rFonts w:ascii="Times New Roman" w:hAnsi="Times New Roman" w:cs="Times New Roman"/>
          <w:color w:val="000000" w:themeColor="text1"/>
          <w:sz w:val="24"/>
          <w:szCs w:val="24"/>
        </w:rPr>
        <w:t xml:space="preserve">Siobhan McCourt, </w:t>
      </w:r>
      <w:proofErr w:type="spellStart"/>
      <w:r w:rsidRPr="00883D23">
        <w:rPr>
          <w:rFonts w:ascii="Times New Roman" w:hAnsi="Times New Roman" w:cs="Times New Roman"/>
          <w:color w:val="000000" w:themeColor="text1"/>
          <w:sz w:val="24"/>
          <w:szCs w:val="24"/>
        </w:rPr>
        <w:t>Guangtong</w:t>
      </w:r>
      <w:proofErr w:type="spellEnd"/>
      <w:r w:rsidRPr="00883D23">
        <w:rPr>
          <w:rFonts w:ascii="Times New Roman" w:hAnsi="Times New Roman" w:cs="Times New Roman"/>
          <w:color w:val="000000" w:themeColor="text1"/>
          <w:sz w:val="24"/>
          <w:szCs w:val="24"/>
        </w:rPr>
        <w:t xml:space="preserve"> Wang, and I.P.L. McLaren</w:t>
      </w:r>
    </w:p>
    <w:p w14:paraId="57EAEC89" w14:textId="681C1C7A" w:rsidR="00EC67AD" w:rsidRDefault="00DB03F8" w:rsidP="00B82CF4">
      <w:pPr>
        <w:spacing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The </w:t>
      </w:r>
      <w:r w:rsidR="00EC67AD" w:rsidRPr="00EC67AD">
        <w:rPr>
          <w:rFonts w:ascii="Times New Roman" w:hAnsi="Times New Roman" w:cs="Times New Roman"/>
          <w:b/>
          <w:bCs/>
          <w:color w:val="000000" w:themeColor="text1"/>
          <w:sz w:val="24"/>
          <w:szCs w:val="24"/>
        </w:rPr>
        <w:t>Pilot Experiment</w:t>
      </w:r>
    </w:p>
    <w:p w14:paraId="570F0AC8" w14:textId="2FAFF69A" w:rsidR="00DB03F8" w:rsidRPr="00DB03F8" w:rsidRDefault="00EC67AD" w:rsidP="00DB03F8">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completeness </w:t>
      </w:r>
      <w:r w:rsidR="006B374C" w:rsidRPr="006B374C">
        <w:rPr>
          <w:rFonts w:ascii="Times New Roman" w:hAnsi="Times New Roman" w:cs="Times New Roman"/>
          <w:color w:val="000000" w:themeColor="text1"/>
          <w:sz w:val="24"/>
          <w:szCs w:val="24"/>
        </w:rPr>
        <w:t>we present here the results from the double-blind, between-subject pilot study that underpins the two experiments discussed in our paper. A total of 64 participants (43 female, mean age = 20 years, age range = 18-27 years) were involved in the study, with 36 assigned to each tDCS group. These participants were undergraduate students at the University of Exeter participating for either monetary compensation or course credit. All procedures adhered to the relevant guidelines and regulations approved by the Psychology Research Ethics Committee at the University of Exeter, with informed consent obtained from all participants. The behavioral paradigm, face stimuli, and tDCS montage matched those used in Experiments 1 and 2. However, in the pilot, participants were randomly assigned to just two conditions: the anodal-sham group, where anodal tDCS was administered during the study phase followed by sham in the recognition phase, and the anodal-cathodal group, where anodal tDCS was delivered during the study phase followed by cathodal tDCS in the recognition phase. Unlike Experiments 1 and 2, the pilot study did not include a sham-sham group to establish the baseline level of the FIE.</w:t>
      </w:r>
    </w:p>
    <w:p w14:paraId="0084AD41" w14:textId="27399E41" w:rsidR="00EC67AD" w:rsidRPr="006C1283" w:rsidRDefault="00EC67AD" w:rsidP="007D167D">
      <w:pPr>
        <w:autoSpaceDE w:val="0"/>
        <w:autoSpaceDN w:val="0"/>
        <w:adjustRightInd w:val="0"/>
        <w:spacing w:line="480" w:lineRule="auto"/>
        <w:jc w:val="center"/>
        <w:rPr>
          <w:rFonts w:ascii="Times New Roman" w:hAnsi="Times New Roman" w:cs="Times New Roman"/>
          <w:b/>
          <w:bCs/>
          <w:sz w:val="24"/>
          <w:szCs w:val="24"/>
        </w:rPr>
      </w:pPr>
      <w:r w:rsidRPr="006C1283">
        <w:rPr>
          <w:rFonts w:ascii="Times New Roman" w:hAnsi="Times New Roman" w:cs="Times New Roman"/>
          <w:b/>
          <w:bCs/>
          <w:sz w:val="24"/>
          <w:szCs w:val="24"/>
        </w:rPr>
        <w:t>Results</w:t>
      </w:r>
    </w:p>
    <w:p w14:paraId="770CD67D" w14:textId="4A36D247" w:rsidR="007D167D" w:rsidRDefault="006B374C" w:rsidP="006D5BBC">
      <w:pPr>
        <w:autoSpaceDE w:val="0"/>
        <w:autoSpaceDN w:val="0"/>
        <w:adjustRightInd w:val="0"/>
        <w:spacing w:line="480" w:lineRule="auto"/>
        <w:ind w:firstLine="720"/>
        <w:rPr>
          <w:rFonts w:ascii="Times New Roman" w:hAnsi="Times New Roman" w:cs="Times New Roman"/>
          <w:sz w:val="24"/>
          <w:szCs w:val="24"/>
        </w:rPr>
      </w:pPr>
      <w:r w:rsidRPr="006B374C">
        <w:rPr>
          <w:rFonts w:ascii="Times New Roman" w:hAnsi="Times New Roman" w:cs="Times New Roman"/>
          <w:sz w:val="24"/>
          <w:szCs w:val="24"/>
        </w:rPr>
        <w:t xml:space="preserve">A 2x2 mixed model ANOVA was performed with </w:t>
      </w:r>
      <w:r w:rsidRPr="006B374C">
        <w:rPr>
          <w:rFonts w:ascii="Times New Roman" w:hAnsi="Times New Roman" w:cs="Times New Roman"/>
          <w:i/>
          <w:iCs/>
          <w:sz w:val="24"/>
          <w:szCs w:val="24"/>
        </w:rPr>
        <w:t>Orientation</w:t>
      </w:r>
      <w:r w:rsidRPr="006B374C">
        <w:rPr>
          <w:rFonts w:ascii="Times New Roman" w:hAnsi="Times New Roman" w:cs="Times New Roman"/>
          <w:sz w:val="24"/>
          <w:szCs w:val="24"/>
        </w:rPr>
        <w:t xml:space="preserve"> (upright, inverted) as the within-subject factor and </w:t>
      </w:r>
      <w:r w:rsidRPr="006B374C">
        <w:rPr>
          <w:rFonts w:ascii="Times New Roman" w:hAnsi="Times New Roman" w:cs="Times New Roman"/>
          <w:i/>
          <w:iCs/>
          <w:sz w:val="24"/>
          <w:szCs w:val="24"/>
        </w:rPr>
        <w:t>tDCS condition</w:t>
      </w:r>
      <w:r w:rsidRPr="006B374C">
        <w:rPr>
          <w:rFonts w:ascii="Times New Roman" w:hAnsi="Times New Roman" w:cs="Times New Roman"/>
          <w:sz w:val="24"/>
          <w:szCs w:val="24"/>
        </w:rPr>
        <w:t xml:space="preserve"> (anodal-sham, anodal-cathodal) as the between-</w:t>
      </w:r>
      <w:r w:rsidRPr="006B374C">
        <w:rPr>
          <w:rFonts w:ascii="Times New Roman" w:hAnsi="Times New Roman" w:cs="Times New Roman"/>
          <w:sz w:val="24"/>
          <w:szCs w:val="24"/>
        </w:rPr>
        <w:lastRenderedPageBreak/>
        <w:t xml:space="preserve">subjects factor. The analysis revealed a significant main effect of Orientation, </w:t>
      </w:r>
      <w:proofErr w:type="gramStart"/>
      <w:r w:rsidRPr="006B374C">
        <w:rPr>
          <w:rFonts w:ascii="Times New Roman" w:hAnsi="Times New Roman" w:cs="Times New Roman"/>
          <w:i/>
          <w:iCs/>
          <w:sz w:val="24"/>
          <w:szCs w:val="24"/>
        </w:rPr>
        <w:t>F</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 xml:space="preserve">1, 62) = 99.35, p &lt; .001, η²p = .61, but no significant main effect of tDCS condition, </w:t>
      </w:r>
      <w:proofErr w:type="gramStart"/>
      <w:r w:rsidRPr="006B374C">
        <w:rPr>
          <w:rFonts w:ascii="Times New Roman" w:hAnsi="Times New Roman" w:cs="Times New Roman"/>
          <w:i/>
          <w:iCs/>
          <w:sz w:val="24"/>
          <w:szCs w:val="24"/>
        </w:rPr>
        <w:t>F</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 xml:space="preserve">1, 62) = 1.07, p = .30, η²p = .01. Notably, there was a significant interaction between Orientation and tDCS condition, </w:t>
      </w:r>
      <w:proofErr w:type="gramStart"/>
      <w:r w:rsidRPr="006B374C">
        <w:rPr>
          <w:rFonts w:ascii="Times New Roman" w:hAnsi="Times New Roman" w:cs="Times New Roman"/>
          <w:i/>
          <w:iCs/>
          <w:sz w:val="24"/>
          <w:szCs w:val="24"/>
        </w:rPr>
        <w:t>F</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 xml:space="preserve">1, 62) = 4.17, p = .045, η²p = .06. Specifically, the FIE was larger in the anodal-cathodal group (M(difference) = .53, SD = .32), </w:t>
      </w:r>
      <w:proofErr w:type="gramStart"/>
      <w:r w:rsidRPr="006B374C">
        <w:rPr>
          <w:rFonts w:ascii="Times New Roman" w:hAnsi="Times New Roman" w:cs="Times New Roman"/>
          <w:i/>
          <w:iCs/>
          <w:sz w:val="24"/>
          <w:szCs w:val="24"/>
        </w:rPr>
        <w:t>t</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 xml:space="preserve">31) = 9.49, p &lt; .001, η²p = .74, compared to the anodal-sham group (M(difference) = .35, SD = .39), </w:t>
      </w:r>
      <w:proofErr w:type="gramStart"/>
      <w:r w:rsidRPr="006B374C">
        <w:rPr>
          <w:rFonts w:ascii="Times New Roman" w:hAnsi="Times New Roman" w:cs="Times New Roman"/>
          <w:i/>
          <w:iCs/>
          <w:sz w:val="24"/>
          <w:szCs w:val="24"/>
        </w:rPr>
        <w:t>t</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 xml:space="preserve">31) = 5.11, p &lt; .001, η²p = .45. There was a trend towards a significant difference in performance for upright faces between the anodal-sham condition (M = .55, SE = .06) and the anodal-cathodal condition (M = .70, SE = .06), </w:t>
      </w:r>
      <w:proofErr w:type="gramStart"/>
      <w:r w:rsidRPr="006B374C">
        <w:rPr>
          <w:rFonts w:ascii="Times New Roman" w:hAnsi="Times New Roman" w:cs="Times New Roman"/>
          <w:i/>
          <w:iCs/>
          <w:sz w:val="24"/>
          <w:szCs w:val="24"/>
        </w:rPr>
        <w:t>t</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62) = 1.79, p = .07, η²p = .05. No significant difference was observed for inverted faces between the anodal-sham condition (M = .19, SE = .05) and the anodal-cathodal condition (M = .16, SE = .04),</w:t>
      </w:r>
      <w:r w:rsidRPr="006B374C">
        <w:rPr>
          <w:rFonts w:ascii="Times New Roman" w:hAnsi="Times New Roman" w:cs="Times New Roman"/>
          <w:i/>
          <w:iCs/>
          <w:sz w:val="24"/>
          <w:szCs w:val="24"/>
        </w:rPr>
        <w:t xml:space="preserve"> </w:t>
      </w:r>
      <w:proofErr w:type="gramStart"/>
      <w:r w:rsidRPr="006B374C">
        <w:rPr>
          <w:rFonts w:ascii="Times New Roman" w:hAnsi="Times New Roman" w:cs="Times New Roman"/>
          <w:i/>
          <w:iCs/>
          <w:sz w:val="24"/>
          <w:szCs w:val="24"/>
        </w:rPr>
        <w:t>t</w:t>
      </w:r>
      <w:r w:rsidRPr="006B374C">
        <w:rPr>
          <w:rFonts w:ascii="Times New Roman" w:hAnsi="Times New Roman" w:cs="Times New Roman"/>
          <w:sz w:val="24"/>
          <w:szCs w:val="24"/>
        </w:rPr>
        <w:t>(</w:t>
      </w:r>
      <w:proofErr w:type="gramEnd"/>
      <w:r w:rsidRPr="006B374C">
        <w:rPr>
          <w:rFonts w:ascii="Times New Roman" w:hAnsi="Times New Roman" w:cs="Times New Roman"/>
          <w:sz w:val="24"/>
          <w:szCs w:val="24"/>
        </w:rPr>
        <w:t>62) = .42, p = .67, η²p &lt; .01</w:t>
      </w:r>
      <w:r>
        <w:rPr>
          <w:rFonts w:ascii="Times New Roman" w:hAnsi="Times New Roman" w:cs="Times New Roman"/>
          <w:sz w:val="24"/>
          <w:szCs w:val="24"/>
        </w:rPr>
        <w:t xml:space="preserve"> (Figure </w:t>
      </w:r>
      <w:r w:rsidR="006A1D20">
        <w:rPr>
          <w:rFonts w:ascii="Times New Roman" w:hAnsi="Times New Roman" w:cs="Times New Roman"/>
          <w:sz w:val="24"/>
          <w:szCs w:val="24"/>
        </w:rPr>
        <w:t>6</w:t>
      </w:r>
      <w:r>
        <w:rPr>
          <w:rFonts w:ascii="Times New Roman" w:hAnsi="Times New Roman" w:cs="Times New Roman"/>
          <w:sz w:val="24"/>
          <w:szCs w:val="24"/>
        </w:rPr>
        <w:t>)</w:t>
      </w:r>
      <w:r w:rsidRPr="006B374C">
        <w:rPr>
          <w:rFonts w:ascii="Times New Roman" w:hAnsi="Times New Roman" w:cs="Times New Roman"/>
          <w:sz w:val="24"/>
          <w:szCs w:val="24"/>
        </w:rPr>
        <w:t>.</w:t>
      </w:r>
      <w:r w:rsidR="00EC67AD" w:rsidRPr="00EC67AD">
        <w:rPr>
          <w:rFonts w:ascii="Times New Roman" w:hAnsi="Times New Roman" w:cs="Times New Roman"/>
          <w:sz w:val="24"/>
          <w:szCs w:val="24"/>
        </w:rPr>
        <w:t xml:space="preserve"> </w:t>
      </w:r>
    </w:p>
    <w:p w14:paraId="3387EC21" w14:textId="69FEF6D9" w:rsidR="007D167D" w:rsidRPr="006D5BBC" w:rsidRDefault="001D379C" w:rsidP="006D5BB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7550D877" wp14:editId="2C5E054C">
            <wp:extent cx="3821207" cy="3081020"/>
            <wp:effectExtent l="12700" t="12700" r="14605" b="17780"/>
            <wp:docPr id="1773780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80215" name="Picture 1773780215"/>
                    <pic:cNvPicPr/>
                  </pic:nvPicPr>
                  <pic:blipFill>
                    <a:blip r:embed="rId4"/>
                    <a:stretch>
                      <a:fillRect/>
                    </a:stretch>
                  </pic:blipFill>
                  <pic:spPr>
                    <a:xfrm>
                      <a:off x="0" y="0"/>
                      <a:ext cx="3840998" cy="3096977"/>
                    </a:xfrm>
                    <a:prstGeom prst="rect">
                      <a:avLst/>
                    </a:prstGeom>
                    <a:ln>
                      <a:solidFill>
                        <a:schemeClr val="tx1"/>
                      </a:solidFill>
                    </a:ln>
                  </pic:spPr>
                </pic:pic>
              </a:graphicData>
            </a:graphic>
          </wp:inline>
        </w:drawing>
      </w:r>
    </w:p>
    <w:p w14:paraId="4598D56C" w14:textId="1B469D39" w:rsidR="00035DAC" w:rsidRDefault="007D167D" w:rsidP="006D5BBC">
      <w:pPr>
        <w:autoSpaceDE w:val="0"/>
        <w:autoSpaceDN w:val="0"/>
        <w:adjustRightInd w:val="0"/>
        <w:spacing w:line="480" w:lineRule="auto"/>
        <w:rPr>
          <w:rFonts w:ascii="Times New Roman" w:eastAsiaTheme="minorHAnsi" w:hAnsi="Times New Roman" w:cs="Times New Roman"/>
          <w:color w:val="000000" w:themeColor="text1"/>
          <w:sz w:val="24"/>
          <w:szCs w:val="24"/>
        </w:rPr>
      </w:pPr>
      <w:r w:rsidRPr="007D167D">
        <w:rPr>
          <w:rFonts w:ascii="Times New Roman" w:eastAsiaTheme="minorHAnsi" w:hAnsi="Times New Roman" w:cs="Times New Roman"/>
          <w:b/>
          <w:bCs/>
          <w:color w:val="000000" w:themeColor="text1"/>
          <w:sz w:val="24"/>
          <w:szCs w:val="24"/>
        </w:rPr>
        <w:t xml:space="preserve">Figure </w:t>
      </w:r>
      <w:r w:rsidR="006A1D20">
        <w:rPr>
          <w:rFonts w:ascii="Times New Roman" w:eastAsiaTheme="minorHAnsi" w:hAnsi="Times New Roman" w:cs="Times New Roman"/>
          <w:b/>
          <w:bCs/>
          <w:color w:val="000000" w:themeColor="text1"/>
          <w:sz w:val="24"/>
          <w:szCs w:val="24"/>
        </w:rPr>
        <w:t>6</w:t>
      </w:r>
      <w:r w:rsidRPr="007D167D">
        <w:rPr>
          <w:rFonts w:ascii="Times New Roman" w:eastAsiaTheme="minorHAnsi" w:hAnsi="Times New Roman" w:cs="Times New Roman"/>
          <w:b/>
          <w:bCs/>
          <w:color w:val="000000" w:themeColor="text1"/>
          <w:sz w:val="24"/>
          <w:szCs w:val="24"/>
        </w:rPr>
        <w:t xml:space="preserve"> </w:t>
      </w:r>
      <w:r w:rsidRPr="007D167D">
        <w:rPr>
          <w:rFonts w:ascii="Times New Roman" w:eastAsiaTheme="minorHAnsi" w:hAnsi="Times New Roman" w:cs="Times New Roman"/>
          <w:color w:val="000000" w:themeColor="text1"/>
          <w:sz w:val="24"/>
          <w:szCs w:val="24"/>
        </w:rPr>
        <w:t xml:space="preserve">reports the results from </w:t>
      </w:r>
      <w:r>
        <w:rPr>
          <w:rFonts w:ascii="Times New Roman" w:eastAsiaTheme="minorHAnsi" w:hAnsi="Times New Roman" w:cs="Times New Roman"/>
          <w:color w:val="000000" w:themeColor="text1"/>
          <w:sz w:val="24"/>
          <w:szCs w:val="24"/>
        </w:rPr>
        <w:t>the pilot experiment</w:t>
      </w:r>
      <w:r w:rsidRPr="007D167D">
        <w:rPr>
          <w:rFonts w:ascii="Times New Roman" w:eastAsiaTheme="minorHAnsi" w:hAnsi="Times New Roman" w:cs="Times New Roman"/>
          <w:color w:val="000000" w:themeColor="text1"/>
          <w:sz w:val="24"/>
          <w:szCs w:val="24"/>
        </w:rPr>
        <w:t xml:space="preserve">. The x-axis shows the stimulus conditions across the </w:t>
      </w:r>
      <w:r>
        <w:rPr>
          <w:rFonts w:ascii="Times New Roman" w:eastAsiaTheme="minorHAnsi" w:hAnsi="Times New Roman" w:cs="Times New Roman"/>
          <w:color w:val="000000" w:themeColor="text1"/>
          <w:sz w:val="24"/>
          <w:szCs w:val="24"/>
        </w:rPr>
        <w:t xml:space="preserve">two </w:t>
      </w:r>
      <w:r w:rsidRPr="007D167D">
        <w:rPr>
          <w:rFonts w:ascii="Times New Roman" w:eastAsiaTheme="minorHAnsi" w:hAnsi="Times New Roman" w:cs="Times New Roman"/>
          <w:color w:val="000000" w:themeColor="text1"/>
          <w:sz w:val="24"/>
          <w:szCs w:val="24"/>
        </w:rPr>
        <w:t xml:space="preserve">tDCS groups, the y-axis shows d’. Error bars represent </w:t>
      </w:r>
      <w:proofErr w:type="spellStart"/>
      <w:r w:rsidRPr="007D167D">
        <w:rPr>
          <w:rFonts w:ascii="Times New Roman" w:eastAsiaTheme="minorHAnsi" w:hAnsi="Times New Roman" w:cs="Times New Roman"/>
          <w:color w:val="000000" w:themeColor="text1"/>
          <w:sz w:val="24"/>
          <w:szCs w:val="24"/>
        </w:rPr>
        <w:t>s.e.m.</w:t>
      </w:r>
      <w:proofErr w:type="spellEnd"/>
      <w:r w:rsidRPr="007D167D">
        <w:rPr>
          <w:rFonts w:ascii="Times New Roman" w:eastAsiaTheme="minorHAnsi" w:hAnsi="Times New Roman" w:cs="Times New Roman"/>
          <w:color w:val="000000" w:themeColor="text1"/>
          <w:sz w:val="24"/>
          <w:szCs w:val="24"/>
        </w:rPr>
        <w:t xml:space="preserve"> Performance for upright and inverted faces in all tDCS groups was significantly above chance (for all conditions we found p &lt; .001 for this analysis)</w:t>
      </w:r>
      <w:r w:rsidR="006D5BBC">
        <w:rPr>
          <w:rFonts w:ascii="Times New Roman" w:eastAsiaTheme="minorHAnsi" w:hAnsi="Times New Roman" w:cs="Times New Roman"/>
          <w:color w:val="000000" w:themeColor="text1"/>
          <w:sz w:val="24"/>
          <w:szCs w:val="24"/>
        </w:rPr>
        <w:t>.</w:t>
      </w:r>
    </w:p>
    <w:sectPr w:rsidR="00035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23"/>
    <w:rsid w:val="00035DAC"/>
    <w:rsid w:val="000678DC"/>
    <w:rsid w:val="00166F71"/>
    <w:rsid w:val="001D379C"/>
    <w:rsid w:val="001E4D86"/>
    <w:rsid w:val="003334AF"/>
    <w:rsid w:val="00471746"/>
    <w:rsid w:val="0047596A"/>
    <w:rsid w:val="005000E4"/>
    <w:rsid w:val="00575252"/>
    <w:rsid w:val="005D149C"/>
    <w:rsid w:val="006A1D20"/>
    <w:rsid w:val="006B374C"/>
    <w:rsid w:val="006C1283"/>
    <w:rsid w:val="006D5BBC"/>
    <w:rsid w:val="007D167D"/>
    <w:rsid w:val="007E748D"/>
    <w:rsid w:val="00801399"/>
    <w:rsid w:val="00813C62"/>
    <w:rsid w:val="00883D23"/>
    <w:rsid w:val="008E7020"/>
    <w:rsid w:val="0093687F"/>
    <w:rsid w:val="009E353E"/>
    <w:rsid w:val="00B57138"/>
    <w:rsid w:val="00B82CF4"/>
    <w:rsid w:val="00C62F08"/>
    <w:rsid w:val="00C63F52"/>
    <w:rsid w:val="00D77B94"/>
    <w:rsid w:val="00DB03F8"/>
    <w:rsid w:val="00DE27AA"/>
    <w:rsid w:val="00EC6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E339E9"/>
  <w15:chartTrackingRefBased/>
  <w15:docId w15:val="{6F75F061-7E06-984A-A45C-C7169A67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D23"/>
    <w:pPr>
      <w:spacing w:after="200" w:line="276" w:lineRule="auto"/>
    </w:pPr>
    <w:rPr>
      <w:rFonts w:eastAsiaTheme="minorEastAsia"/>
      <w:kern w:val="0"/>
      <w:sz w:val="22"/>
      <w:szCs w:val="22"/>
      <w:lang w:val="en-US" w:bidi="en-US"/>
      <w14:ligatures w14:val="none"/>
    </w:rPr>
  </w:style>
  <w:style w:type="paragraph" w:styleId="Heading1">
    <w:name w:val="heading 1"/>
    <w:basedOn w:val="Normal"/>
    <w:next w:val="Normal"/>
    <w:link w:val="Heading1Char"/>
    <w:uiPriority w:val="9"/>
    <w:qFormat/>
    <w:rsid w:val="00883D2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GB" w:bidi="ar-SA"/>
      <w14:ligatures w14:val="standardContextual"/>
    </w:rPr>
  </w:style>
  <w:style w:type="paragraph" w:styleId="Heading2">
    <w:name w:val="heading 2"/>
    <w:basedOn w:val="Normal"/>
    <w:next w:val="Normal"/>
    <w:link w:val="Heading2Char"/>
    <w:uiPriority w:val="9"/>
    <w:semiHidden/>
    <w:unhideWhenUsed/>
    <w:qFormat/>
    <w:rsid w:val="00883D2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GB" w:bidi="ar-SA"/>
      <w14:ligatures w14:val="standardContextual"/>
    </w:rPr>
  </w:style>
  <w:style w:type="paragraph" w:styleId="Heading3">
    <w:name w:val="heading 3"/>
    <w:basedOn w:val="Normal"/>
    <w:next w:val="Normal"/>
    <w:link w:val="Heading3Char"/>
    <w:uiPriority w:val="9"/>
    <w:semiHidden/>
    <w:unhideWhenUsed/>
    <w:qFormat/>
    <w:rsid w:val="00883D23"/>
    <w:pPr>
      <w:keepNext/>
      <w:keepLines/>
      <w:spacing w:before="160" w:after="80" w:line="240" w:lineRule="auto"/>
      <w:outlineLvl w:val="2"/>
    </w:pPr>
    <w:rPr>
      <w:rFonts w:eastAsiaTheme="majorEastAsia" w:cstheme="majorBidi"/>
      <w:color w:val="0F4761" w:themeColor="accent1" w:themeShade="BF"/>
      <w:kern w:val="2"/>
      <w:sz w:val="28"/>
      <w:szCs w:val="28"/>
      <w:lang w:val="en-GB" w:bidi="ar-SA"/>
      <w14:ligatures w14:val="standardContextual"/>
    </w:rPr>
  </w:style>
  <w:style w:type="paragraph" w:styleId="Heading4">
    <w:name w:val="heading 4"/>
    <w:basedOn w:val="Normal"/>
    <w:next w:val="Normal"/>
    <w:link w:val="Heading4Char"/>
    <w:uiPriority w:val="9"/>
    <w:semiHidden/>
    <w:unhideWhenUsed/>
    <w:qFormat/>
    <w:rsid w:val="00883D23"/>
    <w:pPr>
      <w:keepNext/>
      <w:keepLines/>
      <w:spacing w:before="80" w:after="40" w:line="240" w:lineRule="auto"/>
      <w:outlineLvl w:val="3"/>
    </w:pPr>
    <w:rPr>
      <w:rFonts w:eastAsiaTheme="majorEastAsia" w:cstheme="majorBidi"/>
      <w:i/>
      <w:iCs/>
      <w:color w:val="0F4761" w:themeColor="accent1" w:themeShade="BF"/>
      <w:kern w:val="2"/>
      <w:sz w:val="24"/>
      <w:szCs w:val="24"/>
      <w:lang w:val="en-GB" w:bidi="ar-SA"/>
      <w14:ligatures w14:val="standardContextual"/>
    </w:rPr>
  </w:style>
  <w:style w:type="paragraph" w:styleId="Heading5">
    <w:name w:val="heading 5"/>
    <w:basedOn w:val="Normal"/>
    <w:next w:val="Normal"/>
    <w:link w:val="Heading5Char"/>
    <w:uiPriority w:val="9"/>
    <w:semiHidden/>
    <w:unhideWhenUsed/>
    <w:qFormat/>
    <w:rsid w:val="00883D23"/>
    <w:pPr>
      <w:keepNext/>
      <w:keepLines/>
      <w:spacing w:before="80" w:after="40" w:line="240" w:lineRule="auto"/>
      <w:outlineLvl w:val="4"/>
    </w:pPr>
    <w:rPr>
      <w:rFonts w:eastAsiaTheme="majorEastAsia" w:cstheme="majorBidi"/>
      <w:color w:val="0F4761" w:themeColor="accent1" w:themeShade="BF"/>
      <w:kern w:val="2"/>
      <w:sz w:val="24"/>
      <w:szCs w:val="24"/>
      <w:lang w:val="en-GB" w:bidi="ar-SA"/>
      <w14:ligatures w14:val="standardContextual"/>
    </w:rPr>
  </w:style>
  <w:style w:type="paragraph" w:styleId="Heading6">
    <w:name w:val="heading 6"/>
    <w:basedOn w:val="Normal"/>
    <w:next w:val="Normal"/>
    <w:link w:val="Heading6Char"/>
    <w:uiPriority w:val="9"/>
    <w:semiHidden/>
    <w:unhideWhenUsed/>
    <w:qFormat/>
    <w:rsid w:val="00883D23"/>
    <w:pPr>
      <w:keepNext/>
      <w:keepLines/>
      <w:spacing w:before="40" w:after="0" w:line="240" w:lineRule="auto"/>
      <w:outlineLvl w:val="5"/>
    </w:pPr>
    <w:rPr>
      <w:rFonts w:eastAsiaTheme="majorEastAsia" w:cstheme="majorBidi"/>
      <w:i/>
      <w:iCs/>
      <w:color w:val="595959" w:themeColor="text1" w:themeTint="A6"/>
      <w:kern w:val="2"/>
      <w:sz w:val="24"/>
      <w:szCs w:val="24"/>
      <w:lang w:val="en-GB" w:bidi="ar-SA"/>
      <w14:ligatures w14:val="standardContextual"/>
    </w:rPr>
  </w:style>
  <w:style w:type="paragraph" w:styleId="Heading7">
    <w:name w:val="heading 7"/>
    <w:basedOn w:val="Normal"/>
    <w:next w:val="Normal"/>
    <w:link w:val="Heading7Char"/>
    <w:uiPriority w:val="9"/>
    <w:semiHidden/>
    <w:unhideWhenUsed/>
    <w:qFormat/>
    <w:rsid w:val="00883D23"/>
    <w:pPr>
      <w:keepNext/>
      <w:keepLines/>
      <w:spacing w:before="40" w:after="0" w:line="240" w:lineRule="auto"/>
      <w:outlineLvl w:val="6"/>
    </w:pPr>
    <w:rPr>
      <w:rFonts w:eastAsiaTheme="majorEastAsia" w:cstheme="majorBidi"/>
      <w:color w:val="595959" w:themeColor="text1" w:themeTint="A6"/>
      <w:kern w:val="2"/>
      <w:sz w:val="24"/>
      <w:szCs w:val="24"/>
      <w:lang w:val="en-GB" w:bidi="ar-SA"/>
      <w14:ligatures w14:val="standardContextual"/>
    </w:rPr>
  </w:style>
  <w:style w:type="paragraph" w:styleId="Heading8">
    <w:name w:val="heading 8"/>
    <w:basedOn w:val="Normal"/>
    <w:next w:val="Normal"/>
    <w:link w:val="Heading8Char"/>
    <w:uiPriority w:val="9"/>
    <w:semiHidden/>
    <w:unhideWhenUsed/>
    <w:qFormat/>
    <w:rsid w:val="00883D23"/>
    <w:pPr>
      <w:keepNext/>
      <w:keepLines/>
      <w:spacing w:after="0" w:line="240" w:lineRule="auto"/>
      <w:outlineLvl w:val="7"/>
    </w:pPr>
    <w:rPr>
      <w:rFonts w:eastAsiaTheme="majorEastAsia" w:cstheme="majorBidi"/>
      <w:i/>
      <w:iCs/>
      <w:color w:val="272727" w:themeColor="text1" w:themeTint="D8"/>
      <w:kern w:val="2"/>
      <w:sz w:val="24"/>
      <w:szCs w:val="24"/>
      <w:lang w:val="en-GB" w:bidi="ar-SA"/>
      <w14:ligatures w14:val="standardContextual"/>
    </w:rPr>
  </w:style>
  <w:style w:type="paragraph" w:styleId="Heading9">
    <w:name w:val="heading 9"/>
    <w:basedOn w:val="Normal"/>
    <w:next w:val="Normal"/>
    <w:link w:val="Heading9Char"/>
    <w:uiPriority w:val="9"/>
    <w:semiHidden/>
    <w:unhideWhenUsed/>
    <w:qFormat/>
    <w:rsid w:val="00883D23"/>
    <w:pPr>
      <w:keepNext/>
      <w:keepLines/>
      <w:spacing w:after="0" w:line="240" w:lineRule="auto"/>
      <w:outlineLvl w:val="8"/>
    </w:pPr>
    <w:rPr>
      <w:rFonts w:eastAsiaTheme="majorEastAsia" w:cstheme="majorBidi"/>
      <w:color w:val="272727" w:themeColor="text1" w:themeTint="D8"/>
      <w:kern w:val="2"/>
      <w:sz w:val="24"/>
      <w:szCs w:val="24"/>
      <w:lang w:val="en-GB"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D23"/>
    <w:rPr>
      <w:rFonts w:eastAsiaTheme="majorEastAsia" w:cstheme="majorBidi"/>
      <w:color w:val="272727" w:themeColor="text1" w:themeTint="D8"/>
    </w:rPr>
  </w:style>
  <w:style w:type="paragraph" w:styleId="Title">
    <w:name w:val="Title"/>
    <w:basedOn w:val="Normal"/>
    <w:next w:val="Normal"/>
    <w:link w:val="TitleChar"/>
    <w:uiPriority w:val="10"/>
    <w:qFormat/>
    <w:rsid w:val="00883D23"/>
    <w:pPr>
      <w:spacing w:after="80" w:line="240" w:lineRule="auto"/>
      <w:contextualSpacing/>
    </w:pPr>
    <w:rPr>
      <w:rFonts w:asciiTheme="majorHAnsi" w:eastAsiaTheme="majorEastAsia" w:hAnsiTheme="majorHAnsi" w:cstheme="majorBidi"/>
      <w:spacing w:val="-10"/>
      <w:kern w:val="28"/>
      <w:sz w:val="56"/>
      <w:szCs w:val="56"/>
      <w:lang w:val="en-GB" w:bidi="ar-SA"/>
      <w14:ligatures w14:val="standardContextual"/>
    </w:rPr>
  </w:style>
  <w:style w:type="character" w:customStyle="1" w:styleId="TitleChar">
    <w:name w:val="Title Char"/>
    <w:basedOn w:val="DefaultParagraphFont"/>
    <w:link w:val="Title"/>
    <w:uiPriority w:val="10"/>
    <w:rsid w:val="00883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D23"/>
    <w:pPr>
      <w:numPr>
        <w:ilvl w:val="1"/>
      </w:numPr>
      <w:spacing w:after="160" w:line="240" w:lineRule="auto"/>
    </w:pPr>
    <w:rPr>
      <w:rFonts w:eastAsiaTheme="majorEastAsia" w:cstheme="majorBidi"/>
      <w:color w:val="595959" w:themeColor="text1" w:themeTint="A6"/>
      <w:spacing w:val="15"/>
      <w:kern w:val="2"/>
      <w:sz w:val="28"/>
      <w:szCs w:val="28"/>
      <w:lang w:val="en-GB" w:bidi="ar-SA"/>
      <w14:ligatures w14:val="standardContextual"/>
    </w:rPr>
  </w:style>
  <w:style w:type="character" w:customStyle="1" w:styleId="SubtitleChar">
    <w:name w:val="Subtitle Char"/>
    <w:basedOn w:val="DefaultParagraphFont"/>
    <w:link w:val="Subtitle"/>
    <w:uiPriority w:val="11"/>
    <w:rsid w:val="00883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D23"/>
    <w:pPr>
      <w:spacing w:before="160" w:after="160" w:line="240" w:lineRule="auto"/>
      <w:jc w:val="center"/>
    </w:pPr>
    <w:rPr>
      <w:rFonts w:eastAsiaTheme="minorHAnsi"/>
      <w:i/>
      <w:iCs/>
      <w:color w:val="404040" w:themeColor="text1" w:themeTint="BF"/>
      <w:kern w:val="2"/>
      <w:sz w:val="24"/>
      <w:szCs w:val="24"/>
      <w:lang w:val="en-GB" w:bidi="ar-SA"/>
      <w14:ligatures w14:val="standardContextual"/>
    </w:rPr>
  </w:style>
  <w:style w:type="character" w:customStyle="1" w:styleId="QuoteChar">
    <w:name w:val="Quote Char"/>
    <w:basedOn w:val="DefaultParagraphFont"/>
    <w:link w:val="Quote"/>
    <w:uiPriority w:val="29"/>
    <w:rsid w:val="00883D23"/>
    <w:rPr>
      <w:i/>
      <w:iCs/>
      <w:color w:val="404040" w:themeColor="text1" w:themeTint="BF"/>
    </w:rPr>
  </w:style>
  <w:style w:type="paragraph" w:styleId="ListParagraph">
    <w:name w:val="List Paragraph"/>
    <w:basedOn w:val="Normal"/>
    <w:uiPriority w:val="34"/>
    <w:qFormat/>
    <w:rsid w:val="00883D23"/>
    <w:pPr>
      <w:spacing w:after="0" w:line="240" w:lineRule="auto"/>
      <w:ind w:left="720"/>
      <w:contextualSpacing/>
    </w:pPr>
    <w:rPr>
      <w:rFonts w:eastAsiaTheme="minorHAnsi"/>
      <w:kern w:val="2"/>
      <w:sz w:val="24"/>
      <w:szCs w:val="24"/>
      <w:lang w:val="en-GB" w:bidi="ar-SA"/>
      <w14:ligatures w14:val="standardContextual"/>
    </w:rPr>
  </w:style>
  <w:style w:type="character" w:styleId="IntenseEmphasis">
    <w:name w:val="Intense Emphasis"/>
    <w:basedOn w:val="DefaultParagraphFont"/>
    <w:uiPriority w:val="21"/>
    <w:qFormat/>
    <w:rsid w:val="00883D23"/>
    <w:rPr>
      <w:i/>
      <w:iCs/>
      <w:color w:val="0F4761" w:themeColor="accent1" w:themeShade="BF"/>
    </w:rPr>
  </w:style>
  <w:style w:type="paragraph" w:styleId="IntenseQuote">
    <w:name w:val="Intense Quote"/>
    <w:basedOn w:val="Normal"/>
    <w:next w:val="Normal"/>
    <w:link w:val="IntenseQuoteChar"/>
    <w:uiPriority w:val="30"/>
    <w:qFormat/>
    <w:rsid w:val="00883D2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4"/>
      <w:szCs w:val="24"/>
      <w:lang w:val="en-GB" w:bidi="ar-SA"/>
      <w14:ligatures w14:val="standardContextual"/>
    </w:rPr>
  </w:style>
  <w:style w:type="character" w:customStyle="1" w:styleId="IntenseQuoteChar">
    <w:name w:val="Intense Quote Char"/>
    <w:basedOn w:val="DefaultParagraphFont"/>
    <w:link w:val="IntenseQuote"/>
    <w:uiPriority w:val="30"/>
    <w:rsid w:val="00883D23"/>
    <w:rPr>
      <w:i/>
      <w:iCs/>
      <w:color w:val="0F4761" w:themeColor="accent1" w:themeShade="BF"/>
    </w:rPr>
  </w:style>
  <w:style w:type="character" w:styleId="IntenseReference">
    <w:name w:val="Intense Reference"/>
    <w:basedOn w:val="DefaultParagraphFont"/>
    <w:uiPriority w:val="32"/>
    <w:qFormat/>
    <w:rsid w:val="00883D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Civile, Ciro</dc:creator>
  <cp:keywords/>
  <dc:description/>
  <cp:lastModifiedBy>Civile, Ciro</cp:lastModifiedBy>
  <cp:revision>12</cp:revision>
  <dcterms:created xsi:type="dcterms:W3CDTF">2024-08-22T07:13:00Z</dcterms:created>
  <dcterms:modified xsi:type="dcterms:W3CDTF">2025-05-11T08:35:00Z</dcterms:modified>
</cp:coreProperties>
</file>