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99231" w14:textId="4027E859" w:rsidR="00785980" w:rsidRDefault="00785980" w:rsidP="002A445E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Material</w:t>
      </w:r>
    </w:p>
    <w:p w14:paraId="62D7F7BE" w14:textId="43D5D49C" w:rsidR="002A445E" w:rsidRPr="00785980" w:rsidRDefault="002A445E" w:rsidP="002A445E">
      <w:pPr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785980">
        <w:rPr>
          <w:rFonts w:ascii="Times New Roman" w:hAnsi="Times New Roman" w:cs="Times New Roman"/>
          <w:b/>
          <w:bCs/>
          <w:i/>
          <w:iCs/>
        </w:rPr>
        <w:t xml:space="preserve">Testing: Malingering </w:t>
      </w:r>
      <w:r w:rsidR="00785980">
        <w:rPr>
          <w:rFonts w:ascii="Times New Roman" w:hAnsi="Times New Roman" w:cs="Times New Roman"/>
          <w:b/>
          <w:bCs/>
          <w:i/>
          <w:iCs/>
        </w:rPr>
        <w:t xml:space="preserve">tests </w:t>
      </w:r>
      <w:r w:rsidRPr="00785980">
        <w:rPr>
          <w:rFonts w:ascii="Times New Roman" w:hAnsi="Times New Roman" w:cs="Times New Roman"/>
          <w:b/>
          <w:bCs/>
          <w:i/>
          <w:iCs/>
        </w:rPr>
        <w:t>and contextualizing findings in culture</w:t>
      </w:r>
    </w:p>
    <w:p w14:paraId="73D20B6F" w14:textId="31D7CBF2" w:rsidR="00363C91" w:rsidRDefault="002A445E" w:rsidP="00785980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2A445E">
        <w:rPr>
          <w:rFonts w:ascii="Times New Roman" w:hAnsi="Times New Roman" w:cs="Times New Roman"/>
        </w:rPr>
        <w:t xml:space="preserve">Although specific instruments were not </w:t>
      </w:r>
      <w:r w:rsidR="00785980">
        <w:rPr>
          <w:rFonts w:ascii="Times New Roman" w:hAnsi="Times New Roman" w:cs="Times New Roman"/>
        </w:rPr>
        <w:t>mentioned</w:t>
      </w:r>
      <w:r w:rsidRPr="002A445E">
        <w:rPr>
          <w:rFonts w:ascii="Times New Roman" w:hAnsi="Times New Roman" w:cs="Times New Roman"/>
        </w:rPr>
        <w:t xml:space="preserve"> by participants</w:t>
      </w:r>
      <w:r w:rsidR="00785980">
        <w:rPr>
          <w:rFonts w:ascii="Times New Roman" w:hAnsi="Times New Roman" w:cs="Times New Roman"/>
        </w:rPr>
        <w:t xml:space="preserve"> (even when solicited)</w:t>
      </w:r>
      <w:r w:rsidRPr="002A445E">
        <w:rPr>
          <w:rFonts w:ascii="Times New Roman" w:hAnsi="Times New Roman" w:cs="Times New Roman"/>
        </w:rPr>
        <w:t>, commonly-used instruments to detect malingering among trauma-affected populations include performance validity tests like the Test of Memory and Malingering-2</w:t>
      </w:r>
      <w:r w:rsidRPr="002A445E">
        <w:rPr>
          <w:rFonts w:ascii="Times New Roman" w:hAnsi="Times New Roman" w:cs="Times New Roman"/>
          <w:vertAlign w:val="superscript"/>
        </w:rPr>
        <w:t>nd</w:t>
      </w:r>
      <w:r w:rsidRPr="002A445E">
        <w:rPr>
          <w:rFonts w:ascii="Times New Roman" w:hAnsi="Times New Roman" w:cs="Times New Roman"/>
        </w:rPr>
        <w:t xml:space="preserve"> edition (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Tombaugh &amp; McCaffrey, n.d.) </w:t>
      </w:r>
      <w:r w:rsidRPr="002A445E">
        <w:rPr>
          <w:rFonts w:ascii="Times New Roman" w:hAnsi="Times New Roman" w:cs="Times New Roman"/>
        </w:rPr>
        <w:t xml:space="preserve">and the Dot Counting Test (Boone et al., 2002), and symptom validity </w:t>
      </w:r>
      <w:r w:rsidR="00785980">
        <w:rPr>
          <w:rFonts w:ascii="Times New Roman" w:hAnsi="Times New Roman" w:cs="Times New Roman"/>
        </w:rPr>
        <w:t>tests</w:t>
      </w:r>
      <w:r w:rsidRPr="002A445E">
        <w:rPr>
          <w:rFonts w:ascii="Times New Roman" w:hAnsi="Times New Roman" w:cs="Times New Roman"/>
        </w:rPr>
        <w:t xml:space="preserve"> like the </w:t>
      </w:r>
      <w:r w:rsidRPr="002A445E">
        <w:rPr>
          <w:rFonts w:ascii="Times New Roman" w:hAnsi="Times New Roman" w:cs="Times New Roman"/>
          <w:color w:val="0A0A0A"/>
          <w:shd w:val="clear" w:color="auto" w:fill="FFFFFF"/>
        </w:rPr>
        <w:t>Structured Inventory of Malingered Symptoms (</w:t>
      </w:r>
      <w:r w:rsidRPr="002A445E">
        <w:rPr>
          <w:rFonts w:ascii="Times New Roman" w:hAnsi="Times New Roman" w:cs="Times New Roman"/>
        </w:rPr>
        <w:t>Widows &amp; Smith, 2025</w:t>
      </w:r>
      <w:r w:rsidRPr="002A445E">
        <w:rPr>
          <w:rFonts w:ascii="Times New Roman" w:hAnsi="Times New Roman" w:cs="Times New Roman"/>
          <w:color w:val="0A0A0A"/>
          <w:shd w:val="clear" w:color="auto" w:fill="FFFFFF"/>
        </w:rPr>
        <w:t>) and validity scales from</w:t>
      </w:r>
      <w:r w:rsidRPr="002A445E">
        <w:rPr>
          <w:rFonts w:ascii="Times New Roman" w:hAnsi="Times New Roman" w:cs="Times New Roman"/>
        </w:rPr>
        <w:t xml:space="preserve"> the Minnesota Multiphasic Personality Inventory, 3</w:t>
      </w:r>
      <w:r w:rsidRPr="002A445E">
        <w:rPr>
          <w:rFonts w:ascii="Times New Roman" w:hAnsi="Times New Roman" w:cs="Times New Roman"/>
          <w:vertAlign w:val="superscript"/>
        </w:rPr>
        <w:t>rd</w:t>
      </w:r>
      <w:r w:rsidRPr="002A445E">
        <w:rPr>
          <w:rFonts w:ascii="Times New Roman" w:hAnsi="Times New Roman" w:cs="Times New Roman"/>
        </w:rPr>
        <w:t xml:space="preserve"> edition (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Ben-Porath &amp; </w:t>
      </w:r>
      <w:proofErr w:type="spellStart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Tellegen</w:t>
      </w:r>
      <w:proofErr w:type="spellEnd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, 2020</w:t>
      </w:r>
      <w:r w:rsidRPr="002A445E">
        <w:rPr>
          <w:rFonts w:ascii="Times New Roman" w:hAnsi="Times New Roman" w:cs="Times New Roman"/>
        </w:rPr>
        <w:t xml:space="preserve">) and </w:t>
      </w:r>
      <w:r w:rsidR="00363C91">
        <w:rPr>
          <w:rFonts w:ascii="Times New Roman" w:hAnsi="Times New Roman" w:cs="Times New Roman"/>
        </w:rPr>
        <w:t>Trauma Symptom Inventory-2 (Briere, 2011)</w:t>
      </w:r>
      <w:r w:rsidRPr="002A445E">
        <w:rPr>
          <w:rFonts w:ascii="Times New Roman" w:hAnsi="Times New Roman" w:cs="Times New Roman"/>
        </w:rPr>
        <w:t xml:space="preserve">. We note that practitioners should examine the literature on cross-cultural application of these measures prior to selecting them. Although the literature on forensic practice and culture is still woefully limited, recent research (e.g., </w:t>
      </w:r>
      <w:proofErr w:type="spellStart"/>
      <w:r w:rsidRPr="002A445E">
        <w:rPr>
          <w:rFonts w:ascii="Times New Roman" w:hAnsi="Times New Roman" w:cs="Times New Roman"/>
        </w:rPr>
        <w:t>Nijdam</w:t>
      </w:r>
      <w:proofErr w:type="spellEnd"/>
      <w:r w:rsidRPr="002A445E">
        <w:rPr>
          <w:rFonts w:ascii="Times New Roman" w:hAnsi="Times New Roman" w:cs="Times New Roman"/>
        </w:rPr>
        <w:t xml:space="preserve">-Jones et al., 2026) and at least one book (Rosenfeld &amp; </w:t>
      </w:r>
      <w:proofErr w:type="spellStart"/>
      <w:r w:rsidRPr="002A445E">
        <w:rPr>
          <w:rFonts w:ascii="Times New Roman" w:hAnsi="Times New Roman" w:cs="Times New Roman"/>
        </w:rPr>
        <w:t>Nidjam</w:t>
      </w:r>
      <w:proofErr w:type="spellEnd"/>
      <w:r w:rsidRPr="002A445E">
        <w:rPr>
          <w:rFonts w:ascii="Times New Roman" w:hAnsi="Times New Roman" w:cs="Times New Roman"/>
        </w:rPr>
        <w:t>-Jones, 2026) provide guidelines on applying and interpreting both performance and symptom validity measures cross-culturally.  Related, although participants in the current study rarely discussed cultural factors in diagnoses, the vast majority of FMHAs in immigration proceedings are cross-cultural encounters, and thus situating individuals’ symptoms within their cultures and their relation to their cultures is essential in making valid diagnostic inferences (</w:t>
      </w:r>
      <w:proofErr w:type="spellStart"/>
      <w:r w:rsidRPr="002A445E">
        <w:rPr>
          <w:rFonts w:ascii="Times New Roman" w:hAnsi="Times New Roman" w:cs="Times New Roman"/>
        </w:rPr>
        <w:t>Jayawickreme</w:t>
      </w:r>
      <w:proofErr w:type="spellEnd"/>
      <w:r w:rsidRPr="002A445E">
        <w:rPr>
          <w:rFonts w:ascii="Times New Roman" w:hAnsi="Times New Roman" w:cs="Times New Roman"/>
        </w:rPr>
        <w:t xml:space="preserve"> et al., 2021). To this end, including the Cultural Formulation Interview (American Psychiatric Association, 2013) in assessments is strongly suggested</w:t>
      </w:r>
    </w:p>
    <w:p w14:paraId="7791DB9C" w14:textId="77777777" w:rsidR="00785980" w:rsidRDefault="00785980" w:rsidP="002A445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541567E5" w14:textId="77777777" w:rsidR="00785980" w:rsidRDefault="00785980" w:rsidP="002A445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2873CB2C" w14:textId="77777777" w:rsidR="00785980" w:rsidRDefault="00785980" w:rsidP="002A445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062E1E76" w14:textId="77777777" w:rsidR="00785980" w:rsidRDefault="00785980" w:rsidP="002A445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794B4D3A" w14:textId="7D461F5D" w:rsidR="002A445E" w:rsidRPr="00785980" w:rsidRDefault="002A445E" w:rsidP="002A445E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785980">
        <w:rPr>
          <w:rFonts w:ascii="Times New Roman" w:hAnsi="Times New Roman" w:cs="Times New Roman"/>
          <w:b/>
          <w:bCs/>
        </w:rPr>
        <w:lastRenderedPageBreak/>
        <w:t>Supplemental References</w:t>
      </w:r>
    </w:p>
    <w:p w14:paraId="4DEC8CB8" w14:textId="24925AB9" w:rsidR="002A445E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American Psychiatric Association. (2013). Cultural formulation interview (CFI). In 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Diagnostic and statistical manual of mental disorders (5th ed.)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. https://doi.org/10.1176/appi.books.9780890425763</w:t>
      </w:r>
    </w:p>
    <w:p w14:paraId="12CB9573" w14:textId="77777777" w:rsidR="002A445E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Ben-Porath, Y. S., &amp; </w:t>
      </w:r>
      <w:proofErr w:type="spellStart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Tellegen</w:t>
      </w:r>
      <w:proofErr w:type="spellEnd"/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, A. (2020). 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Minnesota Multiphasic Personality Inventory-3 (MMPI-3): Technical manual. 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University of Minnesota Press. </w:t>
      </w:r>
    </w:p>
    <w:p w14:paraId="27312A8E" w14:textId="77777777" w:rsidR="002A445E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A445E">
        <w:rPr>
          <w:rFonts w:ascii="Times New Roman" w:hAnsi="Times New Roman" w:cs="Times New Roman"/>
          <w:color w:val="222222"/>
          <w:shd w:val="clear" w:color="auto" w:fill="FFFFFF"/>
        </w:rPr>
        <w:t>Boone, K. B., Lu, P., &amp; Herzberg, D. (2002). 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Dot counting test manual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. Western Psychological Services.</w:t>
      </w:r>
    </w:p>
    <w:p w14:paraId="2619F7F8" w14:textId="77777777" w:rsidR="00363C91" w:rsidRDefault="00363C91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363C91">
        <w:rPr>
          <w:rFonts w:ascii="Times New Roman" w:hAnsi="Times New Roman" w:cs="Times New Roman"/>
          <w:color w:val="222222"/>
          <w:shd w:val="clear" w:color="auto" w:fill="FFFFFF"/>
        </w:rPr>
        <w:t xml:space="preserve">Briere, J. (2011). </w:t>
      </w:r>
      <w:r w:rsidRPr="00363C9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Trauma Symptom Inventory–2</w:t>
      </w:r>
      <w:r w:rsidRPr="00363C91">
        <w:rPr>
          <w:rFonts w:ascii="Times New Roman" w:hAnsi="Times New Roman" w:cs="Times New Roman"/>
          <w:color w:val="222222"/>
          <w:shd w:val="clear" w:color="auto" w:fill="FFFFFF"/>
        </w:rPr>
        <w:t xml:space="preserve"> (TSI-2). Lutz, FL: Psychological Assessment Resources.</w:t>
      </w:r>
    </w:p>
    <w:p w14:paraId="4328B508" w14:textId="5F3C446D" w:rsidR="002A445E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Jayawickreme</w:t>
      </w:r>
      <w:proofErr w:type="spellEnd"/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, N., Knight, S., </w:t>
      </w:r>
      <w:r w:rsidRPr="002A445E">
        <w:rPr>
          <w:rFonts w:ascii="Times New Roman" w:hAnsi="Times New Roman" w:cs="Times New Roman"/>
          <w:bCs/>
          <w:color w:val="222222"/>
          <w:shd w:val="clear" w:color="auto" w:fill="FFFFFF"/>
        </w:rPr>
        <w:t>Rasmussen, A.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, &amp; Ryder, A. G. (2021). Cultural Issues in Psychological Assessment. In M. Bagby &amp; M. </w:t>
      </w:r>
      <w:proofErr w:type="spellStart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Sellbom</w:t>
      </w:r>
      <w:proofErr w:type="spellEnd"/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 (Eds.), </w:t>
      </w:r>
      <w:r w:rsidRPr="002A445E">
        <w:rPr>
          <w:rFonts w:ascii="Times New Roman" w:hAnsi="Times New Roman" w:cs="Times New Roman"/>
          <w:iCs/>
          <w:color w:val="222222"/>
          <w:shd w:val="clear" w:color="auto" w:fill="FFFFFF"/>
        </w:rPr>
        <w:t>Comprehensive Clinical Psychology</w:t>
      </w:r>
      <w:r w:rsidRPr="002A445E">
        <w:rPr>
          <w:rFonts w:ascii="Times New Roman" w:hAnsi="Times New Roman" w:cs="Times New Roman"/>
        </w:rPr>
        <w:t>, 2</w:t>
      </w:r>
      <w:r w:rsidRPr="002A445E">
        <w:rPr>
          <w:rFonts w:ascii="Times New Roman" w:hAnsi="Times New Roman" w:cs="Times New Roman"/>
          <w:vertAlign w:val="superscript"/>
        </w:rPr>
        <w:t>nd</w:t>
      </w:r>
      <w:r w:rsidRPr="002A445E">
        <w:rPr>
          <w:rFonts w:ascii="Times New Roman" w:hAnsi="Times New Roman" w:cs="Times New Roman"/>
        </w:rPr>
        <w:t xml:space="preserve"> Edition</w:t>
      </w:r>
      <w:r w:rsidRPr="002A445E">
        <w:rPr>
          <w:rFonts w:ascii="Times New Roman" w:hAnsi="Times New Roman" w:cs="Times New Roman"/>
          <w:iCs/>
          <w:color w:val="222222"/>
          <w:shd w:val="clear" w:color="auto" w:fill="FFFFFF"/>
        </w:rPr>
        <w:t>.  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Oxford, UK: Pergamon.</w:t>
      </w:r>
    </w:p>
    <w:p w14:paraId="0F9960F7" w14:textId="77777777" w:rsidR="002A445E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A445E">
        <w:rPr>
          <w:rFonts w:ascii="Times New Roman" w:hAnsi="Times New Roman" w:cs="Times New Roman"/>
          <w:color w:val="222222"/>
          <w:shd w:val="clear" w:color="auto" w:fill="FFFFFF"/>
        </w:rPr>
        <w:t xml:space="preserve">Nijdam-Jones, A., </w:t>
      </w:r>
      <w:proofErr w:type="spellStart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Aminot</w:t>
      </w:r>
      <w:proofErr w:type="spellEnd"/>
      <w:r w:rsidRPr="002A445E">
        <w:rPr>
          <w:rFonts w:ascii="Times New Roman" w:hAnsi="Times New Roman" w:cs="Times New Roman"/>
          <w:color w:val="222222"/>
          <w:shd w:val="clear" w:color="auto" w:fill="FFFFFF"/>
        </w:rPr>
        <w:t>, K., Merchan-Rojas, L., Díaz-Victoria, A. R., &amp; García-López, E. (2026). Cross-Cultural Performance of the TOMM 2 and Dot Counting Test in Mexico: Implications for Forensic Assessment. 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Psychological Injury and Law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19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(1), 10. https://doi.org/10.1007/s12207-026-09558-x</w:t>
      </w:r>
    </w:p>
    <w:p w14:paraId="4495A1D1" w14:textId="77777777" w:rsidR="002A445E" w:rsidRPr="002A445E" w:rsidRDefault="002A445E" w:rsidP="002A445E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</w:rPr>
      </w:pPr>
      <w:r w:rsidRPr="002A445E">
        <w:rPr>
          <w:rFonts w:ascii="Times New Roman" w:hAnsi="Times New Roman" w:cs="Times New Roman"/>
        </w:rPr>
        <w:t xml:space="preserve">Rosenfeld, B., &amp; </w:t>
      </w:r>
      <w:proofErr w:type="spellStart"/>
      <w:r w:rsidRPr="002A445E">
        <w:rPr>
          <w:rFonts w:ascii="Times New Roman" w:hAnsi="Times New Roman" w:cs="Times New Roman"/>
        </w:rPr>
        <w:t>Nijdam</w:t>
      </w:r>
      <w:proofErr w:type="spellEnd"/>
      <w:r w:rsidRPr="002A445E">
        <w:rPr>
          <w:rFonts w:ascii="Times New Roman" w:hAnsi="Times New Roman" w:cs="Times New Roman"/>
        </w:rPr>
        <w:t xml:space="preserve">-Jones, A. (2026). </w:t>
      </w:r>
      <w:r w:rsidRPr="002A445E">
        <w:rPr>
          <w:rFonts w:ascii="Times New Roman" w:hAnsi="Times New Roman" w:cs="Times New Roman"/>
          <w:i/>
          <w:iCs/>
        </w:rPr>
        <w:t>Cultural and linguistic considerations in forensic mental health assessment: A guide for clinicians.</w:t>
      </w:r>
      <w:r w:rsidRPr="002A445E">
        <w:rPr>
          <w:rFonts w:ascii="Times New Roman" w:hAnsi="Times New Roman" w:cs="Times New Roman"/>
        </w:rPr>
        <w:t xml:space="preserve"> Oxford Academic. </w:t>
      </w:r>
      <w:hyperlink r:id="rId4" w:history="1">
        <w:r w:rsidRPr="002A445E">
          <w:rPr>
            <w:rStyle w:val="Hyperlink"/>
            <w:rFonts w:ascii="Times New Roman" w:hAnsi="Times New Roman" w:cs="Times New Roman"/>
          </w:rPr>
          <w:t>https://doi.org/10.1093/9780190900991.003.0009</w:t>
        </w:r>
      </w:hyperlink>
    </w:p>
    <w:p w14:paraId="392DF249" w14:textId="77777777" w:rsidR="002A445E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A445E">
        <w:rPr>
          <w:rFonts w:ascii="Times New Roman" w:hAnsi="Times New Roman" w:cs="Times New Roman"/>
          <w:color w:val="222222"/>
          <w:shd w:val="clear" w:color="auto" w:fill="FFFFFF"/>
        </w:rPr>
        <w:t>Tombaugh, T. N., &amp; McCaffrey, R. J. (n.d.). 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Test of Memory Malingering (TOMM2) – 2nd edition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 [Unpublished test manual]. Multi-Health Systems Inc.</w:t>
      </w:r>
    </w:p>
    <w:p w14:paraId="5E1FA7ED" w14:textId="6FE2907E" w:rsidR="00FB1769" w:rsidRPr="002A445E" w:rsidRDefault="002A445E" w:rsidP="002A445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2A445E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>Widows, M. R., &amp; Smith, G. P. (2005). </w:t>
      </w:r>
      <w:r w:rsidRPr="002A44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SIMS: Structured Inventory of Malingered Symptomatology: Professional manual</w:t>
      </w:r>
      <w:r w:rsidRPr="002A445E">
        <w:rPr>
          <w:rFonts w:ascii="Times New Roman" w:hAnsi="Times New Roman" w:cs="Times New Roman"/>
          <w:color w:val="222222"/>
          <w:shd w:val="clear" w:color="auto" w:fill="FFFFFF"/>
        </w:rPr>
        <w:t>. PAR.</w:t>
      </w:r>
    </w:p>
    <w:sectPr w:rsidR="00FB1769" w:rsidRPr="002A4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5E"/>
    <w:rsid w:val="00096482"/>
    <w:rsid w:val="002A445E"/>
    <w:rsid w:val="002B6801"/>
    <w:rsid w:val="00363C91"/>
    <w:rsid w:val="004F1C94"/>
    <w:rsid w:val="00625CA8"/>
    <w:rsid w:val="00785980"/>
    <w:rsid w:val="00AC4529"/>
    <w:rsid w:val="00FB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2F328"/>
  <w15:chartTrackingRefBased/>
  <w15:docId w15:val="{760B8A6F-9C83-784F-81B9-411AB8A5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4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4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4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4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4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4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4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4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4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4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4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4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4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4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4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45E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A4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45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45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A44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93/9780190900991.003.0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Rasmussen, Andrew E.</dc:creator>
  <cp:keywords/>
  <dc:description/>
  <cp:lastModifiedBy>Rasmussen, Andrew E.</cp:lastModifiedBy>
  <cp:revision>3</cp:revision>
  <dcterms:created xsi:type="dcterms:W3CDTF">2026-04-28T14:07:00Z</dcterms:created>
  <dcterms:modified xsi:type="dcterms:W3CDTF">2026-04-28T18:28:00Z</dcterms:modified>
</cp:coreProperties>
</file>