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AEBD0D" w14:textId="77777777" w:rsidR="00765D30" w:rsidRPr="000B4D87" w:rsidRDefault="00765D30" w:rsidP="00765D30">
      <w:pPr>
        <w:spacing w:after="0" w:line="480" w:lineRule="auto"/>
        <w:jc w:val="center"/>
        <w:rPr>
          <w:rFonts w:ascii="Calibri" w:hAnsi="Calibri" w:cs="Calibri"/>
          <w:b/>
          <w:bCs/>
          <w:sz w:val="22"/>
          <w:szCs w:val="22"/>
        </w:rPr>
      </w:pPr>
      <w:r w:rsidRPr="000B4D87">
        <w:rPr>
          <w:rFonts w:ascii="Calibri" w:hAnsi="Calibri" w:cs="Calibri"/>
          <w:b/>
          <w:bCs/>
          <w:sz w:val="22"/>
          <w:szCs w:val="22"/>
        </w:rPr>
        <w:t xml:space="preserve">“It Feels Like a Safe Container”: Experiences of </w:t>
      </w:r>
      <w:r w:rsidRPr="000B4D87">
        <w:rPr>
          <w:rFonts w:ascii="Calibri" w:hAnsi="Calibri" w:cs="Calibri"/>
          <w:b/>
          <w:bCs/>
          <w:i/>
          <w:iCs/>
          <w:sz w:val="22"/>
          <w:szCs w:val="22"/>
        </w:rPr>
        <w:t>Finding Solid Ground</w:t>
      </w:r>
      <w:r w:rsidRPr="000B4D87">
        <w:rPr>
          <w:rFonts w:ascii="Calibri" w:hAnsi="Calibri" w:cs="Calibri"/>
          <w:b/>
          <w:bCs/>
          <w:sz w:val="22"/>
          <w:szCs w:val="22"/>
        </w:rPr>
        <w:t xml:space="preserve"> Groups for Adults </w:t>
      </w:r>
      <w:proofErr w:type="gramStart"/>
      <w:r w:rsidRPr="000B4D87">
        <w:rPr>
          <w:rFonts w:ascii="Calibri" w:hAnsi="Calibri" w:cs="Calibri"/>
          <w:b/>
          <w:bCs/>
          <w:sz w:val="22"/>
          <w:szCs w:val="22"/>
        </w:rPr>
        <w:t>With</w:t>
      </w:r>
      <w:proofErr w:type="gramEnd"/>
      <w:r w:rsidRPr="000B4D87">
        <w:rPr>
          <w:rFonts w:ascii="Calibri" w:hAnsi="Calibri" w:cs="Calibri"/>
          <w:b/>
          <w:bCs/>
          <w:sz w:val="22"/>
          <w:szCs w:val="22"/>
        </w:rPr>
        <w:t xml:space="preserve"> Dissociative Disorders</w:t>
      </w:r>
    </w:p>
    <w:p w14:paraId="63011BE2" w14:textId="77777777" w:rsidR="00765D30" w:rsidRDefault="00765D30" w:rsidP="00765D30">
      <w:pPr>
        <w:spacing w:after="0" w:line="240" w:lineRule="auto"/>
        <w:rPr>
          <w:rFonts w:ascii="Calibri" w:hAnsi="Calibri" w:cs="Calibri"/>
          <w:b/>
          <w:bCs/>
          <w:sz w:val="22"/>
          <w:szCs w:val="22"/>
          <w:highlight w:val="yellow"/>
        </w:rPr>
      </w:pPr>
    </w:p>
    <w:p w14:paraId="1F28BA4F" w14:textId="77777777" w:rsidR="00765D30" w:rsidRDefault="00765D30" w:rsidP="00765D30">
      <w:pPr>
        <w:spacing w:after="0" w:line="240" w:lineRule="auto"/>
        <w:rPr>
          <w:rFonts w:ascii="Calibri" w:hAnsi="Calibri" w:cs="Calibri"/>
          <w:b/>
          <w:bCs/>
          <w:sz w:val="22"/>
          <w:szCs w:val="22"/>
          <w:highlight w:val="yellow"/>
        </w:rPr>
      </w:pPr>
    </w:p>
    <w:p w14:paraId="09A0B9DF" w14:textId="3C979B2C" w:rsidR="00765D30" w:rsidRPr="008E59DC" w:rsidRDefault="00765D30" w:rsidP="00765D30">
      <w:pPr>
        <w:spacing w:after="0" w:line="240" w:lineRule="auto"/>
        <w:rPr>
          <w:rFonts w:ascii="Calibri" w:hAnsi="Calibri" w:cs="Calibri"/>
          <w:sz w:val="22"/>
          <w:szCs w:val="22"/>
        </w:rPr>
      </w:pPr>
      <w:r w:rsidRPr="008E59DC">
        <w:rPr>
          <w:rFonts w:ascii="Calibri" w:hAnsi="Calibri" w:cs="Calibri"/>
          <w:b/>
          <w:bCs/>
          <w:sz w:val="22"/>
          <w:szCs w:val="22"/>
        </w:rPr>
        <w:t>Supplemental Table 1</w:t>
      </w:r>
    </w:p>
    <w:p w14:paraId="7607483F" w14:textId="77777777" w:rsidR="00765D30" w:rsidRPr="008E59DC" w:rsidRDefault="00765D30" w:rsidP="00765D30">
      <w:pPr>
        <w:spacing w:after="0" w:line="240" w:lineRule="auto"/>
        <w:rPr>
          <w:rFonts w:ascii="Calibri" w:hAnsi="Calibri" w:cs="Calibri"/>
          <w:i/>
          <w:iCs/>
          <w:sz w:val="22"/>
          <w:szCs w:val="22"/>
        </w:rPr>
      </w:pPr>
    </w:p>
    <w:p w14:paraId="106B877C" w14:textId="77777777" w:rsidR="00765D30" w:rsidRPr="008E59DC" w:rsidRDefault="00765D30" w:rsidP="00765D30">
      <w:pPr>
        <w:spacing w:after="0" w:line="240" w:lineRule="auto"/>
        <w:rPr>
          <w:rFonts w:ascii="Calibri" w:hAnsi="Calibri" w:cs="Calibri"/>
          <w:i/>
          <w:iCs/>
          <w:sz w:val="22"/>
          <w:szCs w:val="22"/>
        </w:rPr>
      </w:pPr>
      <w:r w:rsidRPr="008E59DC">
        <w:rPr>
          <w:rFonts w:ascii="Calibri" w:hAnsi="Calibri" w:cs="Calibri"/>
          <w:i/>
          <w:iCs/>
          <w:sz w:val="22"/>
          <w:szCs w:val="22"/>
        </w:rPr>
        <w:t>Reflexive Thematic Analysis Process</w:t>
      </w:r>
    </w:p>
    <w:p w14:paraId="0839576C" w14:textId="77777777" w:rsidR="00765D30" w:rsidRPr="008E59DC" w:rsidRDefault="00765D30" w:rsidP="00765D30">
      <w:pPr>
        <w:spacing w:after="0" w:line="240" w:lineRule="auto"/>
        <w:rPr>
          <w:rFonts w:ascii="Calibri" w:hAnsi="Calibri" w:cs="Calibri"/>
          <w:i/>
          <w:iCs/>
          <w:sz w:val="22"/>
          <w:szCs w:val="22"/>
        </w:rPr>
      </w:pPr>
    </w:p>
    <w:tbl>
      <w:tblPr>
        <w:tblStyle w:val="TableGrid"/>
        <w:tblW w:w="0" w:type="auto"/>
        <w:tblLook w:val="04A0" w:firstRow="1" w:lastRow="0" w:firstColumn="1" w:lastColumn="0" w:noHBand="0" w:noVBand="1"/>
      </w:tblPr>
      <w:tblGrid>
        <w:gridCol w:w="3685"/>
        <w:gridCol w:w="5665"/>
      </w:tblGrid>
      <w:tr w:rsidR="00765D30" w:rsidRPr="008E59DC" w14:paraId="137ED7C4" w14:textId="77777777" w:rsidTr="002067F7">
        <w:tc>
          <w:tcPr>
            <w:tcW w:w="3685" w:type="dxa"/>
          </w:tcPr>
          <w:p w14:paraId="1ADB86A1" w14:textId="77777777" w:rsidR="00765D30" w:rsidRPr="008E59DC" w:rsidRDefault="00765D30" w:rsidP="002067F7">
            <w:pPr>
              <w:rPr>
                <w:rFonts w:ascii="Calibri" w:hAnsi="Calibri" w:cs="Calibri"/>
                <w:sz w:val="22"/>
                <w:szCs w:val="22"/>
              </w:rPr>
            </w:pPr>
            <w:r w:rsidRPr="008E59DC">
              <w:rPr>
                <w:rFonts w:ascii="Calibri" w:hAnsi="Calibri" w:cs="Calibri"/>
                <w:sz w:val="22"/>
                <w:szCs w:val="22"/>
              </w:rPr>
              <w:t>Reflexive journal</w:t>
            </w:r>
          </w:p>
        </w:tc>
        <w:tc>
          <w:tcPr>
            <w:tcW w:w="5665" w:type="dxa"/>
          </w:tcPr>
          <w:p w14:paraId="72C89165" w14:textId="77777777" w:rsidR="00765D30" w:rsidRPr="008E59DC" w:rsidRDefault="00765D30" w:rsidP="002067F7">
            <w:pPr>
              <w:rPr>
                <w:rFonts w:ascii="Calibri" w:hAnsi="Calibri" w:cs="Calibri"/>
                <w:sz w:val="22"/>
                <w:szCs w:val="22"/>
              </w:rPr>
            </w:pPr>
            <w:r w:rsidRPr="008E59DC">
              <w:rPr>
                <w:rFonts w:ascii="Calibri" w:hAnsi="Calibri" w:cs="Calibri"/>
                <w:sz w:val="22"/>
                <w:szCs w:val="22"/>
              </w:rPr>
              <w:t xml:space="preserve">The first author kept a reflexive journal capturing thoughts and reactions during the coding and analysis process.  </w:t>
            </w:r>
          </w:p>
        </w:tc>
      </w:tr>
      <w:tr w:rsidR="00765D30" w:rsidRPr="008E59DC" w14:paraId="3A1E185D" w14:textId="77777777" w:rsidTr="002067F7">
        <w:tc>
          <w:tcPr>
            <w:tcW w:w="3685" w:type="dxa"/>
          </w:tcPr>
          <w:p w14:paraId="0428284A" w14:textId="77777777" w:rsidR="00765D30" w:rsidRPr="008E59DC" w:rsidRDefault="00765D30" w:rsidP="002067F7">
            <w:pPr>
              <w:rPr>
                <w:rFonts w:ascii="Calibri" w:hAnsi="Calibri" w:cs="Calibri"/>
                <w:sz w:val="22"/>
                <w:szCs w:val="22"/>
              </w:rPr>
            </w:pPr>
            <w:r w:rsidRPr="008E59DC">
              <w:rPr>
                <w:rFonts w:ascii="Calibri" w:hAnsi="Calibri" w:cs="Calibri"/>
                <w:sz w:val="22"/>
                <w:szCs w:val="22"/>
              </w:rPr>
              <w:t>Phase one, familiarization</w:t>
            </w:r>
          </w:p>
        </w:tc>
        <w:tc>
          <w:tcPr>
            <w:tcW w:w="5665" w:type="dxa"/>
          </w:tcPr>
          <w:p w14:paraId="139E4733" w14:textId="77777777" w:rsidR="00765D30" w:rsidRPr="008E59DC" w:rsidRDefault="00765D30" w:rsidP="002067F7">
            <w:pPr>
              <w:rPr>
                <w:rFonts w:ascii="Calibri" w:hAnsi="Calibri" w:cs="Calibri"/>
                <w:sz w:val="22"/>
                <w:szCs w:val="22"/>
              </w:rPr>
            </w:pPr>
            <w:r w:rsidRPr="008E59DC">
              <w:rPr>
                <w:rFonts w:ascii="Calibri" w:hAnsi="Calibri" w:cs="Calibri"/>
                <w:sz w:val="22"/>
                <w:szCs w:val="22"/>
              </w:rPr>
              <w:t>Both first and second authors read the raw data repeatedly for familiarization.</w:t>
            </w:r>
          </w:p>
        </w:tc>
      </w:tr>
      <w:tr w:rsidR="00765D30" w:rsidRPr="008E59DC" w14:paraId="159B35D4" w14:textId="77777777" w:rsidTr="002067F7">
        <w:tc>
          <w:tcPr>
            <w:tcW w:w="3685" w:type="dxa"/>
          </w:tcPr>
          <w:p w14:paraId="2F998167" w14:textId="77777777" w:rsidR="00765D30" w:rsidRPr="008E59DC" w:rsidRDefault="00765D30" w:rsidP="002067F7">
            <w:pPr>
              <w:rPr>
                <w:rFonts w:ascii="Calibri" w:hAnsi="Calibri" w:cs="Calibri"/>
                <w:sz w:val="22"/>
                <w:szCs w:val="22"/>
              </w:rPr>
            </w:pPr>
            <w:r w:rsidRPr="008E59DC">
              <w:rPr>
                <w:rFonts w:ascii="Calibri" w:hAnsi="Calibri" w:cs="Calibri"/>
                <w:sz w:val="22"/>
                <w:szCs w:val="22"/>
              </w:rPr>
              <w:t>Phase two, coding</w:t>
            </w:r>
          </w:p>
        </w:tc>
        <w:tc>
          <w:tcPr>
            <w:tcW w:w="5665" w:type="dxa"/>
          </w:tcPr>
          <w:p w14:paraId="2F060930" w14:textId="52506A92" w:rsidR="00765D30" w:rsidRPr="008E59DC" w:rsidRDefault="00765D30" w:rsidP="002067F7">
            <w:pPr>
              <w:rPr>
                <w:rFonts w:ascii="Calibri" w:hAnsi="Calibri" w:cs="Calibri"/>
                <w:sz w:val="22"/>
                <w:szCs w:val="22"/>
              </w:rPr>
            </w:pPr>
            <w:r w:rsidRPr="008E59DC">
              <w:rPr>
                <w:rFonts w:ascii="Calibri" w:hAnsi="Calibri" w:cs="Calibri"/>
                <w:sz w:val="22"/>
                <w:szCs w:val="22"/>
              </w:rPr>
              <w:t xml:space="preserve">The first author semantically coded the data using </w:t>
            </w:r>
            <w:proofErr w:type="spellStart"/>
            <w:r w:rsidRPr="008E59DC">
              <w:rPr>
                <w:rFonts w:ascii="Calibri" w:hAnsi="Calibri" w:cs="Calibri"/>
                <w:sz w:val="22"/>
                <w:szCs w:val="22"/>
              </w:rPr>
              <w:t>Nvivo</w:t>
            </w:r>
            <w:proofErr w:type="spellEnd"/>
            <w:r w:rsidRPr="008E59DC">
              <w:rPr>
                <w:rFonts w:ascii="Calibri" w:hAnsi="Calibri" w:cs="Calibri"/>
                <w:sz w:val="22"/>
                <w:szCs w:val="22"/>
              </w:rPr>
              <w:t xml:space="preserve">, capturing meaning phrase by phrase and generating codes representing all the topics present in the data. The first author completed a second coding of the data with a more latent focus using Google Sheets. The second author also conducted an initial coding and then a second coding of all the data, with a deeper, more latent focus, both on Google Sheets. The codes developed by the first and second </w:t>
            </w:r>
            <w:r w:rsidR="004B597E" w:rsidRPr="008E59DC">
              <w:rPr>
                <w:rFonts w:ascii="Calibri" w:hAnsi="Calibri" w:cs="Calibri"/>
                <w:sz w:val="22"/>
                <w:szCs w:val="22"/>
              </w:rPr>
              <w:t>authors were</w:t>
            </w:r>
            <w:r w:rsidRPr="008E59DC">
              <w:rPr>
                <w:rFonts w:ascii="Calibri" w:hAnsi="Calibri" w:cs="Calibri"/>
                <w:sz w:val="22"/>
                <w:szCs w:val="22"/>
              </w:rPr>
              <w:t xml:space="preserve"> placed side by side, compared and discussed. We point out that in reflexive analysis it is not necessary for codes to be the same, but we notice and consider the reasons for any variance to increase the depth of our analysis. We agreed that all the codes were in essential agreement on their meaning.</w:t>
            </w:r>
          </w:p>
        </w:tc>
      </w:tr>
      <w:tr w:rsidR="00765D30" w:rsidRPr="008E59DC" w14:paraId="0B37AD6A" w14:textId="77777777" w:rsidTr="002067F7">
        <w:tc>
          <w:tcPr>
            <w:tcW w:w="3685" w:type="dxa"/>
          </w:tcPr>
          <w:p w14:paraId="7E6CD31D" w14:textId="77777777" w:rsidR="00765D30" w:rsidRPr="008E59DC" w:rsidRDefault="00765D30" w:rsidP="002067F7">
            <w:pPr>
              <w:rPr>
                <w:rFonts w:ascii="Calibri" w:hAnsi="Calibri" w:cs="Calibri"/>
                <w:sz w:val="22"/>
                <w:szCs w:val="22"/>
              </w:rPr>
            </w:pPr>
            <w:r w:rsidRPr="008E59DC">
              <w:rPr>
                <w:rFonts w:ascii="Calibri" w:hAnsi="Calibri" w:cs="Calibri"/>
                <w:sz w:val="22"/>
                <w:szCs w:val="22"/>
              </w:rPr>
              <w:t>Phase three, initial theme development</w:t>
            </w:r>
          </w:p>
        </w:tc>
        <w:tc>
          <w:tcPr>
            <w:tcW w:w="5665" w:type="dxa"/>
          </w:tcPr>
          <w:p w14:paraId="2FEBFC38" w14:textId="77777777" w:rsidR="00765D30" w:rsidRPr="008E59DC" w:rsidRDefault="00765D30" w:rsidP="002067F7">
            <w:pPr>
              <w:rPr>
                <w:rFonts w:ascii="Calibri" w:hAnsi="Calibri" w:cs="Calibri"/>
                <w:sz w:val="22"/>
                <w:szCs w:val="22"/>
              </w:rPr>
            </w:pPr>
            <w:r w:rsidRPr="008E59DC">
              <w:rPr>
                <w:rFonts w:ascii="Calibri" w:hAnsi="Calibri" w:cs="Calibri"/>
                <w:sz w:val="22"/>
                <w:szCs w:val="22"/>
              </w:rPr>
              <w:t>Initial themes were generated independently by the first two authors, which were then compared and discussed.</w:t>
            </w:r>
          </w:p>
        </w:tc>
      </w:tr>
      <w:tr w:rsidR="00765D30" w:rsidRPr="008E59DC" w14:paraId="0A7D98BC" w14:textId="77777777" w:rsidTr="002067F7">
        <w:tc>
          <w:tcPr>
            <w:tcW w:w="3685" w:type="dxa"/>
          </w:tcPr>
          <w:p w14:paraId="72047068" w14:textId="77777777" w:rsidR="00765D30" w:rsidRPr="008E59DC" w:rsidRDefault="00765D30" w:rsidP="002067F7">
            <w:pPr>
              <w:rPr>
                <w:rFonts w:ascii="Calibri" w:hAnsi="Calibri" w:cs="Calibri"/>
                <w:sz w:val="22"/>
                <w:szCs w:val="22"/>
              </w:rPr>
            </w:pPr>
            <w:r w:rsidRPr="008E59DC">
              <w:rPr>
                <w:rFonts w:ascii="Calibri" w:hAnsi="Calibri" w:cs="Calibri"/>
                <w:sz w:val="22"/>
                <w:szCs w:val="22"/>
              </w:rPr>
              <w:t>Phase four, developing themes</w:t>
            </w:r>
          </w:p>
        </w:tc>
        <w:tc>
          <w:tcPr>
            <w:tcW w:w="5665" w:type="dxa"/>
          </w:tcPr>
          <w:p w14:paraId="2F5928C3" w14:textId="77777777" w:rsidR="00765D30" w:rsidRPr="008E59DC" w:rsidRDefault="00765D30" w:rsidP="002067F7">
            <w:pPr>
              <w:rPr>
                <w:rFonts w:ascii="Calibri" w:hAnsi="Calibri" w:cs="Calibri"/>
                <w:sz w:val="22"/>
                <w:szCs w:val="22"/>
              </w:rPr>
            </w:pPr>
            <w:r w:rsidRPr="008E59DC">
              <w:rPr>
                <w:rFonts w:ascii="Calibri" w:hAnsi="Calibri" w:cs="Calibri"/>
                <w:sz w:val="22"/>
                <w:szCs w:val="22"/>
              </w:rPr>
              <w:t xml:space="preserve">The initial themes were developed and refined by discussion and consideration of each theme according to Braun and Clarke’s (2022) criteria of defining a central organizing concept, delineating boundaries, validation by data, and considering the importance of the theme </w:t>
            </w:r>
            <w:proofErr w:type="gramStart"/>
            <w:r w:rsidRPr="008E59DC">
              <w:rPr>
                <w:rFonts w:ascii="Calibri" w:hAnsi="Calibri" w:cs="Calibri"/>
                <w:sz w:val="22"/>
                <w:szCs w:val="22"/>
              </w:rPr>
              <w:t>in regard to</w:t>
            </w:r>
            <w:proofErr w:type="gramEnd"/>
            <w:r w:rsidRPr="008E59DC">
              <w:rPr>
                <w:rFonts w:ascii="Calibri" w:hAnsi="Calibri" w:cs="Calibri"/>
                <w:sz w:val="22"/>
                <w:szCs w:val="22"/>
              </w:rPr>
              <w:t xml:space="preserve"> the research questions.</w:t>
            </w:r>
          </w:p>
        </w:tc>
      </w:tr>
      <w:tr w:rsidR="00765D30" w:rsidRPr="008E59DC" w14:paraId="7B230BB9" w14:textId="77777777" w:rsidTr="002067F7">
        <w:tc>
          <w:tcPr>
            <w:tcW w:w="3685" w:type="dxa"/>
          </w:tcPr>
          <w:p w14:paraId="0F591A40" w14:textId="77777777" w:rsidR="00765D30" w:rsidRPr="008E59DC" w:rsidRDefault="00765D30" w:rsidP="002067F7">
            <w:pPr>
              <w:rPr>
                <w:rFonts w:ascii="Calibri" w:hAnsi="Calibri" w:cs="Calibri"/>
                <w:sz w:val="22"/>
                <w:szCs w:val="22"/>
              </w:rPr>
            </w:pPr>
            <w:r w:rsidRPr="008E59DC">
              <w:rPr>
                <w:rFonts w:ascii="Calibri" w:hAnsi="Calibri" w:cs="Calibri"/>
                <w:sz w:val="22"/>
                <w:szCs w:val="22"/>
              </w:rPr>
              <w:t>Phase five, refining themes</w:t>
            </w:r>
          </w:p>
        </w:tc>
        <w:tc>
          <w:tcPr>
            <w:tcW w:w="5665" w:type="dxa"/>
          </w:tcPr>
          <w:p w14:paraId="6850B455" w14:textId="77777777" w:rsidR="00765D30" w:rsidRPr="008E59DC" w:rsidRDefault="00765D30" w:rsidP="002067F7">
            <w:pPr>
              <w:rPr>
                <w:rFonts w:ascii="Calibri" w:hAnsi="Calibri" w:cs="Calibri"/>
                <w:sz w:val="22"/>
                <w:szCs w:val="22"/>
              </w:rPr>
            </w:pPr>
            <w:r w:rsidRPr="008E59DC">
              <w:rPr>
                <w:rFonts w:ascii="Calibri" w:hAnsi="Calibri" w:cs="Calibri"/>
                <w:sz w:val="22"/>
                <w:szCs w:val="22"/>
              </w:rPr>
              <w:t>The first and second authors recursively discussed the themes, refining their central organizing concepts, naming them, and summarizing them.</w:t>
            </w:r>
          </w:p>
        </w:tc>
      </w:tr>
      <w:tr w:rsidR="00765D30" w:rsidRPr="000B4D87" w14:paraId="4411DF18" w14:textId="77777777" w:rsidTr="002067F7">
        <w:tc>
          <w:tcPr>
            <w:tcW w:w="3685" w:type="dxa"/>
          </w:tcPr>
          <w:p w14:paraId="0A85B92A" w14:textId="77777777" w:rsidR="00765D30" w:rsidRPr="008E59DC" w:rsidRDefault="00765D30" w:rsidP="002067F7">
            <w:pPr>
              <w:rPr>
                <w:rFonts w:ascii="Calibri" w:hAnsi="Calibri" w:cs="Calibri"/>
                <w:sz w:val="22"/>
                <w:szCs w:val="22"/>
              </w:rPr>
            </w:pPr>
            <w:r w:rsidRPr="008E59DC">
              <w:rPr>
                <w:rFonts w:ascii="Calibri" w:hAnsi="Calibri" w:cs="Calibri"/>
                <w:sz w:val="22"/>
                <w:szCs w:val="22"/>
              </w:rPr>
              <w:t>Phase six, producing the report</w:t>
            </w:r>
          </w:p>
        </w:tc>
        <w:tc>
          <w:tcPr>
            <w:tcW w:w="5665" w:type="dxa"/>
          </w:tcPr>
          <w:p w14:paraId="471D2499" w14:textId="72154B90" w:rsidR="00765D30" w:rsidRPr="000B4D87" w:rsidRDefault="00765D30" w:rsidP="002067F7">
            <w:pPr>
              <w:rPr>
                <w:rFonts w:ascii="Calibri" w:hAnsi="Calibri" w:cs="Calibri"/>
                <w:sz w:val="22"/>
                <w:szCs w:val="22"/>
              </w:rPr>
            </w:pPr>
            <w:r w:rsidRPr="008E59DC">
              <w:rPr>
                <w:rFonts w:ascii="Calibri" w:hAnsi="Calibri" w:cs="Calibri"/>
                <w:sz w:val="22"/>
                <w:szCs w:val="22"/>
              </w:rPr>
              <w:t>The initial write-up was recursively compared to the raw data by the first two authors and shared with individuals with DDs who were not part of the research, but are participating in FSG psychoeducational groups</w:t>
            </w:r>
            <w:r w:rsidR="004B597E" w:rsidRPr="008E59DC">
              <w:rPr>
                <w:rFonts w:ascii="Calibri" w:hAnsi="Calibri" w:cs="Calibri"/>
                <w:sz w:val="22"/>
                <w:szCs w:val="22"/>
              </w:rPr>
              <w:t>,</w:t>
            </w:r>
            <w:r w:rsidRPr="008E59DC">
              <w:rPr>
                <w:rFonts w:ascii="Calibri" w:hAnsi="Calibri" w:cs="Calibri"/>
                <w:sz w:val="22"/>
                <w:szCs w:val="22"/>
              </w:rPr>
              <w:t xml:space="preserve"> to provide outside impressions from a similar group about whether the developed themes felt authentic. We checked our analysis procedure continually against Braun and Clarke’s (2022, p. 269) quality checklist for reflexive thematic analysis.</w:t>
            </w:r>
          </w:p>
        </w:tc>
      </w:tr>
    </w:tbl>
    <w:p w14:paraId="7CA86991" w14:textId="77777777" w:rsidR="00765D30" w:rsidRPr="000B4D87" w:rsidRDefault="00765D30" w:rsidP="00765D30">
      <w:pPr>
        <w:spacing w:after="0" w:line="240" w:lineRule="auto"/>
        <w:rPr>
          <w:rFonts w:ascii="Calibri" w:hAnsi="Calibri" w:cs="Calibri"/>
          <w:sz w:val="22"/>
          <w:szCs w:val="22"/>
        </w:rPr>
      </w:pPr>
    </w:p>
    <w:p w14:paraId="63E6D550" w14:textId="77777777" w:rsidR="00765D30" w:rsidRPr="000B4D87" w:rsidRDefault="00765D30" w:rsidP="00765D30">
      <w:pPr>
        <w:spacing w:after="0" w:line="480" w:lineRule="auto"/>
        <w:rPr>
          <w:rFonts w:ascii="Calibri" w:eastAsiaTheme="minorEastAsia" w:hAnsi="Calibri" w:cs="Calibri"/>
          <w:sz w:val="22"/>
          <w:szCs w:val="22"/>
        </w:rPr>
      </w:pPr>
    </w:p>
    <w:p w14:paraId="29923ECC" w14:textId="77777777" w:rsidR="00765D30" w:rsidRPr="000B4D87" w:rsidRDefault="00765D30" w:rsidP="00765D30">
      <w:pPr>
        <w:spacing w:after="0" w:line="480" w:lineRule="auto"/>
        <w:rPr>
          <w:rFonts w:ascii="Calibri" w:eastAsiaTheme="minorEastAsia" w:hAnsi="Calibri" w:cs="Calibri"/>
          <w:sz w:val="22"/>
          <w:szCs w:val="22"/>
        </w:rPr>
      </w:pPr>
    </w:p>
    <w:p w14:paraId="0AB8C15A" w14:textId="77777777" w:rsidR="00EF4FE4" w:rsidRPr="00765D30" w:rsidRDefault="00EF4FE4" w:rsidP="00765D30">
      <w:pPr>
        <w:pStyle w:val="NoSpacing"/>
        <w:rPr>
          <w:rFonts w:ascii="Calibri" w:hAnsi="Calibri" w:cs="Calibri"/>
          <w:sz w:val="22"/>
          <w:szCs w:val="22"/>
        </w:rPr>
      </w:pPr>
    </w:p>
    <w:sectPr w:rsidR="00EF4FE4" w:rsidRPr="00765D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5D30"/>
    <w:rsid w:val="003B273A"/>
    <w:rsid w:val="00403D99"/>
    <w:rsid w:val="00450304"/>
    <w:rsid w:val="004B597E"/>
    <w:rsid w:val="00765D30"/>
    <w:rsid w:val="00862E8A"/>
    <w:rsid w:val="008E59DC"/>
    <w:rsid w:val="009474B9"/>
    <w:rsid w:val="00E562C6"/>
    <w:rsid w:val="00EF4F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C0AC9C"/>
  <w15:chartTrackingRefBased/>
  <w15:docId w15:val="{944D6727-8001-4F17-A4DD-8932D8E6C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5D30"/>
  </w:style>
  <w:style w:type="paragraph" w:styleId="Heading1">
    <w:name w:val="heading 1"/>
    <w:basedOn w:val="Normal"/>
    <w:next w:val="Normal"/>
    <w:link w:val="Heading1Char"/>
    <w:uiPriority w:val="9"/>
    <w:qFormat/>
    <w:rsid w:val="00765D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65D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65D3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65D3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65D3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65D3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65D3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65D3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65D3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5D3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65D3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65D3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65D3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65D3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65D3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65D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65D3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65D30"/>
    <w:rPr>
      <w:rFonts w:eastAsiaTheme="majorEastAsia" w:cstheme="majorBidi"/>
      <w:color w:val="272727" w:themeColor="text1" w:themeTint="D8"/>
    </w:rPr>
  </w:style>
  <w:style w:type="paragraph" w:styleId="Title">
    <w:name w:val="Title"/>
    <w:basedOn w:val="Normal"/>
    <w:next w:val="Normal"/>
    <w:link w:val="TitleChar"/>
    <w:uiPriority w:val="10"/>
    <w:qFormat/>
    <w:rsid w:val="00765D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5D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5D3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65D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65D30"/>
    <w:pPr>
      <w:spacing w:before="160"/>
      <w:jc w:val="center"/>
    </w:pPr>
    <w:rPr>
      <w:i/>
      <w:iCs/>
      <w:color w:val="404040" w:themeColor="text1" w:themeTint="BF"/>
    </w:rPr>
  </w:style>
  <w:style w:type="character" w:customStyle="1" w:styleId="QuoteChar">
    <w:name w:val="Quote Char"/>
    <w:basedOn w:val="DefaultParagraphFont"/>
    <w:link w:val="Quote"/>
    <w:uiPriority w:val="29"/>
    <w:rsid w:val="00765D30"/>
    <w:rPr>
      <w:i/>
      <w:iCs/>
      <w:color w:val="404040" w:themeColor="text1" w:themeTint="BF"/>
    </w:rPr>
  </w:style>
  <w:style w:type="paragraph" w:styleId="ListParagraph">
    <w:name w:val="List Paragraph"/>
    <w:basedOn w:val="Normal"/>
    <w:uiPriority w:val="34"/>
    <w:qFormat/>
    <w:rsid w:val="00765D30"/>
    <w:pPr>
      <w:ind w:left="720"/>
      <w:contextualSpacing/>
    </w:pPr>
  </w:style>
  <w:style w:type="character" w:styleId="IntenseEmphasis">
    <w:name w:val="Intense Emphasis"/>
    <w:basedOn w:val="DefaultParagraphFont"/>
    <w:uiPriority w:val="21"/>
    <w:qFormat/>
    <w:rsid w:val="00765D30"/>
    <w:rPr>
      <w:i/>
      <w:iCs/>
      <w:color w:val="0F4761" w:themeColor="accent1" w:themeShade="BF"/>
    </w:rPr>
  </w:style>
  <w:style w:type="paragraph" w:styleId="IntenseQuote">
    <w:name w:val="Intense Quote"/>
    <w:basedOn w:val="Normal"/>
    <w:next w:val="Normal"/>
    <w:link w:val="IntenseQuoteChar"/>
    <w:uiPriority w:val="30"/>
    <w:qFormat/>
    <w:rsid w:val="00765D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65D30"/>
    <w:rPr>
      <w:i/>
      <w:iCs/>
      <w:color w:val="0F4761" w:themeColor="accent1" w:themeShade="BF"/>
    </w:rPr>
  </w:style>
  <w:style w:type="character" w:styleId="IntenseReference">
    <w:name w:val="Intense Reference"/>
    <w:basedOn w:val="DefaultParagraphFont"/>
    <w:uiPriority w:val="32"/>
    <w:qFormat/>
    <w:rsid w:val="00765D30"/>
    <w:rPr>
      <w:b/>
      <w:bCs/>
      <w:smallCaps/>
      <w:color w:val="0F4761" w:themeColor="accent1" w:themeShade="BF"/>
      <w:spacing w:val="5"/>
    </w:rPr>
  </w:style>
  <w:style w:type="paragraph" w:styleId="NoSpacing">
    <w:name w:val="No Spacing"/>
    <w:uiPriority w:val="1"/>
    <w:qFormat/>
    <w:rsid w:val="00765D30"/>
    <w:pPr>
      <w:spacing w:after="0" w:line="240" w:lineRule="auto"/>
    </w:pPr>
  </w:style>
  <w:style w:type="table" w:styleId="TableGrid">
    <w:name w:val="Table Grid"/>
    <w:basedOn w:val="TableNormal"/>
    <w:uiPriority w:val="39"/>
    <w:rsid w:val="00765D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352</Words>
  <Characters>2012</Characters>
  <Application>Microsoft Office Word</Application>
  <DocSecurity>0</DocSecurity>
  <Lines>16</Lines>
  <Paragraphs>4</Paragraphs>
  <ScaleCrop>false</ScaleCrop>
  <Company>Purdue University</Company>
  <LinksUpToDate>false</LinksUpToDate>
  <CharactersWithSpaces>2360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Hawkins</dc:creator>
  <cp:keywords/>
  <dc:description/>
  <cp:lastModifiedBy>Laura Hawkins</cp:lastModifiedBy>
  <cp:revision>4</cp:revision>
  <dcterms:created xsi:type="dcterms:W3CDTF">2025-12-17T01:16:00Z</dcterms:created>
  <dcterms:modified xsi:type="dcterms:W3CDTF">2025-12-22T15:07:00Z</dcterms:modified>
</cp:coreProperties>
</file>