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C31B" w14:textId="77777777" w:rsidR="00005E8C" w:rsidRPr="0083565B" w:rsidRDefault="00005E8C" w:rsidP="00005E8C">
      <w:pPr>
        <w:spacing w:after="0" w:line="480" w:lineRule="auto"/>
        <w:ind w:left="1440" w:hanging="14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77F35711" w14:textId="48718F30" w:rsidR="0092371A" w:rsidRPr="0083565B" w:rsidRDefault="0092371A" w:rsidP="009237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E64C3" w:rsidRPr="0083565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565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D6015EB" w14:textId="513C8C3F" w:rsidR="0092371A" w:rsidRPr="0083565B" w:rsidRDefault="0092371A" w:rsidP="0092371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3565B">
        <w:rPr>
          <w:rFonts w:ascii="Times New Roman" w:hAnsi="Times New Roman" w:cs="Times New Roman"/>
          <w:i/>
          <w:iCs/>
          <w:sz w:val="24"/>
          <w:szCs w:val="24"/>
        </w:rPr>
        <w:t>Correlations Between Psychological Inventories- IES-R, and PTGI</w:t>
      </w:r>
    </w:p>
    <w:tbl>
      <w:tblPr>
        <w:tblW w:w="14601" w:type="dxa"/>
        <w:tblInd w:w="-142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83"/>
        <w:gridCol w:w="1338"/>
        <w:gridCol w:w="1339"/>
        <w:gridCol w:w="1339"/>
        <w:gridCol w:w="1339"/>
        <w:gridCol w:w="1338"/>
        <w:gridCol w:w="1339"/>
        <w:gridCol w:w="1339"/>
        <w:gridCol w:w="1339"/>
        <w:gridCol w:w="1339"/>
      </w:tblGrid>
      <w:tr w:rsidR="00451D31" w:rsidRPr="0083565B" w14:paraId="685820E7" w14:textId="77777777" w:rsidTr="00DD169F">
        <w:trPr>
          <w:cantSplit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B4743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C9D2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</w:t>
            </w:r>
          </w:p>
          <w:p w14:paraId="2E86D72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8230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</w:t>
            </w:r>
          </w:p>
          <w:p w14:paraId="1B635CD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Intrusion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D738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</w:t>
            </w:r>
          </w:p>
          <w:p w14:paraId="2975F09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Avoidance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A9B1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</w:t>
            </w:r>
          </w:p>
          <w:p w14:paraId="423C352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Hyper-arousal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CE90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</w:t>
            </w:r>
          </w:p>
          <w:p w14:paraId="57D40C3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Relate to Others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5FBB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</w:t>
            </w:r>
          </w:p>
          <w:p w14:paraId="1DF7665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New Possibilities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EDC6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</w:t>
            </w:r>
          </w:p>
          <w:p w14:paraId="35FADE8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Personal Strength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7728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</w:t>
            </w:r>
          </w:p>
          <w:p w14:paraId="0E307EB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Spiritual Change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98FF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</w:t>
            </w:r>
          </w:p>
          <w:p w14:paraId="5393CE2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Appreciation of Life</w:t>
            </w:r>
          </w:p>
        </w:tc>
      </w:tr>
      <w:tr w:rsidR="00451D31" w:rsidRPr="0083565B" w14:paraId="1276D9FE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3385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 Total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C5A6E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</w:tcPr>
          <w:p w14:paraId="01A05CA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000E8A9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.872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48E7B79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.763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7C7B276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.887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</w:tcPr>
          <w:p w14:paraId="0AF88F2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.075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7C98D20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.189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0DBEA1A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.212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654D2DC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.064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14:paraId="5CE32E5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.203</w:t>
            </w:r>
          </w:p>
        </w:tc>
      </w:tr>
      <w:tr w:rsidR="00451D31" w:rsidRPr="0083565B" w14:paraId="247CFCF0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592D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2EB9A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0948E5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5E25573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598F373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664514D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8" w:type="dxa"/>
            <w:shd w:val="clear" w:color="auto" w:fill="auto"/>
          </w:tcPr>
          <w:p w14:paraId="681214E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.562</w:t>
            </w:r>
          </w:p>
        </w:tc>
        <w:tc>
          <w:tcPr>
            <w:tcW w:w="1339" w:type="dxa"/>
            <w:shd w:val="clear" w:color="auto" w:fill="auto"/>
          </w:tcPr>
          <w:p w14:paraId="18B7EFA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.137</w:t>
            </w:r>
          </w:p>
        </w:tc>
        <w:tc>
          <w:tcPr>
            <w:tcW w:w="1339" w:type="dxa"/>
            <w:shd w:val="clear" w:color="auto" w:fill="auto"/>
          </w:tcPr>
          <w:p w14:paraId="6371B36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.096</w:t>
            </w:r>
          </w:p>
        </w:tc>
        <w:tc>
          <w:tcPr>
            <w:tcW w:w="1339" w:type="dxa"/>
            <w:shd w:val="clear" w:color="auto" w:fill="auto"/>
          </w:tcPr>
          <w:p w14:paraId="1BFD740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.621</w:t>
            </w:r>
          </w:p>
        </w:tc>
        <w:tc>
          <w:tcPr>
            <w:tcW w:w="1339" w:type="dxa"/>
            <w:shd w:val="clear" w:color="auto" w:fill="auto"/>
          </w:tcPr>
          <w:p w14:paraId="65590E0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.111</w:t>
            </w:r>
          </w:p>
        </w:tc>
      </w:tr>
      <w:tr w:rsidR="00451D31" w:rsidRPr="0083565B" w14:paraId="3C0907DA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0527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 Intrusion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68597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233C6FC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.872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6099582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75D7736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.606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65725EA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.840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8" w:type="dxa"/>
            <w:shd w:val="clear" w:color="auto" w:fill="auto"/>
          </w:tcPr>
          <w:p w14:paraId="5B9AC91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-.012</w:t>
            </w:r>
          </w:p>
        </w:tc>
        <w:tc>
          <w:tcPr>
            <w:tcW w:w="1339" w:type="dxa"/>
            <w:shd w:val="clear" w:color="auto" w:fill="auto"/>
          </w:tcPr>
          <w:p w14:paraId="5C20FD6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.207</w:t>
            </w:r>
          </w:p>
        </w:tc>
        <w:tc>
          <w:tcPr>
            <w:tcW w:w="1339" w:type="dxa"/>
            <w:shd w:val="clear" w:color="auto" w:fill="auto"/>
          </w:tcPr>
          <w:p w14:paraId="78A70D6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.183</w:t>
            </w:r>
          </w:p>
        </w:tc>
        <w:tc>
          <w:tcPr>
            <w:tcW w:w="1339" w:type="dxa"/>
            <w:shd w:val="clear" w:color="auto" w:fill="auto"/>
          </w:tcPr>
          <w:p w14:paraId="3BBAC55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.069</w:t>
            </w:r>
          </w:p>
        </w:tc>
        <w:tc>
          <w:tcPr>
            <w:tcW w:w="1339" w:type="dxa"/>
            <w:shd w:val="clear" w:color="auto" w:fill="auto"/>
          </w:tcPr>
          <w:p w14:paraId="07329EF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.218</w:t>
            </w:r>
          </w:p>
        </w:tc>
      </w:tr>
      <w:tr w:rsidR="00451D31" w:rsidRPr="0083565B" w14:paraId="1E829009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F10C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2B3B9A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03E5EBD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695B5C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586C6EB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52E1066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8" w:type="dxa"/>
            <w:shd w:val="clear" w:color="auto" w:fill="auto"/>
          </w:tcPr>
          <w:p w14:paraId="5252E39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.925</w:t>
            </w:r>
          </w:p>
        </w:tc>
        <w:tc>
          <w:tcPr>
            <w:tcW w:w="1339" w:type="dxa"/>
            <w:shd w:val="clear" w:color="auto" w:fill="auto"/>
          </w:tcPr>
          <w:p w14:paraId="50F1ECD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.104</w:t>
            </w:r>
          </w:p>
        </w:tc>
        <w:tc>
          <w:tcPr>
            <w:tcW w:w="1339" w:type="dxa"/>
            <w:shd w:val="clear" w:color="auto" w:fill="auto"/>
          </w:tcPr>
          <w:p w14:paraId="6C1733B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.152</w:t>
            </w:r>
          </w:p>
        </w:tc>
        <w:tc>
          <w:tcPr>
            <w:tcW w:w="1339" w:type="dxa"/>
            <w:shd w:val="clear" w:color="auto" w:fill="auto"/>
          </w:tcPr>
          <w:p w14:paraId="5128D8B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.591</w:t>
            </w:r>
          </w:p>
        </w:tc>
        <w:tc>
          <w:tcPr>
            <w:tcW w:w="1339" w:type="dxa"/>
            <w:shd w:val="clear" w:color="auto" w:fill="auto"/>
          </w:tcPr>
          <w:p w14:paraId="270FA6E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.086</w:t>
            </w:r>
          </w:p>
        </w:tc>
      </w:tr>
      <w:tr w:rsidR="00451D31" w:rsidRPr="0083565B" w14:paraId="3380E7F2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C71E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 Avoidance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109789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7364070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.763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5F6D9C8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.606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0B1A1DD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03F7893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.634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8" w:type="dxa"/>
            <w:shd w:val="clear" w:color="auto" w:fill="auto"/>
          </w:tcPr>
          <w:p w14:paraId="1B330E1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.105</w:t>
            </w:r>
          </w:p>
        </w:tc>
        <w:tc>
          <w:tcPr>
            <w:tcW w:w="1339" w:type="dxa"/>
            <w:shd w:val="clear" w:color="auto" w:fill="auto"/>
          </w:tcPr>
          <w:p w14:paraId="10B04F2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.143</w:t>
            </w:r>
          </w:p>
        </w:tc>
        <w:tc>
          <w:tcPr>
            <w:tcW w:w="1339" w:type="dxa"/>
            <w:shd w:val="clear" w:color="auto" w:fill="auto"/>
          </w:tcPr>
          <w:p w14:paraId="56D9CAA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.239</w:t>
            </w:r>
          </w:p>
        </w:tc>
        <w:tc>
          <w:tcPr>
            <w:tcW w:w="1339" w:type="dxa"/>
            <w:shd w:val="clear" w:color="auto" w:fill="auto"/>
          </w:tcPr>
          <w:p w14:paraId="7C417FE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.081</w:t>
            </w:r>
          </w:p>
        </w:tc>
        <w:tc>
          <w:tcPr>
            <w:tcW w:w="1339" w:type="dxa"/>
            <w:shd w:val="clear" w:color="auto" w:fill="auto"/>
          </w:tcPr>
          <w:p w14:paraId="77D4A31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.171</w:t>
            </w:r>
          </w:p>
        </w:tc>
      </w:tr>
      <w:tr w:rsidR="00451D31" w:rsidRPr="0083565B" w14:paraId="67BACFF6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EF2D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C84B8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3D07217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559C73E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E17474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0E171B6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8" w:type="dxa"/>
            <w:shd w:val="clear" w:color="auto" w:fill="auto"/>
          </w:tcPr>
          <w:p w14:paraId="51203AA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.412</w:t>
            </w:r>
          </w:p>
        </w:tc>
        <w:tc>
          <w:tcPr>
            <w:tcW w:w="1339" w:type="dxa"/>
            <w:shd w:val="clear" w:color="auto" w:fill="auto"/>
          </w:tcPr>
          <w:p w14:paraId="5C779C7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.265</w:t>
            </w:r>
          </w:p>
        </w:tc>
        <w:tc>
          <w:tcPr>
            <w:tcW w:w="1339" w:type="dxa"/>
            <w:shd w:val="clear" w:color="auto" w:fill="auto"/>
          </w:tcPr>
          <w:p w14:paraId="73B9A89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.059</w:t>
            </w:r>
          </w:p>
        </w:tc>
        <w:tc>
          <w:tcPr>
            <w:tcW w:w="1339" w:type="dxa"/>
            <w:shd w:val="clear" w:color="auto" w:fill="auto"/>
          </w:tcPr>
          <w:p w14:paraId="3485874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.530</w:t>
            </w:r>
          </w:p>
        </w:tc>
        <w:tc>
          <w:tcPr>
            <w:tcW w:w="1339" w:type="dxa"/>
            <w:shd w:val="clear" w:color="auto" w:fill="auto"/>
          </w:tcPr>
          <w:p w14:paraId="01A3107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.181</w:t>
            </w:r>
          </w:p>
        </w:tc>
      </w:tr>
      <w:tr w:rsidR="00451D31" w:rsidRPr="0083565B" w14:paraId="71319634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8F57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IES-R</w:t>
            </w:r>
          </w:p>
          <w:p w14:paraId="2C7CFCF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Hyperarousal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202694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418E7E5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.887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1290F75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.840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5E6D9F7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.634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2E8C8B4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14:paraId="59A3836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.074</w:t>
            </w:r>
          </w:p>
        </w:tc>
        <w:tc>
          <w:tcPr>
            <w:tcW w:w="1339" w:type="dxa"/>
            <w:shd w:val="clear" w:color="auto" w:fill="auto"/>
          </w:tcPr>
          <w:p w14:paraId="70F5399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.139</w:t>
            </w:r>
          </w:p>
        </w:tc>
        <w:tc>
          <w:tcPr>
            <w:tcW w:w="1339" w:type="dxa"/>
            <w:shd w:val="clear" w:color="auto" w:fill="auto"/>
          </w:tcPr>
          <w:p w14:paraId="0AAE7B7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.187</w:t>
            </w:r>
          </w:p>
        </w:tc>
        <w:tc>
          <w:tcPr>
            <w:tcW w:w="1339" w:type="dxa"/>
            <w:shd w:val="clear" w:color="auto" w:fill="auto"/>
          </w:tcPr>
          <w:p w14:paraId="62C4688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.118</w:t>
            </w:r>
          </w:p>
        </w:tc>
        <w:tc>
          <w:tcPr>
            <w:tcW w:w="1339" w:type="dxa"/>
            <w:shd w:val="clear" w:color="auto" w:fill="auto"/>
          </w:tcPr>
          <w:p w14:paraId="23EA5E5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.210</w:t>
            </w:r>
          </w:p>
        </w:tc>
      </w:tr>
      <w:tr w:rsidR="00451D31" w:rsidRPr="0083565B" w14:paraId="7AB07F0A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C32F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1CF58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7404A2F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70ECFD4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4EBC758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EF506C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14:paraId="476E8B6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.564</w:t>
            </w:r>
          </w:p>
        </w:tc>
        <w:tc>
          <w:tcPr>
            <w:tcW w:w="1339" w:type="dxa"/>
            <w:shd w:val="clear" w:color="auto" w:fill="auto"/>
          </w:tcPr>
          <w:p w14:paraId="76E7E07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.278</w:t>
            </w:r>
          </w:p>
        </w:tc>
        <w:tc>
          <w:tcPr>
            <w:tcW w:w="1339" w:type="dxa"/>
            <w:shd w:val="clear" w:color="auto" w:fill="auto"/>
          </w:tcPr>
          <w:p w14:paraId="389A8A1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.143</w:t>
            </w:r>
          </w:p>
        </w:tc>
        <w:tc>
          <w:tcPr>
            <w:tcW w:w="1339" w:type="dxa"/>
            <w:shd w:val="clear" w:color="auto" w:fill="auto"/>
          </w:tcPr>
          <w:p w14:paraId="1BAFBCC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.355</w:t>
            </w:r>
          </w:p>
        </w:tc>
        <w:tc>
          <w:tcPr>
            <w:tcW w:w="1339" w:type="dxa"/>
            <w:shd w:val="clear" w:color="auto" w:fill="auto"/>
          </w:tcPr>
          <w:p w14:paraId="3FE9781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.098</w:t>
            </w:r>
          </w:p>
        </w:tc>
      </w:tr>
      <w:tr w:rsidR="00451D31" w:rsidRPr="0083565B" w14:paraId="4BB491AE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8BEB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Total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10A633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068C961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.184</w:t>
            </w:r>
          </w:p>
        </w:tc>
        <w:tc>
          <w:tcPr>
            <w:tcW w:w="1339" w:type="dxa"/>
            <w:shd w:val="clear" w:color="auto" w:fill="auto"/>
          </w:tcPr>
          <w:p w14:paraId="5A67904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.141</w:t>
            </w:r>
          </w:p>
        </w:tc>
        <w:tc>
          <w:tcPr>
            <w:tcW w:w="1339" w:type="dxa"/>
            <w:shd w:val="clear" w:color="auto" w:fill="auto"/>
          </w:tcPr>
          <w:p w14:paraId="5217E76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.229</w:t>
            </w:r>
          </w:p>
        </w:tc>
        <w:tc>
          <w:tcPr>
            <w:tcW w:w="1339" w:type="dxa"/>
            <w:shd w:val="clear" w:color="auto" w:fill="auto"/>
          </w:tcPr>
          <w:p w14:paraId="7A14ED3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.170</w:t>
            </w:r>
          </w:p>
        </w:tc>
        <w:tc>
          <w:tcPr>
            <w:tcW w:w="1338" w:type="dxa"/>
            <w:shd w:val="clear" w:color="auto" w:fill="auto"/>
          </w:tcPr>
          <w:p w14:paraId="2822AB3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.802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550EDF0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.788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368DFF8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.851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0090D9E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.446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5004300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.835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</w:tr>
      <w:tr w:rsidR="00451D31" w:rsidRPr="0083565B" w14:paraId="6ECB9364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5AA8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AC19F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556C1A0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.148</w:t>
            </w:r>
          </w:p>
        </w:tc>
        <w:tc>
          <w:tcPr>
            <w:tcW w:w="1339" w:type="dxa"/>
            <w:shd w:val="clear" w:color="auto" w:fill="auto"/>
          </w:tcPr>
          <w:p w14:paraId="2F2F527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.269</w:t>
            </w:r>
          </w:p>
        </w:tc>
        <w:tc>
          <w:tcPr>
            <w:tcW w:w="1339" w:type="dxa"/>
            <w:shd w:val="clear" w:color="auto" w:fill="auto"/>
          </w:tcPr>
          <w:p w14:paraId="457B637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.071</w:t>
            </w:r>
          </w:p>
        </w:tc>
        <w:tc>
          <w:tcPr>
            <w:tcW w:w="1339" w:type="dxa"/>
            <w:shd w:val="clear" w:color="auto" w:fill="auto"/>
          </w:tcPr>
          <w:p w14:paraId="29A49E7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.184</w:t>
            </w:r>
          </w:p>
        </w:tc>
        <w:tc>
          <w:tcPr>
            <w:tcW w:w="1338" w:type="dxa"/>
            <w:shd w:val="clear" w:color="auto" w:fill="auto"/>
          </w:tcPr>
          <w:p w14:paraId="0E424EA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20D0DFC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082566C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1DE3B9F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4461963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</w:tr>
      <w:tr w:rsidR="00451D31" w:rsidRPr="0083565B" w14:paraId="599D15FA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2490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Relate to Others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E1797F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3A2C8D3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.075</w:t>
            </w:r>
          </w:p>
        </w:tc>
        <w:tc>
          <w:tcPr>
            <w:tcW w:w="1339" w:type="dxa"/>
            <w:shd w:val="clear" w:color="auto" w:fill="auto"/>
          </w:tcPr>
          <w:p w14:paraId="5A32EF5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-.012</w:t>
            </w:r>
          </w:p>
        </w:tc>
        <w:tc>
          <w:tcPr>
            <w:tcW w:w="1339" w:type="dxa"/>
            <w:shd w:val="clear" w:color="auto" w:fill="auto"/>
          </w:tcPr>
          <w:p w14:paraId="6F15C84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.105</w:t>
            </w:r>
          </w:p>
        </w:tc>
        <w:tc>
          <w:tcPr>
            <w:tcW w:w="1339" w:type="dxa"/>
            <w:shd w:val="clear" w:color="auto" w:fill="auto"/>
          </w:tcPr>
          <w:p w14:paraId="31B24C6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.074</w:t>
            </w:r>
          </w:p>
        </w:tc>
        <w:tc>
          <w:tcPr>
            <w:tcW w:w="1338" w:type="dxa"/>
            <w:shd w:val="clear" w:color="auto" w:fill="auto"/>
          </w:tcPr>
          <w:p w14:paraId="4636A53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396DC15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.544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42A0136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.581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12164C7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.374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7C801B1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.567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</w:tr>
      <w:tr w:rsidR="00451D31" w:rsidRPr="0083565B" w14:paraId="56C41FC4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10E2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86800E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48F83E2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.562</w:t>
            </w:r>
          </w:p>
        </w:tc>
        <w:tc>
          <w:tcPr>
            <w:tcW w:w="1339" w:type="dxa"/>
            <w:shd w:val="clear" w:color="auto" w:fill="auto"/>
          </w:tcPr>
          <w:p w14:paraId="7675C8C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.925</w:t>
            </w:r>
          </w:p>
        </w:tc>
        <w:tc>
          <w:tcPr>
            <w:tcW w:w="1339" w:type="dxa"/>
            <w:shd w:val="clear" w:color="auto" w:fill="auto"/>
          </w:tcPr>
          <w:p w14:paraId="1FA3FC8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.412</w:t>
            </w:r>
          </w:p>
        </w:tc>
        <w:tc>
          <w:tcPr>
            <w:tcW w:w="1339" w:type="dxa"/>
            <w:shd w:val="clear" w:color="auto" w:fill="auto"/>
          </w:tcPr>
          <w:p w14:paraId="711C255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288913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6C381E2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3FE8E3C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64782D9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.003</w:t>
            </w:r>
          </w:p>
        </w:tc>
        <w:tc>
          <w:tcPr>
            <w:tcW w:w="1339" w:type="dxa"/>
            <w:shd w:val="clear" w:color="auto" w:fill="auto"/>
          </w:tcPr>
          <w:p w14:paraId="7179552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</w:tr>
      <w:tr w:rsidR="00451D31" w:rsidRPr="0083565B" w14:paraId="09192CE7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38C6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New Possibilities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C2D277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7B503CA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.189</w:t>
            </w:r>
          </w:p>
        </w:tc>
        <w:tc>
          <w:tcPr>
            <w:tcW w:w="1339" w:type="dxa"/>
            <w:shd w:val="clear" w:color="auto" w:fill="auto"/>
          </w:tcPr>
          <w:p w14:paraId="50348C0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.207</w:t>
            </w:r>
          </w:p>
        </w:tc>
        <w:tc>
          <w:tcPr>
            <w:tcW w:w="1339" w:type="dxa"/>
            <w:shd w:val="clear" w:color="auto" w:fill="auto"/>
          </w:tcPr>
          <w:p w14:paraId="0AEC674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.143</w:t>
            </w:r>
          </w:p>
        </w:tc>
        <w:tc>
          <w:tcPr>
            <w:tcW w:w="1339" w:type="dxa"/>
            <w:shd w:val="clear" w:color="auto" w:fill="auto"/>
          </w:tcPr>
          <w:p w14:paraId="2A42988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.139</w:t>
            </w:r>
          </w:p>
        </w:tc>
        <w:tc>
          <w:tcPr>
            <w:tcW w:w="1338" w:type="dxa"/>
            <w:shd w:val="clear" w:color="auto" w:fill="auto"/>
          </w:tcPr>
          <w:p w14:paraId="0D3AE82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.544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27E8BAC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2651DD8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.718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2DAD36B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.265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9" w:type="dxa"/>
            <w:shd w:val="clear" w:color="auto" w:fill="auto"/>
          </w:tcPr>
          <w:p w14:paraId="6919428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.708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</w:tr>
      <w:tr w:rsidR="00451D31" w:rsidRPr="0083565B" w14:paraId="73D3D5F7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C4BD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55901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6085327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.137</w:t>
            </w:r>
          </w:p>
        </w:tc>
        <w:tc>
          <w:tcPr>
            <w:tcW w:w="1339" w:type="dxa"/>
            <w:shd w:val="clear" w:color="auto" w:fill="auto"/>
          </w:tcPr>
          <w:p w14:paraId="70EE125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.104</w:t>
            </w:r>
          </w:p>
        </w:tc>
        <w:tc>
          <w:tcPr>
            <w:tcW w:w="1339" w:type="dxa"/>
            <w:shd w:val="clear" w:color="auto" w:fill="auto"/>
          </w:tcPr>
          <w:p w14:paraId="7841766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.265</w:t>
            </w:r>
          </w:p>
        </w:tc>
        <w:tc>
          <w:tcPr>
            <w:tcW w:w="1339" w:type="dxa"/>
            <w:shd w:val="clear" w:color="auto" w:fill="auto"/>
          </w:tcPr>
          <w:p w14:paraId="02684AA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.278</w:t>
            </w:r>
          </w:p>
        </w:tc>
        <w:tc>
          <w:tcPr>
            <w:tcW w:w="1338" w:type="dxa"/>
            <w:shd w:val="clear" w:color="auto" w:fill="auto"/>
          </w:tcPr>
          <w:p w14:paraId="355C5EA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A7880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3D1A553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36436B8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.036</w:t>
            </w:r>
          </w:p>
        </w:tc>
        <w:tc>
          <w:tcPr>
            <w:tcW w:w="1339" w:type="dxa"/>
            <w:shd w:val="clear" w:color="auto" w:fill="auto"/>
          </w:tcPr>
          <w:p w14:paraId="538015D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</w:tr>
      <w:tr w:rsidR="00451D31" w:rsidRPr="0083565B" w14:paraId="4E7E564B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4494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Personal Strength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3C465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14645D9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.212</w:t>
            </w:r>
          </w:p>
        </w:tc>
        <w:tc>
          <w:tcPr>
            <w:tcW w:w="1339" w:type="dxa"/>
            <w:shd w:val="clear" w:color="auto" w:fill="auto"/>
          </w:tcPr>
          <w:p w14:paraId="6968253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.183</w:t>
            </w:r>
          </w:p>
        </w:tc>
        <w:tc>
          <w:tcPr>
            <w:tcW w:w="1339" w:type="dxa"/>
            <w:shd w:val="clear" w:color="auto" w:fill="auto"/>
          </w:tcPr>
          <w:p w14:paraId="5B69101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.239</w:t>
            </w:r>
          </w:p>
        </w:tc>
        <w:tc>
          <w:tcPr>
            <w:tcW w:w="1339" w:type="dxa"/>
            <w:shd w:val="clear" w:color="auto" w:fill="auto"/>
          </w:tcPr>
          <w:p w14:paraId="689A288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.187</w:t>
            </w:r>
          </w:p>
        </w:tc>
        <w:tc>
          <w:tcPr>
            <w:tcW w:w="1338" w:type="dxa"/>
            <w:shd w:val="clear" w:color="auto" w:fill="auto"/>
          </w:tcPr>
          <w:p w14:paraId="34E2457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.581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678EC30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.718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6ADD18F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3F12CC3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.332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4F320F3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.705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</w:tr>
      <w:tr w:rsidR="00451D31" w:rsidRPr="0083565B" w14:paraId="4D9EBB88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1669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98AA06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shd w:val="clear" w:color="auto" w:fill="auto"/>
          </w:tcPr>
          <w:p w14:paraId="7638638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.096</w:t>
            </w:r>
          </w:p>
        </w:tc>
        <w:tc>
          <w:tcPr>
            <w:tcW w:w="1339" w:type="dxa"/>
            <w:shd w:val="clear" w:color="auto" w:fill="auto"/>
          </w:tcPr>
          <w:p w14:paraId="6C50647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.152</w:t>
            </w:r>
          </w:p>
        </w:tc>
        <w:tc>
          <w:tcPr>
            <w:tcW w:w="1339" w:type="dxa"/>
            <w:shd w:val="clear" w:color="auto" w:fill="auto"/>
          </w:tcPr>
          <w:p w14:paraId="632B7C2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.059</w:t>
            </w:r>
          </w:p>
        </w:tc>
        <w:tc>
          <w:tcPr>
            <w:tcW w:w="1339" w:type="dxa"/>
            <w:shd w:val="clear" w:color="auto" w:fill="auto"/>
          </w:tcPr>
          <w:p w14:paraId="1646CA4C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.143</w:t>
            </w:r>
          </w:p>
        </w:tc>
        <w:tc>
          <w:tcPr>
            <w:tcW w:w="1338" w:type="dxa"/>
            <w:shd w:val="clear" w:color="auto" w:fill="auto"/>
          </w:tcPr>
          <w:p w14:paraId="79423FE5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</w:tcPr>
          <w:p w14:paraId="7D9A371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04053C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shd w:val="clear" w:color="auto" w:fill="auto"/>
          </w:tcPr>
          <w:p w14:paraId="5EDB052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.008</w:t>
            </w:r>
          </w:p>
        </w:tc>
        <w:tc>
          <w:tcPr>
            <w:tcW w:w="1339" w:type="dxa"/>
            <w:shd w:val="clear" w:color="auto" w:fill="auto"/>
          </w:tcPr>
          <w:p w14:paraId="1362BAA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</w:tr>
      <w:tr w:rsidR="00451D31" w:rsidRPr="0083565B" w14:paraId="0E1DD4DF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D32B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Spiritual Change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CDF55F3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shd w:val="clear" w:color="auto" w:fill="auto"/>
          </w:tcPr>
          <w:p w14:paraId="6EF0F8F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.064</w:t>
            </w:r>
          </w:p>
        </w:tc>
        <w:tc>
          <w:tcPr>
            <w:tcW w:w="1339" w:type="dxa"/>
            <w:shd w:val="clear" w:color="auto" w:fill="auto"/>
          </w:tcPr>
          <w:p w14:paraId="2D8CADB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.069</w:t>
            </w:r>
          </w:p>
        </w:tc>
        <w:tc>
          <w:tcPr>
            <w:tcW w:w="1339" w:type="dxa"/>
            <w:shd w:val="clear" w:color="auto" w:fill="auto"/>
          </w:tcPr>
          <w:p w14:paraId="08F235E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.081</w:t>
            </w:r>
          </w:p>
        </w:tc>
        <w:tc>
          <w:tcPr>
            <w:tcW w:w="1339" w:type="dxa"/>
            <w:shd w:val="clear" w:color="auto" w:fill="auto"/>
          </w:tcPr>
          <w:p w14:paraId="4F0ABDA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.118</w:t>
            </w:r>
          </w:p>
        </w:tc>
        <w:tc>
          <w:tcPr>
            <w:tcW w:w="1338" w:type="dxa"/>
            <w:shd w:val="clear" w:color="auto" w:fill="auto"/>
          </w:tcPr>
          <w:p w14:paraId="21CD557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.374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5D54C6F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.265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9" w:type="dxa"/>
            <w:shd w:val="clear" w:color="auto" w:fill="auto"/>
          </w:tcPr>
          <w:p w14:paraId="1862D56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.332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shd w:val="clear" w:color="auto" w:fill="auto"/>
          </w:tcPr>
          <w:p w14:paraId="22A226D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14:paraId="41B9C09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.238</w:t>
            </w:r>
          </w:p>
        </w:tc>
      </w:tr>
      <w:tr w:rsidR="00451D31" w:rsidRPr="0083565B" w14:paraId="44FDA4FC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C2017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9E7EB3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tcBorders>
              <w:bottom w:val="nil"/>
            </w:tcBorders>
            <w:shd w:val="clear" w:color="auto" w:fill="auto"/>
          </w:tcPr>
          <w:p w14:paraId="7137AD8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.621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0008898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.591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6291D5F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.530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0FC951B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.355</w:t>
            </w:r>
          </w:p>
        </w:tc>
        <w:tc>
          <w:tcPr>
            <w:tcW w:w="1338" w:type="dxa"/>
            <w:tcBorders>
              <w:bottom w:val="nil"/>
            </w:tcBorders>
            <w:shd w:val="clear" w:color="auto" w:fill="auto"/>
          </w:tcPr>
          <w:p w14:paraId="5A72F3F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.003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0705172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.036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695517C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.008</w:t>
            </w: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  <w:vAlign w:val="center"/>
          </w:tcPr>
          <w:p w14:paraId="007D9EB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tcBorders>
              <w:bottom w:val="nil"/>
            </w:tcBorders>
            <w:shd w:val="clear" w:color="auto" w:fill="auto"/>
          </w:tcPr>
          <w:p w14:paraId="6E3D694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.060</w:t>
            </w:r>
          </w:p>
        </w:tc>
      </w:tr>
      <w:tr w:rsidR="00451D31" w:rsidRPr="0083565B" w14:paraId="19DAED5D" w14:textId="77777777" w:rsidTr="00DD169F">
        <w:trPr>
          <w:cantSplit/>
        </w:trPr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F403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565B">
              <w:rPr>
                <w:rFonts w:ascii="Arial" w:hAnsi="Arial" w:cs="Arial"/>
                <w:b/>
                <w:bCs/>
                <w:sz w:val="16"/>
                <w:szCs w:val="16"/>
              </w:rPr>
              <w:t>PTGI Appreciation of Life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B3F9B0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auto"/>
          </w:tcPr>
          <w:p w14:paraId="622B50F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.203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32CD92AF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.218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1381089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.171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58332122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.210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auto"/>
          </w:tcPr>
          <w:p w14:paraId="12DE5CA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.567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7795847A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.708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3E08284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.705</w:t>
            </w:r>
            <w:r w:rsidRPr="0083565B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59FE9558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.238</w:t>
            </w:r>
          </w:p>
        </w:tc>
        <w:tc>
          <w:tcPr>
            <w:tcW w:w="1339" w:type="dxa"/>
            <w:tcBorders>
              <w:top w:val="nil"/>
            </w:tcBorders>
            <w:shd w:val="clear" w:color="auto" w:fill="auto"/>
          </w:tcPr>
          <w:p w14:paraId="16B4317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51D31" w:rsidRPr="0083565B" w14:paraId="06C396A7" w14:textId="77777777" w:rsidTr="00DD169F">
        <w:trPr>
          <w:cantSplit/>
        </w:trPr>
        <w:tc>
          <w:tcPr>
            <w:tcW w:w="226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D0CCA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B48ABB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EF6A9D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.111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D9BD30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.086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3B9E1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.181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2CFFBE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.098</w:t>
            </w:r>
          </w:p>
        </w:tc>
        <w:tc>
          <w:tcPr>
            <w:tcW w:w="13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5275A9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78C65B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5E9BD4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&lt;.001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8CD6C6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3565B">
              <w:rPr>
                <w:rFonts w:ascii="Arial" w:hAnsi="Arial" w:cs="Arial"/>
                <w:sz w:val="16"/>
                <w:szCs w:val="16"/>
              </w:rPr>
              <w:t>.060</w:t>
            </w:r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186411" w14:textId="77777777" w:rsidR="00451D31" w:rsidRPr="0083565B" w:rsidRDefault="00451D31" w:rsidP="00401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32705E" w14:textId="77777777" w:rsidR="0092371A" w:rsidRPr="0083565B" w:rsidRDefault="0092371A" w:rsidP="00005E8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92371A" w:rsidRPr="0083565B" w:rsidSect="0092371A">
          <w:headerReference w:type="default" r:id="rId6"/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0A6F8908" w14:textId="77777777" w:rsidR="00005E8C" w:rsidRPr="0083565B" w:rsidRDefault="00005E8C" w:rsidP="00005E8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lastRenderedPageBreak/>
        <w:t>EEG Pre-Processing</w:t>
      </w:r>
    </w:p>
    <w:p w14:paraId="73E8B040" w14:textId="77777777" w:rsidR="00005E8C" w:rsidRPr="0083565B" w:rsidRDefault="00005E8C" w:rsidP="00005E8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565B">
        <w:rPr>
          <w:rFonts w:ascii="Times New Roman" w:hAnsi="Times New Roman" w:cs="Times New Roman"/>
          <w:sz w:val="24"/>
          <w:szCs w:val="24"/>
        </w:rPr>
        <w:t xml:space="preserve">To isolate the target brain signals from noise, including muscle movement and electrical interference, a band pass filtering of 0.1– 40 Hz and a notch filter of 50 Hz were applied. Eye blink artefacts were attenuated using the Gratton-Coles algorithm </w:t>
      </w:r>
      <w:r w:rsidRPr="0083565B">
        <w:rPr>
          <w:rFonts w:ascii="Times New Roman" w:hAnsi="Times New Roman" w:cs="Times New Roman"/>
          <w:sz w:val="24"/>
          <w:szCs w:val="24"/>
        </w:rPr>
        <w:fldChar w:fldCharType="begin"/>
      </w:r>
      <w:r w:rsidRPr="0083565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&lt;EndNote&gt;&lt;Cite&gt;&lt;Author&gt;Gratton&lt;/Author&gt;&lt;Year&gt;1983&lt;/Year&gt;&lt;RecNum&gt;741&lt;/RecNum&gt;&lt;DisplayText&gt;(Gratton et al., 1983)&lt;/DisplayText&gt;&lt;record&gt;&lt;rec-number&gt;741&lt;/rec-number&gt;&lt;foreign-keys&gt;&lt;key app="EN" db-id="0dz00a0fqsprx9evs5b5ffz6spzdw0pxswdp" timestamp="1709098000" guid="9881e67c-864a-4d60-b964-6b664229dafb"&gt;741&lt;/key&gt;&lt;/foreign-keys&gt;&lt;ref-type name="Journal Article"&gt;17&lt;/ref-type&gt;&lt;contributors&gt;&lt;authors&gt;&lt;author&gt;Gratton, Gabriele&lt;/author&gt;&lt;author&gt;Coles, Michael G. H.&lt;/author&gt;&lt;author&gt;Donchin, Emanuel&lt;/author&gt;&lt;/authors&gt;&lt;/contributors&gt;&lt;titles&gt;&lt;title&gt;A new method for off-line removal of ocular artifact&lt;/title&gt;&lt;secondary-title&gt;Electroencephalography and clinical neurophysiology&lt;/secondary-title&gt;&lt;/titles&gt;&lt;periodical&gt;&lt;full-title&gt;Electroencephalography and Clinical Neurophysiology&lt;/full-title&gt;&lt;/periodical&gt;&lt;pages&gt;468-484&lt;/pages&gt;&lt;volume&gt;55&lt;/volume&gt;&lt;number&gt;4&lt;/number&gt;&lt;keywords&gt;&lt;keyword&gt;Engineering&lt;/keyword&gt;&lt;keyword&gt;Technology&lt;/keyword&gt;&lt;keyword&gt;Mathematics&lt;/keyword&gt;&lt;keyword&gt;Blinking&lt;/keyword&gt;&lt;keyword&gt;Human beings&lt;/keyword&gt;&lt;keyword&gt;Genetic Structures&lt;/keyword&gt;&lt;keyword&gt;Electroencephalography&lt;/keyword&gt;&lt;keyword&gt;Computer science&lt;/keyword&gt;&lt;keyword&gt;Artificial intelligence&lt;/keyword&gt;&lt;keyword&gt;Communication&lt;/keyword&gt;&lt;/keywords&gt;&lt;dates&gt;&lt;year&gt;1983&lt;/year&gt;&lt;/dates&gt;&lt;pub-location&gt;CLARE&lt;/pub-location&gt;&lt;publisher&gt;Elsevier Ireland Ltd&lt;/publisher&gt;&lt;isbn&gt;0013-4694&lt;/isbn&gt;&lt;urls&gt;&lt;/urls&gt;&lt;electronic-resource-num&gt;10.1016/0013-4694(83)90135-9&lt;/electronic-resource-num&gt;&lt;/record&gt;&lt;/Cite&gt;&lt;/EndNote&gt;</w:instrText>
      </w:r>
      <w:r w:rsidRPr="0083565B">
        <w:rPr>
          <w:rFonts w:ascii="Times New Roman" w:hAnsi="Times New Roman" w:cs="Times New Roman"/>
          <w:sz w:val="24"/>
          <w:szCs w:val="24"/>
        </w:rPr>
        <w:fldChar w:fldCharType="separate"/>
      </w:r>
      <w:r w:rsidRPr="0083565B">
        <w:rPr>
          <w:rFonts w:ascii="Times New Roman" w:hAnsi="Times New Roman" w:cs="Times New Roman"/>
          <w:noProof/>
          <w:sz w:val="24"/>
          <w:szCs w:val="24"/>
        </w:rPr>
        <w:t>(Gratton et al., 1983)</w:t>
      </w:r>
      <w:r w:rsidRPr="0083565B">
        <w:rPr>
          <w:rFonts w:ascii="Times New Roman" w:hAnsi="Times New Roman" w:cs="Times New Roman"/>
          <w:sz w:val="24"/>
          <w:szCs w:val="24"/>
        </w:rPr>
        <w:fldChar w:fldCharType="end"/>
      </w:r>
      <w:r w:rsidRPr="0083565B">
        <w:rPr>
          <w:rFonts w:ascii="Times New Roman" w:hAnsi="Times New Roman" w:cs="Times New Roman"/>
          <w:sz w:val="24"/>
          <w:szCs w:val="24"/>
        </w:rPr>
        <w:t xml:space="preserve">. Channels containing excessive noise were interpolated. Participant data were rejected if any channel in the primary analysis required interpolation, or more than 3 electrodes required interpolation. Data were re-referenced using an average reference of all electrodes, excluding Fp1 and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Fpz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. The continuous data were then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epoched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 (divided into time windows) for analysis. For each </w:t>
      </w:r>
      <w:r w:rsidRPr="0083565B">
        <w:rPr>
          <w:rFonts w:ascii="Times New Roman" w:hAnsi="Times New Roman" w:cs="Times New Roman"/>
          <w:noProof/>
          <w:sz w:val="24"/>
          <w:szCs w:val="24"/>
        </w:rPr>
        <w:t>participant,</w:t>
      </w:r>
      <w:r w:rsidRPr="0083565B">
        <w:rPr>
          <w:rFonts w:ascii="Times New Roman" w:hAnsi="Times New Roman" w:cs="Times New Roman"/>
          <w:sz w:val="24"/>
          <w:szCs w:val="24"/>
        </w:rPr>
        <w:t xml:space="preserve"> the average N170 event-related potential (peak negative amplitude between 140ms and 200ms) was calculated for left and right electrode sets and for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, for positively and negatively-valenced images.  As the vertex positive potential (VPP), which is measurable at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, represents the opposite polarity of the same dipole as the N170 </w:t>
      </w:r>
      <w:r w:rsidRPr="0083565B">
        <w:rPr>
          <w:rFonts w:ascii="Times New Roman" w:hAnsi="Times New Roman" w:cs="Times New Roman"/>
          <w:sz w:val="24"/>
          <w:szCs w:val="24"/>
        </w:rPr>
        <w:fldChar w:fldCharType="begin"/>
      </w:r>
      <w:r w:rsidRPr="0083565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&lt;EndNote&gt;&lt;Cite&gt;&lt;Author&gt;Joyce&lt;/Author&gt;&lt;Year&gt;2005&lt;/Year&gt;&lt;RecNum&gt;742&lt;/RecNum&gt;&lt;DisplayText&gt;(Joyce &amp;amp; Rossion, 2005)&lt;/DisplayText&gt;&lt;record&gt;&lt;rec-number&gt;742&lt;/rec-number&gt;&lt;foreign-keys&gt;&lt;key app="EN" db-id="0dz00a0fqsprx9evs5b5ffz6spzdw0pxswdp" timestamp="1709100368" guid="fd607e17-2d66-4e1a-9ae9-ec365d4e4788"&gt;742&lt;/key&gt;&lt;/foreign-keys&gt;&lt;ref-type name="Journal Article"&gt;17&lt;/ref-type&gt;&lt;contributors&gt;&lt;authors&gt;&lt;author&gt;Joyce, C.&lt;/author&gt;&lt;author&gt;Rossion, B.&lt;/author&gt;&lt;/authors&gt;&lt;/contributors&gt;&lt;auth-address&gt;Computer Science and Engineering, University of California, San Diego, USA.&lt;/auth-address&gt;&lt;titles&gt;&lt;title&gt;The face-sensitive N170 and VPP components manifest the same brain processes: The effect of reference electrode site&lt;/title&gt;&lt;secondary-title&gt;Clinical Neurophysiology&lt;/secondary-title&gt;&lt;/titles&gt;&lt;periodical&gt;&lt;full-title&gt;Clinical Neurophysiology&lt;/full-title&gt;&lt;/periodical&gt;&lt;pages&gt;2613-31&lt;/pages&gt;&lt;volume&gt;116&lt;/volume&gt;&lt;number&gt;11&lt;/number&gt;&lt;edition&gt;20051007&lt;/edition&gt;&lt;keywords&gt;&lt;keyword&gt;Adult&lt;/keyword&gt;&lt;keyword&gt;Brain/*physiology&lt;/keyword&gt;&lt;keyword&gt;Electroencephalography&lt;/keyword&gt;&lt;keyword&gt;*Evoked Potentials&lt;/keyword&gt;&lt;keyword&gt;*Face&lt;/keyword&gt;&lt;keyword&gt;Female&lt;/keyword&gt;&lt;keyword&gt;Humans&lt;/keyword&gt;&lt;keyword&gt;Male&lt;/keyword&gt;&lt;keyword&gt;Pattern Recognition, Visual/*physiology&lt;/keyword&gt;&lt;keyword&gt;Reaction Time&lt;/keyword&gt;&lt;/keywords&gt;&lt;dates&gt;&lt;year&gt;2005&lt;/year&gt;&lt;pub-dates&gt;&lt;date&gt;Nov&lt;/date&gt;&lt;/pub-dates&gt;&lt;/dates&gt;&lt;isbn&gt;1388-2457 (Print)&amp;#xD;1388-2457 (Linking)&lt;/isbn&gt;&lt;accession-num&gt;16214404&lt;/accession-num&gt;&lt;urls&gt;&lt;related-urls&gt;&lt;url&gt;https://www.ncbi.nlm.nih.gov/pubmed/16214404&lt;/url&gt;&lt;/related-urls&gt;&lt;/urls&gt;&lt;electronic-resource-num&gt;10.1016/j.clinph.2005.07.005&lt;/electronic-resource-num&gt;&lt;remote-database-name&gt;Medline&lt;/remote-database-name&gt;&lt;remote-database-provider&gt;NLM&lt;/remote-database-provider&gt;&lt;/record&gt;&lt;/Cite&gt;&lt;/EndNote&gt;</w:instrText>
      </w:r>
      <w:r w:rsidRPr="0083565B">
        <w:rPr>
          <w:rFonts w:ascii="Times New Roman" w:hAnsi="Times New Roman" w:cs="Times New Roman"/>
          <w:sz w:val="24"/>
          <w:szCs w:val="24"/>
        </w:rPr>
        <w:fldChar w:fldCharType="separate"/>
      </w:r>
      <w:r w:rsidRPr="0083565B">
        <w:rPr>
          <w:rFonts w:ascii="Times New Roman" w:hAnsi="Times New Roman" w:cs="Times New Roman"/>
          <w:noProof/>
          <w:sz w:val="24"/>
          <w:szCs w:val="24"/>
        </w:rPr>
        <w:t>(Joyce &amp; Rossion, 2005)</w:t>
      </w:r>
      <w:r w:rsidRPr="0083565B">
        <w:rPr>
          <w:rFonts w:ascii="Times New Roman" w:hAnsi="Times New Roman" w:cs="Times New Roman"/>
          <w:sz w:val="24"/>
          <w:szCs w:val="24"/>
        </w:rPr>
        <w:fldChar w:fldCharType="end"/>
      </w:r>
      <w:r w:rsidRPr="0083565B">
        <w:rPr>
          <w:rFonts w:ascii="Times New Roman" w:hAnsi="Times New Roman" w:cs="Times New Roman"/>
          <w:sz w:val="24"/>
          <w:szCs w:val="24"/>
        </w:rPr>
        <w:t xml:space="preserve">, measurable at the left (PO7, P7, P9) and right (PO8, P8, P10)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occipto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-temporal electrode pools, the results for </w:t>
      </w:r>
      <w:proofErr w:type="spellStart"/>
      <w:r w:rsidRPr="0083565B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83565B">
        <w:rPr>
          <w:rFonts w:ascii="Times New Roman" w:hAnsi="Times New Roman" w:cs="Times New Roman"/>
          <w:sz w:val="24"/>
          <w:szCs w:val="24"/>
        </w:rPr>
        <w:t xml:space="preserve"> were inverted to enable a meaningful comparison.</w:t>
      </w:r>
    </w:p>
    <w:p w14:paraId="22810674" w14:textId="77777777" w:rsidR="008666B1" w:rsidRPr="0083565B" w:rsidRDefault="008666B1">
      <w:pPr>
        <w:overflowPunct/>
        <w:spacing w:after="160" w:line="278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960C0" w14:textId="77777777" w:rsidR="008666B1" w:rsidRPr="0083565B" w:rsidRDefault="008666B1" w:rsidP="008666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t>Results of Regression Analysis</w:t>
      </w:r>
    </w:p>
    <w:p w14:paraId="17A1AA87" w14:textId="77777777" w:rsidR="008666B1" w:rsidRPr="0083565B" w:rsidRDefault="008666B1" w:rsidP="008666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54869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t>Eye-Tracking</w:t>
      </w:r>
    </w:p>
    <w:p w14:paraId="7417B92F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Proportional Dwell Time</w:t>
      </w:r>
    </w:p>
    <w:p w14:paraId="4D28467F" w14:textId="77777777" w:rsidR="008666B1" w:rsidRPr="0083565B" w:rsidDel="00F26D9E" w:rsidRDefault="008666B1" w:rsidP="008666B1">
      <w:pPr>
        <w:spacing w:line="480" w:lineRule="auto"/>
        <w:ind w:firstLine="7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3565B">
        <w:rPr>
          <w:rFonts w:ascii="Times New Roman" w:hAnsi="Times New Roman" w:cs="Times New Roman"/>
          <w:sz w:val="24"/>
          <w:szCs w:val="24"/>
        </w:rPr>
        <w:t xml:space="preserve">Regression analysis indicated PTG scores significantly predicted the time spent dwelling on positively-valenced images,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(1,61) = 5.28,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.025,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.06, and negatively-valence images,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(1,61) = 6.41,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 =.014,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.08. As PTG scores increased, the time spent dwelling on positively-valenced images also increased,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3565B">
        <w:rPr>
          <w:rFonts w:ascii="Times New Roman" w:hAnsi="Times New Roman" w:cs="Times New Roman"/>
          <w:sz w:val="24"/>
          <w:szCs w:val="24"/>
        </w:rPr>
        <w:t> (61)= 2.30,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Pr="0083565B">
        <w:rPr>
          <w:rFonts w:ascii="Times New Roman" w:hAnsi="Times New Roman" w:cs="Times New Roman"/>
          <w:sz w:val="24"/>
          <w:szCs w:val="24"/>
        </w:rPr>
        <w:t> = 2.83,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.025,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β 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.28, and the time spent dwelling on negatively-valenced images decreased,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3565B">
        <w:rPr>
          <w:rFonts w:ascii="Times New Roman" w:hAnsi="Times New Roman" w:cs="Times New Roman"/>
          <w:sz w:val="24"/>
          <w:szCs w:val="24"/>
        </w:rPr>
        <w:t> (61)= -2.53,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Pr="0083565B">
        <w:rPr>
          <w:rFonts w:ascii="Times New Roman" w:hAnsi="Times New Roman" w:cs="Times New Roman"/>
          <w:sz w:val="24"/>
          <w:szCs w:val="24"/>
        </w:rPr>
        <w:t> = .01,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.014,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-.31. </w:t>
      </w:r>
    </w:p>
    <w:p w14:paraId="1D254AE2" w14:textId="77777777" w:rsidR="008666B1" w:rsidRPr="0083565B" w:rsidRDefault="008666B1" w:rsidP="008666B1">
      <w:pPr>
        <w:spacing w:line="480" w:lineRule="auto"/>
        <w:ind w:firstLine="7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3565B">
        <w:rPr>
          <w:rFonts w:ascii="Times New Roman" w:hAnsi="Times New Roman" w:cs="Times New Roman"/>
          <w:sz w:val="24"/>
          <w:szCs w:val="24"/>
        </w:rPr>
        <w:lastRenderedPageBreak/>
        <w:t xml:space="preserve">Regression analysis indicated appreciation for life was a significant predictor of the length of time participants spent dwelling on positively-valenced images,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(1,61) = 4.26,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.043,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.05, and negatively-valence images,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(1,61) = 7.83,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 =.007,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>= .1. As appreciation for life increased, the time spent dwelling on positively-valenced images also increased,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3565B">
        <w:rPr>
          <w:rFonts w:ascii="Times New Roman" w:hAnsi="Times New Roman" w:cs="Times New Roman"/>
          <w:sz w:val="24"/>
          <w:szCs w:val="24"/>
        </w:rPr>
        <w:t> (61)= 2.06,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Pr="0083565B">
        <w:rPr>
          <w:rFonts w:ascii="Times New Roman" w:hAnsi="Times New Roman" w:cs="Times New Roman"/>
          <w:sz w:val="24"/>
          <w:szCs w:val="24"/>
        </w:rPr>
        <w:t> = .03,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.043,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β </w:t>
      </w:r>
      <w:r w:rsidRPr="0083565B">
        <w:rPr>
          <w:rFonts w:ascii="Times New Roman" w:hAnsi="Times New Roman" w:cs="Times New Roman"/>
          <w:sz w:val="24"/>
          <w:szCs w:val="24"/>
        </w:rPr>
        <w:t>= .26, and the time spent dwelling on negatively-valenced images decreased,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3565B">
        <w:rPr>
          <w:rFonts w:ascii="Times New Roman" w:hAnsi="Times New Roman" w:cs="Times New Roman"/>
          <w:sz w:val="24"/>
          <w:szCs w:val="24"/>
        </w:rPr>
        <w:t> (61)= -2.80,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Pr="0083565B">
        <w:rPr>
          <w:rFonts w:ascii="Times New Roman" w:hAnsi="Times New Roman" w:cs="Times New Roman"/>
          <w:sz w:val="24"/>
          <w:szCs w:val="24"/>
        </w:rPr>
        <w:t> = .03,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.007,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-.34. </w:t>
      </w:r>
    </w:p>
    <w:p w14:paraId="3AB68449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FDC99A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Pupil Diameter</w:t>
      </w:r>
    </w:p>
    <w:p w14:paraId="512BCDB2" w14:textId="60299987" w:rsidR="008666B1" w:rsidRPr="0083565B" w:rsidRDefault="008666B1" w:rsidP="008666B1">
      <w:pPr>
        <w:spacing w:line="480" w:lineRule="auto"/>
        <w:ind w:firstLine="7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91294638"/>
      <w:r w:rsidRPr="0083565B">
        <w:rPr>
          <w:rFonts w:ascii="Times New Roman" w:hAnsi="Times New Roman" w:cs="Times New Roman"/>
          <w:sz w:val="24"/>
          <w:szCs w:val="24"/>
        </w:rPr>
        <w:t xml:space="preserve">Regression analysis revealed a significant positive linear relationship,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(1,59) = 4.06,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.049,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>= .05, indicating that as appreciation of life scores increased, so too did participant pupil diameter when they</w:t>
      </w:r>
      <w:r w:rsidR="000D124E" w:rsidRPr="0083565B">
        <w:rPr>
          <w:rFonts w:ascii="Times New Roman" w:hAnsi="Times New Roman" w:cs="Times New Roman"/>
          <w:sz w:val="24"/>
          <w:szCs w:val="24"/>
        </w:rPr>
        <w:t xml:space="preserve"> viewed</w:t>
      </w:r>
      <w:r w:rsidRPr="0083565B">
        <w:rPr>
          <w:rFonts w:ascii="Times New Roman" w:hAnsi="Times New Roman" w:cs="Times New Roman"/>
          <w:sz w:val="24"/>
          <w:szCs w:val="24"/>
        </w:rPr>
        <w:t xml:space="preserve"> positively-valenced images,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83565B">
        <w:rPr>
          <w:rFonts w:ascii="Times New Roman" w:hAnsi="Times New Roman" w:cs="Times New Roman"/>
          <w:sz w:val="24"/>
          <w:szCs w:val="24"/>
        </w:rPr>
        <w:t> (59)= 2.01,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Pr="0083565B">
        <w:rPr>
          <w:rFonts w:ascii="Times New Roman" w:hAnsi="Times New Roman" w:cs="Times New Roman"/>
          <w:sz w:val="24"/>
          <w:szCs w:val="24"/>
        </w:rPr>
        <w:t> = .03, 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3565B">
        <w:rPr>
          <w:rFonts w:ascii="Times New Roman" w:hAnsi="Times New Roman" w:cs="Times New Roman"/>
          <w:sz w:val="24"/>
          <w:szCs w:val="24"/>
        </w:rPr>
        <w:t xml:space="preserve"> = .049,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β </w:t>
      </w:r>
      <w:r w:rsidRPr="0083565B">
        <w:rPr>
          <w:rFonts w:ascii="Times New Roman" w:hAnsi="Times New Roman" w:cs="Times New Roman"/>
          <w:sz w:val="24"/>
          <w:szCs w:val="24"/>
        </w:rPr>
        <w:t>= .25.</w:t>
      </w:r>
      <w:bookmarkEnd w:id="0"/>
    </w:p>
    <w:p w14:paraId="187EFAB6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4D1D0" w14:textId="77777777" w:rsidR="008666B1" w:rsidRPr="0083565B" w:rsidRDefault="008666B1" w:rsidP="008666B1">
      <w:pPr>
        <w:spacing w:after="0" w:line="48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t>EEG</w:t>
      </w:r>
    </w:p>
    <w:p w14:paraId="68D1ED28" w14:textId="3853CC05" w:rsidR="008666B1" w:rsidRPr="0083565B" w:rsidRDefault="008666B1" w:rsidP="008666B1">
      <w:pPr>
        <w:spacing w:line="480" w:lineRule="auto"/>
        <w:ind w:firstLine="720"/>
        <w:contextualSpacing/>
        <w:jc w:val="left"/>
        <w:rPr>
          <w:rFonts w:ascii="Times New Roman" w:hAnsi="Times New Roman" w:cs="Times New Roman"/>
        </w:rPr>
      </w:pPr>
      <w:r w:rsidRPr="0083565B">
        <w:rPr>
          <w:rFonts w:ascii="Times New Roman" w:hAnsi="Times New Roman" w:cs="Times New Roman"/>
          <w:sz w:val="24"/>
          <w:szCs w:val="24"/>
        </w:rPr>
        <w:t>Regression analysis indicated IES-R scores significantly predicted</w:t>
      </w:r>
      <w:r w:rsidR="00972353" w:rsidRPr="0083565B">
        <w:rPr>
          <w:rFonts w:ascii="Times New Roman" w:hAnsi="Times New Roman" w:cs="Times New Roman"/>
          <w:sz w:val="24"/>
          <w:szCs w:val="24"/>
        </w:rPr>
        <w:t xml:space="preserve"> the</w:t>
      </w:r>
      <w:r w:rsidRPr="0083565B">
        <w:rPr>
          <w:rFonts w:ascii="Times New Roman" w:hAnsi="Times New Roman" w:cs="Times New Roman"/>
          <w:sz w:val="24"/>
          <w:szCs w:val="24"/>
        </w:rPr>
        <w:t xml:space="preserve"> </w:t>
      </w:r>
      <w:r w:rsidR="00972353" w:rsidRPr="0083565B">
        <w:rPr>
          <w:rFonts w:ascii="Times New Roman" w:hAnsi="Times New Roman" w:cs="Times New Roman"/>
          <w:sz w:val="24"/>
          <w:szCs w:val="24"/>
        </w:rPr>
        <w:t xml:space="preserve">size of the </w:t>
      </w:r>
      <w:r w:rsidRPr="0083565B">
        <w:rPr>
          <w:rFonts w:ascii="Times New Roman" w:hAnsi="Times New Roman" w:cs="Times New Roman"/>
          <w:sz w:val="24"/>
          <w:szCs w:val="24"/>
        </w:rPr>
        <w:t>N170</w:t>
      </w:r>
      <w:r w:rsidR="00972353" w:rsidRPr="0083565B">
        <w:rPr>
          <w:rFonts w:ascii="Times New Roman" w:hAnsi="Times New Roman" w:cs="Times New Roman"/>
          <w:sz w:val="24"/>
          <w:szCs w:val="24"/>
        </w:rPr>
        <w:t xml:space="preserve"> response</w:t>
      </w:r>
      <w:r w:rsidRPr="0083565B">
        <w:rPr>
          <w:rFonts w:ascii="Times New Roman" w:hAnsi="Times New Roman" w:cs="Times New Roman"/>
          <w:sz w:val="24"/>
          <w:szCs w:val="24"/>
        </w:rPr>
        <w:t xml:space="preserve">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83565B">
        <w:rPr>
          <w:rFonts w:ascii="Times New Roman" w:hAnsi="Times New Roman" w:cs="Times New Roman"/>
          <w:sz w:val="24"/>
          <w:szCs w:val="24"/>
        </w:rPr>
        <w:t xml:space="preserve">(1,61) = 4.2,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.045, adjusted </w:t>
      </w:r>
      <w:r w:rsidRPr="0083565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3565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3565B">
        <w:rPr>
          <w:rFonts w:ascii="Times New Roman" w:hAnsi="Times New Roman" w:cs="Times New Roman"/>
          <w:sz w:val="24"/>
          <w:szCs w:val="24"/>
        </w:rPr>
        <w:t xml:space="preserve">= .05. </w:t>
      </w:r>
      <w:r w:rsidR="000D124E" w:rsidRPr="0083565B">
        <w:rPr>
          <w:rFonts w:ascii="Times New Roman" w:hAnsi="Times New Roman" w:cs="Times New Roman"/>
          <w:sz w:val="24"/>
          <w:szCs w:val="24"/>
        </w:rPr>
        <w:t>As IES-R scores increased, the amplitude of the peak-to-peak N170 responses to negatively-valenced images, relative to positively-valenced images, became larger, </w:t>
      </w:r>
      <w:r w:rsidR="000D124E" w:rsidRPr="0083565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0D124E" w:rsidRPr="0083565B">
        <w:rPr>
          <w:rFonts w:ascii="Times New Roman" w:hAnsi="Times New Roman" w:cs="Times New Roman"/>
          <w:sz w:val="24"/>
          <w:szCs w:val="24"/>
        </w:rPr>
        <w:t> (61)= -2.05, </w:t>
      </w:r>
      <w:r w:rsidR="000D124E" w:rsidRPr="0083565B">
        <w:rPr>
          <w:rFonts w:ascii="Times New Roman" w:hAnsi="Times New Roman" w:cs="Times New Roman"/>
          <w:i/>
          <w:iCs/>
          <w:sz w:val="24"/>
          <w:szCs w:val="24"/>
        </w:rPr>
        <w:t>SE</w:t>
      </w:r>
      <w:r w:rsidR="000D124E" w:rsidRPr="0083565B">
        <w:rPr>
          <w:rFonts w:ascii="Times New Roman" w:hAnsi="Times New Roman" w:cs="Times New Roman"/>
          <w:sz w:val="24"/>
          <w:szCs w:val="24"/>
        </w:rPr>
        <w:t> = .01, </w:t>
      </w:r>
      <w:r w:rsidR="000D124E" w:rsidRPr="0083565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D124E" w:rsidRPr="0083565B">
        <w:rPr>
          <w:rFonts w:ascii="Times New Roman" w:hAnsi="Times New Roman" w:cs="Times New Roman"/>
          <w:sz w:val="24"/>
          <w:szCs w:val="24"/>
        </w:rPr>
        <w:t xml:space="preserve"> = .045, </w:t>
      </w:r>
      <w:r w:rsidR="000D124E" w:rsidRPr="0083565B">
        <w:rPr>
          <w:rFonts w:ascii="Times New Roman" w:hAnsi="Times New Roman" w:cs="Times New Roman"/>
          <w:i/>
          <w:iCs/>
          <w:sz w:val="24"/>
          <w:szCs w:val="24"/>
        </w:rPr>
        <w:t>β </w:t>
      </w:r>
      <w:r w:rsidR="000D124E" w:rsidRPr="0083565B">
        <w:rPr>
          <w:rFonts w:ascii="Times New Roman" w:hAnsi="Times New Roman" w:cs="Times New Roman"/>
          <w:sz w:val="24"/>
          <w:szCs w:val="24"/>
        </w:rPr>
        <w:t xml:space="preserve">= -.254. </w:t>
      </w:r>
    </w:p>
    <w:p w14:paraId="2513C4C3" w14:textId="31018611" w:rsidR="0092371A" w:rsidRPr="0083565B" w:rsidRDefault="0092371A">
      <w:pPr>
        <w:overflowPunct/>
        <w:spacing w:after="160" w:line="278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0DBAB36" w14:textId="2EB8A460" w:rsidR="009A4CEC" w:rsidRPr="0083565B" w:rsidRDefault="009A4CEC" w:rsidP="009A4CE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65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F1E1E24" w14:textId="4E626E2F" w:rsidR="008E64C3" w:rsidRPr="0083565B" w:rsidRDefault="009A4CEC" w:rsidP="008E64C3">
      <w:pPr>
        <w:pStyle w:val="EndNoteBibliography"/>
        <w:spacing w:after="0"/>
        <w:ind w:left="720" w:hanging="720"/>
      </w:pPr>
      <w:r w:rsidRPr="0083565B">
        <w:rPr>
          <w:szCs w:val="24"/>
        </w:rPr>
        <w:fldChar w:fldCharType="begin"/>
      </w:r>
      <w:r w:rsidRPr="0083565B">
        <w:rPr>
          <w:szCs w:val="24"/>
        </w:rPr>
        <w:instrText xml:space="preserve"> ADDIN EN.REFLIST </w:instrText>
      </w:r>
      <w:r w:rsidRPr="0083565B">
        <w:rPr>
          <w:szCs w:val="24"/>
        </w:rPr>
        <w:fldChar w:fldCharType="separate"/>
      </w:r>
      <w:r w:rsidR="008E64C3" w:rsidRPr="0083565B">
        <w:t xml:space="preserve">Gratton, G., Coles, M. G. H., &amp; Donchin, E. (1983). A new method for off-line removal of ocular artifact. </w:t>
      </w:r>
      <w:r w:rsidR="008E64C3" w:rsidRPr="0083565B">
        <w:rPr>
          <w:i/>
        </w:rPr>
        <w:t>Electroencephalography and Clinical Neurophysiology</w:t>
      </w:r>
      <w:r w:rsidR="008E64C3" w:rsidRPr="0083565B">
        <w:t>,</w:t>
      </w:r>
      <w:r w:rsidR="008E64C3" w:rsidRPr="0083565B">
        <w:rPr>
          <w:i/>
        </w:rPr>
        <w:t xml:space="preserve"> 55</w:t>
      </w:r>
      <w:r w:rsidR="008E64C3" w:rsidRPr="0083565B">
        <w:t xml:space="preserve">(4), 468-484. </w:t>
      </w:r>
      <w:hyperlink r:id="rId7" w:history="1">
        <w:r w:rsidR="008E64C3" w:rsidRPr="0083565B">
          <w:rPr>
            <w:rStyle w:val="Hyperlink"/>
          </w:rPr>
          <w:t>https://doi.org/10.1016/0013-4694(83)90135-9</w:t>
        </w:r>
      </w:hyperlink>
      <w:r w:rsidR="008E64C3" w:rsidRPr="0083565B">
        <w:t xml:space="preserve"> </w:t>
      </w:r>
    </w:p>
    <w:p w14:paraId="0CFB6567" w14:textId="35DA75A4" w:rsidR="008E64C3" w:rsidRPr="0083565B" w:rsidRDefault="008E64C3" w:rsidP="008E64C3">
      <w:pPr>
        <w:pStyle w:val="EndNoteBibliography"/>
        <w:ind w:left="720" w:hanging="720"/>
      </w:pPr>
      <w:r w:rsidRPr="0083565B">
        <w:t xml:space="preserve">Joyce, C., &amp; Rossion, B. (2005). The face-sensitive N170 and VPP components manifest the same brain processes: The effect of reference electrode site. </w:t>
      </w:r>
      <w:r w:rsidRPr="0083565B">
        <w:rPr>
          <w:i/>
        </w:rPr>
        <w:t>Clinical Neurophysiology</w:t>
      </w:r>
      <w:r w:rsidRPr="0083565B">
        <w:t>,</w:t>
      </w:r>
      <w:r w:rsidRPr="0083565B">
        <w:rPr>
          <w:i/>
        </w:rPr>
        <w:t xml:space="preserve"> 116</w:t>
      </w:r>
      <w:r w:rsidRPr="0083565B">
        <w:t xml:space="preserve">(11), 2613-2631. </w:t>
      </w:r>
      <w:hyperlink r:id="rId8" w:history="1">
        <w:r w:rsidRPr="0083565B">
          <w:rPr>
            <w:rStyle w:val="Hyperlink"/>
          </w:rPr>
          <w:t>https://doi.org/10.1016/j.clinph.2005.07.005</w:t>
        </w:r>
      </w:hyperlink>
      <w:r w:rsidRPr="0083565B">
        <w:t xml:space="preserve"> </w:t>
      </w:r>
    </w:p>
    <w:p w14:paraId="4F9030C4" w14:textId="7667F3A8" w:rsidR="00005E8C" w:rsidRDefault="009A4CEC" w:rsidP="009A4CEC">
      <w:pPr>
        <w:spacing w:line="480" w:lineRule="auto"/>
      </w:pPr>
      <w:r w:rsidRPr="008356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05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A3D4" w14:textId="77777777" w:rsidR="00524156" w:rsidRDefault="00524156" w:rsidP="00005E8C">
      <w:pPr>
        <w:spacing w:after="0" w:line="240" w:lineRule="auto"/>
      </w:pPr>
      <w:r>
        <w:separator/>
      </w:r>
    </w:p>
  </w:endnote>
  <w:endnote w:type="continuationSeparator" w:id="0">
    <w:p w14:paraId="1E75A922" w14:textId="77777777" w:rsidR="00524156" w:rsidRDefault="00524156" w:rsidP="0000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BC43D" w14:textId="77777777" w:rsidR="00524156" w:rsidRDefault="00524156" w:rsidP="00005E8C">
      <w:pPr>
        <w:spacing w:after="0" w:line="240" w:lineRule="auto"/>
      </w:pPr>
      <w:r>
        <w:separator/>
      </w:r>
    </w:p>
  </w:footnote>
  <w:footnote w:type="continuationSeparator" w:id="0">
    <w:p w14:paraId="7E62070D" w14:textId="77777777" w:rsidR="00524156" w:rsidRDefault="00524156" w:rsidP="00005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CE32" w14:textId="60CE458E" w:rsidR="00005E8C" w:rsidRDefault="00005E8C">
    <w:pPr>
      <w:pStyle w:val="Header"/>
    </w:pPr>
    <w:r>
      <w:rPr>
        <w:rFonts w:ascii="Times New Roman" w:hAnsi="Times New Roman" w:cs="Times New Roman"/>
        <w:sz w:val="24"/>
        <w:szCs w:val="24"/>
      </w:rPr>
      <w:t>PTG: DWELLING ON THE POSITIVE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z00a0fqsprx9evs5b5ffz6spzdw0pxswdp&quot;&gt;PTG EndNote Library-Converted&lt;record-ids&gt;&lt;item&gt;741&lt;/item&gt;&lt;item&gt;742&lt;/item&gt;&lt;/record-ids&gt;&lt;/item&gt;&lt;/Libraries&gt;"/>
  </w:docVars>
  <w:rsids>
    <w:rsidRoot w:val="00005E8C"/>
    <w:rsid w:val="00005E8C"/>
    <w:rsid w:val="0006371C"/>
    <w:rsid w:val="000D124E"/>
    <w:rsid w:val="000D4217"/>
    <w:rsid w:val="001A5436"/>
    <w:rsid w:val="002408F8"/>
    <w:rsid w:val="003D20F6"/>
    <w:rsid w:val="00451D31"/>
    <w:rsid w:val="00484878"/>
    <w:rsid w:val="004C4F77"/>
    <w:rsid w:val="005011FE"/>
    <w:rsid w:val="00524156"/>
    <w:rsid w:val="00585E93"/>
    <w:rsid w:val="00621DD0"/>
    <w:rsid w:val="0073595D"/>
    <w:rsid w:val="0083565B"/>
    <w:rsid w:val="008503FA"/>
    <w:rsid w:val="008666B1"/>
    <w:rsid w:val="008E64C3"/>
    <w:rsid w:val="00914FBF"/>
    <w:rsid w:val="0092371A"/>
    <w:rsid w:val="00972353"/>
    <w:rsid w:val="00974F03"/>
    <w:rsid w:val="009A4CEC"/>
    <w:rsid w:val="009B63AB"/>
    <w:rsid w:val="009E3DA9"/>
    <w:rsid w:val="00A71D92"/>
    <w:rsid w:val="00B21C73"/>
    <w:rsid w:val="00B6182A"/>
    <w:rsid w:val="00BC0ECA"/>
    <w:rsid w:val="00BE314C"/>
    <w:rsid w:val="00C17363"/>
    <w:rsid w:val="00CB7CCE"/>
    <w:rsid w:val="00CE08D3"/>
    <w:rsid w:val="00D47F6E"/>
    <w:rsid w:val="00D74D99"/>
    <w:rsid w:val="00D85EDE"/>
    <w:rsid w:val="00DD169F"/>
    <w:rsid w:val="00E2580F"/>
    <w:rsid w:val="00E437A1"/>
    <w:rsid w:val="00F3282A"/>
    <w:rsid w:val="00F72C6F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8AC3"/>
  <w15:chartTrackingRefBased/>
  <w15:docId w15:val="{4361B66C-FBBC-466F-B51F-C29131C7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E8C"/>
    <w:pPr>
      <w:overflowPunct w:val="0"/>
      <w:spacing w:after="200" w:line="276" w:lineRule="auto"/>
      <w:jc w:val="both"/>
    </w:pPr>
    <w:rPr>
      <w:rFonts w:ascii="Calibri" w:eastAsia="DejaVu Sans" w:hAnsi="Calibri" w:cs="DejaVu San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E8C"/>
    <w:pPr>
      <w:keepNext/>
      <w:keepLines/>
      <w:overflowPunct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E8C"/>
    <w:pPr>
      <w:keepNext/>
      <w:keepLines/>
      <w:overflowPunct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E8C"/>
    <w:pPr>
      <w:keepNext/>
      <w:keepLines/>
      <w:overflowPunct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E8C"/>
    <w:pPr>
      <w:keepNext/>
      <w:keepLines/>
      <w:overflowPunct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E8C"/>
    <w:pPr>
      <w:keepNext/>
      <w:keepLines/>
      <w:overflowPunct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E8C"/>
    <w:pPr>
      <w:keepNext/>
      <w:keepLines/>
      <w:overflowPunct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E8C"/>
    <w:pPr>
      <w:keepNext/>
      <w:keepLines/>
      <w:overflowPunct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E8C"/>
    <w:pPr>
      <w:keepNext/>
      <w:keepLines/>
      <w:overflowPunct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E8C"/>
    <w:pPr>
      <w:keepNext/>
      <w:keepLines/>
      <w:overflowPunct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E8C"/>
    <w:pPr>
      <w:overflowPunct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5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E8C"/>
    <w:pPr>
      <w:numPr>
        <w:ilvl w:val="1"/>
      </w:numPr>
      <w:overflowPunct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5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E8C"/>
    <w:pPr>
      <w:overflowPunct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5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E8C"/>
    <w:pPr>
      <w:overflowPunct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5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E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E8C"/>
    <w:rPr>
      <w:rFonts w:ascii="Calibri" w:eastAsia="DejaVu Sans" w:hAnsi="Calibri" w:cs="DejaVu Sans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5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E8C"/>
    <w:rPr>
      <w:rFonts w:ascii="Calibri" w:eastAsia="DejaVu Sans" w:hAnsi="Calibri" w:cs="DejaVu Sans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A4CEC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4CEC"/>
    <w:rPr>
      <w:rFonts w:ascii="Times New Roman" w:eastAsia="DejaVu Sans" w:hAnsi="Times New Roman" w:cs="Times New Roman"/>
      <w:noProof/>
      <w:kern w:val="0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A4CEC"/>
    <w:pPr>
      <w:spacing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A4CEC"/>
    <w:rPr>
      <w:rFonts w:ascii="Times New Roman" w:eastAsia="DejaVu Sans" w:hAnsi="Times New Roman" w:cs="Times New Roman"/>
      <w:noProof/>
      <w:kern w:val="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A4C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C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4D99"/>
    <w:pPr>
      <w:spacing w:after="0" w:line="240" w:lineRule="auto"/>
    </w:pPr>
    <w:rPr>
      <w:rFonts w:ascii="Calibri" w:eastAsia="DejaVu Sans" w:hAnsi="Calibri" w:cs="DejaVu San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linph.2005.07.0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0013-4694(83)90135-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816c53-b0d3-4c1a-a10e-aa4784cf6e23}" enabled="1" method="Privileged" siteId="{fdade0c4-3fea-4320-ae53-1a1742aeff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 Glazebrook</dc:creator>
  <cp:keywords/>
  <dc:description/>
  <cp:lastModifiedBy>Dr AJ Glazebrook</cp:lastModifiedBy>
  <cp:revision>18</cp:revision>
  <dcterms:created xsi:type="dcterms:W3CDTF">2024-08-29T00:11:00Z</dcterms:created>
  <dcterms:modified xsi:type="dcterms:W3CDTF">2025-07-23T05:53:00Z</dcterms:modified>
</cp:coreProperties>
</file>