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8153F" w14:textId="2BF930D2" w:rsidR="006750A4" w:rsidRPr="001A0F51" w:rsidRDefault="00D97014" w:rsidP="00810FAF">
      <w:pPr>
        <w:spacing w:line="480" w:lineRule="auto"/>
        <w:rPr>
          <w:rFonts w:ascii="Calibri" w:hAnsi="Calibri" w:cs="Calibri"/>
          <w:i/>
          <w:iCs/>
          <w:sz w:val="22"/>
          <w:szCs w:val="22"/>
        </w:rPr>
      </w:pPr>
      <w:r w:rsidRPr="001A0F51">
        <w:rPr>
          <w:rFonts w:ascii="Calibri" w:eastAsia="Times New Roman" w:hAnsi="Calibri" w:cs="Calibri"/>
          <w:b/>
          <w:bCs/>
          <w:color w:val="000000"/>
          <w:kern w:val="0"/>
          <w:lang w:eastAsia="en-AU"/>
          <w14:ligatures w14:val="none"/>
        </w:rPr>
        <w:t xml:space="preserve">Supplementary Table </w:t>
      </w:r>
      <w:r w:rsidR="00E440E6" w:rsidRPr="001A0F51">
        <w:rPr>
          <w:rFonts w:ascii="Calibri" w:eastAsia="Times New Roman" w:hAnsi="Calibri" w:cs="Calibri"/>
          <w:b/>
          <w:bCs/>
          <w:color w:val="000000"/>
          <w:kern w:val="0"/>
          <w:lang w:eastAsia="en-AU"/>
          <w14:ligatures w14:val="none"/>
        </w:rPr>
        <w:t>4</w:t>
      </w:r>
      <w:r w:rsidRPr="001A0F51">
        <w:rPr>
          <w:rFonts w:ascii="Calibri" w:eastAsia="Times New Roman" w:hAnsi="Calibri" w:cs="Calibri"/>
          <w:b/>
          <w:bCs/>
          <w:color w:val="000000"/>
          <w:kern w:val="0"/>
          <w:lang w:eastAsia="en-AU"/>
          <w14:ligatures w14:val="none"/>
        </w:rPr>
        <w:t xml:space="preserve">. </w:t>
      </w:r>
      <w:r w:rsidR="006750A4" w:rsidRPr="001A0F51">
        <w:rPr>
          <w:rFonts w:ascii="Calibri" w:hAnsi="Calibri" w:cs="Calibri"/>
          <w:i/>
          <w:iCs/>
        </w:rPr>
        <w:t>Neurofeedback Treatment Quality Scale (3-Point Scale)</w:t>
      </w:r>
    </w:p>
    <w:p w14:paraId="394E1832" w14:textId="574B235D" w:rsidR="006750A4" w:rsidRPr="001A0F51" w:rsidRDefault="006750A4" w:rsidP="00BA02DC">
      <w:pPr>
        <w:rPr>
          <w:rFonts w:ascii="Calibri" w:hAnsi="Calibri" w:cs="Calibri"/>
        </w:rPr>
      </w:pPr>
      <w:r w:rsidRPr="001A0F51">
        <w:rPr>
          <w:rFonts w:ascii="Calibri" w:hAnsi="Calibri" w:cs="Calibri"/>
        </w:rPr>
        <w:t>This scale assesses the quality of neurofeedback treatment based on key aspects of treatment delivery and documentation. Each criterion is scored on a scale of 1 to 3, with higher scores indicating higher quality.</w:t>
      </w:r>
      <w:r w:rsidR="00BA02DC" w:rsidRPr="001A0F51">
        <w:rPr>
          <w:rFonts w:ascii="Calibri" w:hAnsi="Calibri" w:cs="Calibri"/>
        </w:rPr>
        <w:t xml:space="preserve"> </w:t>
      </w:r>
    </w:p>
    <w:p w14:paraId="00ABE4AA" w14:textId="11D2B5C5" w:rsidR="00EB3D88" w:rsidRPr="001A0F51" w:rsidRDefault="00EB3D88" w:rsidP="00EB3D8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B3D88" w:rsidRPr="001A0F51" w14:paraId="3C89AA02" w14:textId="77777777" w:rsidTr="00383281">
        <w:tc>
          <w:tcPr>
            <w:tcW w:w="2160" w:type="dxa"/>
          </w:tcPr>
          <w:p w14:paraId="5D70085A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Criterion</w:t>
            </w:r>
          </w:p>
        </w:tc>
        <w:tc>
          <w:tcPr>
            <w:tcW w:w="2160" w:type="dxa"/>
          </w:tcPr>
          <w:p w14:paraId="2DFD402F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Low Quality (1)</w:t>
            </w:r>
          </w:p>
        </w:tc>
        <w:tc>
          <w:tcPr>
            <w:tcW w:w="2160" w:type="dxa"/>
          </w:tcPr>
          <w:p w14:paraId="6794280F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Acceptable Quality (2)</w:t>
            </w:r>
          </w:p>
        </w:tc>
        <w:tc>
          <w:tcPr>
            <w:tcW w:w="2160" w:type="dxa"/>
          </w:tcPr>
          <w:p w14:paraId="39D1B140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High Quality (3)</w:t>
            </w:r>
          </w:p>
        </w:tc>
      </w:tr>
      <w:tr w:rsidR="00EB3D88" w:rsidRPr="001A0F51" w14:paraId="500DC972" w14:textId="77777777" w:rsidTr="00383281">
        <w:tc>
          <w:tcPr>
            <w:tcW w:w="2160" w:type="dxa"/>
          </w:tcPr>
          <w:p w14:paraId="084BECB1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Number of Sessions</w:t>
            </w:r>
          </w:p>
        </w:tc>
        <w:tc>
          <w:tcPr>
            <w:tcW w:w="2160" w:type="dxa"/>
          </w:tcPr>
          <w:p w14:paraId="63C3ED3C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Fewer than 10 sessions (well below the recommended standard).</w:t>
            </w:r>
          </w:p>
        </w:tc>
        <w:tc>
          <w:tcPr>
            <w:tcW w:w="2160" w:type="dxa"/>
          </w:tcPr>
          <w:p w14:paraId="6E70F3B5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10-19 sessions (approaching the recommended standard).</w:t>
            </w:r>
          </w:p>
        </w:tc>
        <w:tc>
          <w:tcPr>
            <w:tcW w:w="2160" w:type="dxa"/>
          </w:tcPr>
          <w:p w14:paraId="7E424995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20 or more sessions (meets or exceeds the recommended standard for effective neurofeedback treatment).</w:t>
            </w:r>
          </w:p>
        </w:tc>
      </w:tr>
      <w:tr w:rsidR="00EB3D88" w:rsidRPr="001A0F51" w14:paraId="048003E7" w14:textId="77777777" w:rsidTr="00383281">
        <w:tc>
          <w:tcPr>
            <w:tcW w:w="2160" w:type="dxa"/>
          </w:tcPr>
          <w:p w14:paraId="3BF5FF0B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Session Frequency Consistency of Treatment</w:t>
            </w:r>
          </w:p>
        </w:tc>
        <w:tc>
          <w:tcPr>
            <w:tcW w:w="2160" w:type="dxa"/>
          </w:tcPr>
          <w:p w14:paraId="674620A9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Treatment provided irregularly, with frequent gaps of two weeks or longer.</w:t>
            </w:r>
          </w:p>
        </w:tc>
        <w:tc>
          <w:tcPr>
            <w:tcW w:w="2160" w:type="dxa"/>
          </w:tcPr>
          <w:p w14:paraId="085FE12B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At least one block of 10 sessions delivered consistently, but other sessions may include gaps of up to two weeks.</w:t>
            </w:r>
          </w:p>
        </w:tc>
        <w:tc>
          <w:tcPr>
            <w:tcW w:w="2160" w:type="dxa"/>
          </w:tcPr>
          <w:p w14:paraId="614DE611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Most sessions are conducted weekly or bi-weekly, with few gaps between the blocks of sessions.</w:t>
            </w:r>
          </w:p>
        </w:tc>
      </w:tr>
      <w:tr w:rsidR="00EB3D88" w:rsidRPr="001A0F51" w14:paraId="526B34F3" w14:textId="77777777" w:rsidTr="00383281">
        <w:tc>
          <w:tcPr>
            <w:tcW w:w="2160" w:type="dxa"/>
          </w:tcPr>
          <w:p w14:paraId="3E2273B5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Adherence</w:t>
            </w:r>
          </w:p>
        </w:tc>
        <w:tc>
          <w:tcPr>
            <w:tcW w:w="2160" w:type="dxa"/>
          </w:tcPr>
          <w:p w14:paraId="4ABDC8D6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decisions do not align with initial assessment findings, with little to no documented rationale for choice of protocols</w:t>
            </w:r>
          </w:p>
        </w:tc>
        <w:tc>
          <w:tcPr>
            <w:tcW w:w="2160" w:type="dxa"/>
          </w:tcPr>
          <w:p w14:paraId="6DCE8AAA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generally aligns with assessment findings but lacks consistent documentation or justification for all decisions.</w:t>
            </w:r>
          </w:p>
        </w:tc>
        <w:tc>
          <w:tcPr>
            <w:tcW w:w="2160" w:type="dxa"/>
          </w:tcPr>
          <w:p w14:paraId="27AA7C31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rigorously follows assessment findings, with detailed and systematic documentation justifying all decisions.</w:t>
            </w:r>
          </w:p>
        </w:tc>
      </w:tr>
      <w:tr w:rsidR="00EB3D88" w:rsidRPr="001A0F51" w14:paraId="15536E73" w14:textId="77777777" w:rsidTr="00383281">
        <w:tc>
          <w:tcPr>
            <w:tcW w:w="2160" w:type="dxa"/>
          </w:tcPr>
          <w:p w14:paraId="75DB1D40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Modification Documentation</w:t>
            </w:r>
          </w:p>
        </w:tc>
        <w:tc>
          <w:tcPr>
            <w:tcW w:w="2160" w:type="dxa"/>
          </w:tcPr>
          <w:p w14:paraId="71FE0B52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Protocol modifications lack clear or supported rationale, with frequent deviations from assessment recommendations.</w:t>
            </w:r>
          </w:p>
        </w:tc>
        <w:tc>
          <w:tcPr>
            <w:tcW w:w="2160" w:type="dxa"/>
          </w:tcPr>
          <w:p w14:paraId="3A05385C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Modifications have documented rationale supported by ongoing evaluation but may lack consistency or thoroughness.</w:t>
            </w:r>
          </w:p>
        </w:tc>
        <w:tc>
          <w:tcPr>
            <w:tcW w:w="2160" w:type="dxa"/>
          </w:tcPr>
          <w:p w14:paraId="754FE6BA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All modifications are systematically documented, with comprehensive rationale supported by ongoing session evaluations and evidence (e.g., QEEG data, symptom changes).</w:t>
            </w:r>
          </w:p>
        </w:tc>
      </w:tr>
      <w:tr w:rsidR="00EB3D88" w:rsidRPr="001A0F51" w14:paraId="4E625777" w14:textId="77777777" w:rsidTr="00383281">
        <w:tc>
          <w:tcPr>
            <w:tcW w:w="2160" w:type="dxa"/>
          </w:tcPr>
          <w:p w14:paraId="3CC0F570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Overall Treatment Documentation Quality</w:t>
            </w:r>
          </w:p>
        </w:tc>
        <w:tc>
          <w:tcPr>
            <w:tcW w:w="2160" w:type="dxa"/>
          </w:tcPr>
          <w:p w14:paraId="5194A45A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Documentation is incomplete or disorganized, with major sections (e.g., session notes, treatment plans) missing or unclear, including missing client response data or adverse event reporting.</w:t>
            </w:r>
          </w:p>
        </w:tc>
        <w:tc>
          <w:tcPr>
            <w:tcW w:w="2160" w:type="dxa"/>
          </w:tcPr>
          <w:p w14:paraId="4E71E24B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Documentation includes most key components but may be inconsistent or partially disorganized (e.g., missing client response data for some sessions, some protocols and modification in protocols not well documented).</w:t>
            </w:r>
          </w:p>
        </w:tc>
        <w:tc>
          <w:tcPr>
            <w:tcW w:w="2160" w:type="dxa"/>
          </w:tcPr>
          <w:p w14:paraId="020329AC" w14:textId="77777777" w:rsidR="00EB3D88" w:rsidRPr="001A0F51" w:rsidRDefault="00EB3D88" w:rsidP="00383281">
            <w:pPr>
              <w:rPr>
                <w:rFonts w:ascii="Calibri" w:hAnsi="Calibri" w:cs="Calibri"/>
              </w:rPr>
            </w:pPr>
            <w:r w:rsidRPr="001A0F51">
              <w:rPr>
                <w:rFonts w:ascii="Calibri" w:hAnsi="Calibri" w:cs="Calibri"/>
                <w:sz w:val="20"/>
              </w:rPr>
              <w:t>Documentation is comprehensive, includes all key components (e.g., presenting concerns, session notes, assessments, protocol rationales), and is meticulously organised to ensure accessibility and traceability.</w:t>
            </w:r>
          </w:p>
        </w:tc>
      </w:tr>
    </w:tbl>
    <w:p w14:paraId="264A3F78" w14:textId="77777777" w:rsidR="00573EDE" w:rsidRPr="001A0F51" w:rsidRDefault="00573EDE" w:rsidP="006750A4">
      <w:pPr>
        <w:pStyle w:val="Heading1"/>
        <w:rPr>
          <w:rFonts w:ascii="Calibri" w:hAnsi="Calibri" w:cs="Calibri"/>
          <w:lang w:val="en-AU"/>
        </w:rPr>
      </w:pPr>
    </w:p>
    <w:sectPr w:rsidR="00573EDE" w:rsidRPr="001A0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F67A0"/>
    <w:multiLevelType w:val="hybridMultilevel"/>
    <w:tmpl w:val="BB4C0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B5B9A"/>
    <w:multiLevelType w:val="hybridMultilevel"/>
    <w:tmpl w:val="B5CCD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7548F"/>
    <w:multiLevelType w:val="hybridMultilevel"/>
    <w:tmpl w:val="DFB4C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160E5"/>
    <w:multiLevelType w:val="hybridMultilevel"/>
    <w:tmpl w:val="FEAA47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BB59D6"/>
    <w:multiLevelType w:val="hybridMultilevel"/>
    <w:tmpl w:val="603C6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F7C64"/>
    <w:multiLevelType w:val="hybridMultilevel"/>
    <w:tmpl w:val="FEAA473E"/>
    <w:lvl w:ilvl="0" w:tplc="A8D469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3294307">
    <w:abstractNumId w:val="0"/>
  </w:num>
  <w:num w:numId="2" w16cid:durableId="1125807916">
    <w:abstractNumId w:val="1"/>
  </w:num>
  <w:num w:numId="3" w16cid:durableId="1428651394">
    <w:abstractNumId w:val="2"/>
  </w:num>
  <w:num w:numId="4" w16cid:durableId="1620406124">
    <w:abstractNumId w:val="4"/>
  </w:num>
  <w:num w:numId="5" w16cid:durableId="296688467">
    <w:abstractNumId w:val="5"/>
  </w:num>
  <w:num w:numId="6" w16cid:durableId="192410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7D"/>
    <w:rsid w:val="00032D19"/>
    <w:rsid w:val="000331BC"/>
    <w:rsid w:val="000A1DDF"/>
    <w:rsid w:val="000D4C15"/>
    <w:rsid w:val="000F6D3F"/>
    <w:rsid w:val="00193349"/>
    <w:rsid w:val="001A0F51"/>
    <w:rsid w:val="002014C2"/>
    <w:rsid w:val="002157FB"/>
    <w:rsid w:val="002307A0"/>
    <w:rsid w:val="002C1E3D"/>
    <w:rsid w:val="00323312"/>
    <w:rsid w:val="003329C0"/>
    <w:rsid w:val="003D7542"/>
    <w:rsid w:val="003E3237"/>
    <w:rsid w:val="00442D0F"/>
    <w:rsid w:val="004A3622"/>
    <w:rsid w:val="004B027D"/>
    <w:rsid w:val="00537226"/>
    <w:rsid w:val="00573EDE"/>
    <w:rsid w:val="005D4C5B"/>
    <w:rsid w:val="00661719"/>
    <w:rsid w:val="006750A4"/>
    <w:rsid w:val="0078373C"/>
    <w:rsid w:val="007C1726"/>
    <w:rsid w:val="007E5D03"/>
    <w:rsid w:val="00810FAF"/>
    <w:rsid w:val="00950656"/>
    <w:rsid w:val="00983B37"/>
    <w:rsid w:val="00991431"/>
    <w:rsid w:val="00A05CED"/>
    <w:rsid w:val="00A1513E"/>
    <w:rsid w:val="00BA02DC"/>
    <w:rsid w:val="00C21A7F"/>
    <w:rsid w:val="00CF43BD"/>
    <w:rsid w:val="00D76D3F"/>
    <w:rsid w:val="00D97014"/>
    <w:rsid w:val="00DC712C"/>
    <w:rsid w:val="00E042EA"/>
    <w:rsid w:val="00E440E6"/>
    <w:rsid w:val="00E84502"/>
    <w:rsid w:val="00EB3D88"/>
    <w:rsid w:val="00F87E84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DBD4"/>
  <w15:chartTrackingRefBased/>
  <w15:docId w15:val="{40C58A43-1B77-B94D-A209-8257F844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ED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027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4B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2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27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73EDE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3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AU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3312"/>
    <w:rPr>
      <w:rFonts w:ascii="Courier New" w:eastAsia="Times New Roman" w:hAnsi="Courier New" w:cs="Courier New"/>
      <w:kern w:val="0"/>
      <w:sz w:val="20"/>
      <w:szCs w:val="20"/>
      <w:lang w:eastAsia="en-AU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32331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C1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A36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4A3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9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aharris1</dc:creator>
  <cp:keywords/>
  <dc:description/>
  <cp:lastModifiedBy>Mirjana Askovic</cp:lastModifiedBy>
  <cp:revision>19</cp:revision>
  <dcterms:created xsi:type="dcterms:W3CDTF">2024-09-14T02:50:00Z</dcterms:created>
  <dcterms:modified xsi:type="dcterms:W3CDTF">2024-12-12T23:02:00Z</dcterms:modified>
</cp:coreProperties>
</file>