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9254D">
      <w:pPr>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Supplementary Materials</w:t>
      </w:r>
    </w:p>
    <w:p w14:paraId="7B08B9E9">
      <w:pPr>
        <w:spacing w:line="240" w:lineRule="auto"/>
        <w:ind w:firstLine="0" w:firstLineChars="0"/>
        <w:rPr>
          <w:rFonts w:ascii="Times New Roman" w:hAnsi="Times New Roman"/>
          <w:color w:val="auto"/>
          <w:lang w:bidi="ar"/>
        </w:rPr>
      </w:pPr>
      <w:r>
        <w:rPr>
          <w:rFonts w:ascii="Times New Roman" w:hAnsi="Times New Roman"/>
          <w:b/>
          <w:bCs/>
          <w:color w:val="auto"/>
          <w:sz w:val="21"/>
          <w:szCs w:val="21"/>
        </w:rPr>
        <w:t>S1. Details of Measurements</w:t>
      </w:r>
    </w:p>
    <w:p w14:paraId="18D10FAA">
      <w:pPr>
        <w:rPr>
          <w:rFonts w:ascii="Times New Roman" w:hAnsi="Times New Roman"/>
          <w:color w:val="auto"/>
        </w:rPr>
      </w:pPr>
      <w:r>
        <w:rPr>
          <w:rFonts w:ascii="Times New Roman" w:hAnsi="Times New Roman"/>
          <w:color w:val="auto"/>
          <w:lang w:bidi="ar"/>
        </w:rPr>
        <w:t>The Internet Addiction Test (IAT) was used to measure Internet use. The IAT consists of 20 items rated on a 5-point Likert scale, with scores ranging from 1 to 5. The sum of each item creates the total Internet addiction score, and the higher the total score, the more serious the degree of Internet addiction. Cronbach's alpha for this scale was .869 at T1 and .895 at T2 in the present study.</w:t>
      </w:r>
    </w:p>
    <w:p w14:paraId="2752B584">
      <w:pPr>
        <w:rPr>
          <w:rFonts w:ascii="Times New Roman" w:hAnsi="Times New Roman"/>
          <w:color w:val="auto"/>
        </w:rPr>
      </w:pPr>
      <w:r>
        <w:rPr>
          <w:rFonts w:ascii="Times New Roman" w:hAnsi="Times New Roman"/>
          <w:color w:val="auto"/>
          <w:lang w:bidi="ar"/>
        </w:rPr>
        <w:t>PTSD symptoms were measured with the PTSD Checklist-5 (PCL-5), which consists of 20 items and is composed of 4 dimensions: intrusive symptoms, avoidance symptoms, negative cognitive and emotional symptoms, and arousal and reactivity symptoms. Scored on a 5-point Likert scale, assigning values from 0 to 4, respondents rated each item based on their experiences over the past month, and a total PCL-5 score was obtained by summing the scores for each item. Cronbach's alpha for this scale was .869 and .878 at the two time points of the present study.</w:t>
      </w:r>
    </w:p>
    <w:p w14:paraId="2B0A4ABE">
      <w:pPr>
        <w:rPr>
          <w:rFonts w:ascii="Times New Roman" w:hAnsi="Times New Roman"/>
          <w:color w:val="auto"/>
        </w:rPr>
      </w:pPr>
      <w:r>
        <w:rPr>
          <w:rFonts w:ascii="Times New Roman" w:hAnsi="Times New Roman"/>
          <w:color w:val="auto"/>
          <w:lang w:bidi="ar"/>
        </w:rPr>
        <w:t>Insomnia Severity Index (ISI) was used to measure insomnia symptoms. The scale consists of 7 items on a 5-point Likert scale ranging from 0 to 4, with a total score of 28, and higher scores indicate more severe insomnia.</w:t>
      </w:r>
      <w:r>
        <w:rPr>
          <w:rStyle w:val="8"/>
          <w:rFonts w:ascii="Times New Roman" w:hAnsi="Times New Roman"/>
          <w:color w:val="auto"/>
          <w:lang w:bidi="ar"/>
        </w:rPr>
        <w:t xml:space="preserve"> </w:t>
      </w:r>
      <w:r>
        <w:rPr>
          <w:rFonts w:ascii="Times New Roman" w:hAnsi="Times New Roman"/>
          <w:color w:val="auto"/>
          <w:lang w:bidi="ar"/>
        </w:rPr>
        <w:t>Cronbach's alpha for this scale was .812 at both two time points of the present study.</w:t>
      </w:r>
    </w:p>
    <w:p w14:paraId="44E220EE">
      <w:pPr>
        <w:ind w:firstLine="420" w:firstLineChars="200"/>
        <w:rPr>
          <w:rFonts w:ascii="Times New Roman" w:hAnsi="Times New Roman"/>
          <w:b/>
          <w:bCs/>
          <w:color w:val="auto"/>
          <w:sz w:val="21"/>
          <w:szCs w:val="21"/>
        </w:rPr>
      </w:pPr>
      <w:r>
        <w:rPr>
          <w:rFonts w:ascii="Times New Roman" w:hAnsi="Times New Roman"/>
          <w:color w:val="auto"/>
          <w:lang w:bidi="ar"/>
        </w:rPr>
        <w:t>Patient Health Questionnaire-9 (PHQ-9) was used to measure depressive symptoms, including 9 entries, using a 5-point scale, with 0-4 points as "no depression", 5-9 points as mild depression, 10-14 as "moderate depression", 15-19 as "moderately severe depression", and 20-27 as severe depression. In the present study, Cronbach's alpha was .894 and .905 for the data at T1 and T2, respectively.</w:t>
      </w:r>
    </w:p>
    <w:p w14:paraId="3216365C">
      <w:pPr>
        <w:ind w:firstLine="0" w:firstLineChars="0"/>
        <w:rPr>
          <w:rFonts w:ascii="Times New Roman" w:hAnsi="Times New Roman"/>
          <w:b/>
          <w:bCs/>
          <w:color w:val="auto"/>
          <w:sz w:val="21"/>
          <w:szCs w:val="21"/>
        </w:rPr>
      </w:pPr>
      <w:r>
        <w:rPr>
          <w:rFonts w:ascii="Times New Roman" w:hAnsi="Times New Roman"/>
          <w:b/>
          <w:bCs/>
          <w:color w:val="auto"/>
          <w:sz w:val="21"/>
          <w:szCs w:val="21"/>
        </w:rPr>
        <w:t>S2. Network accuracy and stability</w:t>
      </w:r>
    </w:p>
    <w:p w14:paraId="1930307B">
      <w:pPr>
        <w:rPr>
          <w:rFonts w:ascii="Times New Roman" w:hAnsi="Times New Roman"/>
          <w:color w:val="auto"/>
          <w:sz w:val="21"/>
          <w:szCs w:val="21"/>
        </w:rPr>
      </w:pPr>
      <w:bookmarkStart w:id="0" w:name="OLE_LINK1"/>
      <w:bookmarkStart w:id="1" w:name="OLE_LINK9"/>
      <w:r>
        <w:rPr>
          <w:rFonts w:ascii="Times New Roman" w:hAnsi="Times New Roman"/>
          <w:color w:val="auto"/>
          <w:sz w:val="21"/>
          <w:szCs w:val="21"/>
          <w:lang w:bidi="ar"/>
        </w:rPr>
        <w:t>The stability estimation was conducted using the R package "bootnet", which first computed the 95% confidence intervals (CIs) of the edge weights through a nonparametric bootstrapping procedure with 1000 iterations, to estimate the accuracy of the edge weights. Then, a subset was constructed by subtracting bootstrap. If the order of centrality estimates of the network of the subset constructed by eliminating the majority of samples was highly correlated with the order of centrality of the original network, the centrality estimates can be considered to be stable. The centrality stability coefficient (CS-coefficient) is used as a specific reference index; a value of this coefficient greater than 0.5 indicates good stability, while a value greater than 0.25 indicates acceptable stability.</w:t>
      </w:r>
    </w:p>
    <w:p w14:paraId="68C095FA">
      <w:pPr>
        <w:rPr>
          <w:rFonts w:ascii="Times New Roman" w:hAnsi="Times New Roman"/>
          <w:color w:val="auto"/>
          <w:sz w:val="21"/>
          <w:szCs w:val="21"/>
        </w:rPr>
      </w:pPr>
      <w:r>
        <w:rPr>
          <w:rFonts w:ascii="Times New Roman" w:hAnsi="Times New Roman"/>
          <w:color w:val="auto"/>
          <w:sz w:val="21"/>
          <w:szCs w:val="21"/>
          <w:lang w:bidi="ar"/>
        </w:rPr>
        <w:t>Finally, the Bootstrapped difference test was used to assess the differences in network properties. This test relies on a 95% CI to determine if there is a significant difference between the weights of two edges or the expected influence of two nodes.</w:t>
      </w:r>
    </w:p>
    <w:p w14:paraId="3F4699F9">
      <w:pPr>
        <w:rPr>
          <w:rFonts w:ascii="Times New Roman" w:hAnsi="Times New Roman"/>
          <w:color w:val="auto"/>
          <w:sz w:val="21"/>
          <w:szCs w:val="21"/>
        </w:rPr>
      </w:pPr>
      <w:r>
        <w:rPr>
          <w:rFonts w:ascii="Times New Roman" w:hAnsi="Times New Roman"/>
          <w:color w:val="auto"/>
          <w:sz w:val="21"/>
          <w:szCs w:val="21"/>
        </w:rPr>
        <w:t>Bootstrapped confidence intervals (CIs) around edge weights</w:t>
      </w:r>
      <w:bookmarkEnd w:id="0"/>
      <w:r>
        <w:rPr>
          <w:rFonts w:ascii="Times New Roman" w:hAnsi="Times New Roman"/>
          <w:color w:val="auto"/>
          <w:sz w:val="21"/>
          <w:szCs w:val="21"/>
        </w:rPr>
        <w:t>, as shown in Figure S2, indicate that the cross-lagged panel network was moderately accurate, evidenced by numerous overlaps between the bootstrapped CIs around these edge weights. The results of the subset bootstrap procedure are presented in Figure S3. The stability of bridge-EI (CS-coefficient = 0.75), in-EI (CS-coefficient = 0.75), and out-EI (CS-coefficient = 0.517) was good. Difference tests are shown in Figure S4 and Figure S5. The black boxes indicate the significant difference between edge weights or between centrality indices. The centrality indices of symptoms with the strongest expected influence were significantly stronger than the centrality indices of most other symptoms in the network.</w:t>
      </w:r>
    </w:p>
    <w:bookmarkEnd w:id="1"/>
    <w:p w14:paraId="128DAC7E">
      <w:pPr>
        <w:ind w:firstLine="0" w:firstLineChars="0"/>
        <w:rPr>
          <w:rFonts w:ascii="Times New Roman" w:hAnsi="Times New Roman"/>
          <w:b/>
          <w:bCs/>
          <w:color w:val="auto"/>
          <w:sz w:val="21"/>
          <w:szCs w:val="21"/>
        </w:rPr>
      </w:pPr>
      <w:r>
        <w:rPr>
          <w:rFonts w:ascii="Times New Roman" w:hAnsi="Times New Roman"/>
          <w:b/>
          <w:bCs/>
          <w:color w:val="auto"/>
          <w:sz w:val="21"/>
          <w:szCs w:val="21"/>
        </w:rPr>
        <w:t xml:space="preserve">S3. Network comparison between </w:t>
      </w:r>
      <w:bookmarkStart w:id="2" w:name="OLE_LINK128"/>
      <w:r>
        <w:rPr>
          <w:rFonts w:ascii="Times New Roman" w:hAnsi="Times New Roman"/>
          <w:b/>
          <w:bCs/>
          <w:color w:val="auto"/>
          <w:sz w:val="21"/>
          <w:szCs w:val="21"/>
        </w:rPr>
        <w:t>participants with Internet addiction</w:t>
      </w:r>
      <w:bookmarkEnd w:id="2"/>
    </w:p>
    <w:p w14:paraId="601F18BE">
      <w:pPr>
        <w:rPr>
          <w:rFonts w:ascii="Times New Roman" w:hAnsi="Times New Roman"/>
          <w:color w:val="auto"/>
          <w:sz w:val="21"/>
          <w:szCs w:val="21"/>
        </w:rPr>
      </w:pPr>
      <w:r>
        <w:rPr>
          <w:rFonts w:ascii="Times New Roman" w:hAnsi="Times New Roman"/>
          <w:color w:val="auto"/>
          <w:sz w:val="21"/>
          <w:szCs w:val="21"/>
        </w:rPr>
        <w:t>The correlation between edge lists was small (</w:t>
      </w:r>
      <w:r>
        <w:rPr>
          <w:rFonts w:ascii="Times New Roman" w:hAnsi="Times New Roman"/>
          <w:i/>
          <w:iCs/>
          <w:color w:val="auto"/>
          <w:sz w:val="21"/>
          <w:szCs w:val="21"/>
        </w:rPr>
        <w:t>p</w:t>
      </w:r>
      <w:r>
        <w:rPr>
          <w:rFonts w:ascii="Times New Roman" w:hAnsi="Times New Roman"/>
          <w:color w:val="auto"/>
          <w:sz w:val="21"/>
          <w:szCs w:val="21"/>
        </w:rPr>
        <w:t xml:space="preserve"> &lt;0.01, r = 0.19). Forty-nine edges replicated </w:t>
      </w:r>
      <w:bookmarkStart w:id="3" w:name="OLE_LINK76"/>
      <w:r>
        <w:rPr>
          <w:rFonts w:ascii="Times New Roman" w:hAnsi="Times New Roman"/>
          <w:color w:val="auto"/>
          <w:sz w:val="21"/>
          <w:szCs w:val="21"/>
        </w:rPr>
        <w:t>(i.e., present with the same sign)</w:t>
      </w:r>
      <w:bookmarkEnd w:id="3"/>
      <w:r>
        <w:rPr>
          <w:rFonts w:ascii="Times New Roman" w:hAnsi="Times New Roman"/>
          <w:color w:val="auto"/>
          <w:sz w:val="21"/>
          <w:szCs w:val="21"/>
        </w:rPr>
        <w:t xml:space="preserve"> across networks of these two groups, which represented 49% of the edges in the first network and 55.1% in the other network. The CS-coefficients of the </w:t>
      </w:r>
      <w:bookmarkStart w:id="4" w:name="OLE_LINK77"/>
      <w:r>
        <w:rPr>
          <w:rFonts w:ascii="Times New Roman" w:hAnsi="Times New Roman"/>
          <w:color w:val="auto"/>
          <w:sz w:val="21"/>
          <w:szCs w:val="21"/>
        </w:rPr>
        <w:t>centrality indices</w:t>
      </w:r>
      <w:bookmarkEnd w:id="4"/>
      <w:r>
        <w:rPr>
          <w:rFonts w:ascii="Times New Roman" w:hAnsi="Times New Roman"/>
          <w:color w:val="auto"/>
          <w:sz w:val="21"/>
          <w:szCs w:val="21"/>
        </w:rPr>
        <w:t xml:space="preserve"> (i.e., in-EI, out-EI, and bridge-EI) were acceptable, which means that centrality indices were stable enough to interpret the importance of symptoms in networks. In-EI between the two networks was highly correlated (r = 0.91) while the correlation of out-EI was low (r = 0.09).</w:t>
      </w:r>
    </w:p>
    <w:p w14:paraId="7036B530">
      <w:pPr>
        <w:ind w:firstLine="420" w:firstLineChars="200"/>
        <w:rPr>
          <w:rFonts w:hint="eastAsia" w:ascii="Times New Roman" w:hAnsi="Times New Roman"/>
          <w:color w:val="auto"/>
          <w:sz w:val="21"/>
          <w:szCs w:val="21"/>
        </w:rPr>
      </w:pPr>
      <w:r>
        <w:rPr>
          <w:rFonts w:ascii="Times New Roman" w:hAnsi="Times New Roman"/>
          <w:color w:val="auto"/>
          <w:sz w:val="21"/>
          <w:szCs w:val="21"/>
        </w:rPr>
        <w:t xml:space="preserve">The correlation of one-step bridge-EI was moderate between the two networks (ρ </w:t>
      </w:r>
      <w:r>
        <w:rPr>
          <w:rFonts w:ascii="Times New Roman" w:hAnsi="Times New Roman"/>
          <w:color w:val="auto"/>
          <w:sz w:val="21"/>
          <w:szCs w:val="21"/>
          <w:vertAlign w:val="subscript"/>
        </w:rPr>
        <w:t xml:space="preserve">bridge-EI1 </w:t>
      </w:r>
      <w:r>
        <w:rPr>
          <w:rFonts w:ascii="Times New Roman" w:hAnsi="Times New Roman"/>
          <w:color w:val="auto"/>
          <w:sz w:val="21"/>
          <w:szCs w:val="21"/>
        </w:rPr>
        <w:t xml:space="preserve">= 0.48). In the network of low IA group, </w:t>
      </w:r>
      <w:bookmarkStart w:id="5" w:name="OLE_LINK36"/>
      <w:r>
        <w:rPr>
          <w:rFonts w:ascii="Times New Roman" w:hAnsi="Times New Roman"/>
          <w:color w:val="auto"/>
          <w:sz w:val="21"/>
          <w:szCs w:val="21"/>
        </w:rPr>
        <w:t>insomnia severity (ISI)</w:t>
      </w:r>
      <w:bookmarkEnd w:id="5"/>
      <w:r>
        <w:rPr>
          <w:rFonts w:ascii="Times New Roman" w:hAnsi="Times New Roman"/>
          <w:color w:val="auto"/>
          <w:sz w:val="21"/>
          <w:szCs w:val="21"/>
        </w:rPr>
        <w:t xml:space="preserve"> had the highest one-step bridge-EI scores (bridge EI1 = 1.84) whereas the one-step bridge-EI scores of psychomotor retardation (PHQ8) were the highest in high IA group (bridge EI1 = 2.06). However, the two-step bridge-EI was significantly correlated between networks (ρ </w:t>
      </w:r>
      <w:r>
        <w:rPr>
          <w:rFonts w:ascii="Times New Roman" w:hAnsi="Times New Roman"/>
          <w:color w:val="auto"/>
          <w:sz w:val="21"/>
          <w:szCs w:val="21"/>
          <w:vertAlign w:val="subscript"/>
        </w:rPr>
        <w:t xml:space="preserve">bridge-EI2 </w:t>
      </w:r>
      <w:r>
        <w:rPr>
          <w:rFonts w:ascii="Times New Roman" w:hAnsi="Times New Roman"/>
          <w:color w:val="auto"/>
          <w:sz w:val="21"/>
          <w:szCs w:val="21"/>
        </w:rPr>
        <w:t xml:space="preserve">= 0.69). In both two networks, the two-step bridge-EI scores of </w:t>
      </w:r>
      <w:bookmarkStart w:id="6" w:name="OLE_LINK86"/>
      <w:r>
        <w:rPr>
          <w:rFonts w:ascii="Times New Roman" w:hAnsi="Times New Roman"/>
          <w:color w:val="auto"/>
          <w:sz w:val="21"/>
          <w:szCs w:val="21"/>
        </w:rPr>
        <w:t>insomnia severity (ISI)</w:t>
      </w:r>
      <w:bookmarkEnd w:id="6"/>
      <w:r>
        <w:rPr>
          <w:rFonts w:ascii="Times New Roman" w:hAnsi="Times New Roman"/>
          <w:color w:val="auto"/>
          <w:sz w:val="21"/>
          <w:szCs w:val="21"/>
        </w:rPr>
        <w:t xml:space="preserve"> were the highest (bridge EI2 = 2.19 in low IA group and bridge EI2 = 2.24 in high IA group).</w:t>
      </w:r>
    </w:p>
    <w:p w14:paraId="7DD1E620">
      <w:pPr>
        <w:ind w:firstLine="0" w:firstLineChars="0"/>
        <w:rPr>
          <w:rFonts w:ascii="Times New Roman" w:hAnsi="Times New Roman"/>
          <w:b/>
          <w:bCs/>
          <w:color w:val="auto"/>
        </w:rPr>
      </w:pPr>
      <w:r>
        <w:rPr>
          <w:rFonts w:ascii="Times New Roman" w:hAnsi="Times New Roman"/>
          <w:b/>
          <w:bCs/>
          <w:color w:val="auto"/>
        </w:rPr>
        <w:t>S4. The bridge role of ISI in network without PHQ3.</w:t>
      </w:r>
    </w:p>
    <w:p w14:paraId="787644D8">
      <w:pPr>
        <w:spacing w:after="312" w:afterLines="100"/>
        <w:ind w:firstLine="420" w:firstLineChars="200"/>
        <w:rPr>
          <w:rFonts w:ascii="Times New Roman" w:hAnsi="Times New Roman" w:eastAsia="等线"/>
          <w:color w:val="auto"/>
          <w:szCs w:val="22"/>
          <w:lang w:bidi="ar"/>
        </w:rPr>
      </w:pPr>
      <w:r>
        <w:rPr>
          <w:rFonts w:hint="eastAsia" w:ascii="Times New Roman" w:hAnsi="Times New Roman" w:eastAsia="等线"/>
          <w:color w:val="auto"/>
          <w:szCs w:val="22"/>
          <w:lang w:bidi="ar"/>
        </w:rPr>
        <w:t>Because PHQ3 is also an item about sleep, we analyzed the symptom network after removal of PHQ3 to exclude possible effects from overlap. After remove PHQ3 from the network, i</w:t>
      </w:r>
      <w:r>
        <w:rPr>
          <w:rFonts w:ascii="Times New Roman" w:hAnsi="Times New Roman" w:eastAsia="等线"/>
          <w:color w:val="auto"/>
          <w:szCs w:val="22"/>
          <w:lang w:bidi="ar"/>
        </w:rPr>
        <w:t>nsomnia severity (ISI) still had the highest one-step and two-step bridge-EI and was the most influential node in the network</w:t>
      </w:r>
      <w:r>
        <w:rPr>
          <w:rFonts w:hint="eastAsia" w:ascii="Times New Roman" w:hAnsi="Times New Roman" w:eastAsia="等线"/>
          <w:color w:val="auto"/>
          <w:szCs w:val="22"/>
          <w:lang w:bidi="ar"/>
        </w:rPr>
        <w:t xml:space="preserve"> (Figure S7)</w:t>
      </w:r>
      <w:r>
        <w:rPr>
          <w:rFonts w:ascii="Times New Roman" w:hAnsi="Times New Roman" w:eastAsia="等线"/>
          <w:color w:val="auto"/>
          <w:szCs w:val="22"/>
          <w:lang w:bidi="ar"/>
        </w:rPr>
        <w:t>.</w:t>
      </w:r>
      <w:r>
        <w:rPr>
          <w:rFonts w:hint="eastAsia" w:ascii="Times New Roman" w:hAnsi="Times New Roman" w:eastAsia="等线"/>
          <w:color w:val="auto"/>
          <w:szCs w:val="22"/>
          <w:lang w:bidi="ar"/>
        </w:rPr>
        <w:t xml:space="preserve"> </w:t>
      </w:r>
    </w:p>
    <w:p w14:paraId="3FB39732">
      <w:pPr>
        <w:ind w:firstLine="0" w:firstLineChars="0"/>
        <w:rPr>
          <w:rFonts w:hint="eastAsia" w:ascii="Times New Roman" w:hAnsi="Times New Roman" w:eastAsia="等线"/>
          <w:b/>
          <w:bCs/>
          <w:color w:val="auto"/>
          <w:szCs w:val="22"/>
          <w:lang w:bidi="ar"/>
        </w:rPr>
      </w:pPr>
      <w:bookmarkStart w:id="7" w:name="OLE_LINK2"/>
      <w:r>
        <w:rPr>
          <w:rFonts w:hint="eastAsia" w:ascii="Times New Roman" w:hAnsi="Times New Roman" w:eastAsia="等线"/>
          <w:b/>
          <w:bCs/>
          <w:color w:val="auto"/>
          <w:szCs w:val="22"/>
          <w:lang w:bidi="ar"/>
        </w:rPr>
        <w:t xml:space="preserve">S5. </w:t>
      </w:r>
      <w:r>
        <w:rPr>
          <w:rFonts w:ascii="Times New Roman" w:hAnsi="Times New Roman" w:eastAsia="等线"/>
          <w:b/>
          <w:bCs/>
          <w:color w:val="auto"/>
          <w:szCs w:val="22"/>
          <w:lang w:bidi="ar"/>
        </w:rPr>
        <w:t>Comparison between excluded samples and samples included in the main analysis</w:t>
      </w:r>
      <w:r>
        <w:rPr>
          <w:rFonts w:hint="eastAsia" w:ascii="Times New Roman" w:hAnsi="Times New Roman" w:eastAsia="等线"/>
          <w:b/>
          <w:bCs/>
          <w:color w:val="auto"/>
          <w:szCs w:val="22"/>
          <w:lang w:bidi="ar"/>
        </w:rPr>
        <w:t>.</w:t>
      </w:r>
    </w:p>
    <w:p w14:paraId="56308552">
      <w:pPr>
        <w:ind w:firstLine="420" w:firstLineChars="200"/>
        <w:rPr>
          <w:rFonts w:hint="eastAsia" w:ascii="Times New Roman" w:hAnsi="Times New Roman"/>
          <w:color w:val="auto"/>
          <w:sz w:val="21"/>
          <w:szCs w:val="21"/>
        </w:rPr>
      </w:pPr>
      <w:r>
        <w:rPr>
          <w:rFonts w:ascii="Times New Roman" w:hAnsi="Times New Roman"/>
          <w:b w:val="0"/>
          <w:bCs w:val="0"/>
          <w:color w:val="auto"/>
        </w:rPr>
        <w:t>Before the comparison</w:t>
      </w:r>
      <w:r>
        <w:rPr>
          <w:rFonts w:ascii="Times New Roman" w:hAnsi="Times New Roman"/>
          <w:color w:val="auto"/>
        </w:rPr>
        <w:t>,</w:t>
      </w:r>
      <w:r>
        <w:rPr>
          <w:rFonts w:ascii="Times New Roman" w:hAnsi="Times New Roman"/>
          <w:b w:val="0"/>
          <w:bCs w:val="0"/>
          <w:color w:val="auto"/>
        </w:rPr>
        <w:t xml:space="preserve"> we excluded participants who were not between 12-18 years old. The results of the comparison are shown in Table S1. </w:t>
      </w:r>
      <w:r>
        <w:rPr>
          <w:rFonts w:ascii="Times New Roman" w:hAnsi="Times New Roman"/>
          <w:color w:val="auto"/>
        </w:rPr>
        <w:t>Although there was a significant difference in age between the excluded and included groups at both measurement time points, the difference in means was small and we had included age as a covariate in the analysis, so possible bias was considered to have little impact.</w:t>
      </w:r>
      <w:r>
        <w:rPr>
          <w:rFonts w:hint="eastAsia" w:ascii="Times New Roman" w:hAnsi="Times New Roman"/>
          <w:color w:val="auto"/>
        </w:rPr>
        <w:t xml:space="preserve"> </w:t>
      </w:r>
      <w:r>
        <w:rPr>
          <w:rFonts w:ascii="Times New Roman" w:hAnsi="Times New Roman"/>
          <w:color w:val="auto"/>
        </w:rPr>
        <w:t>There were significant differences between the two groups on individual network node variables, but they were also small.</w:t>
      </w:r>
      <w:r>
        <w:rPr>
          <w:rFonts w:hint="eastAsia" w:ascii="Times New Roman" w:hAnsi="Times New Roman"/>
          <w:color w:val="auto"/>
        </w:rPr>
        <w:t xml:space="preserve"> </w:t>
      </w:r>
    </w:p>
    <w:bookmarkEnd w:id="7"/>
    <w:p w14:paraId="6C3C0FF9">
      <w:pPr>
        <w:widowControl/>
        <w:ind w:firstLine="0" w:firstLineChars="0"/>
        <w:rPr>
          <w:rFonts w:ascii="Times New Roman" w:hAnsi="Times New Roman"/>
          <w:color w:val="auto"/>
        </w:rPr>
      </w:pPr>
      <w:r>
        <w:rPr>
          <w:rFonts w:ascii="Times New Roman" w:hAnsi="Times New Roman"/>
          <w:color w:val="auto"/>
        </w:rPr>
        <w:br w:type="page"/>
      </w:r>
    </w:p>
    <w:p w14:paraId="6E8BEEE9">
      <w:pPr>
        <w:widowControl/>
        <w:ind w:firstLine="0" w:firstLineChars="0"/>
        <w:rPr>
          <w:rFonts w:ascii="Times New Roman" w:hAnsi="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73382DCD">
      <w:pPr>
        <w:widowControl/>
        <w:ind w:firstLine="0" w:firstLineChars="0"/>
        <w:rPr>
          <w:rFonts w:ascii="Times New Roman" w:hAnsi="Times New Roman"/>
          <w:color w:val="auto"/>
        </w:rPr>
      </w:pPr>
      <w:r>
        <w:rPr>
          <w:rFonts w:hint="eastAsia" w:ascii="Times New Roman" w:hAnsi="Times New Roman"/>
          <w:color w:val="auto"/>
        </w:rPr>
        <w:t xml:space="preserve">Table S1. </w:t>
      </w:r>
      <w:r>
        <w:rPr>
          <w:rFonts w:ascii="Times New Roman" w:hAnsi="Times New Roman" w:eastAsia="等线"/>
          <w:b w:val="0"/>
          <w:bCs w:val="0"/>
          <w:color w:val="auto"/>
          <w:szCs w:val="22"/>
          <w:lang w:bidi="ar"/>
        </w:rPr>
        <w:t>Comparison between excluded samples and samples included in the main analysis</w:t>
      </w:r>
      <w:r>
        <w:rPr>
          <w:rFonts w:hint="eastAsia" w:ascii="Times New Roman" w:hAnsi="Times New Roman" w:eastAsia="等线"/>
          <w:b w:val="0"/>
          <w:bCs w:val="0"/>
          <w:color w:val="auto"/>
          <w:szCs w:val="22"/>
          <w:lang w:bidi="ar"/>
        </w:rPr>
        <w:t>.</w:t>
      </w:r>
    </w:p>
    <w:tbl>
      <w:tblPr>
        <w:tblStyle w:val="6"/>
        <w:tblW w:w="13898" w:type="dxa"/>
        <w:tblInd w:w="102" w:type="dxa"/>
        <w:tblLayout w:type="fixed"/>
        <w:tblCellMar>
          <w:top w:w="0" w:type="dxa"/>
          <w:left w:w="108" w:type="dxa"/>
          <w:bottom w:w="0" w:type="dxa"/>
          <w:right w:w="108" w:type="dxa"/>
        </w:tblCellMar>
      </w:tblPr>
      <w:tblGrid>
        <w:gridCol w:w="1078"/>
        <w:gridCol w:w="2392"/>
        <w:gridCol w:w="2392"/>
        <w:gridCol w:w="1626"/>
        <w:gridCol w:w="2392"/>
        <w:gridCol w:w="2392"/>
        <w:gridCol w:w="1626"/>
      </w:tblGrid>
      <w:tr w14:paraId="2CE183B1">
        <w:tblPrEx>
          <w:tblCellMar>
            <w:top w:w="0" w:type="dxa"/>
            <w:left w:w="108" w:type="dxa"/>
            <w:bottom w:w="0" w:type="dxa"/>
            <w:right w:w="108" w:type="dxa"/>
          </w:tblCellMar>
        </w:tblPrEx>
        <w:trPr>
          <w:trHeight w:val="270" w:hRule="atLeast"/>
        </w:trPr>
        <w:tc>
          <w:tcPr>
            <w:tcW w:w="4706" w:type="dxa"/>
            <w:gridSpan w:val="2"/>
            <w:tcBorders>
              <w:top w:val="single" w:color="auto" w:sz="4" w:space="0"/>
              <w:left w:val="nil"/>
              <w:bottom w:val="nil"/>
              <w:right w:val="nil"/>
            </w:tcBorders>
            <w:shd w:val="clear" w:color="auto" w:fill="auto"/>
            <w:noWrap/>
            <w:vAlign w:val="center"/>
          </w:tcPr>
          <w:p w14:paraId="4D41FB6C">
            <w:pPr>
              <w:widowControl/>
              <w:ind w:firstLine="0" w:firstLineChars="0"/>
              <w:jc w:val="both"/>
              <w:textAlignment w:val="center"/>
              <w:rPr>
                <w:rFonts w:hint="default" w:ascii="Times New Roman" w:hAnsi="Times New Roman" w:cs="Times New Roman"/>
                <w:color w:val="auto"/>
                <w:sz w:val="22"/>
                <w:szCs w:val="22"/>
              </w:rPr>
            </w:pPr>
          </w:p>
        </w:tc>
        <w:tc>
          <w:tcPr>
            <w:tcW w:w="3119" w:type="dxa"/>
            <w:gridSpan w:val="2"/>
            <w:tcBorders>
              <w:top w:val="single" w:color="auto" w:sz="4" w:space="0"/>
              <w:left w:val="nil"/>
              <w:bottom w:val="single" w:color="auto" w:sz="4" w:space="0"/>
              <w:right w:val="nil"/>
            </w:tcBorders>
            <w:shd w:val="clear" w:color="auto" w:fill="auto"/>
            <w:noWrap/>
            <w:vAlign w:val="center"/>
          </w:tcPr>
          <w:p w14:paraId="77573213">
            <w:pPr>
              <w:widowControl/>
              <w:ind w:firstLine="0" w:firstLineChars="0"/>
              <w:jc w:val="both"/>
              <w:textAlignment w:val="center"/>
              <w:rPr>
                <w:rFonts w:hint="default" w:ascii="Times New Roman" w:hAnsi="Times New Roman" w:cs="Times New Roman"/>
                <w:color w:val="auto"/>
                <w:kern w:val="0"/>
                <w:sz w:val="22"/>
                <w:szCs w:val="22"/>
                <w:lang w:bidi="ar"/>
              </w:rPr>
            </w:pPr>
            <w:r>
              <w:rPr>
                <w:rFonts w:hint="default" w:ascii="Times New Roman" w:hAnsi="Times New Roman" w:cs="Times New Roman"/>
                <w:color w:val="auto"/>
                <w:kern w:val="0"/>
                <w:sz w:val="22"/>
                <w:szCs w:val="22"/>
                <w:lang w:bidi="ar"/>
              </w:rPr>
              <w:t>T1</w:t>
            </w:r>
          </w:p>
        </w:tc>
        <w:tc>
          <w:tcPr>
            <w:tcW w:w="3119" w:type="dxa"/>
            <w:gridSpan w:val="3"/>
            <w:tcBorders>
              <w:top w:val="single" w:color="auto" w:sz="4" w:space="0"/>
              <w:left w:val="nil"/>
              <w:bottom w:val="single" w:color="auto" w:sz="4" w:space="0"/>
              <w:right w:val="nil"/>
            </w:tcBorders>
            <w:shd w:val="clear" w:color="auto" w:fill="auto"/>
            <w:noWrap/>
            <w:vAlign w:val="center"/>
          </w:tcPr>
          <w:p w14:paraId="67290CEB">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T2</w:t>
            </w:r>
          </w:p>
        </w:tc>
      </w:tr>
      <w:tr w14:paraId="39D26AAC">
        <w:tblPrEx>
          <w:tblCellMar>
            <w:top w:w="0" w:type="dxa"/>
            <w:left w:w="108" w:type="dxa"/>
            <w:bottom w:w="0" w:type="dxa"/>
            <w:right w:w="108" w:type="dxa"/>
          </w:tblCellMar>
        </w:tblPrEx>
        <w:trPr>
          <w:trHeight w:val="1083" w:hRule="atLeast"/>
        </w:trPr>
        <w:tc>
          <w:tcPr>
            <w:tcW w:w="1985" w:type="dxa"/>
            <w:tcBorders>
              <w:top w:val="nil"/>
              <w:left w:val="nil"/>
              <w:bottom w:val="single" w:color="auto" w:sz="4" w:space="0"/>
              <w:right w:val="nil"/>
            </w:tcBorders>
            <w:shd w:val="clear" w:color="auto" w:fill="auto"/>
            <w:vAlign w:val="center"/>
          </w:tcPr>
          <w:p w14:paraId="6285DB7D">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Variable</w:t>
            </w:r>
          </w:p>
        </w:tc>
        <w:tc>
          <w:tcPr>
            <w:tcW w:w="1985" w:type="dxa"/>
            <w:tcBorders>
              <w:top w:val="single" w:color="auto" w:sz="4" w:space="0"/>
              <w:left w:val="nil"/>
              <w:bottom w:val="single" w:color="auto" w:sz="4" w:space="0"/>
              <w:right w:val="nil"/>
            </w:tcBorders>
            <w:shd w:val="clear" w:color="auto" w:fill="auto"/>
            <w:vAlign w:val="center"/>
          </w:tcPr>
          <w:p w14:paraId="4442417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Included participants, mean (SD) (n =811)</w:t>
            </w:r>
          </w:p>
        </w:tc>
        <w:tc>
          <w:tcPr>
            <w:tcW w:w="1985" w:type="dxa"/>
            <w:tcBorders>
              <w:top w:val="single" w:color="auto" w:sz="4" w:space="0"/>
              <w:left w:val="nil"/>
              <w:bottom w:val="single" w:color="auto" w:sz="4" w:space="0"/>
              <w:right w:val="nil"/>
            </w:tcBorders>
            <w:shd w:val="clear" w:color="auto" w:fill="auto"/>
            <w:vAlign w:val="center"/>
          </w:tcPr>
          <w:p w14:paraId="3CD68A7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Excluded participants, mean (SD) (n =836)</w:t>
            </w:r>
          </w:p>
        </w:tc>
        <w:tc>
          <w:tcPr>
            <w:tcW w:w="3119" w:type="dxa"/>
            <w:tcBorders>
              <w:top w:val="single" w:color="auto" w:sz="4" w:space="0"/>
              <w:left w:val="nil"/>
              <w:bottom w:val="single" w:color="auto" w:sz="4" w:space="0"/>
              <w:right w:val="nil"/>
            </w:tcBorders>
            <w:shd w:val="clear" w:color="auto" w:fill="auto"/>
            <w:vAlign w:val="center"/>
          </w:tcPr>
          <w:p w14:paraId="0D8B947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chi-square/t/Mann-Whitney U</w:t>
            </w:r>
          </w:p>
        </w:tc>
        <w:tc>
          <w:tcPr>
            <w:tcW w:w="1985" w:type="dxa"/>
            <w:tcBorders>
              <w:top w:val="single" w:color="auto" w:sz="4" w:space="0"/>
              <w:left w:val="nil"/>
              <w:bottom w:val="single" w:color="auto" w:sz="4" w:space="0"/>
              <w:right w:val="nil"/>
            </w:tcBorders>
            <w:shd w:val="clear" w:color="auto" w:fill="auto"/>
            <w:vAlign w:val="center"/>
          </w:tcPr>
          <w:p w14:paraId="3ECC1FE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Included participants, mean (SD) (n =811)</w:t>
            </w:r>
          </w:p>
        </w:tc>
        <w:tc>
          <w:tcPr>
            <w:tcW w:w="4706" w:type="dxa"/>
            <w:tcBorders>
              <w:top w:val="single" w:color="auto" w:sz="4" w:space="0"/>
              <w:left w:val="nil"/>
              <w:bottom w:val="single" w:color="auto" w:sz="4" w:space="0"/>
              <w:right w:val="nil"/>
            </w:tcBorders>
            <w:shd w:val="clear" w:color="auto" w:fill="auto"/>
            <w:vAlign w:val="center"/>
          </w:tcPr>
          <w:p w14:paraId="37F1C0DB">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Excluded participants, mean (SD) (n =832)</w:t>
            </w:r>
          </w:p>
        </w:tc>
        <w:tc>
          <w:tcPr>
            <w:tcW w:w="3119" w:type="dxa"/>
            <w:tcBorders>
              <w:top w:val="single" w:color="auto" w:sz="4" w:space="0"/>
              <w:left w:val="nil"/>
              <w:bottom w:val="single" w:color="auto" w:sz="4" w:space="0"/>
              <w:right w:val="nil"/>
            </w:tcBorders>
            <w:shd w:val="clear" w:color="auto" w:fill="auto"/>
            <w:vAlign w:val="center"/>
          </w:tcPr>
          <w:p w14:paraId="508071C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chi-square/t/Mann-Whitney U</w:t>
            </w:r>
          </w:p>
        </w:tc>
      </w:tr>
      <w:tr w14:paraId="056C059A">
        <w:tblPrEx>
          <w:tblCellMar>
            <w:top w:w="0" w:type="dxa"/>
            <w:left w:w="108" w:type="dxa"/>
            <w:bottom w:w="0" w:type="dxa"/>
            <w:right w:w="108" w:type="dxa"/>
          </w:tblCellMar>
        </w:tblPrEx>
        <w:trPr>
          <w:trHeight w:val="810" w:hRule="atLeast"/>
        </w:trPr>
        <w:tc>
          <w:tcPr>
            <w:tcW w:w="1985" w:type="dxa"/>
            <w:tcBorders>
              <w:top w:val="single" w:color="auto" w:sz="4" w:space="0"/>
              <w:left w:val="nil"/>
              <w:bottom w:val="nil"/>
              <w:right w:val="nil"/>
            </w:tcBorders>
            <w:shd w:val="clear" w:color="auto" w:fill="auto"/>
            <w:vAlign w:val="center"/>
          </w:tcPr>
          <w:p w14:paraId="166E56AB">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gender (male</w:t>
            </w:r>
            <w:r>
              <w:rPr>
                <w:rFonts w:hint="default" w:ascii="Times New Roman" w:hAnsi="Times New Roman" w:cs="Times New Roman"/>
                <w:color w:val="auto"/>
                <w:kern w:val="0"/>
                <w:sz w:val="22"/>
                <w:szCs w:val="22"/>
                <w:lang w:bidi="ar"/>
              </w:rPr>
              <w:br w:type="textWrapping"/>
            </w:r>
            <w:r>
              <w:rPr>
                <w:rFonts w:hint="default" w:ascii="Times New Roman" w:hAnsi="Times New Roman" w:cs="Times New Roman"/>
                <w:color w:val="auto"/>
                <w:kern w:val="0"/>
                <w:sz w:val="22"/>
                <w:szCs w:val="22"/>
                <w:lang w:bidi="ar"/>
              </w:rPr>
              <w:t>/female)</w:t>
            </w:r>
          </w:p>
        </w:tc>
        <w:tc>
          <w:tcPr>
            <w:tcW w:w="4706" w:type="dxa"/>
            <w:tcBorders>
              <w:top w:val="single" w:color="auto" w:sz="4" w:space="0"/>
              <w:left w:val="nil"/>
              <w:bottom w:val="nil"/>
              <w:right w:val="nil"/>
            </w:tcBorders>
            <w:shd w:val="clear" w:color="auto" w:fill="auto"/>
            <w:noWrap/>
            <w:vAlign w:val="center"/>
          </w:tcPr>
          <w:p w14:paraId="21FFA5D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372/439</w:t>
            </w:r>
          </w:p>
        </w:tc>
        <w:tc>
          <w:tcPr>
            <w:tcW w:w="4706" w:type="dxa"/>
            <w:tcBorders>
              <w:top w:val="single" w:color="auto" w:sz="4" w:space="0"/>
              <w:left w:val="nil"/>
              <w:bottom w:val="nil"/>
              <w:right w:val="nil"/>
            </w:tcBorders>
            <w:shd w:val="clear" w:color="auto" w:fill="auto"/>
            <w:noWrap/>
            <w:vAlign w:val="center"/>
          </w:tcPr>
          <w:p w14:paraId="6789895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401/435</w:t>
            </w:r>
          </w:p>
        </w:tc>
        <w:tc>
          <w:tcPr>
            <w:tcW w:w="3119" w:type="dxa"/>
            <w:tcBorders>
              <w:top w:val="single" w:color="auto" w:sz="4" w:space="0"/>
              <w:left w:val="nil"/>
              <w:bottom w:val="nil"/>
              <w:right w:val="nil"/>
            </w:tcBorders>
            <w:shd w:val="clear" w:color="auto" w:fill="auto"/>
            <w:noWrap/>
            <w:vAlign w:val="center"/>
          </w:tcPr>
          <w:p w14:paraId="2266817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0.73</w:t>
            </w:r>
          </w:p>
        </w:tc>
        <w:tc>
          <w:tcPr>
            <w:tcW w:w="4706" w:type="dxa"/>
            <w:tcBorders>
              <w:top w:val="single" w:color="auto" w:sz="4" w:space="0"/>
              <w:left w:val="nil"/>
              <w:bottom w:val="nil"/>
              <w:right w:val="nil"/>
            </w:tcBorders>
            <w:shd w:val="clear" w:color="auto" w:fill="auto"/>
            <w:noWrap/>
            <w:vAlign w:val="center"/>
          </w:tcPr>
          <w:p w14:paraId="5182325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372/439</w:t>
            </w:r>
          </w:p>
        </w:tc>
        <w:tc>
          <w:tcPr>
            <w:tcW w:w="4706" w:type="dxa"/>
            <w:tcBorders>
              <w:top w:val="single" w:color="auto" w:sz="4" w:space="0"/>
              <w:left w:val="nil"/>
              <w:bottom w:val="nil"/>
              <w:right w:val="nil"/>
            </w:tcBorders>
            <w:shd w:val="clear" w:color="auto" w:fill="auto"/>
            <w:noWrap/>
            <w:vAlign w:val="center"/>
          </w:tcPr>
          <w:p w14:paraId="0AD1E13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376/456</w:t>
            </w:r>
          </w:p>
        </w:tc>
        <w:tc>
          <w:tcPr>
            <w:tcW w:w="3119" w:type="dxa"/>
            <w:tcBorders>
              <w:top w:val="single" w:color="auto" w:sz="4" w:space="0"/>
              <w:left w:val="nil"/>
              <w:bottom w:val="nil"/>
              <w:right w:val="nil"/>
            </w:tcBorders>
            <w:shd w:val="clear" w:color="auto" w:fill="auto"/>
            <w:noWrap/>
            <w:vAlign w:val="center"/>
          </w:tcPr>
          <w:p w14:paraId="30BAAC6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0.76</w:t>
            </w:r>
          </w:p>
        </w:tc>
      </w:tr>
      <w:tr w14:paraId="31053532">
        <w:tblPrEx>
          <w:tblCellMar>
            <w:top w:w="0" w:type="dxa"/>
            <w:left w:w="108" w:type="dxa"/>
            <w:bottom w:w="0" w:type="dxa"/>
            <w:right w:w="108" w:type="dxa"/>
          </w:tblCellMar>
        </w:tblPrEx>
        <w:trPr>
          <w:trHeight w:val="308" w:hRule="atLeast"/>
        </w:trPr>
        <w:tc>
          <w:tcPr>
            <w:tcW w:w="1985" w:type="dxa"/>
            <w:tcBorders>
              <w:top w:val="nil"/>
              <w:left w:val="nil"/>
              <w:bottom w:val="nil"/>
              <w:right w:val="nil"/>
            </w:tcBorders>
            <w:shd w:val="clear" w:color="auto" w:fill="auto"/>
            <w:noWrap/>
            <w:vAlign w:val="center"/>
          </w:tcPr>
          <w:p w14:paraId="79DDB73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age</w:t>
            </w:r>
          </w:p>
        </w:tc>
        <w:tc>
          <w:tcPr>
            <w:tcW w:w="4706" w:type="dxa"/>
            <w:tcBorders>
              <w:top w:val="nil"/>
              <w:left w:val="nil"/>
              <w:bottom w:val="nil"/>
              <w:right w:val="nil"/>
            </w:tcBorders>
            <w:shd w:val="clear" w:color="auto" w:fill="auto"/>
            <w:noWrap/>
            <w:vAlign w:val="center"/>
          </w:tcPr>
          <w:p w14:paraId="49C9CB0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14.97 (1.23)</w:t>
            </w:r>
          </w:p>
        </w:tc>
        <w:tc>
          <w:tcPr>
            <w:tcW w:w="4706" w:type="dxa"/>
            <w:tcBorders>
              <w:top w:val="nil"/>
              <w:left w:val="nil"/>
              <w:bottom w:val="nil"/>
              <w:right w:val="nil"/>
            </w:tcBorders>
            <w:shd w:val="clear" w:color="auto" w:fill="auto"/>
            <w:noWrap/>
            <w:vAlign w:val="center"/>
          </w:tcPr>
          <w:p w14:paraId="5D7FECD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15.42 (1.24)</w:t>
            </w:r>
          </w:p>
        </w:tc>
        <w:tc>
          <w:tcPr>
            <w:tcW w:w="3119" w:type="dxa"/>
            <w:tcBorders>
              <w:top w:val="nil"/>
              <w:left w:val="nil"/>
              <w:bottom w:val="nil"/>
              <w:right w:val="nil"/>
            </w:tcBorders>
            <w:shd w:val="clear" w:color="auto" w:fill="auto"/>
            <w:noWrap/>
            <w:vAlign w:val="center"/>
          </w:tcPr>
          <w:p w14:paraId="0FACFD1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7.53</w:t>
            </w:r>
            <w:r>
              <w:rPr>
                <w:rFonts w:hint="default" w:ascii="Times New Roman" w:hAnsi="Times New Roman" w:cs="Times New Roman"/>
                <w:color w:val="auto"/>
                <w:kern w:val="0"/>
                <w:sz w:val="22"/>
                <w:szCs w:val="22"/>
                <w:vertAlign w:val="superscript"/>
                <w:lang w:bidi="ar"/>
              </w:rPr>
              <w:t>***</w:t>
            </w:r>
          </w:p>
        </w:tc>
        <w:tc>
          <w:tcPr>
            <w:tcW w:w="4706" w:type="dxa"/>
            <w:tcBorders>
              <w:top w:val="nil"/>
              <w:left w:val="nil"/>
              <w:bottom w:val="nil"/>
              <w:right w:val="nil"/>
            </w:tcBorders>
            <w:shd w:val="clear" w:color="auto" w:fill="auto"/>
            <w:noWrap/>
            <w:vAlign w:val="center"/>
          </w:tcPr>
          <w:p w14:paraId="7A77570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14.97 (1.23)</w:t>
            </w:r>
          </w:p>
        </w:tc>
        <w:tc>
          <w:tcPr>
            <w:tcW w:w="4706" w:type="dxa"/>
            <w:tcBorders>
              <w:top w:val="nil"/>
              <w:left w:val="nil"/>
              <w:bottom w:val="nil"/>
              <w:right w:val="nil"/>
            </w:tcBorders>
            <w:shd w:val="clear" w:color="auto" w:fill="auto"/>
            <w:noWrap/>
            <w:vAlign w:val="center"/>
          </w:tcPr>
          <w:p w14:paraId="4F521C9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15.39 (1.28)</w:t>
            </w:r>
          </w:p>
        </w:tc>
        <w:tc>
          <w:tcPr>
            <w:tcW w:w="3119" w:type="dxa"/>
            <w:tcBorders>
              <w:top w:val="nil"/>
              <w:left w:val="nil"/>
              <w:bottom w:val="nil"/>
              <w:right w:val="nil"/>
            </w:tcBorders>
            <w:shd w:val="clear" w:color="auto" w:fill="auto"/>
            <w:noWrap/>
            <w:vAlign w:val="center"/>
          </w:tcPr>
          <w:p w14:paraId="1C202C5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6.94</w:t>
            </w:r>
            <w:r>
              <w:rPr>
                <w:rFonts w:hint="default" w:ascii="Times New Roman" w:hAnsi="Times New Roman" w:cs="Times New Roman"/>
                <w:color w:val="auto"/>
                <w:kern w:val="0"/>
                <w:sz w:val="22"/>
                <w:szCs w:val="22"/>
                <w:vertAlign w:val="superscript"/>
                <w:lang w:bidi="ar"/>
              </w:rPr>
              <w:t>***</w:t>
            </w:r>
          </w:p>
        </w:tc>
      </w:tr>
      <w:tr w14:paraId="14126B55">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1C3FC59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PCL1</w:t>
            </w:r>
          </w:p>
        </w:tc>
        <w:tc>
          <w:tcPr>
            <w:tcW w:w="4706" w:type="dxa"/>
            <w:tcBorders>
              <w:top w:val="nil"/>
              <w:left w:val="nil"/>
              <w:bottom w:val="nil"/>
              <w:right w:val="nil"/>
            </w:tcBorders>
            <w:shd w:val="clear" w:color="auto" w:fill="auto"/>
            <w:vAlign w:val="center"/>
          </w:tcPr>
          <w:p w14:paraId="558B76D0">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12.05 (4.80)</w:t>
            </w:r>
          </w:p>
        </w:tc>
        <w:tc>
          <w:tcPr>
            <w:tcW w:w="4706" w:type="dxa"/>
            <w:tcBorders>
              <w:top w:val="nil"/>
              <w:left w:val="nil"/>
              <w:bottom w:val="nil"/>
              <w:right w:val="nil"/>
            </w:tcBorders>
            <w:shd w:val="clear" w:color="auto" w:fill="auto"/>
            <w:vAlign w:val="center"/>
          </w:tcPr>
          <w:p w14:paraId="6259DE4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12.06 (4.84)</w:t>
            </w:r>
          </w:p>
        </w:tc>
        <w:tc>
          <w:tcPr>
            <w:tcW w:w="3119" w:type="dxa"/>
            <w:tcBorders>
              <w:top w:val="nil"/>
              <w:left w:val="nil"/>
              <w:bottom w:val="nil"/>
              <w:right w:val="nil"/>
            </w:tcBorders>
            <w:shd w:val="clear" w:color="auto" w:fill="auto"/>
            <w:vAlign w:val="center"/>
          </w:tcPr>
          <w:p w14:paraId="2CB240E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0.02</w:t>
            </w:r>
          </w:p>
        </w:tc>
        <w:tc>
          <w:tcPr>
            <w:tcW w:w="4706" w:type="dxa"/>
            <w:tcBorders>
              <w:top w:val="nil"/>
              <w:left w:val="nil"/>
              <w:bottom w:val="nil"/>
              <w:right w:val="nil"/>
            </w:tcBorders>
            <w:shd w:val="clear" w:color="auto" w:fill="auto"/>
            <w:vAlign w:val="center"/>
          </w:tcPr>
          <w:p w14:paraId="4D70032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11.37 (4.57)</w:t>
            </w:r>
          </w:p>
        </w:tc>
        <w:tc>
          <w:tcPr>
            <w:tcW w:w="4706" w:type="dxa"/>
            <w:tcBorders>
              <w:top w:val="nil"/>
              <w:left w:val="nil"/>
              <w:bottom w:val="nil"/>
              <w:right w:val="nil"/>
            </w:tcBorders>
            <w:shd w:val="clear" w:color="auto" w:fill="auto"/>
            <w:vAlign w:val="center"/>
          </w:tcPr>
          <w:p w14:paraId="5D36D6D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11.34 (4.79)</w:t>
            </w:r>
          </w:p>
        </w:tc>
        <w:tc>
          <w:tcPr>
            <w:tcW w:w="3119" w:type="dxa"/>
            <w:tcBorders>
              <w:top w:val="nil"/>
              <w:left w:val="nil"/>
              <w:bottom w:val="nil"/>
              <w:right w:val="nil"/>
            </w:tcBorders>
            <w:shd w:val="clear" w:color="auto" w:fill="auto"/>
            <w:vAlign w:val="center"/>
          </w:tcPr>
          <w:p w14:paraId="1BDC31B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-0.13</w:t>
            </w:r>
          </w:p>
        </w:tc>
      </w:tr>
      <w:tr w14:paraId="6DE8EFA4">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565DE2CD">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PCL2</w:t>
            </w:r>
          </w:p>
        </w:tc>
        <w:tc>
          <w:tcPr>
            <w:tcW w:w="4706" w:type="dxa"/>
            <w:tcBorders>
              <w:top w:val="nil"/>
              <w:left w:val="nil"/>
              <w:bottom w:val="nil"/>
              <w:right w:val="nil"/>
            </w:tcBorders>
            <w:shd w:val="clear" w:color="auto" w:fill="auto"/>
            <w:vAlign w:val="center"/>
          </w:tcPr>
          <w:p w14:paraId="6AD2AF1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4.55 (2.05)</w:t>
            </w:r>
          </w:p>
        </w:tc>
        <w:tc>
          <w:tcPr>
            <w:tcW w:w="4706" w:type="dxa"/>
            <w:tcBorders>
              <w:top w:val="nil"/>
              <w:left w:val="nil"/>
              <w:bottom w:val="nil"/>
              <w:right w:val="nil"/>
            </w:tcBorders>
            <w:shd w:val="clear" w:color="auto" w:fill="auto"/>
            <w:vAlign w:val="center"/>
          </w:tcPr>
          <w:p w14:paraId="2F93A5F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4.67 (2.15)</w:t>
            </w:r>
          </w:p>
        </w:tc>
        <w:tc>
          <w:tcPr>
            <w:tcW w:w="3119" w:type="dxa"/>
            <w:tcBorders>
              <w:top w:val="nil"/>
              <w:left w:val="nil"/>
              <w:bottom w:val="nil"/>
              <w:right w:val="nil"/>
            </w:tcBorders>
            <w:shd w:val="clear" w:color="auto" w:fill="auto"/>
            <w:vAlign w:val="center"/>
          </w:tcPr>
          <w:p w14:paraId="4E5235B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1.17</w:t>
            </w:r>
          </w:p>
        </w:tc>
        <w:tc>
          <w:tcPr>
            <w:tcW w:w="4706" w:type="dxa"/>
            <w:tcBorders>
              <w:top w:val="nil"/>
              <w:left w:val="nil"/>
              <w:bottom w:val="nil"/>
              <w:right w:val="nil"/>
            </w:tcBorders>
            <w:shd w:val="clear" w:color="auto" w:fill="auto"/>
            <w:vAlign w:val="center"/>
          </w:tcPr>
          <w:p w14:paraId="42E3908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4.37 (2.00)</w:t>
            </w:r>
          </w:p>
        </w:tc>
        <w:tc>
          <w:tcPr>
            <w:tcW w:w="4706" w:type="dxa"/>
            <w:tcBorders>
              <w:top w:val="nil"/>
              <w:left w:val="nil"/>
              <w:bottom w:val="nil"/>
              <w:right w:val="nil"/>
            </w:tcBorders>
            <w:shd w:val="clear" w:color="auto" w:fill="auto"/>
            <w:vAlign w:val="center"/>
          </w:tcPr>
          <w:p w14:paraId="2F2CB68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4.34 (2.03)</w:t>
            </w:r>
          </w:p>
        </w:tc>
        <w:tc>
          <w:tcPr>
            <w:tcW w:w="3119" w:type="dxa"/>
            <w:tcBorders>
              <w:top w:val="nil"/>
              <w:left w:val="nil"/>
              <w:bottom w:val="nil"/>
              <w:right w:val="nil"/>
            </w:tcBorders>
            <w:shd w:val="clear" w:color="auto" w:fill="auto"/>
            <w:vAlign w:val="center"/>
          </w:tcPr>
          <w:p w14:paraId="616436C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-1.38</w:t>
            </w:r>
          </w:p>
        </w:tc>
      </w:tr>
      <w:tr w14:paraId="55684181">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3A0F4108">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PCL3</w:t>
            </w:r>
          </w:p>
        </w:tc>
        <w:tc>
          <w:tcPr>
            <w:tcW w:w="4706" w:type="dxa"/>
            <w:tcBorders>
              <w:top w:val="nil"/>
              <w:left w:val="nil"/>
              <w:bottom w:val="nil"/>
              <w:right w:val="nil"/>
            </w:tcBorders>
            <w:shd w:val="clear" w:color="auto" w:fill="auto"/>
            <w:vAlign w:val="center"/>
          </w:tcPr>
          <w:p w14:paraId="763E9968">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14.62 (6.06)</w:t>
            </w:r>
          </w:p>
        </w:tc>
        <w:tc>
          <w:tcPr>
            <w:tcW w:w="4706" w:type="dxa"/>
            <w:tcBorders>
              <w:top w:val="nil"/>
              <w:left w:val="nil"/>
              <w:bottom w:val="nil"/>
              <w:right w:val="nil"/>
            </w:tcBorders>
            <w:shd w:val="clear" w:color="auto" w:fill="auto"/>
            <w:vAlign w:val="center"/>
          </w:tcPr>
          <w:p w14:paraId="5A903240">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14.93 (6.03)</w:t>
            </w:r>
          </w:p>
        </w:tc>
        <w:tc>
          <w:tcPr>
            <w:tcW w:w="3119" w:type="dxa"/>
            <w:tcBorders>
              <w:top w:val="nil"/>
              <w:left w:val="nil"/>
              <w:bottom w:val="nil"/>
              <w:right w:val="nil"/>
            </w:tcBorders>
            <w:shd w:val="clear" w:color="auto" w:fill="auto"/>
            <w:vAlign w:val="center"/>
          </w:tcPr>
          <w:p w14:paraId="68E4AAA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1.06</w:t>
            </w:r>
          </w:p>
        </w:tc>
        <w:tc>
          <w:tcPr>
            <w:tcW w:w="4706" w:type="dxa"/>
            <w:tcBorders>
              <w:top w:val="nil"/>
              <w:left w:val="nil"/>
              <w:bottom w:val="nil"/>
              <w:right w:val="nil"/>
            </w:tcBorders>
            <w:shd w:val="clear" w:color="auto" w:fill="auto"/>
            <w:vAlign w:val="center"/>
          </w:tcPr>
          <w:p w14:paraId="2774782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14.18 (5.88)</w:t>
            </w:r>
          </w:p>
        </w:tc>
        <w:tc>
          <w:tcPr>
            <w:tcW w:w="4706" w:type="dxa"/>
            <w:tcBorders>
              <w:top w:val="nil"/>
              <w:left w:val="nil"/>
              <w:bottom w:val="nil"/>
              <w:right w:val="nil"/>
            </w:tcBorders>
            <w:shd w:val="clear" w:color="auto" w:fill="auto"/>
            <w:vAlign w:val="center"/>
          </w:tcPr>
          <w:p w14:paraId="3A31563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14.39 (6.22)</w:t>
            </w:r>
          </w:p>
        </w:tc>
        <w:tc>
          <w:tcPr>
            <w:tcW w:w="3119" w:type="dxa"/>
            <w:tcBorders>
              <w:top w:val="nil"/>
              <w:left w:val="nil"/>
              <w:bottom w:val="nil"/>
              <w:right w:val="nil"/>
            </w:tcBorders>
            <w:shd w:val="clear" w:color="auto" w:fill="auto"/>
            <w:vAlign w:val="center"/>
          </w:tcPr>
          <w:p w14:paraId="11C4653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0.71</w:t>
            </w:r>
          </w:p>
        </w:tc>
      </w:tr>
      <w:tr w14:paraId="0869FFAC">
        <w:tblPrEx>
          <w:tblCellMar>
            <w:top w:w="0" w:type="dxa"/>
            <w:left w:w="108" w:type="dxa"/>
            <w:bottom w:w="0" w:type="dxa"/>
            <w:right w:w="108" w:type="dxa"/>
          </w:tblCellMar>
        </w:tblPrEx>
        <w:trPr>
          <w:trHeight w:val="308" w:hRule="atLeast"/>
        </w:trPr>
        <w:tc>
          <w:tcPr>
            <w:tcW w:w="1985" w:type="dxa"/>
            <w:tcBorders>
              <w:top w:val="nil"/>
              <w:left w:val="nil"/>
              <w:bottom w:val="nil"/>
              <w:right w:val="nil"/>
            </w:tcBorders>
            <w:shd w:val="clear" w:color="auto" w:fill="auto"/>
            <w:vAlign w:val="center"/>
          </w:tcPr>
          <w:p w14:paraId="6E9CC9D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PCL4</w:t>
            </w:r>
          </w:p>
        </w:tc>
        <w:tc>
          <w:tcPr>
            <w:tcW w:w="4706" w:type="dxa"/>
            <w:tcBorders>
              <w:top w:val="nil"/>
              <w:left w:val="nil"/>
              <w:bottom w:val="nil"/>
              <w:right w:val="nil"/>
            </w:tcBorders>
            <w:shd w:val="clear" w:color="auto" w:fill="auto"/>
            <w:vAlign w:val="center"/>
          </w:tcPr>
          <w:p w14:paraId="0FF7FD9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11.79 (5.11)</w:t>
            </w:r>
          </w:p>
        </w:tc>
        <w:tc>
          <w:tcPr>
            <w:tcW w:w="4706" w:type="dxa"/>
            <w:tcBorders>
              <w:top w:val="nil"/>
              <w:left w:val="nil"/>
              <w:bottom w:val="nil"/>
              <w:right w:val="nil"/>
            </w:tcBorders>
            <w:shd w:val="clear" w:color="auto" w:fill="auto"/>
            <w:vAlign w:val="center"/>
          </w:tcPr>
          <w:p w14:paraId="37C97F60">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12.34 (5.41)</w:t>
            </w:r>
          </w:p>
        </w:tc>
        <w:tc>
          <w:tcPr>
            <w:tcW w:w="3119" w:type="dxa"/>
            <w:tcBorders>
              <w:top w:val="nil"/>
              <w:left w:val="nil"/>
              <w:bottom w:val="nil"/>
              <w:right w:val="nil"/>
            </w:tcBorders>
            <w:shd w:val="clear" w:color="auto" w:fill="auto"/>
            <w:vAlign w:val="center"/>
          </w:tcPr>
          <w:p w14:paraId="48284BB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2.14</w:t>
            </w:r>
            <w:r>
              <w:rPr>
                <w:rFonts w:hint="default" w:ascii="Times New Roman" w:hAnsi="Times New Roman" w:cs="Times New Roman"/>
                <w:color w:val="auto"/>
                <w:kern w:val="0"/>
                <w:sz w:val="22"/>
                <w:szCs w:val="22"/>
                <w:vertAlign w:val="superscript"/>
                <w:lang w:bidi="ar"/>
              </w:rPr>
              <w:t>*</w:t>
            </w:r>
          </w:p>
        </w:tc>
        <w:tc>
          <w:tcPr>
            <w:tcW w:w="4706" w:type="dxa"/>
            <w:tcBorders>
              <w:top w:val="nil"/>
              <w:left w:val="nil"/>
              <w:bottom w:val="nil"/>
              <w:right w:val="nil"/>
            </w:tcBorders>
            <w:shd w:val="clear" w:color="auto" w:fill="auto"/>
            <w:vAlign w:val="center"/>
          </w:tcPr>
          <w:p w14:paraId="4CED43A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11.38 (5.08)</w:t>
            </w:r>
          </w:p>
        </w:tc>
        <w:tc>
          <w:tcPr>
            <w:tcW w:w="4706" w:type="dxa"/>
            <w:tcBorders>
              <w:top w:val="nil"/>
              <w:left w:val="nil"/>
              <w:bottom w:val="nil"/>
              <w:right w:val="nil"/>
            </w:tcBorders>
            <w:shd w:val="clear" w:color="auto" w:fill="auto"/>
            <w:vAlign w:val="center"/>
          </w:tcPr>
          <w:p w14:paraId="454A5DC0">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11.87 (5.88)</w:t>
            </w:r>
          </w:p>
        </w:tc>
        <w:tc>
          <w:tcPr>
            <w:tcW w:w="3119" w:type="dxa"/>
            <w:tcBorders>
              <w:top w:val="nil"/>
              <w:left w:val="nil"/>
              <w:bottom w:val="nil"/>
              <w:right w:val="nil"/>
            </w:tcBorders>
            <w:shd w:val="clear" w:color="auto" w:fill="auto"/>
            <w:vAlign w:val="center"/>
          </w:tcPr>
          <w:p w14:paraId="50FB6C0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1.88</w:t>
            </w:r>
          </w:p>
        </w:tc>
      </w:tr>
      <w:tr w14:paraId="447014FB">
        <w:tblPrEx>
          <w:tblCellMar>
            <w:top w:w="0" w:type="dxa"/>
            <w:left w:w="108" w:type="dxa"/>
            <w:bottom w:w="0" w:type="dxa"/>
            <w:right w:w="108" w:type="dxa"/>
          </w:tblCellMar>
        </w:tblPrEx>
        <w:trPr>
          <w:trHeight w:val="308" w:hRule="atLeast"/>
        </w:trPr>
        <w:tc>
          <w:tcPr>
            <w:tcW w:w="1985" w:type="dxa"/>
            <w:tcBorders>
              <w:top w:val="nil"/>
              <w:left w:val="nil"/>
              <w:bottom w:val="nil"/>
              <w:right w:val="nil"/>
            </w:tcBorders>
            <w:shd w:val="clear" w:color="auto" w:fill="auto"/>
            <w:vAlign w:val="center"/>
          </w:tcPr>
          <w:p w14:paraId="53C12D6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ISI</w:t>
            </w:r>
          </w:p>
        </w:tc>
        <w:tc>
          <w:tcPr>
            <w:tcW w:w="4706" w:type="dxa"/>
            <w:tcBorders>
              <w:top w:val="nil"/>
              <w:left w:val="nil"/>
              <w:bottom w:val="nil"/>
              <w:right w:val="nil"/>
            </w:tcBorders>
            <w:shd w:val="clear" w:color="auto" w:fill="auto"/>
            <w:vAlign w:val="center"/>
          </w:tcPr>
          <w:p w14:paraId="34F7A7E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15.63 (5.98)</w:t>
            </w:r>
          </w:p>
        </w:tc>
        <w:tc>
          <w:tcPr>
            <w:tcW w:w="4706" w:type="dxa"/>
            <w:tcBorders>
              <w:top w:val="nil"/>
              <w:left w:val="nil"/>
              <w:bottom w:val="nil"/>
              <w:right w:val="nil"/>
            </w:tcBorders>
            <w:shd w:val="clear" w:color="auto" w:fill="auto"/>
            <w:vAlign w:val="center"/>
          </w:tcPr>
          <w:p w14:paraId="1BF025F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15.03 (5.55)</w:t>
            </w:r>
          </w:p>
        </w:tc>
        <w:tc>
          <w:tcPr>
            <w:tcW w:w="3119" w:type="dxa"/>
            <w:tcBorders>
              <w:top w:val="nil"/>
              <w:left w:val="nil"/>
              <w:bottom w:val="nil"/>
              <w:right w:val="nil"/>
            </w:tcBorders>
            <w:shd w:val="clear" w:color="auto" w:fill="auto"/>
            <w:vAlign w:val="center"/>
          </w:tcPr>
          <w:p w14:paraId="66ECB27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2.08</w:t>
            </w:r>
            <w:r>
              <w:rPr>
                <w:rFonts w:hint="default" w:ascii="Times New Roman" w:hAnsi="Times New Roman" w:cs="Times New Roman"/>
                <w:color w:val="auto"/>
                <w:kern w:val="0"/>
                <w:sz w:val="22"/>
                <w:szCs w:val="22"/>
                <w:vertAlign w:val="superscript"/>
                <w:lang w:bidi="ar"/>
              </w:rPr>
              <w:t>*</w:t>
            </w:r>
          </w:p>
        </w:tc>
        <w:tc>
          <w:tcPr>
            <w:tcW w:w="4706" w:type="dxa"/>
            <w:tcBorders>
              <w:top w:val="nil"/>
              <w:left w:val="nil"/>
              <w:bottom w:val="nil"/>
              <w:right w:val="nil"/>
            </w:tcBorders>
            <w:shd w:val="clear" w:color="auto" w:fill="auto"/>
            <w:vAlign w:val="center"/>
          </w:tcPr>
          <w:p w14:paraId="2188761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14.81 (5.66)</w:t>
            </w:r>
          </w:p>
        </w:tc>
        <w:tc>
          <w:tcPr>
            <w:tcW w:w="4706" w:type="dxa"/>
            <w:tcBorders>
              <w:top w:val="nil"/>
              <w:left w:val="nil"/>
              <w:bottom w:val="nil"/>
              <w:right w:val="nil"/>
            </w:tcBorders>
            <w:shd w:val="clear" w:color="auto" w:fill="auto"/>
            <w:vAlign w:val="center"/>
          </w:tcPr>
          <w:p w14:paraId="0B276D42">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15.17 (5.87)</w:t>
            </w:r>
          </w:p>
        </w:tc>
        <w:tc>
          <w:tcPr>
            <w:tcW w:w="3119" w:type="dxa"/>
            <w:tcBorders>
              <w:top w:val="nil"/>
              <w:left w:val="nil"/>
              <w:bottom w:val="nil"/>
              <w:right w:val="nil"/>
            </w:tcBorders>
            <w:shd w:val="clear" w:color="auto" w:fill="auto"/>
            <w:vAlign w:val="center"/>
          </w:tcPr>
          <w:p w14:paraId="02973E18">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1.27</w:t>
            </w:r>
          </w:p>
        </w:tc>
      </w:tr>
      <w:tr w14:paraId="523FD846">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4DEA840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PHQ1</w:t>
            </w:r>
          </w:p>
        </w:tc>
        <w:tc>
          <w:tcPr>
            <w:tcW w:w="4706" w:type="dxa"/>
            <w:tcBorders>
              <w:top w:val="nil"/>
              <w:left w:val="nil"/>
              <w:bottom w:val="nil"/>
              <w:right w:val="nil"/>
            </w:tcBorders>
            <w:shd w:val="clear" w:color="auto" w:fill="auto"/>
            <w:vAlign w:val="center"/>
          </w:tcPr>
          <w:p w14:paraId="38D8E9C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1.75 (0.79)</w:t>
            </w:r>
          </w:p>
        </w:tc>
        <w:tc>
          <w:tcPr>
            <w:tcW w:w="4706" w:type="dxa"/>
            <w:tcBorders>
              <w:top w:val="nil"/>
              <w:left w:val="nil"/>
              <w:bottom w:val="nil"/>
              <w:right w:val="nil"/>
            </w:tcBorders>
            <w:shd w:val="clear" w:color="auto" w:fill="auto"/>
            <w:vAlign w:val="center"/>
          </w:tcPr>
          <w:p w14:paraId="748D1ED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1.78 (0.80)</w:t>
            </w:r>
          </w:p>
        </w:tc>
        <w:tc>
          <w:tcPr>
            <w:tcW w:w="3119" w:type="dxa"/>
            <w:tcBorders>
              <w:top w:val="nil"/>
              <w:left w:val="nil"/>
              <w:bottom w:val="nil"/>
              <w:right w:val="nil"/>
            </w:tcBorders>
            <w:shd w:val="clear" w:color="auto" w:fill="auto"/>
            <w:vAlign w:val="center"/>
          </w:tcPr>
          <w:p w14:paraId="64E58DCD">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331627.50</w:t>
            </w:r>
          </w:p>
        </w:tc>
        <w:tc>
          <w:tcPr>
            <w:tcW w:w="4706" w:type="dxa"/>
            <w:tcBorders>
              <w:top w:val="nil"/>
              <w:left w:val="nil"/>
              <w:bottom w:val="nil"/>
              <w:right w:val="nil"/>
            </w:tcBorders>
            <w:shd w:val="clear" w:color="auto" w:fill="auto"/>
            <w:vAlign w:val="center"/>
          </w:tcPr>
          <w:p w14:paraId="557DCE02">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1.72 (0.75)</w:t>
            </w:r>
          </w:p>
        </w:tc>
        <w:tc>
          <w:tcPr>
            <w:tcW w:w="4706" w:type="dxa"/>
            <w:tcBorders>
              <w:top w:val="nil"/>
              <w:left w:val="nil"/>
              <w:bottom w:val="nil"/>
              <w:right w:val="nil"/>
            </w:tcBorders>
            <w:shd w:val="clear" w:color="auto" w:fill="auto"/>
            <w:vAlign w:val="center"/>
          </w:tcPr>
          <w:p w14:paraId="5655091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1.74 (0.81)</w:t>
            </w:r>
          </w:p>
        </w:tc>
        <w:tc>
          <w:tcPr>
            <w:tcW w:w="3119" w:type="dxa"/>
            <w:tcBorders>
              <w:top w:val="nil"/>
              <w:left w:val="nil"/>
              <w:bottom w:val="nil"/>
              <w:right w:val="nil"/>
            </w:tcBorders>
            <w:shd w:val="clear" w:color="auto" w:fill="auto"/>
            <w:vAlign w:val="center"/>
          </w:tcPr>
          <w:p w14:paraId="174A22C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338555.50</w:t>
            </w:r>
          </w:p>
        </w:tc>
      </w:tr>
      <w:tr w14:paraId="7F5C0CA1">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0972C44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PHQ2</w:t>
            </w:r>
          </w:p>
        </w:tc>
        <w:tc>
          <w:tcPr>
            <w:tcW w:w="4706" w:type="dxa"/>
            <w:tcBorders>
              <w:top w:val="nil"/>
              <w:left w:val="nil"/>
              <w:bottom w:val="nil"/>
              <w:right w:val="nil"/>
            </w:tcBorders>
            <w:shd w:val="clear" w:color="auto" w:fill="auto"/>
            <w:vAlign w:val="center"/>
          </w:tcPr>
          <w:p w14:paraId="12E156B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1.65 (0.78)</w:t>
            </w:r>
          </w:p>
        </w:tc>
        <w:tc>
          <w:tcPr>
            <w:tcW w:w="4706" w:type="dxa"/>
            <w:tcBorders>
              <w:top w:val="nil"/>
              <w:left w:val="nil"/>
              <w:bottom w:val="nil"/>
              <w:right w:val="nil"/>
            </w:tcBorders>
            <w:shd w:val="clear" w:color="auto" w:fill="auto"/>
            <w:vAlign w:val="center"/>
          </w:tcPr>
          <w:p w14:paraId="69C7E89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1.70 (0.76)</w:t>
            </w:r>
          </w:p>
        </w:tc>
        <w:tc>
          <w:tcPr>
            <w:tcW w:w="3119" w:type="dxa"/>
            <w:tcBorders>
              <w:top w:val="nil"/>
              <w:left w:val="nil"/>
              <w:bottom w:val="nil"/>
              <w:right w:val="nil"/>
            </w:tcBorders>
            <w:shd w:val="clear" w:color="auto" w:fill="auto"/>
            <w:vAlign w:val="center"/>
          </w:tcPr>
          <w:p w14:paraId="3533DC3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322436.50</w:t>
            </w:r>
          </w:p>
        </w:tc>
        <w:tc>
          <w:tcPr>
            <w:tcW w:w="4706" w:type="dxa"/>
            <w:tcBorders>
              <w:top w:val="nil"/>
              <w:left w:val="nil"/>
              <w:bottom w:val="nil"/>
              <w:right w:val="nil"/>
            </w:tcBorders>
            <w:shd w:val="clear" w:color="auto" w:fill="auto"/>
            <w:vAlign w:val="center"/>
          </w:tcPr>
          <w:p w14:paraId="2193727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1.66 (0.74)</w:t>
            </w:r>
          </w:p>
        </w:tc>
        <w:tc>
          <w:tcPr>
            <w:tcW w:w="4706" w:type="dxa"/>
            <w:tcBorders>
              <w:top w:val="nil"/>
              <w:left w:val="nil"/>
              <w:bottom w:val="nil"/>
              <w:right w:val="nil"/>
            </w:tcBorders>
            <w:shd w:val="clear" w:color="auto" w:fill="auto"/>
            <w:vAlign w:val="center"/>
          </w:tcPr>
          <w:p w14:paraId="309ADBDB">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1.72 (0.79)</w:t>
            </w:r>
          </w:p>
        </w:tc>
        <w:tc>
          <w:tcPr>
            <w:tcW w:w="3119" w:type="dxa"/>
            <w:tcBorders>
              <w:top w:val="nil"/>
              <w:left w:val="nil"/>
              <w:bottom w:val="nil"/>
              <w:right w:val="nil"/>
            </w:tcBorders>
            <w:shd w:val="clear" w:color="auto" w:fill="auto"/>
            <w:vAlign w:val="center"/>
          </w:tcPr>
          <w:p w14:paraId="3FF122D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325965.50</w:t>
            </w:r>
          </w:p>
        </w:tc>
      </w:tr>
      <w:tr w14:paraId="457E9A46">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7014D34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PHQ3</w:t>
            </w:r>
          </w:p>
        </w:tc>
        <w:tc>
          <w:tcPr>
            <w:tcW w:w="4706" w:type="dxa"/>
            <w:tcBorders>
              <w:top w:val="nil"/>
              <w:left w:val="nil"/>
              <w:bottom w:val="nil"/>
              <w:right w:val="nil"/>
            </w:tcBorders>
            <w:shd w:val="clear" w:color="auto" w:fill="auto"/>
            <w:vAlign w:val="center"/>
          </w:tcPr>
          <w:p w14:paraId="69FAAFE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1.64 (0.86)</w:t>
            </w:r>
          </w:p>
        </w:tc>
        <w:tc>
          <w:tcPr>
            <w:tcW w:w="4706" w:type="dxa"/>
            <w:tcBorders>
              <w:top w:val="nil"/>
              <w:left w:val="nil"/>
              <w:bottom w:val="nil"/>
              <w:right w:val="nil"/>
            </w:tcBorders>
            <w:shd w:val="clear" w:color="auto" w:fill="auto"/>
            <w:vAlign w:val="center"/>
          </w:tcPr>
          <w:p w14:paraId="513BDC4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1.72 (0.90)</w:t>
            </w:r>
          </w:p>
        </w:tc>
        <w:tc>
          <w:tcPr>
            <w:tcW w:w="3119" w:type="dxa"/>
            <w:tcBorders>
              <w:top w:val="nil"/>
              <w:left w:val="nil"/>
              <w:bottom w:val="nil"/>
              <w:right w:val="nil"/>
            </w:tcBorders>
            <w:shd w:val="clear" w:color="auto" w:fill="auto"/>
            <w:vAlign w:val="center"/>
          </w:tcPr>
          <w:p w14:paraId="007D9C8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323580.50</w:t>
            </w:r>
          </w:p>
        </w:tc>
        <w:tc>
          <w:tcPr>
            <w:tcW w:w="4706" w:type="dxa"/>
            <w:tcBorders>
              <w:top w:val="nil"/>
              <w:left w:val="nil"/>
              <w:bottom w:val="nil"/>
              <w:right w:val="nil"/>
            </w:tcBorders>
            <w:shd w:val="clear" w:color="auto" w:fill="auto"/>
            <w:vAlign w:val="center"/>
          </w:tcPr>
          <w:p w14:paraId="6DEBBF7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1.64 (0.83)</w:t>
            </w:r>
          </w:p>
        </w:tc>
        <w:tc>
          <w:tcPr>
            <w:tcW w:w="4706" w:type="dxa"/>
            <w:tcBorders>
              <w:top w:val="nil"/>
              <w:left w:val="nil"/>
              <w:bottom w:val="nil"/>
              <w:right w:val="nil"/>
            </w:tcBorders>
            <w:shd w:val="clear" w:color="auto" w:fill="auto"/>
            <w:vAlign w:val="center"/>
          </w:tcPr>
          <w:p w14:paraId="081DF85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1.68 (0.87)</w:t>
            </w:r>
          </w:p>
        </w:tc>
        <w:tc>
          <w:tcPr>
            <w:tcW w:w="3119" w:type="dxa"/>
            <w:tcBorders>
              <w:top w:val="nil"/>
              <w:left w:val="nil"/>
              <w:bottom w:val="nil"/>
              <w:right w:val="nil"/>
            </w:tcBorders>
            <w:shd w:val="clear" w:color="auto" w:fill="auto"/>
            <w:vAlign w:val="center"/>
          </w:tcPr>
          <w:p w14:paraId="00CC6C5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333256.00</w:t>
            </w:r>
          </w:p>
        </w:tc>
      </w:tr>
      <w:tr w14:paraId="227986C3">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5F1D183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PHQ4</w:t>
            </w:r>
          </w:p>
        </w:tc>
        <w:tc>
          <w:tcPr>
            <w:tcW w:w="4706" w:type="dxa"/>
            <w:tcBorders>
              <w:top w:val="nil"/>
              <w:left w:val="nil"/>
              <w:bottom w:val="nil"/>
              <w:right w:val="nil"/>
            </w:tcBorders>
            <w:shd w:val="clear" w:color="auto" w:fill="auto"/>
            <w:vAlign w:val="center"/>
          </w:tcPr>
          <w:p w14:paraId="7A36DD0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1.75 (0.78)</w:t>
            </w:r>
          </w:p>
        </w:tc>
        <w:tc>
          <w:tcPr>
            <w:tcW w:w="4706" w:type="dxa"/>
            <w:tcBorders>
              <w:top w:val="nil"/>
              <w:left w:val="nil"/>
              <w:bottom w:val="nil"/>
              <w:right w:val="nil"/>
            </w:tcBorders>
            <w:shd w:val="clear" w:color="auto" w:fill="auto"/>
            <w:vAlign w:val="center"/>
          </w:tcPr>
          <w:p w14:paraId="25C9663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1.77 (0.81)</w:t>
            </w:r>
          </w:p>
        </w:tc>
        <w:tc>
          <w:tcPr>
            <w:tcW w:w="3119" w:type="dxa"/>
            <w:tcBorders>
              <w:top w:val="nil"/>
              <w:left w:val="nil"/>
              <w:bottom w:val="nil"/>
              <w:right w:val="nil"/>
            </w:tcBorders>
            <w:shd w:val="clear" w:color="auto" w:fill="auto"/>
            <w:vAlign w:val="center"/>
          </w:tcPr>
          <w:p w14:paraId="3A628FA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336894.50</w:t>
            </w:r>
          </w:p>
        </w:tc>
        <w:tc>
          <w:tcPr>
            <w:tcW w:w="4706" w:type="dxa"/>
            <w:tcBorders>
              <w:top w:val="nil"/>
              <w:left w:val="nil"/>
              <w:bottom w:val="nil"/>
              <w:right w:val="nil"/>
            </w:tcBorders>
            <w:shd w:val="clear" w:color="auto" w:fill="auto"/>
            <w:vAlign w:val="center"/>
          </w:tcPr>
          <w:p w14:paraId="722E3E2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1.77 (0.77)</w:t>
            </w:r>
          </w:p>
        </w:tc>
        <w:tc>
          <w:tcPr>
            <w:tcW w:w="4706" w:type="dxa"/>
            <w:tcBorders>
              <w:top w:val="nil"/>
              <w:left w:val="nil"/>
              <w:bottom w:val="nil"/>
              <w:right w:val="nil"/>
            </w:tcBorders>
            <w:shd w:val="clear" w:color="auto" w:fill="auto"/>
            <w:vAlign w:val="center"/>
          </w:tcPr>
          <w:p w14:paraId="73125BDD">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1.83 (0.81)</w:t>
            </w:r>
          </w:p>
        </w:tc>
        <w:tc>
          <w:tcPr>
            <w:tcW w:w="3119" w:type="dxa"/>
            <w:tcBorders>
              <w:top w:val="nil"/>
              <w:left w:val="nil"/>
              <w:bottom w:val="nil"/>
              <w:right w:val="nil"/>
            </w:tcBorders>
            <w:shd w:val="clear" w:color="auto" w:fill="auto"/>
            <w:vAlign w:val="center"/>
          </w:tcPr>
          <w:p w14:paraId="225B326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324454.00</w:t>
            </w:r>
          </w:p>
        </w:tc>
      </w:tr>
      <w:tr w14:paraId="5482AC07">
        <w:tblPrEx>
          <w:tblCellMar>
            <w:top w:w="0" w:type="dxa"/>
            <w:left w:w="108" w:type="dxa"/>
            <w:bottom w:w="0" w:type="dxa"/>
            <w:right w:w="108" w:type="dxa"/>
          </w:tblCellMar>
        </w:tblPrEx>
        <w:trPr>
          <w:trHeight w:val="308" w:hRule="atLeast"/>
        </w:trPr>
        <w:tc>
          <w:tcPr>
            <w:tcW w:w="1985" w:type="dxa"/>
            <w:tcBorders>
              <w:top w:val="nil"/>
              <w:left w:val="nil"/>
              <w:bottom w:val="nil"/>
              <w:right w:val="nil"/>
            </w:tcBorders>
            <w:shd w:val="clear" w:color="auto" w:fill="auto"/>
            <w:vAlign w:val="center"/>
          </w:tcPr>
          <w:p w14:paraId="6F6DB9A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PHQ5</w:t>
            </w:r>
          </w:p>
        </w:tc>
        <w:tc>
          <w:tcPr>
            <w:tcW w:w="4706" w:type="dxa"/>
            <w:tcBorders>
              <w:top w:val="nil"/>
              <w:left w:val="nil"/>
              <w:bottom w:val="nil"/>
              <w:right w:val="nil"/>
            </w:tcBorders>
            <w:shd w:val="clear" w:color="auto" w:fill="auto"/>
            <w:vAlign w:val="center"/>
          </w:tcPr>
          <w:p w14:paraId="5F78DE50">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1.65 (0.77)</w:t>
            </w:r>
          </w:p>
        </w:tc>
        <w:tc>
          <w:tcPr>
            <w:tcW w:w="4706" w:type="dxa"/>
            <w:tcBorders>
              <w:top w:val="nil"/>
              <w:left w:val="nil"/>
              <w:bottom w:val="nil"/>
              <w:right w:val="nil"/>
            </w:tcBorders>
            <w:shd w:val="clear" w:color="auto" w:fill="auto"/>
            <w:vAlign w:val="center"/>
          </w:tcPr>
          <w:p w14:paraId="3AF5936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1.76 (0.83)</w:t>
            </w:r>
          </w:p>
        </w:tc>
        <w:tc>
          <w:tcPr>
            <w:tcW w:w="3119" w:type="dxa"/>
            <w:tcBorders>
              <w:top w:val="nil"/>
              <w:left w:val="nil"/>
              <w:bottom w:val="nil"/>
              <w:right w:val="nil"/>
            </w:tcBorders>
            <w:shd w:val="clear" w:color="auto" w:fill="auto"/>
            <w:vAlign w:val="center"/>
          </w:tcPr>
          <w:p w14:paraId="7A23D4C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314605.00</w:t>
            </w:r>
            <w:r>
              <w:rPr>
                <w:rFonts w:hint="default" w:ascii="Times New Roman" w:hAnsi="Times New Roman" w:cs="Times New Roman"/>
                <w:color w:val="auto"/>
                <w:kern w:val="0"/>
                <w:sz w:val="22"/>
                <w:szCs w:val="22"/>
                <w:vertAlign w:val="superscript"/>
                <w:lang w:bidi="ar"/>
              </w:rPr>
              <w:t>**</w:t>
            </w:r>
          </w:p>
        </w:tc>
        <w:tc>
          <w:tcPr>
            <w:tcW w:w="4706" w:type="dxa"/>
            <w:tcBorders>
              <w:top w:val="nil"/>
              <w:left w:val="nil"/>
              <w:bottom w:val="nil"/>
              <w:right w:val="nil"/>
            </w:tcBorders>
            <w:shd w:val="clear" w:color="auto" w:fill="auto"/>
            <w:vAlign w:val="center"/>
          </w:tcPr>
          <w:p w14:paraId="4BA74072">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1.70 (0.81)</w:t>
            </w:r>
          </w:p>
        </w:tc>
        <w:tc>
          <w:tcPr>
            <w:tcW w:w="4706" w:type="dxa"/>
            <w:tcBorders>
              <w:top w:val="nil"/>
              <w:left w:val="nil"/>
              <w:bottom w:val="nil"/>
              <w:right w:val="nil"/>
            </w:tcBorders>
            <w:shd w:val="clear" w:color="auto" w:fill="auto"/>
            <w:vAlign w:val="center"/>
          </w:tcPr>
          <w:p w14:paraId="6A60210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1.73 (0.83)</w:t>
            </w:r>
          </w:p>
        </w:tc>
        <w:tc>
          <w:tcPr>
            <w:tcW w:w="3119" w:type="dxa"/>
            <w:tcBorders>
              <w:top w:val="nil"/>
              <w:left w:val="nil"/>
              <w:bottom w:val="nil"/>
              <w:right w:val="nil"/>
            </w:tcBorders>
            <w:shd w:val="clear" w:color="auto" w:fill="auto"/>
            <w:vAlign w:val="center"/>
          </w:tcPr>
          <w:p w14:paraId="04DF7AD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330576.00</w:t>
            </w:r>
          </w:p>
        </w:tc>
      </w:tr>
      <w:tr w14:paraId="3B21D39A">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1AE8695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PHQ6</w:t>
            </w:r>
          </w:p>
        </w:tc>
        <w:tc>
          <w:tcPr>
            <w:tcW w:w="4706" w:type="dxa"/>
            <w:tcBorders>
              <w:top w:val="nil"/>
              <w:left w:val="nil"/>
              <w:bottom w:val="nil"/>
              <w:right w:val="nil"/>
            </w:tcBorders>
            <w:shd w:val="clear" w:color="auto" w:fill="auto"/>
            <w:vAlign w:val="center"/>
          </w:tcPr>
          <w:p w14:paraId="611E31A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1.97 (0.94)</w:t>
            </w:r>
          </w:p>
        </w:tc>
        <w:tc>
          <w:tcPr>
            <w:tcW w:w="4706" w:type="dxa"/>
            <w:tcBorders>
              <w:top w:val="nil"/>
              <w:left w:val="nil"/>
              <w:bottom w:val="nil"/>
              <w:right w:val="nil"/>
            </w:tcBorders>
            <w:shd w:val="clear" w:color="auto" w:fill="auto"/>
            <w:vAlign w:val="center"/>
          </w:tcPr>
          <w:p w14:paraId="5E63C7F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1.98 (0.96)</w:t>
            </w:r>
          </w:p>
        </w:tc>
        <w:tc>
          <w:tcPr>
            <w:tcW w:w="3119" w:type="dxa"/>
            <w:tcBorders>
              <w:top w:val="nil"/>
              <w:left w:val="nil"/>
              <w:bottom w:val="nil"/>
              <w:right w:val="nil"/>
            </w:tcBorders>
            <w:shd w:val="clear" w:color="auto" w:fill="auto"/>
            <w:vAlign w:val="center"/>
          </w:tcPr>
          <w:p w14:paraId="34FAD83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337649.50</w:t>
            </w:r>
          </w:p>
        </w:tc>
        <w:tc>
          <w:tcPr>
            <w:tcW w:w="4706" w:type="dxa"/>
            <w:tcBorders>
              <w:top w:val="nil"/>
              <w:left w:val="nil"/>
              <w:bottom w:val="nil"/>
              <w:right w:val="nil"/>
            </w:tcBorders>
            <w:shd w:val="clear" w:color="auto" w:fill="auto"/>
            <w:vAlign w:val="center"/>
          </w:tcPr>
          <w:p w14:paraId="1646C55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1.80 (0.89)</w:t>
            </w:r>
          </w:p>
        </w:tc>
        <w:tc>
          <w:tcPr>
            <w:tcW w:w="4706" w:type="dxa"/>
            <w:tcBorders>
              <w:top w:val="nil"/>
              <w:left w:val="nil"/>
              <w:bottom w:val="nil"/>
              <w:right w:val="nil"/>
            </w:tcBorders>
            <w:shd w:val="clear" w:color="auto" w:fill="auto"/>
            <w:vAlign w:val="center"/>
          </w:tcPr>
          <w:p w14:paraId="340DC6B8">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1.85 (0.91)</w:t>
            </w:r>
          </w:p>
        </w:tc>
        <w:tc>
          <w:tcPr>
            <w:tcW w:w="3119" w:type="dxa"/>
            <w:tcBorders>
              <w:top w:val="nil"/>
              <w:left w:val="nil"/>
              <w:bottom w:val="nil"/>
              <w:right w:val="nil"/>
            </w:tcBorders>
            <w:shd w:val="clear" w:color="auto" w:fill="auto"/>
            <w:vAlign w:val="center"/>
          </w:tcPr>
          <w:p w14:paraId="0F8D3D1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326230.00</w:t>
            </w:r>
          </w:p>
        </w:tc>
      </w:tr>
      <w:tr w14:paraId="2A747533">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54AF907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PHQ7</w:t>
            </w:r>
          </w:p>
        </w:tc>
        <w:tc>
          <w:tcPr>
            <w:tcW w:w="4706" w:type="dxa"/>
            <w:tcBorders>
              <w:top w:val="nil"/>
              <w:left w:val="nil"/>
              <w:bottom w:val="nil"/>
              <w:right w:val="nil"/>
            </w:tcBorders>
            <w:shd w:val="clear" w:color="auto" w:fill="auto"/>
            <w:vAlign w:val="center"/>
          </w:tcPr>
          <w:p w14:paraId="6E45F8EC">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1.72 (0.88)</w:t>
            </w:r>
          </w:p>
        </w:tc>
        <w:tc>
          <w:tcPr>
            <w:tcW w:w="4706" w:type="dxa"/>
            <w:tcBorders>
              <w:top w:val="nil"/>
              <w:left w:val="nil"/>
              <w:bottom w:val="nil"/>
              <w:right w:val="nil"/>
            </w:tcBorders>
            <w:shd w:val="clear" w:color="auto" w:fill="auto"/>
            <w:vAlign w:val="center"/>
          </w:tcPr>
          <w:p w14:paraId="0D6B71D2">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1.77 (0.90)</w:t>
            </w:r>
          </w:p>
        </w:tc>
        <w:tc>
          <w:tcPr>
            <w:tcW w:w="3119" w:type="dxa"/>
            <w:tcBorders>
              <w:top w:val="nil"/>
              <w:left w:val="nil"/>
              <w:bottom w:val="nil"/>
              <w:right w:val="nil"/>
            </w:tcBorders>
            <w:shd w:val="clear" w:color="auto" w:fill="auto"/>
            <w:vAlign w:val="center"/>
          </w:tcPr>
          <w:p w14:paraId="6DFA30F8">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329732.00</w:t>
            </w:r>
          </w:p>
        </w:tc>
        <w:tc>
          <w:tcPr>
            <w:tcW w:w="4706" w:type="dxa"/>
            <w:tcBorders>
              <w:top w:val="nil"/>
              <w:left w:val="nil"/>
              <w:bottom w:val="nil"/>
              <w:right w:val="nil"/>
            </w:tcBorders>
            <w:shd w:val="clear" w:color="auto" w:fill="auto"/>
            <w:vAlign w:val="center"/>
          </w:tcPr>
          <w:p w14:paraId="3235965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1.72 (0.84)</w:t>
            </w:r>
          </w:p>
        </w:tc>
        <w:tc>
          <w:tcPr>
            <w:tcW w:w="4706" w:type="dxa"/>
            <w:tcBorders>
              <w:top w:val="nil"/>
              <w:left w:val="nil"/>
              <w:bottom w:val="nil"/>
              <w:right w:val="nil"/>
            </w:tcBorders>
            <w:shd w:val="clear" w:color="auto" w:fill="auto"/>
            <w:vAlign w:val="center"/>
          </w:tcPr>
          <w:p w14:paraId="4CD4CE49">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1.74 (0.86)</w:t>
            </w:r>
          </w:p>
        </w:tc>
        <w:tc>
          <w:tcPr>
            <w:tcW w:w="3119" w:type="dxa"/>
            <w:tcBorders>
              <w:top w:val="nil"/>
              <w:left w:val="nil"/>
              <w:bottom w:val="nil"/>
              <w:right w:val="nil"/>
            </w:tcBorders>
            <w:shd w:val="clear" w:color="auto" w:fill="auto"/>
            <w:vAlign w:val="center"/>
          </w:tcPr>
          <w:p w14:paraId="1AFAA216">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334998.50</w:t>
            </w:r>
          </w:p>
        </w:tc>
      </w:tr>
      <w:tr w14:paraId="375ED0E3">
        <w:tblPrEx>
          <w:tblCellMar>
            <w:top w:w="0" w:type="dxa"/>
            <w:left w:w="108" w:type="dxa"/>
            <w:bottom w:w="0" w:type="dxa"/>
            <w:right w:w="108" w:type="dxa"/>
          </w:tblCellMar>
        </w:tblPrEx>
        <w:trPr>
          <w:trHeight w:val="270" w:hRule="atLeast"/>
        </w:trPr>
        <w:tc>
          <w:tcPr>
            <w:tcW w:w="1985" w:type="dxa"/>
            <w:tcBorders>
              <w:top w:val="nil"/>
              <w:left w:val="nil"/>
              <w:bottom w:val="nil"/>
              <w:right w:val="nil"/>
            </w:tcBorders>
            <w:shd w:val="clear" w:color="auto" w:fill="auto"/>
            <w:vAlign w:val="center"/>
          </w:tcPr>
          <w:p w14:paraId="65F7E49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PHQ8</w:t>
            </w:r>
          </w:p>
        </w:tc>
        <w:tc>
          <w:tcPr>
            <w:tcW w:w="4706" w:type="dxa"/>
            <w:tcBorders>
              <w:top w:val="nil"/>
              <w:left w:val="nil"/>
              <w:bottom w:val="nil"/>
              <w:right w:val="nil"/>
            </w:tcBorders>
            <w:shd w:val="clear" w:color="auto" w:fill="auto"/>
            <w:vAlign w:val="center"/>
          </w:tcPr>
          <w:p w14:paraId="7209720F">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1.50 (0.76)</w:t>
            </w:r>
          </w:p>
        </w:tc>
        <w:tc>
          <w:tcPr>
            <w:tcW w:w="4706" w:type="dxa"/>
            <w:tcBorders>
              <w:top w:val="nil"/>
              <w:left w:val="nil"/>
              <w:bottom w:val="nil"/>
              <w:right w:val="nil"/>
            </w:tcBorders>
            <w:shd w:val="clear" w:color="auto" w:fill="auto"/>
            <w:vAlign w:val="center"/>
          </w:tcPr>
          <w:p w14:paraId="6F69974B">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1.55 (0.76)</w:t>
            </w:r>
          </w:p>
        </w:tc>
        <w:tc>
          <w:tcPr>
            <w:tcW w:w="3119" w:type="dxa"/>
            <w:tcBorders>
              <w:top w:val="nil"/>
              <w:left w:val="nil"/>
              <w:bottom w:val="nil"/>
              <w:right w:val="nil"/>
            </w:tcBorders>
            <w:shd w:val="clear" w:color="auto" w:fill="auto"/>
            <w:vAlign w:val="center"/>
          </w:tcPr>
          <w:p w14:paraId="40DDFD2D">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327756.50</w:t>
            </w:r>
          </w:p>
        </w:tc>
        <w:tc>
          <w:tcPr>
            <w:tcW w:w="4706" w:type="dxa"/>
            <w:tcBorders>
              <w:top w:val="nil"/>
              <w:left w:val="nil"/>
              <w:bottom w:val="nil"/>
              <w:right w:val="nil"/>
            </w:tcBorders>
            <w:shd w:val="clear" w:color="auto" w:fill="auto"/>
            <w:vAlign w:val="center"/>
          </w:tcPr>
          <w:p w14:paraId="1F46749A">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1.50 (0.76)</w:t>
            </w:r>
          </w:p>
        </w:tc>
        <w:tc>
          <w:tcPr>
            <w:tcW w:w="4706" w:type="dxa"/>
            <w:tcBorders>
              <w:top w:val="nil"/>
              <w:left w:val="nil"/>
              <w:bottom w:val="nil"/>
              <w:right w:val="nil"/>
            </w:tcBorders>
            <w:shd w:val="clear" w:color="auto" w:fill="auto"/>
            <w:vAlign w:val="center"/>
          </w:tcPr>
          <w:p w14:paraId="6CF3F5D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1.53 (0.78)</w:t>
            </w:r>
          </w:p>
        </w:tc>
        <w:tc>
          <w:tcPr>
            <w:tcW w:w="3119" w:type="dxa"/>
            <w:tcBorders>
              <w:top w:val="nil"/>
              <w:left w:val="nil"/>
              <w:bottom w:val="nil"/>
              <w:right w:val="nil"/>
            </w:tcBorders>
            <w:shd w:val="clear" w:color="auto" w:fill="auto"/>
            <w:vAlign w:val="center"/>
          </w:tcPr>
          <w:p w14:paraId="662AEDE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330053.50</w:t>
            </w:r>
          </w:p>
        </w:tc>
      </w:tr>
      <w:tr w14:paraId="51107076">
        <w:tblPrEx>
          <w:tblCellMar>
            <w:top w:w="0" w:type="dxa"/>
            <w:left w:w="108" w:type="dxa"/>
            <w:bottom w:w="0" w:type="dxa"/>
            <w:right w:w="108" w:type="dxa"/>
          </w:tblCellMar>
        </w:tblPrEx>
        <w:trPr>
          <w:trHeight w:val="308" w:hRule="atLeast"/>
        </w:trPr>
        <w:tc>
          <w:tcPr>
            <w:tcW w:w="1985" w:type="dxa"/>
            <w:tcBorders>
              <w:top w:val="nil"/>
              <w:left w:val="nil"/>
              <w:bottom w:val="single" w:color="000000" w:sz="4" w:space="0"/>
              <w:right w:val="nil"/>
            </w:tcBorders>
            <w:shd w:val="clear" w:color="auto" w:fill="auto"/>
            <w:vAlign w:val="center"/>
          </w:tcPr>
          <w:p w14:paraId="6B53A0C3">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PHQ9</w:t>
            </w:r>
          </w:p>
        </w:tc>
        <w:tc>
          <w:tcPr>
            <w:tcW w:w="4706" w:type="dxa"/>
            <w:tcBorders>
              <w:top w:val="nil"/>
              <w:left w:val="nil"/>
              <w:bottom w:val="single" w:color="000000" w:sz="4" w:space="0"/>
              <w:right w:val="nil"/>
            </w:tcBorders>
            <w:shd w:val="clear" w:color="auto" w:fill="auto"/>
            <w:vAlign w:val="center"/>
          </w:tcPr>
          <w:p w14:paraId="024B500E">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1.41 (0.76)</w:t>
            </w:r>
          </w:p>
        </w:tc>
        <w:tc>
          <w:tcPr>
            <w:tcW w:w="4706" w:type="dxa"/>
            <w:tcBorders>
              <w:top w:val="nil"/>
              <w:left w:val="nil"/>
              <w:bottom w:val="single" w:color="000000" w:sz="4" w:space="0"/>
              <w:right w:val="nil"/>
            </w:tcBorders>
            <w:shd w:val="clear" w:color="auto" w:fill="auto"/>
            <w:vAlign w:val="center"/>
          </w:tcPr>
          <w:p w14:paraId="1E4ADC44">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1.50 (0.83)</w:t>
            </w:r>
          </w:p>
        </w:tc>
        <w:tc>
          <w:tcPr>
            <w:tcW w:w="3119" w:type="dxa"/>
            <w:tcBorders>
              <w:top w:val="nil"/>
              <w:left w:val="nil"/>
              <w:bottom w:val="single" w:color="000000" w:sz="4" w:space="0"/>
              <w:right w:val="nil"/>
            </w:tcBorders>
            <w:shd w:val="clear" w:color="auto" w:fill="auto"/>
            <w:vAlign w:val="center"/>
          </w:tcPr>
          <w:p w14:paraId="38F0D28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323231.00</w:t>
            </w:r>
            <w:r>
              <w:rPr>
                <w:rFonts w:hint="default" w:ascii="Times New Roman" w:hAnsi="Times New Roman" w:cs="Times New Roman"/>
                <w:color w:val="auto"/>
                <w:kern w:val="0"/>
                <w:sz w:val="22"/>
                <w:szCs w:val="22"/>
                <w:vertAlign w:val="superscript"/>
                <w:lang w:bidi="ar"/>
              </w:rPr>
              <w:t>*</w:t>
            </w:r>
          </w:p>
        </w:tc>
        <w:tc>
          <w:tcPr>
            <w:tcW w:w="4706" w:type="dxa"/>
            <w:tcBorders>
              <w:top w:val="nil"/>
              <w:left w:val="nil"/>
              <w:bottom w:val="single" w:color="000000" w:sz="4" w:space="0"/>
              <w:right w:val="nil"/>
            </w:tcBorders>
            <w:shd w:val="clear" w:color="auto" w:fill="auto"/>
            <w:vAlign w:val="center"/>
          </w:tcPr>
          <w:p w14:paraId="09C87961">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1.40 (0.77)</w:t>
            </w:r>
          </w:p>
        </w:tc>
        <w:tc>
          <w:tcPr>
            <w:tcW w:w="4706" w:type="dxa"/>
            <w:tcBorders>
              <w:top w:val="nil"/>
              <w:left w:val="nil"/>
              <w:bottom w:val="single" w:color="000000" w:sz="4" w:space="0"/>
              <w:right w:val="nil"/>
            </w:tcBorders>
            <w:shd w:val="clear" w:color="auto" w:fill="auto"/>
            <w:vAlign w:val="center"/>
          </w:tcPr>
          <w:p w14:paraId="6AE541E5">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1.48 (0.83)</w:t>
            </w:r>
          </w:p>
        </w:tc>
        <w:tc>
          <w:tcPr>
            <w:tcW w:w="3119" w:type="dxa"/>
            <w:tcBorders>
              <w:top w:val="nil"/>
              <w:left w:val="nil"/>
              <w:bottom w:val="single" w:color="000000" w:sz="4" w:space="0"/>
              <w:right w:val="nil"/>
            </w:tcBorders>
            <w:shd w:val="clear" w:color="auto" w:fill="auto"/>
            <w:vAlign w:val="center"/>
          </w:tcPr>
          <w:p w14:paraId="781DEF37">
            <w:pPr>
              <w:widowControl/>
              <w:ind w:firstLine="0" w:firstLineChars="0"/>
              <w:jc w:val="both"/>
              <w:textAlignment w:val="center"/>
              <w:rPr>
                <w:rFonts w:hint="default" w:ascii="Times New Roman" w:hAnsi="Times New Roman" w:cs="Times New Roman"/>
                <w:color w:val="auto"/>
                <w:sz w:val="22"/>
                <w:szCs w:val="22"/>
              </w:rPr>
            </w:pPr>
            <w:r>
              <w:rPr>
                <w:rFonts w:hint="default" w:ascii="Times New Roman" w:hAnsi="Times New Roman" w:cs="Times New Roman"/>
                <w:color w:val="auto"/>
                <w:kern w:val="0"/>
                <w:sz w:val="22"/>
                <w:szCs w:val="22"/>
                <w:lang w:bidi="ar"/>
              </w:rPr>
              <w:t>322430.00</w:t>
            </w:r>
          </w:p>
        </w:tc>
      </w:tr>
    </w:tbl>
    <w:p w14:paraId="51BC97CA">
      <w:pPr>
        <w:widowControl/>
        <w:ind w:firstLine="0" w:firstLineChars="0"/>
        <w:rPr>
          <w:rFonts w:ascii="Times New Roman" w:hAnsi="Times New Roman"/>
          <w:color w:val="auto"/>
        </w:rPr>
      </w:pPr>
      <w:r>
        <w:rPr>
          <w:rFonts w:ascii="Times New Roman" w:hAnsi="Times New Roman"/>
          <w:color w:val="auto"/>
        </w:rPr>
        <w:t xml:space="preserve">Note. </w:t>
      </w:r>
    </w:p>
    <w:p w14:paraId="4B17F174">
      <w:pPr>
        <w:widowControl/>
        <w:ind w:firstLine="0" w:firstLineChars="0"/>
        <w:rPr>
          <w:rFonts w:ascii="Times New Roman" w:hAnsi="Times New Roman"/>
          <w:color w:val="auto"/>
        </w:rPr>
      </w:pPr>
      <w:r>
        <w:rPr>
          <w:rFonts w:ascii="Times New Roman" w:hAnsi="Times New Roman"/>
          <w:color w:val="auto"/>
        </w:rPr>
        <w:t>PCL1, Re-experiencing. PCL2, Avoidance. PCL3, Negative alterations in cognition and mood. PCL4, Hyper-arousal. ISI, Insomnia severity. PHQ1, Anhedonia. PHQ2, Sad Mood. PHQ3, Sleep. PHQ4, Energy. PHQ5, Appetite. PHQ6, Guilty. PHQ7, Concentration. PHQ8, Motor. PHQ9, Suicide. SD, standard deviation. T1, first measurement in February 2023. T2, second measurement in April 2023.</w:t>
      </w:r>
    </w:p>
    <w:p w14:paraId="12FC65B9">
      <w:pPr>
        <w:widowControl/>
        <w:ind w:firstLine="0" w:firstLineChars="0"/>
        <w:rPr>
          <w:rFonts w:ascii="Times New Roman" w:hAnsi="Times New Roman"/>
          <w:color w:val="auto"/>
        </w:rPr>
        <w:sectPr>
          <w:pgSz w:w="16838" w:h="11906" w:orient="landscape"/>
          <w:pgMar w:top="1800" w:right="1440" w:bottom="1800" w:left="1440" w:header="851" w:footer="992" w:gutter="0"/>
          <w:cols w:space="425" w:num="1"/>
          <w:docGrid w:type="lines" w:linePitch="312" w:charSpace="0"/>
        </w:sectPr>
      </w:pPr>
    </w:p>
    <w:p w14:paraId="66BCB36B">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59264" behindDoc="0" locked="0" layoutInCell="1" allowOverlap="1">
            <wp:simplePos x="0" y="0"/>
            <wp:positionH relativeFrom="column">
              <wp:posOffset>160655</wp:posOffset>
            </wp:positionH>
            <wp:positionV relativeFrom="paragraph">
              <wp:posOffset>118110</wp:posOffset>
            </wp:positionV>
            <wp:extent cx="3983990" cy="1835785"/>
            <wp:effectExtent l="0" t="0" r="6985" b="2540"/>
            <wp:wrapTopAndBottom/>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12"/>
                    <a:srcRect l="20060" t="20129" r="15412" b="37824"/>
                    <a:stretch>
                      <a:fillRect/>
                    </a:stretch>
                  </pic:blipFill>
                  <pic:spPr>
                    <a:xfrm>
                      <a:off x="0" y="0"/>
                      <a:ext cx="3983990" cy="1835785"/>
                    </a:xfrm>
                    <a:prstGeom prst="rect">
                      <a:avLst/>
                    </a:prstGeom>
                  </pic:spPr>
                </pic:pic>
              </a:graphicData>
            </a:graphic>
          </wp:anchor>
        </w:drawing>
      </w:r>
      <w:r>
        <w:rPr>
          <w:rFonts w:ascii="Times New Roman" w:hAnsi="Times New Roman"/>
          <w:color w:val="auto"/>
          <w:sz w:val="21"/>
          <w:szCs w:val="21"/>
        </w:rPr>
        <w:t>Figure S1</w:t>
      </w:r>
      <w:r>
        <w:rPr>
          <w:rFonts w:hint="eastAsia" w:ascii="Times New Roman" w:hAnsi="Times New Roman"/>
          <w:color w:val="auto"/>
        </w:rPr>
        <w:t>.</w:t>
      </w:r>
      <w:r>
        <w:rPr>
          <w:rFonts w:ascii="Times New Roman" w:hAnsi="Times New Roman"/>
          <w:color w:val="auto"/>
          <w:sz w:val="21"/>
          <w:szCs w:val="21"/>
        </w:rPr>
        <w:t xml:space="preserve"> Overview of measurement points and Covid-19 related events.</w:t>
      </w:r>
    </w:p>
    <w:p w14:paraId="703BFEFD">
      <w:pPr>
        <w:ind w:firstLine="0" w:firstLineChars="0"/>
        <w:rPr>
          <w:rFonts w:ascii="Times New Roman" w:hAnsi="Times New Roman"/>
          <w:color w:val="auto"/>
          <w:sz w:val="21"/>
          <w:szCs w:val="21"/>
        </w:rPr>
      </w:pPr>
      <w:r>
        <w:rPr>
          <w:rFonts w:ascii="Times New Roman" w:hAnsi="Times New Roman"/>
          <w:color w:val="auto"/>
          <w:sz w:val="21"/>
          <w:szCs w:val="21"/>
        </w:rPr>
        <w:t xml:space="preserve">Note: </w:t>
      </w:r>
    </w:p>
    <w:p w14:paraId="48B2180F">
      <w:pPr>
        <w:ind w:firstLine="0" w:firstLineChars="0"/>
        <w:rPr>
          <w:rFonts w:ascii="Times New Roman" w:hAnsi="Times New Roman"/>
          <w:color w:val="auto"/>
          <w:sz w:val="21"/>
          <w:szCs w:val="21"/>
        </w:rPr>
      </w:pPr>
      <w:r>
        <w:rPr>
          <w:rFonts w:ascii="Times New Roman" w:hAnsi="Times New Roman"/>
          <w:color w:val="auto"/>
          <w:sz w:val="21"/>
          <w:szCs w:val="21"/>
        </w:rPr>
        <w:t>a: China's National Health Commission Issues Announcement renamed Novel Coronavirus Pneumonia to Novel Coronavirus Infection, and had fully lifted the blockade.</w:t>
      </w:r>
    </w:p>
    <w:p w14:paraId="7351E3DE">
      <w:pPr>
        <w:ind w:firstLine="0" w:firstLineChars="0"/>
        <w:rPr>
          <w:rFonts w:ascii="Times New Roman" w:hAnsi="Times New Roman"/>
          <w:color w:val="auto"/>
          <w:sz w:val="21"/>
          <w:szCs w:val="21"/>
        </w:rPr>
      </w:pPr>
      <w:r>
        <w:rPr>
          <w:rFonts w:ascii="Times New Roman" w:hAnsi="Times New Roman"/>
          <w:color w:val="auto"/>
          <w:sz w:val="21"/>
          <w:szCs w:val="21"/>
        </w:rPr>
        <w:t>b: Chinese government fully lifts infectious disease prevention, control measures taken against COVID-19. This followed the last wave of the COVID-19 pandemic in mid-to-late December.</w:t>
      </w:r>
    </w:p>
    <w:p w14:paraId="279FB57C">
      <w:pPr>
        <w:rPr>
          <w:rFonts w:ascii="Times New Roman" w:hAnsi="Times New Roman"/>
          <w:color w:val="auto"/>
          <w:sz w:val="21"/>
          <w:szCs w:val="21"/>
        </w:rPr>
      </w:pPr>
      <w:r>
        <w:rPr>
          <w:rFonts w:ascii="Times New Roman" w:hAnsi="Times New Roman"/>
          <w:color w:val="auto"/>
          <w:sz w:val="21"/>
          <w:szCs w:val="21"/>
        </w:rPr>
        <w:br w:type="page"/>
      </w:r>
    </w:p>
    <w:p w14:paraId="35021703">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65408" behindDoc="0" locked="0" layoutInCell="1" allowOverlap="1">
            <wp:simplePos x="0" y="0"/>
            <wp:positionH relativeFrom="column">
              <wp:posOffset>0</wp:posOffset>
            </wp:positionH>
            <wp:positionV relativeFrom="paragraph">
              <wp:posOffset>100330</wp:posOffset>
            </wp:positionV>
            <wp:extent cx="5272405" cy="6195060"/>
            <wp:effectExtent l="0" t="0" r="4445" b="5715"/>
            <wp:wrapTopAndBottom/>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pic:cNvPicPr>
                  </pic:nvPicPr>
                  <pic:blipFill>
                    <a:blip r:embed="rId13"/>
                    <a:stretch>
                      <a:fillRect/>
                    </a:stretch>
                  </pic:blipFill>
                  <pic:spPr>
                    <a:xfrm>
                      <a:off x="0" y="0"/>
                      <a:ext cx="5272405" cy="6195060"/>
                    </a:xfrm>
                    <a:prstGeom prst="rect">
                      <a:avLst/>
                    </a:prstGeom>
                  </pic:spPr>
                </pic:pic>
              </a:graphicData>
            </a:graphic>
          </wp:anchor>
        </w:drawing>
      </w:r>
      <w:r>
        <w:rPr>
          <w:rFonts w:ascii="Times New Roman" w:hAnsi="Times New Roman"/>
          <w:color w:val="auto"/>
          <w:sz w:val="21"/>
          <w:szCs w:val="21"/>
        </w:rPr>
        <w:t>Figure S2</w:t>
      </w:r>
      <w:r>
        <w:rPr>
          <w:rFonts w:hint="eastAsia" w:ascii="Times New Roman" w:hAnsi="Times New Roman"/>
          <w:color w:val="auto"/>
        </w:rPr>
        <w:t>.</w:t>
      </w:r>
      <w:r>
        <w:rPr>
          <w:rFonts w:ascii="Times New Roman" w:hAnsi="Times New Roman"/>
          <w:color w:val="auto"/>
          <w:sz w:val="21"/>
          <w:szCs w:val="21"/>
        </w:rPr>
        <w:t xml:space="preserve"> Bootstrapped confidence intervals (CIs) around edge weights.</w:t>
      </w:r>
    </w:p>
    <w:p w14:paraId="2C399413">
      <w:pPr>
        <w:ind w:firstLine="0" w:firstLineChars="0"/>
        <w:rPr>
          <w:rFonts w:ascii="Times New Roman" w:hAnsi="Times New Roman"/>
          <w:color w:val="auto"/>
          <w:sz w:val="21"/>
          <w:szCs w:val="21"/>
        </w:rPr>
      </w:pPr>
    </w:p>
    <w:p w14:paraId="37F26968">
      <w:pPr>
        <w:rPr>
          <w:rFonts w:ascii="Times New Roman" w:hAnsi="Times New Roman"/>
          <w:color w:val="auto"/>
          <w:sz w:val="21"/>
          <w:szCs w:val="21"/>
        </w:rPr>
      </w:pPr>
      <w:r>
        <w:rPr>
          <w:rFonts w:ascii="Times New Roman" w:hAnsi="Times New Roman"/>
          <w:color w:val="auto"/>
          <w:sz w:val="21"/>
          <w:szCs w:val="21"/>
        </w:rPr>
        <w:br w:type="page"/>
      </w:r>
    </w:p>
    <w:p w14:paraId="69C27FB7">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64384" behindDoc="0" locked="0" layoutInCell="1" allowOverlap="1">
            <wp:simplePos x="0" y="0"/>
            <wp:positionH relativeFrom="column">
              <wp:posOffset>0</wp:posOffset>
            </wp:positionH>
            <wp:positionV relativeFrom="paragraph">
              <wp:posOffset>129540</wp:posOffset>
            </wp:positionV>
            <wp:extent cx="5306695" cy="4913630"/>
            <wp:effectExtent l="0" t="0" r="8255" b="1270"/>
            <wp:wrapTopAndBottom/>
            <wp:docPr id="3" name="图片 3"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
                    <pic:cNvPicPr>
                      <a:picLocks noChangeAspect="1"/>
                    </pic:cNvPicPr>
                  </pic:nvPicPr>
                  <pic:blipFill>
                    <a:blip r:embed="rId14"/>
                    <a:stretch>
                      <a:fillRect/>
                    </a:stretch>
                  </pic:blipFill>
                  <pic:spPr>
                    <a:xfrm>
                      <a:off x="0" y="0"/>
                      <a:ext cx="5306695" cy="4913630"/>
                    </a:xfrm>
                    <a:prstGeom prst="rect">
                      <a:avLst/>
                    </a:prstGeom>
                  </pic:spPr>
                </pic:pic>
              </a:graphicData>
            </a:graphic>
          </wp:anchor>
        </w:drawing>
      </w:r>
      <w:r>
        <w:rPr>
          <w:rFonts w:ascii="Times New Roman" w:hAnsi="Times New Roman"/>
          <w:color w:val="auto"/>
          <w:sz w:val="21"/>
          <w:szCs w:val="21"/>
        </w:rPr>
        <w:t>Figure S3</w:t>
      </w:r>
      <w:r>
        <w:rPr>
          <w:rFonts w:hint="eastAsia" w:ascii="Times New Roman" w:hAnsi="Times New Roman"/>
          <w:color w:val="auto"/>
        </w:rPr>
        <w:t>.</w:t>
      </w:r>
      <w:r>
        <w:rPr>
          <w:rFonts w:ascii="Times New Roman" w:hAnsi="Times New Roman"/>
          <w:color w:val="auto"/>
          <w:sz w:val="21"/>
          <w:szCs w:val="21"/>
        </w:rPr>
        <w:t xml:space="preserve"> Stability of centrality measures for networks.</w:t>
      </w:r>
    </w:p>
    <w:p w14:paraId="65AA6D83">
      <w:pPr>
        <w:ind w:firstLine="0" w:firstLineChars="0"/>
        <w:rPr>
          <w:rFonts w:ascii="Times New Roman" w:hAnsi="Times New Roman"/>
          <w:color w:val="auto"/>
          <w:sz w:val="21"/>
          <w:szCs w:val="21"/>
        </w:rPr>
      </w:pPr>
    </w:p>
    <w:p w14:paraId="56383938">
      <w:pPr>
        <w:ind w:firstLine="0" w:firstLineChars="0"/>
        <w:rPr>
          <w:rFonts w:ascii="Times New Roman" w:hAnsi="Times New Roman"/>
          <w:color w:val="auto"/>
          <w:sz w:val="21"/>
          <w:szCs w:val="21"/>
        </w:rPr>
      </w:pPr>
    </w:p>
    <w:p w14:paraId="45F7F222">
      <w:pPr>
        <w:rPr>
          <w:rFonts w:ascii="Times New Roman" w:hAnsi="Times New Roman"/>
          <w:color w:val="auto"/>
          <w:sz w:val="21"/>
          <w:szCs w:val="21"/>
        </w:rPr>
      </w:pPr>
      <w:r>
        <w:rPr>
          <w:rFonts w:ascii="Times New Roman" w:hAnsi="Times New Roman"/>
          <w:color w:val="auto"/>
          <w:sz w:val="21"/>
          <w:szCs w:val="21"/>
        </w:rPr>
        <w:br w:type="page"/>
      </w:r>
    </w:p>
    <w:p w14:paraId="5410E58E">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63360" behindDoc="0" locked="0" layoutInCell="1" allowOverlap="1">
            <wp:simplePos x="0" y="0"/>
            <wp:positionH relativeFrom="column">
              <wp:posOffset>-15875</wp:posOffset>
            </wp:positionH>
            <wp:positionV relativeFrom="paragraph">
              <wp:posOffset>106680</wp:posOffset>
            </wp:positionV>
            <wp:extent cx="5271135" cy="6217920"/>
            <wp:effectExtent l="0" t="0" r="5715" b="1905"/>
            <wp:wrapTopAndBottom/>
            <wp:docPr id="4" name="图片 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
                    <pic:cNvPicPr>
                      <a:picLocks noChangeAspect="1"/>
                    </pic:cNvPicPr>
                  </pic:nvPicPr>
                  <pic:blipFill>
                    <a:blip r:embed="rId15"/>
                    <a:stretch>
                      <a:fillRect/>
                    </a:stretch>
                  </pic:blipFill>
                  <pic:spPr>
                    <a:xfrm>
                      <a:off x="0" y="0"/>
                      <a:ext cx="5271135" cy="6217920"/>
                    </a:xfrm>
                    <a:prstGeom prst="rect">
                      <a:avLst/>
                    </a:prstGeom>
                  </pic:spPr>
                </pic:pic>
              </a:graphicData>
            </a:graphic>
          </wp:anchor>
        </w:drawing>
      </w:r>
      <w:r>
        <w:rPr>
          <w:rFonts w:ascii="Times New Roman" w:hAnsi="Times New Roman"/>
          <w:color w:val="auto"/>
          <w:sz w:val="21"/>
          <w:szCs w:val="21"/>
        </w:rPr>
        <w:t>Figure S4</w:t>
      </w:r>
      <w:r>
        <w:rPr>
          <w:rFonts w:hint="eastAsia" w:ascii="Times New Roman" w:hAnsi="Times New Roman"/>
          <w:color w:val="auto"/>
        </w:rPr>
        <w:t>.</w:t>
      </w:r>
      <w:r>
        <w:rPr>
          <w:rFonts w:ascii="Times New Roman" w:hAnsi="Times New Roman"/>
          <w:color w:val="auto"/>
          <w:sz w:val="21"/>
          <w:szCs w:val="21"/>
        </w:rPr>
        <w:t xml:space="preserve"> Bootstrapped difference tests between edge weights in the networks.</w:t>
      </w:r>
    </w:p>
    <w:p w14:paraId="2743654F">
      <w:pPr>
        <w:ind w:firstLine="0" w:firstLineChars="0"/>
        <w:rPr>
          <w:rFonts w:ascii="Times New Roman" w:hAnsi="Times New Roman"/>
          <w:color w:val="auto"/>
          <w:sz w:val="21"/>
          <w:szCs w:val="21"/>
        </w:rPr>
      </w:pPr>
    </w:p>
    <w:p w14:paraId="5F9250AE">
      <w:pPr>
        <w:rPr>
          <w:rFonts w:ascii="Times New Roman" w:hAnsi="Times New Roman"/>
          <w:color w:val="auto"/>
          <w:sz w:val="21"/>
          <w:szCs w:val="21"/>
        </w:rPr>
      </w:pPr>
      <w:r>
        <w:rPr>
          <w:rFonts w:ascii="Times New Roman" w:hAnsi="Times New Roman"/>
          <w:color w:val="auto"/>
          <w:sz w:val="21"/>
          <w:szCs w:val="21"/>
        </w:rPr>
        <w:br w:type="page"/>
      </w:r>
    </w:p>
    <w:p w14:paraId="0B2DF9E8">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62336" behindDoc="0" locked="0" layoutInCell="1" allowOverlap="1">
            <wp:simplePos x="0" y="0"/>
            <wp:positionH relativeFrom="column">
              <wp:posOffset>-26035</wp:posOffset>
            </wp:positionH>
            <wp:positionV relativeFrom="paragraph">
              <wp:posOffset>121285</wp:posOffset>
            </wp:positionV>
            <wp:extent cx="5325110" cy="6281420"/>
            <wp:effectExtent l="0" t="0" r="8890" b="5080"/>
            <wp:wrapTopAndBottom/>
            <wp:docPr id="5" name="图片 5" descr="Figure S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 a"/>
                    <pic:cNvPicPr>
                      <a:picLocks noChangeAspect="1"/>
                    </pic:cNvPicPr>
                  </pic:nvPicPr>
                  <pic:blipFill>
                    <a:blip r:embed="rId16"/>
                    <a:stretch>
                      <a:fillRect/>
                    </a:stretch>
                  </pic:blipFill>
                  <pic:spPr>
                    <a:xfrm>
                      <a:off x="0" y="0"/>
                      <a:ext cx="5325110" cy="6281420"/>
                    </a:xfrm>
                    <a:prstGeom prst="rect">
                      <a:avLst/>
                    </a:prstGeom>
                  </pic:spPr>
                </pic:pic>
              </a:graphicData>
            </a:graphic>
          </wp:anchor>
        </w:drawing>
      </w:r>
      <w:r>
        <w:rPr>
          <w:rFonts w:ascii="Times New Roman" w:hAnsi="Times New Roman"/>
          <w:color w:val="auto"/>
          <w:sz w:val="21"/>
          <w:szCs w:val="21"/>
        </w:rPr>
        <w:t>Figure S5 a</w:t>
      </w:r>
      <w:r>
        <w:rPr>
          <w:rFonts w:hint="eastAsia" w:ascii="Times New Roman" w:hAnsi="Times New Roman"/>
          <w:color w:val="auto"/>
        </w:rPr>
        <w:t>.</w:t>
      </w:r>
      <w:r>
        <w:rPr>
          <w:rFonts w:ascii="Times New Roman" w:hAnsi="Times New Roman"/>
          <w:color w:val="auto"/>
          <w:sz w:val="21"/>
          <w:szCs w:val="21"/>
        </w:rPr>
        <w:t xml:space="preserve"> Bootstrapped difference test of in-Expected influence.</w:t>
      </w:r>
    </w:p>
    <w:p w14:paraId="7DD8F2D3">
      <w:pPr>
        <w:ind w:firstLine="0" w:firstLineChars="0"/>
        <w:rPr>
          <w:rFonts w:ascii="Times New Roman" w:hAnsi="Times New Roman"/>
          <w:color w:val="auto"/>
          <w:sz w:val="21"/>
          <w:szCs w:val="21"/>
        </w:rPr>
      </w:pPr>
    </w:p>
    <w:p w14:paraId="06E875AD">
      <w:pPr>
        <w:rPr>
          <w:rFonts w:ascii="Times New Roman" w:hAnsi="Times New Roman"/>
          <w:color w:val="auto"/>
          <w:sz w:val="21"/>
          <w:szCs w:val="21"/>
        </w:rPr>
      </w:pPr>
      <w:r>
        <w:rPr>
          <w:rFonts w:ascii="Times New Roman" w:hAnsi="Times New Roman"/>
          <w:color w:val="auto"/>
          <w:sz w:val="21"/>
          <w:szCs w:val="21"/>
        </w:rPr>
        <w:br w:type="page"/>
      </w:r>
    </w:p>
    <w:p w14:paraId="1EF72C6A">
      <w:pPr>
        <w:ind w:firstLine="0" w:firstLineChars="0"/>
        <w:rPr>
          <w:rFonts w:ascii="Times New Roman" w:hAnsi="Times New Roman"/>
          <w:color w:val="auto"/>
          <w:sz w:val="21"/>
          <w:szCs w:val="21"/>
        </w:rPr>
      </w:pPr>
      <w:r>
        <w:rPr>
          <w:rFonts w:ascii="Times New Roman" w:hAnsi="Times New Roman"/>
          <w:color w:val="auto"/>
        </w:rPr>
        <w:drawing>
          <wp:anchor distT="0" distB="0" distL="114300" distR="114300" simplePos="0" relativeHeight="251661312" behindDoc="0" locked="0" layoutInCell="1" allowOverlap="1">
            <wp:simplePos x="0" y="0"/>
            <wp:positionH relativeFrom="column">
              <wp:posOffset>-21590</wp:posOffset>
            </wp:positionH>
            <wp:positionV relativeFrom="paragraph">
              <wp:posOffset>112395</wp:posOffset>
            </wp:positionV>
            <wp:extent cx="5271135" cy="6217920"/>
            <wp:effectExtent l="0" t="0" r="5715" b="1905"/>
            <wp:wrapTopAndBottom/>
            <wp:docPr id="6" name="图片 6" descr="Figure S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5 b"/>
                    <pic:cNvPicPr>
                      <a:picLocks noChangeAspect="1"/>
                    </pic:cNvPicPr>
                  </pic:nvPicPr>
                  <pic:blipFill>
                    <a:blip r:embed="rId17"/>
                    <a:stretch>
                      <a:fillRect/>
                    </a:stretch>
                  </pic:blipFill>
                  <pic:spPr>
                    <a:xfrm>
                      <a:off x="0" y="0"/>
                      <a:ext cx="5271135" cy="6217920"/>
                    </a:xfrm>
                    <a:prstGeom prst="rect">
                      <a:avLst/>
                    </a:prstGeom>
                  </pic:spPr>
                </pic:pic>
              </a:graphicData>
            </a:graphic>
          </wp:anchor>
        </w:drawing>
      </w:r>
      <w:r>
        <w:rPr>
          <w:rFonts w:ascii="Times New Roman" w:hAnsi="Times New Roman"/>
          <w:color w:val="auto"/>
          <w:sz w:val="21"/>
          <w:szCs w:val="21"/>
        </w:rPr>
        <w:t>Figure S5 b</w:t>
      </w:r>
      <w:r>
        <w:rPr>
          <w:rFonts w:hint="eastAsia" w:ascii="Times New Roman" w:hAnsi="Times New Roman"/>
          <w:color w:val="auto"/>
        </w:rPr>
        <w:t>.</w:t>
      </w:r>
      <w:r>
        <w:rPr>
          <w:rFonts w:ascii="Times New Roman" w:hAnsi="Times New Roman"/>
          <w:color w:val="auto"/>
          <w:sz w:val="21"/>
          <w:szCs w:val="21"/>
        </w:rPr>
        <w:t xml:space="preserve"> Bootstrapped difference test of out-Expected influence.</w:t>
      </w:r>
    </w:p>
    <w:p w14:paraId="0B6FABB0">
      <w:pPr>
        <w:ind w:firstLine="0" w:firstLineChars="0"/>
        <w:rPr>
          <w:rFonts w:ascii="Times New Roman" w:hAnsi="Times New Roman"/>
          <w:color w:val="auto"/>
          <w:sz w:val="21"/>
          <w:szCs w:val="21"/>
        </w:rPr>
      </w:pPr>
    </w:p>
    <w:p w14:paraId="561A35DC">
      <w:pPr>
        <w:rPr>
          <w:rFonts w:ascii="Times New Roman" w:hAnsi="Times New Roman"/>
          <w:color w:val="auto"/>
          <w:sz w:val="21"/>
          <w:szCs w:val="21"/>
        </w:rPr>
      </w:pPr>
      <w:r>
        <w:rPr>
          <w:rFonts w:ascii="Times New Roman" w:hAnsi="Times New Roman"/>
          <w:color w:val="auto"/>
          <w:sz w:val="21"/>
          <w:szCs w:val="21"/>
        </w:rPr>
        <w:br w:type="page"/>
      </w:r>
    </w:p>
    <w:p w14:paraId="4691183B">
      <w:pPr>
        <w:ind w:firstLine="0" w:firstLineChars="0"/>
        <w:rPr>
          <w:rFonts w:ascii="Times New Roman" w:hAnsi="Times New Roman"/>
          <w:color w:val="auto"/>
          <w:sz w:val="21"/>
          <w:szCs w:val="21"/>
        </w:rPr>
      </w:pPr>
      <w:r>
        <w:rPr>
          <w:rFonts w:ascii="Times New Roman" w:hAnsi="Times New Roman"/>
          <w:color w:val="auto"/>
          <w:lang w:bidi="ar"/>
        </w:rPr>
        <w:drawing>
          <wp:anchor distT="0" distB="0" distL="114300" distR="114300" simplePos="0" relativeHeight="251660288" behindDoc="0" locked="0" layoutInCell="1" allowOverlap="1">
            <wp:simplePos x="0" y="0"/>
            <wp:positionH relativeFrom="column">
              <wp:posOffset>-68580</wp:posOffset>
            </wp:positionH>
            <wp:positionV relativeFrom="paragraph">
              <wp:posOffset>148590</wp:posOffset>
            </wp:positionV>
            <wp:extent cx="5408930" cy="2404110"/>
            <wp:effectExtent l="0" t="0" r="1270" b="5715"/>
            <wp:wrapTopAndBottom/>
            <wp:docPr id="7" name="图片 13" descr="D:/AnetworkanalysisfeatYixiao/TRA/网络分析1008/结果数据/Figure S6.tiff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AnetworkanalysisfeatYixiao/TRA/网络分析1008/结果数据/Figure S6.tiffFigure S6"/>
                    <pic:cNvPicPr>
                      <a:picLocks noChangeAspect="1"/>
                    </pic:cNvPicPr>
                  </pic:nvPicPr>
                  <pic:blipFill>
                    <a:blip r:embed="rId18"/>
                    <a:srcRect l="-277" t="-139" r="92"/>
                    <a:stretch>
                      <a:fillRect/>
                    </a:stretch>
                  </pic:blipFill>
                  <pic:spPr>
                    <a:xfrm>
                      <a:off x="0" y="0"/>
                      <a:ext cx="5408930" cy="2404110"/>
                    </a:xfrm>
                    <a:prstGeom prst="rect">
                      <a:avLst/>
                    </a:prstGeom>
                    <a:noFill/>
                    <a:ln>
                      <a:noFill/>
                    </a:ln>
                  </pic:spPr>
                </pic:pic>
              </a:graphicData>
            </a:graphic>
          </wp:anchor>
        </w:drawing>
      </w:r>
      <w:r>
        <w:rPr>
          <w:rFonts w:ascii="Times New Roman" w:hAnsi="Times New Roman"/>
          <w:color w:val="auto"/>
          <w:sz w:val="21"/>
          <w:szCs w:val="21"/>
          <w:lang w:bidi="ar"/>
        </w:rPr>
        <w:t>Figure S6</w:t>
      </w:r>
      <w:r>
        <w:rPr>
          <w:rFonts w:hint="eastAsia" w:ascii="Times New Roman" w:hAnsi="Times New Roman"/>
          <w:color w:val="auto"/>
          <w:lang w:bidi="ar"/>
        </w:rPr>
        <w:t>.</w:t>
      </w:r>
      <w:r>
        <w:rPr>
          <w:rFonts w:ascii="Times New Roman" w:hAnsi="Times New Roman"/>
          <w:color w:val="auto"/>
          <w:sz w:val="21"/>
          <w:szCs w:val="21"/>
          <w:lang w:bidi="ar"/>
        </w:rPr>
        <w:t xml:space="preserve"> </w:t>
      </w:r>
      <w:r>
        <w:rPr>
          <w:rFonts w:ascii="Times New Roman" w:hAnsi="Times New Roman"/>
          <w:color w:val="auto"/>
          <w:lang w:bidi="ar"/>
        </w:rPr>
        <w:t xml:space="preserve">Network analysis in the group of </w:t>
      </w:r>
      <w:r>
        <w:rPr>
          <w:rFonts w:ascii="Times New Roman" w:hAnsi="Times New Roman"/>
          <w:color w:val="auto"/>
          <w:sz w:val="21"/>
          <w:szCs w:val="21"/>
          <w:lang w:bidi="ar"/>
        </w:rPr>
        <w:t>low</w:t>
      </w:r>
      <w:r>
        <w:rPr>
          <w:rFonts w:ascii="Times New Roman" w:hAnsi="Times New Roman"/>
          <w:color w:val="auto"/>
          <w:lang w:bidi="ar"/>
        </w:rPr>
        <w:t xml:space="preserve"> internet addicts (left) and the group of </w:t>
      </w:r>
      <w:r>
        <w:rPr>
          <w:rFonts w:ascii="Times New Roman" w:hAnsi="Times New Roman"/>
          <w:color w:val="auto"/>
          <w:sz w:val="21"/>
          <w:szCs w:val="21"/>
          <w:lang w:bidi="ar"/>
        </w:rPr>
        <w:t>high</w:t>
      </w:r>
      <w:r>
        <w:rPr>
          <w:rFonts w:ascii="Times New Roman" w:hAnsi="Times New Roman"/>
          <w:color w:val="auto"/>
          <w:lang w:bidi="ar"/>
        </w:rPr>
        <w:t xml:space="preserve"> internet addicts (right)</w:t>
      </w:r>
      <w:r>
        <w:rPr>
          <w:rFonts w:ascii="Times New Roman" w:hAnsi="Times New Roman"/>
          <w:color w:val="auto"/>
          <w:sz w:val="21"/>
          <w:szCs w:val="21"/>
          <w:lang w:bidi="ar"/>
        </w:rPr>
        <w:t xml:space="preserve"> for T1 </w:t>
      </w:r>
      <w:r>
        <w:rPr>
          <w:rFonts w:hint="eastAsia" w:ascii="Times New Roman" w:hAnsi="Times New Roman"/>
          <w:color w:val="auto"/>
          <w:sz w:val="21"/>
          <w:szCs w:val="21"/>
          <w:lang w:bidi="ar"/>
        </w:rPr>
        <w:t>→</w:t>
      </w:r>
      <w:r>
        <w:rPr>
          <w:rFonts w:ascii="Times New Roman" w:hAnsi="Times New Roman"/>
          <w:color w:val="auto"/>
          <w:sz w:val="21"/>
          <w:szCs w:val="21"/>
          <w:lang w:bidi="ar"/>
        </w:rPr>
        <w:t xml:space="preserve"> T2. </w:t>
      </w:r>
      <w:r>
        <w:rPr>
          <w:rFonts w:ascii="Times New Roman" w:hAnsi="Times New Roman"/>
          <w:color w:val="auto"/>
          <w:lang w:bidi="ar"/>
        </w:rPr>
        <w:t>The node from which the arrow departs is a symptom at the moment of T1 and the node to which it points is a symptom at the moment of T2. The connecting line represents the longitudinal relationship between these two symptoms. The thicker edges represent stronger relations.</w:t>
      </w:r>
    </w:p>
    <w:p w14:paraId="24249BB4">
      <w:pPr>
        <w:widowControl/>
        <w:ind w:firstLine="0" w:firstLineChars="0"/>
        <w:rPr>
          <w:rFonts w:ascii="Times New Roman" w:hAnsi="Times New Roman"/>
          <w:color w:val="auto"/>
        </w:rPr>
      </w:pPr>
      <w:r>
        <w:rPr>
          <w:rFonts w:ascii="Times New Roman" w:hAnsi="Times New Roman"/>
          <w:color w:val="auto"/>
        </w:rPr>
        <w:br w:type="page"/>
      </w:r>
    </w:p>
    <w:p w14:paraId="2B761891">
      <w:pPr>
        <w:jc w:val="both"/>
        <w:rPr>
          <w:rFonts w:ascii="Times New Roman" w:hAnsi="Times New Roman"/>
          <w:color w:val="auto"/>
        </w:rPr>
      </w:pPr>
      <w:bookmarkStart w:id="8" w:name="_GoBack"/>
      <w:bookmarkEnd w:id="8"/>
      <w:r>
        <w:rPr>
          <w:rFonts w:hint="default" w:ascii="Times New Roman" w:hAnsi="Times New Roman" w:eastAsia="等线"/>
          <w:color w:val="auto"/>
          <w:szCs w:val="22"/>
          <w:lang w:bidi="ar"/>
        </w:rPr>
        <w:drawing>
          <wp:anchor distT="0" distB="0" distL="114300" distR="114300" simplePos="0" relativeHeight="251666432" behindDoc="0" locked="0" layoutInCell="1" allowOverlap="1">
            <wp:simplePos x="0" y="0"/>
            <wp:positionH relativeFrom="column">
              <wp:posOffset>266700</wp:posOffset>
            </wp:positionH>
            <wp:positionV relativeFrom="paragraph">
              <wp:posOffset>231140</wp:posOffset>
            </wp:positionV>
            <wp:extent cx="2363470" cy="2461895"/>
            <wp:effectExtent l="0" t="0" r="8255" b="5080"/>
            <wp:wrapTopAndBottom/>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19"/>
                    <a:stretch>
                      <a:fillRect/>
                    </a:stretch>
                  </pic:blipFill>
                  <pic:spPr>
                    <a:xfrm>
                      <a:off x="0" y="0"/>
                      <a:ext cx="2363470" cy="2461895"/>
                    </a:xfrm>
                    <a:prstGeom prst="rect">
                      <a:avLst/>
                    </a:prstGeom>
                    <a:noFill/>
                    <a:ln>
                      <a:noFill/>
                    </a:ln>
                  </pic:spPr>
                </pic:pic>
              </a:graphicData>
            </a:graphic>
          </wp:anchor>
        </w:drawing>
      </w:r>
      <w:r>
        <w:rPr>
          <w:rFonts w:hint="default" w:ascii="Times New Roman" w:hAnsi="Times New Roman" w:eastAsia="等线"/>
          <w:color w:val="auto"/>
          <w:szCs w:val="22"/>
          <w:lang w:bidi="ar"/>
        </w:rPr>
        <w:drawing>
          <wp:anchor distT="0" distB="0" distL="114300" distR="114300" simplePos="0" relativeHeight="251667456" behindDoc="0" locked="0" layoutInCell="1" allowOverlap="1">
            <wp:simplePos x="0" y="0"/>
            <wp:positionH relativeFrom="column">
              <wp:posOffset>2723515</wp:posOffset>
            </wp:positionH>
            <wp:positionV relativeFrom="paragraph">
              <wp:posOffset>226060</wp:posOffset>
            </wp:positionV>
            <wp:extent cx="2378075" cy="2486025"/>
            <wp:effectExtent l="0" t="0" r="3175" b="0"/>
            <wp:wrapTopAndBottom/>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0"/>
                    <a:stretch>
                      <a:fillRect/>
                    </a:stretch>
                  </pic:blipFill>
                  <pic:spPr>
                    <a:xfrm>
                      <a:off x="0" y="0"/>
                      <a:ext cx="2378075" cy="2486025"/>
                    </a:xfrm>
                    <a:prstGeom prst="rect">
                      <a:avLst/>
                    </a:prstGeom>
                    <a:noFill/>
                    <a:ln>
                      <a:noFill/>
                    </a:ln>
                  </pic:spPr>
                </pic:pic>
              </a:graphicData>
            </a:graphic>
          </wp:anchor>
        </w:drawing>
      </w:r>
    </w:p>
    <w:p w14:paraId="6C993F4A">
      <w:pPr>
        <w:spacing w:after="312" w:afterLines="100"/>
        <w:ind w:firstLine="0" w:firstLineChars="0"/>
        <w:jc w:val="both"/>
        <w:rPr>
          <w:rFonts w:ascii="Times New Roman" w:hAnsi="Times New Roman"/>
          <w:color w:val="auto"/>
        </w:rPr>
      </w:pPr>
      <w:r>
        <w:rPr>
          <w:rFonts w:ascii="Times New Roman" w:hAnsi="Times New Roman"/>
          <w:color w:val="auto"/>
        </w:rPr>
        <w:t>Figure S7. Bridging effects in the network without PHQ3. Larger values of the 1-step bridge expected influence indicate that a symptom has a stronger effect of directly bridging different domains of symptoms (left). Larger values of the 2-step bridge expected influence indicate that a symptom has a stronger effect of indirectly bridging different domains of symptoms (right).</w:t>
      </w:r>
    </w:p>
    <w:p w14:paraId="4E1DDC73">
      <w:pPr>
        <w:ind w:firstLine="0" w:firstLineChars="0"/>
        <w:rPr>
          <w:rFonts w:ascii="Times New Roman" w:hAnsi="Times New Roman"/>
          <w:color w:val="auto"/>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AD55F">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F8CFA">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B15A">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ind w:firstLine="420"/>
      </w:pPr>
      <w:r>
        <w:separator/>
      </w:r>
    </w:p>
  </w:footnote>
  <w:footnote w:type="continuationSeparator" w:id="1">
    <w:p>
      <w:pPr>
        <w:spacing w:line="48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E95D">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9108">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2D2F1">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Mjg0ZjMyMzU1NDMyZTI3MTNmN2I1ZjBkNmM0ODEifQ=="/>
  </w:docVars>
  <w:rsids>
    <w:rsidRoot w:val="002F0F97"/>
    <w:rsid w:val="000A68B4"/>
    <w:rsid w:val="001062AD"/>
    <w:rsid w:val="00107F4C"/>
    <w:rsid w:val="0016494F"/>
    <w:rsid w:val="00181101"/>
    <w:rsid w:val="002F0F97"/>
    <w:rsid w:val="0033646D"/>
    <w:rsid w:val="00445B58"/>
    <w:rsid w:val="004D390E"/>
    <w:rsid w:val="005025EE"/>
    <w:rsid w:val="006A5547"/>
    <w:rsid w:val="00746F14"/>
    <w:rsid w:val="00803A03"/>
    <w:rsid w:val="00856EF6"/>
    <w:rsid w:val="008B6334"/>
    <w:rsid w:val="009B5F90"/>
    <w:rsid w:val="00A16AC7"/>
    <w:rsid w:val="00A16CE1"/>
    <w:rsid w:val="00A9507E"/>
    <w:rsid w:val="00B14BED"/>
    <w:rsid w:val="00CE0BFF"/>
    <w:rsid w:val="00D4422C"/>
    <w:rsid w:val="00F95644"/>
    <w:rsid w:val="00F967F5"/>
    <w:rsid w:val="01D35547"/>
    <w:rsid w:val="01FB2325"/>
    <w:rsid w:val="02DA47B9"/>
    <w:rsid w:val="034A19A4"/>
    <w:rsid w:val="03E7460F"/>
    <w:rsid w:val="04BC3CA6"/>
    <w:rsid w:val="07E55609"/>
    <w:rsid w:val="09F74B6A"/>
    <w:rsid w:val="0B131E82"/>
    <w:rsid w:val="0B5C7234"/>
    <w:rsid w:val="0EF77800"/>
    <w:rsid w:val="0F5114D9"/>
    <w:rsid w:val="158E1109"/>
    <w:rsid w:val="17B55426"/>
    <w:rsid w:val="19583388"/>
    <w:rsid w:val="1C0E5F9A"/>
    <w:rsid w:val="1F1801C3"/>
    <w:rsid w:val="1F642D26"/>
    <w:rsid w:val="1FDE74C6"/>
    <w:rsid w:val="20682A4B"/>
    <w:rsid w:val="21513BB0"/>
    <w:rsid w:val="25AB59F5"/>
    <w:rsid w:val="28402354"/>
    <w:rsid w:val="2A4E54E8"/>
    <w:rsid w:val="2B3D4837"/>
    <w:rsid w:val="2BBA09D7"/>
    <w:rsid w:val="2BC361A7"/>
    <w:rsid w:val="2C9E28E4"/>
    <w:rsid w:val="2CF41827"/>
    <w:rsid w:val="2D1C704F"/>
    <w:rsid w:val="327D62BB"/>
    <w:rsid w:val="34DF78FF"/>
    <w:rsid w:val="361F4E95"/>
    <w:rsid w:val="3B7145CA"/>
    <w:rsid w:val="3B974891"/>
    <w:rsid w:val="3CE3409D"/>
    <w:rsid w:val="3DDD7113"/>
    <w:rsid w:val="3DF644BA"/>
    <w:rsid w:val="3E8173B8"/>
    <w:rsid w:val="3FFB2F15"/>
    <w:rsid w:val="400973E0"/>
    <w:rsid w:val="402C2ECE"/>
    <w:rsid w:val="426052B1"/>
    <w:rsid w:val="46E422F7"/>
    <w:rsid w:val="48A5597D"/>
    <w:rsid w:val="49AF4BA5"/>
    <w:rsid w:val="4D3F6B37"/>
    <w:rsid w:val="511947C5"/>
    <w:rsid w:val="5259022F"/>
    <w:rsid w:val="55087FAA"/>
    <w:rsid w:val="579112CF"/>
    <w:rsid w:val="58D30F0F"/>
    <w:rsid w:val="5B006CB8"/>
    <w:rsid w:val="5C77634E"/>
    <w:rsid w:val="625E58EA"/>
    <w:rsid w:val="65E63B80"/>
    <w:rsid w:val="663F257E"/>
    <w:rsid w:val="69557A7D"/>
    <w:rsid w:val="69CF3432"/>
    <w:rsid w:val="6B4C0CAC"/>
    <w:rsid w:val="6BA37D93"/>
    <w:rsid w:val="6C15478F"/>
    <w:rsid w:val="6FBF3724"/>
    <w:rsid w:val="7406483D"/>
    <w:rsid w:val="744513BA"/>
    <w:rsid w:val="77AA30F2"/>
    <w:rsid w:val="78141D11"/>
    <w:rsid w:val="785D5F3F"/>
    <w:rsid w:val="7DA36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auto"/>
      <w:ind w:firstLine="420" w:firstLineChars="200"/>
    </w:pPr>
    <w:rPr>
      <w:rFonts w:ascii="Calibri" w:hAnsi="Calibri"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9"/>
    <w:uiPriority w:val="0"/>
    <w:rPr>
      <w:rFonts w:hint="eastAsia" w:ascii="等线" w:hAnsi="等线" w:eastAsia="等线"/>
      <w:szCs w:val="22"/>
    </w:rPr>
  </w:style>
  <w:style w:type="paragraph" w:styleId="4">
    <w:name w:val="footer"/>
    <w:basedOn w:val="1"/>
    <w:link w:val="13"/>
    <w:uiPriority w:val="0"/>
    <w:pPr>
      <w:tabs>
        <w:tab w:val="center" w:pos="4153"/>
        <w:tab w:val="right" w:pos="8306"/>
      </w:tabs>
      <w:snapToGrid w:val="0"/>
      <w:spacing w:line="240" w:lineRule="auto"/>
    </w:pPr>
    <w:rPr>
      <w:sz w:val="18"/>
      <w:szCs w:val="18"/>
    </w:rPr>
  </w:style>
  <w:style w:type="paragraph" w:styleId="5">
    <w:name w:val="header"/>
    <w:basedOn w:val="1"/>
    <w:link w:val="12"/>
    <w:uiPriority w:val="0"/>
    <w:pPr>
      <w:tabs>
        <w:tab w:val="center" w:pos="4153"/>
        <w:tab w:val="right" w:pos="8306"/>
      </w:tabs>
      <w:snapToGrid w:val="0"/>
      <w:spacing w:line="240" w:lineRule="auto"/>
      <w:jc w:val="center"/>
    </w:pPr>
    <w:rPr>
      <w:sz w:val="18"/>
      <w:szCs w:val="18"/>
    </w:rPr>
  </w:style>
  <w:style w:type="character" w:styleId="8">
    <w:name w:val="annotation reference"/>
    <w:basedOn w:val="7"/>
    <w:qFormat/>
    <w:uiPriority w:val="0"/>
    <w:rPr>
      <w:sz w:val="21"/>
      <w:szCs w:val="21"/>
    </w:rPr>
  </w:style>
  <w:style w:type="character" w:customStyle="1" w:styleId="9">
    <w:name w:val="批注文字 字符"/>
    <w:basedOn w:val="7"/>
    <w:link w:val="3"/>
    <w:uiPriority w:val="0"/>
    <w:rPr>
      <w:rFonts w:hint="eastAsia" w:ascii="等线" w:hAnsi="等线" w:eastAsia="等线" w:cs="Times New Roman"/>
      <w:kern w:val="2"/>
      <w:sz w:val="21"/>
      <w:szCs w:val="22"/>
    </w:rPr>
  </w:style>
  <w:style w:type="character" w:customStyle="1" w:styleId="10">
    <w:name w:val="font11"/>
    <w:basedOn w:val="7"/>
    <w:uiPriority w:val="0"/>
    <w:rPr>
      <w:rFonts w:hint="eastAsia" w:ascii="宋体" w:hAnsi="宋体" w:eastAsia="宋体" w:cs="宋体"/>
      <w:color w:val="000000"/>
      <w:sz w:val="22"/>
      <w:szCs w:val="22"/>
      <w:u w:val="none"/>
      <w:vertAlign w:val="superscript"/>
    </w:rPr>
  </w:style>
  <w:style w:type="paragraph" w:customStyle="1" w:styleId="11">
    <w:name w:val="Revision"/>
    <w:hidden/>
    <w:unhideWhenUsed/>
    <w:uiPriority w:val="99"/>
    <w:rPr>
      <w:rFonts w:ascii="Calibri" w:hAnsi="Calibri" w:eastAsia="宋体" w:cs="Times New Roman"/>
      <w:kern w:val="2"/>
      <w:sz w:val="21"/>
      <w:szCs w:val="21"/>
      <w:lang w:val="en-US" w:eastAsia="zh-CN" w:bidi="ar-SA"/>
    </w:rPr>
  </w:style>
  <w:style w:type="character" w:customStyle="1" w:styleId="12">
    <w:name w:val="页眉 字符"/>
    <w:basedOn w:val="7"/>
    <w:link w:val="5"/>
    <w:uiPriority w:val="0"/>
    <w:rPr>
      <w:rFonts w:ascii="Calibri" w:hAnsi="Calibri"/>
      <w:kern w:val="2"/>
      <w:sz w:val="18"/>
      <w:szCs w:val="18"/>
    </w:rPr>
  </w:style>
  <w:style w:type="character" w:customStyle="1" w:styleId="13">
    <w:name w:val="页脚 字符"/>
    <w:basedOn w:val="7"/>
    <w:link w:val="4"/>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tiff"/><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761</Words>
  <Characters>4060</Characters>
  <Lines>149</Lines>
  <Paragraphs>75</Paragraphs>
  <TotalTime>39</TotalTime>
  <ScaleCrop>false</ScaleCrop>
  <LinksUpToDate>false</LinksUpToDate>
  <CharactersWithSpaces>4807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2024-04-16T06:33:00Z</dcterms:created>
  <dc:creator>lenovo</dc:creator>
  <cp:lastModifiedBy>Almitra.龙.</cp:lastModifiedBy>
  <dcterms:modified xsi:type="dcterms:W3CDTF">2025-02-07T16:53:18Z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9029087F1F4541DF99EF9D5A8121F53D_12</vt:lpwstr>
  </property>
  <property fmtid="{D5CDD505-2E9C-101B-9397-08002B2CF9AE}" pid="4" name="GrammarlyDocumentId">
    <vt:lpwstr>36c9467178867cf378fa18c28682b3df2639795bf37aabb42b587c0fc27590e6</vt:lpwstr>
  </property>
  <property fmtid="{D5CDD505-2E9C-101B-9397-08002B2CF9AE}" pid="5" name="KSOTemplateDocerSaveRecord">
    <vt:lpwstr>eyJoZGlkIjoiZWFjMjg0ZjMyMzU1NDMyZTI3MTNmN2I1ZjBkNmM0ODEiLCJ1c2VySWQiOiIzNDEwMjYzMjMifQ==</vt:lpwstr>
  </property>
</Properties>
</file>