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1345" w14:textId="77777777" w:rsidR="000F0EDB" w:rsidRPr="00E35D21" w:rsidRDefault="000F0EDB" w:rsidP="000F0EDB">
      <w:pPr>
        <w:widowContro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Supplemental </w:t>
      </w:r>
      <w:r w:rsidRPr="00E35D21">
        <w:rPr>
          <w:rFonts w:ascii="Times New Roman" w:hAnsi="Times New Roman" w:cs="Times New Roman"/>
          <w:color w:val="000000" w:themeColor="text1"/>
        </w:rPr>
        <w:t>Table 1. Bivariate associations among study variables</w:t>
      </w:r>
    </w:p>
    <w:tbl>
      <w:tblPr>
        <w:tblStyle w:val="TableGrid"/>
        <w:tblW w:w="541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602"/>
        <w:gridCol w:w="687"/>
        <w:gridCol w:w="687"/>
        <w:gridCol w:w="600"/>
        <w:gridCol w:w="517"/>
        <w:gridCol w:w="602"/>
        <w:gridCol w:w="602"/>
        <w:gridCol w:w="602"/>
        <w:gridCol w:w="774"/>
        <w:gridCol w:w="768"/>
      </w:tblGrid>
      <w:tr w:rsidR="000F0EDB" w:rsidRPr="00E35D21" w14:paraId="5F042AEC" w14:textId="77777777" w:rsidTr="00BB01CD">
        <w:trPr>
          <w:trHeight w:val="263"/>
        </w:trPr>
        <w:tc>
          <w:tcPr>
            <w:tcW w:w="18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7E1D14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2E4807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8E247C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1A9120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E3792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E67F55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AFA88F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E25722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357D62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17DDC2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i/>
                <w:color w:val="000000" w:themeColor="text1"/>
              </w:rPr>
              <w:t>M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34E6B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i/>
                <w:color w:val="000000" w:themeColor="text1"/>
              </w:rPr>
              <w:t>SD</w:t>
            </w:r>
          </w:p>
        </w:tc>
      </w:tr>
      <w:tr w:rsidR="000F0EDB" w:rsidRPr="00E35D21" w14:paraId="07EEF83E" w14:textId="77777777" w:rsidTr="00BB01CD">
        <w:trPr>
          <w:trHeight w:val="263"/>
        </w:trPr>
        <w:tc>
          <w:tcPr>
            <w:tcW w:w="1822" w:type="pct"/>
            <w:tcBorders>
              <w:top w:val="single" w:sz="4" w:space="0" w:color="auto"/>
            </w:tcBorders>
            <w:vAlign w:val="center"/>
            <w:hideMark/>
          </w:tcPr>
          <w:p w14:paraId="3DEF8796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1. ISR Combat  Exposure</w:t>
            </w:r>
          </w:p>
        </w:tc>
        <w:tc>
          <w:tcPr>
            <w:tcW w:w="29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93155E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33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4B8E1D8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3BD096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61E06B7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8F45599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084B47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E0CD415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D311E11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05B61E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9.84</w:t>
            </w:r>
          </w:p>
        </w:tc>
        <w:tc>
          <w:tcPr>
            <w:tcW w:w="379" w:type="pct"/>
            <w:tcBorders>
              <w:top w:val="single" w:sz="4" w:space="0" w:color="auto"/>
            </w:tcBorders>
            <w:noWrap/>
            <w:hideMark/>
          </w:tcPr>
          <w:p w14:paraId="7CC7615C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5.20</w:t>
            </w:r>
          </w:p>
        </w:tc>
      </w:tr>
      <w:tr w:rsidR="000F0EDB" w:rsidRPr="00E35D21" w14:paraId="06316326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75B612B3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2. MIEs - Total Score</w:t>
            </w:r>
          </w:p>
        </w:tc>
        <w:tc>
          <w:tcPr>
            <w:tcW w:w="297" w:type="pct"/>
            <w:noWrap/>
            <w:vAlign w:val="center"/>
            <w:hideMark/>
          </w:tcPr>
          <w:p w14:paraId="64F8555C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.28</w:t>
            </w:r>
          </w:p>
        </w:tc>
        <w:tc>
          <w:tcPr>
            <w:tcW w:w="339" w:type="pct"/>
            <w:noWrap/>
            <w:vAlign w:val="center"/>
            <w:hideMark/>
          </w:tcPr>
          <w:p w14:paraId="25EF9FD6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  <w:u w:val="single"/>
              </w:rPr>
              <w:t>.85</w:t>
            </w:r>
          </w:p>
        </w:tc>
        <w:tc>
          <w:tcPr>
            <w:tcW w:w="339" w:type="pct"/>
            <w:noWrap/>
            <w:vAlign w:val="center"/>
            <w:hideMark/>
          </w:tcPr>
          <w:p w14:paraId="74D3A06B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75BE143E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" w:type="pct"/>
            <w:noWrap/>
            <w:vAlign w:val="center"/>
            <w:hideMark/>
          </w:tcPr>
          <w:p w14:paraId="181B739B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702EB621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4B0E125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75E355B8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2D5C6F2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19.58</w:t>
            </w:r>
          </w:p>
        </w:tc>
        <w:tc>
          <w:tcPr>
            <w:tcW w:w="379" w:type="pct"/>
            <w:noWrap/>
            <w:hideMark/>
          </w:tcPr>
          <w:p w14:paraId="4E21EA96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8.26</w:t>
            </w:r>
          </w:p>
        </w:tc>
      </w:tr>
      <w:tr w:rsidR="000F0EDB" w:rsidRPr="00E35D21" w14:paraId="328AC971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2FB55670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3. MIEs – Others Subscale</w:t>
            </w:r>
          </w:p>
        </w:tc>
        <w:tc>
          <w:tcPr>
            <w:tcW w:w="297" w:type="pct"/>
            <w:noWrap/>
            <w:vAlign w:val="center"/>
            <w:hideMark/>
          </w:tcPr>
          <w:p w14:paraId="5AC1D1EA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.37</w:t>
            </w:r>
          </w:p>
        </w:tc>
        <w:tc>
          <w:tcPr>
            <w:tcW w:w="339" w:type="pct"/>
            <w:noWrap/>
            <w:vAlign w:val="center"/>
            <w:hideMark/>
          </w:tcPr>
          <w:p w14:paraId="589EE5EF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.75</w:t>
            </w:r>
          </w:p>
        </w:tc>
        <w:tc>
          <w:tcPr>
            <w:tcW w:w="339" w:type="pct"/>
            <w:noWrap/>
            <w:vAlign w:val="center"/>
            <w:hideMark/>
          </w:tcPr>
          <w:p w14:paraId="62E7D93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6</w:t>
            </w:r>
            <w:r w:rsidRPr="00E35D21">
              <w:rPr>
                <w:rFonts w:ascii="Times New Roman" w:hAnsi="Times New Roman" w:cs="Times New Roman"/>
                <w:color w:val="000000" w:themeColor="text1"/>
                <w:u w:val="single"/>
              </w:rPr>
              <w:t>5</w:t>
            </w:r>
          </w:p>
        </w:tc>
        <w:tc>
          <w:tcPr>
            <w:tcW w:w="296" w:type="pct"/>
            <w:noWrap/>
            <w:vAlign w:val="center"/>
            <w:hideMark/>
          </w:tcPr>
          <w:p w14:paraId="7383FEB2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" w:type="pct"/>
            <w:noWrap/>
            <w:vAlign w:val="center"/>
            <w:hideMark/>
          </w:tcPr>
          <w:p w14:paraId="29CEE0F6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0098FF3C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0884475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55B0897A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7096E24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7.79</w:t>
            </w:r>
          </w:p>
        </w:tc>
        <w:tc>
          <w:tcPr>
            <w:tcW w:w="379" w:type="pct"/>
            <w:noWrap/>
            <w:vAlign w:val="center"/>
            <w:hideMark/>
          </w:tcPr>
          <w:p w14:paraId="677299FF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3.52</w:t>
            </w:r>
          </w:p>
        </w:tc>
      </w:tr>
      <w:tr w:rsidR="000F0EDB" w:rsidRPr="00E35D21" w14:paraId="2E044D68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115ECCEB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4. MIEs – Self Subscale</w:t>
            </w:r>
          </w:p>
        </w:tc>
        <w:tc>
          <w:tcPr>
            <w:tcW w:w="297" w:type="pct"/>
            <w:noWrap/>
            <w:vAlign w:val="center"/>
            <w:hideMark/>
          </w:tcPr>
          <w:p w14:paraId="7CE8172E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.15</w:t>
            </w:r>
          </w:p>
        </w:tc>
        <w:tc>
          <w:tcPr>
            <w:tcW w:w="339" w:type="pct"/>
            <w:noWrap/>
            <w:vAlign w:val="center"/>
            <w:hideMark/>
          </w:tcPr>
          <w:p w14:paraId="6ECE284F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.83</w:t>
            </w:r>
          </w:p>
        </w:tc>
        <w:tc>
          <w:tcPr>
            <w:tcW w:w="339" w:type="pct"/>
            <w:noWrap/>
            <w:vAlign w:val="center"/>
            <w:hideMark/>
          </w:tcPr>
          <w:p w14:paraId="75ED4E6A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.41</w:t>
            </w:r>
          </w:p>
        </w:tc>
        <w:tc>
          <w:tcPr>
            <w:tcW w:w="296" w:type="pct"/>
            <w:noWrap/>
            <w:vAlign w:val="center"/>
            <w:hideMark/>
          </w:tcPr>
          <w:p w14:paraId="2BE6321E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90</w:t>
            </w:r>
          </w:p>
        </w:tc>
        <w:tc>
          <w:tcPr>
            <w:tcW w:w="255" w:type="pct"/>
            <w:noWrap/>
            <w:vAlign w:val="center"/>
            <w:hideMark/>
          </w:tcPr>
          <w:p w14:paraId="391D7B3F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3B0DEB4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20075F3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55DC1D0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7851F519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6.44</w:t>
            </w:r>
          </w:p>
        </w:tc>
        <w:tc>
          <w:tcPr>
            <w:tcW w:w="379" w:type="pct"/>
            <w:noWrap/>
            <w:vAlign w:val="center"/>
            <w:hideMark/>
          </w:tcPr>
          <w:p w14:paraId="7B34A754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3.73</w:t>
            </w:r>
          </w:p>
        </w:tc>
      </w:tr>
      <w:tr w:rsidR="000F0EDB" w:rsidRPr="00E35D21" w14:paraId="58F2E55D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761A6D6A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5. MIEs – Betrayal Subscale</w:t>
            </w:r>
          </w:p>
        </w:tc>
        <w:tc>
          <w:tcPr>
            <w:tcW w:w="297" w:type="pct"/>
            <w:noWrap/>
            <w:vAlign w:val="center"/>
            <w:hideMark/>
          </w:tcPr>
          <w:p w14:paraId="6EE46527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.15</w:t>
            </w:r>
          </w:p>
        </w:tc>
        <w:tc>
          <w:tcPr>
            <w:tcW w:w="339" w:type="pct"/>
            <w:noWrap/>
            <w:vAlign w:val="center"/>
            <w:hideMark/>
          </w:tcPr>
          <w:p w14:paraId="4B098DDE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.78</w:t>
            </w:r>
          </w:p>
        </w:tc>
        <w:tc>
          <w:tcPr>
            <w:tcW w:w="339" w:type="pct"/>
            <w:noWrap/>
            <w:vAlign w:val="center"/>
            <w:hideMark/>
          </w:tcPr>
          <w:p w14:paraId="48944B8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.36</w:t>
            </w:r>
          </w:p>
        </w:tc>
        <w:tc>
          <w:tcPr>
            <w:tcW w:w="296" w:type="pct"/>
            <w:noWrap/>
            <w:vAlign w:val="center"/>
            <w:hideMark/>
          </w:tcPr>
          <w:p w14:paraId="7C213CC5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.53</w:t>
            </w:r>
          </w:p>
        </w:tc>
        <w:tc>
          <w:tcPr>
            <w:tcW w:w="255" w:type="pct"/>
            <w:noWrap/>
            <w:vAlign w:val="center"/>
            <w:hideMark/>
          </w:tcPr>
          <w:p w14:paraId="2225588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  <w:u w:val="single"/>
              </w:rPr>
              <w:t>.8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</w:p>
        </w:tc>
        <w:tc>
          <w:tcPr>
            <w:tcW w:w="297" w:type="pct"/>
            <w:noWrap/>
            <w:vAlign w:val="center"/>
            <w:hideMark/>
          </w:tcPr>
          <w:p w14:paraId="0DC178A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523F4B9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61435896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6FAA5AF1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5.35</w:t>
            </w:r>
          </w:p>
        </w:tc>
        <w:tc>
          <w:tcPr>
            <w:tcW w:w="379" w:type="pct"/>
            <w:noWrap/>
            <w:vAlign w:val="center"/>
            <w:hideMark/>
          </w:tcPr>
          <w:p w14:paraId="756FB154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3.20</w:t>
            </w:r>
          </w:p>
        </w:tc>
      </w:tr>
      <w:tr w:rsidR="000F0EDB" w:rsidRPr="00E35D21" w14:paraId="7A6303D0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795618BE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6. PCL-5 Total Score</w:t>
            </w:r>
          </w:p>
        </w:tc>
        <w:tc>
          <w:tcPr>
            <w:tcW w:w="297" w:type="pct"/>
            <w:noWrap/>
            <w:vAlign w:val="center"/>
            <w:hideMark/>
          </w:tcPr>
          <w:p w14:paraId="770029CE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.18</w:t>
            </w:r>
          </w:p>
        </w:tc>
        <w:tc>
          <w:tcPr>
            <w:tcW w:w="339" w:type="pct"/>
            <w:noWrap/>
            <w:vAlign w:val="center"/>
            <w:hideMark/>
          </w:tcPr>
          <w:p w14:paraId="5C50BC8B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.55</w:t>
            </w:r>
          </w:p>
        </w:tc>
        <w:tc>
          <w:tcPr>
            <w:tcW w:w="339" w:type="pct"/>
            <w:noWrap/>
            <w:vAlign w:val="center"/>
            <w:hideMark/>
          </w:tcPr>
          <w:p w14:paraId="205E125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.30</w:t>
            </w:r>
          </w:p>
        </w:tc>
        <w:tc>
          <w:tcPr>
            <w:tcW w:w="296" w:type="pct"/>
            <w:noWrap/>
            <w:vAlign w:val="center"/>
            <w:hideMark/>
          </w:tcPr>
          <w:p w14:paraId="53F15D87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.49</w:t>
            </w:r>
          </w:p>
        </w:tc>
        <w:tc>
          <w:tcPr>
            <w:tcW w:w="255" w:type="pct"/>
            <w:noWrap/>
            <w:vAlign w:val="center"/>
            <w:hideMark/>
          </w:tcPr>
          <w:p w14:paraId="6D9DF568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.51</w:t>
            </w:r>
          </w:p>
        </w:tc>
        <w:tc>
          <w:tcPr>
            <w:tcW w:w="297" w:type="pct"/>
            <w:noWrap/>
            <w:vAlign w:val="center"/>
            <w:hideMark/>
          </w:tcPr>
          <w:p w14:paraId="5FDC902A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35D2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9</w:t>
            </w:r>
            <w:r w:rsidRPr="00E35D2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5</w:t>
            </w:r>
          </w:p>
        </w:tc>
        <w:tc>
          <w:tcPr>
            <w:tcW w:w="297" w:type="pct"/>
            <w:noWrap/>
            <w:vAlign w:val="center"/>
            <w:hideMark/>
          </w:tcPr>
          <w:p w14:paraId="2B937EF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noWrap/>
            <w:vAlign w:val="center"/>
            <w:hideMark/>
          </w:tcPr>
          <w:p w14:paraId="547B80AF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21048C13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8.95</w:t>
            </w:r>
          </w:p>
        </w:tc>
        <w:tc>
          <w:tcPr>
            <w:tcW w:w="379" w:type="pct"/>
            <w:noWrap/>
            <w:vAlign w:val="center"/>
            <w:hideMark/>
          </w:tcPr>
          <w:p w14:paraId="467E67DB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12.40</w:t>
            </w:r>
          </w:p>
        </w:tc>
      </w:tr>
      <w:tr w:rsidR="000F0EDB" w:rsidRPr="00E35D21" w14:paraId="13AD0700" w14:textId="77777777" w:rsidTr="00BB01CD">
        <w:trPr>
          <w:trHeight w:val="263"/>
        </w:trPr>
        <w:tc>
          <w:tcPr>
            <w:tcW w:w="1822" w:type="pct"/>
            <w:vAlign w:val="center"/>
            <w:hideMark/>
          </w:tcPr>
          <w:p w14:paraId="439638CD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7. Months in ISR</w:t>
            </w:r>
          </w:p>
        </w:tc>
        <w:tc>
          <w:tcPr>
            <w:tcW w:w="297" w:type="pct"/>
            <w:noWrap/>
            <w:vAlign w:val="center"/>
            <w:hideMark/>
          </w:tcPr>
          <w:p w14:paraId="750DDC39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.30</w:t>
            </w:r>
          </w:p>
        </w:tc>
        <w:tc>
          <w:tcPr>
            <w:tcW w:w="339" w:type="pct"/>
            <w:noWrap/>
            <w:vAlign w:val="center"/>
            <w:hideMark/>
          </w:tcPr>
          <w:p w14:paraId="2FC6690D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color w:val="000000" w:themeColor="text1"/>
              </w:rPr>
              <w:t>.14</w:t>
            </w:r>
          </w:p>
        </w:tc>
        <w:tc>
          <w:tcPr>
            <w:tcW w:w="339" w:type="pct"/>
            <w:noWrap/>
            <w:vAlign w:val="center"/>
            <w:hideMark/>
          </w:tcPr>
          <w:p w14:paraId="69B8D264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color w:val="000000" w:themeColor="text1"/>
              </w:rPr>
              <w:t>.19</w:t>
            </w:r>
          </w:p>
        </w:tc>
        <w:tc>
          <w:tcPr>
            <w:tcW w:w="296" w:type="pct"/>
            <w:noWrap/>
            <w:vAlign w:val="center"/>
            <w:hideMark/>
          </w:tcPr>
          <w:p w14:paraId="726C28C8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255" w:type="pct"/>
            <w:noWrap/>
            <w:vAlign w:val="center"/>
            <w:hideMark/>
          </w:tcPr>
          <w:p w14:paraId="3A65746C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.14</w:t>
            </w:r>
          </w:p>
        </w:tc>
        <w:tc>
          <w:tcPr>
            <w:tcW w:w="297" w:type="pct"/>
            <w:noWrap/>
            <w:vAlign w:val="center"/>
            <w:hideMark/>
          </w:tcPr>
          <w:p w14:paraId="61301F23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Cs/>
                <w:color w:val="000000" w:themeColor="text1"/>
              </w:rPr>
              <w:t>.01</w:t>
            </w:r>
          </w:p>
        </w:tc>
        <w:tc>
          <w:tcPr>
            <w:tcW w:w="297" w:type="pct"/>
            <w:noWrap/>
            <w:vAlign w:val="center"/>
            <w:hideMark/>
          </w:tcPr>
          <w:p w14:paraId="0E275BA2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97" w:type="pct"/>
            <w:noWrap/>
            <w:vAlign w:val="center"/>
            <w:hideMark/>
          </w:tcPr>
          <w:p w14:paraId="16F30822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048BAF43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41.79</w:t>
            </w:r>
          </w:p>
        </w:tc>
        <w:tc>
          <w:tcPr>
            <w:tcW w:w="379" w:type="pct"/>
            <w:noWrap/>
            <w:vAlign w:val="center"/>
            <w:hideMark/>
          </w:tcPr>
          <w:p w14:paraId="7DCF4593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44.65</w:t>
            </w:r>
          </w:p>
        </w:tc>
      </w:tr>
      <w:tr w:rsidR="000F0EDB" w:rsidRPr="00E35D21" w14:paraId="4BE5C047" w14:textId="77777777" w:rsidTr="00BB01CD">
        <w:trPr>
          <w:trHeight w:val="263"/>
        </w:trPr>
        <w:tc>
          <w:tcPr>
            <w:tcW w:w="1822" w:type="pct"/>
            <w:vAlign w:val="center"/>
          </w:tcPr>
          <w:p w14:paraId="6FF2425F" w14:textId="77777777" w:rsidR="000F0EDB" w:rsidRPr="00E35D21" w:rsidRDefault="000F0EDB" w:rsidP="00BB01CD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8. Gender (0 = men; 1 = women)</w:t>
            </w:r>
          </w:p>
        </w:tc>
        <w:tc>
          <w:tcPr>
            <w:tcW w:w="297" w:type="pct"/>
            <w:noWrap/>
            <w:vAlign w:val="center"/>
          </w:tcPr>
          <w:p w14:paraId="3BE91945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-.18</w:t>
            </w:r>
          </w:p>
        </w:tc>
        <w:tc>
          <w:tcPr>
            <w:tcW w:w="339" w:type="pct"/>
            <w:noWrap/>
            <w:vAlign w:val="center"/>
          </w:tcPr>
          <w:p w14:paraId="787B2F2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-.06</w:t>
            </w:r>
          </w:p>
        </w:tc>
        <w:tc>
          <w:tcPr>
            <w:tcW w:w="339" w:type="pct"/>
            <w:noWrap/>
            <w:vAlign w:val="center"/>
          </w:tcPr>
          <w:p w14:paraId="28CBCE45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-.12</w:t>
            </w:r>
          </w:p>
        </w:tc>
        <w:tc>
          <w:tcPr>
            <w:tcW w:w="296" w:type="pct"/>
            <w:noWrap/>
            <w:vAlign w:val="center"/>
          </w:tcPr>
          <w:p w14:paraId="2DB4F96B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-.02</w:t>
            </w:r>
          </w:p>
        </w:tc>
        <w:tc>
          <w:tcPr>
            <w:tcW w:w="255" w:type="pct"/>
            <w:noWrap/>
            <w:vAlign w:val="center"/>
          </w:tcPr>
          <w:p w14:paraId="12D15B3C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Cs/>
                <w:color w:val="000000" w:themeColor="text1"/>
              </w:rPr>
              <w:t>.01</w:t>
            </w:r>
          </w:p>
        </w:tc>
        <w:tc>
          <w:tcPr>
            <w:tcW w:w="297" w:type="pct"/>
            <w:noWrap/>
            <w:vAlign w:val="center"/>
          </w:tcPr>
          <w:p w14:paraId="04A5CCB7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Cs/>
                <w:color w:val="000000" w:themeColor="text1"/>
              </w:rPr>
              <w:t>.02</w:t>
            </w:r>
          </w:p>
        </w:tc>
        <w:tc>
          <w:tcPr>
            <w:tcW w:w="297" w:type="pct"/>
            <w:noWrap/>
            <w:vAlign w:val="center"/>
          </w:tcPr>
          <w:p w14:paraId="67AB39A2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bCs/>
                <w:color w:val="000000" w:themeColor="text1"/>
              </w:rPr>
              <w:t>-.11</w:t>
            </w:r>
          </w:p>
        </w:tc>
        <w:tc>
          <w:tcPr>
            <w:tcW w:w="297" w:type="pct"/>
            <w:noWrap/>
            <w:vAlign w:val="center"/>
          </w:tcPr>
          <w:p w14:paraId="2ECEDBB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382" w:type="pct"/>
            <w:noWrap/>
            <w:vAlign w:val="center"/>
          </w:tcPr>
          <w:p w14:paraId="50CEAEA0" w14:textId="77777777" w:rsidR="000F0EDB" w:rsidRPr="00E35D21" w:rsidRDefault="000F0EDB" w:rsidP="00BB01CD">
            <w:pPr>
              <w:widowControl w:val="0"/>
              <w:tabs>
                <w:tab w:val="decimal" w:pos="17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379" w:type="pct"/>
            <w:noWrap/>
            <w:vAlign w:val="center"/>
          </w:tcPr>
          <w:p w14:paraId="240E191A" w14:textId="77777777" w:rsidR="000F0EDB" w:rsidRPr="00E35D21" w:rsidRDefault="000F0EDB" w:rsidP="00BB01C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D21">
              <w:rPr>
                <w:rFonts w:ascii="Times New Roman" w:hAnsi="Times New Roman" w:cs="Times New Roman"/>
                <w:color w:val="000000" w:themeColor="text1"/>
              </w:rPr>
              <w:t>0.45</w:t>
            </w:r>
          </w:p>
        </w:tc>
      </w:tr>
    </w:tbl>
    <w:p w14:paraId="480E48B9" w14:textId="77777777" w:rsidR="000F0EDB" w:rsidRPr="00E35D21" w:rsidRDefault="000F0EDB" w:rsidP="000F0EDB">
      <w:pPr>
        <w:widowControl w:val="0"/>
        <w:rPr>
          <w:rFonts w:ascii="Times New Roman" w:hAnsi="Times New Roman" w:cs="Times New Roman"/>
          <w:color w:val="000000" w:themeColor="text1"/>
        </w:rPr>
      </w:pPr>
      <w:r w:rsidRPr="00E35D21">
        <w:rPr>
          <w:rFonts w:ascii="Times New Roman" w:hAnsi="Times New Roman" w:cs="Times New Roman"/>
          <w:i/>
          <w:color w:val="000000" w:themeColor="text1"/>
        </w:rPr>
        <w:t>Note</w:t>
      </w:r>
      <w:r w:rsidRPr="00E35D21">
        <w:rPr>
          <w:rFonts w:ascii="Times New Roman" w:hAnsi="Times New Roman" w:cs="Times New Roman"/>
          <w:color w:val="000000" w:themeColor="text1"/>
        </w:rPr>
        <w:t>. Significant correlations (</w:t>
      </w:r>
      <w:r w:rsidRPr="00E35D21">
        <w:rPr>
          <w:rFonts w:ascii="Times New Roman" w:hAnsi="Times New Roman" w:cs="Times New Roman"/>
          <w:i/>
          <w:color w:val="000000" w:themeColor="text1"/>
        </w:rPr>
        <w:t>p</w:t>
      </w:r>
      <w:r w:rsidRPr="00E35D21">
        <w:rPr>
          <w:rFonts w:ascii="Times New Roman" w:hAnsi="Times New Roman" w:cs="Times New Roman"/>
          <w:color w:val="000000" w:themeColor="text1"/>
        </w:rPr>
        <w:t>&lt;.05) are bolded for emphasis. Cronbach’s alphas are underlined and shown on the diagonals.</w:t>
      </w:r>
    </w:p>
    <w:p w14:paraId="6708AE62" w14:textId="77777777" w:rsidR="000F0EDB" w:rsidRDefault="000F0EDB" w:rsidP="000F0EDB">
      <w:pPr>
        <w:widowControl w:val="0"/>
        <w:spacing w:line="240" w:lineRule="exact"/>
        <w:ind w:right="-108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316C2E3" w14:textId="77777777" w:rsidR="000F0EDB" w:rsidRPr="00E35D21" w:rsidRDefault="000F0EDB" w:rsidP="000F0EDB">
      <w:pPr>
        <w:widowControl w:val="0"/>
        <w:spacing w:line="240" w:lineRule="exact"/>
        <w:ind w:right="-108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7627DF0" w14:textId="77777777" w:rsidR="000F0EDB" w:rsidRDefault="000F0EDB"/>
    <w:sectPr w:rsidR="000F0EDB" w:rsidSect="000F0EDB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8D03" w14:textId="77777777" w:rsidR="00596975" w:rsidRDefault="00596975">
      <w:r>
        <w:separator/>
      </w:r>
    </w:p>
  </w:endnote>
  <w:endnote w:type="continuationSeparator" w:id="0">
    <w:p w14:paraId="4C87F473" w14:textId="77777777" w:rsidR="00596975" w:rsidRDefault="0059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77649" w14:textId="77777777" w:rsidR="00596975" w:rsidRDefault="00596975">
      <w:r>
        <w:separator/>
      </w:r>
    </w:p>
  </w:footnote>
  <w:footnote w:type="continuationSeparator" w:id="0">
    <w:p w14:paraId="2BB27144" w14:textId="77777777" w:rsidR="00596975" w:rsidRDefault="0059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5DC6" w14:textId="77777777" w:rsidR="00A56082" w:rsidRPr="007E3E6C" w:rsidRDefault="00CB44AC" w:rsidP="007E3E6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REMOTE EXPOSURE TO TRAUAMA AND MORALLY INJURIOUS EXPERIENCES</w:t>
    </w:r>
    <w:r w:rsidRPr="007E3E6C">
      <w:rPr>
        <w:rFonts w:ascii="Times New Roman" w:hAnsi="Times New Roman" w:cs="Times New Roman"/>
      </w:rPr>
      <w:t xml:space="preserve"> </w:t>
    </w:r>
    <w:r w:rsidRPr="007E3E6C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20854839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E3E6C">
          <w:rPr>
            <w:rFonts w:ascii="Times New Roman" w:hAnsi="Times New Roman" w:cs="Times New Roman"/>
          </w:rPr>
          <w:fldChar w:fldCharType="begin"/>
        </w:r>
        <w:r w:rsidRPr="007E3E6C">
          <w:rPr>
            <w:rFonts w:ascii="Times New Roman" w:hAnsi="Times New Roman" w:cs="Times New Roman"/>
          </w:rPr>
          <w:instrText xml:space="preserve"> PAGE   \* MERGEFORMAT </w:instrText>
        </w:r>
        <w:r w:rsidRPr="007E3E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7E3E6C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8FD5091" w14:textId="77777777" w:rsidR="00A56082" w:rsidRDefault="00596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3997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73C3EE" w14:textId="77777777" w:rsidR="00A56082" w:rsidRPr="007E3E6C" w:rsidRDefault="00CB44AC" w:rsidP="007E3E6C">
        <w:pPr>
          <w:pStyle w:val="Header"/>
          <w:rPr>
            <w:rFonts w:ascii="Times New Roman" w:hAnsi="Times New Roman" w:cs="Times New Roman"/>
          </w:rPr>
        </w:pPr>
        <w:r w:rsidRPr="007E3E6C">
          <w:rPr>
            <w:rFonts w:ascii="Times New Roman" w:hAnsi="Times New Roman" w:cs="Times New Roman"/>
          </w:rPr>
          <w:t>Running head:</w:t>
        </w:r>
        <w:r>
          <w:rPr>
            <w:rFonts w:ascii="Times New Roman" w:hAnsi="Times New Roman" w:cs="Times New Roman"/>
          </w:rPr>
          <w:t xml:space="preserve"> FEAR OF NEGATIVE EVALUATION AND IMPULSIVITY</w:t>
        </w:r>
        <w:r>
          <w:rPr>
            <w:rFonts w:ascii="Times New Roman" w:hAnsi="Times New Roman" w:cs="Times New Roman"/>
          </w:rPr>
          <w:tab/>
        </w:r>
        <w:r w:rsidRPr="007E3E6C">
          <w:rPr>
            <w:rFonts w:ascii="Times New Roman" w:hAnsi="Times New Roman" w:cs="Times New Roman"/>
          </w:rPr>
          <w:t xml:space="preserve"> </w:t>
        </w:r>
        <w:r w:rsidRPr="007E3E6C">
          <w:rPr>
            <w:rFonts w:ascii="Times New Roman" w:hAnsi="Times New Roman" w:cs="Times New Roman"/>
          </w:rPr>
          <w:fldChar w:fldCharType="begin"/>
        </w:r>
        <w:r w:rsidRPr="007E3E6C">
          <w:rPr>
            <w:rFonts w:ascii="Times New Roman" w:hAnsi="Times New Roman" w:cs="Times New Roman"/>
          </w:rPr>
          <w:instrText xml:space="preserve"> PAGE   \* MERGEFORMAT </w:instrText>
        </w:r>
        <w:r w:rsidRPr="007E3E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7E3E6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0303250" w14:textId="77777777" w:rsidR="00A56082" w:rsidRDefault="00596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DB"/>
    <w:rsid w:val="000F0EDB"/>
    <w:rsid w:val="00596975"/>
    <w:rsid w:val="00CB44AC"/>
    <w:rsid w:val="00D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4E7B"/>
  <w15:chartTrackingRefBased/>
  <w15:docId w15:val="{B49F9BAC-FBAA-4E27-A5C0-CB68E68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D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EDB"/>
    <w:rPr>
      <w:sz w:val="24"/>
      <w:szCs w:val="24"/>
    </w:rPr>
  </w:style>
  <w:style w:type="table" w:styleId="TableGrid">
    <w:name w:val="Table Grid"/>
    <w:basedOn w:val="TableNormal"/>
    <w:uiPriority w:val="39"/>
    <w:rsid w:val="000F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Kelley</dc:creator>
  <cp:keywords/>
  <dc:description/>
  <cp:lastModifiedBy>Ouellette, Anthony</cp:lastModifiedBy>
  <cp:revision>2</cp:revision>
  <dcterms:created xsi:type="dcterms:W3CDTF">2021-01-29T20:22:00Z</dcterms:created>
  <dcterms:modified xsi:type="dcterms:W3CDTF">2021-01-29T20:22:00Z</dcterms:modified>
</cp:coreProperties>
</file>