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5A5F0" w14:textId="5855660C" w:rsidR="008A196F" w:rsidRPr="009B5E9C" w:rsidRDefault="007B4509" w:rsidP="00A90828">
      <w:pPr>
        <w:spacing w:line="480" w:lineRule="auto"/>
        <w:ind w:hanging="720"/>
        <w:jc w:val="center"/>
        <w:rPr>
          <w:b/>
          <w:bCs/>
          <w:color w:val="000000" w:themeColor="text1"/>
        </w:rPr>
      </w:pPr>
      <w:r w:rsidRPr="009B5E9C">
        <w:rPr>
          <w:b/>
          <w:bCs/>
          <w:color w:val="000000" w:themeColor="text1"/>
        </w:rPr>
        <w:t>Supplemental Material</w:t>
      </w:r>
      <w:r w:rsidR="00A90828" w:rsidRPr="009B5E9C">
        <w:rPr>
          <w:b/>
          <w:bCs/>
          <w:color w:val="000000" w:themeColor="text1"/>
        </w:rPr>
        <w:t>s S2</w:t>
      </w:r>
    </w:p>
    <w:p w14:paraId="4C676FCA" w14:textId="72743246" w:rsidR="0026160D" w:rsidRPr="009B5E9C" w:rsidRDefault="0026160D" w:rsidP="00A90828">
      <w:pPr>
        <w:spacing w:line="480" w:lineRule="auto"/>
        <w:ind w:hanging="720"/>
        <w:jc w:val="center"/>
        <w:rPr>
          <w:b/>
          <w:bCs/>
          <w:color w:val="000000" w:themeColor="text1"/>
        </w:rPr>
      </w:pPr>
      <w:r w:rsidRPr="009B5E9C">
        <w:rPr>
          <w:b/>
          <w:bCs/>
          <w:color w:val="000000" w:themeColor="text1"/>
        </w:rPr>
        <w:t xml:space="preserve"> Supplemental References </w:t>
      </w:r>
    </w:p>
    <w:p w14:paraId="3CE4B227" w14:textId="77777777" w:rsidR="00151834" w:rsidRPr="009B5E9C" w:rsidRDefault="00151834" w:rsidP="00A90828">
      <w:pPr>
        <w:pStyle w:val="CommentText"/>
        <w:spacing w:line="480" w:lineRule="auto"/>
        <w:rPr>
          <w:rFonts w:ascii="Times New Roman" w:hAnsi="Times New Roman" w:cs="Times New Roman"/>
        </w:rPr>
      </w:pPr>
    </w:p>
    <w:p w14:paraId="1A42E064" w14:textId="557E25B2" w:rsidR="00457364" w:rsidRPr="009B5E9C" w:rsidRDefault="00151834" w:rsidP="004D63C2">
      <w:pPr>
        <w:spacing w:line="480" w:lineRule="auto"/>
        <w:ind w:firstLine="720"/>
        <w:rPr>
          <w:rFonts w:eastAsiaTheme="minorEastAsia"/>
        </w:rPr>
      </w:pPr>
      <w:r w:rsidRPr="009B5E9C">
        <w:rPr>
          <w:rFonts w:eastAsiaTheme="minorEastAsia"/>
        </w:rPr>
        <w:t xml:space="preserve">In preparing this paper, we consulted numerous scholarly works across several inter-dependent domains, including health literacy, language barriers, psycholinguistics, and bilingualism. Due to space limitations, we could not reference all works in the main text of the document. Here, we provide a list of supplementary works from each domain. </w:t>
      </w:r>
    </w:p>
    <w:p w14:paraId="39C4F0E0" w14:textId="6378F554" w:rsidR="003B498E" w:rsidRPr="009B5E9C" w:rsidRDefault="003B498E" w:rsidP="00457364">
      <w:pPr>
        <w:spacing w:line="480" w:lineRule="auto"/>
        <w:ind w:firstLine="720"/>
      </w:pPr>
    </w:p>
    <w:p w14:paraId="231E522E" w14:textId="09E5ACF0" w:rsidR="00164A77" w:rsidRPr="009B5E9C" w:rsidRDefault="00E2751E" w:rsidP="00881DEB">
      <w:pPr>
        <w:spacing w:line="480" w:lineRule="auto"/>
        <w:jc w:val="center"/>
      </w:pPr>
      <w:r w:rsidRPr="009B5E9C">
        <w:rPr>
          <w:b/>
          <w:bCs/>
        </w:rPr>
        <w:t xml:space="preserve">Critical Reviews on best practices and current issues </w:t>
      </w:r>
      <w:r w:rsidR="00881DEB" w:rsidRPr="009B5E9C">
        <w:rPr>
          <w:b/>
          <w:bCs/>
        </w:rPr>
        <w:t xml:space="preserve">to </w:t>
      </w:r>
      <w:r w:rsidRPr="009B5E9C">
        <w:rPr>
          <w:b/>
          <w:bCs/>
        </w:rPr>
        <w:t>q</w:t>
      </w:r>
      <w:r w:rsidR="00164A77" w:rsidRPr="009B5E9C">
        <w:rPr>
          <w:b/>
          <w:bCs/>
        </w:rPr>
        <w:t>uantifying bilingualism</w:t>
      </w:r>
    </w:p>
    <w:p w14:paraId="004538A5" w14:textId="4AE3E069" w:rsidR="00164A77" w:rsidRPr="009B5E9C" w:rsidRDefault="00164A77" w:rsidP="00A90828">
      <w:pPr>
        <w:spacing w:line="480" w:lineRule="auto"/>
        <w:ind w:left="720" w:hanging="720"/>
        <w:rPr>
          <w:rFonts w:eastAsiaTheme="minorEastAsia"/>
          <w:color w:val="0000FF"/>
          <w:u w:val="single"/>
        </w:rPr>
      </w:pPr>
      <w:r w:rsidRPr="009B5E9C">
        <w:t xml:space="preserve">Anderson, J. A. E., </w:t>
      </w:r>
      <w:proofErr w:type="spellStart"/>
      <w:r w:rsidRPr="009B5E9C">
        <w:t>Hawrylewicz</w:t>
      </w:r>
      <w:proofErr w:type="spellEnd"/>
      <w:r w:rsidRPr="009B5E9C">
        <w:t xml:space="preserve">, K., &amp; Bialystok, E. (2020). Who is bilingual? Snapshots across the lifespan. </w:t>
      </w:r>
      <w:r w:rsidRPr="009B5E9C">
        <w:rPr>
          <w:i/>
          <w:iCs/>
        </w:rPr>
        <w:t>Bilingualism: Language and Cognition</w:t>
      </w:r>
      <w:r w:rsidRPr="009B5E9C">
        <w:t xml:space="preserve">, </w:t>
      </w:r>
      <w:r w:rsidRPr="009B5E9C">
        <w:rPr>
          <w:i/>
          <w:iCs/>
        </w:rPr>
        <w:t>23</w:t>
      </w:r>
      <w:r w:rsidRPr="009B5E9C">
        <w:t xml:space="preserve">(5), 929–937. </w:t>
      </w:r>
      <w:hyperlink r:id="rId8" w:history="1">
        <w:r w:rsidRPr="009B5E9C">
          <w:rPr>
            <w:rStyle w:val="Hyperlink"/>
            <w:rFonts w:eastAsiaTheme="minorEastAsia"/>
          </w:rPr>
          <w:t>https://doi.org/10.1017/S1366728918000950</w:t>
        </w:r>
      </w:hyperlink>
    </w:p>
    <w:p w14:paraId="1CD3FFB9" w14:textId="5D83A5BF" w:rsidR="00164A77" w:rsidRPr="009B5E9C" w:rsidRDefault="00164A77" w:rsidP="00A90828">
      <w:pPr>
        <w:spacing w:line="480" w:lineRule="auto"/>
        <w:ind w:left="720" w:hanging="720"/>
      </w:pPr>
      <w:r w:rsidRPr="009B5E9C">
        <w:rPr>
          <w:b/>
          <w:bCs/>
        </w:rPr>
        <w:t xml:space="preserve">de Bot, K. (2019). Defining and Assessing Multilingualism. In </w:t>
      </w:r>
      <w:r w:rsidRPr="009B5E9C">
        <w:rPr>
          <w:b/>
          <w:bCs/>
          <w:i/>
          <w:iCs/>
        </w:rPr>
        <w:t>The Handbook of the Neuroscience of Multilingualism</w:t>
      </w:r>
      <w:r w:rsidRPr="009B5E9C">
        <w:rPr>
          <w:b/>
          <w:bCs/>
        </w:rPr>
        <w:t xml:space="preserve"> (pp. 1–18). John Wiley &amp; Sons, Ltd. </w:t>
      </w:r>
      <w:hyperlink r:id="rId9" w:history="1">
        <w:r w:rsidRPr="009B5E9C">
          <w:rPr>
            <w:rStyle w:val="Hyperlink"/>
            <w:rFonts w:eastAsiaTheme="minorEastAsia"/>
            <w:b/>
            <w:bCs/>
          </w:rPr>
          <w:t>https://doi.org/10.1002/9781119387725.ch1</w:t>
        </w:r>
      </w:hyperlink>
    </w:p>
    <w:p w14:paraId="6046B63A" w14:textId="1E7A6761" w:rsidR="00164A77" w:rsidRPr="009B5E9C" w:rsidRDefault="00164A77" w:rsidP="00A90828">
      <w:pPr>
        <w:spacing w:line="480" w:lineRule="auto"/>
        <w:ind w:left="720" w:hanging="720"/>
      </w:pPr>
      <w:r w:rsidRPr="009B5E9C">
        <w:t xml:space="preserve">Green, D. W. (2011). Language Control in Different Contexts: The Behavioral Ecology of Bilingual Speakers. </w:t>
      </w:r>
      <w:r w:rsidRPr="009B5E9C">
        <w:rPr>
          <w:i/>
          <w:iCs/>
        </w:rPr>
        <w:t>Frontiers in Psychology</w:t>
      </w:r>
      <w:r w:rsidRPr="009B5E9C">
        <w:t xml:space="preserve">, </w:t>
      </w:r>
      <w:r w:rsidRPr="009B5E9C">
        <w:rPr>
          <w:i/>
          <w:iCs/>
        </w:rPr>
        <w:t>2</w:t>
      </w:r>
      <w:r w:rsidRPr="009B5E9C">
        <w:t xml:space="preserve">. </w:t>
      </w:r>
      <w:hyperlink r:id="rId10" w:history="1">
        <w:r w:rsidRPr="009B5E9C">
          <w:rPr>
            <w:rStyle w:val="Hyperlink"/>
            <w:rFonts w:eastAsiaTheme="minorEastAsia"/>
          </w:rPr>
          <w:t>https://doi.org/10.3389/fpsyg.2011.00103</w:t>
        </w:r>
      </w:hyperlink>
    </w:p>
    <w:p w14:paraId="3C44AE97" w14:textId="58DCC9A8" w:rsidR="00164A77" w:rsidRPr="009B5E9C" w:rsidRDefault="00164A77" w:rsidP="00A90828">
      <w:pPr>
        <w:spacing w:line="480" w:lineRule="auto"/>
        <w:ind w:left="720" w:hanging="720"/>
      </w:pPr>
      <w:r w:rsidRPr="009B5E9C">
        <w:rPr>
          <w:b/>
          <w:bCs/>
        </w:rPr>
        <w:t xml:space="preserve">Gullifer, J. W., </w:t>
      </w:r>
      <w:proofErr w:type="spellStart"/>
      <w:r w:rsidRPr="009B5E9C">
        <w:rPr>
          <w:b/>
          <w:bCs/>
        </w:rPr>
        <w:t>Kousaie</w:t>
      </w:r>
      <w:proofErr w:type="spellEnd"/>
      <w:r w:rsidRPr="009B5E9C">
        <w:rPr>
          <w:b/>
          <w:bCs/>
        </w:rPr>
        <w:t xml:space="preserve">, S., Gilbert, A. C., Grant, A., </w:t>
      </w:r>
      <w:proofErr w:type="spellStart"/>
      <w:r w:rsidRPr="009B5E9C">
        <w:rPr>
          <w:b/>
          <w:bCs/>
        </w:rPr>
        <w:t>Giroud</w:t>
      </w:r>
      <w:proofErr w:type="spellEnd"/>
      <w:r w:rsidRPr="009B5E9C">
        <w:rPr>
          <w:b/>
          <w:bCs/>
        </w:rPr>
        <w:t xml:space="preserve">, N., Coulter, K., Klein, D., Baum, S., Phillips, N., &amp; Titone, D. (2021). Bilingual language experience as a multidimensional spectrum: Associations with objective and subjective language proficiency. </w:t>
      </w:r>
      <w:r w:rsidRPr="009B5E9C">
        <w:rPr>
          <w:b/>
          <w:bCs/>
          <w:i/>
          <w:iCs/>
        </w:rPr>
        <w:t>Applied Psycholinguistics</w:t>
      </w:r>
      <w:r w:rsidRPr="009B5E9C">
        <w:rPr>
          <w:b/>
          <w:bCs/>
        </w:rPr>
        <w:t xml:space="preserve">, </w:t>
      </w:r>
      <w:r w:rsidRPr="009B5E9C">
        <w:rPr>
          <w:b/>
          <w:bCs/>
          <w:i/>
          <w:iCs/>
        </w:rPr>
        <w:t>42</w:t>
      </w:r>
      <w:r w:rsidRPr="009B5E9C">
        <w:rPr>
          <w:b/>
          <w:bCs/>
        </w:rPr>
        <w:t xml:space="preserve">(2), 1–34. </w:t>
      </w:r>
      <w:hyperlink r:id="rId11" w:history="1">
        <w:r w:rsidRPr="009B5E9C">
          <w:rPr>
            <w:rStyle w:val="Hyperlink"/>
            <w:rFonts w:eastAsiaTheme="minorEastAsia"/>
            <w:b/>
            <w:bCs/>
          </w:rPr>
          <w:t>https://doi.org/10.1017/S0142716420000521</w:t>
        </w:r>
      </w:hyperlink>
    </w:p>
    <w:p w14:paraId="13333238" w14:textId="29310E92" w:rsidR="00164A77" w:rsidRPr="009B5E9C" w:rsidRDefault="00164A77" w:rsidP="00A90828">
      <w:pPr>
        <w:spacing w:line="480" w:lineRule="auto"/>
        <w:ind w:left="720" w:hanging="720"/>
      </w:pPr>
      <w:r w:rsidRPr="009B5E9C">
        <w:rPr>
          <w:b/>
          <w:bCs/>
        </w:rPr>
        <w:t xml:space="preserve">Marian, V., &amp; Hayakawa, S. (2021). Measuring bilingualism: The quest for a “bilingualism quotient.” Applied Psycholinguistics, 42(2), 527–548. </w:t>
      </w:r>
      <w:hyperlink r:id="rId12" w:history="1">
        <w:r w:rsidRPr="009B5E9C">
          <w:rPr>
            <w:rStyle w:val="Hyperlink"/>
            <w:b/>
            <w:bCs/>
          </w:rPr>
          <w:t>https://doi.org/10.1017/S0142716420000533</w:t>
        </w:r>
      </w:hyperlink>
      <w:r w:rsidRPr="009B5E9C">
        <w:rPr>
          <w:b/>
          <w:bCs/>
        </w:rPr>
        <w:t xml:space="preserve"> </w:t>
      </w:r>
    </w:p>
    <w:p w14:paraId="781216CB" w14:textId="5A08B707" w:rsidR="00E2751E" w:rsidRPr="009B5E9C" w:rsidRDefault="00E2751E" w:rsidP="00A90828">
      <w:pPr>
        <w:spacing w:line="480" w:lineRule="auto"/>
        <w:ind w:left="720" w:hanging="720"/>
      </w:pPr>
      <w:proofErr w:type="spellStart"/>
      <w:r w:rsidRPr="009B5E9C">
        <w:lastRenderedPageBreak/>
        <w:t>Steffensen</w:t>
      </w:r>
      <w:proofErr w:type="spellEnd"/>
      <w:r w:rsidRPr="009B5E9C">
        <w:t xml:space="preserve">, S. V., &amp; Fill, A. (2014). </w:t>
      </w:r>
      <w:proofErr w:type="spellStart"/>
      <w:r w:rsidRPr="009B5E9C">
        <w:t>Ecolinguistics</w:t>
      </w:r>
      <w:proofErr w:type="spellEnd"/>
      <w:r w:rsidRPr="009B5E9C">
        <w:t xml:space="preserve">: The state of the art and future horizons. </w:t>
      </w:r>
      <w:r w:rsidRPr="009B5E9C">
        <w:rPr>
          <w:i/>
          <w:iCs/>
        </w:rPr>
        <w:t>Language Sciences</w:t>
      </w:r>
      <w:r w:rsidRPr="009B5E9C">
        <w:t xml:space="preserve">, </w:t>
      </w:r>
      <w:r w:rsidRPr="009B5E9C">
        <w:rPr>
          <w:i/>
          <w:iCs/>
        </w:rPr>
        <w:t>41</w:t>
      </w:r>
      <w:r w:rsidRPr="009B5E9C">
        <w:t xml:space="preserve">, 6–25. </w:t>
      </w:r>
      <w:hyperlink r:id="rId13" w:history="1">
        <w:r w:rsidRPr="009B5E9C">
          <w:rPr>
            <w:rStyle w:val="Hyperlink"/>
            <w:rFonts w:eastAsiaTheme="minorEastAsia"/>
          </w:rPr>
          <w:t>https://doi.org/10.1016/j.langsci.2013.08.003</w:t>
        </w:r>
      </w:hyperlink>
    </w:p>
    <w:p w14:paraId="6D4E0758" w14:textId="6E1E58BE" w:rsidR="00151834" w:rsidRPr="009B5E9C" w:rsidRDefault="00164A77" w:rsidP="00A90828">
      <w:pPr>
        <w:spacing w:line="480" w:lineRule="auto"/>
        <w:ind w:left="720" w:hanging="720"/>
        <w:rPr>
          <w:rStyle w:val="Hyperlink"/>
          <w:rFonts w:eastAsiaTheme="minorEastAsia"/>
          <w:b/>
          <w:bCs/>
        </w:rPr>
      </w:pPr>
      <w:proofErr w:type="spellStart"/>
      <w:r w:rsidRPr="009B5E9C">
        <w:rPr>
          <w:b/>
          <w:bCs/>
        </w:rPr>
        <w:t>Surrain</w:t>
      </w:r>
      <w:proofErr w:type="spellEnd"/>
      <w:r w:rsidRPr="009B5E9C">
        <w:rPr>
          <w:b/>
          <w:bCs/>
        </w:rPr>
        <w:t xml:space="preserve">, S., &amp; Luk, G. (2019). Describing bilinguals: A systematic review of labels and descriptions used in the literature between 2005–2015. </w:t>
      </w:r>
      <w:r w:rsidRPr="009B5E9C">
        <w:rPr>
          <w:b/>
          <w:bCs/>
          <w:i/>
          <w:iCs/>
        </w:rPr>
        <w:t>Bilingualism: Language and Cognition</w:t>
      </w:r>
      <w:r w:rsidRPr="009B5E9C">
        <w:rPr>
          <w:b/>
          <w:bCs/>
        </w:rPr>
        <w:t xml:space="preserve">, </w:t>
      </w:r>
      <w:r w:rsidRPr="009B5E9C">
        <w:rPr>
          <w:b/>
          <w:bCs/>
          <w:i/>
          <w:iCs/>
        </w:rPr>
        <w:t>22</w:t>
      </w:r>
      <w:r w:rsidRPr="009B5E9C">
        <w:rPr>
          <w:b/>
          <w:bCs/>
        </w:rPr>
        <w:t xml:space="preserve">(2), 401–415. </w:t>
      </w:r>
      <w:hyperlink r:id="rId14" w:history="1">
        <w:r w:rsidRPr="009B5E9C">
          <w:rPr>
            <w:rStyle w:val="Hyperlink"/>
            <w:rFonts w:eastAsiaTheme="minorEastAsia"/>
            <w:b/>
            <w:bCs/>
          </w:rPr>
          <w:t>https://doi.org/10.1017/S1366728917000682</w:t>
        </w:r>
      </w:hyperlink>
    </w:p>
    <w:p w14:paraId="6BBB6DEE" w14:textId="2DD3794B" w:rsidR="00457364" w:rsidRPr="009B5E9C" w:rsidRDefault="00457364">
      <w:pPr>
        <w:rPr>
          <w:b/>
          <w:bCs/>
          <w:color w:val="000000" w:themeColor="text1"/>
        </w:rPr>
      </w:pPr>
    </w:p>
    <w:p w14:paraId="4BF6B89A" w14:textId="2FF168A9" w:rsidR="00A90828" w:rsidRPr="009B5E9C" w:rsidRDefault="00A90828" w:rsidP="00AA7499">
      <w:pPr>
        <w:pStyle w:val="CommentText"/>
        <w:spacing w:line="480" w:lineRule="auto"/>
        <w:jc w:val="center"/>
        <w:rPr>
          <w:rFonts w:ascii="Times New Roman" w:hAnsi="Times New Roman" w:cs="Times New Roman"/>
          <w:b/>
          <w:bCs/>
        </w:rPr>
      </w:pPr>
      <w:r w:rsidRPr="009B5E9C">
        <w:rPr>
          <w:rFonts w:ascii="Times New Roman" w:hAnsi="Times New Roman" w:cs="Times New Roman"/>
          <w:b/>
          <w:bCs/>
        </w:rPr>
        <w:t>Language History and Linguistic Experience Questionnaires</w:t>
      </w:r>
    </w:p>
    <w:p w14:paraId="2588800E" w14:textId="63CC4115" w:rsidR="00A90828" w:rsidRPr="009B5E9C" w:rsidRDefault="00AA7499" w:rsidP="004D63C2">
      <w:pPr>
        <w:pStyle w:val="CommentText"/>
        <w:spacing w:line="480" w:lineRule="auto"/>
        <w:rPr>
          <w:rFonts w:ascii="Times New Roman" w:hAnsi="Times New Roman" w:cs="Times New Roman"/>
        </w:rPr>
      </w:pPr>
      <w:r w:rsidRPr="009B5E9C">
        <w:rPr>
          <w:rFonts w:ascii="Times New Roman" w:hAnsi="Times New Roman" w:cs="Times New Roman"/>
        </w:rPr>
        <w:tab/>
      </w:r>
      <w:r w:rsidR="003E0C48" w:rsidRPr="009B5E9C">
        <w:rPr>
          <w:rFonts w:ascii="Times New Roman" w:hAnsi="Times New Roman" w:cs="Times New Roman"/>
        </w:rPr>
        <w:t xml:space="preserve">In practice, clinicians working in applied clinical contexts (e.g., hospitals) and researchers from inter-disciplinary backgrounds (e.g., health literacy) typically find their respective protocols time constrained to swift assessments of the background of any given person. As a consequence, the assessment of the linguistic background of a person, specifically of bilinguals is often relegated to </w:t>
      </w:r>
      <w:r w:rsidR="002E1128" w:rsidRPr="009B5E9C">
        <w:rPr>
          <w:rFonts w:ascii="Times New Roman" w:hAnsi="Times New Roman" w:cs="Times New Roman"/>
        </w:rPr>
        <w:t xml:space="preserve">a few, if any, simple questions. We believe the references within the following two sections will prove of critical importance in providing swift, accurate, and validated measures of bilingualism and the language background of participants. In particular, we hope these initial sources of information will serve as an initial start-point and toolkit, for practitioners or interdisciplinary researchers seeking to integrate continuous measures of linguistic experience. We list these </w:t>
      </w:r>
      <w:r w:rsidR="00F1567F" w:rsidRPr="009B5E9C">
        <w:rPr>
          <w:rFonts w:ascii="Times New Roman" w:hAnsi="Times New Roman" w:cs="Times New Roman"/>
        </w:rPr>
        <w:t>practical tools below.</w:t>
      </w:r>
    </w:p>
    <w:p w14:paraId="64465302" w14:textId="24568066" w:rsidR="003E0C48" w:rsidRPr="009B5E9C" w:rsidRDefault="00164A77" w:rsidP="00A90828">
      <w:pPr>
        <w:pStyle w:val="CommentText"/>
        <w:spacing w:line="480" w:lineRule="auto"/>
        <w:ind w:firstLine="720"/>
        <w:rPr>
          <w:rFonts w:ascii="Times New Roman" w:hAnsi="Times New Roman" w:cs="Times New Roman"/>
        </w:rPr>
      </w:pPr>
      <w:r w:rsidRPr="009B5E9C">
        <w:rPr>
          <w:rFonts w:ascii="Times New Roman" w:hAnsi="Times New Roman" w:cs="Times New Roman"/>
        </w:rPr>
        <w:t xml:space="preserve">Several validated questionnaires have been developed by researchers in the field of bilingualism / multilingualism: </w:t>
      </w:r>
      <w:r w:rsidRPr="009B5E9C">
        <w:rPr>
          <w:rFonts w:ascii="Times New Roman" w:hAnsi="Times New Roman" w:cs="Times New Roman"/>
          <w:color w:val="000000" w:themeColor="text1"/>
        </w:rPr>
        <w:t>Language Experience and Proficiency Questionnaire (LEAP-Q; Marian et al., 2007), the Language and Social Background Questionnaire (LSBQ; Anderson et al., 2018), the Language History Questionnaire 3.0 (LHQ 3.0; Li et al., 2019), Bilingual Language Profile (BLP; Birdsong et al., 2012), and the Bilingual Dominance Scale (Dunn &amp; Fox Tree, 2009).</w:t>
      </w:r>
      <w:r w:rsidRPr="009B5E9C">
        <w:rPr>
          <w:rFonts w:ascii="Times New Roman" w:hAnsi="Times New Roman" w:cs="Times New Roman"/>
        </w:rPr>
        <w:t xml:space="preserve"> These questionnaires are similar in </w:t>
      </w:r>
      <w:r w:rsidR="003E0C48" w:rsidRPr="009B5E9C">
        <w:rPr>
          <w:rFonts w:ascii="Times New Roman" w:hAnsi="Times New Roman" w:cs="Times New Roman"/>
        </w:rPr>
        <w:t>the following manners:</w:t>
      </w:r>
    </w:p>
    <w:p w14:paraId="388BC27C" w14:textId="79CAC56D" w:rsidR="003E0C48" w:rsidRPr="009B5E9C" w:rsidRDefault="00F1567F" w:rsidP="00A90828">
      <w:pPr>
        <w:pStyle w:val="CommentText"/>
        <w:numPr>
          <w:ilvl w:val="0"/>
          <w:numId w:val="7"/>
        </w:numPr>
        <w:spacing w:line="480" w:lineRule="auto"/>
        <w:rPr>
          <w:rFonts w:ascii="Times New Roman" w:hAnsi="Times New Roman" w:cs="Times New Roman"/>
        </w:rPr>
      </w:pPr>
      <w:r w:rsidRPr="009B5E9C">
        <w:rPr>
          <w:rFonts w:ascii="Times New Roman" w:hAnsi="Times New Roman" w:cs="Times New Roman"/>
        </w:rPr>
        <w:t xml:space="preserve">Should </w:t>
      </w:r>
      <w:r w:rsidR="000F5337" w:rsidRPr="009B5E9C">
        <w:rPr>
          <w:rFonts w:ascii="Times New Roman" w:hAnsi="Times New Roman" w:cs="Times New Roman"/>
        </w:rPr>
        <w:t xml:space="preserve">permit researchers and practitioners obtain a more </w:t>
      </w:r>
      <w:r w:rsidR="003E0C48" w:rsidRPr="009B5E9C">
        <w:rPr>
          <w:rFonts w:ascii="Times New Roman" w:hAnsi="Times New Roman" w:cs="Times New Roman"/>
        </w:rPr>
        <w:t>complete</w:t>
      </w:r>
      <w:r w:rsidR="000F5337" w:rsidRPr="009B5E9C">
        <w:rPr>
          <w:rFonts w:ascii="Times New Roman" w:hAnsi="Times New Roman" w:cs="Times New Roman"/>
        </w:rPr>
        <w:t xml:space="preserve"> picture of the linguistic background</w:t>
      </w:r>
      <w:r w:rsidR="00683CE3" w:rsidRPr="009B5E9C">
        <w:rPr>
          <w:rFonts w:ascii="Times New Roman" w:hAnsi="Times New Roman" w:cs="Times New Roman"/>
        </w:rPr>
        <w:t xml:space="preserve"> / experience </w:t>
      </w:r>
      <w:r w:rsidR="000F5337" w:rsidRPr="009B5E9C">
        <w:rPr>
          <w:rFonts w:ascii="Times New Roman" w:hAnsi="Times New Roman" w:cs="Times New Roman"/>
        </w:rPr>
        <w:t>of a patient</w:t>
      </w:r>
      <w:r w:rsidR="00683CE3" w:rsidRPr="009B5E9C">
        <w:rPr>
          <w:rFonts w:ascii="Times New Roman" w:hAnsi="Times New Roman" w:cs="Times New Roman"/>
        </w:rPr>
        <w:t xml:space="preserve"> or</w:t>
      </w:r>
      <w:r w:rsidR="000F5337" w:rsidRPr="009B5E9C">
        <w:rPr>
          <w:rFonts w:ascii="Times New Roman" w:hAnsi="Times New Roman" w:cs="Times New Roman"/>
        </w:rPr>
        <w:t xml:space="preserve"> </w:t>
      </w:r>
      <w:r w:rsidRPr="009B5E9C">
        <w:rPr>
          <w:rFonts w:ascii="Times New Roman" w:hAnsi="Times New Roman" w:cs="Times New Roman"/>
        </w:rPr>
        <w:t>participant and</w:t>
      </w:r>
      <w:r w:rsidR="006173DF" w:rsidRPr="009B5E9C">
        <w:rPr>
          <w:rFonts w:ascii="Times New Roman" w:hAnsi="Times New Roman" w:cs="Times New Roman"/>
        </w:rPr>
        <w:t xml:space="preserve"> understand how bilinguals may or may not </w:t>
      </w:r>
      <w:r w:rsidRPr="009B5E9C">
        <w:rPr>
          <w:rFonts w:ascii="Times New Roman" w:hAnsi="Times New Roman" w:cs="Times New Roman"/>
        </w:rPr>
        <w:t>jointly</w:t>
      </w:r>
      <w:r w:rsidR="006173DF" w:rsidRPr="009B5E9C">
        <w:rPr>
          <w:rFonts w:ascii="Times New Roman" w:hAnsi="Times New Roman" w:cs="Times New Roman"/>
        </w:rPr>
        <w:t xml:space="preserve"> use their languages in a given context</w:t>
      </w:r>
      <w:r w:rsidRPr="009B5E9C">
        <w:rPr>
          <w:rFonts w:ascii="Times New Roman" w:hAnsi="Times New Roman" w:cs="Times New Roman"/>
        </w:rPr>
        <w:t xml:space="preserve"> (e.g., at home, in a hospital, at school).</w:t>
      </w:r>
    </w:p>
    <w:p w14:paraId="1D132A88" w14:textId="36D97797" w:rsidR="004D7C48" w:rsidRPr="009B5E9C" w:rsidRDefault="00F1567F" w:rsidP="00A90828">
      <w:pPr>
        <w:pStyle w:val="CommentText"/>
        <w:numPr>
          <w:ilvl w:val="0"/>
          <w:numId w:val="7"/>
        </w:numPr>
        <w:spacing w:line="480" w:lineRule="auto"/>
        <w:rPr>
          <w:rFonts w:ascii="Times New Roman" w:hAnsi="Times New Roman" w:cs="Times New Roman"/>
          <w:i/>
          <w:iCs/>
        </w:rPr>
      </w:pPr>
      <w:r w:rsidRPr="009B5E9C">
        <w:rPr>
          <w:rFonts w:ascii="Times New Roman" w:hAnsi="Times New Roman" w:cs="Times New Roman"/>
        </w:rPr>
        <w:lastRenderedPageBreak/>
        <w:t>Will aid in o</w:t>
      </w:r>
      <w:r w:rsidR="003E0C48" w:rsidRPr="009B5E9C">
        <w:rPr>
          <w:rFonts w:ascii="Times New Roman" w:hAnsi="Times New Roman" w:cs="Times New Roman"/>
        </w:rPr>
        <w:t>btaining a more nuanced</w:t>
      </w:r>
      <w:r w:rsidRPr="009B5E9C">
        <w:rPr>
          <w:rFonts w:ascii="Times New Roman" w:hAnsi="Times New Roman" w:cs="Times New Roman"/>
        </w:rPr>
        <w:t>, and accurate, report of a persons’ self</w:t>
      </w:r>
      <w:r w:rsidR="004D7C48" w:rsidRPr="009B5E9C">
        <w:rPr>
          <w:rFonts w:ascii="Times New Roman" w:hAnsi="Times New Roman" w:cs="Times New Roman"/>
        </w:rPr>
        <w:t>-reported oral, written, and reading proficiency in all of their languages)</w:t>
      </w:r>
      <w:r w:rsidRPr="009B5E9C">
        <w:rPr>
          <w:rFonts w:ascii="Times New Roman" w:hAnsi="Times New Roman" w:cs="Times New Roman"/>
        </w:rPr>
        <w:t>,</w:t>
      </w:r>
      <w:r w:rsidR="004D7C48" w:rsidRPr="009B5E9C">
        <w:rPr>
          <w:rFonts w:ascii="Times New Roman" w:hAnsi="Times New Roman" w:cs="Times New Roman"/>
        </w:rPr>
        <w:t xml:space="preserve"> </w:t>
      </w:r>
      <w:r w:rsidR="000F5337" w:rsidRPr="009B5E9C">
        <w:rPr>
          <w:rFonts w:ascii="Times New Roman" w:hAnsi="Times New Roman" w:cs="Times New Roman"/>
        </w:rPr>
        <w:t xml:space="preserve">beyond </w:t>
      </w:r>
      <w:r w:rsidR="004D7C48" w:rsidRPr="009B5E9C">
        <w:rPr>
          <w:rFonts w:ascii="Times New Roman" w:hAnsi="Times New Roman" w:cs="Times New Roman"/>
        </w:rPr>
        <w:t xml:space="preserve">the typical, and often </w:t>
      </w:r>
      <w:r w:rsidR="000F5337" w:rsidRPr="009B5E9C">
        <w:rPr>
          <w:rFonts w:ascii="Times New Roman" w:hAnsi="Times New Roman" w:cs="Times New Roman"/>
        </w:rPr>
        <w:t>binary</w:t>
      </w:r>
      <w:r w:rsidR="004D7C48" w:rsidRPr="009B5E9C">
        <w:rPr>
          <w:rFonts w:ascii="Times New Roman" w:hAnsi="Times New Roman" w:cs="Times New Roman"/>
        </w:rPr>
        <w:t xml:space="preserve"> (</w:t>
      </w:r>
      <w:r w:rsidR="004D7C48" w:rsidRPr="009B5E9C">
        <w:rPr>
          <w:rFonts w:ascii="Times New Roman" w:hAnsi="Times New Roman" w:cs="Times New Roman"/>
          <w:i/>
          <w:iCs/>
        </w:rPr>
        <w:t>yes/no)</w:t>
      </w:r>
      <w:r w:rsidR="004D7C48" w:rsidRPr="009B5E9C">
        <w:rPr>
          <w:rFonts w:ascii="Times New Roman" w:hAnsi="Times New Roman" w:cs="Times New Roman"/>
        </w:rPr>
        <w:t>,</w:t>
      </w:r>
      <w:r w:rsidR="000F5337" w:rsidRPr="009B5E9C">
        <w:rPr>
          <w:rFonts w:ascii="Times New Roman" w:hAnsi="Times New Roman" w:cs="Times New Roman"/>
        </w:rPr>
        <w:t xml:space="preserve"> </w:t>
      </w:r>
      <w:r w:rsidRPr="009B5E9C">
        <w:rPr>
          <w:rFonts w:ascii="Times New Roman" w:hAnsi="Times New Roman" w:cs="Times New Roman"/>
        </w:rPr>
        <w:t>information to</w:t>
      </w:r>
      <w:r w:rsidR="004D7C48" w:rsidRPr="009B5E9C">
        <w:rPr>
          <w:rFonts w:ascii="Times New Roman" w:hAnsi="Times New Roman" w:cs="Times New Roman"/>
        </w:rPr>
        <w:t xml:space="preserve"> the question of </w:t>
      </w:r>
      <w:r w:rsidR="004D7C48" w:rsidRPr="009B5E9C">
        <w:rPr>
          <w:rFonts w:ascii="Times New Roman" w:hAnsi="Times New Roman" w:cs="Times New Roman"/>
          <w:i/>
          <w:iCs/>
        </w:rPr>
        <w:t>whether a given person speaks/knows X language.</w:t>
      </w:r>
    </w:p>
    <w:p w14:paraId="65D5E368" w14:textId="3076209A" w:rsidR="00F1567F" w:rsidRPr="009B5E9C" w:rsidRDefault="00F1567F" w:rsidP="00A90828">
      <w:pPr>
        <w:pStyle w:val="CommentText"/>
        <w:numPr>
          <w:ilvl w:val="0"/>
          <w:numId w:val="7"/>
        </w:numPr>
        <w:spacing w:line="480" w:lineRule="auto"/>
        <w:rPr>
          <w:rFonts w:ascii="Times New Roman" w:hAnsi="Times New Roman" w:cs="Times New Roman"/>
        </w:rPr>
      </w:pPr>
      <w:r w:rsidRPr="009B5E9C">
        <w:rPr>
          <w:rFonts w:ascii="Times New Roman" w:hAnsi="Times New Roman" w:cs="Times New Roman"/>
        </w:rPr>
        <w:t>All measures are readily available to be used both in in-person and in online settings. Thus, increasing their applicability for institutions and online first-contact portals.</w:t>
      </w:r>
    </w:p>
    <w:p w14:paraId="3ECD7D13" w14:textId="77777777" w:rsidR="00A90828" w:rsidRPr="009B5E9C" w:rsidRDefault="00A90828" w:rsidP="00A90828">
      <w:pPr>
        <w:pStyle w:val="CommentText"/>
        <w:spacing w:line="480" w:lineRule="auto"/>
        <w:ind w:left="360"/>
        <w:rPr>
          <w:rFonts w:ascii="Times New Roman" w:hAnsi="Times New Roman" w:cs="Times New Roman"/>
        </w:rPr>
      </w:pPr>
    </w:p>
    <w:p w14:paraId="720A1524" w14:textId="028CBAF2" w:rsidR="00164A77" w:rsidRPr="009B5E9C" w:rsidRDefault="00164A77" w:rsidP="00A90828">
      <w:pPr>
        <w:spacing w:line="480" w:lineRule="auto"/>
        <w:ind w:left="720" w:hanging="720"/>
        <w:rPr>
          <w:b/>
          <w:bCs/>
        </w:rPr>
      </w:pPr>
      <w:r w:rsidRPr="009B5E9C">
        <w:rPr>
          <w:b/>
          <w:bCs/>
        </w:rPr>
        <w:t xml:space="preserve">Anderson, J. A. E., </w:t>
      </w:r>
      <w:proofErr w:type="spellStart"/>
      <w:r w:rsidRPr="009B5E9C">
        <w:rPr>
          <w:b/>
          <w:bCs/>
        </w:rPr>
        <w:t>Mak</w:t>
      </w:r>
      <w:proofErr w:type="spellEnd"/>
      <w:r w:rsidRPr="009B5E9C">
        <w:rPr>
          <w:b/>
          <w:bCs/>
        </w:rPr>
        <w:t xml:space="preserve">, L., </w:t>
      </w:r>
      <w:proofErr w:type="spellStart"/>
      <w:r w:rsidRPr="009B5E9C">
        <w:rPr>
          <w:b/>
          <w:bCs/>
        </w:rPr>
        <w:t>Keyvani</w:t>
      </w:r>
      <w:proofErr w:type="spellEnd"/>
      <w:r w:rsidRPr="009B5E9C">
        <w:rPr>
          <w:b/>
          <w:bCs/>
        </w:rPr>
        <w:t xml:space="preserve"> Chahi, A., &amp; Bialystok, E. (2018). The language and social background questionnaire: Assessing degree of bilingualism in a diverse population. Behavior Research Methods, 50(1), 250–263. </w:t>
      </w:r>
      <w:hyperlink r:id="rId15" w:history="1">
        <w:r w:rsidRPr="009B5E9C">
          <w:rPr>
            <w:b/>
            <w:bCs/>
          </w:rPr>
          <w:t>https://doi.org/10.3758/s13428-017-0867-9</w:t>
        </w:r>
      </w:hyperlink>
      <w:r w:rsidR="00A90828" w:rsidRPr="009B5E9C">
        <w:rPr>
          <w:b/>
          <w:bCs/>
        </w:rPr>
        <w:t xml:space="preserve">   </w:t>
      </w:r>
    </w:p>
    <w:p w14:paraId="512755CD" w14:textId="2D4FE802" w:rsidR="00164A77" w:rsidRPr="009B5E9C" w:rsidRDefault="00164A77" w:rsidP="00A90828">
      <w:pPr>
        <w:spacing w:line="480" w:lineRule="auto"/>
        <w:ind w:left="720" w:hanging="720"/>
      </w:pPr>
      <w:r w:rsidRPr="009B5E9C">
        <w:t xml:space="preserve">Birdsong, D., </w:t>
      </w:r>
      <w:proofErr w:type="spellStart"/>
      <w:r w:rsidRPr="009B5E9C">
        <w:t>Gertken</w:t>
      </w:r>
      <w:proofErr w:type="spellEnd"/>
      <w:r w:rsidRPr="009B5E9C">
        <w:t xml:space="preserve">, </w:t>
      </w:r>
      <w:proofErr w:type="spellStart"/>
      <w:r w:rsidRPr="009B5E9C">
        <w:t>L.M</w:t>
      </w:r>
      <w:proofErr w:type="spellEnd"/>
      <w:r w:rsidRPr="009B5E9C">
        <w:t xml:space="preserve">., &amp; </w:t>
      </w:r>
      <w:proofErr w:type="spellStart"/>
      <w:r w:rsidRPr="009B5E9C">
        <w:t>Amengual</w:t>
      </w:r>
      <w:proofErr w:type="spellEnd"/>
      <w:r w:rsidRPr="009B5E9C">
        <w:t xml:space="preserve">, M. Bilingual Language Profile: An Easy-to-Use Instrument to Assess Bilingualism. </w:t>
      </w:r>
      <w:proofErr w:type="spellStart"/>
      <w:r w:rsidRPr="009B5E9C">
        <w:t>COERLL</w:t>
      </w:r>
      <w:proofErr w:type="spellEnd"/>
      <w:r w:rsidRPr="009B5E9C">
        <w:t xml:space="preserve">, University of Texas at Austin. Web. 20 Jan. 2012. </w:t>
      </w:r>
      <w:hyperlink r:id="rId16" w:history="1">
        <w:r w:rsidR="00A90828" w:rsidRPr="009B5E9C">
          <w:rPr>
            <w:rStyle w:val="Hyperlink"/>
          </w:rPr>
          <w:t>https://sites.la.utexas.edu/bilingual/</w:t>
        </w:r>
      </w:hyperlink>
    </w:p>
    <w:p w14:paraId="1E89323F" w14:textId="01BF80B6" w:rsidR="00164A77" w:rsidRPr="009B5E9C" w:rsidRDefault="00164A77" w:rsidP="00A90828">
      <w:pPr>
        <w:spacing w:line="480" w:lineRule="auto"/>
        <w:ind w:left="720" w:hanging="720"/>
        <w:rPr>
          <w:b/>
          <w:bCs/>
        </w:rPr>
      </w:pPr>
      <w:r w:rsidRPr="009B5E9C">
        <w:rPr>
          <w:b/>
          <w:bCs/>
        </w:rPr>
        <w:t xml:space="preserve">Dunn, A. L., &amp; Fox Tree, J. E. (2009). A quick, gradient Bilingual Dominance Scale. </w:t>
      </w:r>
      <w:r w:rsidRPr="009B5E9C">
        <w:rPr>
          <w:b/>
          <w:bCs/>
          <w:i/>
          <w:iCs/>
        </w:rPr>
        <w:t>Bilingualism: Language and Cognition</w:t>
      </w:r>
      <w:r w:rsidRPr="009B5E9C">
        <w:rPr>
          <w:b/>
          <w:bCs/>
        </w:rPr>
        <w:t xml:space="preserve">, </w:t>
      </w:r>
      <w:r w:rsidRPr="009B5E9C">
        <w:rPr>
          <w:b/>
          <w:bCs/>
          <w:i/>
          <w:iCs/>
        </w:rPr>
        <w:t>12</w:t>
      </w:r>
      <w:r w:rsidRPr="009B5E9C">
        <w:rPr>
          <w:b/>
          <w:bCs/>
        </w:rPr>
        <w:t xml:space="preserve">(3), 273–289. </w:t>
      </w:r>
      <w:hyperlink r:id="rId17" w:history="1">
        <w:r w:rsidRPr="009B5E9C">
          <w:rPr>
            <w:rStyle w:val="Hyperlink"/>
            <w:rFonts w:eastAsiaTheme="minorEastAsia"/>
            <w:b/>
            <w:bCs/>
          </w:rPr>
          <w:t>https://doi.org/10.1017/S1366728909990113</w:t>
        </w:r>
      </w:hyperlink>
    </w:p>
    <w:p w14:paraId="4DA45182" w14:textId="391E8635" w:rsidR="00164A77" w:rsidRPr="009B5E9C" w:rsidRDefault="00164A77" w:rsidP="00A90828">
      <w:pPr>
        <w:spacing w:line="480" w:lineRule="auto"/>
        <w:ind w:left="720" w:hanging="720"/>
        <w:rPr>
          <w:b/>
          <w:bCs/>
        </w:rPr>
      </w:pPr>
      <w:proofErr w:type="spellStart"/>
      <w:r w:rsidRPr="009B5E9C">
        <w:rPr>
          <w:b/>
          <w:bCs/>
        </w:rPr>
        <w:t>Kaushanskaya</w:t>
      </w:r>
      <w:proofErr w:type="spellEnd"/>
      <w:r w:rsidRPr="009B5E9C">
        <w:rPr>
          <w:b/>
          <w:bCs/>
        </w:rPr>
        <w:t xml:space="preserve">, M., Blumenfeld, H. K., &amp; Marian, V. (2020). The Language Experience and Proficiency Questionnaire (LEAP-Q): Ten years later. Bilingualism: Language and Cognition, 23(5), 945–950. </w:t>
      </w:r>
      <w:hyperlink r:id="rId18" w:history="1">
        <w:r w:rsidRPr="009B5E9C">
          <w:rPr>
            <w:rStyle w:val="Hyperlink"/>
            <w:b/>
            <w:bCs/>
          </w:rPr>
          <w:t>https://doi.org/10.1017/S1366728919000038</w:t>
        </w:r>
      </w:hyperlink>
      <w:r w:rsidRPr="009B5E9C">
        <w:rPr>
          <w:b/>
          <w:bCs/>
        </w:rPr>
        <w:t xml:space="preserve"> </w:t>
      </w:r>
    </w:p>
    <w:p w14:paraId="7781D4BE" w14:textId="5743BE75" w:rsidR="00164A77" w:rsidRPr="009B5E9C" w:rsidRDefault="00164A77" w:rsidP="00A90828">
      <w:pPr>
        <w:spacing w:line="480" w:lineRule="auto"/>
        <w:ind w:left="720" w:hanging="720"/>
        <w:rPr>
          <w:b/>
          <w:bCs/>
        </w:rPr>
      </w:pPr>
      <w:r w:rsidRPr="009B5E9C">
        <w:rPr>
          <w:b/>
          <w:bCs/>
        </w:rPr>
        <w:t>Li, P., Zhang, F., Yu, A., &amp; Zhao, X. (2019). Language History Questionnaire (LHQ3): An enhanced tool for assessing multilingual experience. Bilingualism: Language and Cognition, 1–7.</w:t>
      </w:r>
    </w:p>
    <w:p w14:paraId="4ACB6699" w14:textId="77777777" w:rsidR="00164A77" w:rsidRPr="009B5E9C" w:rsidRDefault="00164A77" w:rsidP="00A90828">
      <w:pPr>
        <w:spacing w:line="480" w:lineRule="auto"/>
        <w:ind w:left="720" w:hanging="720"/>
      </w:pPr>
      <w:r w:rsidRPr="009B5E9C">
        <w:t xml:space="preserve">Marian, V., Blumenfeld, H. K., &amp; </w:t>
      </w:r>
      <w:proofErr w:type="spellStart"/>
      <w:r w:rsidRPr="009B5E9C">
        <w:t>Kaushanskaya</w:t>
      </w:r>
      <w:proofErr w:type="spellEnd"/>
      <w:r w:rsidRPr="009B5E9C">
        <w:t xml:space="preserve">, M. (2007). The Language Experience and Proficiency Questionnaire (LEAP-Q): Assessing language profiles in bilinguals and multilinguals. J Speech Lang Hear Res, 50(4), 940–967. </w:t>
      </w:r>
      <w:hyperlink r:id="rId19" w:history="1">
        <w:r w:rsidRPr="009B5E9C">
          <w:rPr>
            <w:rStyle w:val="Hyperlink"/>
          </w:rPr>
          <w:t>https://doi.org/10.1044/1092-4388(2007/067)</w:t>
        </w:r>
      </w:hyperlink>
    </w:p>
    <w:p w14:paraId="13756B8A" w14:textId="77777777" w:rsidR="00AA7499" w:rsidRPr="009B5E9C" w:rsidRDefault="00AA7499" w:rsidP="00AA7499">
      <w:pPr>
        <w:spacing w:line="480" w:lineRule="auto"/>
        <w:jc w:val="center"/>
        <w:rPr>
          <w:b/>
          <w:bCs/>
          <w:color w:val="000000" w:themeColor="text1"/>
        </w:rPr>
      </w:pPr>
      <w:r w:rsidRPr="009B5E9C">
        <w:rPr>
          <w:b/>
          <w:bCs/>
          <w:color w:val="000000" w:themeColor="text1"/>
        </w:rPr>
        <w:lastRenderedPageBreak/>
        <w:t>Ecological Perspectives on Development and Language</w:t>
      </w:r>
    </w:p>
    <w:p w14:paraId="1AAB391F" w14:textId="77777777" w:rsidR="00AA7499" w:rsidRPr="009B5E9C" w:rsidRDefault="00AA7499" w:rsidP="00AA7499">
      <w:pPr>
        <w:spacing w:line="480" w:lineRule="auto"/>
        <w:ind w:left="720" w:hanging="720"/>
      </w:pPr>
      <w:r w:rsidRPr="009B5E9C">
        <w:t xml:space="preserve">Bronfenbrenner, U. (1979). </w:t>
      </w:r>
      <w:r w:rsidRPr="009B5E9C">
        <w:rPr>
          <w:i/>
          <w:iCs/>
        </w:rPr>
        <w:t>Ecology of Human Development: Experiments by Nature and Design.</w:t>
      </w:r>
      <w:r w:rsidRPr="009B5E9C">
        <w:t xml:space="preserve"> Harvard University Press.</w:t>
      </w:r>
    </w:p>
    <w:p w14:paraId="35BB1648" w14:textId="77777777" w:rsidR="00AA7499" w:rsidRPr="009B5E9C" w:rsidRDefault="00AA7499" w:rsidP="00AA7499">
      <w:pPr>
        <w:spacing w:line="480" w:lineRule="auto"/>
        <w:ind w:left="720" w:hanging="720"/>
        <w:rPr>
          <w:b/>
          <w:bCs/>
        </w:rPr>
      </w:pPr>
      <w:proofErr w:type="spellStart"/>
      <w:r w:rsidRPr="009B5E9C">
        <w:rPr>
          <w:b/>
          <w:bCs/>
        </w:rPr>
        <w:t>Steffensen</w:t>
      </w:r>
      <w:proofErr w:type="spellEnd"/>
      <w:r w:rsidRPr="009B5E9C">
        <w:rPr>
          <w:b/>
          <w:bCs/>
        </w:rPr>
        <w:t xml:space="preserve">, S. V., &amp; Fill, A. (2014). </w:t>
      </w:r>
      <w:proofErr w:type="spellStart"/>
      <w:r w:rsidRPr="009B5E9C">
        <w:rPr>
          <w:b/>
          <w:bCs/>
        </w:rPr>
        <w:t>Ecolinguistics</w:t>
      </w:r>
      <w:proofErr w:type="spellEnd"/>
      <w:r w:rsidRPr="009B5E9C">
        <w:rPr>
          <w:b/>
          <w:bCs/>
        </w:rPr>
        <w:t xml:space="preserve">: The state of the art and future horizons. </w:t>
      </w:r>
      <w:r w:rsidRPr="009B5E9C">
        <w:rPr>
          <w:b/>
          <w:bCs/>
          <w:i/>
          <w:iCs/>
        </w:rPr>
        <w:t>Language Sciences</w:t>
      </w:r>
      <w:r w:rsidRPr="009B5E9C">
        <w:rPr>
          <w:b/>
          <w:bCs/>
        </w:rPr>
        <w:t xml:space="preserve">, </w:t>
      </w:r>
      <w:r w:rsidRPr="009B5E9C">
        <w:rPr>
          <w:b/>
          <w:bCs/>
          <w:i/>
          <w:iCs/>
        </w:rPr>
        <w:t>41</w:t>
      </w:r>
      <w:r w:rsidRPr="009B5E9C">
        <w:rPr>
          <w:b/>
          <w:bCs/>
        </w:rPr>
        <w:t xml:space="preserve">, 6–25. </w:t>
      </w:r>
      <w:hyperlink r:id="rId20" w:history="1">
        <w:r w:rsidRPr="009B5E9C">
          <w:rPr>
            <w:rStyle w:val="Hyperlink"/>
            <w:rFonts w:eastAsiaTheme="minorEastAsia"/>
            <w:b/>
            <w:bCs/>
          </w:rPr>
          <w:t>https://doi.org/10.1016/j.langsci.2013.08.003</w:t>
        </w:r>
      </w:hyperlink>
    </w:p>
    <w:p w14:paraId="15AF5A73" w14:textId="21DC2781" w:rsidR="00881DEB" w:rsidRPr="009B5E9C" w:rsidRDefault="00881DEB">
      <w:r w:rsidRPr="009B5E9C">
        <w:br w:type="page"/>
      </w:r>
    </w:p>
    <w:p w14:paraId="15E44E0E" w14:textId="77777777" w:rsidR="00F1567F" w:rsidRPr="009B5E9C" w:rsidRDefault="00F1567F" w:rsidP="00A90828">
      <w:pPr>
        <w:spacing w:line="480" w:lineRule="auto"/>
      </w:pPr>
    </w:p>
    <w:p w14:paraId="6FFFB6A4" w14:textId="6D786306" w:rsidR="00C7479F" w:rsidRPr="009B5E9C" w:rsidRDefault="00F1567F" w:rsidP="00AA7499">
      <w:pPr>
        <w:pStyle w:val="CommentText"/>
        <w:spacing w:line="480" w:lineRule="auto"/>
        <w:ind w:firstLine="720"/>
        <w:rPr>
          <w:rFonts w:ascii="Times New Roman" w:hAnsi="Times New Roman" w:cs="Times New Roman"/>
        </w:rPr>
      </w:pPr>
      <w:r w:rsidRPr="009B5E9C">
        <w:rPr>
          <w:rFonts w:ascii="Times New Roman" w:hAnsi="Times New Roman" w:cs="Times New Roman"/>
        </w:rPr>
        <w:t>The following</w:t>
      </w:r>
      <w:r w:rsidR="00561AF1" w:rsidRPr="009B5E9C">
        <w:rPr>
          <w:rFonts w:ascii="Times New Roman" w:hAnsi="Times New Roman" w:cs="Times New Roman"/>
        </w:rPr>
        <w:t xml:space="preserve"> sections contain a substantial set of field-specific and inter-disciplinary critical reviews, specific to the challenges that bilinguals might encounter when processing information in their second (L2) or first</w:t>
      </w:r>
      <w:r w:rsidR="00A90828" w:rsidRPr="009B5E9C">
        <w:rPr>
          <w:rFonts w:ascii="Times New Roman" w:hAnsi="Times New Roman" w:cs="Times New Roman"/>
        </w:rPr>
        <w:t xml:space="preserve"> </w:t>
      </w:r>
      <w:r w:rsidR="00561AF1" w:rsidRPr="009B5E9C">
        <w:rPr>
          <w:rFonts w:ascii="Times New Roman" w:hAnsi="Times New Roman" w:cs="Times New Roman"/>
        </w:rPr>
        <w:t>(L1) language. We have subdivided these reviews in a manner that follows the structure of our critical literature review. First, in the sections “</w:t>
      </w:r>
      <w:r w:rsidR="00561AF1" w:rsidRPr="009B5E9C">
        <w:rPr>
          <w:rFonts w:ascii="Times New Roman" w:hAnsi="Times New Roman" w:cs="Times New Roman"/>
          <w:b/>
          <w:bCs/>
        </w:rPr>
        <w:t xml:space="preserve">Psycholinguistics and Bilingualism </w:t>
      </w:r>
      <w:r w:rsidR="00151834" w:rsidRPr="009B5E9C">
        <w:rPr>
          <w:rFonts w:ascii="Times New Roman" w:hAnsi="Times New Roman" w:cs="Times New Roman"/>
          <w:b/>
          <w:bCs/>
        </w:rPr>
        <w:t>Studies”</w:t>
      </w:r>
      <w:r w:rsidR="00151834" w:rsidRPr="009B5E9C">
        <w:rPr>
          <w:rFonts w:ascii="Times New Roman" w:hAnsi="Times New Roman" w:cs="Times New Roman"/>
        </w:rPr>
        <w:t xml:space="preserve">, </w:t>
      </w:r>
      <w:r w:rsidR="00561AF1" w:rsidRPr="009B5E9C">
        <w:rPr>
          <w:rFonts w:ascii="Times New Roman" w:hAnsi="Times New Roman" w:cs="Times New Roman"/>
        </w:rPr>
        <w:t>“</w:t>
      </w:r>
      <w:r w:rsidR="00561AF1" w:rsidRPr="009B5E9C">
        <w:rPr>
          <w:rFonts w:ascii="Times New Roman" w:hAnsi="Times New Roman" w:cs="Times New Roman"/>
          <w:b/>
          <w:bCs/>
        </w:rPr>
        <w:t>Basic reading and Reading Comprehension</w:t>
      </w:r>
      <w:r w:rsidR="00561AF1" w:rsidRPr="009B5E9C">
        <w:rPr>
          <w:rFonts w:ascii="Times New Roman" w:hAnsi="Times New Roman" w:cs="Times New Roman"/>
        </w:rPr>
        <w:t>”</w:t>
      </w:r>
      <w:r w:rsidR="00151834" w:rsidRPr="009B5E9C">
        <w:rPr>
          <w:rFonts w:ascii="Times New Roman" w:hAnsi="Times New Roman" w:cs="Times New Roman"/>
        </w:rPr>
        <w:t>, and “</w:t>
      </w:r>
      <w:r w:rsidR="00151834" w:rsidRPr="009B5E9C">
        <w:rPr>
          <w:rFonts w:ascii="Times New Roman" w:hAnsi="Times New Roman" w:cs="Times New Roman"/>
          <w:b/>
          <w:bCs/>
        </w:rPr>
        <w:t>Reading and lexical characteristics</w:t>
      </w:r>
      <w:r w:rsidR="00151834" w:rsidRPr="009B5E9C">
        <w:rPr>
          <w:rFonts w:ascii="Times New Roman" w:hAnsi="Times New Roman" w:cs="Times New Roman"/>
        </w:rPr>
        <w:t>”,</w:t>
      </w:r>
      <w:r w:rsidR="00561AF1" w:rsidRPr="009B5E9C">
        <w:rPr>
          <w:rFonts w:ascii="Times New Roman" w:hAnsi="Times New Roman" w:cs="Times New Roman"/>
        </w:rPr>
        <w:t xml:space="preserve"> we list a series of empirical studies </w:t>
      </w:r>
      <w:r w:rsidR="00151834" w:rsidRPr="009B5E9C">
        <w:rPr>
          <w:rFonts w:ascii="Times New Roman" w:hAnsi="Times New Roman" w:cs="Times New Roman"/>
        </w:rPr>
        <w:t xml:space="preserve">on </w:t>
      </w:r>
      <w:r w:rsidR="00561AF1" w:rsidRPr="009B5E9C">
        <w:rPr>
          <w:rFonts w:ascii="Times New Roman" w:hAnsi="Times New Roman" w:cs="Times New Roman"/>
        </w:rPr>
        <w:t>providing evidence for the particular challenges practitioner</w:t>
      </w:r>
      <w:r w:rsidR="00151834" w:rsidRPr="009B5E9C">
        <w:rPr>
          <w:rFonts w:ascii="Times New Roman" w:hAnsi="Times New Roman" w:cs="Times New Roman"/>
        </w:rPr>
        <w:t xml:space="preserve"> </w:t>
      </w:r>
      <w:r w:rsidR="004318CB" w:rsidRPr="009B5E9C">
        <w:rPr>
          <w:rFonts w:ascii="Times New Roman" w:hAnsi="Times New Roman" w:cs="Times New Roman"/>
        </w:rPr>
        <w:t>and inter</w:t>
      </w:r>
      <w:r w:rsidR="00561AF1" w:rsidRPr="009B5E9C">
        <w:rPr>
          <w:rFonts w:ascii="Times New Roman" w:hAnsi="Times New Roman" w:cs="Times New Roman"/>
        </w:rPr>
        <w:t>-disciplinary researchers should consider when working with bi/multilingual subjects / patients.</w:t>
      </w:r>
    </w:p>
    <w:p w14:paraId="3E7BDEA8" w14:textId="77777777" w:rsidR="00881DEB" w:rsidRPr="009B5E9C" w:rsidRDefault="00881DEB" w:rsidP="00AA7499">
      <w:pPr>
        <w:pStyle w:val="CommentText"/>
        <w:spacing w:line="480" w:lineRule="auto"/>
        <w:ind w:firstLine="720"/>
        <w:rPr>
          <w:rFonts w:ascii="Times New Roman" w:hAnsi="Times New Roman" w:cs="Times New Roman"/>
        </w:rPr>
      </w:pPr>
    </w:p>
    <w:p w14:paraId="1B074BCE" w14:textId="35F59535" w:rsidR="00AA7499" w:rsidRPr="009B5E9C" w:rsidRDefault="00881DEB" w:rsidP="00881DEB">
      <w:pPr>
        <w:pStyle w:val="CommentText"/>
        <w:spacing w:line="480" w:lineRule="auto"/>
        <w:ind w:left="360" w:hanging="720"/>
        <w:jc w:val="center"/>
        <w:rPr>
          <w:rFonts w:ascii="Times New Roman" w:hAnsi="Times New Roman" w:cs="Times New Roman"/>
        </w:rPr>
      </w:pPr>
      <w:r w:rsidRPr="009B5E9C">
        <w:rPr>
          <w:rFonts w:ascii="Times New Roman" w:hAnsi="Times New Roman" w:cs="Times New Roman"/>
          <w:b/>
          <w:bCs/>
        </w:rPr>
        <w:t>Psycholinguistics and Bilingualism Studies</w:t>
      </w:r>
    </w:p>
    <w:p w14:paraId="563C3CB1" w14:textId="6EBBA05D" w:rsidR="0038435C" w:rsidRPr="009B5E9C" w:rsidRDefault="007B41CF" w:rsidP="00A90828">
      <w:pPr>
        <w:spacing w:line="480" w:lineRule="auto"/>
        <w:ind w:left="720" w:hanging="720"/>
      </w:pPr>
      <w:proofErr w:type="spellStart"/>
      <w:r w:rsidRPr="009B5E9C">
        <w:t>Elston-Güttler</w:t>
      </w:r>
      <w:proofErr w:type="spellEnd"/>
      <w:r w:rsidRPr="009B5E9C">
        <w:t xml:space="preserve">, K. E., Gunter, T. C., &amp; </w:t>
      </w:r>
      <w:proofErr w:type="spellStart"/>
      <w:r w:rsidRPr="009B5E9C">
        <w:t>Kotz</w:t>
      </w:r>
      <w:proofErr w:type="spellEnd"/>
      <w:r w:rsidRPr="009B5E9C">
        <w:t xml:space="preserve">, S. A. (2005). Zooming into L2: Global language context and adjustment affect processing of interlingual homographs in sentences. </w:t>
      </w:r>
      <w:r w:rsidRPr="009B5E9C">
        <w:rPr>
          <w:i/>
          <w:iCs/>
        </w:rPr>
        <w:t>Cognitive Brain Research</w:t>
      </w:r>
      <w:r w:rsidRPr="009B5E9C">
        <w:t xml:space="preserve">, </w:t>
      </w:r>
      <w:r w:rsidRPr="009B5E9C">
        <w:rPr>
          <w:i/>
          <w:iCs/>
        </w:rPr>
        <w:t>25</w:t>
      </w:r>
      <w:r w:rsidRPr="009B5E9C">
        <w:t xml:space="preserve">(1), 57–70. </w:t>
      </w:r>
      <w:hyperlink r:id="rId21" w:history="1">
        <w:r w:rsidRPr="009B5E9C">
          <w:rPr>
            <w:rStyle w:val="Hyperlink"/>
            <w:rFonts w:eastAsiaTheme="minorEastAsia"/>
          </w:rPr>
          <w:t>https://doi.org/10.1016/j.cogbrainres.2005.04.007</w:t>
        </w:r>
      </w:hyperlink>
    </w:p>
    <w:p w14:paraId="7663F496" w14:textId="2F041203" w:rsidR="00E2751E" w:rsidRPr="009B5E9C" w:rsidRDefault="0038435C" w:rsidP="00A90828">
      <w:pPr>
        <w:spacing w:line="480" w:lineRule="auto"/>
        <w:ind w:left="720" w:hanging="720"/>
      </w:pPr>
      <w:r w:rsidRPr="009B5E9C">
        <w:t xml:space="preserve">Friesen, D. C., Ward, O., </w:t>
      </w:r>
      <w:proofErr w:type="spellStart"/>
      <w:r w:rsidRPr="009B5E9C">
        <w:t>Bohnet</w:t>
      </w:r>
      <w:proofErr w:type="spellEnd"/>
      <w:r w:rsidRPr="009B5E9C">
        <w:t xml:space="preserve">, J., Cormier, P., &amp; Jared, D. (2020). Early activation of cross-language meaning from phonology during sentence processing. </w:t>
      </w:r>
      <w:r w:rsidRPr="009B5E9C">
        <w:rPr>
          <w:i/>
          <w:iCs/>
        </w:rPr>
        <w:t>Journal of Experimental Psychology: Learning, Memory, and Cognition</w:t>
      </w:r>
      <w:r w:rsidRPr="009B5E9C">
        <w:t xml:space="preserve">, </w:t>
      </w:r>
      <w:r w:rsidRPr="009B5E9C">
        <w:rPr>
          <w:i/>
          <w:iCs/>
        </w:rPr>
        <w:t>46</w:t>
      </w:r>
      <w:r w:rsidRPr="009B5E9C">
        <w:t xml:space="preserve">(9), 1754–1767. </w:t>
      </w:r>
      <w:hyperlink r:id="rId22" w:history="1">
        <w:r w:rsidRPr="009B5E9C">
          <w:rPr>
            <w:rStyle w:val="Hyperlink"/>
            <w:rFonts w:eastAsiaTheme="minorEastAsia"/>
          </w:rPr>
          <w:t>https://doi.org/10.1037/xlm0000849</w:t>
        </w:r>
      </w:hyperlink>
    </w:p>
    <w:p w14:paraId="14806D04" w14:textId="4A33CB3D" w:rsidR="004318CB" w:rsidRPr="009B5E9C" w:rsidRDefault="00031BA5" w:rsidP="00A90828">
      <w:pPr>
        <w:spacing w:line="480" w:lineRule="auto"/>
        <w:ind w:left="720" w:hanging="720"/>
      </w:pPr>
      <w:r w:rsidRPr="009B5E9C">
        <w:t xml:space="preserve">van </w:t>
      </w:r>
      <w:proofErr w:type="spellStart"/>
      <w:r w:rsidRPr="009B5E9C">
        <w:t>Assche</w:t>
      </w:r>
      <w:proofErr w:type="spellEnd"/>
      <w:r w:rsidRPr="009B5E9C">
        <w:t xml:space="preserve">, E., </w:t>
      </w:r>
      <w:proofErr w:type="spellStart"/>
      <w:r w:rsidRPr="009B5E9C">
        <w:t>Duyck</w:t>
      </w:r>
      <w:proofErr w:type="spellEnd"/>
      <w:r w:rsidRPr="009B5E9C">
        <w:t xml:space="preserve">, W., </w:t>
      </w:r>
      <w:proofErr w:type="spellStart"/>
      <w:r w:rsidRPr="009B5E9C">
        <w:t>Hartsuiker</w:t>
      </w:r>
      <w:proofErr w:type="spellEnd"/>
      <w:r w:rsidRPr="009B5E9C">
        <w:t xml:space="preserve">, R. J., &amp; Diependaele, K. (2009). Does Bilingualism Change Native-Language </w:t>
      </w:r>
      <w:r w:rsidR="00164A77" w:rsidRPr="009B5E9C">
        <w:t>Reading?</w:t>
      </w:r>
      <w:r w:rsidRPr="009B5E9C">
        <w:t xml:space="preserve"> Cognate Effects in a Sentence Context. Psychological Science, 20(8), 923–927. </w:t>
      </w:r>
      <w:hyperlink r:id="rId23" w:history="1">
        <w:r w:rsidR="004318CB" w:rsidRPr="009B5E9C">
          <w:rPr>
            <w:rStyle w:val="Hyperlink"/>
          </w:rPr>
          <w:t>https://doi.org/10.1111/j.1467-9280.2009.02389.x</w:t>
        </w:r>
      </w:hyperlink>
    </w:p>
    <w:p w14:paraId="55B595C9" w14:textId="4008CE4F" w:rsidR="00031BA5" w:rsidRPr="009B5E9C" w:rsidRDefault="004318CB" w:rsidP="00A90828">
      <w:pPr>
        <w:spacing w:line="480" w:lineRule="auto"/>
        <w:ind w:left="720" w:hanging="720"/>
        <w:rPr>
          <w:b/>
          <w:bCs/>
        </w:rPr>
      </w:pPr>
      <w:r w:rsidRPr="009B5E9C">
        <w:rPr>
          <w:b/>
          <w:bCs/>
        </w:rPr>
        <w:t xml:space="preserve">Whitford, V., &amp; Titone, D. (2016). Eye movements and the perceptual span during first- and second-language sentence reading in bilingual older adults. </w:t>
      </w:r>
      <w:r w:rsidRPr="009B5E9C">
        <w:rPr>
          <w:b/>
          <w:bCs/>
          <w:i/>
          <w:iCs/>
        </w:rPr>
        <w:t>Psychology and Aging</w:t>
      </w:r>
      <w:r w:rsidRPr="009B5E9C">
        <w:rPr>
          <w:b/>
          <w:bCs/>
        </w:rPr>
        <w:t xml:space="preserve">, </w:t>
      </w:r>
      <w:r w:rsidRPr="009B5E9C">
        <w:rPr>
          <w:b/>
          <w:bCs/>
          <w:i/>
          <w:iCs/>
        </w:rPr>
        <w:t>31</w:t>
      </w:r>
      <w:r w:rsidRPr="009B5E9C">
        <w:rPr>
          <w:b/>
          <w:bCs/>
        </w:rPr>
        <w:t xml:space="preserve">(1), 58–70. </w:t>
      </w:r>
      <w:hyperlink r:id="rId24" w:history="1">
        <w:r w:rsidRPr="009B5E9C">
          <w:rPr>
            <w:rStyle w:val="Hyperlink"/>
            <w:rFonts w:eastAsiaTheme="minorEastAsia"/>
            <w:b/>
            <w:bCs/>
          </w:rPr>
          <w:t>https://doi.org/10.1037/a0039971</w:t>
        </w:r>
      </w:hyperlink>
    </w:p>
    <w:p w14:paraId="1FC014B2" w14:textId="5C559F32" w:rsidR="00031BA5" w:rsidRPr="009B5E9C" w:rsidDel="0038435C" w:rsidRDefault="002F6CDC" w:rsidP="00A90828">
      <w:pPr>
        <w:spacing w:line="480" w:lineRule="auto"/>
        <w:ind w:left="720" w:hanging="720"/>
        <w:rPr>
          <w:b/>
          <w:bCs/>
        </w:rPr>
      </w:pPr>
      <w:r w:rsidRPr="009B5E9C">
        <w:rPr>
          <w:b/>
          <w:bCs/>
        </w:rPr>
        <w:lastRenderedPageBreak/>
        <w:t xml:space="preserve">Yamasaki, B. L., &amp; Prat, C. S. (2014). The Importance of Managing Interference for Second Language Reading Ability: An Individual Differences Investigation. </w:t>
      </w:r>
      <w:r w:rsidRPr="009B5E9C">
        <w:rPr>
          <w:b/>
          <w:bCs/>
          <w:i/>
          <w:iCs/>
        </w:rPr>
        <w:t>Discourse Processes</w:t>
      </w:r>
      <w:r w:rsidRPr="009B5E9C">
        <w:rPr>
          <w:b/>
          <w:bCs/>
        </w:rPr>
        <w:t xml:space="preserve">, </w:t>
      </w:r>
      <w:r w:rsidRPr="009B5E9C">
        <w:rPr>
          <w:b/>
          <w:bCs/>
          <w:i/>
          <w:iCs/>
        </w:rPr>
        <w:t>51</w:t>
      </w:r>
      <w:r w:rsidRPr="009B5E9C">
        <w:rPr>
          <w:b/>
          <w:bCs/>
        </w:rPr>
        <w:t xml:space="preserve">(5–6), 445–467. </w:t>
      </w:r>
      <w:hyperlink r:id="rId25" w:history="1">
        <w:r w:rsidRPr="009B5E9C">
          <w:rPr>
            <w:rStyle w:val="Hyperlink"/>
            <w:rFonts w:eastAsiaTheme="minorEastAsia"/>
            <w:b/>
            <w:bCs/>
          </w:rPr>
          <w:t>https://doi.org/10.1080/0163853X.2014.913415</w:t>
        </w:r>
      </w:hyperlink>
    </w:p>
    <w:p w14:paraId="66F26D08" w14:textId="3A301294" w:rsidR="0088485B" w:rsidRPr="009B5E9C" w:rsidRDefault="0088485B" w:rsidP="00A90828">
      <w:pPr>
        <w:pStyle w:val="ListParagraph"/>
        <w:spacing w:line="480" w:lineRule="auto"/>
        <w:ind w:left="0" w:hanging="720"/>
        <w:rPr>
          <w:rStyle w:val="Hyperlink"/>
          <w:rFonts w:eastAsiaTheme="minorEastAsia"/>
        </w:rPr>
      </w:pPr>
    </w:p>
    <w:p w14:paraId="5A848DFB" w14:textId="67A1DF1A" w:rsidR="00AA7499" w:rsidRPr="009B5E9C" w:rsidRDefault="0088485B" w:rsidP="00A90828">
      <w:pPr>
        <w:pStyle w:val="ListParagraph"/>
        <w:spacing w:line="480" w:lineRule="auto"/>
        <w:ind w:left="0" w:hanging="720"/>
        <w:jc w:val="center"/>
        <w:rPr>
          <w:rFonts w:eastAsiaTheme="minorEastAsia"/>
          <w:b/>
          <w:bCs/>
        </w:rPr>
      </w:pPr>
      <w:r w:rsidRPr="009B5E9C">
        <w:rPr>
          <w:rFonts w:eastAsiaTheme="minorEastAsia"/>
          <w:b/>
          <w:bCs/>
        </w:rPr>
        <w:t>Basic reading</w:t>
      </w:r>
      <w:r w:rsidR="00142B59" w:rsidRPr="009B5E9C">
        <w:rPr>
          <w:rFonts w:eastAsiaTheme="minorEastAsia"/>
          <w:b/>
          <w:bCs/>
        </w:rPr>
        <w:t xml:space="preserve"> and Reading Comprehension</w:t>
      </w:r>
    </w:p>
    <w:p w14:paraId="64CBDDB4" w14:textId="77777777" w:rsidR="00706354" w:rsidRPr="009B5E9C" w:rsidRDefault="00706354" w:rsidP="004D63C2">
      <w:pPr>
        <w:pStyle w:val="ListParagraph"/>
        <w:spacing w:line="480" w:lineRule="auto"/>
        <w:ind w:left="0" w:hanging="720"/>
        <w:jc w:val="center"/>
      </w:pPr>
    </w:p>
    <w:p w14:paraId="7E8834D3" w14:textId="2CDF7CCD" w:rsidR="00031BA5" w:rsidRPr="009B5E9C" w:rsidRDefault="00031BA5" w:rsidP="00A90828">
      <w:pPr>
        <w:spacing w:line="480" w:lineRule="auto"/>
        <w:ind w:left="720" w:hanging="720"/>
      </w:pPr>
      <w:r w:rsidRPr="009B5E9C">
        <w:t xml:space="preserve">Andrews, S. (2015). Individual differences among skilled readers: The role of lexical quality. In </w:t>
      </w:r>
      <w:r w:rsidRPr="009B5E9C">
        <w:rPr>
          <w:i/>
          <w:iCs/>
        </w:rPr>
        <w:t>The Oxford handbook of reading</w:t>
      </w:r>
      <w:r w:rsidRPr="009B5E9C">
        <w:t xml:space="preserve"> (pp. 129–148). Oxford University Press.</w:t>
      </w:r>
    </w:p>
    <w:p w14:paraId="5CE3654D" w14:textId="14C37E9F" w:rsidR="00031BA5" w:rsidRPr="009B5E9C" w:rsidRDefault="00031BA5" w:rsidP="00A90828">
      <w:pPr>
        <w:spacing w:line="480" w:lineRule="auto"/>
        <w:ind w:left="720" w:hanging="720"/>
        <w:rPr>
          <w:b/>
          <w:bCs/>
        </w:rPr>
      </w:pPr>
      <w:r w:rsidRPr="009B5E9C">
        <w:rPr>
          <w:b/>
          <w:bCs/>
        </w:rPr>
        <w:t xml:space="preserve">Clifton, C., Ferreira, F., Henderson, J. M., </w:t>
      </w:r>
      <w:proofErr w:type="spellStart"/>
      <w:r w:rsidRPr="009B5E9C">
        <w:rPr>
          <w:b/>
          <w:bCs/>
        </w:rPr>
        <w:t>Inhoff</w:t>
      </w:r>
      <w:proofErr w:type="spellEnd"/>
      <w:r w:rsidRPr="009B5E9C">
        <w:rPr>
          <w:b/>
          <w:bCs/>
        </w:rPr>
        <w:t xml:space="preserve">, A. W., </w:t>
      </w:r>
      <w:proofErr w:type="spellStart"/>
      <w:r w:rsidRPr="009B5E9C">
        <w:rPr>
          <w:b/>
          <w:bCs/>
        </w:rPr>
        <w:t>Liversedge</w:t>
      </w:r>
      <w:proofErr w:type="spellEnd"/>
      <w:r w:rsidRPr="009B5E9C">
        <w:rPr>
          <w:b/>
          <w:bCs/>
        </w:rPr>
        <w:t xml:space="preserve">, S. P., </w:t>
      </w:r>
      <w:proofErr w:type="spellStart"/>
      <w:r w:rsidRPr="009B5E9C">
        <w:rPr>
          <w:b/>
          <w:bCs/>
        </w:rPr>
        <w:t>Reichle</w:t>
      </w:r>
      <w:proofErr w:type="spellEnd"/>
      <w:r w:rsidRPr="009B5E9C">
        <w:rPr>
          <w:b/>
          <w:bCs/>
        </w:rPr>
        <w:t xml:space="preserve">, E. D., &amp; </w:t>
      </w:r>
      <w:proofErr w:type="spellStart"/>
      <w:r w:rsidRPr="009B5E9C">
        <w:rPr>
          <w:b/>
          <w:bCs/>
        </w:rPr>
        <w:t>Schotter</w:t>
      </w:r>
      <w:proofErr w:type="spellEnd"/>
      <w:r w:rsidRPr="009B5E9C">
        <w:rPr>
          <w:b/>
          <w:bCs/>
        </w:rPr>
        <w:t xml:space="preserve">, E. R. (2016). Eye movements in reading and information processing: Keith Rayner’s 40year legacy. </w:t>
      </w:r>
      <w:r w:rsidRPr="009B5E9C">
        <w:rPr>
          <w:b/>
          <w:bCs/>
          <w:i/>
          <w:iCs/>
        </w:rPr>
        <w:t>Journal of Memory and Language</w:t>
      </w:r>
      <w:r w:rsidRPr="009B5E9C">
        <w:rPr>
          <w:b/>
          <w:bCs/>
        </w:rPr>
        <w:t xml:space="preserve">, </w:t>
      </w:r>
      <w:r w:rsidRPr="009B5E9C">
        <w:rPr>
          <w:b/>
          <w:bCs/>
          <w:i/>
          <w:iCs/>
        </w:rPr>
        <w:t>86</w:t>
      </w:r>
      <w:r w:rsidRPr="009B5E9C">
        <w:rPr>
          <w:b/>
          <w:bCs/>
        </w:rPr>
        <w:t xml:space="preserve">, 1–19. </w:t>
      </w:r>
      <w:hyperlink r:id="rId26" w:history="1">
        <w:r w:rsidRPr="009B5E9C">
          <w:rPr>
            <w:rStyle w:val="Hyperlink"/>
            <w:rFonts w:eastAsiaTheme="minorEastAsia"/>
            <w:b/>
            <w:bCs/>
          </w:rPr>
          <w:t>https://doi.org/10.1016/j.jml.2015.07.004</w:t>
        </w:r>
      </w:hyperlink>
    </w:p>
    <w:p w14:paraId="24AAA091" w14:textId="2ADD4B71" w:rsidR="00031BA5" w:rsidRPr="009B5E9C" w:rsidRDefault="00031BA5" w:rsidP="00A90828">
      <w:pPr>
        <w:spacing w:line="480" w:lineRule="auto"/>
        <w:ind w:left="720" w:hanging="720"/>
        <w:rPr>
          <w:b/>
          <w:bCs/>
        </w:rPr>
      </w:pPr>
      <w:r w:rsidRPr="009B5E9C">
        <w:rPr>
          <w:b/>
          <w:bCs/>
        </w:rPr>
        <w:t xml:space="preserve">Ferreira, F., &amp; </w:t>
      </w:r>
      <w:proofErr w:type="spellStart"/>
      <w:r w:rsidRPr="009B5E9C">
        <w:rPr>
          <w:b/>
          <w:bCs/>
        </w:rPr>
        <w:t>Chantavarin</w:t>
      </w:r>
      <w:proofErr w:type="spellEnd"/>
      <w:r w:rsidRPr="009B5E9C">
        <w:rPr>
          <w:b/>
          <w:bCs/>
        </w:rPr>
        <w:t xml:space="preserve">, S. (2018). Integration and Prediction in Language Processing: A Synthesis of Old and New. </w:t>
      </w:r>
      <w:r w:rsidRPr="009B5E9C">
        <w:rPr>
          <w:b/>
          <w:bCs/>
          <w:i/>
          <w:iCs/>
        </w:rPr>
        <w:t>Current Directions in Psychological Science</w:t>
      </w:r>
      <w:r w:rsidRPr="009B5E9C">
        <w:rPr>
          <w:b/>
          <w:bCs/>
        </w:rPr>
        <w:t xml:space="preserve">, </w:t>
      </w:r>
      <w:r w:rsidRPr="009B5E9C">
        <w:rPr>
          <w:b/>
          <w:bCs/>
          <w:i/>
          <w:iCs/>
        </w:rPr>
        <w:t>27</w:t>
      </w:r>
      <w:r w:rsidRPr="009B5E9C">
        <w:rPr>
          <w:b/>
          <w:bCs/>
        </w:rPr>
        <w:t xml:space="preserve">(6), 443–448. </w:t>
      </w:r>
      <w:hyperlink r:id="rId27" w:history="1">
        <w:r w:rsidRPr="009B5E9C">
          <w:rPr>
            <w:rStyle w:val="Hyperlink"/>
            <w:rFonts w:eastAsiaTheme="minorEastAsia"/>
            <w:b/>
            <w:bCs/>
          </w:rPr>
          <w:t>https://doi.org/10.1177/0963721418794491</w:t>
        </w:r>
      </w:hyperlink>
    </w:p>
    <w:p w14:paraId="64754123" w14:textId="06A3F1F1" w:rsidR="00142B59" w:rsidRPr="009B5E9C" w:rsidRDefault="00031BA5" w:rsidP="00A90828">
      <w:pPr>
        <w:spacing w:line="480" w:lineRule="auto"/>
        <w:ind w:left="720" w:hanging="720"/>
      </w:pPr>
      <w:r w:rsidRPr="009B5E9C">
        <w:t xml:space="preserve">Ferreira, F., &amp; Yang, Z. (2019). The Problem of Comprehension in Psycholinguistics. </w:t>
      </w:r>
      <w:r w:rsidRPr="009B5E9C">
        <w:rPr>
          <w:i/>
          <w:iCs/>
        </w:rPr>
        <w:t>Discourse Processes</w:t>
      </w:r>
      <w:r w:rsidRPr="009B5E9C">
        <w:t xml:space="preserve">, </w:t>
      </w:r>
      <w:r w:rsidRPr="009B5E9C">
        <w:rPr>
          <w:i/>
          <w:iCs/>
        </w:rPr>
        <w:t>56</w:t>
      </w:r>
      <w:r w:rsidRPr="009B5E9C">
        <w:t xml:space="preserve">(7), 485–495. </w:t>
      </w:r>
      <w:hyperlink r:id="rId28" w:history="1">
        <w:r w:rsidRPr="009B5E9C">
          <w:rPr>
            <w:rStyle w:val="Hyperlink"/>
            <w:rFonts w:eastAsiaTheme="minorEastAsia"/>
          </w:rPr>
          <w:t>https://doi.org/10.1080/0163853X.2019.1591885</w:t>
        </w:r>
      </w:hyperlink>
    </w:p>
    <w:p w14:paraId="083D6B28" w14:textId="5A854D64" w:rsidR="00031BA5" w:rsidRPr="009B5E9C" w:rsidRDefault="00142B59" w:rsidP="00A90828">
      <w:pPr>
        <w:spacing w:line="480" w:lineRule="auto"/>
        <w:ind w:left="720" w:hanging="720"/>
        <w:rPr>
          <w:b/>
          <w:bCs/>
        </w:rPr>
      </w:pPr>
      <w:r w:rsidRPr="009B5E9C">
        <w:rPr>
          <w:b/>
          <w:bCs/>
        </w:rPr>
        <w:t xml:space="preserve">Li, P., &amp; </w:t>
      </w:r>
      <w:proofErr w:type="spellStart"/>
      <w:r w:rsidRPr="009B5E9C">
        <w:rPr>
          <w:b/>
          <w:bCs/>
        </w:rPr>
        <w:t>Clariana</w:t>
      </w:r>
      <w:proofErr w:type="spellEnd"/>
      <w:r w:rsidRPr="009B5E9C">
        <w:rPr>
          <w:b/>
          <w:bCs/>
        </w:rPr>
        <w:t xml:space="preserve">, R. B. (2019). Reading comprehension in L1 and L2: An integrative approach. </w:t>
      </w:r>
      <w:r w:rsidRPr="009B5E9C">
        <w:rPr>
          <w:b/>
          <w:bCs/>
          <w:i/>
          <w:iCs/>
        </w:rPr>
        <w:t>Journal of Neurolinguistics</w:t>
      </w:r>
      <w:r w:rsidRPr="009B5E9C">
        <w:rPr>
          <w:b/>
          <w:bCs/>
        </w:rPr>
        <w:t xml:space="preserve">, </w:t>
      </w:r>
      <w:r w:rsidRPr="009B5E9C">
        <w:rPr>
          <w:b/>
          <w:bCs/>
          <w:i/>
          <w:iCs/>
        </w:rPr>
        <w:t>50</w:t>
      </w:r>
      <w:r w:rsidRPr="009B5E9C">
        <w:rPr>
          <w:b/>
          <w:bCs/>
        </w:rPr>
        <w:t xml:space="preserve">, 94–105. </w:t>
      </w:r>
      <w:hyperlink r:id="rId29" w:history="1">
        <w:r w:rsidRPr="009B5E9C">
          <w:rPr>
            <w:rStyle w:val="Hyperlink"/>
            <w:rFonts w:eastAsiaTheme="minorEastAsia"/>
            <w:b/>
            <w:bCs/>
          </w:rPr>
          <w:t>https://doi.org/10.1016/j.jneuroling.2018.03.005</w:t>
        </w:r>
      </w:hyperlink>
    </w:p>
    <w:p w14:paraId="06B511D8" w14:textId="46F6E0ED" w:rsidR="00A90828" w:rsidRPr="009B5E9C" w:rsidRDefault="0084265B" w:rsidP="00A90828">
      <w:pPr>
        <w:spacing w:line="480" w:lineRule="auto"/>
        <w:ind w:left="720" w:hanging="720"/>
        <w:rPr>
          <w:rStyle w:val="Hyperlink"/>
          <w:rFonts w:eastAsiaTheme="minorEastAsia"/>
        </w:rPr>
      </w:pPr>
      <w:proofErr w:type="spellStart"/>
      <w:r w:rsidRPr="009B5E9C">
        <w:t>Pollatsek</w:t>
      </w:r>
      <w:proofErr w:type="spellEnd"/>
      <w:r w:rsidRPr="009B5E9C">
        <w:t xml:space="preserve">, A., &amp; </w:t>
      </w:r>
      <w:proofErr w:type="spellStart"/>
      <w:r w:rsidRPr="009B5E9C">
        <w:t>Treiman</w:t>
      </w:r>
      <w:proofErr w:type="spellEnd"/>
      <w:r w:rsidRPr="009B5E9C">
        <w:t xml:space="preserve">, R. (2015, September 1). </w:t>
      </w:r>
      <w:r w:rsidRPr="009B5E9C">
        <w:rPr>
          <w:i/>
          <w:iCs/>
        </w:rPr>
        <w:t>The Oxford Handbook of Reading</w:t>
      </w:r>
      <w:r w:rsidRPr="009B5E9C">
        <w:t xml:space="preserve">. The Oxford Handbook of Reading. </w:t>
      </w:r>
      <w:hyperlink r:id="rId30" w:history="1">
        <w:r w:rsidR="00A90828" w:rsidRPr="009B5E9C">
          <w:rPr>
            <w:rStyle w:val="Hyperlink"/>
            <w:rFonts w:eastAsiaTheme="minorEastAsia"/>
          </w:rPr>
          <w:t>https://doi.org/10.1093/oxfordhb/9780199324576.013.32</w:t>
        </w:r>
      </w:hyperlink>
    </w:p>
    <w:p w14:paraId="45F5ABF9" w14:textId="77777777" w:rsidR="00887053" w:rsidRPr="009B5E9C" w:rsidRDefault="00887053" w:rsidP="00A90828">
      <w:pPr>
        <w:spacing w:line="480" w:lineRule="auto"/>
        <w:ind w:left="720" w:hanging="720"/>
        <w:rPr>
          <w:rStyle w:val="Hyperlink"/>
          <w:rFonts w:eastAsiaTheme="minorEastAsia"/>
        </w:rPr>
      </w:pPr>
    </w:p>
    <w:p w14:paraId="0472AEC9" w14:textId="1D3EC328" w:rsidR="006C313B" w:rsidRPr="009B5E9C" w:rsidRDefault="000C6E78" w:rsidP="00A90828">
      <w:pPr>
        <w:pStyle w:val="CommentText"/>
        <w:spacing w:line="480" w:lineRule="auto"/>
        <w:jc w:val="center"/>
        <w:rPr>
          <w:rFonts w:ascii="Times New Roman" w:hAnsi="Times New Roman" w:cs="Times New Roman"/>
          <w:b/>
          <w:bCs/>
        </w:rPr>
      </w:pPr>
      <w:r w:rsidRPr="009B5E9C">
        <w:rPr>
          <w:rFonts w:ascii="Times New Roman" w:hAnsi="Times New Roman" w:cs="Times New Roman"/>
          <w:b/>
          <w:bCs/>
        </w:rPr>
        <w:t xml:space="preserve">Reading </w:t>
      </w:r>
      <w:r w:rsidR="006019A7" w:rsidRPr="009B5E9C">
        <w:rPr>
          <w:rFonts w:ascii="Times New Roman" w:hAnsi="Times New Roman" w:cs="Times New Roman"/>
          <w:b/>
          <w:bCs/>
        </w:rPr>
        <w:t xml:space="preserve">and </w:t>
      </w:r>
      <w:r w:rsidR="00267E8B" w:rsidRPr="009B5E9C">
        <w:rPr>
          <w:rFonts w:ascii="Times New Roman" w:hAnsi="Times New Roman" w:cs="Times New Roman"/>
          <w:b/>
          <w:bCs/>
        </w:rPr>
        <w:t>lexical characteristics</w:t>
      </w:r>
    </w:p>
    <w:p w14:paraId="0BD194D9" w14:textId="77777777" w:rsidR="00AA7499" w:rsidRPr="009B5E9C" w:rsidRDefault="00AA7499" w:rsidP="00A90828">
      <w:pPr>
        <w:pStyle w:val="CommentText"/>
        <w:spacing w:line="480" w:lineRule="auto"/>
        <w:jc w:val="center"/>
        <w:rPr>
          <w:rFonts w:ascii="Times New Roman" w:hAnsi="Times New Roman" w:cs="Times New Roman"/>
        </w:rPr>
      </w:pPr>
    </w:p>
    <w:p w14:paraId="629FF642" w14:textId="43D4FCB9" w:rsidR="00706354" w:rsidRPr="009B5E9C" w:rsidRDefault="006019A7" w:rsidP="00A90828">
      <w:pPr>
        <w:spacing w:line="480" w:lineRule="auto"/>
        <w:ind w:left="720" w:hanging="720"/>
      </w:pPr>
      <w:proofErr w:type="spellStart"/>
      <w:r w:rsidRPr="009B5E9C">
        <w:lastRenderedPageBreak/>
        <w:t>Baayen</w:t>
      </w:r>
      <w:proofErr w:type="spellEnd"/>
      <w:r w:rsidRPr="009B5E9C">
        <w:t xml:space="preserve">, R. H., </w:t>
      </w:r>
      <w:proofErr w:type="spellStart"/>
      <w:r w:rsidRPr="009B5E9C">
        <w:t>Milin</w:t>
      </w:r>
      <w:proofErr w:type="spellEnd"/>
      <w:r w:rsidRPr="009B5E9C">
        <w:t xml:space="preserve">, P., &amp; </w:t>
      </w:r>
      <w:proofErr w:type="spellStart"/>
      <w:r w:rsidRPr="009B5E9C">
        <w:t>Ramscar</w:t>
      </w:r>
      <w:proofErr w:type="spellEnd"/>
      <w:r w:rsidRPr="009B5E9C">
        <w:t xml:space="preserve">, M. (2016). Frequency in lexical processing. </w:t>
      </w:r>
      <w:r w:rsidRPr="009B5E9C">
        <w:rPr>
          <w:i/>
          <w:iCs/>
        </w:rPr>
        <w:t>Aphasiology</w:t>
      </w:r>
      <w:r w:rsidRPr="009B5E9C">
        <w:t xml:space="preserve">, </w:t>
      </w:r>
      <w:r w:rsidRPr="009B5E9C">
        <w:rPr>
          <w:i/>
          <w:iCs/>
        </w:rPr>
        <w:t>30</w:t>
      </w:r>
      <w:r w:rsidRPr="009B5E9C">
        <w:t xml:space="preserve">(11), 1174–1220. </w:t>
      </w:r>
      <w:hyperlink r:id="rId31" w:history="1">
        <w:r w:rsidRPr="009B5E9C">
          <w:rPr>
            <w:rStyle w:val="Hyperlink"/>
            <w:rFonts w:eastAsiaTheme="minorEastAsia"/>
          </w:rPr>
          <w:t>https://doi.org/10.1080/02687038.2016.1147767</w:t>
        </w:r>
      </w:hyperlink>
    </w:p>
    <w:p w14:paraId="3D66C21F" w14:textId="5CF01F7F" w:rsidR="005806EA" w:rsidRPr="009B5E9C" w:rsidRDefault="000C6E78" w:rsidP="00A90828">
      <w:pPr>
        <w:spacing w:line="480" w:lineRule="auto"/>
        <w:ind w:left="720" w:hanging="720"/>
      </w:pPr>
      <w:proofErr w:type="spellStart"/>
      <w:r w:rsidRPr="009B5E9C">
        <w:t>Brysbaert</w:t>
      </w:r>
      <w:proofErr w:type="spellEnd"/>
      <w:r w:rsidRPr="009B5E9C">
        <w:t xml:space="preserve">, M., Mandera, P., &amp; </w:t>
      </w:r>
      <w:proofErr w:type="spellStart"/>
      <w:r w:rsidRPr="009B5E9C">
        <w:t>Keuleers</w:t>
      </w:r>
      <w:proofErr w:type="spellEnd"/>
      <w:r w:rsidRPr="009B5E9C">
        <w:t xml:space="preserve">, E. (2018). The Word Frequency Effect in Word Processing: An Updated Review. </w:t>
      </w:r>
      <w:r w:rsidRPr="009B5E9C">
        <w:rPr>
          <w:i/>
          <w:iCs/>
        </w:rPr>
        <w:t>Current Directions in Psychological Science</w:t>
      </w:r>
      <w:r w:rsidRPr="009B5E9C">
        <w:t xml:space="preserve">, </w:t>
      </w:r>
      <w:r w:rsidRPr="009B5E9C">
        <w:rPr>
          <w:i/>
          <w:iCs/>
        </w:rPr>
        <w:t>27</w:t>
      </w:r>
      <w:r w:rsidRPr="009B5E9C">
        <w:t xml:space="preserve">(1), 45–50. </w:t>
      </w:r>
      <w:hyperlink r:id="rId32" w:history="1">
        <w:r w:rsidRPr="009B5E9C">
          <w:rPr>
            <w:rStyle w:val="Hyperlink"/>
            <w:rFonts w:eastAsiaTheme="minorEastAsia"/>
          </w:rPr>
          <w:t>https://doi.org/10.1177/0963721417727521</w:t>
        </w:r>
      </w:hyperlink>
    </w:p>
    <w:p w14:paraId="1C7D4233" w14:textId="02F52042" w:rsidR="007B52DC" w:rsidRPr="009B5E9C" w:rsidRDefault="005806EA" w:rsidP="00A90828">
      <w:pPr>
        <w:spacing w:line="480" w:lineRule="auto"/>
        <w:ind w:left="720" w:hanging="720"/>
        <w:rPr>
          <w:rStyle w:val="Hyperlink"/>
          <w:rFonts w:eastAsiaTheme="minorEastAsia"/>
        </w:rPr>
      </w:pPr>
      <w:proofErr w:type="spellStart"/>
      <w:r w:rsidRPr="009B5E9C">
        <w:t>Bultena</w:t>
      </w:r>
      <w:proofErr w:type="spellEnd"/>
      <w:r w:rsidRPr="009B5E9C">
        <w:t xml:space="preserve">, S., Dijkstra, T., &amp; Hell, J. G. V. (2015). Language switch costs in sentence comprehension depend on language dominance: Evidence from self-paced reading*. </w:t>
      </w:r>
      <w:r w:rsidRPr="009B5E9C">
        <w:rPr>
          <w:i/>
          <w:iCs/>
        </w:rPr>
        <w:t>Bilingualism: Language and Cognition</w:t>
      </w:r>
      <w:r w:rsidRPr="009B5E9C">
        <w:t xml:space="preserve">, </w:t>
      </w:r>
      <w:r w:rsidRPr="009B5E9C">
        <w:rPr>
          <w:i/>
          <w:iCs/>
        </w:rPr>
        <w:t>18</w:t>
      </w:r>
      <w:r w:rsidRPr="009B5E9C">
        <w:t xml:space="preserve">(3), 453–469. </w:t>
      </w:r>
      <w:hyperlink r:id="rId33" w:history="1">
        <w:r w:rsidRPr="009B5E9C">
          <w:rPr>
            <w:rStyle w:val="Hyperlink"/>
            <w:rFonts w:eastAsiaTheme="minorEastAsia"/>
          </w:rPr>
          <w:t>https://doi.org/10.1017/S1366728914000145</w:t>
        </w:r>
      </w:hyperlink>
    </w:p>
    <w:p w14:paraId="63ECF2B5" w14:textId="10E344A5" w:rsidR="00706354" w:rsidRPr="009B5E9C" w:rsidRDefault="007B52DC" w:rsidP="00A90828">
      <w:pPr>
        <w:spacing w:line="480" w:lineRule="auto"/>
        <w:ind w:left="720" w:hanging="720"/>
        <w:rPr>
          <w:b/>
          <w:bCs/>
        </w:rPr>
      </w:pPr>
      <w:r w:rsidRPr="009B5E9C">
        <w:rPr>
          <w:b/>
          <w:bCs/>
        </w:rPr>
        <w:t xml:space="preserve">Whitford, V., &amp; Titone, D. (2012). Second-language experience modulates first- and second-language word frequency effects: Evidence from eye movement measures of natural paragraph reading. </w:t>
      </w:r>
      <w:r w:rsidRPr="009B5E9C">
        <w:rPr>
          <w:b/>
          <w:bCs/>
          <w:i/>
          <w:iCs/>
        </w:rPr>
        <w:t>Psychonomic Bulletin &amp; Review</w:t>
      </w:r>
      <w:r w:rsidRPr="009B5E9C">
        <w:rPr>
          <w:b/>
          <w:bCs/>
        </w:rPr>
        <w:t xml:space="preserve">, </w:t>
      </w:r>
      <w:r w:rsidRPr="009B5E9C">
        <w:rPr>
          <w:b/>
          <w:bCs/>
          <w:i/>
          <w:iCs/>
        </w:rPr>
        <w:t>19</w:t>
      </w:r>
      <w:r w:rsidRPr="009B5E9C">
        <w:rPr>
          <w:b/>
          <w:bCs/>
        </w:rPr>
        <w:t xml:space="preserve">(1), 73–80. </w:t>
      </w:r>
      <w:hyperlink r:id="rId34" w:history="1">
        <w:r w:rsidRPr="009B5E9C">
          <w:rPr>
            <w:rStyle w:val="Hyperlink"/>
            <w:rFonts w:eastAsiaTheme="minorEastAsia"/>
            <w:b/>
            <w:bCs/>
          </w:rPr>
          <w:t>https://doi.org/10.3758/s13423-011-0179-5</w:t>
        </w:r>
      </w:hyperlink>
    </w:p>
    <w:p w14:paraId="4A4EEF2A" w14:textId="77777777" w:rsidR="00A90828" w:rsidRPr="009B5E9C" w:rsidRDefault="00A90828" w:rsidP="00A90828">
      <w:pPr>
        <w:spacing w:line="480" w:lineRule="auto"/>
        <w:ind w:hanging="720"/>
        <w:jc w:val="center"/>
        <w:rPr>
          <w:b/>
          <w:bCs/>
          <w:color w:val="000000" w:themeColor="text1"/>
        </w:rPr>
      </w:pPr>
    </w:p>
    <w:p w14:paraId="37DFA6C6" w14:textId="4B283C3E" w:rsidR="00AA7499" w:rsidRPr="009B5E9C" w:rsidRDefault="00A90828" w:rsidP="00881DEB">
      <w:pPr>
        <w:spacing w:line="480" w:lineRule="auto"/>
        <w:ind w:hanging="720"/>
        <w:jc w:val="center"/>
      </w:pPr>
      <w:r w:rsidRPr="009B5E9C">
        <w:rPr>
          <w:b/>
          <w:bCs/>
          <w:color w:val="000000" w:themeColor="text1"/>
        </w:rPr>
        <w:t xml:space="preserve">Functional </w:t>
      </w:r>
      <w:r w:rsidR="00CD6AB2" w:rsidRPr="009B5E9C">
        <w:rPr>
          <w:b/>
          <w:bCs/>
          <w:color w:val="000000" w:themeColor="text1"/>
        </w:rPr>
        <w:t>Literacy</w:t>
      </w:r>
    </w:p>
    <w:p w14:paraId="76F915F5" w14:textId="4C209EB6" w:rsidR="006C313B" w:rsidRPr="009B5E9C" w:rsidRDefault="0084265B" w:rsidP="00A90828">
      <w:pPr>
        <w:spacing w:line="480" w:lineRule="auto"/>
        <w:ind w:left="720" w:hanging="720"/>
      </w:pPr>
      <w:r w:rsidRPr="009B5E9C">
        <w:t xml:space="preserve">Bulajić, A., </w:t>
      </w:r>
      <w:proofErr w:type="spellStart"/>
      <w:r w:rsidRPr="009B5E9C">
        <w:t>Despotović</w:t>
      </w:r>
      <w:proofErr w:type="spellEnd"/>
      <w:r w:rsidRPr="009B5E9C">
        <w:t xml:space="preserve">, M., &amp; </w:t>
      </w:r>
      <w:proofErr w:type="spellStart"/>
      <w:r w:rsidRPr="009B5E9C">
        <w:t>Lachmann</w:t>
      </w:r>
      <w:proofErr w:type="spellEnd"/>
      <w:r w:rsidRPr="009B5E9C">
        <w:t xml:space="preserve">, T. (2019). Understanding functional illiteracy from a policy, adult education, and cognition point of view: Towards a joint referent framework. </w:t>
      </w:r>
      <w:proofErr w:type="spellStart"/>
      <w:r w:rsidRPr="009B5E9C">
        <w:rPr>
          <w:i/>
          <w:iCs/>
        </w:rPr>
        <w:t>Zeitschrift</w:t>
      </w:r>
      <w:proofErr w:type="spellEnd"/>
      <w:r w:rsidRPr="009B5E9C">
        <w:rPr>
          <w:i/>
          <w:iCs/>
        </w:rPr>
        <w:t xml:space="preserve"> </w:t>
      </w:r>
      <w:proofErr w:type="spellStart"/>
      <w:r w:rsidRPr="009B5E9C">
        <w:rPr>
          <w:i/>
          <w:iCs/>
        </w:rPr>
        <w:t>Für</w:t>
      </w:r>
      <w:proofErr w:type="spellEnd"/>
      <w:r w:rsidRPr="009B5E9C">
        <w:rPr>
          <w:i/>
          <w:iCs/>
        </w:rPr>
        <w:t xml:space="preserve"> </w:t>
      </w:r>
      <w:proofErr w:type="spellStart"/>
      <w:r w:rsidRPr="009B5E9C">
        <w:rPr>
          <w:i/>
          <w:iCs/>
        </w:rPr>
        <w:t>Neuropsychologie</w:t>
      </w:r>
      <w:proofErr w:type="spellEnd"/>
      <w:r w:rsidRPr="009B5E9C">
        <w:t xml:space="preserve">, </w:t>
      </w:r>
      <w:r w:rsidRPr="009B5E9C">
        <w:rPr>
          <w:i/>
          <w:iCs/>
        </w:rPr>
        <w:t>30</w:t>
      </w:r>
      <w:r w:rsidRPr="009B5E9C">
        <w:t xml:space="preserve">(2), 109–122. </w:t>
      </w:r>
      <w:hyperlink r:id="rId35" w:history="1">
        <w:r w:rsidRPr="009B5E9C">
          <w:rPr>
            <w:rStyle w:val="Hyperlink"/>
            <w:rFonts w:eastAsiaTheme="minorEastAsia"/>
          </w:rPr>
          <w:t>https://doi.org/10.1024/1016-264X/a000255</w:t>
        </w:r>
      </w:hyperlink>
    </w:p>
    <w:p w14:paraId="1AC9D937" w14:textId="779DB200" w:rsidR="006C313B" w:rsidRPr="009B5E9C" w:rsidRDefault="005806EA" w:rsidP="00A90828">
      <w:pPr>
        <w:spacing w:line="480" w:lineRule="auto"/>
        <w:ind w:left="720" w:hanging="720"/>
        <w:rPr>
          <w:b/>
          <w:bCs/>
        </w:rPr>
      </w:pPr>
      <w:r w:rsidRPr="009B5E9C">
        <w:t>K</w:t>
      </w:r>
      <w:r w:rsidR="000C6484" w:rsidRPr="009B5E9C">
        <w:t xml:space="preserve">yröläinen, A.-J., &amp; Kuperman, V. (2021). Predictors of literacy in adulthood: Evidence from 33 countries. </w:t>
      </w:r>
      <w:r w:rsidR="000C6484" w:rsidRPr="009B5E9C">
        <w:rPr>
          <w:i/>
          <w:iCs/>
        </w:rPr>
        <w:t>PLOS ONE</w:t>
      </w:r>
      <w:r w:rsidR="000C6484" w:rsidRPr="009B5E9C">
        <w:t xml:space="preserve">, </w:t>
      </w:r>
      <w:r w:rsidR="000C6484" w:rsidRPr="009B5E9C">
        <w:rPr>
          <w:i/>
          <w:iCs/>
        </w:rPr>
        <w:t>16</w:t>
      </w:r>
      <w:r w:rsidR="000C6484" w:rsidRPr="009B5E9C">
        <w:t xml:space="preserve">(3), e0243763. </w:t>
      </w:r>
      <w:hyperlink r:id="rId36" w:history="1">
        <w:r w:rsidR="000C6484" w:rsidRPr="009B5E9C">
          <w:rPr>
            <w:rStyle w:val="Hyperlink"/>
            <w:rFonts w:eastAsiaTheme="minorEastAsia"/>
          </w:rPr>
          <w:t>https://doi.org/10.1371/journal.pone.0243763</w:t>
        </w:r>
      </w:hyperlink>
    </w:p>
    <w:p w14:paraId="4335E8DA" w14:textId="77777777" w:rsidR="007B41CF" w:rsidRPr="009B5E9C" w:rsidRDefault="007B41CF" w:rsidP="00A90828">
      <w:pPr>
        <w:spacing w:line="480" w:lineRule="auto"/>
        <w:rPr>
          <w:color w:val="000000" w:themeColor="text1"/>
        </w:rPr>
      </w:pPr>
    </w:p>
    <w:p w14:paraId="36BC5CD5" w14:textId="1A758CDA" w:rsidR="006C313B" w:rsidRPr="009B5E9C" w:rsidRDefault="00710DE1" w:rsidP="00A90828">
      <w:pPr>
        <w:spacing w:line="480" w:lineRule="auto"/>
        <w:jc w:val="center"/>
        <w:rPr>
          <w:b/>
          <w:bCs/>
          <w:color w:val="000000" w:themeColor="text1"/>
        </w:rPr>
      </w:pPr>
      <w:r w:rsidRPr="009B5E9C">
        <w:rPr>
          <w:b/>
          <w:bCs/>
          <w:color w:val="000000" w:themeColor="text1"/>
        </w:rPr>
        <w:t xml:space="preserve">Foreign Language Effect, Decision Making, and Emotionality </w:t>
      </w:r>
    </w:p>
    <w:p w14:paraId="1F23E80E" w14:textId="2AA94DC8" w:rsidR="006C313B" w:rsidRPr="009B5E9C" w:rsidRDefault="006C313B" w:rsidP="00A90828">
      <w:pPr>
        <w:spacing w:line="480" w:lineRule="auto"/>
        <w:ind w:left="720" w:hanging="720"/>
      </w:pPr>
      <w:r w:rsidRPr="009B5E9C">
        <w:t xml:space="preserve">Brouwer, S. (2019). The auditory foreign-language effect of moral decision making in highly proficient bilinguals. </w:t>
      </w:r>
      <w:r w:rsidRPr="009B5E9C">
        <w:rPr>
          <w:i/>
          <w:iCs/>
        </w:rPr>
        <w:t>Journal of Multilingual and Multicultural Development</w:t>
      </w:r>
      <w:r w:rsidRPr="009B5E9C">
        <w:t xml:space="preserve">, </w:t>
      </w:r>
      <w:r w:rsidRPr="009B5E9C">
        <w:rPr>
          <w:i/>
          <w:iCs/>
        </w:rPr>
        <w:t>40</w:t>
      </w:r>
      <w:r w:rsidRPr="009B5E9C">
        <w:t xml:space="preserve">(10), 865–878. </w:t>
      </w:r>
      <w:hyperlink r:id="rId37" w:history="1">
        <w:r w:rsidRPr="009B5E9C">
          <w:rPr>
            <w:rStyle w:val="Hyperlink"/>
            <w:rFonts w:eastAsiaTheme="minorEastAsia"/>
          </w:rPr>
          <w:t>https://doi.org/10.1080/01434632.2019.1585863</w:t>
        </w:r>
      </w:hyperlink>
    </w:p>
    <w:p w14:paraId="604CC66B" w14:textId="3C19A92E" w:rsidR="006C313B" w:rsidRPr="009B5E9C" w:rsidRDefault="006C313B" w:rsidP="00A90828">
      <w:pPr>
        <w:spacing w:line="480" w:lineRule="auto"/>
        <w:ind w:left="720" w:hanging="720"/>
      </w:pPr>
      <w:r w:rsidRPr="009B5E9C">
        <w:lastRenderedPageBreak/>
        <w:t xml:space="preserve">Caldwell-Harris, C. L., Ayçiçeği-Dinn, A., &amp; Gleason, J. B. (2003). Taboo words and reprimands elicit greater autonomic reactivity in a first language than in a second language. </w:t>
      </w:r>
      <w:r w:rsidRPr="009B5E9C">
        <w:rPr>
          <w:i/>
          <w:iCs/>
        </w:rPr>
        <w:t>Applied Psycholinguistics</w:t>
      </w:r>
      <w:r w:rsidRPr="009B5E9C">
        <w:t xml:space="preserve">, </w:t>
      </w:r>
      <w:r w:rsidRPr="009B5E9C">
        <w:rPr>
          <w:i/>
          <w:iCs/>
        </w:rPr>
        <w:t>24</w:t>
      </w:r>
      <w:r w:rsidRPr="009B5E9C">
        <w:t xml:space="preserve">(4), 561–579. </w:t>
      </w:r>
      <w:hyperlink r:id="rId38" w:history="1">
        <w:r w:rsidRPr="009B5E9C">
          <w:rPr>
            <w:rStyle w:val="Hyperlink"/>
            <w:rFonts w:eastAsiaTheme="minorEastAsia"/>
          </w:rPr>
          <w:t>https://doi.org/10.1017/S0142716403000286</w:t>
        </w:r>
      </w:hyperlink>
      <w:r w:rsidRPr="009B5E9C">
        <w:t xml:space="preserve"> </w:t>
      </w:r>
    </w:p>
    <w:p w14:paraId="48EC40D8" w14:textId="3F7C140A" w:rsidR="006C313B" w:rsidRPr="009B5E9C" w:rsidRDefault="002F6CDC" w:rsidP="00A90828">
      <w:pPr>
        <w:spacing w:line="480" w:lineRule="auto"/>
        <w:ind w:left="720" w:hanging="720"/>
      </w:pPr>
      <w:r w:rsidRPr="009B5E9C">
        <w:t xml:space="preserve">Cipolletti, H., McFarlane, S., &amp; </w:t>
      </w:r>
      <w:proofErr w:type="spellStart"/>
      <w:r w:rsidRPr="009B5E9C">
        <w:t>Weissglass</w:t>
      </w:r>
      <w:proofErr w:type="spellEnd"/>
      <w:r w:rsidRPr="009B5E9C">
        <w:t xml:space="preserve">, C. (2016). The Moral Foreign-Language Effect. </w:t>
      </w:r>
      <w:r w:rsidRPr="009B5E9C">
        <w:rPr>
          <w:i/>
          <w:iCs/>
        </w:rPr>
        <w:t>Philosophical Psychology</w:t>
      </w:r>
      <w:r w:rsidRPr="009B5E9C">
        <w:t xml:space="preserve">, </w:t>
      </w:r>
      <w:r w:rsidRPr="009B5E9C">
        <w:rPr>
          <w:i/>
          <w:iCs/>
        </w:rPr>
        <w:t>29</w:t>
      </w:r>
      <w:r w:rsidRPr="009B5E9C">
        <w:t xml:space="preserve">(1), 23–40. </w:t>
      </w:r>
      <w:hyperlink r:id="rId39" w:history="1">
        <w:r w:rsidRPr="009B5E9C">
          <w:rPr>
            <w:rStyle w:val="Hyperlink"/>
            <w:rFonts w:eastAsiaTheme="minorEastAsia"/>
          </w:rPr>
          <w:t>https://doi.org/10.1080/09515089.2014.993063</w:t>
        </w:r>
      </w:hyperlink>
    </w:p>
    <w:p w14:paraId="5C195180" w14:textId="1619A4AB" w:rsidR="002F6CDC" w:rsidRPr="009B5E9C" w:rsidRDefault="00267E8B" w:rsidP="00A90828">
      <w:pPr>
        <w:spacing w:line="480" w:lineRule="auto"/>
        <w:ind w:left="720" w:hanging="720"/>
        <w:rPr>
          <w:rStyle w:val="Hyperlink"/>
          <w:rFonts w:eastAsiaTheme="minorEastAsia"/>
        </w:rPr>
      </w:pPr>
      <w:r w:rsidRPr="009B5E9C">
        <w:t xml:space="preserve">Christensen, J. F., &amp; Gomila, A. (2012). Moral dilemmas in cognitive neuroscience of moral decision-making: A principled review. </w:t>
      </w:r>
      <w:r w:rsidRPr="009B5E9C">
        <w:rPr>
          <w:i/>
          <w:iCs/>
        </w:rPr>
        <w:t>Neuroscience and Biobehavioral Reviews</w:t>
      </w:r>
      <w:r w:rsidRPr="009B5E9C">
        <w:t xml:space="preserve">, </w:t>
      </w:r>
      <w:r w:rsidRPr="009B5E9C">
        <w:rPr>
          <w:i/>
          <w:iCs/>
        </w:rPr>
        <w:t>36</w:t>
      </w:r>
      <w:r w:rsidRPr="009B5E9C">
        <w:t xml:space="preserve">(4), 1249–1264. </w:t>
      </w:r>
      <w:hyperlink r:id="rId40" w:history="1">
        <w:r w:rsidRPr="009B5E9C">
          <w:rPr>
            <w:rStyle w:val="Hyperlink"/>
            <w:rFonts w:eastAsiaTheme="minorEastAsia"/>
          </w:rPr>
          <w:t>https://doi.org/10.1016/j.neubiorev.2012.02.008</w:t>
        </w:r>
      </w:hyperlink>
    </w:p>
    <w:p w14:paraId="15094AB0" w14:textId="2E4D902A" w:rsidR="00A90828" w:rsidRPr="009B5E9C" w:rsidRDefault="003D256A" w:rsidP="004D63C2">
      <w:pPr>
        <w:spacing w:line="480" w:lineRule="auto"/>
        <w:ind w:left="720" w:hanging="720"/>
        <w:rPr>
          <w:rStyle w:val="Hyperlink"/>
          <w:rFonts w:eastAsiaTheme="minorEastAsia"/>
        </w:rPr>
      </w:pPr>
      <w:r w:rsidRPr="009B5E9C">
        <w:t xml:space="preserve">Vives, M.-L., </w:t>
      </w:r>
      <w:proofErr w:type="spellStart"/>
      <w:r w:rsidRPr="009B5E9C">
        <w:t>Aparici</w:t>
      </w:r>
      <w:proofErr w:type="spellEnd"/>
      <w:r w:rsidRPr="009B5E9C">
        <w:t xml:space="preserve">, M., &amp; Costa, A. (2018). The limits of the foreign language effect on decision-making: The case of the outcome bias and the representativeness heuristic. </w:t>
      </w:r>
      <w:r w:rsidRPr="009B5E9C">
        <w:rPr>
          <w:i/>
          <w:iCs/>
        </w:rPr>
        <w:t>PLOS ONE</w:t>
      </w:r>
      <w:r w:rsidRPr="009B5E9C">
        <w:t xml:space="preserve">, </w:t>
      </w:r>
      <w:r w:rsidRPr="009B5E9C">
        <w:rPr>
          <w:i/>
          <w:iCs/>
        </w:rPr>
        <w:t>13</w:t>
      </w:r>
      <w:r w:rsidRPr="009B5E9C">
        <w:t xml:space="preserve">(9), e0203528. </w:t>
      </w:r>
      <w:hyperlink r:id="rId41" w:history="1">
        <w:r w:rsidRPr="009B5E9C">
          <w:rPr>
            <w:rStyle w:val="Hyperlink"/>
            <w:rFonts w:eastAsiaTheme="minorEastAsia"/>
          </w:rPr>
          <w:t>https://doi.org/10.1371/journal.pone.0203528</w:t>
        </w:r>
      </w:hyperlink>
    </w:p>
    <w:p w14:paraId="7EE23E8E" w14:textId="398D30C7" w:rsidR="00AC13F7" w:rsidRPr="009B5E9C" w:rsidRDefault="00AC13F7" w:rsidP="00A90828">
      <w:pPr>
        <w:spacing w:line="480" w:lineRule="auto"/>
        <w:rPr>
          <w:rFonts w:eastAsiaTheme="minorEastAsia"/>
          <w:color w:val="0000FF"/>
          <w:u w:val="single"/>
        </w:rPr>
      </w:pPr>
    </w:p>
    <w:p w14:paraId="201FF84E" w14:textId="619BF42F" w:rsidR="00AC13F7" w:rsidRPr="009B5E9C" w:rsidRDefault="00AC13F7" w:rsidP="00881DEB">
      <w:pPr>
        <w:pStyle w:val="CommentText"/>
        <w:spacing w:line="480" w:lineRule="auto"/>
        <w:jc w:val="center"/>
        <w:rPr>
          <w:rFonts w:ascii="Times New Roman" w:hAnsi="Times New Roman" w:cs="Times New Roman"/>
          <w:b/>
          <w:bCs/>
        </w:rPr>
      </w:pPr>
      <w:r w:rsidRPr="009B5E9C">
        <w:rPr>
          <w:rFonts w:ascii="Times New Roman" w:hAnsi="Times New Roman" w:cs="Times New Roman"/>
          <w:b/>
          <w:bCs/>
        </w:rPr>
        <w:t xml:space="preserve">Health-information and </w:t>
      </w:r>
      <w:r w:rsidRPr="009B5E9C">
        <w:rPr>
          <w:rFonts w:ascii="Times New Roman" w:hAnsi="Times New Roman" w:cs="Times New Roman"/>
          <w:b/>
          <w:bCs/>
          <w:color w:val="000000" w:themeColor="text1"/>
        </w:rPr>
        <w:t>Language Barriers to Health Care</w:t>
      </w:r>
    </w:p>
    <w:p w14:paraId="70894297" w14:textId="78951AEE" w:rsidR="00AC13F7" w:rsidRPr="009B5E9C" w:rsidRDefault="00AC13F7" w:rsidP="00A90828">
      <w:pPr>
        <w:spacing w:line="480" w:lineRule="auto"/>
        <w:ind w:left="720" w:hanging="720"/>
      </w:pPr>
      <w:r w:rsidRPr="009B5E9C">
        <w:t xml:space="preserve">Crossley, S. A., </w:t>
      </w:r>
      <w:proofErr w:type="spellStart"/>
      <w:r w:rsidRPr="009B5E9C">
        <w:t>Balyan</w:t>
      </w:r>
      <w:proofErr w:type="spellEnd"/>
      <w:r w:rsidRPr="009B5E9C">
        <w:t xml:space="preserve">, R., Liu, J., Karter, A. J., McNamara, D., &amp; Schillinger, D. (2021). Developing and Testing Automatic Models of Patient Communicative Health Literacy Using Linguistic Features: Findings from the </w:t>
      </w:r>
      <w:proofErr w:type="spellStart"/>
      <w:r w:rsidRPr="009B5E9C">
        <w:t>ECLIPPSE</w:t>
      </w:r>
      <w:proofErr w:type="spellEnd"/>
      <w:r w:rsidRPr="009B5E9C">
        <w:t xml:space="preserve"> study. </w:t>
      </w:r>
      <w:r w:rsidRPr="009B5E9C">
        <w:rPr>
          <w:i/>
          <w:iCs/>
        </w:rPr>
        <w:t>Health Communication</w:t>
      </w:r>
      <w:r w:rsidRPr="009B5E9C">
        <w:t xml:space="preserve">, </w:t>
      </w:r>
      <w:r w:rsidRPr="009B5E9C">
        <w:rPr>
          <w:i/>
          <w:iCs/>
        </w:rPr>
        <w:t>36</w:t>
      </w:r>
      <w:r w:rsidRPr="009B5E9C">
        <w:t xml:space="preserve">(8), 1018–1028. </w:t>
      </w:r>
      <w:hyperlink r:id="rId42" w:history="1">
        <w:r w:rsidRPr="009B5E9C">
          <w:rPr>
            <w:rStyle w:val="Hyperlink"/>
            <w:rFonts w:eastAsiaTheme="minorEastAsia"/>
          </w:rPr>
          <w:t>https://doi.org/10.1080/10410236.2020.1731781</w:t>
        </w:r>
      </w:hyperlink>
    </w:p>
    <w:p w14:paraId="2CF00808" w14:textId="0B371819" w:rsidR="00AC13F7" w:rsidRPr="009B5E9C" w:rsidRDefault="00AC13F7" w:rsidP="00A90828">
      <w:pPr>
        <w:spacing w:line="480" w:lineRule="auto"/>
        <w:ind w:left="720" w:hanging="720"/>
      </w:pPr>
      <w:r w:rsidRPr="009B5E9C">
        <w:rPr>
          <w:b/>
          <w:bCs/>
        </w:rPr>
        <w:t xml:space="preserve">Sørensen, K. (2019). Defining health literacy: Exploring differences and commonalities. In </w:t>
      </w:r>
      <w:proofErr w:type="spellStart"/>
      <w:r w:rsidRPr="009B5E9C">
        <w:rPr>
          <w:b/>
          <w:bCs/>
        </w:rPr>
        <w:t>Okan</w:t>
      </w:r>
      <w:proofErr w:type="spellEnd"/>
      <w:r w:rsidRPr="009B5E9C">
        <w:rPr>
          <w:b/>
          <w:bCs/>
        </w:rPr>
        <w:t xml:space="preserve">, O., Bauer, U., Levin-Zamir, D., Pinheiro, P., &amp; Sørensen, K. (Eds.), International Handbook of Health Literacy (pp. 5–20). Policy Press. </w:t>
      </w:r>
      <w:hyperlink r:id="rId43" w:history="1">
        <w:r w:rsidRPr="009B5E9C">
          <w:rPr>
            <w:rStyle w:val="Hyperlink"/>
            <w:b/>
            <w:bCs/>
          </w:rPr>
          <w:t>https://www.doabooks.org/doab?func=fulltext&amp;rid=34249</w:t>
        </w:r>
      </w:hyperlink>
    </w:p>
    <w:p w14:paraId="7722E654" w14:textId="5BA41F78" w:rsidR="00AC13F7" w:rsidRPr="009B5E9C" w:rsidRDefault="00AC13F7" w:rsidP="00A90828">
      <w:pPr>
        <w:spacing w:line="480" w:lineRule="auto"/>
        <w:ind w:left="720" w:hanging="720"/>
        <w:rPr>
          <w:rStyle w:val="Hyperlink"/>
          <w:rFonts w:eastAsiaTheme="minorEastAsia"/>
        </w:rPr>
      </w:pPr>
      <w:proofErr w:type="spellStart"/>
      <w:r w:rsidRPr="009B5E9C">
        <w:rPr>
          <w:b/>
          <w:bCs/>
        </w:rPr>
        <w:t>Kalich</w:t>
      </w:r>
      <w:proofErr w:type="spellEnd"/>
      <w:r w:rsidRPr="009B5E9C">
        <w:rPr>
          <w:b/>
          <w:bCs/>
        </w:rPr>
        <w:t xml:space="preserve">, A., Heinemann, L., &amp; </w:t>
      </w:r>
      <w:proofErr w:type="spellStart"/>
      <w:r w:rsidRPr="009B5E9C">
        <w:rPr>
          <w:b/>
          <w:bCs/>
        </w:rPr>
        <w:t>Ghahari</w:t>
      </w:r>
      <w:proofErr w:type="spellEnd"/>
      <w:r w:rsidRPr="009B5E9C">
        <w:rPr>
          <w:b/>
          <w:bCs/>
        </w:rPr>
        <w:t xml:space="preserve">, S. (2016). A Scoping Review of Immigrant Experience of Health Care Access Barriers in Canada. </w:t>
      </w:r>
      <w:r w:rsidRPr="009B5E9C">
        <w:rPr>
          <w:b/>
          <w:bCs/>
          <w:i/>
          <w:iCs/>
        </w:rPr>
        <w:t>Journal of Immigrant and Minority Health</w:t>
      </w:r>
      <w:r w:rsidRPr="009B5E9C">
        <w:rPr>
          <w:b/>
          <w:bCs/>
        </w:rPr>
        <w:t xml:space="preserve">, </w:t>
      </w:r>
      <w:r w:rsidRPr="009B5E9C">
        <w:rPr>
          <w:b/>
          <w:bCs/>
          <w:i/>
          <w:iCs/>
        </w:rPr>
        <w:t>18</w:t>
      </w:r>
      <w:r w:rsidRPr="009B5E9C">
        <w:rPr>
          <w:b/>
          <w:bCs/>
        </w:rPr>
        <w:t xml:space="preserve">(3), 697–709. </w:t>
      </w:r>
      <w:hyperlink r:id="rId44" w:history="1">
        <w:r w:rsidRPr="009B5E9C">
          <w:rPr>
            <w:rStyle w:val="Hyperlink"/>
            <w:rFonts w:eastAsiaTheme="minorEastAsia"/>
            <w:b/>
            <w:bCs/>
          </w:rPr>
          <w:t>https://doi.org/10.1007/s10903-015-0237-6</w:t>
        </w:r>
      </w:hyperlink>
    </w:p>
    <w:p w14:paraId="2770DE14" w14:textId="425814C3" w:rsidR="00AC13F7" w:rsidRPr="009B5E9C" w:rsidRDefault="00AC13F7" w:rsidP="00A90828">
      <w:pPr>
        <w:spacing w:line="480" w:lineRule="auto"/>
        <w:ind w:left="720" w:hanging="720"/>
      </w:pPr>
      <w:proofErr w:type="spellStart"/>
      <w:r w:rsidRPr="009B5E9C">
        <w:lastRenderedPageBreak/>
        <w:t>Zanchetta</w:t>
      </w:r>
      <w:proofErr w:type="spellEnd"/>
      <w:r w:rsidRPr="009B5E9C">
        <w:t xml:space="preserve">, M. S., &amp; </w:t>
      </w:r>
      <w:proofErr w:type="spellStart"/>
      <w:r w:rsidRPr="009B5E9C">
        <w:t>Poureslami</w:t>
      </w:r>
      <w:proofErr w:type="spellEnd"/>
      <w:r w:rsidRPr="009B5E9C">
        <w:t xml:space="preserve">, I. M. (2006). Health Literacy Within the Reality of Immigrants’ Culture and Language. </w:t>
      </w:r>
      <w:r w:rsidRPr="009B5E9C">
        <w:rPr>
          <w:i/>
          <w:iCs/>
        </w:rPr>
        <w:t>Canadian Journal of Public Health</w:t>
      </w:r>
      <w:r w:rsidRPr="009B5E9C">
        <w:t xml:space="preserve">, </w:t>
      </w:r>
      <w:r w:rsidRPr="009B5E9C">
        <w:rPr>
          <w:i/>
          <w:iCs/>
        </w:rPr>
        <w:t>97</w:t>
      </w:r>
      <w:r w:rsidRPr="009B5E9C">
        <w:t xml:space="preserve">(2), S28–S33. </w:t>
      </w:r>
      <w:hyperlink r:id="rId45" w:history="1">
        <w:r w:rsidRPr="009B5E9C">
          <w:rPr>
            <w:rStyle w:val="Hyperlink"/>
            <w:rFonts w:eastAsiaTheme="minorEastAsia"/>
          </w:rPr>
          <w:t>https://doi.org/10.1007/BF03405370</w:t>
        </w:r>
      </w:hyperlink>
    </w:p>
    <w:p w14:paraId="3DE69082" w14:textId="0D91A0CE" w:rsidR="00267E8B" w:rsidRPr="009B5E9C" w:rsidRDefault="00AC13F7" w:rsidP="00A90828">
      <w:pPr>
        <w:spacing w:line="480" w:lineRule="auto"/>
        <w:ind w:left="720" w:hanging="720"/>
        <w:rPr>
          <w:color w:val="000000" w:themeColor="text1"/>
        </w:rPr>
      </w:pPr>
      <w:r w:rsidRPr="009B5E9C">
        <w:t xml:space="preserve">Zhao, Y., Segalowitz, N., </w:t>
      </w:r>
      <w:proofErr w:type="spellStart"/>
      <w:r w:rsidRPr="009B5E9C">
        <w:t>Voloshyn</w:t>
      </w:r>
      <w:proofErr w:type="spellEnd"/>
      <w:r w:rsidRPr="009B5E9C">
        <w:t xml:space="preserve">, A., </w:t>
      </w:r>
      <w:proofErr w:type="spellStart"/>
      <w:r w:rsidRPr="009B5E9C">
        <w:t>Chamoux</w:t>
      </w:r>
      <w:proofErr w:type="spellEnd"/>
      <w:r w:rsidRPr="009B5E9C">
        <w:t xml:space="preserve">, E., &amp; Ryder, A. G. (2021). Language Barriers to Healthcare for Linguistic Minorities: The Case of Second Language-specific Health Communication Anxiety. </w:t>
      </w:r>
      <w:r w:rsidRPr="009B5E9C">
        <w:rPr>
          <w:i/>
          <w:iCs/>
        </w:rPr>
        <w:t>Health Communication</w:t>
      </w:r>
      <w:r w:rsidRPr="009B5E9C">
        <w:t xml:space="preserve">, </w:t>
      </w:r>
      <w:r w:rsidRPr="009B5E9C">
        <w:rPr>
          <w:i/>
          <w:iCs/>
        </w:rPr>
        <w:t>36</w:t>
      </w:r>
      <w:r w:rsidRPr="009B5E9C">
        <w:t xml:space="preserve">(3), 334–346. </w:t>
      </w:r>
      <w:hyperlink r:id="rId46" w:history="1">
        <w:r w:rsidRPr="009B5E9C">
          <w:rPr>
            <w:rStyle w:val="Hyperlink"/>
            <w:rFonts w:eastAsiaTheme="minorEastAsia"/>
          </w:rPr>
          <w:t>https://doi.org/10.1080/10410236.2019.1692488</w:t>
        </w:r>
      </w:hyperlink>
    </w:p>
    <w:sectPr w:rsidR="00267E8B" w:rsidRPr="009B5E9C" w:rsidSect="00A90828">
      <w:pgSz w:w="12240" w:h="15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CCE03D" w14:textId="77777777" w:rsidR="002469BD" w:rsidRDefault="002469BD" w:rsidP="007B4509">
      <w:r>
        <w:separator/>
      </w:r>
    </w:p>
  </w:endnote>
  <w:endnote w:type="continuationSeparator" w:id="0">
    <w:p w14:paraId="76EB15C9" w14:textId="77777777" w:rsidR="002469BD" w:rsidRDefault="002469BD" w:rsidP="007B4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59CFE0" w14:textId="77777777" w:rsidR="002469BD" w:rsidRDefault="002469BD" w:rsidP="007B4509">
      <w:r>
        <w:separator/>
      </w:r>
    </w:p>
  </w:footnote>
  <w:footnote w:type="continuationSeparator" w:id="0">
    <w:p w14:paraId="34D4908E" w14:textId="77777777" w:rsidR="002469BD" w:rsidRDefault="002469BD" w:rsidP="007B45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6051C"/>
    <w:multiLevelType w:val="hybridMultilevel"/>
    <w:tmpl w:val="52B8F6B6"/>
    <w:lvl w:ilvl="0" w:tplc="FFFFFFF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5F5F31"/>
    <w:multiLevelType w:val="hybridMultilevel"/>
    <w:tmpl w:val="ED14B4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75777E"/>
    <w:multiLevelType w:val="hybridMultilevel"/>
    <w:tmpl w:val="7DDE4B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AC41307"/>
    <w:multiLevelType w:val="hybridMultilevel"/>
    <w:tmpl w:val="463A74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42235C"/>
    <w:multiLevelType w:val="hybridMultilevel"/>
    <w:tmpl w:val="ED14B4F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67F0369E"/>
    <w:multiLevelType w:val="hybridMultilevel"/>
    <w:tmpl w:val="1BB203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C9107D7"/>
    <w:multiLevelType w:val="hybridMultilevel"/>
    <w:tmpl w:val="818699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2"/>
  </w:num>
  <w:num w:numId="4">
    <w:abstractNumId w:val="5"/>
  </w:num>
  <w:num w:numId="5">
    <w:abstractNumId w:val="4"/>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proofState w:spelling="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AA4"/>
    <w:rsid w:val="00021AFB"/>
    <w:rsid w:val="00031BA5"/>
    <w:rsid w:val="00063CDA"/>
    <w:rsid w:val="00091EBD"/>
    <w:rsid w:val="000A1C67"/>
    <w:rsid w:val="000C6484"/>
    <w:rsid w:val="000C6E78"/>
    <w:rsid w:val="000E1A02"/>
    <w:rsid w:val="000F5337"/>
    <w:rsid w:val="00141A2B"/>
    <w:rsid w:val="00142B59"/>
    <w:rsid w:val="00151834"/>
    <w:rsid w:val="00164A77"/>
    <w:rsid w:val="001E2207"/>
    <w:rsid w:val="002469BD"/>
    <w:rsid w:val="0026160D"/>
    <w:rsid w:val="00265E49"/>
    <w:rsid w:val="00267E8B"/>
    <w:rsid w:val="002D47D4"/>
    <w:rsid w:val="002E1128"/>
    <w:rsid w:val="002F6CDC"/>
    <w:rsid w:val="00301F43"/>
    <w:rsid w:val="00314C56"/>
    <w:rsid w:val="0038435C"/>
    <w:rsid w:val="003B4185"/>
    <w:rsid w:val="003B498E"/>
    <w:rsid w:val="003B65F3"/>
    <w:rsid w:val="003D256A"/>
    <w:rsid w:val="003D5542"/>
    <w:rsid w:val="003E0C48"/>
    <w:rsid w:val="003F112E"/>
    <w:rsid w:val="004221FD"/>
    <w:rsid w:val="00422486"/>
    <w:rsid w:val="004318CB"/>
    <w:rsid w:val="00457364"/>
    <w:rsid w:val="00463F5D"/>
    <w:rsid w:val="0047012E"/>
    <w:rsid w:val="004C3AC8"/>
    <w:rsid w:val="004D63C2"/>
    <w:rsid w:val="004D7C48"/>
    <w:rsid w:val="00561AF1"/>
    <w:rsid w:val="005806EA"/>
    <w:rsid w:val="005A2A68"/>
    <w:rsid w:val="005E544C"/>
    <w:rsid w:val="006019A7"/>
    <w:rsid w:val="006173DF"/>
    <w:rsid w:val="00683CE3"/>
    <w:rsid w:val="006A07DB"/>
    <w:rsid w:val="006C313B"/>
    <w:rsid w:val="006D5906"/>
    <w:rsid w:val="006E7F24"/>
    <w:rsid w:val="006F0F7F"/>
    <w:rsid w:val="00706354"/>
    <w:rsid w:val="00710DE1"/>
    <w:rsid w:val="007222F1"/>
    <w:rsid w:val="007B41CF"/>
    <w:rsid w:val="007B4509"/>
    <w:rsid w:val="007B52DC"/>
    <w:rsid w:val="007E363A"/>
    <w:rsid w:val="0084265B"/>
    <w:rsid w:val="00881DEB"/>
    <w:rsid w:val="0088485B"/>
    <w:rsid w:val="0088637F"/>
    <w:rsid w:val="00887053"/>
    <w:rsid w:val="008A196F"/>
    <w:rsid w:val="00944D41"/>
    <w:rsid w:val="009939C7"/>
    <w:rsid w:val="00995F8A"/>
    <w:rsid w:val="009B5E9C"/>
    <w:rsid w:val="009D496B"/>
    <w:rsid w:val="00A353C0"/>
    <w:rsid w:val="00A90828"/>
    <w:rsid w:val="00AA6741"/>
    <w:rsid w:val="00AA7499"/>
    <w:rsid w:val="00AC13F7"/>
    <w:rsid w:val="00B736F6"/>
    <w:rsid w:val="00BA3F11"/>
    <w:rsid w:val="00BB29BA"/>
    <w:rsid w:val="00BE1CE9"/>
    <w:rsid w:val="00C03EB5"/>
    <w:rsid w:val="00C7479F"/>
    <w:rsid w:val="00CD6AB2"/>
    <w:rsid w:val="00CE033A"/>
    <w:rsid w:val="00CF0B50"/>
    <w:rsid w:val="00D25C4B"/>
    <w:rsid w:val="00D268CB"/>
    <w:rsid w:val="00DC01DD"/>
    <w:rsid w:val="00E2751E"/>
    <w:rsid w:val="00E74D39"/>
    <w:rsid w:val="00E95283"/>
    <w:rsid w:val="00E96C66"/>
    <w:rsid w:val="00EA1FCA"/>
    <w:rsid w:val="00EA3FC3"/>
    <w:rsid w:val="00F03154"/>
    <w:rsid w:val="00F04D08"/>
    <w:rsid w:val="00F1567F"/>
    <w:rsid w:val="00F50AA4"/>
    <w:rsid w:val="00F57B6A"/>
    <w:rsid w:val="00F65567"/>
    <w:rsid w:val="00FD20A5"/>
    <w:rsid w:val="00FD498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29179"/>
  <w15:docId w15:val="{A2FC4993-602C-7F41-B572-14B2D65D2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0AA4"/>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F50AA4"/>
    <w:rPr>
      <w:rFonts w:ascii="Calibri" w:eastAsiaTheme="minorEastAsia" w:hAnsi="Calibri" w:cs="Calibri"/>
    </w:rPr>
  </w:style>
  <w:style w:type="character" w:customStyle="1" w:styleId="CommentTextChar">
    <w:name w:val="Comment Text Char"/>
    <w:basedOn w:val="DefaultParagraphFont"/>
    <w:link w:val="CommentText"/>
    <w:uiPriority w:val="99"/>
    <w:rsid w:val="00F50AA4"/>
    <w:rPr>
      <w:rFonts w:ascii="Calibri" w:eastAsiaTheme="minorEastAsia" w:hAnsi="Calibri" w:cs="Calibri"/>
    </w:rPr>
  </w:style>
  <w:style w:type="character" w:styleId="Hyperlink">
    <w:name w:val="Hyperlink"/>
    <w:basedOn w:val="DefaultParagraphFont"/>
    <w:uiPriority w:val="99"/>
    <w:unhideWhenUsed/>
    <w:rsid w:val="00F50AA4"/>
    <w:rPr>
      <w:color w:val="0000FF"/>
      <w:u w:val="single"/>
    </w:rPr>
  </w:style>
  <w:style w:type="character" w:styleId="UnresolvedMention">
    <w:name w:val="Unresolved Mention"/>
    <w:basedOn w:val="DefaultParagraphFont"/>
    <w:uiPriority w:val="99"/>
    <w:semiHidden/>
    <w:unhideWhenUsed/>
    <w:rsid w:val="000E1A02"/>
    <w:rPr>
      <w:color w:val="605E5C"/>
      <w:shd w:val="clear" w:color="auto" w:fill="E1DFDD"/>
    </w:rPr>
  </w:style>
  <w:style w:type="paragraph" w:styleId="Header">
    <w:name w:val="header"/>
    <w:basedOn w:val="Normal"/>
    <w:link w:val="HeaderChar"/>
    <w:uiPriority w:val="99"/>
    <w:unhideWhenUsed/>
    <w:rsid w:val="007B4509"/>
    <w:pPr>
      <w:tabs>
        <w:tab w:val="center" w:pos="4680"/>
        <w:tab w:val="right" w:pos="9360"/>
      </w:tabs>
    </w:pPr>
  </w:style>
  <w:style w:type="character" w:customStyle="1" w:styleId="HeaderChar">
    <w:name w:val="Header Char"/>
    <w:basedOn w:val="DefaultParagraphFont"/>
    <w:link w:val="Header"/>
    <w:uiPriority w:val="99"/>
    <w:rsid w:val="007B4509"/>
    <w:rPr>
      <w:rFonts w:ascii="Times New Roman" w:eastAsia="Times New Roman" w:hAnsi="Times New Roman" w:cs="Times New Roman"/>
    </w:rPr>
  </w:style>
  <w:style w:type="paragraph" w:styleId="Footer">
    <w:name w:val="footer"/>
    <w:basedOn w:val="Normal"/>
    <w:link w:val="FooterChar"/>
    <w:uiPriority w:val="99"/>
    <w:unhideWhenUsed/>
    <w:rsid w:val="007B4509"/>
    <w:pPr>
      <w:tabs>
        <w:tab w:val="center" w:pos="4680"/>
        <w:tab w:val="right" w:pos="9360"/>
      </w:tabs>
    </w:pPr>
  </w:style>
  <w:style w:type="character" w:customStyle="1" w:styleId="FooterChar">
    <w:name w:val="Footer Char"/>
    <w:basedOn w:val="DefaultParagraphFont"/>
    <w:link w:val="Footer"/>
    <w:uiPriority w:val="99"/>
    <w:rsid w:val="007B4509"/>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0A1C67"/>
    <w:rPr>
      <w:sz w:val="16"/>
      <w:szCs w:val="16"/>
    </w:rPr>
  </w:style>
  <w:style w:type="paragraph" w:styleId="CommentSubject">
    <w:name w:val="annotation subject"/>
    <w:basedOn w:val="CommentText"/>
    <w:next w:val="CommentText"/>
    <w:link w:val="CommentSubjectChar"/>
    <w:uiPriority w:val="99"/>
    <w:semiHidden/>
    <w:unhideWhenUsed/>
    <w:rsid w:val="0026160D"/>
    <w:rPr>
      <w:rFonts w:ascii="Times New Roman" w:eastAsia="Times New Roman" w:hAnsi="Times New Roman" w:cs="Times New Roman"/>
      <w:b/>
      <w:bCs/>
      <w:sz w:val="20"/>
      <w:szCs w:val="20"/>
    </w:rPr>
  </w:style>
  <w:style w:type="character" w:customStyle="1" w:styleId="CommentSubjectChar">
    <w:name w:val="Comment Subject Char"/>
    <w:basedOn w:val="CommentTextChar"/>
    <w:link w:val="CommentSubject"/>
    <w:uiPriority w:val="99"/>
    <w:semiHidden/>
    <w:rsid w:val="0026160D"/>
    <w:rPr>
      <w:rFonts w:ascii="Times New Roman" w:eastAsia="Times New Roman" w:hAnsi="Times New Roman" w:cs="Times New Roman"/>
      <w:b/>
      <w:bCs/>
      <w:sz w:val="20"/>
      <w:szCs w:val="20"/>
    </w:rPr>
  </w:style>
  <w:style w:type="paragraph" w:styleId="ListParagraph">
    <w:name w:val="List Paragraph"/>
    <w:basedOn w:val="Normal"/>
    <w:uiPriority w:val="34"/>
    <w:qFormat/>
    <w:rsid w:val="0026160D"/>
    <w:pPr>
      <w:ind w:left="720"/>
      <w:contextualSpacing/>
    </w:pPr>
  </w:style>
  <w:style w:type="paragraph" w:styleId="Revision">
    <w:name w:val="Revision"/>
    <w:hidden/>
    <w:uiPriority w:val="99"/>
    <w:semiHidden/>
    <w:rsid w:val="001E2207"/>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F0315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768879">
      <w:bodyDiv w:val="1"/>
      <w:marLeft w:val="0"/>
      <w:marRight w:val="0"/>
      <w:marTop w:val="0"/>
      <w:marBottom w:val="0"/>
      <w:divBdr>
        <w:top w:val="none" w:sz="0" w:space="0" w:color="auto"/>
        <w:left w:val="none" w:sz="0" w:space="0" w:color="auto"/>
        <w:bottom w:val="none" w:sz="0" w:space="0" w:color="auto"/>
        <w:right w:val="none" w:sz="0" w:space="0" w:color="auto"/>
      </w:divBdr>
      <w:divsChild>
        <w:div w:id="1501462167">
          <w:marLeft w:val="480"/>
          <w:marRight w:val="0"/>
          <w:marTop w:val="0"/>
          <w:marBottom w:val="0"/>
          <w:divBdr>
            <w:top w:val="none" w:sz="0" w:space="0" w:color="auto"/>
            <w:left w:val="none" w:sz="0" w:space="0" w:color="auto"/>
            <w:bottom w:val="none" w:sz="0" w:space="0" w:color="auto"/>
            <w:right w:val="none" w:sz="0" w:space="0" w:color="auto"/>
          </w:divBdr>
          <w:divsChild>
            <w:div w:id="56788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648528">
      <w:bodyDiv w:val="1"/>
      <w:marLeft w:val="0"/>
      <w:marRight w:val="0"/>
      <w:marTop w:val="0"/>
      <w:marBottom w:val="0"/>
      <w:divBdr>
        <w:top w:val="none" w:sz="0" w:space="0" w:color="auto"/>
        <w:left w:val="none" w:sz="0" w:space="0" w:color="auto"/>
        <w:bottom w:val="none" w:sz="0" w:space="0" w:color="auto"/>
        <w:right w:val="none" w:sz="0" w:space="0" w:color="auto"/>
      </w:divBdr>
      <w:divsChild>
        <w:div w:id="1445880296">
          <w:marLeft w:val="480"/>
          <w:marRight w:val="0"/>
          <w:marTop w:val="0"/>
          <w:marBottom w:val="0"/>
          <w:divBdr>
            <w:top w:val="none" w:sz="0" w:space="0" w:color="auto"/>
            <w:left w:val="none" w:sz="0" w:space="0" w:color="auto"/>
            <w:bottom w:val="none" w:sz="0" w:space="0" w:color="auto"/>
            <w:right w:val="none" w:sz="0" w:space="0" w:color="auto"/>
          </w:divBdr>
          <w:divsChild>
            <w:div w:id="1683819435">
              <w:marLeft w:val="0"/>
              <w:marRight w:val="0"/>
              <w:marTop w:val="0"/>
              <w:marBottom w:val="0"/>
              <w:divBdr>
                <w:top w:val="none" w:sz="0" w:space="0" w:color="auto"/>
                <w:left w:val="none" w:sz="0" w:space="0" w:color="auto"/>
                <w:bottom w:val="none" w:sz="0" w:space="0" w:color="auto"/>
                <w:right w:val="none" w:sz="0" w:space="0" w:color="auto"/>
              </w:divBdr>
            </w:div>
            <w:div w:id="81888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011569">
      <w:bodyDiv w:val="1"/>
      <w:marLeft w:val="0"/>
      <w:marRight w:val="0"/>
      <w:marTop w:val="0"/>
      <w:marBottom w:val="0"/>
      <w:divBdr>
        <w:top w:val="none" w:sz="0" w:space="0" w:color="auto"/>
        <w:left w:val="none" w:sz="0" w:space="0" w:color="auto"/>
        <w:bottom w:val="none" w:sz="0" w:space="0" w:color="auto"/>
        <w:right w:val="none" w:sz="0" w:space="0" w:color="auto"/>
      </w:divBdr>
    </w:div>
    <w:div w:id="870340796">
      <w:bodyDiv w:val="1"/>
      <w:marLeft w:val="0"/>
      <w:marRight w:val="0"/>
      <w:marTop w:val="0"/>
      <w:marBottom w:val="0"/>
      <w:divBdr>
        <w:top w:val="none" w:sz="0" w:space="0" w:color="auto"/>
        <w:left w:val="none" w:sz="0" w:space="0" w:color="auto"/>
        <w:bottom w:val="none" w:sz="0" w:space="0" w:color="auto"/>
        <w:right w:val="none" w:sz="0" w:space="0" w:color="auto"/>
      </w:divBdr>
    </w:div>
    <w:div w:id="967512730">
      <w:bodyDiv w:val="1"/>
      <w:marLeft w:val="0"/>
      <w:marRight w:val="0"/>
      <w:marTop w:val="0"/>
      <w:marBottom w:val="0"/>
      <w:divBdr>
        <w:top w:val="none" w:sz="0" w:space="0" w:color="auto"/>
        <w:left w:val="none" w:sz="0" w:space="0" w:color="auto"/>
        <w:bottom w:val="none" w:sz="0" w:space="0" w:color="auto"/>
        <w:right w:val="none" w:sz="0" w:space="0" w:color="auto"/>
      </w:divBdr>
      <w:divsChild>
        <w:div w:id="257444821">
          <w:marLeft w:val="480"/>
          <w:marRight w:val="0"/>
          <w:marTop w:val="0"/>
          <w:marBottom w:val="0"/>
          <w:divBdr>
            <w:top w:val="none" w:sz="0" w:space="0" w:color="auto"/>
            <w:left w:val="none" w:sz="0" w:space="0" w:color="auto"/>
            <w:bottom w:val="none" w:sz="0" w:space="0" w:color="auto"/>
            <w:right w:val="none" w:sz="0" w:space="0" w:color="auto"/>
          </w:divBdr>
          <w:divsChild>
            <w:div w:id="125104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275834">
      <w:bodyDiv w:val="1"/>
      <w:marLeft w:val="0"/>
      <w:marRight w:val="0"/>
      <w:marTop w:val="0"/>
      <w:marBottom w:val="0"/>
      <w:divBdr>
        <w:top w:val="none" w:sz="0" w:space="0" w:color="auto"/>
        <w:left w:val="none" w:sz="0" w:space="0" w:color="auto"/>
        <w:bottom w:val="none" w:sz="0" w:space="0" w:color="auto"/>
        <w:right w:val="none" w:sz="0" w:space="0" w:color="auto"/>
      </w:divBdr>
    </w:div>
    <w:div w:id="1445005598">
      <w:bodyDiv w:val="1"/>
      <w:marLeft w:val="0"/>
      <w:marRight w:val="0"/>
      <w:marTop w:val="0"/>
      <w:marBottom w:val="0"/>
      <w:divBdr>
        <w:top w:val="none" w:sz="0" w:space="0" w:color="auto"/>
        <w:left w:val="none" w:sz="0" w:space="0" w:color="auto"/>
        <w:bottom w:val="none" w:sz="0" w:space="0" w:color="auto"/>
        <w:right w:val="none" w:sz="0" w:space="0" w:color="auto"/>
      </w:divBdr>
    </w:div>
    <w:div w:id="1779905930">
      <w:bodyDiv w:val="1"/>
      <w:marLeft w:val="0"/>
      <w:marRight w:val="0"/>
      <w:marTop w:val="0"/>
      <w:marBottom w:val="0"/>
      <w:divBdr>
        <w:top w:val="none" w:sz="0" w:space="0" w:color="auto"/>
        <w:left w:val="none" w:sz="0" w:space="0" w:color="auto"/>
        <w:bottom w:val="none" w:sz="0" w:space="0" w:color="auto"/>
        <w:right w:val="none" w:sz="0" w:space="0" w:color="auto"/>
      </w:divBdr>
      <w:divsChild>
        <w:div w:id="129589651">
          <w:marLeft w:val="480"/>
          <w:marRight w:val="0"/>
          <w:marTop w:val="0"/>
          <w:marBottom w:val="0"/>
          <w:divBdr>
            <w:top w:val="none" w:sz="0" w:space="0" w:color="auto"/>
            <w:left w:val="none" w:sz="0" w:space="0" w:color="auto"/>
            <w:bottom w:val="none" w:sz="0" w:space="0" w:color="auto"/>
            <w:right w:val="none" w:sz="0" w:space="0" w:color="auto"/>
          </w:divBdr>
          <w:divsChild>
            <w:div w:id="20561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599171">
      <w:bodyDiv w:val="1"/>
      <w:marLeft w:val="0"/>
      <w:marRight w:val="0"/>
      <w:marTop w:val="0"/>
      <w:marBottom w:val="0"/>
      <w:divBdr>
        <w:top w:val="none" w:sz="0" w:space="0" w:color="auto"/>
        <w:left w:val="none" w:sz="0" w:space="0" w:color="auto"/>
        <w:bottom w:val="none" w:sz="0" w:space="0" w:color="auto"/>
        <w:right w:val="none" w:sz="0" w:space="0" w:color="auto"/>
      </w:divBdr>
      <w:divsChild>
        <w:div w:id="1147666872">
          <w:marLeft w:val="480"/>
          <w:marRight w:val="0"/>
          <w:marTop w:val="0"/>
          <w:marBottom w:val="0"/>
          <w:divBdr>
            <w:top w:val="none" w:sz="0" w:space="0" w:color="auto"/>
            <w:left w:val="none" w:sz="0" w:space="0" w:color="auto"/>
            <w:bottom w:val="none" w:sz="0" w:space="0" w:color="auto"/>
            <w:right w:val="none" w:sz="0" w:space="0" w:color="auto"/>
          </w:divBdr>
          <w:divsChild>
            <w:div w:id="12840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langsci.2013.08.003" TargetMode="External"/><Relationship Id="rId18" Type="http://schemas.openxmlformats.org/officeDocument/2006/relationships/hyperlink" Target="https://doi.org/10.1017/S1366728919000038" TargetMode="External"/><Relationship Id="rId26" Type="http://schemas.openxmlformats.org/officeDocument/2006/relationships/hyperlink" Target="https://doi.org/10.1016/j.jml.2015.07.004" TargetMode="External"/><Relationship Id="rId39" Type="http://schemas.openxmlformats.org/officeDocument/2006/relationships/hyperlink" Target="https://doi.org/10.1080/09515089.2014.993063" TargetMode="External"/><Relationship Id="rId21" Type="http://schemas.openxmlformats.org/officeDocument/2006/relationships/hyperlink" Target="https://doi.org/10.1016/j.cogbrainres.2005.04.007" TargetMode="External"/><Relationship Id="rId34" Type="http://schemas.openxmlformats.org/officeDocument/2006/relationships/hyperlink" Target="https://doi.org/10.3758/s13423-011-0179-5" TargetMode="External"/><Relationship Id="rId42" Type="http://schemas.openxmlformats.org/officeDocument/2006/relationships/hyperlink" Target="https://doi.org/10.1080/10410236.2020.1731781"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ites.la.utexas.edu/bilingual/" TargetMode="External"/><Relationship Id="rId29" Type="http://schemas.openxmlformats.org/officeDocument/2006/relationships/hyperlink" Target="https://doi.org/10.1016/j.jneuroling.2018.03.00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7/S0142716420000521" TargetMode="External"/><Relationship Id="rId24" Type="http://schemas.openxmlformats.org/officeDocument/2006/relationships/hyperlink" Target="https://doi.org/10.1037/a0039971" TargetMode="External"/><Relationship Id="rId32" Type="http://schemas.openxmlformats.org/officeDocument/2006/relationships/hyperlink" Target="https://doi.org/10.1177/0963721417727521" TargetMode="External"/><Relationship Id="rId37" Type="http://schemas.openxmlformats.org/officeDocument/2006/relationships/hyperlink" Target="https://doi.org/10.1080/01434632.2019.1585863" TargetMode="External"/><Relationship Id="rId40" Type="http://schemas.openxmlformats.org/officeDocument/2006/relationships/hyperlink" Target="https://doi.org/10.1016/j.neubiorev.2012.02.008" TargetMode="External"/><Relationship Id="rId45" Type="http://schemas.openxmlformats.org/officeDocument/2006/relationships/hyperlink" Target="https://doi.org/10.1007/BF03405370" TargetMode="External"/><Relationship Id="rId5" Type="http://schemas.openxmlformats.org/officeDocument/2006/relationships/webSettings" Target="webSettings.xml"/><Relationship Id="rId15" Type="http://schemas.openxmlformats.org/officeDocument/2006/relationships/hyperlink" Target="https://doi.org/10.3758/s13428-017-0867-9" TargetMode="External"/><Relationship Id="rId23" Type="http://schemas.openxmlformats.org/officeDocument/2006/relationships/hyperlink" Target="https://doi.org/10.1111/j.1467-9280.2009.02389.x" TargetMode="External"/><Relationship Id="rId28" Type="http://schemas.openxmlformats.org/officeDocument/2006/relationships/hyperlink" Target="https://doi.org/10.1080/0163853X.2019.1591885" TargetMode="External"/><Relationship Id="rId36" Type="http://schemas.openxmlformats.org/officeDocument/2006/relationships/hyperlink" Target="https://doi.org/10.1371/journal.pone.0243763" TargetMode="External"/><Relationship Id="rId10" Type="http://schemas.openxmlformats.org/officeDocument/2006/relationships/hyperlink" Target="https://doi.org/10.3389/fpsyg.2011.00103" TargetMode="External"/><Relationship Id="rId19" Type="http://schemas.openxmlformats.org/officeDocument/2006/relationships/hyperlink" Target="https://doi.org/10.1044/1092-4388(2007/067)" TargetMode="External"/><Relationship Id="rId31" Type="http://schemas.openxmlformats.org/officeDocument/2006/relationships/hyperlink" Target="https://doi.org/10.1080/02687038.2016.1147767" TargetMode="External"/><Relationship Id="rId44" Type="http://schemas.openxmlformats.org/officeDocument/2006/relationships/hyperlink" Target="https://doi.org/10.1007/s10903-015-0237-6" TargetMode="External"/><Relationship Id="rId4" Type="http://schemas.openxmlformats.org/officeDocument/2006/relationships/settings" Target="settings.xml"/><Relationship Id="rId9" Type="http://schemas.openxmlformats.org/officeDocument/2006/relationships/hyperlink" Target="https://doi.org/10.1002/9781119387725.ch1" TargetMode="External"/><Relationship Id="rId14" Type="http://schemas.openxmlformats.org/officeDocument/2006/relationships/hyperlink" Target="https://doi.org/10.1017/S1366728917000682" TargetMode="External"/><Relationship Id="rId22" Type="http://schemas.openxmlformats.org/officeDocument/2006/relationships/hyperlink" Target="https://doi.org/10.1037/xlm0000849" TargetMode="External"/><Relationship Id="rId27" Type="http://schemas.openxmlformats.org/officeDocument/2006/relationships/hyperlink" Target="https://doi.org/10.1177/0963721418794491" TargetMode="External"/><Relationship Id="rId30" Type="http://schemas.openxmlformats.org/officeDocument/2006/relationships/hyperlink" Target="https://doi.org/10.1093/oxfordhb/9780199324576.013.32" TargetMode="External"/><Relationship Id="rId35" Type="http://schemas.openxmlformats.org/officeDocument/2006/relationships/hyperlink" Target="https://doi.org/10.1024/1016-264X/a000255" TargetMode="External"/><Relationship Id="rId43" Type="http://schemas.openxmlformats.org/officeDocument/2006/relationships/hyperlink" Target="https://www.doabooks.org/doab?func=fulltext&amp;rid=34249" TargetMode="External"/><Relationship Id="rId48" Type="http://schemas.openxmlformats.org/officeDocument/2006/relationships/theme" Target="theme/theme1.xml"/><Relationship Id="rId8" Type="http://schemas.openxmlformats.org/officeDocument/2006/relationships/hyperlink" Target="https://doi.org/10.1017/S1366728918000950" TargetMode="External"/><Relationship Id="rId3" Type="http://schemas.openxmlformats.org/officeDocument/2006/relationships/styles" Target="styles.xml"/><Relationship Id="rId12" Type="http://schemas.openxmlformats.org/officeDocument/2006/relationships/hyperlink" Target="https://doi.org/10.1017/S0142716420000533" TargetMode="External"/><Relationship Id="rId17" Type="http://schemas.openxmlformats.org/officeDocument/2006/relationships/hyperlink" Target="https://doi.org/10.1017/S1366728909990113" TargetMode="External"/><Relationship Id="rId25" Type="http://schemas.openxmlformats.org/officeDocument/2006/relationships/hyperlink" Target="https://doi.org/10.1080/0163853X.2014.913415" TargetMode="External"/><Relationship Id="rId33" Type="http://schemas.openxmlformats.org/officeDocument/2006/relationships/hyperlink" Target="https://doi.org/10.1017/S1366728914000145" TargetMode="External"/><Relationship Id="rId38" Type="http://schemas.openxmlformats.org/officeDocument/2006/relationships/hyperlink" Target="https://doi.org/10.1017/S0142716403000286" TargetMode="External"/><Relationship Id="rId46" Type="http://schemas.openxmlformats.org/officeDocument/2006/relationships/hyperlink" Target="https://doi.org/10.1080/10410236.2019.1692488" TargetMode="External"/><Relationship Id="rId20" Type="http://schemas.openxmlformats.org/officeDocument/2006/relationships/hyperlink" Target="https://doi.org/10.1016/j.langsci.2013.08.003" TargetMode="External"/><Relationship Id="rId41" Type="http://schemas.openxmlformats.org/officeDocument/2006/relationships/hyperlink" Target="https://doi.org/10.1371/journal.pone.02035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B8E943-8F35-A741-B776-8B265107C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309</TotalTime>
  <Pages>9</Pages>
  <Words>2316</Words>
  <Characters>13207</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Esteban Hernandez</dc:creator>
  <cp:keywords/>
  <dc:description/>
  <cp:lastModifiedBy>Esteban Hernandez-Rivera</cp:lastModifiedBy>
  <cp:revision>31</cp:revision>
  <dcterms:created xsi:type="dcterms:W3CDTF">2021-05-11T14:36:00Z</dcterms:created>
  <dcterms:modified xsi:type="dcterms:W3CDTF">2021-12-17T04:02:00Z</dcterms:modified>
</cp:coreProperties>
</file>