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E1C7E6" w14:textId="4017900E" w:rsidR="009A4AEC" w:rsidRPr="008E1B67" w:rsidRDefault="008E1B67" w:rsidP="008E1B67">
      <w:pPr>
        <w:jc w:val="center"/>
        <w:rPr>
          <w:rFonts w:ascii="Times New Roman" w:hAnsi="Times New Roman" w:cs="Times New Roman"/>
          <w:u w:val="single"/>
        </w:rPr>
      </w:pPr>
      <w:r w:rsidRPr="008E1B67">
        <w:rPr>
          <w:rFonts w:ascii="Times New Roman" w:hAnsi="Times New Roman" w:cs="Times New Roman"/>
          <w:u w:val="single"/>
        </w:rPr>
        <w:t xml:space="preserve">Supplementary Materials - Study 1 </w:t>
      </w:r>
      <w:r w:rsidR="00FF6381">
        <w:rPr>
          <w:rFonts w:ascii="Times New Roman" w:hAnsi="Times New Roman" w:cs="Times New Roman"/>
          <w:u w:val="single"/>
        </w:rPr>
        <w:t>Measures and Procedures</w:t>
      </w:r>
    </w:p>
    <w:p w14:paraId="532AF956" w14:textId="54D0F1BC" w:rsidR="008E1B67" w:rsidRPr="008E1B67" w:rsidRDefault="008E1B67" w:rsidP="008E1B67">
      <w:pPr>
        <w:jc w:val="center"/>
        <w:rPr>
          <w:rFonts w:ascii="Times New Roman" w:hAnsi="Times New Roman" w:cs="Times New Roman"/>
          <w:u w:val="single"/>
        </w:rPr>
      </w:pPr>
    </w:p>
    <w:p w14:paraId="6ED691EF" w14:textId="77777777" w:rsidR="008E1B67" w:rsidRPr="008E1B67" w:rsidRDefault="008E1B67" w:rsidP="008E1B67">
      <w:pPr>
        <w:jc w:val="center"/>
        <w:rPr>
          <w:rFonts w:ascii="Times New Roman" w:hAnsi="Times New Roman" w:cs="Times New Roman"/>
          <w:u w:val="single"/>
        </w:rPr>
      </w:pPr>
    </w:p>
    <w:p w14:paraId="3AB61AFB" w14:textId="7735F229" w:rsidR="008E1B67" w:rsidRPr="008E1B67" w:rsidRDefault="008E1B67" w:rsidP="008E1B67">
      <w:pPr>
        <w:jc w:val="center"/>
        <w:rPr>
          <w:rFonts w:ascii="Times New Roman" w:hAnsi="Times New Roman" w:cs="Times New Roman"/>
          <w:u w:val="single"/>
        </w:rPr>
      </w:pPr>
    </w:p>
    <w:p w14:paraId="6B980D12" w14:textId="730E524F" w:rsidR="008E1B67" w:rsidRPr="008E1B67" w:rsidRDefault="008E1B67" w:rsidP="008E1B67">
      <w:pPr>
        <w:jc w:val="center"/>
        <w:rPr>
          <w:rFonts w:ascii="Times New Roman" w:hAnsi="Times New Roman" w:cs="Times New Roman"/>
          <w:u w:val="single"/>
        </w:rPr>
      </w:pPr>
      <w:r w:rsidRPr="008E1B67">
        <w:rPr>
          <w:rFonts w:ascii="Times New Roman" w:hAnsi="Times New Roman" w:cs="Times New Roman"/>
          <w:noProof/>
          <w:lang w:val="en-US"/>
        </w:rPr>
        <w:drawing>
          <wp:inline distT="0" distB="0" distL="0" distR="0" wp14:anchorId="0BD2E40E" wp14:editId="2F049AA9">
            <wp:extent cx="5727700" cy="4062199"/>
            <wp:effectExtent l="0" t="0" r="0" b="1905"/>
            <wp:docPr id="1" name="Picture 7"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7" descr="A screenshot of a cell phone&#10;&#10;Description automatically generated"/>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27700" cy="4062199"/>
                    </a:xfrm>
                    <a:prstGeom prst="rect">
                      <a:avLst/>
                    </a:prstGeom>
                    <a:noFill/>
                    <a:ln>
                      <a:noFill/>
                    </a:ln>
                  </pic:spPr>
                </pic:pic>
              </a:graphicData>
            </a:graphic>
          </wp:inline>
        </w:drawing>
      </w:r>
    </w:p>
    <w:p w14:paraId="077882EF" w14:textId="0D5373EE" w:rsidR="008E1B67" w:rsidRPr="008E1B67" w:rsidRDefault="008E1B67" w:rsidP="008E1B67">
      <w:pPr>
        <w:jc w:val="center"/>
        <w:rPr>
          <w:rFonts w:ascii="Times New Roman" w:hAnsi="Times New Roman" w:cs="Times New Roman"/>
          <w:u w:val="single"/>
        </w:rPr>
      </w:pPr>
    </w:p>
    <w:p w14:paraId="1A0F031B" w14:textId="77777777" w:rsidR="00FF6B8E" w:rsidRDefault="00FF6B8E" w:rsidP="008E1B67">
      <w:pPr>
        <w:spacing w:line="480" w:lineRule="auto"/>
        <w:rPr>
          <w:rFonts w:ascii="Times New Roman" w:hAnsi="Times New Roman" w:cs="Times New Roman"/>
          <w:i/>
          <w:iCs/>
        </w:rPr>
      </w:pPr>
    </w:p>
    <w:p w14:paraId="0BE27B7F" w14:textId="7F5925E0" w:rsidR="008E1B67" w:rsidRPr="008E1B67" w:rsidRDefault="008E1B67" w:rsidP="008E1B67">
      <w:pPr>
        <w:spacing w:line="480" w:lineRule="auto"/>
        <w:rPr>
          <w:rFonts w:ascii="Times New Roman" w:hAnsi="Times New Roman" w:cs="Times New Roman"/>
        </w:rPr>
      </w:pPr>
      <w:r w:rsidRPr="008E1B67">
        <w:rPr>
          <w:rFonts w:ascii="Times New Roman" w:hAnsi="Times New Roman" w:cs="Times New Roman"/>
          <w:i/>
          <w:iCs/>
        </w:rPr>
        <w:t>Figure S.1. Study infographic used to advertise the project. Describes the itinerary of the study and what measures were collected across which days.</w:t>
      </w:r>
      <w:r w:rsidRPr="008E1B67">
        <w:rPr>
          <w:rFonts w:ascii="Times New Roman" w:hAnsi="Times New Roman" w:cs="Times New Roman"/>
        </w:rPr>
        <w:t xml:space="preserve"> </w:t>
      </w:r>
    </w:p>
    <w:p w14:paraId="55933844" w14:textId="18162EAA" w:rsidR="008E1B67" w:rsidRPr="008E1B67" w:rsidRDefault="008E1B67" w:rsidP="008E1B67">
      <w:pPr>
        <w:jc w:val="center"/>
        <w:rPr>
          <w:rFonts w:ascii="Times New Roman" w:hAnsi="Times New Roman" w:cs="Times New Roman"/>
          <w:u w:val="single"/>
        </w:rPr>
      </w:pPr>
    </w:p>
    <w:p w14:paraId="2608DF57" w14:textId="3D6CCD32" w:rsidR="008E1B67" w:rsidRPr="008E1B67" w:rsidRDefault="008E1B67" w:rsidP="008E1B67">
      <w:pPr>
        <w:jc w:val="center"/>
        <w:rPr>
          <w:rFonts w:ascii="Times New Roman" w:hAnsi="Times New Roman" w:cs="Times New Roman"/>
          <w:u w:val="single"/>
        </w:rPr>
      </w:pPr>
    </w:p>
    <w:p w14:paraId="1208C0AC" w14:textId="74D4413A" w:rsidR="008E1B67" w:rsidRPr="008E1B67" w:rsidRDefault="008E1B67" w:rsidP="008E1B67">
      <w:pPr>
        <w:jc w:val="center"/>
        <w:rPr>
          <w:rFonts w:ascii="Times New Roman" w:hAnsi="Times New Roman" w:cs="Times New Roman"/>
          <w:u w:val="single"/>
        </w:rPr>
      </w:pPr>
    </w:p>
    <w:p w14:paraId="0DD7377F" w14:textId="1478CC7F" w:rsidR="008E1B67" w:rsidRPr="008E1B67" w:rsidRDefault="008E1B67" w:rsidP="008E1B67">
      <w:pPr>
        <w:jc w:val="center"/>
        <w:rPr>
          <w:rFonts w:ascii="Times New Roman" w:hAnsi="Times New Roman" w:cs="Times New Roman"/>
          <w:u w:val="single"/>
        </w:rPr>
      </w:pPr>
    </w:p>
    <w:p w14:paraId="7949D0F1" w14:textId="1FE19F38" w:rsidR="008E1B67" w:rsidRPr="008E1B67" w:rsidRDefault="008E1B67" w:rsidP="008E1B67">
      <w:pPr>
        <w:jc w:val="center"/>
        <w:rPr>
          <w:rFonts w:ascii="Times New Roman" w:hAnsi="Times New Roman" w:cs="Times New Roman"/>
          <w:u w:val="single"/>
        </w:rPr>
      </w:pPr>
    </w:p>
    <w:p w14:paraId="2DA5EFF3" w14:textId="51F3177E" w:rsidR="008E1B67" w:rsidRPr="008E1B67" w:rsidRDefault="008E1B67" w:rsidP="008E1B67">
      <w:pPr>
        <w:jc w:val="center"/>
        <w:rPr>
          <w:rFonts w:ascii="Times New Roman" w:hAnsi="Times New Roman" w:cs="Times New Roman"/>
          <w:u w:val="single"/>
        </w:rPr>
      </w:pPr>
    </w:p>
    <w:p w14:paraId="75D90AEC" w14:textId="2284EAE2" w:rsidR="008E1B67" w:rsidRPr="008E1B67" w:rsidRDefault="008E1B67" w:rsidP="008E1B67">
      <w:pPr>
        <w:jc w:val="center"/>
        <w:rPr>
          <w:rFonts w:ascii="Times New Roman" w:hAnsi="Times New Roman" w:cs="Times New Roman"/>
          <w:u w:val="single"/>
        </w:rPr>
      </w:pPr>
    </w:p>
    <w:p w14:paraId="6033B059" w14:textId="3A0134C7" w:rsidR="008E1B67" w:rsidRPr="008E1B67" w:rsidRDefault="008E1B67" w:rsidP="008E1B67">
      <w:pPr>
        <w:jc w:val="center"/>
        <w:rPr>
          <w:rFonts w:ascii="Times New Roman" w:hAnsi="Times New Roman" w:cs="Times New Roman"/>
          <w:u w:val="single"/>
        </w:rPr>
      </w:pPr>
    </w:p>
    <w:p w14:paraId="5B528617" w14:textId="07EF0B5B" w:rsidR="008E1B67" w:rsidRPr="008E1B67" w:rsidRDefault="008E1B67" w:rsidP="008E1B67">
      <w:pPr>
        <w:jc w:val="center"/>
        <w:rPr>
          <w:rFonts w:ascii="Times New Roman" w:hAnsi="Times New Roman" w:cs="Times New Roman"/>
          <w:u w:val="single"/>
        </w:rPr>
      </w:pPr>
    </w:p>
    <w:p w14:paraId="78936438" w14:textId="4978A118" w:rsidR="008E1B67" w:rsidRPr="008E1B67" w:rsidRDefault="008E1B67" w:rsidP="008E1B67">
      <w:pPr>
        <w:jc w:val="center"/>
        <w:rPr>
          <w:rFonts w:ascii="Times New Roman" w:hAnsi="Times New Roman" w:cs="Times New Roman"/>
          <w:u w:val="single"/>
        </w:rPr>
      </w:pPr>
    </w:p>
    <w:p w14:paraId="33C8ED29" w14:textId="3E3F16C3" w:rsidR="008E1B67" w:rsidRPr="008E1B67" w:rsidRDefault="008E1B67" w:rsidP="008E1B67">
      <w:pPr>
        <w:jc w:val="center"/>
        <w:rPr>
          <w:rFonts w:ascii="Times New Roman" w:hAnsi="Times New Roman" w:cs="Times New Roman"/>
          <w:u w:val="single"/>
        </w:rPr>
      </w:pPr>
    </w:p>
    <w:p w14:paraId="1558FAA7" w14:textId="11949AE8" w:rsidR="008E1B67" w:rsidRPr="008E1B67" w:rsidRDefault="008E1B67" w:rsidP="008E1B67">
      <w:pPr>
        <w:jc w:val="center"/>
        <w:rPr>
          <w:rFonts w:ascii="Times New Roman" w:hAnsi="Times New Roman" w:cs="Times New Roman"/>
          <w:u w:val="single"/>
        </w:rPr>
      </w:pPr>
    </w:p>
    <w:p w14:paraId="0D077FA4" w14:textId="73B86362" w:rsidR="008E1B67" w:rsidRPr="008E1B67" w:rsidRDefault="008E1B67" w:rsidP="008E1B67">
      <w:pPr>
        <w:jc w:val="center"/>
        <w:rPr>
          <w:rFonts w:ascii="Times New Roman" w:hAnsi="Times New Roman" w:cs="Times New Roman"/>
          <w:u w:val="single"/>
        </w:rPr>
      </w:pPr>
    </w:p>
    <w:p w14:paraId="03C99846" w14:textId="67E357AB" w:rsidR="008E1B67" w:rsidRPr="008E1B67" w:rsidRDefault="008E1B67" w:rsidP="008E1B67">
      <w:pPr>
        <w:jc w:val="center"/>
        <w:rPr>
          <w:rFonts w:ascii="Times New Roman" w:hAnsi="Times New Roman" w:cs="Times New Roman"/>
          <w:u w:val="single"/>
        </w:rPr>
      </w:pPr>
    </w:p>
    <w:p w14:paraId="17A73BB3" w14:textId="05AA102E" w:rsidR="008E1B67" w:rsidRPr="008E1B67" w:rsidRDefault="008E1B67" w:rsidP="008E1B67">
      <w:pPr>
        <w:jc w:val="center"/>
        <w:rPr>
          <w:rFonts w:ascii="Times New Roman" w:hAnsi="Times New Roman" w:cs="Times New Roman"/>
          <w:u w:val="single"/>
        </w:rPr>
      </w:pPr>
    </w:p>
    <w:p w14:paraId="683B797E" w14:textId="4CB0CD3C" w:rsidR="008E1B67" w:rsidRPr="008E1B67" w:rsidRDefault="008E1B67" w:rsidP="008E1B67">
      <w:pPr>
        <w:jc w:val="center"/>
        <w:rPr>
          <w:rFonts w:ascii="Times New Roman" w:hAnsi="Times New Roman" w:cs="Times New Roman"/>
          <w:u w:val="single"/>
        </w:rPr>
      </w:pPr>
    </w:p>
    <w:p w14:paraId="35BE574E" w14:textId="62282360" w:rsidR="008E1B67" w:rsidRPr="008E1B67" w:rsidRDefault="008E1B67" w:rsidP="008E1B67">
      <w:pPr>
        <w:jc w:val="center"/>
        <w:rPr>
          <w:rFonts w:ascii="Times New Roman" w:hAnsi="Times New Roman" w:cs="Times New Roman"/>
          <w:u w:val="single"/>
        </w:rPr>
      </w:pPr>
    </w:p>
    <w:p w14:paraId="13A1E4FE" w14:textId="37946FED" w:rsidR="008E1B67" w:rsidRPr="008E1B67" w:rsidRDefault="00977CAF" w:rsidP="008E1B67">
      <w:pPr>
        <w:spacing w:line="480" w:lineRule="auto"/>
        <w:rPr>
          <w:rFonts w:ascii="Times New Roman" w:hAnsi="Times New Roman" w:cs="Times New Roman"/>
          <w:i/>
          <w:iCs/>
          <w:color w:val="000000"/>
        </w:rPr>
      </w:pPr>
      <w:r>
        <w:rPr>
          <w:rFonts w:ascii="Times New Roman" w:hAnsi="Times New Roman" w:cs="Times New Roman"/>
          <w:i/>
          <w:iCs/>
          <w:color w:val="000000"/>
        </w:rPr>
        <w:t>Application</w:t>
      </w:r>
      <w:r w:rsidR="008E1B67" w:rsidRPr="008E1B67">
        <w:rPr>
          <w:rFonts w:ascii="Times New Roman" w:hAnsi="Times New Roman" w:cs="Times New Roman"/>
          <w:i/>
          <w:iCs/>
          <w:color w:val="000000"/>
        </w:rPr>
        <w:t xml:space="preserve"> Use </w:t>
      </w:r>
    </w:p>
    <w:p w14:paraId="1FD325EA" w14:textId="77777777" w:rsidR="008E1B67" w:rsidRPr="008E1B67" w:rsidRDefault="008E1B67" w:rsidP="008E1B67">
      <w:pPr>
        <w:spacing w:line="480" w:lineRule="auto"/>
        <w:rPr>
          <w:rFonts w:ascii="Times New Roman" w:hAnsi="Times New Roman" w:cs="Times New Roman"/>
        </w:rPr>
      </w:pPr>
    </w:p>
    <w:p w14:paraId="026235F0" w14:textId="6E14CF71" w:rsidR="008E1B67" w:rsidRPr="008E1B67" w:rsidRDefault="00977CAF" w:rsidP="008E1B67">
      <w:pPr>
        <w:spacing w:line="480" w:lineRule="auto"/>
        <w:rPr>
          <w:rFonts w:ascii="Times New Roman" w:hAnsi="Times New Roman" w:cs="Times New Roman"/>
          <w:color w:val="000000"/>
        </w:rPr>
      </w:pPr>
      <w:r>
        <w:rPr>
          <w:rFonts w:ascii="Times New Roman" w:hAnsi="Times New Roman" w:cs="Times New Roman"/>
          <w:color w:val="212121"/>
          <w:shd w:val="clear" w:color="auto" w:fill="FFFFFF"/>
        </w:rPr>
        <w:t>App</w:t>
      </w:r>
      <w:r w:rsidR="008E1B67" w:rsidRPr="008E1B67">
        <w:rPr>
          <w:rFonts w:ascii="Times New Roman" w:hAnsi="Times New Roman" w:cs="Times New Roman"/>
          <w:color w:val="212121"/>
          <w:shd w:val="clear" w:color="auto" w:fill="FFFFFF"/>
        </w:rPr>
        <w:t xml:space="preserve"> usage logger </w:t>
      </w:r>
      <w:r>
        <w:rPr>
          <w:rFonts w:ascii="Times New Roman" w:hAnsi="Times New Roman" w:cs="Times New Roman"/>
          <w:color w:val="212121"/>
          <w:shd w:val="clear" w:color="auto" w:fill="FFFFFF"/>
        </w:rPr>
        <w:t xml:space="preserve">worked in a similar way to activity logger, </w:t>
      </w:r>
      <w:r w:rsidR="008E1B67" w:rsidRPr="008E1B67">
        <w:rPr>
          <w:rFonts w:ascii="Times New Roman" w:hAnsi="Times New Roman" w:cs="Times New Roman"/>
          <w:color w:val="212121"/>
          <w:shd w:val="clear" w:color="auto" w:fill="FFFFFF"/>
        </w:rPr>
        <w:t>but, had an additional response when the screen was turned on and off. When the screen was turned on a function would repeat every 200 milliseconds. The function would query a database (</w:t>
      </w:r>
      <w:proofErr w:type="spellStart"/>
      <w:r w:rsidR="008E1B67" w:rsidRPr="008E1B67">
        <w:rPr>
          <w:rStyle w:val="apple-converted-space"/>
          <w:rFonts w:ascii="Times New Roman" w:hAnsi="Times New Roman" w:cs="Times New Roman"/>
          <w:noProof/>
          <w:color w:val="212121"/>
          <w:shd w:val="clear" w:color="auto" w:fill="FFFFFF"/>
        </w:rPr>
        <w:t>UsageStats</w:t>
      </w:r>
      <w:proofErr w:type="spellEnd"/>
      <w:r w:rsidR="008E1B67" w:rsidRPr="008E1B67">
        <w:rPr>
          <w:rStyle w:val="apple-converted-space"/>
          <w:rFonts w:ascii="Times New Roman" w:hAnsi="Times New Roman" w:cs="Times New Roman"/>
          <w:noProof/>
          <w:color w:val="212121"/>
          <w:shd w:val="clear" w:color="auto" w:fill="FFFFFF"/>
        </w:rPr>
        <w:t>, 2019)</w:t>
      </w:r>
      <w:r w:rsidR="008E1B67" w:rsidRPr="008E1B67">
        <w:rPr>
          <w:rFonts w:ascii="Times New Roman" w:hAnsi="Times New Roman" w:cs="Times New Roman"/>
          <w:color w:val="212121"/>
          <w:shd w:val="clear" w:color="auto" w:fill="FFFFFF"/>
        </w:rPr>
        <w:t xml:space="preserve"> generated by Android and independent of the application. This database stored a record of what applications were being used for the past two years on an Android device. The query would only question what application was running in the foreground for the past second. If this was the first time the function had ran since the screen was turned on or identified a different application from the previous time the function ran, then the name of the application would be</w:t>
      </w:r>
      <w:r w:rsidR="008E1B67" w:rsidRPr="008E1B67">
        <w:rPr>
          <w:rFonts w:ascii="Times New Roman" w:hAnsi="Times New Roman" w:cs="Times New Roman"/>
          <w:color w:val="000000"/>
        </w:rPr>
        <w:t> documented in the internal memory along with a UNIX timestamp. However,</w:t>
      </w:r>
      <w:r w:rsidR="008E1B67" w:rsidRPr="008E1B67">
        <w:rPr>
          <w:rStyle w:val="apple-converted-space"/>
          <w:rFonts w:ascii="Times New Roman" w:hAnsi="Times New Roman" w:cs="Times New Roman"/>
          <w:color w:val="000000"/>
        </w:rPr>
        <w:t xml:space="preserve"> repetitively</w:t>
      </w:r>
      <w:r w:rsidR="008E1B67" w:rsidRPr="008E1B67">
        <w:rPr>
          <w:rFonts w:ascii="Times New Roman" w:hAnsi="Times New Roman" w:cs="Times New Roman"/>
          <w:color w:val="000000"/>
        </w:rPr>
        <w:t xml:space="preserve"> running this function would be require extensive amounts of processing power and therefore to save battery the app would stop calling this function while the phone screen was off. App usage logger would also document meta-data including installed apps, the deletion and installation of applications across the week, and smartphone unlocking. Source code for both apps are available to download </w:t>
      </w:r>
      <w:r w:rsidR="008E1B67" w:rsidRPr="008E1B67">
        <w:rPr>
          <w:rFonts w:ascii="Times New Roman" w:hAnsi="Times New Roman" w:cs="Times New Roman"/>
          <w:noProof/>
          <w:color w:val="000000"/>
        </w:rPr>
        <w:t>(Shaw et al., 2018)</w:t>
      </w:r>
      <w:r w:rsidR="008E1B67" w:rsidRPr="008E1B67">
        <w:rPr>
          <w:rFonts w:ascii="Times New Roman" w:hAnsi="Times New Roman" w:cs="Times New Roman"/>
          <w:color w:val="000000"/>
        </w:rPr>
        <w:t>.</w:t>
      </w:r>
    </w:p>
    <w:p w14:paraId="0CBBE6F2" w14:textId="77777777" w:rsidR="008E1B67" w:rsidRPr="008E1B67" w:rsidRDefault="008E1B67" w:rsidP="008E1B67">
      <w:pPr>
        <w:spacing w:line="480" w:lineRule="auto"/>
        <w:rPr>
          <w:rFonts w:ascii="Times New Roman" w:hAnsi="Times New Roman" w:cs="Times New Roman"/>
          <w:color w:val="000000"/>
        </w:rPr>
      </w:pPr>
    </w:p>
    <w:p w14:paraId="2997A3D0"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bCs/>
          <w:i/>
          <w:iCs/>
        </w:rPr>
      </w:pPr>
      <w:r w:rsidRPr="008E1B67">
        <w:rPr>
          <w:rFonts w:ascii="Times New Roman" w:hAnsi="Times New Roman" w:cs="Times New Roman"/>
          <w:bCs/>
          <w:i/>
          <w:iCs/>
        </w:rPr>
        <w:t>Personality</w:t>
      </w:r>
    </w:p>
    <w:p w14:paraId="39741F68"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b/>
        </w:rPr>
      </w:pPr>
    </w:p>
    <w:p w14:paraId="36E59F24" w14:textId="77777777" w:rsidR="008E1B67" w:rsidRPr="008E1B67" w:rsidRDefault="008E1B67" w:rsidP="008E1B67">
      <w:pPr>
        <w:spacing w:line="480" w:lineRule="auto"/>
        <w:rPr>
          <w:rFonts w:ascii="Times New Roman" w:hAnsi="Times New Roman" w:cs="Times New Roman"/>
        </w:rPr>
      </w:pPr>
      <w:r w:rsidRPr="008E1B67">
        <w:rPr>
          <w:rFonts w:ascii="Times New Roman" w:hAnsi="Times New Roman" w:cs="Times New Roman"/>
        </w:rPr>
        <w:t xml:space="preserve">The 60-item HEXACO was used to analyse a user’s personality across six domain level traits; honesty-humility, emotionality, extraversion, agreeableness, conscientiousness and openness-to-experience (see chapter 3 for a detailed description of each trait) </w:t>
      </w:r>
      <w:r w:rsidRPr="008E1B67">
        <w:rPr>
          <w:rFonts w:ascii="Times New Roman" w:hAnsi="Times New Roman" w:cs="Times New Roman"/>
          <w:noProof/>
        </w:rPr>
        <w:t>(Ashton &amp; Lee, 2009)</w:t>
      </w:r>
      <w:r w:rsidRPr="008E1B67">
        <w:rPr>
          <w:rFonts w:ascii="Times New Roman" w:hAnsi="Times New Roman" w:cs="Times New Roman"/>
        </w:rPr>
        <w:t xml:space="preserve">. Only single factors were examined rather than facet-level personality scores as these have previously shown to have higher predictive performance when predicting personality from phone logs </w:t>
      </w:r>
      <w:r w:rsidRPr="008E1B67">
        <w:rPr>
          <w:rFonts w:ascii="Times New Roman" w:hAnsi="Times New Roman" w:cs="Times New Roman"/>
          <w:noProof/>
        </w:rPr>
        <w:t>(Stachl et al., 2017)</w:t>
      </w:r>
      <w:r w:rsidRPr="008E1B67">
        <w:rPr>
          <w:rFonts w:ascii="Times New Roman" w:hAnsi="Times New Roman" w:cs="Times New Roman"/>
        </w:rPr>
        <w:t xml:space="preserve">. For each trait, ten questions were answered concerning </w:t>
      </w:r>
      <w:r w:rsidRPr="008E1B67">
        <w:rPr>
          <w:rFonts w:ascii="Times New Roman" w:hAnsi="Times New Roman" w:cs="Times New Roman"/>
        </w:rPr>
        <w:lastRenderedPageBreak/>
        <w:t xml:space="preserve">how much a participant agreed or disagreed with a statement about themselves. Answers were recorded on a five-point likert-style scale, whereby five = </w:t>
      </w:r>
      <w:r w:rsidRPr="008E1B67">
        <w:rPr>
          <w:rFonts w:ascii="Times New Roman" w:hAnsi="Times New Roman" w:cs="Times New Roman"/>
          <w:i/>
          <w:iCs/>
        </w:rPr>
        <w:t>‘strongly agree’</w:t>
      </w:r>
      <w:r w:rsidRPr="008E1B67">
        <w:rPr>
          <w:rFonts w:ascii="Times New Roman" w:hAnsi="Times New Roman" w:cs="Times New Roman"/>
        </w:rPr>
        <w:t xml:space="preserve"> and one = </w:t>
      </w:r>
      <w:r w:rsidRPr="008E1B67">
        <w:rPr>
          <w:rFonts w:ascii="Times New Roman" w:hAnsi="Times New Roman" w:cs="Times New Roman"/>
          <w:i/>
          <w:iCs/>
        </w:rPr>
        <w:t>‘strongly disagree’</w:t>
      </w:r>
      <w:r w:rsidRPr="008E1B67">
        <w:rPr>
          <w:rFonts w:ascii="Times New Roman" w:hAnsi="Times New Roman" w:cs="Times New Roman"/>
        </w:rPr>
        <w:t>. Reliability analysis showed that all trait scales had good internal reliability, apart from honestly-humility (</w:t>
      </w:r>
      <w:r w:rsidRPr="008E1B67">
        <w:rPr>
          <w:rFonts w:ascii="Times New Roman" w:hAnsi="Times New Roman" w:cs="Times New Roman"/>
          <w:i/>
          <w:iCs/>
        </w:rPr>
        <w:sym w:font="Symbol" w:char="F061"/>
      </w:r>
      <w:r w:rsidRPr="008E1B67">
        <w:rPr>
          <w:rFonts w:ascii="Times New Roman" w:hAnsi="Times New Roman" w:cs="Times New Roman"/>
        </w:rPr>
        <w:t xml:space="preserve"> = 0.65) and openness-to-experience (</w:t>
      </w:r>
      <w:r w:rsidRPr="008E1B67">
        <w:rPr>
          <w:rFonts w:ascii="Times New Roman" w:hAnsi="Times New Roman" w:cs="Times New Roman"/>
          <w:i/>
          <w:iCs/>
        </w:rPr>
        <w:sym w:font="Symbol" w:char="F061"/>
      </w:r>
      <w:r w:rsidRPr="008E1B67">
        <w:rPr>
          <w:rFonts w:ascii="Times New Roman" w:hAnsi="Times New Roman" w:cs="Times New Roman"/>
          <w:i/>
          <w:iCs/>
        </w:rPr>
        <w:t xml:space="preserve"> </w:t>
      </w:r>
      <w:r w:rsidRPr="008E1B67">
        <w:rPr>
          <w:rFonts w:ascii="Times New Roman" w:hAnsi="Times New Roman" w:cs="Times New Roman"/>
        </w:rPr>
        <w:t xml:space="preserve"> = .78) which fell below the .8 threshold. </w:t>
      </w:r>
    </w:p>
    <w:p w14:paraId="2216F10F"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b/>
        </w:rPr>
      </w:pPr>
    </w:p>
    <w:p w14:paraId="652AA324"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bCs/>
          <w:i/>
          <w:iCs/>
        </w:rPr>
      </w:pPr>
      <w:r w:rsidRPr="008E1B67">
        <w:rPr>
          <w:rFonts w:ascii="Times New Roman" w:hAnsi="Times New Roman" w:cs="Times New Roman"/>
          <w:bCs/>
          <w:i/>
          <w:iCs/>
        </w:rPr>
        <w:t>Demographic Information</w:t>
      </w:r>
    </w:p>
    <w:p w14:paraId="2FC17BFD"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b/>
        </w:rPr>
      </w:pPr>
    </w:p>
    <w:p w14:paraId="2CBE5F92"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rPr>
      </w:pPr>
      <w:r w:rsidRPr="008E1B67">
        <w:rPr>
          <w:rFonts w:ascii="Times New Roman" w:hAnsi="Times New Roman" w:cs="Times New Roman"/>
        </w:rPr>
        <w:t xml:space="preserve">Self-report questions were used to measure gender, date of birth, marital status, highest qualification and job sector. Gender was measured through the selection of six options on a multiple-choice question: </w:t>
      </w:r>
      <w:r w:rsidRPr="008E1B67">
        <w:rPr>
          <w:rFonts w:ascii="Times New Roman" w:hAnsi="Times New Roman" w:cs="Times New Roman"/>
          <w:i/>
          <w:iCs/>
        </w:rPr>
        <w:t>‘Female’</w:t>
      </w:r>
      <w:r w:rsidRPr="008E1B67">
        <w:rPr>
          <w:rFonts w:ascii="Times New Roman" w:hAnsi="Times New Roman" w:cs="Times New Roman"/>
        </w:rPr>
        <w:t xml:space="preserve">, </w:t>
      </w:r>
      <w:r w:rsidRPr="008E1B67">
        <w:rPr>
          <w:rFonts w:ascii="Times New Roman" w:hAnsi="Times New Roman" w:cs="Times New Roman"/>
          <w:i/>
          <w:iCs/>
        </w:rPr>
        <w:t>‘Male’</w:t>
      </w:r>
      <w:r w:rsidRPr="008E1B67">
        <w:rPr>
          <w:rFonts w:ascii="Times New Roman" w:hAnsi="Times New Roman" w:cs="Times New Roman"/>
        </w:rPr>
        <w:t xml:space="preserve">, </w:t>
      </w:r>
      <w:r w:rsidRPr="008E1B67">
        <w:rPr>
          <w:rFonts w:ascii="Times New Roman" w:hAnsi="Times New Roman" w:cs="Times New Roman"/>
          <w:i/>
          <w:iCs/>
        </w:rPr>
        <w:t>‘Transgender’</w:t>
      </w:r>
      <w:r w:rsidRPr="008E1B67">
        <w:rPr>
          <w:rFonts w:ascii="Times New Roman" w:hAnsi="Times New Roman" w:cs="Times New Roman"/>
        </w:rPr>
        <w:t xml:space="preserve">, </w:t>
      </w:r>
      <w:r w:rsidRPr="008E1B67">
        <w:rPr>
          <w:rFonts w:ascii="Times New Roman" w:hAnsi="Times New Roman" w:cs="Times New Roman"/>
          <w:i/>
          <w:iCs/>
        </w:rPr>
        <w:t>‘Gender Variant/Non-Conforming</w:t>
      </w:r>
      <w:r w:rsidRPr="008E1B67">
        <w:rPr>
          <w:rFonts w:ascii="Times New Roman" w:hAnsi="Times New Roman" w:cs="Times New Roman"/>
        </w:rPr>
        <w:t>’, ‘</w:t>
      </w:r>
      <w:r w:rsidRPr="008E1B67">
        <w:rPr>
          <w:rFonts w:ascii="Times New Roman" w:hAnsi="Times New Roman" w:cs="Times New Roman"/>
          <w:i/>
          <w:iCs/>
        </w:rPr>
        <w:t>Not Listed (please specify)</w:t>
      </w:r>
      <w:r w:rsidRPr="008E1B67">
        <w:rPr>
          <w:rFonts w:ascii="Times New Roman" w:hAnsi="Times New Roman" w:cs="Times New Roman"/>
        </w:rPr>
        <w:t>’, and ‘</w:t>
      </w:r>
      <w:r w:rsidRPr="008E1B67">
        <w:rPr>
          <w:rFonts w:ascii="Times New Roman" w:hAnsi="Times New Roman" w:cs="Times New Roman"/>
          <w:i/>
          <w:iCs/>
        </w:rPr>
        <w:t>Prefer Not to Say’</w:t>
      </w:r>
      <w:r w:rsidRPr="008E1B67">
        <w:rPr>
          <w:rFonts w:ascii="Times New Roman" w:hAnsi="Times New Roman" w:cs="Times New Roman"/>
        </w:rPr>
        <w:t xml:space="preserve">.  Participants selected one of five options for marital status: </w:t>
      </w:r>
      <w:r w:rsidRPr="008E1B67">
        <w:rPr>
          <w:rFonts w:ascii="Times New Roman" w:hAnsi="Times New Roman" w:cs="Times New Roman"/>
          <w:i/>
          <w:iCs/>
        </w:rPr>
        <w:t>‘Single’</w:t>
      </w:r>
      <w:r w:rsidRPr="008E1B67">
        <w:rPr>
          <w:rFonts w:ascii="Times New Roman" w:hAnsi="Times New Roman" w:cs="Times New Roman"/>
        </w:rPr>
        <w:t xml:space="preserve">, </w:t>
      </w:r>
      <w:r w:rsidRPr="008E1B67">
        <w:rPr>
          <w:rFonts w:ascii="Times New Roman" w:hAnsi="Times New Roman" w:cs="Times New Roman"/>
          <w:i/>
          <w:iCs/>
        </w:rPr>
        <w:t>‘Married/Civil Partnership’</w:t>
      </w:r>
      <w:r w:rsidRPr="008E1B67">
        <w:rPr>
          <w:rFonts w:ascii="Times New Roman" w:hAnsi="Times New Roman" w:cs="Times New Roman"/>
        </w:rPr>
        <w:t>, ‘</w:t>
      </w:r>
      <w:r w:rsidRPr="008E1B67">
        <w:rPr>
          <w:rFonts w:ascii="Times New Roman" w:hAnsi="Times New Roman" w:cs="Times New Roman"/>
          <w:i/>
          <w:iCs/>
        </w:rPr>
        <w:t>Widowed</w:t>
      </w:r>
      <w:r w:rsidRPr="008E1B67">
        <w:rPr>
          <w:rFonts w:ascii="Times New Roman" w:hAnsi="Times New Roman" w:cs="Times New Roman"/>
        </w:rPr>
        <w:t xml:space="preserve">’, </w:t>
      </w:r>
      <w:r w:rsidRPr="008E1B67">
        <w:rPr>
          <w:rFonts w:ascii="Times New Roman" w:hAnsi="Times New Roman" w:cs="Times New Roman"/>
          <w:i/>
          <w:iCs/>
        </w:rPr>
        <w:t>‘Divorced’</w:t>
      </w:r>
      <w:r w:rsidRPr="008E1B67">
        <w:rPr>
          <w:rFonts w:ascii="Times New Roman" w:hAnsi="Times New Roman" w:cs="Times New Roman"/>
        </w:rPr>
        <w:t xml:space="preserve">, and </w:t>
      </w:r>
      <w:r w:rsidRPr="008E1B67">
        <w:rPr>
          <w:rFonts w:ascii="Times New Roman" w:hAnsi="Times New Roman" w:cs="Times New Roman"/>
          <w:i/>
          <w:iCs/>
        </w:rPr>
        <w:t>‘Separated’</w:t>
      </w:r>
      <w:r w:rsidRPr="008E1B67">
        <w:rPr>
          <w:rFonts w:ascii="Times New Roman" w:hAnsi="Times New Roman" w:cs="Times New Roman"/>
        </w:rPr>
        <w:t xml:space="preserve">. Job sectors were taken from the UK Prospects websites and included 24 categories ranging from accounting to transport and logistics </w:t>
      </w:r>
      <w:r w:rsidRPr="008E1B67">
        <w:rPr>
          <w:rFonts w:ascii="Times New Roman" w:hAnsi="Times New Roman" w:cs="Times New Roman"/>
          <w:noProof/>
        </w:rPr>
        <w:t>(Prospects, 2019)</w:t>
      </w:r>
      <w:r w:rsidRPr="008E1B67">
        <w:rPr>
          <w:rFonts w:ascii="Times New Roman" w:hAnsi="Times New Roman" w:cs="Times New Roman"/>
        </w:rPr>
        <w:t xml:space="preserve">. Highest qualification was measured through a multiple-choice question containing each of the eight UK levels with examples of what qualifications constitute to each level </w:t>
      </w:r>
      <w:r w:rsidRPr="008E1B67">
        <w:rPr>
          <w:rFonts w:ascii="Times New Roman" w:hAnsi="Times New Roman" w:cs="Times New Roman"/>
          <w:noProof/>
        </w:rPr>
        <w:t>(UK-Government, 2019)</w:t>
      </w:r>
      <w:r w:rsidRPr="008E1B67">
        <w:rPr>
          <w:rFonts w:ascii="Times New Roman" w:hAnsi="Times New Roman" w:cs="Times New Roman"/>
        </w:rPr>
        <w:t xml:space="preserve">. </w:t>
      </w:r>
    </w:p>
    <w:p w14:paraId="1E652288"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rPr>
      </w:pPr>
    </w:p>
    <w:p w14:paraId="28EA819E"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rPr>
      </w:pPr>
      <w:r w:rsidRPr="008E1B67">
        <w:rPr>
          <w:rFonts w:ascii="Times New Roman" w:hAnsi="Times New Roman" w:cs="Times New Roman"/>
        </w:rPr>
        <w:t xml:space="preserve">The MacArthur Ladder of Subjective Social Status was used to measure a person’s perceived social economic status in society </w:t>
      </w:r>
      <w:r w:rsidRPr="008E1B67">
        <w:rPr>
          <w:rFonts w:ascii="Times New Roman" w:hAnsi="Times New Roman" w:cs="Times New Roman"/>
          <w:noProof/>
        </w:rPr>
        <w:t>(Adler, Epel, Castellazzo, &amp; Ickovics, 2000)</w:t>
      </w:r>
      <w:r w:rsidRPr="008E1B67">
        <w:rPr>
          <w:rFonts w:ascii="Times New Roman" w:hAnsi="Times New Roman" w:cs="Times New Roman"/>
        </w:rPr>
        <w:t xml:space="preserve">. In this scale, participants viewed a picture of a ten-step ladder. The instructions were: </w:t>
      </w:r>
      <w:r w:rsidRPr="008E1B67">
        <w:rPr>
          <w:rFonts w:ascii="Times New Roman" w:hAnsi="Times New Roman" w:cs="Times New Roman"/>
          <w:i/>
          <w:iCs/>
        </w:rPr>
        <w:t xml:space="preserve">“There are 10 steps on this ladder. At the top of the ladder are the people who are the best off, those who have the most money, most education, and best jobs. At the bottom are the people who are the worst off, those who have the least money, least education, and worst jobs or no job. On the </w:t>
      </w:r>
      <w:r w:rsidRPr="008E1B67">
        <w:rPr>
          <w:rFonts w:ascii="Times New Roman" w:hAnsi="Times New Roman" w:cs="Times New Roman"/>
          <w:i/>
          <w:iCs/>
        </w:rPr>
        <w:lastRenderedPageBreak/>
        <w:t>multiple-choice options below, please select a step which best represents where you stand on this ladder”.</w:t>
      </w:r>
      <w:r w:rsidRPr="008E1B67">
        <w:rPr>
          <w:rFonts w:ascii="Times New Roman" w:hAnsi="Times New Roman" w:cs="Times New Roman"/>
        </w:rPr>
        <w:t xml:space="preserve"> Like chapter three, this was used instead of collecting details about pay or household income.</w:t>
      </w:r>
    </w:p>
    <w:p w14:paraId="026AB56A" w14:textId="77777777" w:rsidR="008E1B67" w:rsidRPr="008E1B67" w:rsidRDefault="008E1B67" w:rsidP="008E1B67">
      <w:pPr>
        <w:spacing w:line="480" w:lineRule="auto"/>
        <w:rPr>
          <w:rFonts w:ascii="Times New Roman" w:hAnsi="Times New Roman" w:cs="Times New Roman"/>
        </w:rPr>
      </w:pPr>
    </w:p>
    <w:p w14:paraId="154711B0"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bCs/>
          <w:i/>
          <w:iCs/>
        </w:rPr>
      </w:pPr>
      <w:r w:rsidRPr="008E1B67">
        <w:rPr>
          <w:rFonts w:ascii="Times New Roman" w:hAnsi="Times New Roman" w:cs="Times New Roman"/>
          <w:bCs/>
          <w:i/>
          <w:iCs/>
        </w:rPr>
        <w:t>Happiness</w:t>
      </w:r>
    </w:p>
    <w:p w14:paraId="627E425C"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b/>
        </w:rPr>
      </w:pPr>
    </w:p>
    <w:p w14:paraId="20C4B0D2"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rPr>
      </w:pPr>
      <w:r w:rsidRPr="008E1B67">
        <w:rPr>
          <w:rFonts w:ascii="Times New Roman" w:hAnsi="Times New Roman" w:cs="Times New Roman"/>
        </w:rPr>
        <w:t xml:space="preserve">Happiness was measured using the Oxford Happiness Questionnaire </w:t>
      </w:r>
      <w:r w:rsidRPr="008E1B67">
        <w:rPr>
          <w:rFonts w:ascii="Times New Roman" w:hAnsi="Times New Roman" w:cs="Times New Roman"/>
          <w:noProof/>
        </w:rPr>
        <w:t>(Hills &amp; Argyle, 2002)</w:t>
      </w:r>
      <w:r w:rsidRPr="008E1B67">
        <w:rPr>
          <w:rFonts w:ascii="Times New Roman" w:hAnsi="Times New Roman" w:cs="Times New Roman"/>
        </w:rPr>
        <w:t>. Participants were asked to indicate how much they agreed or disagreed with 29 statements about happiness on a six-point Likert scale, whereby 1 = “Strongly Disagree” and 6 = “Strongly Agree”. Example questions included “</w:t>
      </w:r>
      <w:r w:rsidRPr="008E1B67">
        <w:rPr>
          <w:rFonts w:ascii="Times New Roman" w:hAnsi="Times New Roman" w:cs="Times New Roman"/>
          <w:i/>
          <w:iCs/>
        </w:rPr>
        <w:t>I laugh a lot</w:t>
      </w:r>
      <w:r w:rsidRPr="008E1B67">
        <w:rPr>
          <w:rFonts w:ascii="Times New Roman" w:hAnsi="Times New Roman" w:cs="Times New Roman"/>
        </w:rPr>
        <w:t>” and “</w:t>
      </w:r>
      <w:r w:rsidRPr="008E1B67">
        <w:rPr>
          <w:rFonts w:ascii="Times New Roman" w:hAnsi="Times New Roman" w:cs="Times New Roman"/>
          <w:i/>
          <w:iCs/>
        </w:rPr>
        <w:t>I often experience joy and elation</w:t>
      </w:r>
      <w:r w:rsidRPr="008E1B67">
        <w:rPr>
          <w:rFonts w:ascii="Times New Roman" w:hAnsi="Times New Roman" w:cs="Times New Roman"/>
        </w:rPr>
        <w:t xml:space="preserve">”. Higher scores indicated greater amounts of happiness. </w:t>
      </w:r>
    </w:p>
    <w:p w14:paraId="33E76AD5"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bCs/>
          <w:i/>
          <w:iCs/>
        </w:rPr>
      </w:pPr>
    </w:p>
    <w:p w14:paraId="4FFA3AB4"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bCs/>
          <w:i/>
          <w:iCs/>
        </w:rPr>
      </w:pPr>
      <w:r w:rsidRPr="008E1B67">
        <w:rPr>
          <w:rFonts w:ascii="Times New Roman" w:hAnsi="Times New Roman" w:cs="Times New Roman"/>
          <w:bCs/>
          <w:i/>
          <w:iCs/>
        </w:rPr>
        <w:t>Loneliness</w:t>
      </w:r>
    </w:p>
    <w:p w14:paraId="4DAAF69D"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rPr>
      </w:pPr>
    </w:p>
    <w:p w14:paraId="32C3BC1A"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rPr>
      </w:pPr>
      <w:r w:rsidRPr="008E1B67">
        <w:rPr>
          <w:rFonts w:ascii="Times New Roman" w:hAnsi="Times New Roman" w:cs="Times New Roman"/>
        </w:rPr>
        <w:t xml:space="preserve">The UCLA loneliness scale </w:t>
      </w:r>
      <w:r w:rsidRPr="008E1B67">
        <w:rPr>
          <w:rFonts w:ascii="Times New Roman" w:hAnsi="Times New Roman" w:cs="Times New Roman"/>
          <w:noProof/>
        </w:rPr>
        <w:t>(Russell, Peplau, &amp; Cutrona, 1980)</w:t>
      </w:r>
      <w:r w:rsidRPr="008E1B67">
        <w:rPr>
          <w:rFonts w:ascii="Times New Roman" w:hAnsi="Times New Roman" w:cs="Times New Roman"/>
        </w:rPr>
        <w:t xml:space="preserve"> was used to measure lonesomeness and consisted of 20 questions such as “</w:t>
      </w:r>
      <w:r w:rsidRPr="008E1B67">
        <w:rPr>
          <w:rFonts w:ascii="Times New Roman" w:hAnsi="Times New Roman" w:cs="Times New Roman"/>
          <w:i/>
          <w:iCs/>
        </w:rPr>
        <w:t>I feel left out</w:t>
      </w:r>
      <w:r w:rsidRPr="008E1B67">
        <w:rPr>
          <w:rFonts w:ascii="Times New Roman" w:hAnsi="Times New Roman" w:cs="Times New Roman"/>
        </w:rPr>
        <w:t>” and “</w:t>
      </w:r>
      <w:r w:rsidRPr="008E1B67">
        <w:rPr>
          <w:rFonts w:ascii="Times New Roman" w:hAnsi="Times New Roman" w:cs="Times New Roman"/>
          <w:i/>
          <w:iCs/>
        </w:rPr>
        <w:t>There are people I can turn to</w:t>
      </w:r>
      <w:r w:rsidRPr="008E1B67">
        <w:rPr>
          <w:rFonts w:ascii="Times New Roman" w:hAnsi="Times New Roman" w:cs="Times New Roman"/>
        </w:rPr>
        <w:t>”. Participants responded how often they felt a particular way on a 4-point Likert scale, whereby 1 = “Never” and 4 = “Often”. Higher scores indicated greater levels of loneliness.</w:t>
      </w:r>
    </w:p>
    <w:p w14:paraId="1A140DD6"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rPr>
      </w:pPr>
    </w:p>
    <w:p w14:paraId="0E637CCC"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bCs/>
          <w:i/>
          <w:iCs/>
        </w:rPr>
      </w:pPr>
      <w:r w:rsidRPr="008E1B67">
        <w:rPr>
          <w:rFonts w:ascii="Times New Roman" w:hAnsi="Times New Roman" w:cs="Times New Roman"/>
          <w:bCs/>
          <w:i/>
          <w:iCs/>
        </w:rPr>
        <w:t>Personal Wellbeing</w:t>
      </w:r>
    </w:p>
    <w:p w14:paraId="19B75E7A"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rPr>
      </w:pPr>
    </w:p>
    <w:p w14:paraId="2AB022EC"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rPr>
      </w:pPr>
      <w:r w:rsidRPr="008E1B67">
        <w:rPr>
          <w:rFonts w:ascii="Times New Roman" w:hAnsi="Times New Roman" w:cs="Times New Roman"/>
        </w:rPr>
        <w:t xml:space="preserve">The Personal Wellbeing Index included eight questions which indicated how satisfied a person was with several life factors, such as: standard of living, health, life achievement, personal relationships, safety, community, future security, and religion </w:t>
      </w:r>
      <w:r w:rsidRPr="008E1B67">
        <w:rPr>
          <w:rFonts w:ascii="Times New Roman" w:hAnsi="Times New Roman" w:cs="Times New Roman"/>
          <w:noProof/>
        </w:rPr>
        <w:t xml:space="preserve">(International </w:t>
      </w:r>
      <w:r w:rsidRPr="008E1B67">
        <w:rPr>
          <w:rFonts w:ascii="Times New Roman" w:hAnsi="Times New Roman" w:cs="Times New Roman"/>
          <w:noProof/>
        </w:rPr>
        <w:lastRenderedPageBreak/>
        <w:t>Wellbeing Group, 2013)</w:t>
      </w:r>
      <w:r w:rsidRPr="008E1B67">
        <w:rPr>
          <w:rFonts w:ascii="Times New Roman" w:hAnsi="Times New Roman" w:cs="Times New Roman"/>
        </w:rPr>
        <w:t xml:space="preserve">. Questions were asked on a 11-point Likert scale whereby 0 = “no satisfaction at all” and 10 = “completely satisfied”. Higher total scores indicated higher overall wellbeing. </w:t>
      </w:r>
    </w:p>
    <w:p w14:paraId="42387ED7"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rPr>
      </w:pPr>
    </w:p>
    <w:p w14:paraId="6FD724F3"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bCs/>
          <w:i/>
          <w:iCs/>
        </w:rPr>
      </w:pPr>
      <w:r w:rsidRPr="008E1B67">
        <w:rPr>
          <w:rFonts w:ascii="Times New Roman" w:hAnsi="Times New Roman" w:cs="Times New Roman"/>
          <w:bCs/>
          <w:i/>
          <w:iCs/>
        </w:rPr>
        <w:t>Somatic Symptoms</w:t>
      </w:r>
    </w:p>
    <w:p w14:paraId="2BB16275"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rPr>
      </w:pPr>
    </w:p>
    <w:p w14:paraId="4F1AF6CC"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rPr>
      </w:pPr>
      <w:r w:rsidRPr="008E1B67">
        <w:rPr>
          <w:rFonts w:ascii="Times New Roman" w:hAnsi="Times New Roman" w:cs="Times New Roman"/>
        </w:rPr>
        <w:t xml:space="preserve">The PHQ-15 </w:t>
      </w:r>
      <w:r w:rsidRPr="008E1B67">
        <w:rPr>
          <w:rFonts w:ascii="Times New Roman" w:hAnsi="Times New Roman" w:cs="Times New Roman"/>
          <w:noProof/>
        </w:rPr>
        <w:t>(Kroenke, Spitzer, &amp; Williams, 2002)</w:t>
      </w:r>
      <w:r w:rsidRPr="008E1B67">
        <w:rPr>
          <w:rFonts w:ascii="Times New Roman" w:hAnsi="Times New Roman" w:cs="Times New Roman"/>
        </w:rPr>
        <w:t xml:space="preserve"> consisted of 15 questions relating to somatic symptoms such as stomach pain, back pain, menstrual cramps, and headaches. Participants were asked “</w:t>
      </w:r>
      <w:r w:rsidRPr="008E1B67">
        <w:rPr>
          <w:rFonts w:ascii="Times New Roman" w:hAnsi="Times New Roman" w:cs="Times New Roman"/>
          <w:i/>
          <w:iCs/>
        </w:rPr>
        <w:t>Over the last two weeks, how much have you been bothered by any of the following problems</w:t>
      </w:r>
      <w:r w:rsidRPr="008E1B67">
        <w:rPr>
          <w:rFonts w:ascii="Times New Roman" w:hAnsi="Times New Roman" w:cs="Times New Roman"/>
        </w:rPr>
        <w:t xml:space="preserve">” and responded on a three-point scale whereby 0 = “not bothered at all’ and 2 = “bothered a lot’. Scores of 5, 10 and 15 are cut of points for low, medium and high somatic symptom severity. </w:t>
      </w:r>
    </w:p>
    <w:p w14:paraId="587AD736"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rPr>
      </w:pPr>
    </w:p>
    <w:p w14:paraId="7B9F0A0E"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bCs/>
          <w:i/>
          <w:iCs/>
        </w:rPr>
      </w:pPr>
      <w:r w:rsidRPr="008E1B67">
        <w:rPr>
          <w:rFonts w:ascii="Times New Roman" w:hAnsi="Times New Roman" w:cs="Times New Roman"/>
          <w:bCs/>
          <w:i/>
          <w:iCs/>
        </w:rPr>
        <w:t>Ocular and Musculoskeletal Symptoms</w:t>
      </w:r>
    </w:p>
    <w:p w14:paraId="1F51BA51"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rPr>
      </w:pPr>
    </w:p>
    <w:p w14:paraId="1D657963"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rPr>
      </w:pPr>
      <w:r w:rsidRPr="008E1B67">
        <w:rPr>
          <w:rFonts w:ascii="Times New Roman" w:hAnsi="Times New Roman" w:cs="Times New Roman"/>
        </w:rPr>
        <w:t xml:space="preserve">Ocular symptoms were measured by adapting the PHQ-15 to seven new ocular symptoms including vision blurring, eye redness, visual disturbance, secretion, inflammation, lacrimation, and eye dryness. Similarly, musculoskeletal symptoms were measured by adapting the PHQ-15 to six new symptoms including pain in the neck, spine, shoulders, hands, wrists, and fingers. </w:t>
      </w:r>
    </w:p>
    <w:p w14:paraId="58EE9B23"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rPr>
      </w:pPr>
    </w:p>
    <w:p w14:paraId="54C27531"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bCs/>
          <w:i/>
          <w:iCs/>
        </w:rPr>
      </w:pPr>
      <w:r w:rsidRPr="008E1B67">
        <w:rPr>
          <w:rFonts w:ascii="Times New Roman" w:hAnsi="Times New Roman" w:cs="Times New Roman"/>
          <w:bCs/>
          <w:i/>
          <w:iCs/>
        </w:rPr>
        <w:t>Sleep Quality</w:t>
      </w:r>
    </w:p>
    <w:p w14:paraId="4316ACB8"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rPr>
      </w:pPr>
    </w:p>
    <w:p w14:paraId="57ECF977"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rPr>
      </w:pPr>
      <w:r w:rsidRPr="008E1B67">
        <w:rPr>
          <w:rFonts w:ascii="Times New Roman" w:hAnsi="Times New Roman" w:cs="Times New Roman"/>
        </w:rPr>
        <w:t xml:space="preserve">The Pittsburgh Sleep Quality Index measured sleep quality and disturbances by reflecting over the past month </w:t>
      </w:r>
      <w:r w:rsidRPr="008E1B67">
        <w:rPr>
          <w:rFonts w:ascii="Times New Roman" w:hAnsi="Times New Roman" w:cs="Times New Roman"/>
          <w:noProof/>
        </w:rPr>
        <w:t>(Buysee, Reynolds III, Monk, Berman, &amp; Kupfer, 1988)</w:t>
      </w:r>
      <w:r w:rsidRPr="008E1B67">
        <w:rPr>
          <w:rFonts w:ascii="Times New Roman" w:hAnsi="Times New Roman" w:cs="Times New Roman"/>
        </w:rPr>
        <w:t xml:space="preserve">. 19 items were </w:t>
      </w:r>
      <w:r w:rsidRPr="008E1B67">
        <w:rPr>
          <w:rFonts w:ascii="Times New Roman" w:hAnsi="Times New Roman" w:cs="Times New Roman"/>
        </w:rPr>
        <w:lastRenderedPageBreak/>
        <w:t xml:space="preserve">used to generate several component scores such as: subjective sleep quality, sleep latency, sleep duration, habitual sleep efficiency, sleep disturbances, use of sleeping medication, and daytime dis-functioning. These were used to calculate a global score, which has shown to have a diagnostic sensitivity of 89.6% and a specificity of 86.5% when distinguishing good to poor sleepers </w:t>
      </w:r>
      <w:r w:rsidRPr="008E1B67">
        <w:rPr>
          <w:rFonts w:ascii="Times New Roman" w:hAnsi="Times New Roman" w:cs="Times New Roman"/>
          <w:noProof/>
        </w:rPr>
        <w:t>(Buysee et al., 1988)</w:t>
      </w:r>
      <w:r w:rsidRPr="008E1B67">
        <w:rPr>
          <w:rFonts w:ascii="Times New Roman" w:hAnsi="Times New Roman" w:cs="Times New Roman"/>
        </w:rPr>
        <w:t>. Higher scores indicate lower sleep quality.</w:t>
      </w:r>
    </w:p>
    <w:p w14:paraId="5C792139" w14:textId="77777777" w:rsidR="008E1B67" w:rsidRPr="008E1B67" w:rsidRDefault="008E1B67" w:rsidP="008E1B67">
      <w:pPr>
        <w:widowControl w:val="0"/>
        <w:autoSpaceDE w:val="0"/>
        <w:autoSpaceDN w:val="0"/>
        <w:adjustRightInd w:val="0"/>
        <w:spacing w:line="480" w:lineRule="auto"/>
        <w:rPr>
          <w:rFonts w:ascii="Times New Roman" w:hAnsi="Times New Roman" w:cs="Times New Roman"/>
        </w:rPr>
      </w:pPr>
    </w:p>
    <w:p w14:paraId="38E20420" w14:textId="77777777" w:rsidR="008E1B67" w:rsidRPr="008E1B67" w:rsidRDefault="008E1B67" w:rsidP="008E1B67">
      <w:pPr>
        <w:jc w:val="center"/>
        <w:rPr>
          <w:rFonts w:ascii="Times New Roman" w:hAnsi="Times New Roman" w:cs="Times New Roman"/>
          <w:u w:val="single"/>
        </w:rPr>
      </w:pPr>
    </w:p>
    <w:sectPr w:rsidR="008E1B67" w:rsidRPr="008E1B67" w:rsidSect="00FC137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B67"/>
    <w:rsid w:val="00384B5C"/>
    <w:rsid w:val="0038628A"/>
    <w:rsid w:val="008E1B67"/>
    <w:rsid w:val="00977CAF"/>
    <w:rsid w:val="009A4AEC"/>
    <w:rsid w:val="009D17CE"/>
    <w:rsid w:val="00FC137C"/>
    <w:rsid w:val="00FF6381"/>
    <w:rsid w:val="00FF6B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74824"/>
  <w15:chartTrackingRefBased/>
  <w15:docId w15:val="{565F5DF5-0060-1C47-B62C-4F8CE373A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E1B67"/>
  </w:style>
  <w:style w:type="paragraph" w:styleId="CommentText">
    <w:name w:val="annotation text"/>
    <w:basedOn w:val="Normal"/>
    <w:link w:val="CommentTextChar"/>
    <w:uiPriority w:val="99"/>
    <w:unhideWhenUsed/>
    <w:rsid w:val="008E1B67"/>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8E1B67"/>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77CA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77CA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1026</Words>
  <Characters>5852</Characters>
  <Application>Microsoft Office Word</Application>
  <DocSecurity>0</DocSecurity>
  <Lines>48</Lines>
  <Paragraphs>13</Paragraphs>
  <ScaleCrop>false</ScaleCrop>
  <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 Heather</dc:creator>
  <cp:keywords/>
  <dc:description/>
  <cp:lastModifiedBy>Heather Shaw (09168930)</cp:lastModifiedBy>
  <cp:revision>6</cp:revision>
  <dcterms:created xsi:type="dcterms:W3CDTF">2020-08-09T17:16:00Z</dcterms:created>
  <dcterms:modified xsi:type="dcterms:W3CDTF">2020-08-22T10:10:00Z</dcterms:modified>
</cp:coreProperties>
</file>