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21637" w:rsidRDefault="000A02A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02"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3"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4"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721637" w:rsidRDefault="000A02A4">
      <w:pPr>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 </w:t>
      </w:r>
    </w:p>
    <w:p w14:paraId="00000006"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7"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9"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721637" w:rsidRDefault="000A02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721637" w:rsidRDefault="000A02A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0E70DE" w14:textId="61AC4DAA" w:rsidR="008F084A" w:rsidRDefault="00383DC8">
      <w:pPr>
        <w:spacing w:line="480" w:lineRule="auto"/>
        <w:jc w:val="center"/>
        <w:rPr>
          <w:rFonts w:ascii="Times New Roman" w:eastAsia="Times New Roman" w:hAnsi="Times New Roman" w:cs="Times New Roman"/>
          <w:sz w:val="24"/>
          <w:szCs w:val="24"/>
        </w:rPr>
      </w:pPr>
      <w:r w:rsidRPr="00383DC8">
        <w:rPr>
          <w:rFonts w:ascii="Times New Roman" w:eastAsia="Times New Roman" w:hAnsi="Times New Roman" w:cs="Times New Roman"/>
          <w:sz w:val="24"/>
          <w:szCs w:val="24"/>
        </w:rPr>
        <w:t>Supplemental File</w:t>
      </w:r>
      <w:r>
        <w:rPr>
          <w:rFonts w:ascii="Times New Roman" w:eastAsia="Times New Roman" w:hAnsi="Times New Roman" w:cs="Times New Roman"/>
          <w:sz w:val="24"/>
          <w:szCs w:val="24"/>
        </w:rPr>
        <w:t xml:space="preserve"> </w:t>
      </w:r>
      <w:r w:rsidR="00D50DF3">
        <w:rPr>
          <w:rFonts w:ascii="Times New Roman" w:eastAsia="Times New Roman" w:hAnsi="Times New Roman" w:cs="Times New Roman"/>
          <w:sz w:val="24"/>
          <w:szCs w:val="24"/>
        </w:rPr>
        <w:t>H</w:t>
      </w:r>
      <w:r w:rsidR="008F084A">
        <w:rPr>
          <w:rFonts w:ascii="Times New Roman" w:eastAsia="Times New Roman" w:hAnsi="Times New Roman" w:cs="Times New Roman"/>
          <w:sz w:val="24"/>
          <w:szCs w:val="24"/>
        </w:rPr>
        <w:t xml:space="preserve"> </w:t>
      </w:r>
    </w:p>
    <w:p w14:paraId="332F9C0B" w14:textId="4F4054C7" w:rsidR="008F084A" w:rsidRDefault="008F084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Example Student Paper</w:t>
      </w:r>
    </w:p>
    <w:p w14:paraId="7B0CC006" w14:textId="77777777" w:rsidR="008F084A" w:rsidRDefault="008F084A" w:rsidP="008F084A">
      <w:pPr>
        <w:spacing w:line="480" w:lineRule="auto"/>
        <w:rPr>
          <w:rFonts w:ascii="Times New Roman" w:eastAsia="Times New Roman" w:hAnsi="Times New Roman" w:cs="Times New Roman"/>
          <w:sz w:val="24"/>
          <w:szCs w:val="24"/>
        </w:rPr>
      </w:pPr>
    </w:p>
    <w:p w14:paraId="0000000C" w14:textId="77777777" w:rsidR="00721637" w:rsidRDefault="000A02A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Creating an Objective Scale for Measuring Chronic Pain:</w:t>
      </w:r>
    </w:p>
    <w:p w14:paraId="0000000D" w14:textId="77777777" w:rsidR="00721637" w:rsidRDefault="000A02A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Role of Neuroimaging in Personal Injury Court Cases</w:t>
      </w:r>
    </w:p>
    <w:p w14:paraId="0000000F" w14:textId="77777777" w:rsidR="00721637" w:rsidRDefault="000A02A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Duke University</w:t>
      </w:r>
    </w:p>
    <w:p w14:paraId="00000010" w14:textId="77777777" w:rsidR="00721637" w:rsidRDefault="00721637">
      <w:pPr>
        <w:spacing w:line="480" w:lineRule="auto"/>
        <w:jc w:val="center"/>
        <w:rPr>
          <w:rFonts w:ascii="Times New Roman" w:eastAsia="Times New Roman" w:hAnsi="Times New Roman" w:cs="Times New Roman"/>
          <w:sz w:val="24"/>
          <w:szCs w:val="24"/>
        </w:rPr>
      </w:pPr>
    </w:p>
    <w:p w14:paraId="00000011" w14:textId="77777777" w:rsidR="00721637" w:rsidRDefault="00721637">
      <w:pPr>
        <w:spacing w:line="480" w:lineRule="auto"/>
        <w:jc w:val="center"/>
        <w:rPr>
          <w:rFonts w:ascii="Times New Roman" w:eastAsia="Times New Roman" w:hAnsi="Times New Roman" w:cs="Times New Roman"/>
          <w:sz w:val="24"/>
          <w:szCs w:val="24"/>
        </w:rPr>
      </w:pPr>
    </w:p>
    <w:p w14:paraId="00000012" w14:textId="77777777" w:rsidR="00721637" w:rsidRDefault="00721637">
      <w:pPr>
        <w:spacing w:line="480" w:lineRule="auto"/>
        <w:jc w:val="center"/>
        <w:rPr>
          <w:rFonts w:ascii="Times New Roman" w:eastAsia="Times New Roman" w:hAnsi="Times New Roman" w:cs="Times New Roman"/>
          <w:sz w:val="24"/>
          <w:szCs w:val="24"/>
        </w:rPr>
      </w:pPr>
    </w:p>
    <w:p w14:paraId="00000013" w14:textId="77777777" w:rsidR="00721637" w:rsidRDefault="00721637">
      <w:pPr>
        <w:spacing w:line="480" w:lineRule="auto"/>
        <w:jc w:val="center"/>
        <w:rPr>
          <w:rFonts w:ascii="Times New Roman" w:eastAsia="Times New Roman" w:hAnsi="Times New Roman" w:cs="Times New Roman"/>
          <w:sz w:val="24"/>
          <w:szCs w:val="24"/>
        </w:rPr>
      </w:pPr>
    </w:p>
    <w:p w14:paraId="00000014" w14:textId="77777777" w:rsidR="00721637" w:rsidRDefault="00721637">
      <w:pPr>
        <w:spacing w:line="480" w:lineRule="auto"/>
        <w:jc w:val="center"/>
        <w:rPr>
          <w:rFonts w:ascii="Times New Roman" w:eastAsia="Times New Roman" w:hAnsi="Times New Roman" w:cs="Times New Roman"/>
          <w:sz w:val="24"/>
          <w:szCs w:val="24"/>
        </w:rPr>
      </w:pPr>
    </w:p>
    <w:p w14:paraId="00000015" w14:textId="77777777" w:rsidR="00721637" w:rsidRDefault="00721637">
      <w:pPr>
        <w:spacing w:line="480" w:lineRule="auto"/>
        <w:jc w:val="center"/>
        <w:rPr>
          <w:rFonts w:ascii="Times New Roman" w:eastAsia="Times New Roman" w:hAnsi="Times New Roman" w:cs="Times New Roman"/>
          <w:sz w:val="24"/>
          <w:szCs w:val="24"/>
        </w:rPr>
      </w:pPr>
    </w:p>
    <w:p w14:paraId="00000016" w14:textId="77777777" w:rsidR="00721637" w:rsidRDefault="00721637">
      <w:pPr>
        <w:spacing w:line="480" w:lineRule="auto"/>
        <w:jc w:val="center"/>
        <w:rPr>
          <w:rFonts w:ascii="Times New Roman" w:eastAsia="Times New Roman" w:hAnsi="Times New Roman" w:cs="Times New Roman"/>
          <w:sz w:val="24"/>
          <w:szCs w:val="24"/>
        </w:rPr>
      </w:pPr>
    </w:p>
    <w:p w14:paraId="00000017" w14:textId="77777777" w:rsidR="00721637" w:rsidRDefault="00721637">
      <w:pPr>
        <w:spacing w:line="480" w:lineRule="auto"/>
        <w:jc w:val="center"/>
        <w:rPr>
          <w:rFonts w:ascii="Times New Roman" w:eastAsia="Times New Roman" w:hAnsi="Times New Roman" w:cs="Times New Roman"/>
          <w:sz w:val="24"/>
          <w:szCs w:val="24"/>
        </w:rPr>
      </w:pPr>
    </w:p>
    <w:p w14:paraId="68CD34DE" w14:textId="77777777" w:rsidR="000A02A4" w:rsidRDefault="000A02A4">
      <w:pPr>
        <w:spacing w:line="480" w:lineRule="auto"/>
        <w:jc w:val="center"/>
        <w:rPr>
          <w:rFonts w:ascii="Times New Roman" w:eastAsia="Times New Roman" w:hAnsi="Times New Roman" w:cs="Times New Roman"/>
          <w:sz w:val="24"/>
          <w:szCs w:val="24"/>
        </w:rPr>
      </w:pPr>
    </w:p>
    <w:p w14:paraId="0000001A" w14:textId="77777777" w:rsidR="00721637" w:rsidRDefault="00721637">
      <w:pPr>
        <w:spacing w:line="480" w:lineRule="auto"/>
        <w:rPr>
          <w:rFonts w:ascii="Times New Roman" w:eastAsia="Times New Roman" w:hAnsi="Times New Roman" w:cs="Times New Roman"/>
          <w:sz w:val="24"/>
          <w:szCs w:val="24"/>
        </w:rPr>
      </w:pPr>
    </w:p>
    <w:p w14:paraId="7201396C" w14:textId="77777777" w:rsidR="008F084A" w:rsidRDefault="008F084A">
      <w:pPr>
        <w:spacing w:line="480" w:lineRule="auto"/>
        <w:rPr>
          <w:rFonts w:ascii="Times New Roman" w:eastAsia="Times New Roman" w:hAnsi="Times New Roman" w:cs="Times New Roman"/>
          <w:sz w:val="24"/>
          <w:szCs w:val="24"/>
        </w:rPr>
      </w:pPr>
    </w:p>
    <w:p w14:paraId="0000001B"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0000001C"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 just and equitable society, civil laws exist to provide reimbursement to individuals who suffer injuries due to the wrongful acts of others. Unfortunately, though, these injuries are not always readily visible; in personal injury cases involving chronic pain, juries frequently struggle to determine whether a claimant is truly in pain or merely faking. Attempting to address these challenges, neuroscientific research has led to the advent of a variety of neuroimaging approaches for measuring the chronic pain of individuals based on brain activity, which litigants increasingly strive to use in personal injury court cases to improve the validity of trial decisions. However, although these methods are more objective than the current scales used for evaluating pain in court, given the considerable limitations and uncertainty surrounding neuroscientific evidence and its effective use in the legal system, neuroimaging of pain is not yet developed enough to be admissible in personal injury court trials. In order to transform the potential judicial applications of pain neuroimaging into a reality, we argue that scientists must first establish a consistent procedure for determining causality between brain activity and chronic pain at the individual level and standardize the interpretation of neuroimaging data in courtrooms.</w:t>
      </w:r>
    </w:p>
    <w:p w14:paraId="0000001D"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significance of chronic pain in neurolaw</w:t>
      </w:r>
    </w:p>
    <w:p w14:paraId="0000001E" w14:textId="603A08BF"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subject of innumerable legal disputes, chronic pain is associated with enormous health, productivity, and monetary costs. Unlike acute pain, which is sudden and sharp, chronic pain persists for an extended period of time, typically greater than three months (Seminowicz, 2015). This leads to long-term complications with ability to work, medical expenses, and quality of life. In the United States alone, the annual financial cost due to chronic pain is approximately $150 billion (Tracey </w:t>
      </w:r>
      <w:r w:rsidR="002776E1">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Bushnell, 2009). Affecting up to 35% of the population (Davis et al., 2017), chronic pain is a national public health issue that deserves serious attention. In fact, </w:t>
      </w:r>
      <w:r>
        <w:rPr>
          <w:rFonts w:ascii="Times New Roman" w:eastAsia="Times New Roman" w:hAnsi="Times New Roman" w:cs="Times New Roman"/>
          <w:sz w:val="24"/>
          <w:szCs w:val="24"/>
        </w:rPr>
        <w:lastRenderedPageBreak/>
        <w:t>chronic pain is the center of about half of all personal injury cases, many of which involve lawsuits for work-related injuries where workers feel personally harmed by their employers (Miller, 2009). Considering the huge amounts of money at stake in such cases, the ability to accurately judge resultant harms has significant implications for the livelihood of the individual and the financial stability of the company in question. These concerns have put chronic pain and the need for a means to objectively measure it at the forefront of both neuroscience and the law.</w:t>
      </w:r>
    </w:p>
    <w:p w14:paraId="0000001F"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Current scales for measuring pain are too subjective</w:t>
      </w:r>
    </w:p>
    <w:p w14:paraId="00000020"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Current methods for assessing chronic pain are crude and subjective, frequently relying on subjects’ self-reports. Despite the major advances in health and medicine in the last century, society has yet to establish a consistent, objective method for measuring chronic pain. As of today, the primary mode for assessing pain is to ask subjects to rate their pain on a scale from one to ten or to choose from a row of cartoon faces whose expressions range from varying degrees of happy to anguished (Reardon, 2015). While these scales can be useful for tracking changes in the pain levels of a single subject over time, such as in the case of a patient recovering from a surgical procedure, they do not provide an objective means for measuring pain across multiple individuals at a given moment. This is due to the fact that people have different pain tolerances and therefore rate their experiences of pain differently. For example, what one person rates as a four might be an eight for someone else (Davis, 2016). These inconsistencies make such scales unsuitable for use in personal injury court cases, as they depend solely on the testimony of the injured party, who usually has monetary incentive to exaggerate his pain. Because the central debate in personal injury cases revolves around the level of pain an individual suffers as a result of his or her injuries, there is an urgent need for an objective method of measuring pain.</w:t>
      </w:r>
    </w:p>
    <w:p w14:paraId="00000021"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Neuroimaging as a potential “pain-o-meter”</w:t>
      </w:r>
    </w:p>
    <w:p w14:paraId="00000022" w14:textId="77777777" w:rsidR="00721637" w:rsidRDefault="000A02A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As a consequence, increasing attention has been turned toward the potential use of brain imaging techniques as a “pain-o-meter” in courts. The inadequacy of verbal-visual scales has driven litigants to try to introduce neuroimaging evidence to support their chronic pain claims in court, according to</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the recent rise of private companies offering brain scanning services for lawyers and their clients (Davis, Racine, &amp; Collett, 2012). Because many people exaggerate or sometimes even fake their pain, defense lawyers are constantly suspicious of claims for damages. On the other hand, plaintiffs with actual chronic pain often have difficulty expressing the quality of their pain, unable to prove existence of their suffering. Given the invisible nature of chronic pain, establishing an objective scale to measure chronic pain is crucial for distinguishing between litigants’ legitimate and fake claims of chronic pain so that deserving individuals receive fair compensation for their losses.</w:t>
      </w:r>
    </w:p>
    <w:p w14:paraId="00000023"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Visualizing chronic pain in the brain through neuroimaging</w:t>
      </w:r>
    </w:p>
    <w:p w14:paraId="00000024" w14:textId="77777777" w:rsidR="00721637" w:rsidRDefault="000A02A4">
      <w:pPr>
        <w:spacing w:line="480" w:lineRule="auto"/>
        <w:ind w:firstLine="720"/>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Currently, neuroscientific research provides evidence of functional, anatomical, and neurochemical distinctions between the brains of chronic-pain patients and healthy individuals (Camporesi &amp; Bottalico, 2011). It is important to note that there is no single unified neural area devoted to the processing of chronic pain; rather, chronic pain activates a wide network of brain regions known as the “pain matrix” (Salmanowitz, 2015). Scientists believe that neuroimaging techniques will enhance their understanding of this multifaceted “matrix.” Using neuroimaging techniques for investigating anatomical differences in the brain such as magnetic resonance imaging (MRI) and voxel-based morphometry (VBM), studies have shown that patients suffering from chronic pain exhibit decreased grey matter in the thalamus and lateral prefrontal cortex, regions involved in pain modulation, compared to age-matched control subjects (Apkarian et al., </w:t>
      </w:r>
      <w:r>
        <w:rPr>
          <w:rFonts w:ascii="Times New Roman" w:eastAsia="Times New Roman" w:hAnsi="Times New Roman" w:cs="Times New Roman"/>
          <w:sz w:val="24"/>
          <w:szCs w:val="24"/>
        </w:rPr>
        <w:lastRenderedPageBreak/>
        <w:t>2004). Furthermore, data obtained through another structural neuroimaging method, diffusion tensor imaging (DTI), have indicated that chronic pain patients exhibit impaired white matter tract connectivity, another structure involved in regulating pain levels (Lutz et al., 2008). However, while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these observed relationships between certain brain features and the presence of chronic pain are promising, they are not conclusive and are correlations rather than causations. </w:t>
      </w:r>
    </w:p>
    <w:p w14:paraId="00000025"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altered morphology, chronic pain-afflicted individuals’ brains display several functional changes (Camporesi &amp; Bottalico, 2011); by acquiring fMRI data in the absence of any overt stimulus or task, scientists have revealed that “resting-state brain activity,” or brain activity relating to physiological maintenance processes, differs between people with and without chronic pain. However, a distinct pattern in these differences has not been determined, as observed changes in resting-state brain activity vary in a range of clinical conditions (Davis et al., 2017). It is unclear whether any particular pattern is related to pain itself, spontaneous thought, or other related processes, raising the pivotal question of causation. Studying differences between brain responses to evoked stimuli also provides scientists clues for understanding pain intensity, especially in conditions in which chronic pain is accompanied by changes in the central nervous system that increase sensitivity to pain and ordinary touch (Davis et al., 2017). These changes in pain sensitization are evidenced in functional molecular imaging studies known as positron emission tomography (PET), which have indicated a decrease in opioid receptors, proteins that work to block pain signals in the brain, in patients with central neuropathic pain and rheumatoid arthritis (Jones et al., 2004). Because it is possible for an evoked response to be completely disconnected from the timing and duration of the applied stimulus (Davis et al., 2017), establishing direct association between activity and the experience of chronic pain remains a major challenge.</w:t>
      </w:r>
    </w:p>
    <w:p w14:paraId="00000026"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Experimentation is undoubtedly still at a nascent stage, but the aggregate results of aforementioned studies clearly demonstrate that the biological mechanisms of chronic pain are rooted in identifiable structural and functional changes within the brain. Therefore, an objective answer to measuring chronic pain should theoretically lie in the brain, where the experience of pain is ultimately constructed. By analyzing these common, established characteristics of chronic pain in the brain, scientists have developed several neuroimaging methods that many hope to be able to apply in court to create a more objective scale for chronic pain in personal injury cases. </w:t>
      </w:r>
    </w:p>
    <w:p w14:paraId="00000027"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Benefits of applying neuroimaging in personal injury court cases: predictive modeling</w:t>
      </w:r>
    </w:p>
    <w:p w14:paraId="00000028"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much anticipation surrounding the possibility that introducing neuroimaging evidence in court cases involving personal injury could improve the consistency and reliability of trial outcomes by providing a more objective, scientific model that decodes chronic pain from brain activity. A trend that has emerged recently known as predictive modeling promises a potential solution. Through a pattern-recognition technique known as “machine learning,” researchers can use computer algorithms created with preliminary sets of pain neuroimaging data to construct integrated models of activity across multiple brain regions to predict brain activation patterns in future datasets (Salmanowitz, 2015; Woo, Chang, Lindquist, &amp; Wager, 2017). The basis of this approach lies in the identification of “neurological signatures of pain,” (Wager et al., 2013), which manifest themselves in the form of functional patterns of pain related activity, functional connectivity patterns at rest, or anatomical patterns (Seminowicz et al., 2015). For example, activity patterns in the medial prefrontal cortex and right insula correlate strongly with pain intensity and duration of chronic pain, respectively, in people with chronic back pain (Miller, 2009), making them strong pain signatures for chronic back pain. By comparing and incorporating all available brain data on such pain signatures into a single “best guess” (Woo et </w:t>
      </w:r>
      <w:r>
        <w:rPr>
          <w:rFonts w:ascii="Times New Roman" w:eastAsia="Times New Roman" w:hAnsi="Times New Roman" w:cs="Times New Roman"/>
          <w:sz w:val="24"/>
          <w:szCs w:val="24"/>
        </w:rPr>
        <w:lastRenderedPageBreak/>
        <w:t>al., 2017), these predictive models aim to detect the presence of chronic pain and distinguish them from other unrelated sensations.</w:t>
      </w:r>
    </w:p>
    <w:p w14:paraId="00000029"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Though not quite foolproof yet, using machine learning in conjunction with pain neuroimaging has already yielded impressive results. In an experiment in which painful electrical stimulations were administered to the lower back of both patients with chronic back pain and healthy controls, machine learning algorithms correctly differentiated between pain perceptions in the two subject groups with 92.3% accuracy (Callan et al., 2014). However, a similar study involving patients with chronic pelvic pain reported a much lower accuracy rate of 73% (Bagarinao, et al., 2014), indicating that there is much still room for improvement. While neuroimaging-based predictive modeling definitely provides a means for measuring pain that is far more objective than current methods of self-reporting, as it is founded on tangible measurements rather than individuals’ imprecise statements about their perceived feelings, future research is needed to increase accuracy rates and to collect data on a greater range of pain locations. Nonetheless, the relatively high success rates that have been produced so far reflect the strong statistical power that these methods hold, which litigants could leverage in court to validate their chronic pain claims in personal injury cases. Thus, allowing such technology to be used in court as evidence to prove one’s chronic pain would enable courts to justify their decisions with concrete data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and potentially</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increase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the legitimacy of trial decisions.</w:t>
      </w:r>
    </w:p>
    <w:p w14:paraId="0000002A"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Technical limitations of chronic pain neuroimaging</w:t>
      </w:r>
    </w:p>
    <w:p w14:paraId="0000002B"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potential for neuroimaging to decrease the subjectivity of measuring chronic pain, the method clearly still faces many challenges. The most notable is the lack of brain region specificity and pain experience variability, which prevent its use as an absolute objective measurement of pain. As mentioned earlier, no one brain region has been exclusively linked to </w:t>
      </w:r>
      <w:r>
        <w:rPr>
          <w:rFonts w:ascii="Times New Roman" w:eastAsia="Times New Roman" w:hAnsi="Times New Roman" w:cs="Times New Roman"/>
          <w:sz w:val="24"/>
          <w:szCs w:val="24"/>
        </w:rPr>
        <w:lastRenderedPageBreak/>
        <w:t>chronic pain, making it extremely difficult to identify biological neuromarkers that are specific to pain. Many abnormal brain processes observed in chronic pain conditions are also implicated in physical and emotional pain (Davis, 2016), as well as in mental disorders such as depression and anxiety (Davis et al., 2017). Additionally, neural networks which serve to maintain homeostatic equilibrium among attentional, cognitive, emotional, and sensory functions overlap extensively with neural areas typically included in the “pain matrix” (Davis et al., 2017). These confounding variables lead to an issue known as the “reverse inference” problem: while neuroscientific research shows that people who suffer from chronic pain consistently show activity in certain brain regions, it is logically erroneous to assume the converse—that any particular pattern of brain activity necessarily indicates the presence of chronic pain—is also true (Camporesi &amp; Bottalico, 2011). In other words, the existence of activity in the “pain matrix” could very well be due entirely to a myriad of brain processes completely unrelated to chronic pain. These technical challenges prevent pain neuroimaging from being wholly objective.</w:t>
      </w:r>
    </w:p>
    <w:p w14:paraId="0000002C"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Variability of chronic pain experience in the brain is another large obstacle that limits the objectiveness of pain neuroimaging evidence. Consistency across hundreds of brain imaging studies has shown correlation between activity in a core set of brain regions and chronic pain at a group level, but extrapolating these results to the individual level ignores between-subject variation that creates subjectivity (Davis et al., 2017). For example, demographic factors such as age, gender, and ethnicity; personality traits; past experiences of pain; and perceived gain or loss from the injury all have the capability to shape an individual’s experience of pain (Camporesi &amp; Bottalico, 2011). Moreover, the capacity for connections between brain cells to change during regulation of pain differs depending on the person, leading to different degrees of pain processing (Davis et al., 2017). Even within individuals, there exists great variability in the </w:t>
      </w:r>
      <w:r>
        <w:rPr>
          <w:rFonts w:ascii="Times New Roman" w:eastAsia="Times New Roman" w:hAnsi="Times New Roman" w:cs="Times New Roman"/>
          <w:sz w:val="24"/>
          <w:szCs w:val="24"/>
        </w:rPr>
        <w:lastRenderedPageBreak/>
        <w:t>experience of pain. Chronic pain can vary slowly during the course of an individual’s brain imaging session, as each moment in time is marked by a unique combination of sensory, cognitive, emotional, and motivational processes that contribute to the perception of pain. Therefore, attentional focus and an expectation of pain or pain relief can also influence the experience of chronic pain in the brain (Davis et al., 2017), variables that current predictive models for pain fail to capture. Due to this between and within individual variability, scientists have been unable to establish a baseline to which the chronic pain experience can be measured against</w:t>
      </w:r>
      <w:r>
        <w:t>—</w:t>
      </w:r>
      <w:r>
        <w:rPr>
          <w:rFonts w:ascii="Times New Roman" w:eastAsia="Times New Roman" w:hAnsi="Times New Roman" w:cs="Times New Roman"/>
          <w:sz w:val="24"/>
          <w:szCs w:val="24"/>
        </w:rPr>
        <w:t>a key component necessary for the creation of an objective scale.</w:t>
      </w:r>
    </w:p>
    <w:p w14:paraId="0000002D"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Admissibility of chronic pain neuroimaging evidence in court: legal considerations</w:t>
      </w:r>
    </w:p>
    <w:p w14:paraId="0000002E"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scientific barriers, many legal barriers to the effective use of pain neuroimaging in personal injury court cases exist. To this day, there is a lack of consensus over what qualifies neuroscientific evidence as “good enough” to be admissible in court. Although neuroimaging techniques are still demonstrably subjective, proponents for its admissibility in court (Miller, 2009) assert that it is nevertheless an improvement over the verbal and visual scales currently being implemented. Such opinions have become a major point of contention between the scientific and legal communities; in general, scientists tend to be relatively more concerned with technicalities and proving causation, while lawyers must be more pragmatic in how they approach evidence due to the nature of their jobs, capitalizing on the opportunity to use neuroscientific data as tool in trials as long as correlation is high enough (Miller, 2009).</w:t>
      </w:r>
    </w:p>
    <w:p w14:paraId="0000002F" w14:textId="77777777" w:rsidR="00721637" w:rsidRDefault="000A02A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while it is true that neuroimaging as a “pain-o-meter” may be better than current alternatives, we argue that this alone is not enough to justify its admission in personal injury trials at this stage. In fact, promoting the use of chronic pain neuroimaging on the basis of such reasoning is not only unwarranted, but it is also unwise; permitting the application of chronic </w:t>
      </w:r>
      <w:r>
        <w:rPr>
          <w:rFonts w:ascii="Times New Roman" w:eastAsia="Times New Roman" w:hAnsi="Times New Roman" w:cs="Times New Roman"/>
          <w:sz w:val="24"/>
          <w:szCs w:val="24"/>
        </w:rPr>
        <w:lastRenderedPageBreak/>
        <w:t>pain neuroimaging as evidence in court attributes to the technology a high degree of objectivity that in reality does not yet exist, creating the impression that chronic pain neuroimaging is much more reliable than it actually is. This would exacerbate the problem of juror bias—a concern that is especially salient in court cases involving neuroscientific evidence because jurors frequently overstate its significance. Several studies suggest that the general public is more likely to believe poor arguments if they are accompanied by neuroscientific data (Weisberg, 2008) or even just irrelevant brain images (Miller, 2009). Moreover, according to Rule 403 of the Federal Rules of Evidence, judges may exclude relevant evidence if they deem it likely to prejudice the jury (Staff, 2011). Evidently, there is a substantial risk that introducing chronic pain neuroimaging evidence in personal injury trials may mislead or confuse the jury, resulting in a partial rather than objective ruling.</w:t>
      </w:r>
    </w:p>
    <w:p w14:paraId="00000030"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for effective use of pain neuroimaging evidence in personal injury court cases</w:t>
      </w:r>
    </w:p>
    <w:p w14:paraId="00000031"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neuroscience in its present state may not be ready to be admissible in personal injury trials to objectively prove that an individual has chronic pain, rapid progress in the field and technology may eventually make it possible to do so in the not-so-distant future. Before chronic pain neuroimaging evidence can be effectively used in court though, several criteria must first be met to address issues of causality, variability of pain experience, and disparate interpretations of neuroscientific data due to jury biases.</w:t>
      </w:r>
    </w:p>
    <w:p w14:paraId="00000032"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scientists must identify salient biological neuromarkers for different forms and components of chronic pain. In order to serve as a pain neuromarker, any given brain measure must be precisely defined, specifying precise volumetric units of interest within involved brain regions and the expected magnitude of activity across these units (Davis et al., 2017). This will require additional research about how neurological pain signatures vary depending on the type of </w:t>
      </w:r>
      <w:r>
        <w:rPr>
          <w:rFonts w:ascii="Times New Roman" w:eastAsia="Times New Roman" w:hAnsi="Times New Roman" w:cs="Times New Roman"/>
          <w:sz w:val="24"/>
          <w:szCs w:val="24"/>
        </w:rPr>
        <w:lastRenderedPageBreak/>
        <w:t>chronic pain condition. To create a protocol for evaluating the degree to which such neuromarkers indicate causality, scientists must also determine measurements relevant to their accuracy, sensitivity, and specificity for detecting chronic pain. As Davis notes, accurate assessment of whether a reverse inference is true requires not only assessment of how often a pattern of brain activity occurs when chronic pain is experienced, but also of how often the pattern is present in the absence of such pain (Davis et al., 2017). Furthermore, researchers need to experiment more with the inclusion and prioritization of different neuromarkers in machine learning algorithms to determine which predictive models work best.</w:t>
      </w:r>
    </w:p>
    <w:p w14:paraId="00000033"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With regards to the lack of a general baseline pain measurement due to variability of pain experience within an individual, positive controls (patterns of brain activity independent of pain that must be present) and negative controls (patterns that must be absent) should be established for each individual tested to demonstrate validation of chronic pain within that given individual (Davis et al., 2017). This would in effect create a baseline standard for each individual to which subsequent neuroimaging scans could be compared and analyzed in conjunction with machine learning predictions, reducing the impact of confounding variables for trials within a single individual. On the other hand, to address the existence of between-individuals variability, more studies investigating the link between different manifestations of chronic pain in the brain and various categorical populations should be conducted to determine how different facets of people’s lives and their personality characteristics affect the nature of their pain experiences. One way to achieve this would be through compiling a database of how neural pain responses differ across age, sex, ethnicity, and other relevant factors. Identifying these relationships would enable scientists to employ a predictive model tailored to a specific profile that matches closest with the individual in question, adding a new layer of objectivity.</w:t>
      </w:r>
    </w:p>
    <w:p w14:paraId="00000034" w14:textId="77777777" w:rsidR="00721637" w:rsidRDefault="000A02A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While there is no way to completely eliminate or control people’s inherent biases toward neuroscientific evidence, as is true for any type of evidence being introduced in court, measures can be taken to mitigate the potential adverse effects of such biases on court decisions. Currently, under both the </w:t>
      </w:r>
      <w:r>
        <w:rPr>
          <w:rFonts w:ascii="Times New Roman" w:eastAsia="Times New Roman" w:hAnsi="Times New Roman" w:cs="Times New Roman"/>
          <w:i/>
          <w:sz w:val="24"/>
          <w:szCs w:val="24"/>
        </w:rPr>
        <w:t>Daubert</w:t>
      </w:r>
      <w:r>
        <w:rPr>
          <w:rFonts w:ascii="Times New Roman" w:eastAsia="Times New Roman" w:hAnsi="Times New Roman" w:cs="Times New Roman"/>
          <w:sz w:val="24"/>
          <w:szCs w:val="24"/>
        </w:rPr>
        <w:t xml:space="preserve"> standard for admissibility of scientific evidence (</w:t>
      </w:r>
      <w:r>
        <w:rPr>
          <w:rFonts w:ascii="Times New Roman" w:eastAsia="Times New Roman" w:hAnsi="Times New Roman" w:cs="Times New Roman"/>
          <w:i/>
          <w:sz w:val="24"/>
          <w:szCs w:val="24"/>
        </w:rPr>
        <w:t>Daubert v. Merrell Dow Pharmaceuticals</w:t>
      </w:r>
      <w:r>
        <w:rPr>
          <w:rFonts w:ascii="Times New Roman" w:eastAsia="Times New Roman" w:hAnsi="Times New Roman" w:cs="Times New Roman"/>
          <w:sz w:val="24"/>
          <w:szCs w:val="24"/>
        </w:rPr>
        <w:t xml:space="preserve">, 1993) and Federal Rule of Evidence 702 (Staff, 2011), it is the duty of the judge to act as a “gatekeeper” to determine whether expert evidence is based on valid science and is sufficiently reliable to be helpful to the jury. To complement these regulations, we propose that courts adopt a policy or standard protocol mandating judges overseeing personal injury trials to issue an advisory or cautionary statement delineating the existing limitations of neuroimaging evidence to the court prior to the introduction of such evidence. </w:t>
      </w:r>
    </w:p>
    <w:p w14:paraId="00000035" w14:textId="77777777" w:rsidR="00721637" w:rsidRDefault="000A02A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36" w14:textId="77777777" w:rsidR="00721637" w:rsidRDefault="000A02A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creation of objective measures is crucial to the legal system’s purpose of ascertaining the truth and maintaining fairness in society. With regards to personal injury cases, many have proposed that courts use neuroimaging evidence to ameliorate issues of subjectivity in assessing damages due to chronic pain. Although neuroscience has great potential to increase the objectivity of chronic pain evaluations, it is imperative to remember that chronic pain neuroimaging is still a developing field. Considering the powerful sway that neuroimaging evidence holds over the juries in spite of its technical shortcomings, we believe that the dangers of using chronic pain neuroimaging evidence in legal proceedings at this time overshadow the benefits. However, in the future, further technological advancement, large-scale data acquisition, and formulation of strict codes for introducing neuroscientific evidence may be able to remove many of the obstacles blocking the introduction of chronic pain neuroimaging evidence in court. Until validation and standardization of such methods are achieved, though, we recommend their </w:t>
      </w:r>
      <w:r>
        <w:rPr>
          <w:rFonts w:ascii="Times New Roman" w:eastAsia="Times New Roman" w:hAnsi="Times New Roman" w:cs="Times New Roman"/>
          <w:sz w:val="24"/>
          <w:szCs w:val="24"/>
        </w:rPr>
        <w:lastRenderedPageBreak/>
        <w:t>use be limited to educating the court about the general neurobiological mechanisms underlying chronic pain as a foundation on which to judge the evidence pertaining to a specific case.</w:t>
      </w:r>
    </w:p>
    <w:p w14:paraId="00000037" w14:textId="77777777" w:rsidR="00721637" w:rsidRDefault="00721637">
      <w:pPr>
        <w:spacing w:line="480" w:lineRule="auto"/>
        <w:jc w:val="center"/>
        <w:rPr>
          <w:rFonts w:ascii="Times New Roman" w:eastAsia="Times New Roman" w:hAnsi="Times New Roman" w:cs="Times New Roman"/>
          <w:sz w:val="24"/>
          <w:szCs w:val="24"/>
        </w:rPr>
      </w:pPr>
    </w:p>
    <w:p w14:paraId="00000038" w14:textId="77777777" w:rsidR="00721637" w:rsidRDefault="00721637">
      <w:pPr>
        <w:spacing w:line="480" w:lineRule="auto"/>
        <w:jc w:val="center"/>
        <w:rPr>
          <w:rFonts w:ascii="Times New Roman" w:eastAsia="Times New Roman" w:hAnsi="Times New Roman" w:cs="Times New Roman"/>
          <w:sz w:val="24"/>
          <w:szCs w:val="24"/>
        </w:rPr>
      </w:pPr>
    </w:p>
    <w:p w14:paraId="00000039" w14:textId="77777777" w:rsidR="00721637" w:rsidRDefault="00721637">
      <w:pPr>
        <w:spacing w:line="480" w:lineRule="auto"/>
        <w:jc w:val="center"/>
        <w:rPr>
          <w:rFonts w:ascii="Times New Roman" w:eastAsia="Times New Roman" w:hAnsi="Times New Roman" w:cs="Times New Roman"/>
          <w:sz w:val="24"/>
          <w:szCs w:val="24"/>
        </w:rPr>
      </w:pPr>
    </w:p>
    <w:p w14:paraId="0000003A" w14:textId="77777777" w:rsidR="00721637" w:rsidRDefault="00721637">
      <w:pPr>
        <w:spacing w:line="480" w:lineRule="auto"/>
        <w:jc w:val="center"/>
        <w:rPr>
          <w:rFonts w:ascii="Times New Roman" w:eastAsia="Times New Roman" w:hAnsi="Times New Roman" w:cs="Times New Roman"/>
          <w:sz w:val="24"/>
          <w:szCs w:val="24"/>
        </w:rPr>
      </w:pPr>
    </w:p>
    <w:p w14:paraId="0000003B" w14:textId="77777777" w:rsidR="00721637" w:rsidRDefault="00721637">
      <w:pPr>
        <w:spacing w:line="480" w:lineRule="auto"/>
        <w:jc w:val="center"/>
        <w:rPr>
          <w:rFonts w:ascii="Times New Roman" w:eastAsia="Times New Roman" w:hAnsi="Times New Roman" w:cs="Times New Roman"/>
          <w:sz w:val="24"/>
          <w:szCs w:val="24"/>
        </w:rPr>
      </w:pPr>
    </w:p>
    <w:p w14:paraId="6DE08FDB" w14:textId="4B2FF2E2" w:rsidR="002776E1" w:rsidRDefault="002776E1" w:rsidP="002776E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3E" w14:textId="0779FCB6" w:rsidR="00721637" w:rsidRDefault="000A02A4" w:rsidP="002776E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5AFBB82C" w14:textId="77777777" w:rsidR="002776E1" w:rsidRDefault="002776E1" w:rsidP="002776E1">
      <w:pPr>
        <w:rPr>
          <w:rFonts w:ascii="Times New Roman" w:eastAsia="Times New Roman" w:hAnsi="Times New Roman" w:cs="Times New Roman"/>
          <w:sz w:val="24"/>
          <w:szCs w:val="24"/>
        </w:rPr>
      </w:pPr>
    </w:p>
    <w:p w14:paraId="00000040" w14:textId="61564DE5"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Apkarian, A.V., Sosa, Y., Sonty, S., et al. (2004) Chronic back pain is associated with decreased</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prefrontal and thalamic gray matter dens</w:t>
      </w:r>
      <w:r w:rsidR="002776E1">
        <w:rPr>
          <w:rFonts w:ascii="Times New Roman" w:eastAsia="Times New Roman" w:hAnsi="Times New Roman" w:cs="Times New Roman"/>
          <w:sz w:val="24"/>
          <w:szCs w:val="24"/>
        </w:rPr>
        <w:t>ity.</w:t>
      </w:r>
      <w:r>
        <w:rPr>
          <w:rFonts w:ascii="Times New Roman" w:eastAsia="Times New Roman" w:hAnsi="Times New Roman" w:cs="Times New Roman"/>
          <w:sz w:val="24"/>
          <w:szCs w:val="24"/>
        </w:rPr>
        <w:t xml:space="preserve"> </w:t>
      </w:r>
      <w:r w:rsidRPr="002776E1">
        <w:rPr>
          <w:rFonts w:ascii="Times New Roman" w:eastAsia="Times New Roman" w:hAnsi="Times New Roman" w:cs="Times New Roman"/>
          <w:i/>
          <w:sz w:val="24"/>
          <w:szCs w:val="24"/>
        </w:rPr>
        <w:t>Journal of Neuroscience, 24</w:t>
      </w:r>
      <w:r w:rsidR="002776E1">
        <w:rPr>
          <w:rFonts w:ascii="Times New Roman" w:eastAsia="Times New Roman" w:hAnsi="Times New Roman" w:cs="Times New Roman"/>
          <w:sz w:val="24"/>
          <w:szCs w:val="24"/>
        </w:rPr>
        <w:t xml:space="preserve">(46), </w:t>
      </w:r>
      <w:r>
        <w:rPr>
          <w:rFonts w:ascii="Times New Roman" w:eastAsia="Times New Roman" w:hAnsi="Times New Roman" w:cs="Times New Roman"/>
          <w:sz w:val="24"/>
          <w:szCs w:val="24"/>
        </w:rPr>
        <w:t>10410–10415.</w:t>
      </w:r>
    </w:p>
    <w:p w14:paraId="00000041" w14:textId="77777777"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Bagarinao, E., Johnson, K. A., Martucci, K. T., Ichesco, E., Farmer, M. A., Labus, J., …</w:t>
      </w:r>
    </w:p>
    <w:p w14:paraId="00000044" w14:textId="4E653130"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Camporesi, S., &amp; Bottalico. (2011). Can We Finally “See” Pain?: Brain Imaging Techniques and</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Implications for the Law. </w:t>
      </w:r>
      <w:r>
        <w:rPr>
          <w:rFonts w:ascii="Times New Roman" w:eastAsia="Times New Roman" w:hAnsi="Times New Roman" w:cs="Times New Roman"/>
          <w:i/>
          <w:sz w:val="24"/>
          <w:szCs w:val="24"/>
        </w:rPr>
        <w:t>Journal of Consciousness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18</w:t>
      </w:r>
      <w:r>
        <w:rPr>
          <w:rFonts w:ascii="Times New Roman" w:eastAsia="Times New Roman" w:hAnsi="Times New Roman" w:cs="Times New Roman"/>
          <w:sz w:val="24"/>
          <w:szCs w:val="24"/>
        </w:rPr>
        <w:t>(9–10), 257–276.</w:t>
      </w:r>
    </w:p>
    <w:p w14:paraId="00000047" w14:textId="77777777"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i/>
          <w:sz w:val="24"/>
          <w:szCs w:val="24"/>
        </w:rPr>
        <w:t>Daubert v. Merrell Dow Pharmaceuticals</w:t>
      </w:r>
      <w:r>
        <w:rPr>
          <w:rFonts w:ascii="Times New Roman" w:eastAsia="Times New Roman" w:hAnsi="Times New Roman" w:cs="Times New Roman"/>
          <w:sz w:val="24"/>
          <w:szCs w:val="24"/>
        </w:rPr>
        <w:t>, 509 U.S. 579 (1993).</w:t>
      </w:r>
    </w:p>
    <w:p w14:paraId="0000004A" w14:textId="2488D162" w:rsidR="00721637" w:rsidRDefault="002776E1"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Davis, K.D., Flor, H., Greely, H.T., Iannetti, G.</w:t>
      </w:r>
      <w:r w:rsidR="000A02A4">
        <w:rPr>
          <w:rFonts w:ascii="Times New Roman" w:eastAsia="Times New Roman" w:hAnsi="Times New Roman" w:cs="Times New Roman"/>
          <w:sz w:val="24"/>
          <w:szCs w:val="24"/>
        </w:rPr>
        <w:t>D., Mack</w:t>
      </w:r>
      <w:r>
        <w:rPr>
          <w:rFonts w:ascii="Times New Roman" w:eastAsia="Times New Roman" w:hAnsi="Times New Roman" w:cs="Times New Roman"/>
          <w:sz w:val="24"/>
          <w:szCs w:val="24"/>
        </w:rPr>
        <w:t>ey, S., Ploner, M., … Wager, T.</w:t>
      </w:r>
      <w:r w:rsidR="000A02A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000A02A4">
        <w:rPr>
          <w:rFonts w:ascii="Times New Roman" w:eastAsia="Times New Roman" w:hAnsi="Times New Roman" w:cs="Times New Roman"/>
          <w:sz w:val="24"/>
          <w:szCs w:val="24"/>
        </w:rPr>
        <w:t>(2017). Brain imaging tests for chronic pain: medical, legal and ethical issues and</w:t>
      </w:r>
      <w:r>
        <w:rPr>
          <w:rFonts w:ascii="Times New Roman" w:eastAsia="Times New Roman" w:hAnsi="Times New Roman" w:cs="Times New Roman"/>
          <w:sz w:val="24"/>
          <w:szCs w:val="24"/>
        </w:rPr>
        <w:t xml:space="preserve"> </w:t>
      </w:r>
      <w:r w:rsidR="000A02A4">
        <w:rPr>
          <w:rFonts w:ascii="Times New Roman" w:eastAsia="Times New Roman" w:hAnsi="Times New Roman" w:cs="Times New Roman"/>
          <w:sz w:val="24"/>
          <w:szCs w:val="24"/>
        </w:rPr>
        <w:t xml:space="preserve">recommendations. </w:t>
      </w:r>
      <w:r w:rsidR="000A02A4">
        <w:rPr>
          <w:rFonts w:ascii="Times New Roman" w:eastAsia="Times New Roman" w:hAnsi="Times New Roman" w:cs="Times New Roman"/>
          <w:i/>
          <w:sz w:val="24"/>
          <w:szCs w:val="24"/>
        </w:rPr>
        <w:t>Nat Rev Neurol</w:t>
      </w:r>
      <w:r w:rsidR="000A02A4">
        <w:rPr>
          <w:rFonts w:ascii="Times New Roman" w:eastAsia="Times New Roman" w:hAnsi="Times New Roman" w:cs="Times New Roman"/>
          <w:sz w:val="24"/>
          <w:szCs w:val="24"/>
        </w:rPr>
        <w:t xml:space="preserve">, </w:t>
      </w:r>
      <w:r w:rsidR="000A02A4">
        <w:rPr>
          <w:rFonts w:ascii="Times New Roman" w:eastAsia="Times New Roman" w:hAnsi="Times New Roman" w:cs="Times New Roman"/>
          <w:i/>
          <w:sz w:val="24"/>
          <w:szCs w:val="24"/>
        </w:rPr>
        <w:t>13</w:t>
      </w:r>
      <w:r w:rsidR="000A02A4">
        <w:rPr>
          <w:rFonts w:ascii="Times New Roman" w:eastAsia="Times New Roman" w:hAnsi="Times New Roman" w:cs="Times New Roman"/>
          <w:sz w:val="24"/>
          <w:szCs w:val="24"/>
        </w:rPr>
        <w:t>(10), 624–638.</w:t>
      </w:r>
    </w:p>
    <w:p w14:paraId="112426B1" w14:textId="77777777" w:rsidR="002776E1" w:rsidRDefault="002776E1"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Davis, K. Journal, A.B.A. (2016). Personal injury lawyers turn to neuroscience to back claims of chronic pain. Retrieved November 11, 2017, from </w:t>
      </w:r>
      <w:hyperlink r:id="rId6" w:history="1">
        <w:r w:rsidRPr="002776E1">
          <w:rPr>
            <w:rFonts w:ascii="Times New Roman" w:eastAsia="Times New Roman" w:hAnsi="Times New Roman" w:cs="Times New Roman"/>
            <w:sz w:val="24"/>
            <w:szCs w:val="24"/>
          </w:rPr>
          <w:t>http://www.abajournal.com/magazine/article/personal_injury_lawyers_turn_to_neuroscience_to_back_claims_of_chronic_pain</w:t>
        </w:r>
      </w:hyperlink>
    </w:p>
    <w:p w14:paraId="0000004C" w14:textId="6BE6A38A" w:rsidR="00721637" w:rsidRDefault="002776E1"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Davis, K.</w:t>
      </w:r>
      <w:r w:rsidR="000A02A4">
        <w:rPr>
          <w:rFonts w:ascii="Times New Roman" w:eastAsia="Times New Roman" w:hAnsi="Times New Roman" w:cs="Times New Roman"/>
          <w:sz w:val="24"/>
          <w:szCs w:val="24"/>
        </w:rPr>
        <w:t>D., Racine, E., &amp; Collett, B. (2012). Neuroethical issues related to the use of brain</w:t>
      </w:r>
      <w:r>
        <w:rPr>
          <w:rFonts w:ascii="Times New Roman" w:eastAsia="Times New Roman" w:hAnsi="Times New Roman" w:cs="Times New Roman"/>
          <w:sz w:val="24"/>
          <w:szCs w:val="24"/>
        </w:rPr>
        <w:t xml:space="preserve"> </w:t>
      </w:r>
      <w:r w:rsidR="000A02A4">
        <w:rPr>
          <w:rFonts w:ascii="Times New Roman" w:eastAsia="Times New Roman" w:hAnsi="Times New Roman" w:cs="Times New Roman"/>
          <w:sz w:val="24"/>
          <w:szCs w:val="24"/>
        </w:rPr>
        <w:t xml:space="preserve">imaging: Can we and should we use brain imaging as a biomarker to diagnose chronic pain? </w:t>
      </w:r>
      <w:r w:rsidR="000A02A4">
        <w:rPr>
          <w:rFonts w:ascii="Times New Roman" w:eastAsia="Times New Roman" w:hAnsi="Times New Roman" w:cs="Times New Roman"/>
          <w:i/>
          <w:sz w:val="24"/>
          <w:szCs w:val="24"/>
        </w:rPr>
        <w:t>Pain</w:t>
      </w:r>
      <w:r w:rsidR="000A02A4">
        <w:rPr>
          <w:rFonts w:ascii="Times New Roman" w:eastAsia="Times New Roman" w:hAnsi="Times New Roman" w:cs="Times New Roman"/>
          <w:sz w:val="24"/>
          <w:szCs w:val="24"/>
        </w:rPr>
        <w:t xml:space="preserve">, </w:t>
      </w:r>
      <w:r w:rsidR="000A02A4">
        <w:rPr>
          <w:rFonts w:ascii="Times New Roman" w:eastAsia="Times New Roman" w:hAnsi="Times New Roman" w:cs="Times New Roman"/>
          <w:i/>
          <w:sz w:val="24"/>
          <w:szCs w:val="24"/>
        </w:rPr>
        <w:t>153</w:t>
      </w:r>
      <w:r w:rsidR="000A02A4">
        <w:rPr>
          <w:rFonts w:ascii="Times New Roman" w:eastAsia="Times New Roman" w:hAnsi="Times New Roman" w:cs="Times New Roman"/>
          <w:sz w:val="24"/>
          <w:szCs w:val="24"/>
        </w:rPr>
        <w:t>(8), 1555–1559. https://doi.org/10.1016/j.pain.2012.02.037</w:t>
      </w:r>
    </w:p>
    <w:p w14:paraId="0000004F" w14:textId="77777777"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Dobbs, D. B. (2000). </w:t>
      </w:r>
      <w:r>
        <w:rPr>
          <w:rFonts w:ascii="Times New Roman" w:eastAsia="Times New Roman" w:hAnsi="Times New Roman" w:cs="Times New Roman"/>
          <w:i/>
          <w:sz w:val="24"/>
          <w:szCs w:val="24"/>
        </w:rPr>
        <w:t>The Law of Torts</w:t>
      </w:r>
      <w:r>
        <w:rPr>
          <w:rFonts w:ascii="Times New Roman" w:eastAsia="Times New Roman" w:hAnsi="Times New Roman" w:cs="Times New Roman"/>
          <w:sz w:val="24"/>
          <w:szCs w:val="24"/>
        </w:rPr>
        <w:t>. St. Paul, MN: West Group.</w:t>
      </w:r>
    </w:p>
    <w:p w14:paraId="00000051" w14:textId="3F1D0E13"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Jones, A.K., Cunningham, V.J., Ha-Kawa, S., et al. (1994) Changes in central opioid receptor</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binding in relation to inflammation and pain in patients with rheumatoid arthritis</w:t>
      </w:r>
      <w:r w:rsidRPr="002776E1">
        <w:rPr>
          <w:rFonts w:ascii="Times New Roman" w:eastAsia="Times New Roman" w:hAnsi="Times New Roman" w:cs="Times New Roman"/>
          <w:i/>
          <w:sz w:val="24"/>
          <w:szCs w:val="24"/>
        </w:rPr>
        <w:t>, British J</w:t>
      </w:r>
      <w:r w:rsidR="002776E1" w:rsidRPr="002776E1">
        <w:rPr>
          <w:rFonts w:ascii="Times New Roman" w:eastAsia="Times New Roman" w:hAnsi="Times New Roman" w:cs="Times New Roman"/>
          <w:i/>
          <w:sz w:val="24"/>
          <w:szCs w:val="24"/>
        </w:rPr>
        <w:t>ournal of Rheumatology</w:t>
      </w:r>
      <w:r w:rsidR="002776E1">
        <w:rPr>
          <w:rFonts w:ascii="Times New Roman" w:eastAsia="Times New Roman" w:hAnsi="Times New Roman" w:cs="Times New Roman"/>
          <w:sz w:val="24"/>
          <w:szCs w:val="24"/>
        </w:rPr>
        <w:t>,</w:t>
      </w:r>
      <w:r w:rsidR="002776E1" w:rsidRPr="002776E1">
        <w:rPr>
          <w:rFonts w:ascii="Times New Roman" w:eastAsia="Times New Roman" w:hAnsi="Times New Roman" w:cs="Times New Roman"/>
          <w:i/>
          <w:sz w:val="24"/>
          <w:szCs w:val="24"/>
        </w:rPr>
        <w:t xml:space="preserve"> 33</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909–916.</w:t>
      </w:r>
    </w:p>
    <w:p w14:paraId="00000053" w14:textId="55FCB76E"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Lutz, K., Jäger, D., de Quervain, D., et al. (2008) White and gray matter abnormalities in the</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brain of patients with fibromyalgia: A diffusion-tensor and volumetric imaging st</w:t>
      </w:r>
      <w:r w:rsidR="002776E1">
        <w:rPr>
          <w:rFonts w:ascii="Times New Roman" w:eastAsia="Times New Roman" w:hAnsi="Times New Roman" w:cs="Times New Roman"/>
          <w:sz w:val="24"/>
          <w:szCs w:val="24"/>
        </w:rPr>
        <w:t xml:space="preserve">udy, </w:t>
      </w:r>
      <w:r w:rsidR="002776E1" w:rsidRPr="002776E1">
        <w:rPr>
          <w:rFonts w:ascii="Times New Roman" w:eastAsia="Times New Roman" w:hAnsi="Times New Roman" w:cs="Times New Roman"/>
          <w:i/>
          <w:sz w:val="24"/>
          <w:szCs w:val="24"/>
        </w:rPr>
        <w:t>Arthritis &amp; Rheumatism, 58</w:t>
      </w:r>
      <w:r>
        <w:rPr>
          <w:rFonts w:ascii="Times New Roman" w:eastAsia="Times New Roman" w:hAnsi="Times New Roman" w:cs="Times New Roman"/>
          <w:sz w:val="24"/>
          <w:szCs w:val="24"/>
        </w:rPr>
        <w:t>(12), pp. 3960–3969.</w:t>
      </w:r>
    </w:p>
    <w:p w14:paraId="5169E3CE" w14:textId="77777777" w:rsidR="002776E1" w:rsidRDefault="002776E1"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Mackey, S. (2014). Preliminary structural MRI based brain classification of chronic pelvic pain: A MAPP Network Study. </w:t>
      </w:r>
      <w:r>
        <w:rPr>
          <w:rFonts w:ascii="Times New Roman" w:eastAsia="Times New Roman" w:hAnsi="Times New Roman" w:cs="Times New Roman"/>
          <w:i/>
          <w:sz w:val="24"/>
          <w:szCs w:val="24"/>
        </w:rPr>
        <w:t>Pain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155</w:t>
      </w:r>
      <w:r>
        <w:rPr>
          <w:rFonts w:ascii="Times New Roman" w:eastAsia="Times New Roman" w:hAnsi="Times New Roman" w:cs="Times New Roman"/>
          <w:sz w:val="24"/>
          <w:szCs w:val="24"/>
        </w:rPr>
        <w:t xml:space="preserve">(12), 2502–2509. </w:t>
      </w:r>
    </w:p>
    <w:p w14:paraId="00000055" w14:textId="6BE65A42"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G. (2009). Brain Scans of Pain Raise Questions for the Law. </w:t>
      </w:r>
      <w:r>
        <w:rPr>
          <w:rFonts w:ascii="Times New Roman" w:eastAsia="Times New Roman" w:hAnsi="Times New Roman" w:cs="Times New Roman"/>
          <w:i/>
          <w:sz w:val="24"/>
          <w:szCs w:val="24"/>
        </w:rPr>
        <w:t>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323</w:t>
      </w:r>
      <w:r>
        <w:rPr>
          <w:rFonts w:ascii="Times New Roman" w:eastAsia="Times New Roman" w:hAnsi="Times New Roman" w:cs="Times New Roman"/>
          <w:sz w:val="24"/>
          <w:szCs w:val="24"/>
        </w:rPr>
        <w:t>(5911),</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195–195. </w:t>
      </w:r>
    </w:p>
    <w:p w14:paraId="00000056" w14:textId="77777777"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Reardon, S. (2015). Neuroscience in court: The painful truth. </w:t>
      </w:r>
      <w:r>
        <w:rPr>
          <w:rFonts w:ascii="Times New Roman" w:eastAsia="Times New Roman" w:hAnsi="Times New Roman" w:cs="Times New Roman"/>
          <w:i/>
          <w:sz w:val="24"/>
          <w:szCs w:val="24"/>
        </w:rPr>
        <w:t>Nature News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518</w:t>
      </w:r>
      <w:r>
        <w:rPr>
          <w:rFonts w:ascii="Times New Roman" w:eastAsia="Times New Roman" w:hAnsi="Times New Roman" w:cs="Times New Roman"/>
          <w:sz w:val="24"/>
          <w:szCs w:val="24"/>
        </w:rPr>
        <w:t>(7540), 474.</w:t>
      </w:r>
    </w:p>
    <w:p w14:paraId="00000059" w14:textId="674F3100"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Salmanowitz, N. (2015). The case for pain neuroimaging in the courtroom: lessons from</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deception detection. </w:t>
      </w:r>
      <w:r>
        <w:rPr>
          <w:rFonts w:ascii="Times New Roman" w:eastAsia="Times New Roman" w:hAnsi="Times New Roman" w:cs="Times New Roman"/>
          <w:i/>
          <w:sz w:val="24"/>
          <w:szCs w:val="24"/>
        </w:rPr>
        <w:t>Journal of Law and the Biosciences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w:t>
      </w:r>
      <w:r>
        <w:rPr>
          <w:rFonts w:ascii="Times New Roman" w:eastAsia="Times New Roman" w:hAnsi="Times New Roman" w:cs="Times New Roman"/>
          <w:sz w:val="24"/>
          <w:szCs w:val="24"/>
        </w:rPr>
        <w:t xml:space="preserve">(1), 139–148. </w:t>
      </w:r>
    </w:p>
    <w:p w14:paraId="0000005B" w14:textId="7B1D6FA0" w:rsidR="00721637" w:rsidRDefault="000A02A4"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Seminowicz, D., Pustilnik, A., Rigg, S., Davis, A., Davis, K., &amp; Greely, H. (2015). Panel 1:</w:t>
      </w:r>
      <w:r w:rsidR="002776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Legal and Neuroscientific Perspectives on Chronic Pain. </w:t>
      </w:r>
      <w:r>
        <w:rPr>
          <w:rFonts w:ascii="Times New Roman" w:eastAsia="Times New Roman" w:hAnsi="Times New Roman" w:cs="Times New Roman"/>
          <w:i/>
          <w:sz w:val="24"/>
          <w:szCs w:val="24"/>
        </w:rPr>
        <w:t>Journal of Health Care Law and Policy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18</w:t>
      </w:r>
      <w:r>
        <w:rPr>
          <w:rFonts w:ascii="Times New Roman" w:eastAsia="Times New Roman" w:hAnsi="Times New Roman" w:cs="Times New Roman"/>
          <w:sz w:val="24"/>
          <w:szCs w:val="24"/>
        </w:rPr>
        <w:t>(2), 207.</w:t>
      </w:r>
    </w:p>
    <w:p w14:paraId="4A070AEC" w14:textId="6E65CF4B" w:rsidR="002776E1" w:rsidRPr="002776E1" w:rsidRDefault="002776E1"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Staff, L. I. I. (2011, November 30). Rule 702. Testimony by Expert Witnesses. Retrieved November 28, 2017, from https://www.law.cornell.edu/rules/fre/rule_702</w:t>
      </w:r>
    </w:p>
    <w:p w14:paraId="0000005C" w14:textId="7DEFE196" w:rsidR="00721637" w:rsidRDefault="002776E1" w:rsidP="002776E1">
      <w:pPr>
        <w:spacing w:line="48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Weisberg, D.S., Keil, F.</w:t>
      </w:r>
      <w:r w:rsidR="000A02A4">
        <w:rPr>
          <w:rFonts w:ascii="Times New Roman" w:eastAsia="Times New Roman" w:hAnsi="Times New Roman" w:cs="Times New Roman"/>
          <w:color w:val="333333"/>
          <w:sz w:val="24"/>
          <w:szCs w:val="24"/>
          <w:highlight w:val="white"/>
        </w:rPr>
        <w:t>C., Goods</w:t>
      </w:r>
      <w:r>
        <w:rPr>
          <w:rFonts w:ascii="Times New Roman" w:eastAsia="Times New Roman" w:hAnsi="Times New Roman" w:cs="Times New Roman"/>
          <w:color w:val="333333"/>
          <w:sz w:val="24"/>
          <w:szCs w:val="24"/>
          <w:highlight w:val="white"/>
        </w:rPr>
        <w:t>tein, S., Rawson, E. &amp; Gray, J.</w:t>
      </w:r>
      <w:r w:rsidR="000A02A4">
        <w:rPr>
          <w:rFonts w:ascii="Times New Roman" w:eastAsia="Times New Roman" w:hAnsi="Times New Roman" w:cs="Times New Roman"/>
          <w:color w:val="333333"/>
          <w:sz w:val="24"/>
          <w:szCs w:val="24"/>
          <w:highlight w:val="white"/>
        </w:rPr>
        <w:t xml:space="preserve">R. (2008). </w:t>
      </w:r>
      <w:r w:rsidR="000A02A4">
        <w:rPr>
          <w:rFonts w:ascii="Times New Roman" w:eastAsia="Times New Roman" w:hAnsi="Times New Roman" w:cs="Times New Roman"/>
          <w:i/>
          <w:color w:val="333333"/>
          <w:sz w:val="24"/>
          <w:szCs w:val="24"/>
          <w:highlight w:val="white"/>
        </w:rPr>
        <w:t>J</w:t>
      </w:r>
      <w:r>
        <w:rPr>
          <w:rFonts w:ascii="Times New Roman" w:eastAsia="Times New Roman" w:hAnsi="Times New Roman" w:cs="Times New Roman"/>
          <w:i/>
          <w:color w:val="333333"/>
          <w:sz w:val="24"/>
          <w:szCs w:val="24"/>
          <w:highlight w:val="white"/>
        </w:rPr>
        <w:t>ournal of Cognitive Neuroscience</w:t>
      </w:r>
      <w:r w:rsidRPr="002776E1">
        <w:rPr>
          <w:rFonts w:ascii="Times New Roman" w:eastAsia="Times New Roman" w:hAnsi="Times New Roman" w:cs="Times New Roman"/>
          <w:color w:val="333333"/>
          <w:sz w:val="24"/>
          <w:szCs w:val="24"/>
          <w:highlight w:val="white"/>
        </w:rPr>
        <w:t xml:space="preserve">, </w:t>
      </w:r>
      <w:r w:rsidR="000A02A4" w:rsidRPr="002776E1">
        <w:rPr>
          <w:rFonts w:ascii="Times New Roman" w:eastAsia="Times New Roman" w:hAnsi="Times New Roman" w:cs="Times New Roman"/>
          <w:color w:val="333333"/>
          <w:sz w:val="24"/>
          <w:szCs w:val="24"/>
          <w:highlight w:val="white"/>
        </w:rPr>
        <w:t>20,</w:t>
      </w:r>
      <w:r w:rsidR="000A02A4">
        <w:rPr>
          <w:rFonts w:ascii="Times New Roman" w:eastAsia="Times New Roman" w:hAnsi="Times New Roman" w:cs="Times New Roman"/>
          <w:color w:val="333333"/>
          <w:sz w:val="24"/>
          <w:szCs w:val="24"/>
          <w:highlight w:val="white"/>
        </w:rPr>
        <w:t xml:space="preserve"> 470–477.</w:t>
      </w:r>
    </w:p>
    <w:p w14:paraId="0000005E" w14:textId="29ED41B3" w:rsidR="00721637" w:rsidRPr="002776E1" w:rsidRDefault="002776E1" w:rsidP="002776E1">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Woo, C.-W., Chang, L.J., Lindquist, M.A., &amp; Wager, T.</w:t>
      </w:r>
      <w:r w:rsidR="000A02A4">
        <w:rPr>
          <w:rFonts w:ascii="Times New Roman" w:eastAsia="Times New Roman" w:hAnsi="Times New Roman" w:cs="Times New Roman"/>
          <w:sz w:val="24"/>
          <w:szCs w:val="24"/>
        </w:rPr>
        <w:t>D. (2017). Building better biomarkers:</w:t>
      </w:r>
      <w:r>
        <w:rPr>
          <w:rFonts w:ascii="Times New Roman" w:eastAsia="Times New Roman" w:hAnsi="Times New Roman" w:cs="Times New Roman"/>
          <w:sz w:val="24"/>
          <w:szCs w:val="24"/>
        </w:rPr>
        <w:t xml:space="preserve"> </w:t>
      </w:r>
      <w:r w:rsidR="000A02A4">
        <w:rPr>
          <w:rFonts w:ascii="Times New Roman" w:eastAsia="Times New Roman" w:hAnsi="Times New Roman" w:cs="Times New Roman"/>
          <w:sz w:val="24"/>
          <w:szCs w:val="24"/>
        </w:rPr>
        <w:t xml:space="preserve">brain models in translational neuroimaging. </w:t>
      </w:r>
      <w:r w:rsidR="000A02A4">
        <w:rPr>
          <w:rFonts w:ascii="Times New Roman" w:eastAsia="Times New Roman" w:hAnsi="Times New Roman" w:cs="Times New Roman"/>
          <w:i/>
          <w:sz w:val="24"/>
          <w:szCs w:val="24"/>
        </w:rPr>
        <w:t>Nature Neuroscience</w:t>
      </w:r>
      <w:r w:rsidR="000A02A4">
        <w:rPr>
          <w:rFonts w:ascii="Times New Roman" w:eastAsia="Times New Roman" w:hAnsi="Times New Roman" w:cs="Times New Roman"/>
          <w:sz w:val="24"/>
          <w:szCs w:val="24"/>
        </w:rPr>
        <w:t xml:space="preserve">, </w:t>
      </w:r>
      <w:r w:rsidR="000A02A4">
        <w:rPr>
          <w:rFonts w:ascii="Times New Roman" w:eastAsia="Times New Roman" w:hAnsi="Times New Roman" w:cs="Times New Roman"/>
          <w:i/>
          <w:sz w:val="24"/>
          <w:szCs w:val="24"/>
        </w:rPr>
        <w:t>20</w:t>
      </w:r>
      <w:r w:rsidR="000A02A4">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365-377.</w:t>
      </w:r>
    </w:p>
    <w:sectPr w:rsidR="00721637" w:rsidRPr="002776E1" w:rsidSect="00EA2CA9">
      <w:headerReference w:type="even" r:id="rId7"/>
      <w:headerReference w:type="default" r:id="rId8"/>
      <w:headerReference w:type="first" r:id="rId9"/>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720BA" w14:textId="77777777" w:rsidR="00A652ED" w:rsidRDefault="00A652ED" w:rsidP="00CF055F">
      <w:pPr>
        <w:spacing w:line="240" w:lineRule="auto"/>
      </w:pPr>
      <w:r>
        <w:separator/>
      </w:r>
    </w:p>
  </w:endnote>
  <w:endnote w:type="continuationSeparator" w:id="0">
    <w:p w14:paraId="50AD6269" w14:textId="77777777" w:rsidR="00A652ED" w:rsidRDefault="00A652ED" w:rsidP="00CF0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63C3A" w14:textId="77777777" w:rsidR="00A652ED" w:rsidRDefault="00A652ED" w:rsidP="00CF055F">
      <w:pPr>
        <w:spacing w:line="240" w:lineRule="auto"/>
      </w:pPr>
      <w:r>
        <w:separator/>
      </w:r>
    </w:p>
  </w:footnote>
  <w:footnote w:type="continuationSeparator" w:id="0">
    <w:p w14:paraId="18C8B0A3" w14:textId="77777777" w:rsidR="00A652ED" w:rsidRDefault="00A652ED" w:rsidP="00CF055F">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5FD3A" w14:textId="77777777" w:rsidR="00EA2CA9" w:rsidRDefault="00EA2CA9" w:rsidP="00B2487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C26FB8" w14:textId="77777777" w:rsidR="00EA2CA9" w:rsidRDefault="00EA2CA9" w:rsidP="00EA2CA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06751" w14:textId="77777777" w:rsidR="00EA2CA9" w:rsidRDefault="00EA2CA9" w:rsidP="00B2487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83DC8">
      <w:rPr>
        <w:rStyle w:val="PageNumber"/>
        <w:noProof/>
      </w:rPr>
      <w:t>1</w:t>
    </w:r>
    <w:r>
      <w:rPr>
        <w:rStyle w:val="PageNumber"/>
      </w:rPr>
      <w:fldChar w:fldCharType="end"/>
    </w:r>
  </w:p>
  <w:p w14:paraId="6434D0EB" w14:textId="756442C3" w:rsidR="00CF055F" w:rsidRPr="00CF055F" w:rsidRDefault="00CF055F" w:rsidP="00EA2CA9">
    <w:pPr>
      <w:pStyle w:val="Header"/>
      <w:ind w:right="360"/>
      <w:rPr>
        <w:rFonts w:ascii="Times New Roman" w:hAnsi="Times New Roman" w:cs="Times New Roman"/>
        <w:sz w:val="24"/>
        <w:lang w:val="en-US"/>
      </w:rPr>
    </w:pPr>
    <w:r w:rsidRPr="00CF055F">
      <w:rPr>
        <w:rFonts w:ascii="Times New Roman" w:hAnsi="Times New Roman" w:cs="Times New Roman"/>
        <w:sz w:val="24"/>
        <w:lang w:val="en-US"/>
      </w:rPr>
      <w:t>PAIN NEUROIMAGING IN PERSONAL INJURY CASES</w:t>
    </w:r>
    <w:r w:rsidR="00EA2CA9">
      <w:rPr>
        <w:rFonts w:ascii="Times New Roman" w:hAnsi="Times New Roman" w:cs="Times New Roman"/>
        <w:sz w:val="24"/>
        <w:lang w:val="en-US"/>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209B2" w14:textId="77777777" w:rsidR="00EA2CA9" w:rsidRDefault="00EA2CA9" w:rsidP="00B2487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BA6A495" w14:textId="1C031BD3" w:rsidR="00CF055F" w:rsidRPr="00CF055F" w:rsidRDefault="00CF055F" w:rsidP="00EA2CA9">
    <w:pPr>
      <w:pStyle w:val="Header"/>
      <w:ind w:right="360"/>
      <w:rPr>
        <w:rFonts w:ascii="Times New Roman" w:hAnsi="Times New Roman" w:cs="Times New Roman"/>
        <w:sz w:val="24"/>
        <w:lang w:val="en-US"/>
      </w:rPr>
    </w:pPr>
    <w:r w:rsidRPr="00CF055F">
      <w:rPr>
        <w:rFonts w:ascii="Times New Roman" w:hAnsi="Times New Roman" w:cs="Times New Roman"/>
        <w:sz w:val="24"/>
        <w:lang w:val="en-US"/>
      </w:rPr>
      <w:t>Running Head: PAIN NEUROIMAGING IN PERSONAL INJURY CASES</w:t>
    </w:r>
    <w:r w:rsidR="00EA2CA9">
      <w:rPr>
        <w:rFonts w:ascii="Times New Roman" w:hAnsi="Times New Roman" w:cs="Times New Roman"/>
        <w:sz w:val="24"/>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637"/>
    <w:rsid w:val="000A02A4"/>
    <w:rsid w:val="00160EDE"/>
    <w:rsid w:val="002776E1"/>
    <w:rsid w:val="00383DC8"/>
    <w:rsid w:val="005A6A63"/>
    <w:rsid w:val="005A6D5E"/>
    <w:rsid w:val="005D4894"/>
    <w:rsid w:val="00721637"/>
    <w:rsid w:val="008F084A"/>
    <w:rsid w:val="00A652ED"/>
    <w:rsid w:val="00CF055F"/>
    <w:rsid w:val="00D50DF3"/>
    <w:rsid w:val="00EA2CA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8D615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semiHidden/>
    <w:unhideWhenUsed/>
    <w:rsid w:val="002776E1"/>
    <w:rPr>
      <w:color w:val="0000FF"/>
      <w:u w:val="single"/>
    </w:rPr>
  </w:style>
  <w:style w:type="paragraph" w:styleId="Header">
    <w:name w:val="header"/>
    <w:basedOn w:val="Normal"/>
    <w:link w:val="HeaderChar"/>
    <w:uiPriority w:val="99"/>
    <w:unhideWhenUsed/>
    <w:rsid w:val="00CF055F"/>
    <w:pPr>
      <w:tabs>
        <w:tab w:val="center" w:pos="4680"/>
        <w:tab w:val="right" w:pos="9360"/>
      </w:tabs>
      <w:spacing w:line="240" w:lineRule="auto"/>
    </w:pPr>
  </w:style>
  <w:style w:type="character" w:customStyle="1" w:styleId="HeaderChar">
    <w:name w:val="Header Char"/>
    <w:basedOn w:val="DefaultParagraphFont"/>
    <w:link w:val="Header"/>
    <w:uiPriority w:val="99"/>
    <w:rsid w:val="00CF055F"/>
  </w:style>
  <w:style w:type="paragraph" w:styleId="Footer">
    <w:name w:val="footer"/>
    <w:basedOn w:val="Normal"/>
    <w:link w:val="FooterChar"/>
    <w:uiPriority w:val="99"/>
    <w:unhideWhenUsed/>
    <w:rsid w:val="00CF055F"/>
    <w:pPr>
      <w:tabs>
        <w:tab w:val="center" w:pos="4680"/>
        <w:tab w:val="right" w:pos="9360"/>
      </w:tabs>
      <w:spacing w:line="240" w:lineRule="auto"/>
    </w:pPr>
  </w:style>
  <w:style w:type="character" w:customStyle="1" w:styleId="FooterChar">
    <w:name w:val="Footer Char"/>
    <w:basedOn w:val="DefaultParagraphFont"/>
    <w:link w:val="Footer"/>
    <w:uiPriority w:val="99"/>
    <w:rsid w:val="00CF055F"/>
  </w:style>
  <w:style w:type="character" w:styleId="PageNumber">
    <w:name w:val="page number"/>
    <w:basedOn w:val="DefaultParagraphFont"/>
    <w:uiPriority w:val="99"/>
    <w:semiHidden/>
    <w:unhideWhenUsed/>
    <w:rsid w:val="00EA2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9372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abajournal.com/magazine/article/personal_injury_lawyers_turn_to_neuroscience_to_back_claims_of_chronic_pain"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4338</Words>
  <Characters>22212</Characters>
  <Application>Microsoft Macintosh Word</Application>
  <DocSecurity>0</DocSecurity>
  <Lines>435</Lines>
  <Paragraphs>171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Parks, Ph.D.</cp:lastModifiedBy>
  <cp:revision>8</cp:revision>
  <dcterms:created xsi:type="dcterms:W3CDTF">2020-01-28T19:25:00Z</dcterms:created>
  <dcterms:modified xsi:type="dcterms:W3CDTF">2020-03-26T18:32:00Z</dcterms:modified>
</cp:coreProperties>
</file>