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1263"/>
        <w:gridCol w:w="1614"/>
        <w:gridCol w:w="1780"/>
        <w:gridCol w:w="1709"/>
        <w:gridCol w:w="1746"/>
        <w:gridCol w:w="1349"/>
        <w:gridCol w:w="1418"/>
        <w:gridCol w:w="1789"/>
        <w:gridCol w:w="1714"/>
      </w:tblGrid>
      <w:tr w:rsidR="0064361E" w:rsidRPr="00CC7EED" w14:paraId="2CF5218E" w14:textId="77777777" w:rsidTr="0064361E">
        <w:trPr>
          <w:trHeight w:val="840"/>
        </w:trPr>
        <w:tc>
          <w:tcPr>
            <w:tcW w:w="43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68620F" w14:textId="7C23A3FE" w:rsidR="004A2217" w:rsidRPr="0064361E" w:rsidRDefault="0064361E"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MATRIX</w:t>
            </w:r>
          </w:p>
        </w:tc>
        <w:tc>
          <w:tcPr>
            <w:tcW w:w="561"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2B86BBD5" w14:textId="77777777" w:rsidR="004A2217" w:rsidRPr="0064361E" w:rsidRDefault="004A2217" w:rsidP="0064361E">
            <w:pPr>
              <w:spacing w:line="240" w:lineRule="auto"/>
              <w:jc w:val="center"/>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Bonaci, T., </w:t>
            </w:r>
            <w:proofErr w:type="spellStart"/>
            <w:r w:rsidRPr="0064361E">
              <w:rPr>
                <w:rFonts w:ascii="Times New Roman" w:eastAsia="Times New Roman" w:hAnsi="Times New Roman" w:cs="Times New Roman"/>
                <w:b/>
                <w:sz w:val="18"/>
                <w:szCs w:val="20"/>
              </w:rPr>
              <w:t>Calo</w:t>
            </w:r>
            <w:proofErr w:type="spellEnd"/>
            <w:r w:rsidRPr="0064361E">
              <w:rPr>
                <w:rFonts w:ascii="Times New Roman" w:eastAsia="Times New Roman" w:hAnsi="Times New Roman" w:cs="Times New Roman"/>
                <w:b/>
                <w:sz w:val="18"/>
                <w:szCs w:val="20"/>
              </w:rPr>
              <w:t xml:space="preserve">, R., &amp; </w:t>
            </w:r>
            <w:proofErr w:type="spellStart"/>
            <w:r w:rsidRPr="0064361E">
              <w:rPr>
                <w:rFonts w:ascii="Times New Roman" w:eastAsia="Times New Roman" w:hAnsi="Times New Roman" w:cs="Times New Roman"/>
                <w:b/>
                <w:sz w:val="18"/>
                <w:szCs w:val="20"/>
              </w:rPr>
              <w:t>Chizeck</w:t>
            </w:r>
            <w:proofErr w:type="spellEnd"/>
            <w:r w:rsidRPr="0064361E">
              <w:rPr>
                <w:rFonts w:ascii="Times New Roman" w:eastAsia="Times New Roman" w:hAnsi="Times New Roman" w:cs="Times New Roman"/>
                <w:b/>
                <w:sz w:val="18"/>
                <w:szCs w:val="20"/>
              </w:rPr>
              <w:t>, H. J. (2014)</w:t>
            </w:r>
          </w:p>
        </w:tc>
        <w:tc>
          <w:tcPr>
            <w:tcW w:w="619"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6AE0A0CF" w14:textId="77777777" w:rsidR="004A2217" w:rsidRPr="0064361E" w:rsidRDefault="004A2217" w:rsidP="0064361E">
            <w:pPr>
              <w:spacing w:line="240" w:lineRule="auto"/>
              <w:jc w:val="center"/>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Burwell, S., Sample, M., &amp; Racine, E. (2017)</w:t>
            </w:r>
          </w:p>
        </w:tc>
        <w:tc>
          <w:tcPr>
            <w:tcW w:w="594"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46861B83" w14:textId="77777777" w:rsidR="004A2217" w:rsidRPr="0064361E" w:rsidRDefault="004A2217" w:rsidP="0064361E">
            <w:pPr>
              <w:spacing w:line="240" w:lineRule="auto"/>
              <w:jc w:val="center"/>
              <w:rPr>
                <w:rFonts w:ascii="Times New Roman" w:eastAsia="Times New Roman" w:hAnsi="Times New Roman" w:cs="Times New Roman"/>
                <w:b/>
                <w:sz w:val="18"/>
                <w:szCs w:val="20"/>
              </w:rPr>
            </w:pPr>
            <w:proofErr w:type="spellStart"/>
            <w:r w:rsidRPr="0064361E">
              <w:rPr>
                <w:rFonts w:ascii="Times New Roman" w:eastAsia="Times New Roman" w:hAnsi="Times New Roman" w:cs="Times New Roman"/>
                <w:b/>
                <w:sz w:val="18"/>
                <w:szCs w:val="20"/>
              </w:rPr>
              <w:t>Ienca</w:t>
            </w:r>
            <w:proofErr w:type="spellEnd"/>
            <w:r w:rsidRPr="0064361E">
              <w:rPr>
                <w:rFonts w:ascii="Times New Roman" w:eastAsia="Times New Roman" w:hAnsi="Times New Roman" w:cs="Times New Roman"/>
                <w:b/>
                <w:sz w:val="18"/>
                <w:szCs w:val="20"/>
              </w:rPr>
              <w:t xml:space="preserve">, M., </w:t>
            </w:r>
            <w:proofErr w:type="spellStart"/>
            <w:r w:rsidRPr="0064361E">
              <w:rPr>
                <w:rFonts w:ascii="Times New Roman" w:eastAsia="Times New Roman" w:hAnsi="Times New Roman" w:cs="Times New Roman"/>
                <w:b/>
                <w:sz w:val="18"/>
                <w:szCs w:val="20"/>
              </w:rPr>
              <w:t>Haselager</w:t>
            </w:r>
            <w:proofErr w:type="spellEnd"/>
            <w:r w:rsidRPr="0064361E">
              <w:rPr>
                <w:rFonts w:ascii="Times New Roman" w:eastAsia="Times New Roman" w:hAnsi="Times New Roman" w:cs="Times New Roman"/>
                <w:b/>
                <w:sz w:val="18"/>
                <w:szCs w:val="20"/>
              </w:rPr>
              <w:t>, P., &amp; Emanuel, E. (2018)</w:t>
            </w:r>
          </w:p>
        </w:tc>
        <w:tc>
          <w:tcPr>
            <w:tcW w:w="607"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21DA433D" w14:textId="77777777" w:rsidR="004A2217" w:rsidRPr="0064361E" w:rsidRDefault="004A2217" w:rsidP="0064361E">
            <w:pPr>
              <w:spacing w:line="240" w:lineRule="auto"/>
              <w:jc w:val="center"/>
              <w:rPr>
                <w:rFonts w:ascii="Times New Roman" w:eastAsia="Times New Roman" w:hAnsi="Times New Roman" w:cs="Times New Roman"/>
                <w:b/>
                <w:sz w:val="18"/>
                <w:szCs w:val="20"/>
              </w:rPr>
            </w:pPr>
            <w:proofErr w:type="spellStart"/>
            <w:r w:rsidRPr="0064361E">
              <w:rPr>
                <w:rFonts w:ascii="Times New Roman" w:eastAsia="Times New Roman" w:hAnsi="Times New Roman" w:cs="Times New Roman"/>
                <w:b/>
                <w:sz w:val="18"/>
                <w:szCs w:val="20"/>
              </w:rPr>
              <w:t>Yutse</w:t>
            </w:r>
            <w:proofErr w:type="spellEnd"/>
            <w:r w:rsidRPr="0064361E">
              <w:rPr>
                <w:rFonts w:ascii="Times New Roman" w:eastAsia="Times New Roman" w:hAnsi="Times New Roman" w:cs="Times New Roman"/>
                <w:b/>
                <w:sz w:val="18"/>
                <w:szCs w:val="20"/>
              </w:rPr>
              <w:t xml:space="preserve">, R. &amp; Goering, S. (2016)                                           </w:t>
            </w:r>
          </w:p>
          <w:p w14:paraId="4D523C0C" w14:textId="77777777" w:rsidR="004A2217" w:rsidRPr="0064361E" w:rsidRDefault="004A2217" w:rsidP="0064361E">
            <w:pPr>
              <w:spacing w:line="240" w:lineRule="auto"/>
              <w:jc w:val="center"/>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 </w:t>
            </w:r>
          </w:p>
        </w:tc>
        <w:tc>
          <w:tcPr>
            <w:tcW w:w="469" w:type="pct"/>
            <w:tcBorders>
              <w:top w:val="single" w:sz="8" w:space="0" w:color="000000"/>
              <w:bottom w:val="single" w:sz="8" w:space="0" w:color="000000"/>
            </w:tcBorders>
          </w:tcPr>
          <w:p w14:paraId="66D67DBC" w14:textId="77777777" w:rsidR="004A2217" w:rsidRPr="0064361E" w:rsidRDefault="004A2217" w:rsidP="0064361E">
            <w:pPr>
              <w:spacing w:line="240" w:lineRule="auto"/>
              <w:jc w:val="center"/>
              <w:rPr>
                <w:rFonts w:ascii="Times New Roman" w:eastAsia="Times New Roman" w:hAnsi="Times New Roman" w:cs="Times New Roman"/>
                <w:b/>
                <w:sz w:val="18"/>
                <w:szCs w:val="20"/>
              </w:rPr>
            </w:pPr>
            <w:proofErr w:type="spellStart"/>
            <w:r w:rsidRPr="0064361E">
              <w:rPr>
                <w:rFonts w:ascii="Times New Roman" w:eastAsia="Times New Roman" w:hAnsi="Times New Roman" w:cs="Times New Roman"/>
                <w:b/>
                <w:sz w:val="18"/>
                <w:szCs w:val="20"/>
              </w:rPr>
              <w:t>Jebari</w:t>
            </w:r>
            <w:proofErr w:type="spellEnd"/>
            <w:r w:rsidRPr="0064361E">
              <w:rPr>
                <w:rFonts w:ascii="Times New Roman" w:eastAsia="Times New Roman" w:hAnsi="Times New Roman" w:cs="Times New Roman"/>
                <w:b/>
                <w:sz w:val="18"/>
                <w:szCs w:val="20"/>
              </w:rPr>
              <w:t>, K. (2013)</w:t>
            </w:r>
          </w:p>
        </w:tc>
        <w:tc>
          <w:tcPr>
            <w:tcW w:w="493" w:type="pct"/>
            <w:tcBorders>
              <w:top w:val="single" w:sz="8" w:space="0" w:color="000000"/>
              <w:bottom w:val="single" w:sz="8" w:space="0" w:color="000000"/>
            </w:tcBorders>
          </w:tcPr>
          <w:p w14:paraId="4DA28C48" w14:textId="77777777" w:rsidR="004A2217" w:rsidRPr="0064361E" w:rsidRDefault="004A2217" w:rsidP="0064361E">
            <w:pPr>
              <w:spacing w:line="240" w:lineRule="auto"/>
              <w:jc w:val="center"/>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Lange, J., </w:t>
            </w:r>
            <w:proofErr w:type="spellStart"/>
            <w:r w:rsidRPr="0064361E">
              <w:rPr>
                <w:rFonts w:ascii="Times New Roman" w:eastAsia="Times New Roman" w:hAnsi="Times New Roman" w:cs="Times New Roman"/>
                <w:b/>
                <w:sz w:val="18"/>
                <w:szCs w:val="20"/>
              </w:rPr>
              <w:t>Massart</w:t>
            </w:r>
            <w:proofErr w:type="spellEnd"/>
            <w:r w:rsidRPr="0064361E">
              <w:rPr>
                <w:rFonts w:ascii="Times New Roman" w:eastAsia="Times New Roman" w:hAnsi="Times New Roman" w:cs="Times New Roman"/>
                <w:b/>
                <w:sz w:val="18"/>
                <w:szCs w:val="20"/>
              </w:rPr>
              <w:t xml:space="preserve">, C., </w:t>
            </w:r>
            <w:proofErr w:type="spellStart"/>
            <w:r w:rsidRPr="0064361E">
              <w:rPr>
                <w:rFonts w:ascii="Times New Roman" w:eastAsia="Times New Roman" w:hAnsi="Times New Roman" w:cs="Times New Roman"/>
                <w:b/>
                <w:sz w:val="18"/>
                <w:szCs w:val="20"/>
              </w:rPr>
              <w:t>Mouraux</w:t>
            </w:r>
            <w:proofErr w:type="spellEnd"/>
            <w:r w:rsidRPr="0064361E">
              <w:rPr>
                <w:rFonts w:ascii="Times New Roman" w:eastAsia="Times New Roman" w:hAnsi="Times New Roman" w:cs="Times New Roman"/>
                <w:b/>
                <w:sz w:val="18"/>
                <w:szCs w:val="20"/>
              </w:rPr>
              <w:t xml:space="preserve">, A., &amp; </w:t>
            </w:r>
            <w:proofErr w:type="spellStart"/>
            <w:r w:rsidRPr="0064361E">
              <w:rPr>
                <w:rFonts w:ascii="Times New Roman" w:eastAsia="Times New Roman" w:hAnsi="Times New Roman" w:cs="Times New Roman"/>
                <w:b/>
                <w:sz w:val="18"/>
                <w:szCs w:val="20"/>
              </w:rPr>
              <w:t>Standaert</w:t>
            </w:r>
            <w:proofErr w:type="spellEnd"/>
            <w:r w:rsidRPr="0064361E">
              <w:rPr>
                <w:rFonts w:ascii="Times New Roman" w:eastAsia="Times New Roman" w:hAnsi="Times New Roman" w:cs="Times New Roman"/>
                <w:b/>
                <w:sz w:val="18"/>
                <w:szCs w:val="20"/>
              </w:rPr>
              <w:t>, F.-X. (2018)</w:t>
            </w:r>
          </w:p>
        </w:tc>
        <w:tc>
          <w:tcPr>
            <w:tcW w:w="622" w:type="pct"/>
            <w:tcBorders>
              <w:top w:val="single" w:sz="8" w:space="0" w:color="000000"/>
              <w:bottom w:val="single" w:sz="8" w:space="0" w:color="000000"/>
            </w:tcBorders>
          </w:tcPr>
          <w:p w14:paraId="6FEC9114" w14:textId="77777777" w:rsidR="004A2217" w:rsidRPr="0064361E" w:rsidRDefault="004A2217" w:rsidP="0064361E">
            <w:pPr>
              <w:spacing w:line="240" w:lineRule="auto"/>
              <w:jc w:val="center"/>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Hansen, C. (2016)</w:t>
            </w:r>
          </w:p>
        </w:tc>
        <w:tc>
          <w:tcPr>
            <w:tcW w:w="596" w:type="pct"/>
            <w:tcBorders>
              <w:top w:val="single" w:sz="8" w:space="0" w:color="000000"/>
              <w:bottom w:val="single" w:sz="8" w:space="0" w:color="000000"/>
            </w:tcBorders>
          </w:tcPr>
          <w:p w14:paraId="61868DD2"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  Philips, A. &amp; </w:t>
            </w:r>
            <w:proofErr w:type="spellStart"/>
            <w:r w:rsidRPr="0064361E">
              <w:rPr>
                <w:rFonts w:ascii="Times New Roman" w:eastAsia="Times New Roman" w:hAnsi="Times New Roman" w:cs="Times New Roman"/>
                <w:b/>
                <w:sz w:val="18"/>
                <w:szCs w:val="20"/>
              </w:rPr>
              <w:t>Mian</w:t>
            </w:r>
            <w:proofErr w:type="spellEnd"/>
            <w:r w:rsidRPr="0064361E">
              <w:rPr>
                <w:rFonts w:ascii="Times New Roman" w:eastAsia="Times New Roman" w:hAnsi="Times New Roman" w:cs="Times New Roman"/>
                <w:b/>
                <w:sz w:val="18"/>
                <w:szCs w:val="20"/>
              </w:rPr>
              <w:t>, I. (2017)</w:t>
            </w:r>
          </w:p>
          <w:p w14:paraId="01FB9E50" w14:textId="77777777" w:rsidR="004A2217" w:rsidRPr="0064361E" w:rsidRDefault="004A2217" w:rsidP="0064361E">
            <w:pPr>
              <w:spacing w:line="240" w:lineRule="auto"/>
              <w:jc w:val="center"/>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 </w:t>
            </w:r>
          </w:p>
        </w:tc>
      </w:tr>
      <w:tr w:rsidR="0064361E" w:rsidRPr="00CC7EED" w14:paraId="27D6C547" w14:textId="77777777" w:rsidTr="0064361E">
        <w:trPr>
          <w:trHeight w:val="1880"/>
        </w:trPr>
        <w:tc>
          <w:tcPr>
            <w:tcW w:w="439"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53150ACC"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Theme 1:</w:t>
            </w:r>
          </w:p>
          <w:p w14:paraId="694C0627"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Brain-computer interfaces are becoming increasingly common and available in commercial settings.</w:t>
            </w:r>
          </w:p>
          <w:p w14:paraId="24950267"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0389E30B"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5BD7C44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7F90F8B5"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77A224B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2266C511"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tc>
        <w:tc>
          <w:tcPr>
            <w:tcW w:w="561" w:type="pct"/>
            <w:tcBorders>
              <w:bottom w:val="single" w:sz="8" w:space="0" w:color="000000"/>
              <w:right w:val="single" w:sz="8" w:space="0" w:color="000000"/>
            </w:tcBorders>
            <w:tcMar>
              <w:top w:w="100" w:type="dxa"/>
              <w:left w:w="100" w:type="dxa"/>
              <w:bottom w:w="100" w:type="dxa"/>
              <w:right w:w="100" w:type="dxa"/>
            </w:tcMar>
          </w:tcPr>
          <w:p w14:paraId="5BA2CF27"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This article briefly reviews the history of BCIs and points out that there has been a recent surge in their popularity. The authors cite gaming, entertainment, and market research as examples of specific industries with interests in BCIs. </w:t>
            </w:r>
          </w:p>
        </w:tc>
        <w:tc>
          <w:tcPr>
            <w:tcW w:w="619" w:type="pct"/>
            <w:tcBorders>
              <w:bottom w:val="single" w:sz="8" w:space="0" w:color="000000"/>
              <w:right w:val="single" w:sz="8" w:space="0" w:color="000000"/>
            </w:tcBorders>
            <w:tcMar>
              <w:top w:w="100" w:type="dxa"/>
              <w:left w:w="100" w:type="dxa"/>
              <w:bottom w:w="100" w:type="dxa"/>
              <w:right w:w="100" w:type="dxa"/>
            </w:tcMar>
          </w:tcPr>
          <w:p w14:paraId="0FF1EAEE"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This article points out that although there is a lack of true consensus on the definition of BCIs, their applications continue to expand. </w:t>
            </w:r>
          </w:p>
        </w:tc>
        <w:tc>
          <w:tcPr>
            <w:tcW w:w="594" w:type="pct"/>
            <w:tcBorders>
              <w:bottom w:val="single" w:sz="8" w:space="0" w:color="000000"/>
              <w:right w:val="single" w:sz="8" w:space="0" w:color="000000"/>
            </w:tcBorders>
            <w:tcMar>
              <w:top w:w="100" w:type="dxa"/>
              <w:left w:w="100" w:type="dxa"/>
              <w:bottom w:w="100" w:type="dxa"/>
              <w:right w:w="100" w:type="dxa"/>
            </w:tcMar>
          </w:tcPr>
          <w:p w14:paraId="4ECE652E"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There has been increasing applications of devices similar to BCI in commercial settings. There is also an expansion of the market for commercial </w:t>
            </w:r>
            <w:proofErr w:type="spellStart"/>
            <w:r w:rsidRPr="0064361E">
              <w:rPr>
                <w:rFonts w:ascii="Times New Roman" w:eastAsia="Times New Roman" w:hAnsi="Times New Roman" w:cs="Times New Roman"/>
                <w:sz w:val="18"/>
                <w:szCs w:val="20"/>
              </w:rPr>
              <w:t>neurotechnology</w:t>
            </w:r>
            <w:proofErr w:type="spellEnd"/>
            <w:r w:rsidRPr="0064361E">
              <w:rPr>
                <w:rFonts w:ascii="Times New Roman" w:eastAsia="Times New Roman" w:hAnsi="Times New Roman" w:cs="Times New Roman"/>
                <w:sz w:val="18"/>
                <w:szCs w:val="20"/>
              </w:rPr>
              <w:t xml:space="preserve"> devices.</w:t>
            </w:r>
          </w:p>
        </w:tc>
        <w:tc>
          <w:tcPr>
            <w:tcW w:w="607" w:type="pct"/>
            <w:tcBorders>
              <w:bottom w:val="single" w:sz="8" w:space="0" w:color="000000"/>
              <w:right w:val="single" w:sz="8" w:space="0" w:color="000000"/>
            </w:tcBorders>
            <w:tcMar>
              <w:top w:w="100" w:type="dxa"/>
              <w:left w:w="100" w:type="dxa"/>
              <w:bottom w:w="100" w:type="dxa"/>
              <w:right w:w="100" w:type="dxa"/>
            </w:tcMar>
          </w:tcPr>
          <w:p w14:paraId="5F0C82CE"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authors say that BCI is likely to have commercial uses that increase ethical concerns related to the technology.</w:t>
            </w:r>
          </w:p>
        </w:tc>
        <w:tc>
          <w:tcPr>
            <w:tcW w:w="469" w:type="pct"/>
            <w:tcBorders>
              <w:bottom w:val="single" w:sz="8" w:space="0" w:color="000000"/>
            </w:tcBorders>
          </w:tcPr>
          <w:p w14:paraId="7E0304A7"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This article begins by remarking that brain-computer interface development has skyrocketed in the last decade, and now have applications outside of medicine. </w:t>
            </w:r>
          </w:p>
        </w:tc>
        <w:tc>
          <w:tcPr>
            <w:tcW w:w="493" w:type="pct"/>
            <w:tcBorders>
              <w:bottom w:val="single" w:sz="8" w:space="0" w:color="000000"/>
            </w:tcBorders>
          </w:tcPr>
          <w:p w14:paraId="54D6897B"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This article discusses several commercial uses for brain-computer interfaces, including drowsiness estimation for driving simulators and video gaming. It also mentions that usage has been trending up throughout the past decade.</w:t>
            </w:r>
          </w:p>
        </w:tc>
        <w:tc>
          <w:tcPr>
            <w:tcW w:w="622" w:type="pct"/>
            <w:tcBorders>
              <w:bottom w:val="single" w:sz="8" w:space="0" w:color="000000"/>
            </w:tcBorders>
          </w:tcPr>
          <w:p w14:paraId="4565159D"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This article discusses the BCI development in research settings and its transition into commercial use. The companies developing BCI will eventually commercialize the new technology and expand its use to the general public.</w:t>
            </w:r>
          </w:p>
        </w:tc>
        <w:tc>
          <w:tcPr>
            <w:tcW w:w="596" w:type="pct"/>
            <w:tcBorders>
              <w:bottom w:val="single" w:sz="8" w:space="0" w:color="000000"/>
            </w:tcBorders>
          </w:tcPr>
          <w:p w14:paraId="51FB116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article states that in general the development of BCI is moving towards merging the physical world and the digital world. The widespread functionality of BCI will affect every individual and society at large.</w:t>
            </w:r>
          </w:p>
        </w:tc>
      </w:tr>
      <w:tr w:rsidR="0064361E" w:rsidRPr="00CC7EED" w14:paraId="65B06E22" w14:textId="77777777" w:rsidTr="0064361E">
        <w:trPr>
          <w:trHeight w:val="1055"/>
        </w:trPr>
        <w:tc>
          <w:tcPr>
            <w:tcW w:w="439"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755B051D"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Theme 2:</w:t>
            </w:r>
          </w:p>
          <w:p w14:paraId="14101C08" w14:textId="7343B00B"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Brain-computer interfaces inherently pose priv</w:t>
            </w:r>
            <w:r w:rsidR="0064361E" w:rsidRPr="0064361E">
              <w:rPr>
                <w:rFonts w:ascii="Times New Roman" w:eastAsia="Times New Roman" w:hAnsi="Times New Roman" w:cs="Times New Roman"/>
                <w:sz w:val="18"/>
                <w:szCs w:val="20"/>
              </w:rPr>
              <w:t>acy and security risks to users.</w:t>
            </w:r>
          </w:p>
          <w:p w14:paraId="49102AE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0C4A00FD"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0E14981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471A99D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628BD85E"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tc>
        <w:tc>
          <w:tcPr>
            <w:tcW w:w="561" w:type="pct"/>
            <w:tcBorders>
              <w:bottom w:val="single" w:sz="8" w:space="0" w:color="000000"/>
              <w:right w:val="single" w:sz="8" w:space="0" w:color="000000"/>
            </w:tcBorders>
            <w:tcMar>
              <w:top w:w="100" w:type="dxa"/>
              <w:left w:w="100" w:type="dxa"/>
              <w:bottom w:w="100" w:type="dxa"/>
              <w:right w:w="100" w:type="dxa"/>
            </w:tcMar>
          </w:tcPr>
          <w:p w14:paraId="29F86824"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This article notes one study’s finding that neural data can be used to identify individuals with between 72-84% accuracy. It also mentions existing “brain spyware” that has analyze users’ neural signals to detect their bank information, places of residence, and months of birth. </w:t>
            </w:r>
          </w:p>
        </w:tc>
        <w:tc>
          <w:tcPr>
            <w:tcW w:w="619" w:type="pct"/>
            <w:tcBorders>
              <w:bottom w:val="single" w:sz="8" w:space="0" w:color="000000"/>
              <w:right w:val="single" w:sz="8" w:space="0" w:color="000000"/>
            </w:tcBorders>
            <w:tcMar>
              <w:top w:w="100" w:type="dxa"/>
              <w:left w:w="100" w:type="dxa"/>
              <w:bottom w:w="100" w:type="dxa"/>
              <w:right w:w="100" w:type="dxa"/>
            </w:tcMar>
          </w:tcPr>
          <w:p w14:paraId="39BFE653"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authors of this article express concern about the ability of BCIs to directly extract information from someone’s brain without that person knowing. They also bring up the problem of external hackers gaining access to extremely private data via BCIs.</w:t>
            </w:r>
          </w:p>
        </w:tc>
        <w:tc>
          <w:tcPr>
            <w:tcW w:w="594" w:type="pct"/>
            <w:tcBorders>
              <w:bottom w:val="single" w:sz="8" w:space="0" w:color="000000"/>
              <w:right w:val="single" w:sz="8" w:space="0" w:color="000000"/>
            </w:tcBorders>
            <w:tcMar>
              <w:top w:w="100" w:type="dxa"/>
              <w:left w:w="100" w:type="dxa"/>
              <w:bottom w:w="100" w:type="dxa"/>
              <w:right w:w="100" w:type="dxa"/>
            </w:tcMar>
          </w:tcPr>
          <w:p w14:paraId="11F3CF4E"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articles states that privacy and information security risks are inextricably linked with developing BCI. These are risks specific to the neural data that BCI accesses. Risks include neural spyware, hacking, and brain leaks of neural data.</w:t>
            </w:r>
          </w:p>
        </w:tc>
        <w:tc>
          <w:tcPr>
            <w:tcW w:w="607" w:type="pct"/>
            <w:tcBorders>
              <w:bottom w:val="single" w:sz="8" w:space="0" w:color="000000"/>
              <w:right w:val="single" w:sz="8" w:space="0" w:color="000000"/>
            </w:tcBorders>
            <w:tcMar>
              <w:top w:w="100" w:type="dxa"/>
              <w:left w:w="100" w:type="dxa"/>
              <w:bottom w:w="100" w:type="dxa"/>
              <w:right w:w="100" w:type="dxa"/>
            </w:tcMar>
          </w:tcPr>
          <w:p w14:paraId="51648BF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Development of </w:t>
            </w:r>
            <w:proofErr w:type="spellStart"/>
            <w:r w:rsidRPr="0064361E">
              <w:rPr>
                <w:rFonts w:ascii="Times New Roman" w:eastAsia="Times New Roman" w:hAnsi="Times New Roman" w:cs="Times New Roman"/>
                <w:sz w:val="18"/>
                <w:szCs w:val="20"/>
              </w:rPr>
              <w:t>neurotechnology</w:t>
            </w:r>
            <w:proofErr w:type="spellEnd"/>
            <w:r w:rsidRPr="0064361E">
              <w:rPr>
                <w:rFonts w:ascii="Times New Roman" w:eastAsia="Times New Roman" w:hAnsi="Times New Roman" w:cs="Times New Roman"/>
                <w:sz w:val="18"/>
                <w:szCs w:val="20"/>
              </w:rPr>
              <w:t xml:space="preserve"> will enable decoding of visual imagery and manipulation of brain activity. Risks include changes in the concept of self and of fairness and justice in society at large. </w:t>
            </w:r>
          </w:p>
        </w:tc>
        <w:tc>
          <w:tcPr>
            <w:tcW w:w="469" w:type="pct"/>
            <w:tcBorders>
              <w:bottom w:val="single" w:sz="8" w:space="0" w:color="000000"/>
            </w:tcBorders>
          </w:tcPr>
          <w:p w14:paraId="1959ADFD"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The article points out several areas in which brain-computer interfaces allow for a breach in privacy: advertising, employee surveillance, and government. </w:t>
            </w:r>
          </w:p>
        </w:tc>
        <w:tc>
          <w:tcPr>
            <w:tcW w:w="493" w:type="pct"/>
            <w:tcBorders>
              <w:bottom w:val="single" w:sz="8" w:space="0" w:color="000000"/>
            </w:tcBorders>
          </w:tcPr>
          <w:p w14:paraId="20748C0B" w14:textId="06C59DD8"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study in this article confirms that brain-computer interfaces can be used to steal information by reading the neural signals that occur when a person recognizes important numbers or information (ex. PIN numbers)</w:t>
            </w:r>
            <w:r w:rsidR="0064361E" w:rsidRPr="0064361E">
              <w:rPr>
                <w:rFonts w:ascii="Times New Roman" w:eastAsia="Times New Roman" w:hAnsi="Times New Roman" w:cs="Times New Roman"/>
                <w:sz w:val="18"/>
                <w:szCs w:val="20"/>
              </w:rPr>
              <w:t>.</w:t>
            </w:r>
          </w:p>
        </w:tc>
        <w:tc>
          <w:tcPr>
            <w:tcW w:w="622" w:type="pct"/>
            <w:tcBorders>
              <w:bottom w:val="single" w:sz="8" w:space="0" w:color="000000"/>
            </w:tcBorders>
          </w:tcPr>
          <w:p w14:paraId="322D4043"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author makes observation of the issues of new developing BCI in privacy, human enhancement, and equity and digital divide. These will not only affect individual but will also cause society in general to be less equitable.</w:t>
            </w:r>
          </w:p>
        </w:tc>
        <w:tc>
          <w:tcPr>
            <w:tcW w:w="596" w:type="pct"/>
            <w:tcBorders>
              <w:bottom w:val="single" w:sz="8" w:space="0" w:color="000000"/>
            </w:tcBorders>
          </w:tcPr>
          <w:p w14:paraId="0D07220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The authors specifically discuss the adverse consequences of merging the human and the machine. They especially emphasized the unknown related to the development of </w:t>
            </w:r>
            <w:proofErr w:type="spellStart"/>
            <w:r w:rsidRPr="0064361E">
              <w:rPr>
                <w:rFonts w:ascii="Times New Roman" w:eastAsia="Times New Roman" w:hAnsi="Times New Roman" w:cs="Times New Roman"/>
                <w:sz w:val="18"/>
                <w:szCs w:val="20"/>
              </w:rPr>
              <w:t>superintelligent</w:t>
            </w:r>
            <w:proofErr w:type="spellEnd"/>
            <w:r w:rsidRPr="0064361E">
              <w:rPr>
                <w:rFonts w:ascii="Times New Roman" w:eastAsia="Times New Roman" w:hAnsi="Times New Roman" w:cs="Times New Roman"/>
                <w:sz w:val="18"/>
                <w:szCs w:val="20"/>
              </w:rPr>
              <w:t xml:space="preserve"> AI.</w:t>
            </w:r>
          </w:p>
        </w:tc>
      </w:tr>
      <w:tr w:rsidR="0064361E" w:rsidRPr="00CC7EED" w14:paraId="13B89B4B" w14:textId="77777777" w:rsidTr="0064361E">
        <w:trPr>
          <w:trHeight w:val="1880"/>
        </w:trPr>
        <w:tc>
          <w:tcPr>
            <w:tcW w:w="439"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3C7DEC2A"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lastRenderedPageBreak/>
              <w:t>Theme 3:</w:t>
            </w:r>
          </w:p>
          <w:p w14:paraId="45D9CA9E"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There is currently a lack of protective policy regarding brain-computer interfaces.</w:t>
            </w:r>
          </w:p>
          <w:p w14:paraId="4F3EF48D"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 </w:t>
            </w:r>
          </w:p>
          <w:p w14:paraId="3D38A74E"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 </w:t>
            </w:r>
          </w:p>
          <w:p w14:paraId="41772C42"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 </w:t>
            </w:r>
          </w:p>
          <w:p w14:paraId="13E9C06A"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 </w:t>
            </w:r>
          </w:p>
          <w:p w14:paraId="09874D38"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 xml:space="preserve"> </w:t>
            </w:r>
          </w:p>
          <w:p w14:paraId="26AA255A"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tc>
        <w:tc>
          <w:tcPr>
            <w:tcW w:w="561" w:type="pct"/>
            <w:tcBorders>
              <w:bottom w:val="single" w:sz="8" w:space="0" w:color="000000"/>
              <w:right w:val="single" w:sz="8" w:space="0" w:color="000000"/>
            </w:tcBorders>
            <w:tcMar>
              <w:top w:w="100" w:type="dxa"/>
              <w:left w:w="100" w:type="dxa"/>
              <w:bottom w:w="100" w:type="dxa"/>
              <w:right w:w="100" w:type="dxa"/>
            </w:tcMar>
          </w:tcPr>
          <w:p w14:paraId="6867B686" w14:textId="77777777" w:rsidR="004A2217" w:rsidRPr="0064361E" w:rsidRDefault="004A2217" w:rsidP="0064361E">
            <w:pPr>
              <w:spacing w:line="240" w:lineRule="auto"/>
              <w:rPr>
                <w:rFonts w:ascii="Times New Roman" w:eastAsia="Times New Roman" w:hAnsi="Times New Roman" w:cs="Times New Roman"/>
                <w:sz w:val="18"/>
                <w:szCs w:val="20"/>
              </w:rPr>
            </w:pPr>
          </w:p>
        </w:tc>
        <w:tc>
          <w:tcPr>
            <w:tcW w:w="619" w:type="pct"/>
            <w:tcBorders>
              <w:bottom w:val="single" w:sz="8" w:space="0" w:color="000000"/>
              <w:right w:val="single" w:sz="8" w:space="0" w:color="000000"/>
            </w:tcBorders>
            <w:tcMar>
              <w:top w:w="100" w:type="dxa"/>
              <w:left w:w="100" w:type="dxa"/>
              <w:bottom w:w="100" w:type="dxa"/>
              <w:right w:w="100" w:type="dxa"/>
            </w:tcMar>
          </w:tcPr>
          <w:p w14:paraId="6DD221CC"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This article criticizes BCI researchers for discussing the safety issues surrounding BCIs without making any concrete recommendations for solutions. </w:t>
            </w:r>
          </w:p>
        </w:tc>
        <w:tc>
          <w:tcPr>
            <w:tcW w:w="594" w:type="pct"/>
            <w:tcBorders>
              <w:bottom w:val="single" w:sz="8" w:space="0" w:color="000000"/>
              <w:right w:val="single" w:sz="8" w:space="0" w:color="000000"/>
            </w:tcBorders>
            <w:tcMar>
              <w:top w:w="100" w:type="dxa"/>
              <w:left w:w="100" w:type="dxa"/>
              <w:bottom w:w="100" w:type="dxa"/>
              <w:right w:w="100" w:type="dxa"/>
            </w:tcMar>
          </w:tcPr>
          <w:p w14:paraId="31677743"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authors explicitly state that the safeguards in the status quo are inadequate for the rapidly developing BCI of the future. Federal law does not protect neural data outside of the clinical realm, and BCI is expected to become a product of mass consumption.</w:t>
            </w:r>
          </w:p>
        </w:tc>
        <w:tc>
          <w:tcPr>
            <w:tcW w:w="607" w:type="pct"/>
            <w:tcBorders>
              <w:bottom w:val="single" w:sz="8" w:space="0" w:color="000000"/>
              <w:right w:val="single" w:sz="8" w:space="0" w:color="000000"/>
            </w:tcBorders>
            <w:tcMar>
              <w:top w:w="100" w:type="dxa"/>
              <w:left w:w="100" w:type="dxa"/>
              <w:bottom w:w="100" w:type="dxa"/>
              <w:right w:w="100" w:type="dxa"/>
            </w:tcMar>
          </w:tcPr>
          <w:p w14:paraId="69570B65" w14:textId="77777777" w:rsidR="004A2217" w:rsidRPr="0064361E" w:rsidRDefault="004A2217" w:rsidP="0064361E">
            <w:pPr>
              <w:spacing w:line="240" w:lineRule="auto"/>
              <w:rPr>
                <w:rFonts w:ascii="Times New Roman" w:eastAsia="Times New Roman" w:hAnsi="Times New Roman" w:cs="Times New Roman"/>
                <w:sz w:val="18"/>
                <w:szCs w:val="20"/>
              </w:rPr>
            </w:pPr>
          </w:p>
        </w:tc>
        <w:tc>
          <w:tcPr>
            <w:tcW w:w="469" w:type="pct"/>
            <w:tcBorders>
              <w:bottom w:val="single" w:sz="8" w:space="0" w:color="000000"/>
            </w:tcBorders>
          </w:tcPr>
          <w:p w14:paraId="4B5D1B86"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This article reminds the reader that the definition of “privacy” varies among people and cultures, and is therefore difficult to create policies around. </w:t>
            </w:r>
          </w:p>
        </w:tc>
        <w:tc>
          <w:tcPr>
            <w:tcW w:w="493" w:type="pct"/>
            <w:tcBorders>
              <w:bottom w:val="single" w:sz="8" w:space="0" w:color="000000"/>
            </w:tcBorders>
          </w:tcPr>
          <w:p w14:paraId="4DF5CADB"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authors acknowledge that there is no current answer to privacy threats, and remark that anonymity will not be enough to combat neural profiling.</w:t>
            </w:r>
          </w:p>
        </w:tc>
        <w:tc>
          <w:tcPr>
            <w:tcW w:w="622" w:type="pct"/>
            <w:tcBorders>
              <w:bottom w:val="single" w:sz="8" w:space="0" w:color="000000"/>
            </w:tcBorders>
          </w:tcPr>
          <w:p w14:paraId="697411F7"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The authors include a section on further research that needs to take place about the intention of those developing new </w:t>
            </w:r>
            <w:proofErr w:type="spellStart"/>
            <w:r w:rsidRPr="0064361E">
              <w:rPr>
                <w:rFonts w:ascii="Times New Roman" w:eastAsia="Times New Roman" w:hAnsi="Times New Roman" w:cs="Times New Roman"/>
                <w:sz w:val="18"/>
                <w:szCs w:val="20"/>
              </w:rPr>
              <w:t>neurotechnology</w:t>
            </w:r>
            <w:proofErr w:type="spellEnd"/>
            <w:r w:rsidRPr="0064361E">
              <w:rPr>
                <w:rFonts w:ascii="Times New Roman" w:eastAsia="Times New Roman" w:hAnsi="Times New Roman" w:cs="Times New Roman"/>
                <w:sz w:val="18"/>
                <w:szCs w:val="20"/>
              </w:rPr>
              <w:t>. They identify a research gap that needs to be filled before policy can be effectively developed and implemented.</w:t>
            </w:r>
          </w:p>
        </w:tc>
        <w:tc>
          <w:tcPr>
            <w:tcW w:w="596" w:type="pct"/>
            <w:tcBorders>
              <w:bottom w:val="single" w:sz="8" w:space="0" w:color="000000"/>
            </w:tcBorders>
          </w:tcPr>
          <w:p w14:paraId="24E22BD7"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This article proposes a more holistic approach to policy related to BCI. First and foremost, it is necessary to have an interdisciplinary perspective. Then they promote public discourse between the various stakeholders, which includes the public.</w:t>
            </w:r>
          </w:p>
        </w:tc>
      </w:tr>
      <w:tr w:rsidR="0064361E" w:rsidRPr="00CC7EED" w14:paraId="58855D9E" w14:textId="77777777" w:rsidTr="0064361E">
        <w:trPr>
          <w:trHeight w:val="614"/>
        </w:trPr>
        <w:tc>
          <w:tcPr>
            <w:tcW w:w="439"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2C2A4AF6" w14:textId="77777777" w:rsidR="004A2217" w:rsidRPr="0064361E" w:rsidRDefault="004A2217" w:rsidP="0064361E">
            <w:pPr>
              <w:spacing w:line="240" w:lineRule="auto"/>
              <w:rPr>
                <w:rFonts w:ascii="Times New Roman" w:eastAsia="Times New Roman" w:hAnsi="Times New Roman" w:cs="Times New Roman"/>
                <w:b/>
                <w:sz w:val="18"/>
                <w:szCs w:val="20"/>
              </w:rPr>
            </w:pPr>
            <w:r w:rsidRPr="0064361E">
              <w:rPr>
                <w:rFonts w:ascii="Times New Roman" w:eastAsia="Times New Roman" w:hAnsi="Times New Roman" w:cs="Times New Roman"/>
                <w:b/>
                <w:sz w:val="18"/>
                <w:szCs w:val="20"/>
              </w:rPr>
              <w:t>Theme 4:</w:t>
            </w:r>
          </w:p>
          <w:p w14:paraId="6D8A9A7A"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Ethical and/or legal guidelines may need to be put in place to prevent brain-computer interfaces from being used with malicious intent. </w:t>
            </w:r>
          </w:p>
          <w:p w14:paraId="795535B9"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54FB00B4"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3C56D507"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6A374D00"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6691E292"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p w14:paraId="05ADF89F"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 </w:t>
            </w:r>
          </w:p>
        </w:tc>
        <w:tc>
          <w:tcPr>
            <w:tcW w:w="561" w:type="pct"/>
            <w:tcBorders>
              <w:bottom w:val="single" w:sz="8" w:space="0" w:color="000000"/>
              <w:right w:val="single" w:sz="8" w:space="0" w:color="000000"/>
            </w:tcBorders>
            <w:tcMar>
              <w:top w:w="100" w:type="dxa"/>
              <w:left w:w="100" w:type="dxa"/>
              <w:bottom w:w="100" w:type="dxa"/>
              <w:right w:w="100" w:type="dxa"/>
            </w:tcMar>
          </w:tcPr>
          <w:p w14:paraId="7E27AFB8"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authors of this article encourage early development of BCI-related privacy protection. They also propose a “triangle” approach to policy creation that includes legal experts and ethicists, neuroscientists, and developers.</w:t>
            </w:r>
          </w:p>
        </w:tc>
        <w:tc>
          <w:tcPr>
            <w:tcW w:w="619" w:type="pct"/>
            <w:tcBorders>
              <w:bottom w:val="single" w:sz="8" w:space="0" w:color="000000"/>
              <w:right w:val="single" w:sz="8" w:space="0" w:color="000000"/>
            </w:tcBorders>
            <w:tcMar>
              <w:top w:w="100" w:type="dxa"/>
              <w:left w:w="100" w:type="dxa"/>
              <w:bottom w:w="100" w:type="dxa"/>
              <w:right w:w="100" w:type="dxa"/>
            </w:tcMar>
          </w:tcPr>
          <w:p w14:paraId="538D1C61" w14:textId="77777777" w:rsidR="004A2217" w:rsidRPr="0064361E" w:rsidRDefault="004A2217" w:rsidP="0064361E">
            <w:pPr>
              <w:spacing w:line="240" w:lineRule="auto"/>
              <w:rPr>
                <w:rFonts w:ascii="Times New Roman" w:eastAsia="Times New Roman" w:hAnsi="Times New Roman" w:cs="Times New Roman"/>
                <w:color w:val="2B2B2B"/>
                <w:sz w:val="18"/>
                <w:szCs w:val="20"/>
              </w:rPr>
            </w:pPr>
            <w:r w:rsidRPr="0064361E">
              <w:rPr>
                <w:rFonts w:ascii="Times New Roman" w:eastAsia="Times New Roman" w:hAnsi="Times New Roman" w:cs="Times New Roman"/>
                <w:color w:val="2B2B2B"/>
                <w:sz w:val="18"/>
                <w:szCs w:val="20"/>
              </w:rPr>
              <w:t xml:space="preserve">The authors of this article suggest that scholars and regulatory bodies work together when solving the problems around BCIs. They also cite a study that advocates for the general public to be included in debates surrounding issues of security and ethics. </w:t>
            </w:r>
          </w:p>
        </w:tc>
        <w:tc>
          <w:tcPr>
            <w:tcW w:w="594" w:type="pct"/>
            <w:tcBorders>
              <w:bottom w:val="single" w:sz="8" w:space="0" w:color="000000"/>
              <w:right w:val="single" w:sz="8" w:space="0" w:color="000000"/>
            </w:tcBorders>
            <w:tcMar>
              <w:top w:w="100" w:type="dxa"/>
              <w:left w:w="100" w:type="dxa"/>
              <w:bottom w:w="100" w:type="dxa"/>
              <w:right w:w="100" w:type="dxa"/>
            </w:tcMar>
          </w:tcPr>
          <w:p w14:paraId="67869CDD" w14:textId="77777777" w:rsidR="004A2217" w:rsidRPr="0064361E" w:rsidRDefault="004A2217" w:rsidP="0064361E">
            <w:pPr>
              <w:spacing w:line="240" w:lineRule="auto"/>
              <w:rPr>
                <w:rFonts w:ascii="Times New Roman" w:eastAsia="Times New Roman" w:hAnsi="Times New Roman" w:cs="Times New Roman"/>
                <w:color w:val="2B2B2B"/>
                <w:sz w:val="18"/>
                <w:szCs w:val="20"/>
              </w:rPr>
            </w:pPr>
            <w:r w:rsidRPr="0064361E">
              <w:rPr>
                <w:rFonts w:ascii="Times New Roman" w:eastAsia="Times New Roman" w:hAnsi="Times New Roman" w:cs="Times New Roman"/>
                <w:color w:val="2B2B2B"/>
                <w:sz w:val="18"/>
                <w:szCs w:val="20"/>
              </w:rPr>
              <w:t xml:space="preserve"> The authors propose safeguards at three levels—individual users, </w:t>
            </w:r>
            <w:proofErr w:type="spellStart"/>
            <w:r w:rsidRPr="0064361E">
              <w:rPr>
                <w:rFonts w:ascii="Times New Roman" w:eastAsia="Times New Roman" w:hAnsi="Times New Roman" w:cs="Times New Roman"/>
                <w:color w:val="2B2B2B"/>
                <w:sz w:val="18"/>
                <w:szCs w:val="20"/>
              </w:rPr>
              <w:t>neurotechnology</w:t>
            </w:r>
            <w:proofErr w:type="spellEnd"/>
            <w:r w:rsidRPr="0064361E">
              <w:rPr>
                <w:rFonts w:ascii="Times New Roman" w:eastAsia="Times New Roman" w:hAnsi="Times New Roman" w:cs="Times New Roman"/>
                <w:color w:val="2B2B2B"/>
                <w:sz w:val="18"/>
                <w:szCs w:val="20"/>
              </w:rPr>
              <w:t xml:space="preserve"> producers and service providers, and policy and regulatory bodies. They discuss the need for information consent for users and policy to enforce standard practice for providers.</w:t>
            </w:r>
          </w:p>
        </w:tc>
        <w:tc>
          <w:tcPr>
            <w:tcW w:w="607" w:type="pct"/>
            <w:tcBorders>
              <w:bottom w:val="single" w:sz="8" w:space="0" w:color="000000"/>
              <w:right w:val="single" w:sz="8" w:space="0" w:color="000000"/>
            </w:tcBorders>
            <w:tcMar>
              <w:top w:w="100" w:type="dxa"/>
              <w:left w:w="100" w:type="dxa"/>
              <w:bottom w:w="100" w:type="dxa"/>
              <w:right w:w="100" w:type="dxa"/>
            </w:tcMar>
          </w:tcPr>
          <w:p w14:paraId="323CAC25"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The article establishes that there are not agreed-upon ethical guidelines for the developing BCI. It suggests having guidelines modeled after the Belmont Report for medical ethics. It expresses the end to include perspectives of scientists, medical practitioners, bioethicists, legal experts, and citizen representatives.</w:t>
            </w:r>
          </w:p>
        </w:tc>
        <w:tc>
          <w:tcPr>
            <w:tcW w:w="469" w:type="pct"/>
            <w:tcBorders>
              <w:bottom w:val="single" w:sz="8" w:space="0" w:color="000000"/>
            </w:tcBorders>
          </w:tcPr>
          <w:p w14:paraId="5CA4C375"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This article argues that it is crucial for researchers and legislators to discuss brain-computer interface regulation with privacy concerns in mind. </w:t>
            </w:r>
          </w:p>
        </w:tc>
        <w:tc>
          <w:tcPr>
            <w:tcW w:w="493" w:type="pct"/>
            <w:tcBorders>
              <w:bottom w:val="single" w:sz="8" w:space="0" w:color="000000"/>
            </w:tcBorders>
          </w:tcPr>
          <w:p w14:paraId="37EB4C4D" w14:textId="77777777" w:rsidR="004A2217" w:rsidRPr="0064361E" w:rsidRDefault="004A2217" w:rsidP="0064361E">
            <w:pPr>
              <w:spacing w:line="240" w:lineRule="auto"/>
              <w:rPr>
                <w:rFonts w:ascii="Times New Roman" w:eastAsia="Times New Roman" w:hAnsi="Times New Roman" w:cs="Times New Roman"/>
                <w:color w:val="2B2B2B"/>
                <w:sz w:val="18"/>
                <w:szCs w:val="20"/>
              </w:rPr>
            </w:pPr>
          </w:p>
        </w:tc>
        <w:tc>
          <w:tcPr>
            <w:tcW w:w="622" w:type="pct"/>
            <w:tcBorders>
              <w:bottom w:val="single" w:sz="8" w:space="0" w:color="000000"/>
            </w:tcBorders>
          </w:tcPr>
          <w:p w14:paraId="58DAF5EC" w14:textId="77777777" w:rsidR="004A2217" w:rsidRPr="0064361E" w:rsidRDefault="004A2217" w:rsidP="0064361E">
            <w:pPr>
              <w:spacing w:line="240" w:lineRule="auto"/>
              <w:rPr>
                <w:rFonts w:ascii="Times New Roman" w:eastAsia="Times New Roman" w:hAnsi="Times New Roman" w:cs="Times New Roman"/>
                <w:color w:val="2B2B2B"/>
                <w:sz w:val="18"/>
                <w:szCs w:val="20"/>
              </w:rPr>
            </w:pPr>
            <w:r w:rsidRPr="0064361E">
              <w:rPr>
                <w:rFonts w:ascii="Times New Roman" w:eastAsia="Times New Roman" w:hAnsi="Times New Roman" w:cs="Times New Roman"/>
                <w:color w:val="2B2B2B"/>
                <w:sz w:val="18"/>
                <w:szCs w:val="20"/>
              </w:rPr>
              <w:t>The authors of this article emphasize having research about what happens to ethical concerns when the setting changes from the research lab to the commercial setting. They also want to answer the question of what stakeholders want and what their intentions are in relation to BCI.</w:t>
            </w:r>
          </w:p>
        </w:tc>
        <w:tc>
          <w:tcPr>
            <w:tcW w:w="596" w:type="pct"/>
            <w:tcBorders>
              <w:bottom w:val="single" w:sz="8" w:space="0" w:color="000000"/>
            </w:tcBorders>
          </w:tcPr>
          <w:p w14:paraId="6319314E" w14:textId="77777777" w:rsidR="004A2217" w:rsidRPr="0064361E" w:rsidRDefault="004A2217" w:rsidP="0064361E">
            <w:pPr>
              <w:spacing w:line="240" w:lineRule="auto"/>
              <w:rPr>
                <w:rFonts w:ascii="Times New Roman" w:eastAsia="Times New Roman" w:hAnsi="Times New Roman" w:cs="Times New Roman"/>
                <w:sz w:val="18"/>
                <w:szCs w:val="20"/>
              </w:rPr>
            </w:pPr>
            <w:r w:rsidRPr="0064361E">
              <w:rPr>
                <w:rFonts w:ascii="Times New Roman" w:eastAsia="Times New Roman" w:hAnsi="Times New Roman" w:cs="Times New Roman"/>
                <w:sz w:val="18"/>
                <w:szCs w:val="20"/>
              </w:rPr>
              <w:t xml:space="preserve">The article intended to stimulate further discussion about the development BCI and its impact on individuals and society. They suggest a holistic approach to regulating and developing policy for new </w:t>
            </w:r>
            <w:proofErr w:type="spellStart"/>
            <w:r w:rsidRPr="0064361E">
              <w:rPr>
                <w:rFonts w:ascii="Times New Roman" w:eastAsia="Times New Roman" w:hAnsi="Times New Roman" w:cs="Times New Roman"/>
                <w:sz w:val="18"/>
                <w:szCs w:val="20"/>
              </w:rPr>
              <w:t>neurotechnology</w:t>
            </w:r>
            <w:proofErr w:type="spellEnd"/>
            <w:r w:rsidRPr="0064361E">
              <w:rPr>
                <w:rFonts w:ascii="Times New Roman" w:eastAsia="Times New Roman" w:hAnsi="Times New Roman" w:cs="Times New Roman"/>
                <w:sz w:val="18"/>
                <w:szCs w:val="20"/>
              </w:rPr>
              <w:t xml:space="preserve"> in a commercial setting.</w:t>
            </w:r>
          </w:p>
        </w:tc>
      </w:tr>
    </w:tbl>
    <w:p w14:paraId="3F1CCACE" w14:textId="3EBB270C" w:rsidR="004A2217" w:rsidRPr="004A2217" w:rsidRDefault="004A2217" w:rsidP="0064361E">
      <w:pPr>
        <w:spacing w:line="480" w:lineRule="auto"/>
        <w:rPr>
          <w:rFonts w:ascii="Times New Roman" w:eastAsia="Times New Roman" w:hAnsi="Times New Roman" w:cs="Times New Roman"/>
          <w:sz w:val="24"/>
          <w:szCs w:val="24"/>
        </w:rPr>
      </w:pPr>
    </w:p>
    <w:sectPr w:rsidR="004A2217" w:rsidRPr="004A2217" w:rsidSect="0064361E">
      <w:headerReference w:type="even" r:id="rId6"/>
      <w:headerReference w:type="default" r:id="rId7"/>
      <w:footerReference w:type="even" r:id="rId8"/>
      <w:footerReference w:type="default" r:id="rId9"/>
      <w:headerReference w:type="first" r:id="rId10"/>
      <w:footerReference w:type="first" r:id="rId11"/>
      <w:pgSz w:w="15840" w:h="12240" w:orient="landscape"/>
      <w:pgMar w:top="720"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A344A7" w14:textId="77777777" w:rsidR="0030048F" w:rsidRDefault="0030048F" w:rsidP="00CA3515">
      <w:pPr>
        <w:spacing w:line="240" w:lineRule="auto"/>
      </w:pPr>
      <w:r>
        <w:separator/>
      </w:r>
    </w:p>
  </w:endnote>
  <w:endnote w:type="continuationSeparator" w:id="0">
    <w:p w14:paraId="1C59EC85" w14:textId="77777777" w:rsidR="0030048F" w:rsidRDefault="0030048F" w:rsidP="00CA35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042AD" w14:textId="77777777" w:rsidR="00B70D7E" w:rsidRDefault="00B70D7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CEF8B" w14:textId="77777777" w:rsidR="00B70D7E" w:rsidRDefault="00B70D7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18249" w14:textId="77777777" w:rsidR="00B70D7E" w:rsidRDefault="00B70D7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194DC" w14:textId="77777777" w:rsidR="0030048F" w:rsidRDefault="0030048F" w:rsidP="00CA3515">
      <w:pPr>
        <w:spacing w:line="240" w:lineRule="auto"/>
      </w:pPr>
      <w:r>
        <w:separator/>
      </w:r>
    </w:p>
  </w:footnote>
  <w:footnote w:type="continuationSeparator" w:id="0">
    <w:p w14:paraId="6BF25908" w14:textId="77777777" w:rsidR="0030048F" w:rsidRDefault="0030048F" w:rsidP="00CA3515">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C4CF4" w14:textId="77777777" w:rsidR="00B70D7E" w:rsidRDefault="00B70D7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98029" w14:textId="77777777" w:rsidR="0064361E" w:rsidRPr="0064361E" w:rsidRDefault="0064361E" w:rsidP="0064361E">
    <w:pPr>
      <w:pStyle w:val="Header"/>
      <w:jc w:val="center"/>
      <w:rPr>
        <w:rFonts w:ascii="Times New Roman" w:hAnsi="Times New Roman" w:cs="Times New Roman"/>
        <w:sz w:val="24"/>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4F11F" w14:textId="31B0CFE1" w:rsidR="0064361E" w:rsidRPr="0064361E" w:rsidRDefault="00B70D7E" w:rsidP="0064361E">
    <w:pPr>
      <w:pStyle w:val="Header"/>
      <w:jc w:val="center"/>
      <w:rPr>
        <w:rFonts w:ascii="Times New Roman" w:hAnsi="Times New Roman" w:cs="Times New Roman"/>
        <w:sz w:val="24"/>
      </w:rPr>
    </w:pPr>
    <w:r>
      <w:rPr>
        <w:rFonts w:ascii="Times New Roman" w:hAnsi="Times New Roman" w:cs="Times New Roman"/>
      </w:rPr>
      <w:t>Supplemental File</w:t>
    </w:r>
    <w:r w:rsidRPr="0064361E">
      <w:rPr>
        <w:rFonts w:ascii="Times New Roman" w:hAnsi="Times New Roman" w:cs="Times New Roman"/>
        <w:sz w:val="24"/>
      </w:rPr>
      <w:t xml:space="preserve"> </w:t>
    </w:r>
    <w:bookmarkStart w:id="0" w:name="_GoBack"/>
    <w:bookmarkEnd w:id="0"/>
    <w:r w:rsidR="0064361E" w:rsidRPr="0064361E">
      <w:rPr>
        <w:rFonts w:ascii="Times New Roman" w:hAnsi="Times New Roman" w:cs="Times New Roman"/>
        <w:sz w:val="24"/>
      </w:rPr>
      <w:t>E</w:t>
    </w:r>
  </w:p>
  <w:p w14:paraId="78C32C77" w14:textId="77777777" w:rsidR="0064361E" w:rsidRPr="0064361E" w:rsidRDefault="0064361E" w:rsidP="0064361E">
    <w:pPr>
      <w:pStyle w:val="Header"/>
      <w:jc w:val="center"/>
      <w:rPr>
        <w:rFonts w:ascii="Times New Roman" w:hAnsi="Times New Roman" w:cs="Times New Roman"/>
        <w:sz w:val="24"/>
      </w:rPr>
    </w:pPr>
  </w:p>
  <w:p w14:paraId="728DDB3F" w14:textId="77777777" w:rsidR="0064361E" w:rsidRDefault="0064361E" w:rsidP="0064361E">
    <w:pPr>
      <w:pStyle w:val="Header"/>
      <w:jc w:val="center"/>
      <w:rPr>
        <w:rFonts w:ascii="Times New Roman" w:hAnsi="Times New Roman" w:cs="Times New Roman"/>
        <w:sz w:val="24"/>
      </w:rPr>
    </w:pPr>
    <w:r w:rsidRPr="0064361E">
      <w:rPr>
        <w:rFonts w:ascii="Times New Roman" w:hAnsi="Times New Roman" w:cs="Times New Roman"/>
        <w:sz w:val="24"/>
      </w:rPr>
      <w:t>Student Example of a Synthesis Matrix</w:t>
    </w:r>
  </w:p>
  <w:p w14:paraId="2C0C861C" w14:textId="77777777" w:rsidR="0064361E" w:rsidRPr="0064361E" w:rsidRDefault="0064361E" w:rsidP="00643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drawingGridHorizontalSpacing w:val="110"/>
  <w:drawingGridVerticalSpacing w:val="299"/>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A8D"/>
    <w:rsid w:val="0030048F"/>
    <w:rsid w:val="004A2217"/>
    <w:rsid w:val="005C5A8D"/>
    <w:rsid w:val="0064361E"/>
    <w:rsid w:val="009108CA"/>
    <w:rsid w:val="00915704"/>
    <w:rsid w:val="00AE7F4B"/>
    <w:rsid w:val="00B70D7E"/>
    <w:rsid w:val="00C86B8C"/>
    <w:rsid w:val="00CA3515"/>
    <w:rsid w:val="00CC7EED"/>
    <w:rsid w:val="00DE26B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288A4B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5C5A8D"/>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515"/>
    <w:pPr>
      <w:tabs>
        <w:tab w:val="center" w:pos="4680"/>
        <w:tab w:val="right" w:pos="9360"/>
      </w:tabs>
      <w:spacing w:line="240" w:lineRule="auto"/>
    </w:pPr>
  </w:style>
  <w:style w:type="character" w:customStyle="1" w:styleId="HeaderChar">
    <w:name w:val="Header Char"/>
    <w:basedOn w:val="DefaultParagraphFont"/>
    <w:link w:val="Header"/>
    <w:uiPriority w:val="99"/>
    <w:rsid w:val="00CA3515"/>
    <w:rPr>
      <w:rFonts w:ascii="Arial" w:eastAsia="Arial" w:hAnsi="Arial" w:cs="Arial"/>
      <w:sz w:val="22"/>
      <w:szCs w:val="22"/>
      <w:lang w:val="en"/>
    </w:rPr>
  </w:style>
  <w:style w:type="paragraph" w:styleId="Footer">
    <w:name w:val="footer"/>
    <w:basedOn w:val="Normal"/>
    <w:link w:val="FooterChar"/>
    <w:uiPriority w:val="99"/>
    <w:unhideWhenUsed/>
    <w:rsid w:val="00CA3515"/>
    <w:pPr>
      <w:tabs>
        <w:tab w:val="center" w:pos="4680"/>
        <w:tab w:val="right" w:pos="9360"/>
      </w:tabs>
      <w:spacing w:line="240" w:lineRule="auto"/>
    </w:pPr>
  </w:style>
  <w:style w:type="character" w:customStyle="1" w:styleId="FooterChar">
    <w:name w:val="Footer Char"/>
    <w:basedOn w:val="DefaultParagraphFont"/>
    <w:link w:val="Footer"/>
    <w:uiPriority w:val="99"/>
    <w:rsid w:val="00CA3515"/>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1150</Words>
  <Characters>5890</Characters>
  <Application>Microsoft Macintosh Word</Application>
  <DocSecurity>0</DocSecurity>
  <Lines>115</Lines>
  <Paragraphs>45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Parks, Ph.D.</dc:creator>
  <cp:keywords/>
  <dc:description/>
  <cp:lastModifiedBy>Emily Parks, Ph.D.</cp:lastModifiedBy>
  <cp:revision>4</cp:revision>
  <dcterms:created xsi:type="dcterms:W3CDTF">2020-01-21T17:26:00Z</dcterms:created>
  <dcterms:modified xsi:type="dcterms:W3CDTF">2020-03-26T18:27:00Z</dcterms:modified>
</cp:coreProperties>
</file>