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6A44A" w14:textId="043B9CD3" w:rsidR="00FA20B7" w:rsidRDefault="00FA20B7" w:rsidP="001B6357">
      <w:pPr>
        <w:ind w:firstLine="0"/>
        <w:jc w:val="center"/>
        <w:rPr>
          <w:b/>
          <w:bCs/>
        </w:rPr>
      </w:pPr>
      <w:r>
        <w:rPr>
          <w:b/>
          <w:bCs/>
        </w:rPr>
        <w:t>Supplementary Information</w:t>
      </w:r>
    </w:p>
    <w:p w14:paraId="167AAC5D" w14:textId="4AB1EF26" w:rsidR="002011F1" w:rsidRDefault="002011F1" w:rsidP="001B6357">
      <w:pPr>
        <w:ind w:firstLine="0"/>
        <w:rPr>
          <w:rFonts w:eastAsiaTheme="minorEastAsia"/>
          <w:b/>
          <w:bCs/>
        </w:rPr>
      </w:pPr>
      <w:r>
        <w:rPr>
          <w:rFonts w:eastAsiaTheme="minorEastAsia"/>
          <w:b/>
          <w:bCs/>
        </w:rPr>
        <w:t>Evolutionary dynamics</w:t>
      </w:r>
    </w:p>
    <w:p w14:paraId="1831123B" w14:textId="5434699D" w:rsidR="001B6357" w:rsidRDefault="003F5FDB" w:rsidP="001B6357">
      <w:pPr>
        <w:rPr>
          <w:rFonts w:eastAsiaTheme="minorEastAsia"/>
          <w:color w:val="000000"/>
        </w:rPr>
      </w:pPr>
      <w:r>
        <w:rPr>
          <w:rFonts w:eastAsiaTheme="minorEastAsia"/>
        </w:rPr>
        <w:t xml:space="preserve">To investigate the </w:t>
      </w:r>
      <w:r w:rsidR="00252CFB">
        <w:rPr>
          <w:rFonts w:eastAsiaTheme="minorEastAsia"/>
        </w:rPr>
        <w:t>selective benefits</w:t>
      </w:r>
      <w:r w:rsidR="001A2359">
        <w:rPr>
          <w:rFonts w:eastAsiaTheme="minorEastAsia"/>
        </w:rPr>
        <w:t xml:space="preserve"> of collectivism and its influence on cooperation, we </w:t>
      </w:r>
      <w:r w:rsidR="00252CFB">
        <w:rPr>
          <w:rFonts w:eastAsiaTheme="minorEastAsia"/>
        </w:rPr>
        <w:t>consider</w:t>
      </w:r>
      <w:r w:rsidR="001A2359">
        <w:rPr>
          <w:rFonts w:eastAsiaTheme="minorEastAsia"/>
        </w:rPr>
        <w:t xml:space="preserve"> the following evolutionary dynamics</w:t>
      </w:r>
      <w:r w:rsidR="009B3E4E">
        <w:rPr>
          <w:rFonts w:eastAsiaTheme="minorEastAsia"/>
        </w:rPr>
        <w:t xml:space="preserve"> in a finite population of </w:t>
      </w:r>
      <m:oMath>
        <m:r>
          <w:rPr>
            <w:rFonts w:ascii="Cambria Math" w:eastAsiaTheme="minorEastAsia" w:hAnsi="Cambria Math"/>
          </w:rPr>
          <m:t>N</m:t>
        </m:r>
      </m:oMath>
      <w:r w:rsidR="008B0AC8">
        <w:rPr>
          <w:rFonts w:eastAsiaTheme="minorEastAsia"/>
        </w:rPr>
        <w:t xml:space="preserve"> individuals, interacting through the Collective Risk Dilemma</w:t>
      </w:r>
      <w:r w:rsidR="00AE5757">
        <w:rPr>
          <w:rFonts w:eastAsiaTheme="minorEastAsia"/>
        </w:rPr>
        <w:t xml:space="preserve"> described below </w:t>
      </w:r>
      <w:sdt>
        <w:sdtPr>
          <w:rPr>
            <w:rFonts w:eastAsiaTheme="minorEastAsia"/>
            <w:color w:val="000000"/>
          </w:rPr>
          <w:tag w:val="MENDELEY_CITATION_v3_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"/>
          <w:id w:val="1185013193"/>
          <w:placeholder>
            <w:docPart w:val="DefaultPlaceholder_-1854013440"/>
          </w:placeholder>
        </w:sdtPr>
        <w:sdtEndPr/>
        <w:sdtContent>
          <w:r w:rsidR="00742CB7" w:rsidRPr="00742CB7">
            <w:rPr>
              <w:rFonts w:eastAsia="Times New Roman"/>
              <w:color w:val="000000"/>
            </w:rPr>
            <w:t>(see also Milinski et al., 2008; Santos &amp; Pacheco, 2011)</w:t>
          </w:r>
        </w:sdtContent>
      </w:sdt>
      <w:r w:rsidR="001A2359">
        <w:rPr>
          <w:rFonts w:eastAsiaTheme="minorEastAsia"/>
        </w:rPr>
        <w:t>.</w:t>
      </w:r>
      <w:r w:rsidR="00252CFB">
        <w:rPr>
          <w:rFonts w:eastAsiaTheme="minorEastAsia"/>
        </w:rPr>
        <w:t xml:space="preserve"> </w:t>
      </w:r>
      <w:r w:rsidR="0068478C">
        <w:rPr>
          <w:rFonts w:eastAsiaTheme="minorEastAsia"/>
        </w:rPr>
        <w:t>At the beginning of each simulation, the</w:t>
      </w:r>
      <w:r w:rsidR="002011F1">
        <w:rPr>
          <w:rFonts w:eastAsiaTheme="minorEastAsia"/>
        </w:rPr>
        <w:t xml:space="preserve"> population composed by an equal number of Cooperators and Defector</w:t>
      </w:r>
      <w:r>
        <w:rPr>
          <w:rFonts w:eastAsiaTheme="minorEastAsia"/>
        </w:rPr>
        <w:t xml:space="preserve"> and</w:t>
      </w:r>
      <w:r w:rsidR="002011F1">
        <w:rPr>
          <w:rFonts w:eastAsiaTheme="minorEastAsia"/>
        </w:rPr>
        <w:t xml:space="preserve"> an equal number of Individualists and Collectivists</w:t>
      </w:r>
      <w:r w:rsidR="00F11524">
        <w:rPr>
          <w:rFonts w:eastAsiaTheme="minorEastAsia"/>
        </w:rPr>
        <w:t xml:space="preserve"> (see section </w:t>
      </w:r>
      <w:r w:rsidR="00F11524" w:rsidRPr="00FF2E7D">
        <w:rPr>
          <w:rFonts w:eastAsiaTheme="minorEastAsia"/>
          <w:i/>
          <w:iCs/>
        </w:rPr>
        <w:t>Fixation Probabilities</w:t>
      </w:r>
      <w:r w:rsidR="00F11524">
        <w:rPr>
          <w:rFonts w:eastAsiaTheme="minorEastAsia"/>
        </w:rPr>
        <w:t xml:space="preserve"> for details)</w:t>
      </w:r>
      <w:r w:rsidR="002011F1">
        <w:rPr>
          <w:rFonts w:eastAsiaTheme="minorEastAsia"/>
        </w:rPr>
        <w:t>. These traits are assigned randomly and independently</w:t>
      </w:r>
      <w:r w:rsidR="00B32CDF">
        <w:rPr>
          <w:rFonts w:eastAsiaTheme="minorEastAsia"/>
        </w:rPr>
        <w:t xml:space="preserve"> from each other</w:t>
      </w:r>
      <w:r>
        <w:rPr>
          <w:rFonts w:eastAsiaTheme="minorEastAsia"/>
        </w:rPr>
        <w:t xml:space="preserve">, leading to an </w:t>
      </w:r>
      <w:r w:rsidR="00B32CDF">
        <w:rPr>
          <w:rFonts w:eastAsiaTheme="minorEastAsia"/>
        </w:rPr>
        <w:t xml:space="preserve">initial composition </w:t>
      </w:r>
      <w:r>
        <w:rPr>
          <w:rFonts w:eastAsiaTheme="minorEastAsia"/>
        </w:rPr>
        <w:t>of</w:t>
      </w:r>
      <w:r w:rsidR="00B32CDF">
        <w:rPr>
          <w:rFonts w:eastAsiaTheme="minorEastAsia"/>
        </w:rPr>
        <w:t xml:space="preserve"> (approximately) 25% individualists who cooperate, 25% individualists who defect, 25% collectivists who cooperate, and 25% collectivists who defect. We allow these frequencies to evolve </w:t>
      </w:r>
      <w:r w:rsidR="009B75B6">
        <w:rPr>
          <w:rFonts w:eastAsiaTheme="minorEastAsia"/>
        </w:rPr>
        <w:t>using the following algorithm</w:t>
      </w:r>
      <w:r w:rsidR="001B6357">
        <w:rPr>
          <w:rFonts w:eastAsiaTheme="minorEastAsia"/>
        </w:rPr>
        <w:t>,</w:t>
      </w:r>
      <w:r w:rsidR="009B75B6">
        <w:rPr>
          <w:rFonts w:eastAsiaTheme="minorEastAsia"/>
        </w:rPr>
        <w:t xml:space="preserve"> based on a pairwise imitation process </w:t>
      </w:r>
      <w:sdt>
        <w:sdtPr>
          <w:rPr>
            <w:rFonts w:eastAsiaTheme="minorEastAsia"/>
            <w:color w:val="000000"/>
          </w:rPr>
          <w:tag w:val="MENDELEY_CITATION_v3_eyJjaXRhdGlvbklEIjoiTUVOREVMRVlfQ0lUQVRJT05fOTUyODdkZWItOTM4Ni00ZGQ0LTliMjktYzMxODgwNWJiOThj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
          <w:id w:val="-1184130036"/>
          <w:placeholder>
            <w:docPart w:val="DefaultPlaceholder_-1854013440"/>
          </w:placeholder>
        </w:sdtPr>
        <w:sdtEndPr/>
        <w:sdtContent>
          <w:r w:rsidR="00742CB7" w:rsidRPr="00742CB7">
            <w:rPr>
              <w:rFonts w:eastAsiaTheme="minorEastAsia"/>
              <w:color w:val="000000"/>
            </w:rPr>
            <w:t>(Traulsen et al., 2006)</w:t>
          </w:r>
        </w:sdtContent>
      </w:sdt>
      <w:r w:rsidR="00C00867">
        <w:rPr>
          <w:rStyle w:val="FootnoteReference"/>
          <w:rFonts w:eastAsiaTheme="minorEastAsia"/>
          <w:color w:val="000000"/>
        </w:rPr>
        <w:footnoteReference w:id="1"/>
      </w:r>
      <w:r w:rsidR="00C00867">
        <w:rPr>
          <w:rFonts w:eastAsiaTheme="minorEastAsia"/>
        </w:rPr>
        <w:t xml:space="preserve">: </w:t>
      </w:r>
    </w:p>
    <w:p w14:paraId="4F3663D9" w14:textId="7ED4CA60" w:rsidR="00323733" w:rsidRPr="00DE1809" w:rsidRDefault="009B75B6" w:rsidP="001B6357">
      <w:r>
        <w:rPr>
          <w:rFonts w:eastAsiaTheme="minorEastAsia"/>
        </w:rPr>
        <w:t xml:space="preserve">Each iteration of the algorithm, a focal individual is randomly sampled from the population. </w:t>
      </w:r>
      <w:r w:rsidR="005001F6">
        <w:rPr>
          <w:rFonts w:eastAsiaTheme="minorEastAsia"/>
        </w:rPr>
        <w:t>Then, a “model” individual is randomly sampled either from the whole population (</w:t>
      </w:r>
      <w:r w:rsidR="00093E16">
        <w:rPr>
          <w:rFonts w:eastAsiaTheme="minorEastAsia"/>
        </w:rPr>
        <w:t>in simulations with a well-mixed population</w:t>
      </w:r>
      <w:r w:rsidR="005001F6">
        <w:rPr>
          <w:rFonts w:eastAsiaTheme="minorEastAsia"/>
        </w:rPr>
        <w:t xml:space="preserve">) or from the focal individual’s immediate neighborhood (if the population is structured). </w:t>
      </w:r>
      <w:r w:rsidR="0004254B">
        <w:rPr>
          <w:rFonts w:eastAsiaTheme="minorEastAsia"/>
        </w:rPr>
        <w:t xml:space="preserve">The </w:t>
      </w:r>
      <w:r w:rsidR="00F63F74">
        <w:rPr>
          <w:rFonts w:eastAsiaTheme="minorEastAsia"/>
        </w:rPr>
        <w:t>focal and model individuals then play a Collective Risk Dilemma</w:t>
      </w:r>
      <w:r w:rsidR="00014D0A">
        <w:rPr>
          <w:rFonts w:eastAsiaTheme="minorEastAsia"/>
        </w:rPr>
        <w:t xml:space="preserve"> (CRD)</w:t>
      </w:r>
      <w:r w:rsidR="00F63F74">
        <w:rPr>
          <w:rFonts w:eastAsiaTheme="minorEastAsia"/>
        </w:rPr>
        <w:t xml:space="preserve"> with their neighbors (in a structured population) or with other randomly sampled individuals (in a well-mixed population); the </w:t>
      </w:r>
      <w:r w:rsidR="0004254B">
        <w:rPr>
          <w:rFonts w:eastAsiaTheme="minorEastAsia"/>
        </w:rPr>
        <w:t xml:space="preserve">payoffs of the focal and model individuals </w:t>
      </w:r>
      <w:r w:rsidR="00D04062">
        <w:rPr>
          <w:rFonts w:eastAsiaTheme="minorEastAsia"/>
        </w:rPr>
        <w:t xml:space="preserve">depend on their </w:t>
      </w:r>
      <w:r w:rsidR="00323733">
        <w:rPr>
          <w:rFonts w:eastAsiaTheme="minorEastAsia"/>
        </w:rPr>
        <w:t xml:space="preserve">strategy as well as on the number of cooperators they interact with. </w:t>
      </w:r>
      <w:r w:rsidR="00014D0A">
        <w:rPr>
          <w:rFonts w:eastAsiaTheme="minorEastAsia"/>
        </w:rPr>
        <w:t>In the CRD considered, individuals are assumed to cooperate in order to preserve their endowments (</w:t>
      </w:r>
      <m:oMath>
        <m:r>
          <w:rPr>
            <w:rFonts w:ascii="Cambria Math" w:eastAsiaTheme="minorEastAsia" w:hAnsi="Cambria Math"/>
          </w:rPr>
          <m:t>b</m:t>
        </m:r>
      </m:oMath>
      <w:r w:rsidR="00014D0A">
        <w:rPr>
          <w:rFonts w:eastAsiaTheme="minorEastAsia"/>
        </w:rPr>
        <w:t xml:space="preserve">). Cooperation is costly: cooperators must contribute a fraction </w:t>
      </w:r>
      <m:oMath>
        <m:r>
          <w:rPr>
            <w:rFonts w:ascii="Cambria Math" w:eastAsiaTheme="minorEastAsia" w:hAnsi="Cambria Math"/>
          </w:rPr>
          <m:t>c</m:t>
        </m:r>
      </m:oMath>
      <w:r w:rsidR="00014D0A">
        <w:rPr>
          <w:rFonts w:eastAsiaTheme="minorEastAsia"/>
        </w:rPr>
        <w:t xml:space="preserve"> (</w:t>
      </w:r>
      <m:oMath>
        <m:r>
          <w:rPr>
            <w:rFonts w:ascii="Cambria Math" w:eastAsiaTheme="minorEastAsia" w:hAnsi="Cambria Math"/>
          </w:rPr>
          <m:t>0&lt;c&lt;1</m:t>
        </m:r>
      </m:oMath>
      <w:r w:rsidR="00014D0A">
        <w:rPr>
          <w:rFonts w:eastAsiaTheme="minorEastAsia"/>
        </w:rPr>
        <w:t xml:space="preserve">) of their endowment for the group to achieve collective success. Collective </w:t>
      </w:r>
      <w:r w:rsidR="00014D0A">
        <w:rPr>
          <w:rFonts w:eastAsiaTheme="minorEastAsia"/>
        </w:rPr>
        <w:lastRenderedPageBreak/>
        <w:t xml:space="preserve">success is achieved if a least </w:t>
      </w:r>
      <m:oMath>
        <m:r>
          <w:rPr>
            <w:rFonts w:ascii="Cambria Math" w:eastAsiaTheme="minorEastAsia" w:hAnsi="Cambria Math"/>
          </w:rPr>
          <m:t>M</m:t>
        </m:r>
      </m:oMath>
      <w:r w:rsidR="00014D0A">
        <w:rPr>
          <w:rFonts w:eastAsiaTheme="minorEastAsia"/>
        </w:rPr>
        <w:t xml:space="preserve"> individuals (out of </w:t>
      </w:r>
      <m:oMath>
        <m:r>
          <w:rPr>
            <w:rFonts w:ascii="Cambria Math" w:eastAsiaTheme="minorEastAsia" w:hAnsi="Cambria Math"/>
          </w:rPr>
          <m:t>N</m:t>
        </m:r>
      </m:oMath>
      <w:r w:rsidR="008C594D">
        <w:rPr>
          <w:rFonts w:eastAsiaTheme="minorEastAsia"/>
        </w:rPr>
        <w:t xml:space="preserve">, </w:t>
      </w:r>
      <m:oMath>
        <m:r>
          <w:rPr>
            <w:rFonts w:ascii="Cambria Math" w:eastAsiaTheme="minorEastAsia" w:hAnsi="Cambria Math"/>
          </w:rPr>
          <m:t>M≤K</m:t>
        </m:r>
      </m:oMath>
      <w:r w:rsidR="00014D0A">
        <w:rPr>
          <w:rFonts w:eastAsiaTheme="minorEastAsia"/>
        </w:rPr>
        <w:t xml:space="preserve">) cooperate. </w:t>
      </w:r>
      <w:r w:rsidR="004B2D6B">
        <w:rPr>
          <w:rFonts w:eastAsiaTheme="minorEastAsia"/>
        </w:rPr>
        <w:t>If collective success is achieved (</w:t>
      </w:r>
      <m:oMath>
        <m:r>
          <w:rPr>
            <w:rFonts w:ascii="Cambria Math" w:eastAsiaTheme="minorEastAsia" w:hAnsi="Cambria Math"/>
          </w:rPr>
          <m:t>k≥M</m:t>
        </m:r>
      </m:oMath>
      <w:r w:rsidR="004B2D6B">
        <w:rPr>
          <w:rFonts w:eastAsiaTheme="minorEastAsia"/>
        </w:rPr>
        <w:t>), all individuals in the group keep their endowment; conversely, if collective success is not achieved (</w:t>
      </w:r>
      <m:oMath>
        <m:r>
          <w:rPr>
            <w:rFonts w:ascii="Cambria Math" w:eastAsiaTheme="minorEastAsia" w:hAnsi="Cambria Math"/>
          </w:rPr>
          <m:t>k&lt;M</m:t>
        </m:r>
      </m:oMath>
      <w:r w:rsidR="004B2D6B">
        <w:rPr>
          <w:rFonts w:eastAsiaTheme="minorEastAsia"/>
        </w:rPr>
        <w:t xml:space="preserve">) individuals lose a fraction </w:t>
      </w:r>
      <m:oMath>
        <m:r>
          <w:rPr>
            <w:rFonts w:ascii="Cambria Math" w:eastAsiaTheme="minorEastAsia" w:hAnsi="Cambria Math"/>
          </w:rPr>
          <m:t>f</m:t>
        </m:r>
      </m:oMath>
      <w:r w:rsidR="004B2D6B">
        <w:rPr>
          <w:rFonts w:eastAsiaTheme="minorEastAsia"/>
        </w:rPr>
        <w:t xml:space="preserve"> of their endowment. As a result, </w:t>
      </w:r>
      <m:oMath>
        <m:r>
          <w:rPr>
            <w:rFonts w:ascii="Cambria Math" w:eastAsiaTheme="minorEastAsia" w:hAnsi="Cambria Math"/>
          </w:rPr>
          <m:t>f</m:t>
        </m:r>
      </m:oMath>
      <w:r w:rsidR="004B2D6B">
        <w:rPr>
          <w:rFonts w:eastAsiaTheme="minorEastAsia"/>
        </w:rPr>
        <w:t xml:space="preserve"> can conveniently be interpreted as a parameter controlling the extent to which individuals’ payoffs depend on others’ actions: </w:t>
      </w:r>
      <m:oMath>
        <m:r>
          <w:rPr>
            <w:rFonts w:ascii="Cambria Math" w:eastAsiaTheme="minorEastAsia" w:hAnsi="Cambria Math"/>
          </w:rPr>
          <m:t>f=1</m:t>
        </m:r>
      </m:oMath>
      <w:r w:rsidR="004B2D6B">
        <w:rPr>
          <w:rFonts w:eastAsiaTheme="minorEastAsia"/>
        </w:rPr>
        <w:t xml:space="preserve"> represents maximum mutual dependence, whereby sustaining endowments fully depends on others’ cooperation level and reaching collective success; </w:t>
      </w:r>
      <m:oMath>
        <m:r>
          <w:rPr>
            <w:rFonts w:ascii="Cambria Math" w:eastAsiaTheme="minorEastAsia" w:hAnsi="Cambria Math"/>
          </w:rPr>
          <m:t>f=0</m:t>
        </m:r>
      </m:oMath>
      <w:r w:rsidR="004B2D6B">
        <w:rPr>
          <w:rFonts w:eastAsiaTheme="minorEastAsia"/>
        </w:rPr>
        <w:t xml:space="preserve"> represents minimum </w:t>
      </w:r>
      <w:r w:rsidR="00EF2F3C">
        <w:rPr>
          <w:rFonts w:eastAsiaTheme="minorEastAsia"/>
        </w:rPr>
        <w:t xml:space="preserve">mutual dependence such that individual payoffs </w:t>
      </w:r>
      <w:r w:rsidR="00FF2E7D">
        <w:rPr>
          <w:rFonts w:eastAsiaTheme="minorEastAsia"/>
        </w:rPr>
        <w:t>do not depend on the</w:t>
      </w:r>
      <w:r w:rsidR="00EF2F3C">
        <w:rPr>
          <w:rFonts w:eastAsiaTheme="minorEastAsia"/>
        </w:rPr>
        <w:t xml:space="preserve"> cooperation </w:t>
      </w:r>
      <w:r w:rsidR="00FF2E7D">
        <w:rPr>
          <w:rFonts w:eastAsiaTheme="minorEastAsia"/>
        </w:rPr>
        <w:t>of other individuals</w:t>
      </w:r>
      <w:r w:rsidR="00EF2F3C">
        <w:rPr>
          <w:rStyle w:val="FootnoteReference"/>
          <w:rFonts w:eastAsiaTheme="minorEastAsia"/>
        </w:rPr>
        <w:footnoteReference w:id="2"/>
      </w:r>
      <w:r w:rsidR="00EF2F3C">
        <w:rPr>
          <w:rFonts w:eastAsiaTheme="minorEastAsia"/>
        </w:rPr>
        <w:t>.</w:t>
      </w:r>
      <w:r w:rsidR="004B2D6B">
        <w:rPr>
          <w:rFonts w:eastAsiaTheme="minorEastAsia"/>
        </w:rPr>
        <w:t xml:space="preserve"> </w:t>
      </w:r>
      <w:r w:rsidR="00062527">
        <w:rPr>
          <w:rFonts w:eastAsiaTheme="minorEastAsia"/>
        </w:rPr>
        <w:t>The payoffs of defectors and cooperators</w:t>
      </w:r>
      <w:r w:rsidR="00323733" w:rsidRPr="004A4B14">
        <w:rPr>
          <w:rFonts w:eastAsiaTheme="minorEastAsia"/>
        </w:rPr>
        <w:t xml:space="preserve"> in a group with exactly </w:t>
      </w:r>
      <m:oMath>
        <m:r>
          <w:rPr>
            <w:rFonts w:ascii="Cambria Math" w:eastAsiaTheme="minorEastAsia" w:hAnsi="Cambria Math"/>
          </w:rPr>
          <m:t>k</m:t>
        </m:r>
      </m:oMath>
      <w:r w:rsidR="00323733" w:rsidRPr="004A4B14">
        <w:rPr>
          <w:rFonts w:eastAsiaTheme="minorEastAsia"/>
        </w:rPr>
        <w:t xml:space="preserve"> cooperators</w:t>
      </w:r>
      <w:r w:rsidR="00062527">
        <w:rPr>
          <w:rFonts w:eastAsiaTheme="minorEastAsia"/>
        </w:rPr>
        <w:t xml:space="preserve">, </w:t>
      </w:r>
      <m:oMath>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D</m:t>
            </m:r>
          </m:sub>
        </m:sSub>
        <m:d>
          <m:dPr>
            <m:ctrlPr>
              <w:rPr>
                <w:rFonts w:ascii="Cambria Math" w:eastAsiaTheme="minorEastAsia" w:hAnsi="Cambria Math"/>
              </w:rPr>
            </m:ctrlPr>
          </m:dPr>
          <m:e>
            <m:r>
              <m:rPr>
                <m:sty m:val="p"/>
              </m:rPr>
              <w:rPr>
                <w:rFonts w:ascii="Cambria Math" w:eastAsiaTheme="minorEastAsia" w:hAnsi="Cambria Math"/>
              </w:rPr>
              <m:t>k</m:t>
            </m:r>
          </m:e>
        </m:d>
      </m:oMath>
      <w:r w:rsidR="00062527" w:rsidRPr="004A4B14">
        <w:rPr>
          <w:rFonts w:eastAsiaTheme="minorEastAsia"/>
        </w:rPr>
        <w:t xml:space="preserve"> and </w:t>
      </w:r>
      <m:oMath>
        <m:sSub>
          <m:sSubPr>
            <m:ctrlPr>
              <w:rPr>
                <w:rFonts w:ascii="Cambria Math" w:eastAsiaTheme="minorEastAsia" w:hAnsi="Cambria Math"/>
              </w:rPr>
            </m:ctrlPr>
          </m:sSubPr>
          <m:e>
            <m:r>
              <m:rPr>
                <m:sty m:val="p"/>
              </m:rPr>
              <w:rPr>
                <w:rFonts w:ascii="Cambria Math" w:eastAsiaTheme="minorEastAsia" w:hAnsi="Cambria Math"/>
              </w:rPr>
              <m:t>P</m:t>
            </m:r>
          </m:e>
          <m:sub>
            <m:r>
              <m:rPr>
                <m:sty m:val="p"/>
              </m:rPr>
              <w:rPr>
                <w:rFonts w:ascii="Cambria Math" w:eastAsiaTheme="minorEastAsia" w:hAnsi="Cambria Math"/>
              </w:rPr>
              <m:t>c</m:t>
            </m:r>
          </m:sub>
        </m:sSub>
        <m:d>
          <m:dPr>
            <m:ctrlPr>
              <w:rPr>
                <w:rFonts w:ascii="Cambria Math" w:eastAsiaTheme="minorEastAsia" w:hAnsi="Cambria Math"/>
              </w:rPr>
            </m:ctrlPr>
          </m:dPr>
          <m:e>
            <m:r>
              <m:rPr>
                <m:sty m:val="p"/>
              </m:rPr>
              <w:rPr>
                <w:rFonts w:ascii="Cambria Math" w:eastAsiaTheme="minorEastAsia" w:hAnsi="Cambria Math"/>
              </w:rPr>
              <m:t>k</m:t>
            </m:r>
          </m:e>
        </m:d>
      </m:oMath>
      <w:r w:rsidR="00062527">
        <w:rPr>
          <w:rFonts w:eastAsiaTheme="minorEastAsia"/>
        </w:rPr>
        <w:t>, are calculated as follows</w:t>
      </w:r>
      <w:r w:rsidR="00323733">
        <w:rPr>
          <w:rFonts w:eastAsiaTheme="minorEastAsia"/>
        </w:rPr>
        <w:t>:</w:t>
      </w:r>
    </w:p>
    <w:p w14:paraId="74A1603C" w14:textId="10E59664" w:rsidR="00323733" w:rsidRPr="00062527" w:rsidRDefault="004A2573" w:rsidP="001B6357">
      <w:pPr>
        <w:ind w:firstLine="0"/>
      </w:pPr>
      <m:oMathPara>
        <m:oMath>
          <m:sSub>
            <m:sSubPr>
              <m:ctrlPr>
                <w:rPr>
                  <w:rFonts w:ascii="Cambria Math" w:hAnsi="Cambria Math"/>
                  <w:i/>
                </w:rPr>
              </m:ctrlPr>
            </m:sSubPr>
            <m:e>
              <m:r>
                <w:rPr>
                  <w:rFonts w:ascii="Cambria Math" w:hAnsi="Cambria Math"/>
                </w:rPr>
                <m:t>P</m:t>
              </m:r>
            </m:e>
            <m:sub>
              <m:r>
                <w:rPr>
                  <w:rFonts w:ascii="Cambria Math" w:hAnsi="Cambria Math"/>
                </w:rPr>
                <m:t>D</m:t>
              </m:r>
            </m:sub>
          </m:sSub>
          <m:d>
            <m:dPr>
              <m:ctrlPr>
                <w:rPr>
                  <w:rFonts w:ascii="Cambria Math" w:hAnsi="Cambria Math"/>
                  <w:i/>
                </w:rPr>
              </m:ctrlPr>
            </m:dPr>
            <m:e>
              <m:r>
                <w:rPr>
                  <w:rFonts w:ascii="Cambria Math" w:hAnsi="Cambria Math"/>
                </w:rPr>
                <m:t>k</m:t>
              </m:r>
            </m:e>
          </m:d>
          <m:r>
            <m:rPr>
              <m:aln/>
            </m:rPr>
            <w:rPr>
              <w:rFonts w:ascii="Cambria Math" w:hAnsi="Cambria Math"/>
            </w:rPr>
            <m:t>=H</m:t>
          </m:r>
          <m:d>
            <m:dPr>
              <m:ctrlPr>
                <w:rPr>
                  <w:rFonts w:ascii="Cambria Math" w:hAnsi="Cambria Math"/>
                  <w:i/>
                </w:rPr>
              </m:ctrlPr>
            </m:dPr>
            <m:e>
              <m:r>
                <w:rPr>
                  <w:rFonts w:ascii="Cambria Math" w:hAnsi="Cambria Math"/>
                </w:rPr>
                <m:t>M-k</m:t>
              </m:r>
            </m:e>
          </m:d>
          <m:r>
            <w:rPr>
              <w:rFonts w:ascii="Cambria Math" w:hAnsi="Cambria Math"/>
            </w:rPr>
            <m:t>b+</m:t>
          </m:r>
          <m:d>
            <m:dPr>
              <m:begChr m:val="["/>
              <m:endChr m:val="]"/>
              <m:ctrlPr>
                <w:rPr>
                  <w:rFonts w:ascii="Cambria Math" w:hAnsi="Cambria Math"/>
                  <w:i/>
                </w:rPr>
              </m:ctrlPr>
            </m:dPr>
            <m:e>
              <m:r>
                <w:rPr>
                  <w:rFonts w:ascii="Cambria Math" w:hAnsi="Cambria Math"/>
                </w:rPr>
                <m:t>1-H</m:t>
              </m:r>
              <m:d>
                <m:dPr>
                  <m:ctrlPr>
                    <w:rPr>
                      <w:rFonts w:ascii="Cambria Math" w:hAnsi="Cambria Math"/>
                      <w:i/>
                    </w:rPr>
                  </m:ctrlPr>
                </m:dPr>
                <m:e>
                  <m:r>
                    <w:rPr>
                      <w:rFonts w:ascii="Cambria Math" w:hAnsi="Cambria Math"/>
                    </w:rPr>
                    <m:t>M-k</m:t>
                  </m:r>
                </m:e>
              </m:d>
            </m:e>
          </m:d>
          <m:d>
            <m:dPr>
              <m:ctrlPr>
                <w:rPr>
                  <w:rFonts w:ascii="Cambria Math" w:hAnsi="Cambria Math"/>
                  <w:i/>
                </w:rPr>
              </m:ctrlPr>
            </m:dPr>
            <m:e>
              <m:r>
                <w:rPr>
                  <w:rFonts w:ascii="Cambria Math" w:hAnsi="Cambria Math"/>
                </w:rPr>
                <m:t>1-f</m:t>
              </m:r>
            </m:e>
          </m:d>
          <m:r>
            <w:rPr>
              <w:rFonts w:ascii="Cambria Math" w:hAnsi="Cambria Math"/>
            </w:rPr>
            <m:t>b</m:t>
          </m:r>
          <m:r>
            <m:rPr>
              <m:sty m:val="p"/>
            </m:rPr>
            <w:rPr>
              <w:rFonts w:ascii="Cambria Math" w:hAnsi="Cambria Math"/>
            </w:rPr>
            <w:br/>
          </m:r>
        </m:oMath>
        <m:oMath>
          <m:sSub>
            <m:sSubPr>
              <m:ctrlPr>
                <w:rPr>
                  <w:rFonts w:ascii="Cambria Math" w:hAnsi="Cambria Math"/>
                  <w:i/>
                </w:rPr>
              </m:ctrlPr>
            </m:sSubPr>
            <m:e>
              <m:r>
                <w:rPr>
                  <w:rFonts w:ascii="Cambria Math" w:hAnsi="Cambria Math"/>
                </w:rPr>
                <m:t>P</m:t>
              </m:r>
            </m:e>
            <m:sub>
              <m:r>
                <w:rPr>
                  <w:rFonts w:ascii="Cambria Math" w:hAnsi="Cambria Math"/>
                </w:rPr>
                <m:t>C</m:t>
              </m:r>
            </m:sub>
          </m:sSub>
          <m:d>
            <m:dPr>
              <m:ctrlPr>
                <w:rPr>
                  <w:rFonts w:ascii="Cambria Math" w:hAnsi="Cambria Math"/>
                  <w:i/>
                </w:rPr>
              </m:ctrlPr>
            </m:dPr>
            <m:e>
              <m:r>
                <w:rPr>
                  <w:rFonts w:ascii="Cambria Math" w:hAnsi="Cambria Math"/>
                </w:rPr>
                <m:t>k</m:t>
              </m:r>
            </m:e>
          </m:d>
          <m:r>
            <w:rPr>
              <w:rFonts w:ascii="Cambria Math" w:hAnsi="Cambria Math"/>
            </w:rPr>
            <m:t>=</m:t>
          </m:r>
          <m:sSub>
            <m:sSubPr>
              <m:ctrlPr>
                <w:rPr>
                  <w:rFonts w:ascii="Cambria Math" w:hAnsi="Cambria Math"/>
                  <w:i/>
                </w:rPr>
              </m:ctrlPr>
            </m:sSubPr>
            <m:e>
              <m:r>
                <w:rPr>
                  <w:rFonts w:ascii="Cambria Math" w:hAnsi="Cambria Math"/>
                </w:rPr>
                <m:t>H</m:t>
              </m:r>
              <m:d>
                <m:dPr>
                  <m:ctrlPr>
                    <w:rPr>
                      <w:rFonts w:ascii="Cambria Math" w:hAnsi="Cambria Math"/>
                      <w:i/>
                    </w:rPr>
                  </m:ctrlPr>
                </m:dPr>
                <m:e>
                  <m:r>
                    <w:rPr>
                      <w:rFonts w:ascii="Cambria Math" w:hAnsi="Cambria Math"/>
                    </w:rPr>
                    <m:t>M-k</m:t>
                  </m:r>
                </m:e>
              </m:d>
              <m:r>
                <w:rPr>
                  <w:rFonts w:ascii="Cambria Math" w:hAnsi="Cambria Math"/>
                </w:rPr>
                <m:t>b+</m:t>
              </m:r>
              <m:d>
                <m:dPr>
                  <m:begChr m:val="["/>
                  <m:endChr m:val="]"/>
                  <m:ctrlPr>
                    <w:rPr>
                      <w:rFonts w:ascii="Cambria Math" w:hAnsi="Cambria Math"/>
                      <w:i/>
                    </w:rPr>
                  </m:ctrlPr>
                </m:dPr>
                <m:e>
                  <m:r>
                    <w:rPr>
                      <w:rFonts w:ascii="Cambria Math" w:hAnsi="Cambria Math"/>
                    </w:rPr>
                    <m:t>1-H</m:t>
                  </m:r>
                  <m:d>
                    <m:dPr>
                      <m:ctrlPr>
                        <w:rPr>
                          <w:rFonts w:ascii="Cambria Math" w:hAnsi="Cambria Math"/>
                          <w:i/>
                        </w:rPr>
                      </m:ctrlPr>
                    </m:dPr>
                    <m:e>
                      <m:r>
                        <w:rPr>
                          <w:rFonts w:ascii="Cambria Math" w:hAnsi="Cambria Math"/>
                        </w:rPr>
                        <m:t>M-k</m:t>
                      </m:r>
                    </m:e>
                  </m:d>
                </m:e>
              </m:d>
              <m:d>
                <m:dPr>
                  <m:ctrlPr>
                    <w:rPr>
                      <w:rFonts w:ascii="Cambria Math" w:hAnsi="Cambria Math"/>
                      <w:i/>
                    </w:rPr>
                  </m:ctrlPr>
                </m:dPr>
                <m:e>
                  <m:r>
                    <w:rPr>
                      <w:rFonts w:ascii="Cambria Math" w:hAnsi="Cambria Math"/>
                    </w:rPr>
                    <m:t>1-f</m:t>
                  </m:r>
                </m:e>
              </m:d>
              <m:r>
                <w:rPr>
                  <w:rFonts w:ascii="Cambria Math" w:hAnsi="Cambria Math"/>
                </w:rPr>
                <m:t>b-cb=P</m:t>
              </m:r>
            </m:e>
            <m:sub>
              <m:r>
                <w:rPr>
                  <w:rFonts w:ascii="Cambria Math" w:hAnsi="Cambria Math"/>
                </w:rPr>
                <m:t>D</m:t>
              </m:r>
            </m:sub>
          </m:sSub>
          <m:d>
            <m:dPr>
              <m:ctrlPr>
                <w:rPr>
                  <w:rFonts w:ascii="Cambria Math" w:hAnsi="Cambria Math"/>
                  <w:i/>
                </w:rPr>
              </m:ctrlPr>
            </m:dPr>
            <m:e>
              <m:r>
                <w:rPr>
                  <w:rFonts w:ascii="Cambria Math" w:hAnsi="Cambria Math"/>
                </w:rPr>
                <m:t>k</m:t>
              </m:r>
            </m:e>
          </m:d>
          <m:r>
            <w:rPr>
              <w:rFonts w:ascii="Cambria Math" w:hAnsi="Cambria Math"/>
            </w:rPr>
            <m:t>-cb</m:t>
          </m:r>
        </m:oMath>
      </m:oMathPara>
    </w:p>
    <w:p w14:paraId="6DF5C6EB" w14:textId="4D0CF532" w:rsidR="00323733" w:rsidRPr="00DD49D0" w:rsidRDefault="00323733" w:rsidP="001B6357">
      <w:pPr>
        <w:ind w:firstLine="0"/>
        <w:rPr>
          <w:rFonts w:eastAsiaTheme="minorEastAsia"/>
        </w:rPr>
      </w:pPr>
      <w:r w:rsidRPr="004A4B14">
        <w:t xml:space="preserve">Where </w:t>
      </w:r>
      <m:oMath>
        <m:r>
          <w:rPr>
            <w:rFonts w:ascii="Cambria Math" w:hAnsi="Cambria Math"/>
          </w:rPr>
          <m:t>H(x)</m:t>
        </m:r>
      </m:oMath>
      <w:r w:rsidRPr="004A4B14">
        <w:rPr>
          <w:rFonts w:eastAsiaTheme="minorEastAsia"/>
        </w:rPr>
        <w:t xml:space="preserve"> is the Heaviside function, which is equal to </w:t>
      </w:r>
      <m:oMath>
        <m:r>
          <w:rPr>
            <w:rFonts w:ascii="Cambria Math" w:eastAsiaTheme="minorEastAsia" w:hAnsi="Cambria Math"/>
          </w:rPr>
          <m:t>1</m:t>
        </m:r>
      </m:oMath>
      <w:r w:rsidRPr="004A4B14">
        <w:rPr>
          <w:rFonts w:eastAsiaTheme="minorEastAsia"/>
        </w:rPr>
        <w:t xml:space="preserve"> if </w:t>
      </w:r>
      <m:oMath>
        <m:r>
          <w:rPr>
            <w:rFonts w:ascii="Cambria Math" w:eastAsiaTheme="minorEastAsia" w:hAnsi="Cambria Math"/>
          </w:rPr>
          <m:t>x≥0</m:t>
        </m:r>
      </m:oMath>
      <w:r w:rsidRPr="004A4B14">
        <w:rPr>
          <w:rFonts w:eastAsiaTheme="minorEastAsia"/>
        </w:rPr>
        <w:t xml:space="preserve">, and </w:t>
      </w:r>
      <m:oMath>
        <m:r>
          <w:rPr>
            <w:rFonts w:ascii="Cambria Math" w:eastAsiaTheme="minorEastAsia" w:hAnsi="Cambria Math"/>
          </w:rPr>
          <m:t>0</m:t>
        </m:r>
      </m:oMath>
      <w:r w:rsidRPr="004A4B14">
        <w:rPr>
          <w:rFonts w:eastAsiaTheme="minorEastAsia"/>
        </w:rPr>
        <w:t xml:space="preserve"> otherwise.</w:t>
      </w:r>
      <w:r>
        <w:rPr>
          <w:rFonts w:eastAsiaTheme="minorEastAsia"/>
        </w:rPr>
        <w:t xml:space="preserve"> It follows that, in a group with </w:t>
      </w:r>
      <m:oMath>
        <m:r>
          <w:rPr>
            <w:rFonts w:ascii="Cambria Math" w:eastAsiaTheme="minorEastAsia" w:hAnsi="Cambria Math"/>
          </w:rPr>
          <m:t>k</m:t>
        </m:r>
      </m:oMath>
      <w:r>
        <w:rPr>
          <w:rFonts w:eastAsiaTheme="minorEastAsia"/>
        </w:rPr>
        <w:t xml:space="preserve"> cooperators, the payoff of defectors is always greater than the payoff of cooperators. Cooperators, however, are more likely to find themselves in a group that reaches the minimum threshold of cooperators.</w:t>
      </w:r>
      <w:r w:rsidR="00361F95">
        <w:rPr>
          <w:rFonts w:eastAsiaTheme="minorEastAsia"/>
        </w:rPr>
        <w:t xml:space="preserve"> </w:t>
      </w:r>
      <w:r w:rsidR="004A2573">
        <w:rPr>
          <w:rFonts w:eastAsiaTheme="minorEastAsia"/>
        </w:rPr>
        <w:t xml:space="preserve">Without loss of generality, throughout the paper we set </w:t>
      </w:r>
      <m:oMath>
        <m:r>
          <w:rPr>
            <w:rFonts w:ascii="Cambria Math" w:eastAsiaTheme="minorEastAsia" w:hAnsi="Cambria Math"/>
          </w:rPr>
          <m:t>b=1</m:t>
        </m:r>
      </m:oMath>
      <w:r w:rsidR="004A2573">
        <w:rPr>
          <w:rFonts w:eastAsiaTheme="minorEastAsia"/>
        </w:rPr>
        <w:t>.</w:t>
      </w:r>
    </w:p>
    <w:p w14:paraId="3C5E2B1E" w14:textId="396D6BE3" w:rsidR="005A418E" w:rsidRDefault="00062527" w:rsidP="001B6357">
      <w:pPr>
        <w:rPr>
          <w:rFonts w:eastAsiaTheme="minorEastAsia"/>
        </w:rPr>
      </w:pPr>
      <w:r>
        <w:rPr>
          <w:rFonts w:eastAsiaTheme="minorEastAsia"/>
        </w:rPr>
        <w:t>After the payoffs have been calculated,</w:t>
      </w:r>
      <w:r w:rsidR="007050E5">
        <w:rPr>
          <w:rFonts w:eastAsiaTheme="minorEastAsia"/>
        </w:rPr>
        <w:t xml:space="preserve"> the focal individual</w:t>
      </w:r>
      <w:r w:rsidR="00557C7F">
        <w:rPr>
          <w:rFonts w:eastAsiaTheme="minorEastAsia"/>
        </w:rPr>
        <w:t xml:space="preserve"> has a probability </w:t>
      </w:r>
      <m:oMath>
        <m:r>
          <w:rPr>
            <w:rFonts w:ascii="Cambria Math" w:eastAsiaTheme="minorEastAsia" w:hAnsi="Cambria Math"/>
          </w:rPr>
          <m:t>U</m:t>
        </m:r>
      </m:oMath>
      <w:r w:rsidR="00D47652">
        <w:rPr>
          <w:rFonts w:eastAsiaTheme="minorEastAsia"/>
        </w:rPr>
        <w:t xml:space="preserve"> to update </w:t>
      </w:r>
      <w:r w:rsidR="007050E5">
        <w:rPr>
          <w:rFonts w:eastAsiaTheme="minorEastAsia"/>
        </w:rPr>
        <w:t>the cultural norm that determines her social preference function (</w:t>
      </w:r>
      <w:r w:rsidR="007D4CBD">
        <w:rPr>
          <w:rFonts w:eastAsiaTheme="minorEastAsia"/>
        </w:rPr>
        <w:t xml:space="preserve">i.e., </w:t>
      </w:r>
      <w:r w:rsidR="00ED4909">
        <w:rPr>
          <w:rFonts w:eastAsiaTheme="minorEastAsia"/>
        </w:rPr>
        <w:t xml:space="preserve">whether the individual is an </w:t>
      </w:r>
      <w:r w:rsidR="007050E5">
        <w:rPr>
          <w:rFonts w:eastAsiaTheme="minorEastAsia"/>
        </w:rPr>
        <w:t>Individualist or</w:t>
      </w:r>
      <w:r w:rsidR="00ED4909">
        <w:rPr>
          <w:rFonts w:eastAsiaTheme="minorEastAsia"/>
        </w:rPr>
        <w:t xml:space="preserve"> a</w:t>
      </w:r>
      <w:r w:rsidR="007050E5">
        <w:rPr>
          <w:rFonts w:eastAsiaTheme="minorEastAsia"/>
        </w:rPr>
        <w:t xml:space="preserve"> Collectivist; see </w:t>
      </w:r>
      <w:r w:rsidR="0022639F">
        <w:rPr>
          <w:rFonts w:eastAsiaTheme="minorEastAsia"/>
        </w:rPr>
        <w:t xml:space="preserve">also “Social Preference Function” subsection </w:t>
      </w:r>
      <w:r w:rsidR="007050E5">
        <w:rPr>
          <w:rFonts w:eastAsiaTheme="minorEastAsia"/>
        </w:rPr>
        <w:t>below)</w:t>
      </w:r>
      <w:r w:rsidR="005A418E">
        <w:rPr>
          <w:rFonts w:eastAsiaTheme="minorEastAsia"/>
        </w:rPr>
        <w:t xml:space="preserve"> and a probability </w:t>
      </w:r>
      <m:oMath>
        <m:r>
          <w:rPr>
            <w:rFonts w:ascii="Cambria Math" w:eastAsiaTheme="minorEastAsia" w:hAnsi="Cambria Math"/>
          </w:rPr>
          <m:t>1-U</m:t>
        </m:r>
      </m:oMath>
      <w:r w:rsidR="005A418E">
        <w:rPr>
          <w:rFonts w:eastAsiaTheme="minorEastAsia"/>
        </w:rPr>
        <w:t xml:space="preserve"> to update her strategy (Cooperate or Defect)</w:t>
      </w:r>
      <w:r w:rsidR="007050E5">
        <w:rPr>
          <w:rFonts w:eastAsiaTheme="minorEastAsia"/>
        </w:rPr>
        <w:t>.</w:t>
      </w:r>
      <w:r w:rsidR="00E145C8">
        <w:rPr>
          <w:rFonts w:eastAsiaTheme="minorEastAsia"/>
        </w:rPr>
        <w:t xml:space="preserve"> When</w:t>
      </w:r>
      <w:r w:rsidR="00C8614C">
        <w:rPr>
          <w:rFonts w:eastAsiaTheme="minorEastAsia"/>
        </w:rPr>
        <w:t xml:space="preserve"> an individual updates her strategy, she bases her decision on her social preference function, which depends on the degree of collectivism </w:t>
      </w:r>
      <m:oMath>
        <m:r>
          <w:rPr>
            <w:rFonts w:ascii="Cambria Math" w:eastAsiaTheme="minorEastAsia" w:hAnsi="Cambria Math"/>
          </w:rPr>
          <m:t>η</m:t>
        </m:r>
      </m:oMath>
      <w:r w:rsidR="00C8614C">
        <w:rPr>
          <w:rFonts w:eastAsiaTheme="minorEastAsia"/>
        </w:rPr>
        <w:t xml:space="preserve">. </w:t>
      </w:r>
      <w:r w:rsidR="005A418E">
        <w:rPr>
          <w:rFonts w:eastAsiaTheme="minorEastAsia"/>
        </w:rPr>
        <w:t>S</w:t>
      </w:r>
      <w:r w:rsidR="001A7C76">
        <w:rPr>
          <w:rFonts w:eastAsiaTheme="minorEastAsia"/>
        </w:rPr>
        <w:t xml:space="preserve">trategic decisions are also </w:t>
      </w:r>
      <w:r w:rsidR="001A7C76">
        <w:rPr>
          <w:rFonts w:eastAsiaTheme="minorEastAsia"/>
        </w:rPr>
        <w:lastRenderedPageBreak/>
        <w:t>subjected to random changes (i.e., mutation)</w:t>
      </w:r>
      <w:r w:rsidR="008751BE">
        <w:rPr>
          <w:rFonts w:eastAsiaTheme="minorEastAsia"/>
        </w:rPr>
        <w:t xml:space="preserve"> with probability </w:t>
      </w:r>
      <m:oMath>
        <m:r>
          <w:rPr>
            <w:rFonts w:ascii="Cambria Math" w:eastAsiaTheme="minorEastAsia" w:hAnsi="Cambria Math"/>
          </w:rPr>
          <m:t>μ</m:t>
        </m:r>
      </m:oMath>
      <w:r w:rsidR="008751BE">
        <w:rPr>
          <w:rFonts w:eastAsiaTheme="minorEastAsia"/>
        </w:rPr>
        <w:t xml:space="preserve">, </w:t>
      </w:r>
      <w:r w:rsidR="00BD5586">
        <w:rPr>
          <w:rFonts w:eastAsiaTheme="minorEastAsia"/>
        </w:rPr>
        <w:t>causing the focal</w:t>
      </w:r>
      <w:r w:rsidR="008751BE">
        <w:rPr>
          <w:rFonts w:eastAsiaTheme="minorEastAsia"/>
        </w:rPr>
        <w:t xml:space="preserve"> individual </w:t>
      </w:r>
      <w:r w:rsidR="00BD5586">
        <w:rPr>
          <w:rFonts w:eastAsiaTheme="minorEastAsia"/>
        </w:rPr>
        <w:t>to change</w:t>
      </w:r>
      <w:r w:rsidR="008751BE">
        <w:rPr>
          <w:rFonts w:eastAsiaTheme="minorEastAsia"/>
        </w:rPr>
        <w:t xml:space="preserve"> </w:t>
      </w:r>
      <w:r w:rsidR="00BD5586">
        <w:rPr>
          <w:rFonts w:eastAsiaTheme="minorEastAsia"/>
        </w:rPr>
        <w:t>her</w:t>
      </w:r>
      <w:r w:rsidR="008751BE">
        <w:rPr>
          <w:rFonts w:eastAsiaTheme="minorEastAsia"/>
        </w:rPr>
        <w:t xml:space="preserve"> strategy regardless of the model individual’s</w:t>
      </w:r>
      <w:r w:rsidR="006F0F45">
        <w:rPr>
          <w:rFonts w:eastAsiaTheme="minorEastAsia"/>
        </w:rPr>
        <w:t xml:space="preserve"> strategy or payoffs. </w:t>
      </w:r>
    </w:p>
    <w:p w14:paraId="4B43DDAC" w14:textId="77777777" w:rsidR="00F11524" w:rsidRDefault="006F0F45" w:rsidP="001B6357">
      <w:pPr>
        <w:rPr>
          <w:rFonts w:eastAsiaTheme="minorEastAsia"/>
        </w:rPr>
      </w:pPr>
      <w:r>
        <w:rPr>
          <w:rFonts w:eastAsiaTheme="minorEastAsia"/>
        </w:rPr>
        <w:t>Unlike strategic decisions to cooperate or defect, which are based on the social preference function, decisions</w:t>
      </w:r>
      <w:r w:rsidR="00C8614C">
        <w:rPr>
          <w:rFonts w:eastAsiaTheme="minorEastAsia"/>
        </w:rPr>
        <w:t xml:space="preserve"> to adopt a different cultural norm are only based on</w:t>
      </w:r>
      <w:r w:rsidR="0022639F">
        <w:rPr>
          <w:rFonts w:eastAsiaTheme="minorEastAsia"/>
        </w:rPr>
        <w:t xml:space="preserve"> the payoff difference between focal and model individuals. In both cases, the probability that the focal individual imitates the model’s strategy or behavior follows a Fermi distribution (see “Imitation Probability” subsection below).</w:t>
      </w:r>
      <w:r w:rsidR="004732A0">
        <w:rPr>
          <w:rFonts w:eastAsiaTheme="minorEastAsia"/>
        </w:rPr>
        <w:t xml:space="preserve"> </w:t>
      </w:r>
    </w:p>
    <w:p w14:paraId="1AB1576F" w14:textId="77777777" w:rsidR="00F11524" w:rsidRPr="002B6B0C" w:rsidRDefault="00F11524" w:rsidP="00F11524">
      <w:pPr>
        <w:rPr>
          <w:rFonts w:eastAsiaTheme="minorEastAsia"/>
          <w:i/>
          <w:iCs/>
        </w:rPr>
      </w:pPr>
    </w:p>
    <w:p w14:paraId="03D5F5F3" w14:textId="1C5156B7" w:rsidR="00F11524" w:rsidRPr="00FF2E7D" w:rsidRDefault="00F11524" w:rsidP="00FF2E7D">
      <w:pPr>
        <w:ind w:firstLine="0"/>
        <w:rPr>
          <w:rFonts w:eastAsiaTheme="minorEastAsia"/>
          <w:b/>
          <w:bCs/>
          <w:i/>
          <w:iCs/>
        </w:rPr>
      </w:pPr>
      <w:r w:rsidRPr="00FF2E7D">
        <w:rPr>
          <w:rFonts w:eastAsiaTheme="minorEastAsia"/>
          <w:b/>
          <w:bCs/>
          <w:i/>
          <w:iCs/>
        </w:rPr>
        <w:t>Fixation Probabilities</w:t>
      </w:r>
    </w:p>
    <w:p w14:paraId="1388FCFB" w14:textId="4C68E1D4" w:rsidR="00060352" w:rsidRDefault="00194C6C" w:rsidP="001B6357">
      <w:pPr>
        <w:rPr>
          <w:rFonts w:eastAsiaTheme="minorEastAsia"/>
        </w:rPr>
      </w:pPr>
      <w:r>
        <w:rPr>
          <w:rFonts w:eastAsiaTheme="minorEastAsia"/>
        </w:rPr>
        <w:t xml:space="preserve">As we do not consider mutations in cultural norms, each simulation </w:t>
      </w:r>
      <w:r w:rsidR="000E366A">
        <w:rPr>
          <w:rFonts w:eastAsiaTheme="minorEastAsia"/>
        </w:rPr>
        <w:t xml:space="preserve">starting </w:t>
      </w:r>
      <w:r>
        <w:rPr>
          <w:rFonts w:eastAsiaTheme="minorEastAsia"/>
        </w:rPr>
        <w:t>with a dimorphic population converges to a</w:t>
      </w:r>
      <w:r w:rsidR="000E366A">
        <w:rPr>
          <w:rFonts w:eastAsiaTheme="minorEastAsia"/>
        </w:rPr>
        <w:t>n absorbing</w:t>
      </w:r>
      <w:r>
        <w:rPr>
          <w:rFonts w:eastAsiaTheme="minorEastAsia"/>
        </w:rPr>
        <w:t xml:space="preserve"> state where either collectivism or individualism is fixed. We iterate the algorithm described </w:t>
      </w:r>
      <w:r w:rsidR="006306ED">
        <w:rPr>
          <w:rFonts w:eastAsiaTheme="minorEastAsia"/>
        </w:rPr>
        <w:t xml:space="preserve">in section </w:t>
      </w:r>
      <w:r w:rsidR="00FF2E7D">
        <w:rPr>
          <w:rFonts w:eastAsiaTheme="minorEastAsia"/>
        </w:rPr>
        <w:t>“Evolutionary</w:t>
      </w:r>
      <w:r w:rsidR="006306ED">
        <w:rPr>
          <w:rFonts w:eastAsiaTheme="minorEastAsia"/>
        </w:rPr>
        <w:t xml:space="preserve"> Dynamics</w:t>
      </w:r>
      <w:r w:rsidR="00FF2E7D">
        <w:rPr>
          <w:rFonts w:eastAsiaTheme="minorEastAsia"/>
        </w:rPr>
        <w:t>”</w:t>
      </w:r>
      <w:r w:rsidR="006306ED">
        <w:rPr>
          <w:rFonts w:eastAsiaTheme="minorEastAsia"/>
        </w:rPr>
        <w:t xml:space="preserve"> </w:t>
      </w:r>
      <w:r>
        <w:rPr>
          <w:rFonts w:eastAsiaTheme="minorEastAsia"/>
        </w:rPr>
        <w:t>until a cultural norm reaches fixation</w:t>
      </w:r>
      <w:r w:rsidR="00066FAB">
        <w:rPr>
          <w:rFonts w:eastAsiaTheme="minorEastAsia"/>
        </w:rPr>
        <w:t xml:space="preserve">. We calculate the </w:t>
      </w:r>
      <w:r w:rsidR="000E366A">
        <w:rPr>
          <w:rFonts w:eastAsiaTheme="minorEastAsia"/>
        </w:rPr>
        <w:t xml:space="preserve">fixation </w:t>
      </w:r>
      <w:r w:rsidR="00066FAB">
        <w:rPr>
          <w:rFonts w:eastAsiaTheme="minorEastAsia"/>
        </w:rPr>
        <w:t xml:space="preserve">probability </w:t>
      </w:r>
      <w:r w:rsidR="000E366A">
        <w:rPr>
          <w:rFonts w:eastAsiaTheme="minorEastAsia"/>
        </w:rPr>
        <w:t xml:space="preserve">of </w:t>
      </w:r>
      <w:r w:rsidR="00066FAB">
        <w:rPr>
          <w:rFonts w:eastAsiaTheme="minorEastAsia"/>
        </w:rPr>
        <w:t xml:space="preserve">collectivism as the number of simulations where </w:t>
      </w:r>
      <w:r w:rsidR="00066FAB" w:rsidRPr="00CF20A9">
        <w:rPr>
          <w:rFonts w:eastAsiaTheme="minorEastAsia"/>
        </w:rPr>
        <w:t>collectivism spreads to fixation divided by the total number of simulations with a given set of parameters</w:t>
      </w:r>
      <w:r w:rsidR="000E366A" w:rsidRPr="00CF20A9">
        <w:rPr>
          <w:rFonts w:eastAsiaTheme="minorEastAsia"/>
        </w:rPr>
        <w:t xml:space="preserve">, starting from </w:t>
      </w:r>
      <w:r w:rsidR="005F4A90" w:rsidRPr="00CF20A9">
        <w:rPr>
          <w:rFonts w:eastAsiaTheme="minorEastAsia"/>
        </w:rPr>
        <w:t>a state where individualists (</w:t>
      </w:r>
      <m:oMath>
        <m:r>
          <w:rPr>
            <w:rFonts w:ascii="Cambria Math" w:eastAsiaTheme="minorEastAsia" w:hAnsi="Cambria Math"/>
          </w:rPr>
          <m:t>η=0</m:t>
        </m:r>
      </m:oMath>
      <w:r w:rsidR="005F4A90" w:rsidRPr="00CF20A9">
        <w:rPr>
          <w:rFonts w:eastAsiaTheme="minorEastAsia"/>
        </w:rPr>
        <w:t>) and collectivists (</w:t>
      </w:r>
      <m:oMath>
        <m:r>
          <w:rPr>
            <w:rFonts w:ascii="Cambria Math" w:eastAsiaTheme="minorEastAsia" w:hAnsi="Cambria Math"/>
          </w:rPr>
          <m:t>η=0.5</m:t>
        </m:r>
      </m:oMath>
      <w:r w:rsidR="005F4A90" w:rsidRPr="00CF20A9">
        <w:rPr>
          <w:rFonts w:eastAsiaTheme="minorEastAsia"/>
        </w:rPr>
        <w:t xml:space="preserve">) are equally present. Technically, </w:t>
      </w:r>
      <w:r w:rsidR="00643A09" w:rsidRPr="00CF20A9">
        <w:rPr>
          <w:rFonts w:eastAsiaTheme="minorEastAsia"/>
        </w:rPr>
        <w:t xml:space="preserve">if we use </w:t>
      </w:r>
      <m:oMath>
        <m:r>
          <w:rPr>
            <w:rFonts w:ascii="Cambria Math" w:eastAsiaTheme="minorEastAsia" w:hAnsi="Cambria Math"/>
          </w:rPr>
          <m:t>i</m:t>
        </m:r>
      </m:oMath>
      <w:r w:rsidR="00643A09" w:rsidRPr="00CF20A9">
        <w:rPr>
          <w:rFonts w:eastAsiaTheme="minorEastAsia"/>
        </w:rPr>
        <w:t xml:space="preserve"> to denote the number of collectivists (in a population of size </w:t>
      </w:r>
      <m:oMath>
        <m:r>
          <w:rPr>
            <w:rFonts w:ascii="Cambria Math" w:eastAsiaTheme="minorEastAsia" w:hAnsi="Cambria Math"/>
          </w:rPr>
          <m:t>N</m:t>
        </m:r>
      </m:oMath>
      <w:r w:rsidR="00643A09" w:rsidRPr="00CF20A9">
        <w:rPr>
          <w:rFonts w:eastAsiaTheme="minorEastAsia"/>
        </w:rPr>
        <w:t>), then we are computing</w:t>
      </w:r>
      <w:r w:rsidR="00EB1236" w:rsidRPr="00CF20A9">
        <w:rPr>
          <w:rFonts w:eastAsiaTheme="minorEastAsia"/>
        </w:rPr>
        <w:t>,</w:t>
      </w:r>
      <w:r w:rsidR="00643A09" w:rsidRPr="00CF20A9">
        <w:rPr>
          <w:rFonts w:eastAsiaTheme="minorEastAsia"/>
        </w:rPr>
        <w:t xml:space="preserve"> numerically</w:t>
      </w:r>
      <w:r w:rsidR="00EB1236" w:rsidRPr="00CF20A9">
        <w:rPr>
          <w:rFonts w:eastAsiaTheme="minorEastAsia"/>
        </w:rPr>
        <w:t>,</w:t>
      </w:r>
      <w:r w:rsidR="00643A09" w:rsidRPr="00CF20A9">
        <w:rPr>
          <w:rFonts w:eastAsiaTheme="minorEastAsia"/>
        </w:rPr>
        <w:t xml:space="preserve"> the absorption probability from state </w:t>
      </w:r>
      <m:oMath>
        <m:r>
          <w:rPr>
            <w:rFonts w:ascii="Cambria Math" w:eastAsiaTheme="minorEastAsia" w:hAnsi="Cambria Math"/>
          </w:rPr>
          <m:t>i=N/2</m:t>
        </m:r>
      </m:oMath>
      <w:r w:rsidR="00643A09" w:rsidRPr="00CF20A9">
        <w:rPr>
          <w:rFonts w:eastAsiaTheme="minorEastAsia"/>
        </w:rPr>
        <w:t xml:space="preserve"> to absorbing states </w:t>
      </w:r>
      <m:oMath>
        <m:r>
          <w:rPr>
            <w:rFonts w:ascii="Cambria Math" w:eastAsiaTheme="minorEastAsia" w:hAnsi="Cambria Math"/>
          </w:rPr>
          <m:t>i=0</m:t>
        </m:r>
      </m:oMath>
      <w:r w:rsidR="00643A09" w:rsidRPr="00CF20A9">
        <w:rPr>
          <w:rFonts w:eastAsiaTheme="minorEastAsia"/>
        </w:rPr>
        <w:t xml:space="preserve"> or </w:t>
      </w:r>
      <m:oMath>
        <m:r>
          <w:rPr>
            <w:rFonts w:ascii="Cambria Math" w:eastAsiaTheme="minorEastAsia" w:hAnsi="Cambria Math"/>
          </w:rPr>
          <m:t>i=N</m:t>
        </m:r>
      </m:oMath>
      <w:r w:rsidR="00643A09" w:rsidRPr="00CF20A9">
        <w:rPr>
          <w:rFonts w:eastAsiaTheme="minorEastAsia"/>
        </w:rPr>
        <w:t xml:space="preserve">. </w:t>
      </w:r>
      <w:r w:rsidR="00CF20A9" w:rsidRPr="00CF20A9">
        <w:rPr>
          <w:rFonts w:eastAsiaTheme="minorEastAsia"/>
        </w:rPr>
        <w:t>This differs from traditional approaches where fixation probabilities are computed as the absorption probability of a mutant strategy in a population otherwise composed of</w:t>
      </w:r>
      <w:r w:rsidR="00CF20A9">
        <w:rPr>
          <w:rFonts w:eastAsiaTheme="minorEastAsia"/>
        </w:rPr>
        <w:t xml:space="preserve"> a resident strategy (e.g., absorption probability to </w:t>
      </w:r>
      <m:oMath>
        <m:r>
          <w:rPr>
            <w:rFonts w:ascii="Cambria Math" w:eastAsiaTheme="minorEastAsia" w:hAnsi="Cambria Math"/>
          </w:rPr>
          <m:t>i=N</m:t>
        </m:r>
      </m:oMath>
      <w:r w:rsidR="00CF20A9">
        <w:rPr>
          <w:rFonts w:eastAsiaTheme="minorEastAsia"/>
        </w:rPr>
        <w:t xml:space="preserve"> from </w:t>
      </w:r>
      <m:oMath>
        <m:r>
          <w:rPr>
            <w:rFonts w:ascii="Cambria Math" w:eastAsiaTheme="minorEastAsia" w:hAnsi="Cambria Math"/>
          </w:rPr>
          <m:t>i=1</m:t>
        </m:r>
      </m:oMath>
      <w:r w:rsidR="00CF20A9">
        <w:rPr>
          <w:rFonts w:eastAsiaTheme="minorEastAsia"/>
        </w:rPr>
        <w:t>)</w:t>
      </w:r>
      <w:r w:rsidR="00E74B81">
        <w:rPr>
          <w:rFonts w:eastAsiaTheme="minorEastAsia"/>
        </w:rPr>
        <w:t xml:space="preserve"> </w:t>
      </w:r>
      <w:sdt>
        <w:sdtPr>
          <w:rPr>
            <w:color w:val="000000"/>
          </w:rPr>
          <w:tag w:val="MENDELEY_CITATION_v3_eyJjaXRhdGlvbklEIjoiTUVOREVMRVlfQ0lUQVRJT05fNTUzMzdjNDYtYjIwYy00YjZlLThlYzAtNmQ0YTczZjc1ODUw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
          <w:id w:val="-491947506"/>
          <w:placeholder>
            <w:docPart w:val="13782420DBD9584A9E1CC1728E5E1BC0"/>
          </w:placeholder>
        </w:sdtPr>
        <w:sdtEndPr/>
        <w:sdtContent>
          <w:r w:rsidR="00E74B81" w:rsidRPr="00742CB7">
            <w:rPr>
              <w:color w:val="000000"/>
            </w:rPr>
            <w:t>(Traulsen et al., 2006)</w:t>
          </w:r>
        </w:sdtContent>
      </w:sdt>
      <w:r w:rsidR="00CF20A9">
        <w:rPr>
          <w:rFonts w:eastAsiaTheme="minorEastAsia"/>
        </w:rPr>
        <w:t xml:space="preserve">. </w:t>
      </w:r>
      <w:r w:rsidR="00490157">
        <w:rPr>
          <w:rFonts w:eastAsiaTheme="minorEastAsia"/>
        </w:rPr>
        <w:t xml:space="preserve">Here we focus on absorption probabilities from </w:t>
      </w:r>
      <m:oMath>
        <m:r>
          <w:rPr>
            <w:rFonts w:ascii="Cambria Math" w:eastAsiaTheme="minorEastAsia" w:hAnsi="Cambria Math"/>
          </w:rPr>
          <m:t>i=N/2</m:t>
        </m:r>
      </m:oMath>
      <w:r w:rsidR="00490157">
        <w:rPr>
          <w:rFonts w:eastAsiaTheme="minorEastAsia"/>
        </w:rPr>
        <w:t xml:space="preserve"> to have a </w:t>
      </w:r>
      <w:r w:rsidR="00E74B81">
        <w:rPr>
          <w:rFonts w:eastAsiaTheme="minorEastAsia"/>
        </w:rPr>
        <w:t>simpler</w:t>
      </w:r>
      <w:r w:rsidR="00490157">
        <w:rPr>
          <w:rFonts w:eastAsiaTheme="minorEastAsia"/>
        </w:rPr>
        <w:t xml:space="preserve"> characterization of </w:t>
      </w:r>
      <w:r w:rsidR="00E74B81">
        <w:rPr>
          <w:rFonts w:eastAsiaTheme="minorEastAsia"/>
        </w:rPr>
        <w:t>environments where</w:t>
      </w:r>
      <w:r w:rsidR="00490157">
        <w:rPr>
          <w:rFonts w:eastAsiaTheme="minorEastAsia"/>
        </w:rPr>
        <w:t xml:space="preserve"> </w:t>
      </w:r>
      <w:r w:rsidR="00E74B81">
        <w:rPr>
          <w:rFonts w:eastAsiaTheme="minorEastAsia"/>
        </w:rPr>
        <w:t>collectivism/individualism are</w:t>
      </w:r>
      <w:r w:rsidR="00490157">
        <w:rPr>
          <w:rFonts w:eastAsiaTheme="minorEastAsia"/>
        </w:rPr>
        <w:t xml:space="preserve"> likely to be favored, without diving deeper into population size effects or the existence of polymorphic </w:t>
      </w:r>
      <w:r w:rsidR="00FA4A4E">
        <w:rPr>
          <w:rFonts w:eastAsiaTheme="minorEastAsia"/>
        </w:rPr>
        <w:t>(</w:t>
      </w:r>
      <w:r w:rsidR="00E74B81" w:rsidRPr="00FF2E7D">
        <w:rPr>
          <w:rFonts w:eastAsiaTheme="minorEastAsia"/>
          <w:i/>
          <w:iCs/>
        </w:rPr>
        <w:t>stable</w:t>
      </w:r>
      <w:r w:rsidR="00FA4A4E">
        <w:rPr>
          <w:rFonts w:eastAsiaTheme="minorEastAsia"/>
        </w:rPr>
        <w:t>)</w:t>
      </w:r>
      <w:r w:rsidR="00E74B81">
        <w:rPr>
          <w:rFonts w:eastAsiaTheme="minorEastAsia"/>
        </w:rPr>
        <w:t xml:space="preserve"> states. </w:t>
      </w:r>
      <w:r w:rsidR="00FA4A4E">
        <w:rPr>
          <w:rFonts w:eastAsiaTheme="minorEastAsia"/>
        </w:rPr>
        <w:t xml:space="preserve">This also allows us to define a baseline scenario without elaborating on population sizes: </w:t>
      </w:r>
      <w:r w:rsidR="00233308">
        <w:rPr>
          <w:rFonts w:eastAsiaTheme="minorEastAsia"/>
        </w:rPr>
        <w:t xml:space="preserve">consider the </w:t>
      </w:r>
      <w:r w:rsidR="00233308">
        <w:rPr>
          <w:rFonts w:eastAsiaTheme="minorEastAsia"/>
        </w:rPr>
        <w:lastRenderedPageBreak/>
        <w:t>neutral case where the collectivist</w:t>
      </w:r>
      <w:r w:rsidR="00FA4A4E">
        <w:rPr>
          <w:rFonts w:eastAsiaTheme="minorEastAsia"/>
        </w:rPr>
        <w:t>s</w:t>
      </w:r>
      <w:r w:rsidR="00233308">
        <w:rPr>
          <w:rFonts w:eastAsiaTheme="minorEastAsia"/>
        </w:rPr>
        <w:t xml:space="preserve"> and individualist</w:t>
      </w:r>
      <w:r w:rsidR="00FA4A4E">
        <w:rPr>
          <w:rFonts w:eastAsiaTheme="minorEastAsia"/>
        </w:rPr>
        <w:t>s</w:t>
      </w:r>
      <w:r w:rsidR="00233308">
        <w:rPr>
          <w:rFonts w:eastAsiaTheme="minorEastAsia"/>
        </w:rPr>
        <w:t xml:space="preserve"> accrue the exact same fitness, leading to a symmetric random walk. In this case, the fixation probability of collectivism, from </w:t>
      </w:r>
      <m:oMath>
        <m:r>
          <w:rPr>
            <w:rFonts w:ascii="Cambria Math" w:eastAsiaTheme="minorEastAsia" w:hAnsi="Cambria Math"/>
          </w:rPr>
          <m:t>i=1</m:t>
        </m:r>
      </m:oMath>
      <w:r w:rsidR="00233308">
        <w:rPr>
          <w:rFonts w:eastAsiaTheme="minorEastAsia"/>
        </w:rPr>
        <w:t xml:space="preserve">, would be </w:t>
      </w:r>
      <m:oMath>
        <m:r>
          <w:rPr>
            <w:rFonts w:ascii="Cambria Math" w:eastAsiaTheme="minorEastAsia" w:hAnsi="Cambria Math"/>
          </w:rPr>
          <m:t>1/N</m:t>
        </m:r>
      </m:oMath>
      <w:r w:rsidR="00233308">
        <w:rPr>
          <w:rFonts w:eastAsiaTheme="minorEastAsia"/>
        </w:rPr>
        <w:t xml:space="preserve">, whereas the fixation probability from a state </w:t>
      </w:r>
      <m:oMath>
        <m:r>
          <w:rPr>
            <w:rFonts w:ascii="Cambria Math" w:eastAsiaTheme="minorEastAsia" w:hAnsi="Cambria Math"/>
          </w:rPr>
          <m:t>i=N/2</m:t>
        </m:r>
      </m:oMath>
      <w:r w:rsidR="00233308">
        <w:rPr>
          <w:rFonts w:eastAsiaTheme="minorEastAsia"/>
        </w:rPr>
        <w:t xml:space="preserve"> is always 0.5, regardless </w:t>
      </w:r>
      <m:oMath>
        <m:r>
          <w:rPr>
            <w:rFonts w:ascii="Cambria Math" w:eastAsiaTheme="minorEastAsia" w:hAnsi="Cambria Math"/>
          </w:rPr>
          <m:t>N</m:t>
        </m:r>
      </m:oMath>
      <w:r w:rsidR="00233308">
        <w:rPr>
          <w:rFonts w:eastAsiaTheme="minorEastAsia"/>
        </w:rPr>
        <w:t>.</w:t>
      </w:r>
      <w:r w:rsidR="008D21B8">
        <w:rPr>
          <w:rFonts w:eastAsiaTheme="minorEastAsia"/>
        </w:rPr>
        <w:t xml:space="preserve"> </w:t>
      </w:r>
      <w:r w:rsidR="00FA4A4E">
        <w:rPr>
          <w:rFonts w:eastAsiaTheme="minorEastAsia"/>
        </w:rPr>
        <w:t xml:space="preserve">We </w:t>
      </w:r>
      <w:r w:rsidR="009917EA">
        <w:rPr>
          <w:rFonts w:eastAsiaTheme="minorEastAsia"/>
        </w:rPr>
        <w:t>can</w:t>
      </w:r>
      <w:r w:rsidR="00FA4A4E">
        <w:rPr>
          <w:rFonts w:eastAsiaTheme="minorEastAsia"/>
        </w:rPr>
        <w:t xml:space="preserve"> thereby </w:t>
      </w:r>
      <w:r w:rsidR="009917EA">
        <w:rPr>
          <w:rFonts w:eastAsiaTheme="minorEastAsia"/>
        </w:rPr>
        <w:t>discuss</w:t>
      </w:r>
      <w:r w:rsidR="00FA4A4E">
        <w:rPr>
          <w:rFonts w:eastAsiaTheme="minorEastAsia"/>
        </w:rPr>
        <w:t xml:space="preserve"> the prevalence of collectivism relatively to a population size-independent </w:t>
      </w:r>
      <w:r w:rsidR="009917EA">
        <w:rPr>
          <w:rFonts w:eastAsiaTheme="minorEastAsia"/>
        </w:rPr>
        <w:t>baseline</w:t>
      </w:r>
      <w:r w:rsidR="00FA4A4E">
        <w:rPr>
          <w:rFonts w:eastAsiaTheme="minorEastAsia"/>
        </w:rPr>
        <w:t xml:space="preserve"> setting</w:t>
      </w:r>
      <w:r w:rsidR="009917EA">
        <w:rPr>
          <w:rFonts w:eastAsiaTheme="minorEastAsia"/>
        </w:rPr>
        <w:t xml:space="preserve"> (dashed line in Figure 5, main text)</w:t>
      </w:r>
      <w:r w:rsidR="00FA4A4E">
        <w:rPr>
          <w:rFonts w:eastAsiaTheme="minorEastAsia"/>
        </w:rPr>
        <w:t xml:space="preserve">. </w:t>
      </w:r>
    </w:p>
    <w:p w14:paraId="3445F29A" w14:textId="77777777" w:rsidR="000E366A" w:rsidRPr="002B6B0C" w:rsidRDefault="000E366A" w:rsidP="001B6357">
      <w:pPr>
        <w:rPr>
          <w:rFonts w:eastAsiaTheme="minorEastAsia"/>
          <w:i/>
          <w:iCs/>
        </w:rPr>
      </w:pPr>
    </w:p>
    <w:p w14:paraId="1102628A" w14:textId="77777777" w:rsidR="002B6B0C" w:rsidRPr="002B6B0C" w:rsidRDefault="002B6B0C" w:rsidP="001B6357">
      <w:pPr>
        <w:ind w:firstLine="0"/>
        <w:rPr>
          <w:rFonts w:eastAsiaTheme="minorEastAsia"/>
          <w:b/>
          <w:bCs/>
          <w:i/>
          <w:iCs/>
        </w:rPr>
      </w:pPr>
      <w:r w:rsidRPr="002B6B0C">
        <w:rPr>
          <w:rFonts w:eastAsiaTheme="minorEastAsia"/>
          <w:b/>
          <w:bCs/>
          <w:i/>
          <w:iCs/>
        </w:rPr>
        <w:t>Social Preference Function</w:t>
      </w:r>
    </w:p>
    <w:p w14:paraId="02D06D6B" w14:textId="73E72CF3" w:rsidR="002B6B0C" w:rsidRDefault="002B6B0C" w:rsidP="001B6357">
      <w:pPr>
        <w:rPr>
          <w:rFonts w:eastAsiaTheme="minorEastAsia"/>
        </w:rPr>
      </w:pPr>
      <w:r>
        <w:rPr>
          <w:rFonts w:eastAsiaTheme="minorEastAsia"/>
        </w:rPr>
        <w:t xml:space="preserve">When deciding whether to change strategy from Cooperation to Defection or vice-versa, collectivists adopt a social preference function which takes into account </w:t>
      </w:r>
      <w:r w:rsidRPr="004A4B14">
        <w:rPr>
          <w:rFonts w:eastAsiaTheme="minorEastAsia"/>
        </w:rPr>
        <w:t>the payoff of an individual agent</w:t>
      </w:r>
      <w:r>
        <w:rPr>
          <w:rFonts w:eastAsiaTheme="minorEastAsia"/>
        </w:rPr>
        <w:t xml:space="preserve">, </w:t>
      </w:r>
      <m:oMath>
        <m:r>
          <w:rPr>
            <w:rFonts w:ascii="Cambria Math" w:eastAsiaTheme="minorEastAsia" w:hAnsi="Cambria Math"/>
          </w:rPr>
          <m:t>π</m:t>
        </m:r>
      </m:oMath>
      <w:r>
        <w:rPr>
          <w:rFonts w:eastAsiaTheme="minorEastAsia"/>
        </w:rPr>
        <w:t xml:space="preserve">, and </w:t>
      </w:r>
      <w:r w:rsidRPr="004A4B14">
        <w:rPr>
          <w:rFonts w:eastAsiaTheme="minorEastAsia"/>
        </w:rPr>
        <w:t xml:space="preserve">the </w:t>
      </w:r>
      <w:r>
        <w:rPr>
          <w:rFonts w:eastAsiaTheme="minorEastAsia"/>
        </w:rPr>
        <w:t>mean</w:t>
      </w:r>
      <w:r w:rsidRPr="004A4B14">
        <w:rPr>
          <w:rFonts w:eastAsiaTheme="minorEastAsia"/>
        </w:rPr>
        <w:t xml:space="preserve"> payoff of </w:t>
      </w:r>
      <w:r>
        <w:rPr>
          <w:rFonts w:eastAsiaTheme="minorEastAsia"/>
        </w:rPr>
        <w:t xml:space="preserve">the group, </w:t>
      </w:r>
      <m:oMath>
        <m:acc>
          <m:accPr>
            <m:chr m:val="̅"/>
            <m:ctrlPr>
              <w:rPr>
                <w:rFonts w:ascii="Cambria Math" w:eastAsiaTheme="minorEastAsia" w:hAnsi="Cambria Math"/>
                <w:i/>
              </w:rPr>
            </m:ctrlPr>
          </m:accPr>
          <m:e>
            <m:r>
              <w:rPr>
                <w:rFonts w:ascii="Cambria Math" w:eastAsiaTheme="minorEastAsia" w:hAnsi="Cambria Math"/>
              </w:rPr>
              <m:t>π</m:t>
            </m:r>
          </m:e>
        </m:acc>
      </m:oMath>
      <w:r>
        <w:rPr>
          <w:rFonts w:eastAsiaTheme="minorEastAsia"/>
        </w:rPr>
        <w:t xml:space="preserve">. The social preference </w:t>
      </w:r>
      <w:r w:rsidRPr="004A4B14">
        <w:rPr>
          <w:rFonts w:eastAsiaTheme="minorEastAsia"/>
        </w:rPr>
        <w:t xml:space="preserve">function </w:t>
      </w:r>
      <w:r>
        <w:rPr>
          <w:rFonts w:eastAsiaTheme="minorEastAsia"/>
        </w:rPr>
        <w:t xml:space="preserve">includes these two terms, weighted by the degree of collectivism </w:t>
      </w:r>
      <m:oMath>
        <m:r>
          <w:rPr>
            <w:rFonts w:ascii="Cambria Math" w:eastAsiaTheme="minorEastAsia" w:hAnsi="Cambria Math"/>
          </w:rPr>
          <m:t>η</m:t>
        </m:r>
      </m:oMath>
      <w:r>
        <w:rPr>
          <w:rFonts w:eastAsiaTheme="minorEastAsia"/>
        </w:rPr>
        <w:t>:</w:t>
      </w:r>
      <w:r w:rsidRPr="004A4B14">
        <w:rPr>
          <w:rFonts w:eastAsiaTheme="minorEastAsia"/>
        </w:rPr>
        <w:t xml:space="preserve"> </w:t>
      </w:r>
      <m:oMath>
        <m:r>
          <w:rPr>
            <w:rFonts w:ascii="Cambria Math" w:eastAsiaTheme="minorEastAsia" w:hAnsi="Cambria Math"/>
          </w:rPr>
          <m:t>u</m:t>
        </m:r>
        <m:d>
          <m:dPr>
            <m:ctrlPr>
              <w:rPr>
                <w:rFonts w:ascii="Cambria Math" w:eastAsiaTheme="minorEastAsia" w:hAnsi="Cambria Math"/>
                <w:i/>
              </w:rPr>
            </m:ctrlPr>
          </m:dPr>
          <m:e>
            <m:r>
              <w:rPr>
                <w:rFonts w:ascii="Cambria Math" w:eastAsiaTheme="minorEastAsia" w:hAnsi="Cambria Math"/>
              </w:rPr>
              <m:t>π,</m:t>
            </m:r>
            <m:acc>
              <m:accPr>
                <m:chr m:val="̅"/>
                <m:ctrlPr>
                  <w:rPr>
                    <w:rFonts w:ascii="Cambria Math" w:eastAsiaTheme="minorEastAsia" w:hAnsi="Cambria Math"/>
                    <w:i/>
                  </w:rPr>
                </m:ctrlPr>
              </m:accPr>
              <m:e>
                <m:r>
                  <w:rPr>
                    <w:rFonts w:ascii="Cambria Math" w:eastAsiaTheme="minorEastAsia" w:hAnsi="Cambria Math"/>
                  </w:rPr>
                  <m:t>π</m:t>
                </m:r>
              </m:e>
            </m:acc>
            <m:r>
              <w:rPr>
                <w:rFonts w:ascii="Cambria Math" w:eastAsiaTheme="minorEastAsia" w:hAnsi="Cambria Math"/>
              </w:rPr>
              <m:t>,η</m:t>
            </m:r>
          </m:e>
        </m:d>
        <m:r>
          <w:rPr>
            <w:rFonts w:ascii="Cambria Math" w:eastAsiaTheme="minorEastAsia" w:hAnsi="Cambria Math"/>
          </w:rPr>
          <m:t>=(1-η)π+η</m:t>
        </m:r>
        <m:acc>
          <m:accPr>
            <m:chr m:val="̅"/>
            <m:ctrlPr>
              <w:rPr>
                <w:rFonts w:ascii="Cambria Math" w:eastAsiaTheme="minorEastAsia" w:hAnsi="Cambria Math"/>
                <w:i/>
              </w:rPr>
            </m:ctrlPr>
          </m:accPr>
          <m:e>
            <m:r>
              <w:rPr>
                <w:rFonts w:ascii="Cambria Math" w:eastAsiaTheme="minorEastAsia" w:hAnsi="Cambria Math"/>
              </w:rPr>
              <m:t>π</m:t>
            </m:r>
          </m:e>
        </m:acc>
      </m:oMath>
      <w:r w:rsidRPr="004A4B14">
        <w:rPr>
          <w:rFonts w:eastAsiaTheme="minorEastAsia"/>
        </w:rPr>
        <w:t>.</w:t>
      </w:r>
    </w:p>
    <w:p w14:paraId="0F87B7C8" w14:textId="77777777" w:rsidR="000E366A" w:rsidRPr="002011F1" w:rsidRDefault="000E366A" w:rsidP="001B6357">
      <w:pPr>
        <w:rPr>
          <w:rFonts w:eastAsiaTheme="minorEastAsia"/>
        </w:rPr>
      </w:pPr>
    </w:p>
    <w:p w14:paraId="7E81C7B5" w14:textId="09957DC5" w:rsidR="00FA20B7" w:rsidRPr="0004254B" w:rsidRDefault="00FA20B7" w:rsidP="001B6357">
      <w:pPr>
        <w:ind w:firstLine="0"/>
        <w:rPr>
          <w:b/>
          <w:bCs/>
          <w:i/>
          <w:iCs/>
        </w:rPr>
      </w:pPr>
      <w:r w:rsidRPr="0004254B">
        <w:rPr>
          <w:b/>
          <w:bCs/>
          <w:i/>
          <w:iCs/>
        </w:rPr>
        <w:t>Imitation probability</w:t>
      </w:r>
    </w:p>
    <w:p w14:paraId="6CF22582" w14:textId="6E37542B" w:rsidR="00013552" w:rsidRPr="00013552" w:rsidRDefault="00FA20B7" w:rsidP="001B6357">
      <w:pPr>
        <w:rPr>
          <w:rFonts w:eastAsiaTheme="minorEastAsia"/>
        </w:rPr>
      </w:pPr>
      <w:r>
        <w:t xml:space="preserve">Mathematically, the imitation probability follows a Fermi distribution </w:t>
      </w:r>
      <w:sdt>
        <w:sdtPr>
          <w:rPr>
            <w:color w:val="000000"/>
          </w:rPr>
          <w:tag w:val="MENDELEY_CITATION_v3_eyJjaXRhdGlvbklEIjoiTUVOREVMRVlfQ0lUQVRJT05fNTUzMzdjNDYtYjIwYy00YjZlLThlYzAtNmQ0YTczZjc1ODUw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
          <w:id w:val="-105577473"/>
          <w:placeholder>
            <w:docPart w:val="AFF6D1F5AD534FC5BF18C5511153E4CD"/>
          </w:placeholder>
        </w:sdtPr>
        <w:sdtEndPr/>
        <w:sdtContent>
          <w:r w:rsidR="00742CB7" w:rsidRPr="00742CB7">
            <w:rPr>
              <w:color w:val="000000"/>
            </w:rPr>
            <w:t>(Traulsen et al., 2006)</w:t>
          </w:r>
        </w:sdtContent>
      </w:sdt>
      <w:r>
        <w:t>.</w:t>
      </w:r>
      <w:r w:rsidRPr="00807DFA">
        <w:t xml:space="preserve"> Let </w:t>
      </w:r>
      <m:oMath>
        <m:sSub>
          <m:sSubPr>
            <m:ctrlPr>
              <w:rPr>
                <w:rFonts w:ascii="Cambria Math" w:hAnsi="Cambria Math"/>
                <w:i/>
              </w:rPr>
            </m:ctrlPr>
          </m:sSubPr>
          <m:e>
            <m:r>
              <w:rPr>
                <w:rFonts w:ascii="Cambria Math" w:hAnsi="Cambria Math"/>
              </w:rPr>
              <m:t>π</m:t>
            </m:r>
          </m:e>
          <m:sub>
            <m:r>
              <w:rPr>
                <w:rFonts w:ascii="Cambria Math" w:hAnsi="Cambria Math"/>
              </w:rPr>
              <m:t>1</m:t>
            </m:r>
          </m:sub>
        </m:sSub>
      </m:oMath>
      <w:r w:rsidRPr="00807DFA">
        <w:rPr>
          <w:rFonts w:eastAsiaTheme="minorEastAsia"/>
        </w:rPr>
        <w:t xml:space="preserve"> and </w:t>
      </w:r>
      <m:oMath>
        <m:sSub>
          <m:sSubPr>
            <m:ctrlPr>
              <w:rPr>
                <w:rFonts w:ascii="Cambria Math" w:hAnsi="Cambria Math"/>
                <w:i/>
              </w:rPr>
            </m:ctrlPr>
          </m:sSubPr>
          <m:e>
            <m:r>
              <w:rPr>
                <w:rFonts w:ascii="Cambria Math" w:hAnsi="Cambria Math"/>
              </w:rPr>
              <m:t>π</m:t>
            </m:r>
          </m:e>
          <m:sub>
            <m:r>
              <w:rPr>
                <w:rFonts w:ascii="Cambria Math" w:hAnsi="Cambria Math"/>
              </w:rPr>
              <m:t>2</m:t>
            </m:r>
          </m:sub>
        </m:sSub>
      </m:oMath>
      <w:r w:rsidRPr="00807DFA">
        <w:rPr>
          <w:rFonts w:eastAsiaTheme="minorEastAsia"/>
        </w:rPr>
        <w:t xml:space="preserve"> be, respectively, the payoffs of the two individuals,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π</m:t>
                </m:r>
              </m:e>
            </m:acc>
          </m:e>
          <m:sub>
            <m:r>
              <w:rPr>
                <w:rFonts w:ascii="Cambria Math" w:hAnsi="Cambria Math"/>
              </w:rPr>
              <m:t>1</m:t>
            </m:r>
          </m:sub>
        </m:sSub>
      </m:oMath>
      <w:r w:rsidRPr="00807DFA">
        <w:rPr>
          <w:rFonts w:eastAsiaTheme="minorEastAsia"/>
        </w:rPr>
        <w:t xml:space="preserve">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π</m:t>
                </m:r>
              </m:e>
            </m:acc>
          </m:e>
          <m:sub>
            <m:r>
              <w:rPr>
                <w:rFonts w:ascii="Cambria Math" w:hAnsi="Cambria Math"/>
              </w:rPr>
              <m:t>2</m:t>
            </m:r>
          </m:sub>
        </m:sSub>
      </m:oMath>
      <w:r w:rsidRPr="00807DFA">
        <w:rPr>
          <w:rFonts w:eastAsiaTheme="minorEastAsia"/>
        </w:rPr>
        <w:t xml:space="preserve"> the average payoffs of their groups. The probability that the focal individual imitates the strategy of the second </w:t>
      </w:r>
      <w:r w:rsidR="00013552">
        <w:rPr>
          <w:rFonts w:eastAsiaTheme="minorEastAsia"/>
        </w:rPr>
        <w:t>follows a Fermi distribution:</w:t>
      </w:r>
      <w:r w:rsidRPr="00807DFA">
        <w:rPr>
          <w:rFonts w:eastAsiaTheme="minorEastAsia"/>
        </w:rPr>
        <w:t xml:space="preserve"> </w:t>
      </w:r>
    </w:p>
    <w:p w14:paraId="1BB97D09" w14:textId="5C8B1CF5" w:rsidR="00013552" w:rsidRDefault="004A2573" w:rsidP="001B6357">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S</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-β</m:t>
                  </m:r>
                  <m:d>
                    <m:dPr>
                      <m:begChr m:val="["/>
                      <m:endChr m:val="]"/>
                      <m:ctrlPr>
                        <w:rPr>
                          <w:rFonts w:ascii="Cambria Math" w:eastAsiaTheme="minorEastAsia" w:hAnsi="Cambria Math"/>
                          <w:i/>
                        </w:rPr>
                      </m:ctrlPr>
                    </m:dPr>
                    <m:e>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2</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π</m:t>
                                  </m:r>
                                </m:e>
                              </m:acc>
                            </m:e>
                            <m:sub>
                              <m:r>
                                <w:rPr>
                                  <w:rFonts w:ascii="Cambria Math" w:hAnsi="Cambria Math"/>
                                </w:rPr>
                                <m:t>2</m:t>
                              </m:r>
                            </m:sub>
                          </m:sSub>
                          <m:r>
                            <w:rPr>
                              <w:rFonts w:ascii="Cambria Math" w:hAnsi="Cambria Math"/>
                            </w:rPr>
                            <m:t>, η</m:t>
                          </m:r>
                        </m:e>
                      </m:d>
                      <m:r>
                        <w:rPr>
                          <w:rFonts w:ascii="Cambria Math" w:eastAsiaTheme="minorEastAsia" w:hAnsi="Cambria Math"/>
                        </w:rPr>
                        <m:t>-</m:t>
                      </m:r>
                      <m:r>
                        <w:rPr>
                          <w:rFonts w:ascii="Cambria Math" w:hAnsi="Cambria Math"/>
                        </w:rPr>
                        <m:t>u</m:t>
                      </m:r>
                      <m:d>
                        <m:dPr>
                          <m:ctrlPr>
                            <w:rPr>
                              <w:rFonts w:ascii="Cambria Math" w:hAnsi="Cambria Math"/>
                              <w:i/>
                            </w:rPr>
                          </m:ctrlPr>
                        </m:dPr>
                        <m:e>
                          <m:sSub>
                            <m:sSubPr>
                              <m:ctrlPr>
                                <w:rPr>
                                  <w:rFonts w:ascii="Cambria Math" w:hAnsi="Cambria Math"/>
                                  <w:i/>
                                </w:rPr>
                              </m:ctrlPr>
                            </m:sSubPr>
                            <m:e>
                              <m:r>
                                <w:rPr>
                                  <w:rFonts w:ascii="Cambria Math" w:hAnsi="Cambria Math"/>
                                </w:rPr>
                                <m:t>π</m:t>
                              </m:r>
                            </m:e>
                            <m:sub>
                              <m:r>
                                <w:rPr>
                                  <w:rFonts w:ascii="Cambria Math" w:hAnsi="Cambria Math"/>
                                </w:rPr>
                                <m:t>1</m:t>
                              </m:r>
                            </m:sub>
                          </m:sSub>
                          <m:r>
                            <w:rPr>
                              <w:rFonts w:ascii="Cambria Math" w:hAnsi="Cambria Math"/>
                            </w:rPr>
                            <m:t>,</m:t>
                          </m:r>
                          <m:sSub>
                            <m:sSubPr>
                              <m:ctrlPr>
                                <w:rPr>
                                  <w:rFonts w:ascii="Cambria Math" w:hAnsi="Cambria Math"/>
                                  <w:i/>
                                </w:rPr>
                              </m:ctrlPr>
                            </m:sSubPr>
                            <m:e>
                              <m:acc>
                                <m:accPr>
                                  <m:chr m:val="̅"/>
                                  <m:ctrlPr>
                                    <w:rPr>
                                      <w:rFonts w:ascii="Cambria Math" w:hAnsi="Cambria Math"/>
                                      <w:i/>
                                    </w:rPr>
                                  </m:ctrlPr>
                                </m:accPr>
                                <m:e>
                                  <m:r>
                                    <w:rPr>
                                      <w:rFonts w:ascii="Cambria Math" w:hAnsi="Cambria Math"/>
                                    </w:rPr>
                                    <m:t>π</m:t>
                                  </m:r>
                                </m:e>
                              </m:acc>
                            </m:e>
                            <m:sub>
                              <m:r>
                                <w:rPr>
                                  <w:rFonts w:ascii="Cambria Math" w:hAnsi="Cambria Math"/>
                                </w:rPr>
                                <m:t>1</m:t>
                              </m:r>
                            </m:sub>
                          </m:sSub>
                          <m:r>
                            <w:rPr>
                              <w:rFonts w:ascii="Cambria Math" w:hAnsi="Cambria Math"/>
                            </w:rPr>
                            <m:t>, η</m:t>
                          </m:r>
                        </m:e>
                      </m:d>
                    </m:e>
                  </m:d>
                </m:sup>
              </m:sSup>
            </m:den>
          </m:f>
        </m:oMath>
      </m:oMathPara>
    </w:p>
    <w:p w14:paraId="1BDB97B4" w14:textId="72608977" w:rsidR="000327E5" w:rsidRDefault="00013552" w:rsidP="001B6357">
      <w:pPr>
        <w:ind w:firstLine="0"/>
      </w:pPr>
      <w:r>
        <w:rPr>
          <w:rFonts w:eastAsiaTheme="minorEastAsia"/>
        </w:rPr>
        <w:t xml:space="preserve">By contrast, </w:t>
      </w:r>
      <w:r w:rsidR="00FA20B7">
        <w:rPr>
          <w:rFonts w:eastAsiaTheme="minorEastAsia"/>
        </w:rPr>
        <w:t>t</w:t>
      </w:r>
      <w:r w:rsidR="00FA20B7" w:rsidRPr="00807DFA">
        <w:t>he decision</w:t>
      </w:r>
      <w:r w:rsidR="000327E5">
        <w:t xml:space="preserve"> to</w:t>
      </w:r>
      <w:r w:rsidR="00FA20B7" w:rsidRPr="00807DFA">
        <w:t xml:space="preserve"> </w:t>
      </w:r>
      <w:r w:rsidR="00FA20B7">
        <w:t>imitate cultural norms is only a function of the payoff difference,</w:t>
      </w:r>
      <w:r w:rsidR="00FA20B7" w:rsidRPr="00807DFA">
        <w:t xml:space="preserve"> </w:t>
      </w:r>
      <w:r w:rsidR="00FA20B7">
        <w:t xml:space="preserve">and </w:t>
      </w:r>
      <w:r w:rsidR="000327E5">
        <w:t>is given by:</w:t>
      </w:r>
    </w:p>
    <w:p w14:paraId="06054B82" w14:textId="51F298E1" w:rsidR="000327E5" w:rsidRDefault="004A2573" w:rsidP="001B6357">
      <w:pPr>
        <w:ind w:firstLine="0"/>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m:t>
              </m:r>
              <m:sSup>
                <m:sSupPr>
                  <m:ctrlPr>
                    <w:rPr>
                      <w:rFonts w:ascii="Cambria Math" w:eastAsiaTheme="minorEastAsia" w:hAnsi="Cambria Math"/>
                      <w:i/>
                    </w:rPr>
                  </m:ctrlPr>
                </m:sSupPr>
                <m:e>
                  <m:r>
                    <w:rPr>
                      <w:rFonts w:ascii="Cambria Math" w:eastAsiaTheme="minorEastAsia" w:hAnsi="Cambria Math"/>
                    </w:rPr>
                    <m:t>e</m:t>
                  </m:r>
                </m:e>
                <m:sup>
                  <m:r>
                    <w:rPr>
                      <w:rFonts w:ascii="Cambria Math" w:eastAsiaTheme="minorEastAsia" w:hAnsi="Cambria Math"/>
                    </w:rPr>
                    <m:t>-β</m:t>
                  </m:r>
                  <m:r>
                    <w:rPr>
                      <w:rFonts w:ascii="Cambria Math" w:hAnsi="Cambria Math"/>
                    </w:rPr>
                    <m:t>(</m:t>
                  </m:r>
                  <m:sSub>
                    <m:sSubPr>
                      <m:ctrlPr>
                        <w:rPr>
                          <w:rFonts w:ascii="Cambria Math" w:hAnsi="Cambria Math"/>
                          <w:i/>
                        </w:rPr>
                      </m:ctrlPr>
                    </m:sSubPr>
                    <m:e>
                      <m:r>
                        <w:rPr>
                          <w:rFonts w:ascii="Cambria Math" w:hAnsi="Cambria Math"/>
                        </w:rPr>
                        <m:t>π</m:t>
                      </m:r>
                    </m:e>
                    <m:sub>
                      <m:r>
                        <w:rPr>
                          <w:rFonts w:ascii="Cambria Math"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π</m:t>
                      </m:r>
                    </m:e>
                    <m:sub>
                      <m:r>
                        <w:rPr>
                          <w:rFonts w:ascii="Cambria Math" w:eastAsiaTheme="minorEastAsia" w:hAnsi="Cambria Math"/>
                        </w:rPr>
                        <m:t>1</m:t>
                      </m:r>
                    </m:sub>
                  </m:sSub>
                  <m:r>
                    <w:rPr>
                      <w:rFonts w:ascii="Cambria Math" w:eastAsiaTheme="minorEastAsia" w:hAnsi="Cambria Math"/>
                    </w:rPr>
                    <m:t>)</m:t>
                  </m:r>
                </m:sup>
              </m:sSup>
            </m:den>
          </m:f>
        </m:oMath>
      </m:oMathPara>
    </w:p>
    <w:p w14:paraId="65AE37D9" w14:textId="1AEB1FBF" w:rsidR="00FA20B7" w:rsidRDefault="00FA20B7" w:rsidP="001B6357">
      <w:pPr>
        <w:ind w:firstLine="0"/>
        <w:rPr>
          <w:rFonts w:eastAsiaTheme="minorEastAsia"/>
        </w:rPr>
      </w:pPr>
      <w:r w:rsidRPr="00807DFA">
        <w:rPr>
          <w:rFonts w:eastAsiaTheme="minorEastAsia"/>
        </w:rPr>
        <w:t xml:space="preserve">In both cases, </w:t>
      </w:r>
      <m:oMath>
        <m:r>
          <w:rPr>
            <w:rFonts w:ascii="Cambria Math" w:eastAsiaTheme="minorEastAsia" w:hAnsi="Cambria Math"/>
          </w:rPr>
          <m:t>β</m:t>
        </m:r>
      </m:oMath>
      <w:r w:rsidRPr="00807DFA">
        <w:rPr>
          <w:rFonts w:eastAsiaTheme="minorEastAsia"/>
        </w:rPr>
        <w:t xml:space="preserve"> indicates the “temperature” </w:t>
      </w:r>
      <w:r>
        <w:rPr>
          <w:rFonts w:eastAsiaTheme="minorEastAsia"/>
        </w:rPr>
        <w:t xml:space="preserve">or “noise” </w:t>
      </w:r>
      <w:r w:rsidRPr="00807DFA">
        <w:rPr>
          <w:rFonts w:eastAsiaTheme="minorEastAsia"/>
        </w:rPr>
        <w:t xml:space="preserve">of the Fermi distribution, </w:t>
      </w:r>
      <w:r>
        <w:rPr>
          <w:rFonts w:eastAsiaTheme="minorEastAsia"/>
        </w:rPr>
        <w:t>which varies with</w:t>
      </w:r>
      <w:r w:rsidRPr="00807DFA">
        <w:rPr>
          <w:rFonts w:eastAsiaTheme="minorEastAsia"/>
        </w:rPr>
        <w:t xml:space="preserve"> the strength of selection </w:t>
      </w:r>
      <w:sdt>
        <w:sdtPr>
          <w:rPr>
            <w:rFonts w:eastAsiaTheme="minorEastAsia"/>
            <w:color w:val="000000"/>
          </w:rPr>
          <w:tag w:val="MENDELEY_CITATION_v3_eyJjaXRhdGlvbklEIjoiTUVOREVMRVlfQ0lUQVRJT05fZDVjZWVkOTUtOGQ1Ni00ZTZjLWEzMWUtZmM3NzExYWMxNWFi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
          <w:id w:val="1211768168"/>
          <w:placeholder>
            <w:docPart w:val="AFF6D1F5AD534FC5BF18C5511153E4CD"/>
          </w:placeholder>
        </w:sdtPr>
        <w:sdtEndPr/>
        <w:sdtContent>
          <w:r w:rsidR="00742CB7" w:rsidRPr="00742CB7">
            <w:rPr>
              <w:rFonts w:eastAsiaTheme="minorEastAsia"/>
              <w:color w:val="000000"/>
            </w:rPr>
            <w:t>(Traulsen et al., 2006)</w:t>
          </w:r>
        </w:sdtContent>
      </w:sdt>
      <w:r w:rsidRPr="00807DFA">
        <w:rPr>
          <w:rFonts w:eastAsiaTheme="minorEastAsia"/>
        </w:rPr>
        <w:t xml:space="preserve">. High values of </w:t>
      </w:r>
      <m:oMath>
        <m:r>
          <w:rPr>
            <w:rFonts w:ascii="Cambria Math" w:eastAsiaTheme="minorEastAsia" w:hAnsi="Cambria Math"/>
          </w:rPr>
          <m:t>β</m:t>
        </m:r>
      </m:oMath>
      <w:r w:rsidRPr="00807DFA">
        <w:rPr>
          <w:rFonts w:eastAsiaTheme="minorEastAsia"/>
        </w:rPr>
        <w:t xml:space="preserve"> correspond to hard </w:t>
      </w:r>
      <w:r w:rsidRPr="00807DFA">
        <w:rPr>
          <w:rFonts w:eastAsiaTheme="minorEastAsia"/>
        </w:rPr>
        <w:lastRenderedPageBreak/>
        <w:t xml:space="preserve">selection, where individuals almost certainly imitate the strategy which provides the highest utility or the norm that leads to the highest payoff. When </w:t>
      </w:r>
      <m:oMath>
        <m:r>
          <w:rPr>
            <w:rFonts w:ascii="Cambria Math" w:eastAsiaTheme="minorEastAsia" w:hAnsi="Cambria Math"/>
          </w:rPr>
          <m:t>β=0</m:t>
        </m:r>
      </m:oMath>
      <w:r w:rsidRPr="00807DFA">
        <w:rPr>
          <w:rFonts w:eastAsiaTheme="minorEastAsia"/>
        </w:rPr>
        <w:t xml:space="preserve">, the probability of imitation is always </w:t>
      </w:r>
      <m:oMath>
        <m:r>
          <w:rPr>
            <w:rFonts w:ascii="Cambria Math" w:eastAsiaTheme="minorEastAsia" w:hAnsi="Cambria Math"/>
          </w:rPr>
          <m:t>1/2</m:t>
        </m:r>
      </m:oMath>
      <w:r w:rsidRPr="00807DFA">
        <w:rPr>
          <w:rFonts w:eastAsiaTheme="minorEastAsia"/>
        </w:rPr>
        <w:t>, corresponding to the case where any changes are selectively neutral, and therefore the decision to imitate another’s strategy or norm is completely random. Throughout our analysis, we adopt a</w:t>
      </w:r>
      <w:r>
        <w:rPr>
          <w:rFonts w:eastAsiaTheme="minorEastAsia"/>
        </w:rPr>
        <w:t>n intermediate</w:t>
      </w:r>
      <w:r w:rsidRPr="00807DFA">
        <w:rPr>
          <w:rFonts w:eastAsiaTheme="minorEastAsia"/>
        </w:rPr>
        <w:t xml:space="preserve"> value of </w:t>
      </w:r>
      <m:oMath>
        <m:r>
          <w:rPr>
            <w:rFonts w:ascii="Cambria Math" w:eastAsiaTheme="minorEastAsia" w:hAnsi="Cambria Math"/>
          </w:rPr>
          <m:t>β=5</m:t>
        </m:r>
      </m:oMath>
      <w:r w:rsidRPr="00807DFA">
        <w:rPr>
          <w:rFonts w:eastAsiaTheme="minorEastAsia"/>
        </w:rPr>
        <w:t>.</w:t>
      </w:r>
    </w:p>
    <w:p w14:paraId="5B7FE4AA" w14:textId="77777777" w:rsidR="000537C7" w:rsidRDefault="000537C7" w:rsidP="001B6357">
      <w:pPr>
        <w:ind w:firstLine="0"/>
      </w:pPr>
    </w:p>
    <w:p w14:paraId="62723527" w14:textId="0509E1B7" w:rsidR="000537C7" w:rsidRDefault="008D5BB2" w:rsidP="001B6357">
      <w:pPr>
        <w:ind w:firstLine="0"/>
        <w:jc w:val="center"/>
        <w:rPr>
          <w:b/>
          <w:bCs/>
        </w:rPr>
      </w:pPr>
      <w:r>
        <w:rPr>
          <w:b/>
          <w:bCs/>
        </w:rPr>
        <w:t>References</w:t>
      </w:r>
    </w:p>
    <w:sdt>
      <w:sdtPr>
        <w:rPr>
          <w:color w:val="000000"/>
        </w:rPr>
        <w:tag w:val="MENDELEY_BIBLIOGRAPHY"/>
        <w:id w:val="-980535551"/>
        <w:placeholder>
          <w:docPart w:val="DefaultPlaceholder_-1854013440"/>
        </w:placeholder>
      </w:sdtPr>
      <w:sdtEndPr/>
      <w:sdtContent>
        <w:p w14:paraId="19601532" w14:textId="192B8FFB" w:rsidR="00742CB7" w:rsidRPr="00FF2E7D" w:rsidRDefault="00742CB7" w:rsidP="001B6357">
          <w:pPr>
            <w:autoSpaceDE w:val="0"/>
            <w:autoSpaceDN w:val="0"/>
            <w:ind w:hanging="480"/>
            <w:divId w:val="541212806"/>
            <w:rPr>
              <w:rFonts w:eastAsia="Times New Roman"/>
              <w:lang w:val="nl-NL"/>
            </w:rPr>
          </w:pPr>
          <w:r>
            <w:rPr>
              <w:rFonts w:eastAsia="Times New Roman"/>
            </w:rPr>
            <w:t xml:space="preserve">Colnaghi, M. (2025). </w:t>
          </w:r>
          <w:r>
            <w:rPr>
              <w:rFonts w:eastAsia="Times New Roman"/>
              <w:i/>
              <w:iCs/>
            </w:rPr>
            <w:t>Agent-based model for “The Ecological Origins of Collectivism”</w:t>
          </w:r>
          <w:r>
            <w:rPr>
              <w:rFonts w:eastAsia="Times New Roman"/>
            </w:rPr>
            <w:t xml:space="preserve">. </w:t>
          </w:r>
          <w:r w:rsidRPr="00FF2E7D">
            <w:rPr>
              <w:rFonts w:eastAsia="Times New Roman"/>
              <w:lang w:val="nl-NL"/>
            </w:rPr>
            <w:t>Zenodo. https://doi.org/10.5281/zenodo.15198377</w:t>
          </w:r>
        </w:p>
        <w:p w14:paraId="1619D2B8" w14:textId="77777777" w:rsidR="00742CB7" w:rsidRDefault="00742CB7" w:rsidP="001B6357">
          <w:pPr>
            <w:autoSpaceDE w:val="0"/>
            <w:autoSpaceDN w:val="0"/>
            <w:ind w:hanging="480"/>
            <w:divId w:val="1982152505"/>
            <w:rPr>
              <w:rFonts w:eastAsia="Times New Roman"/>
            </w:rPr>
          </w:pPr>
          <w:r w:rsidRPr="00FF2E7D">
            <w:rPr>
              <w:rFonts w:eastAsia="Times New Roman"/>
              <w:lang w:val="nl-NL"/>
            </w:rPr>
            <w:t xml:space="preserve">Milinski, M., Sommerfeld, R. D., Krambeck, H.-J. R., Reed, F. A., &amp; Marotzke, J. (2008). </w:t>
          </w:r>
          <w:r>
            <w:rPr>
              <w:rFonts w:eastAsia="Times New Roman"/>
            </w:rPr>
            <w:t xml:space="preserve">The collective-risk social dilemma and the prevention of simulated dangerous climate change. </w:t>
          </w:r>
          <w:r>
            <w:rPr>
              <w:rFonts w:eastAsia="Times New Roman"/>
              <w:i/>
              <w:iCs/>
            </w:rPr>
            <w:t>Proc Natl Acad Sci U S A</w:t>
          </w:r>
          <w:r>
            <w:rPr>
              <w:rFonts w:eastAsia="Times New Roman"/>
            </w:rPr>
            <w:t xml:space="preserve">, </w:t>
          </w:r>
          <w:r>
            <w:rPr>
              <w:rFonts w:eastAsia="Times New Roman"/>
              <w:i/>
              <w:iCs/>
            </w:rPr>
            <w:t>7</w:t>
          </w:r>
          <w:r>
            <w:rPr>
              <w:rFonts w:eastAsia="Times New Roman"/>
            </w:rPr>
            <w:t>(105), 2291–2294. www.pnas.orgcgidoi10.1073pnas.0709546105</w:t>
          </w:r>
        </w:p>
        <w:p w14:paraId="77B58F1E" w14:textId="77777777" w:rsidR="00742CB7" w:rsidRDefault="00742CB7" w:rsidP="001B6357">
          <w:pPr>
            <w:autoSpaceDE w:val="0"/>
            <w:autoSpaceDN w:val="0"/>
            <w:ind w:hanging="480"/>
            <w:divId w:val="1326857012"/>
            <w:rPr>
              <w:rFonts w:eastAsia="Times New Roman"/>
            </w:rPr>
          </w:pPr>
          <w:r>
            <w:rPr>
              <w:rFonts w:eastAsia="Times New Roman"/>
            </w:rPr>
            <w:t xml:space="preserve">Santos, F. C., &amp; Pacheco, J. M. (2011). Risk of collective failure provides an escape from the tragedy of the commons. </w:t>
          </w:r>
          <w:r>
            <w:rPr>
              <w:rFonts w:eastAsia="Times New Roman"/>
              <w:i/>
              <w:iCs/>
            </w:rPr>
            <w:t>Proceedings of the National Academy of Sciences of the United States of America</w:t>
          </w:r>
          <w:r>
            <w:rPr>
              <w:rFonts w:eastAsia="Times New Roman"/>
            </w:rPr>
            <w:t xml:space="preserve">, </w:t>
          </w:r>
          <w:r>
            <w:rPr>
              <w:rFonts w:eastAsia="Times New Roman"/>
              <w:i/>
              <w:iCs/>
            </w:rPr>
            <w:t>108</w:t>
          </w:r>
          <w:r>
            <w:rPr>
              <w:rFonts w:eastAsia="Times New Roman"/>
            </w:rPr>
            <w:t>(26), 10421–10425. https://doi.org/10.1073/pnas.1015648108</w:t>
          </w:r>
        </w:p>
        <w:p w14:paraId="0B406D89" w14:textId="77777777" w:rsidR="00742CB7" w:rsidRDefault="00742CB7" w:rsidP="001B6357">
          <w:pPr>
            <w:autoSpaceDE w:val="0"/>
            <w:autoSpaceDN w:val="0"/>
            <w:ind w:hanging="480"/>
            <w:divId w:val="1410154356"/>
            <w:rPr>
              <w:rFonts w:eastAsia="Times New Roman"/>
            </w:rPr>
          </w:pPr>
          <w:r>
            <w:rPr>
              <w:rFonts w:eastAsia="Times New Roman"/>
            </w:rPr>
            <w:t xml:space="preserve">Traulsen, A., Nowak, M. A., &amp; Pacheco, J. M. (2006). Stochastic dynamics of invasion and fixation. </w:t>
          </w:r>
          <w:r>
            <w:rPr>
              <w:rFonts w:eastAsia="Times New Roman"/>
              <w:i/>
              <w:iCs/>
            </w:rPr>
            <w:t>Phys Rev E Stat Nonlin Soft Matter Phys</w:t>
          </w:r>
          <w:r>
            <w:rPr>
              <w:rFonts w:eastAsia="Times New Roman"/>
            </w:rPr>
            <w:t xml:space="preserve">, </w:t>
          </w:r>
          <w:r>
            <w:rPr>
              <w:rFonts w:eastAsia="Times New Roman"/>
              <w:i/>
              <w:iCs/>
            </w:rPr>
            <w:t>74</w:t>
          </w:r>
          <w:r>
            <w:rPr>
              <w:rFonts w:eastAsia="Times New Roman"/>
            </w:rPr>
            <w:t>(1), 11909.</w:t>
          </w:r>
        </w:p>
        <w:p w14:paraId="0BA7FB67" w14:textId="41B6C928" w:rsidR="008D5BB2" w:rsidRPr="008D5BB2" w:rsidRDefault="00742CB7" w:rsidP="001B6357">
          <w:pPr>
            <w:ind w:firstLine="0"/>
          </w:pPr>
          <w:r>
            <w:rPr>
              <w:rFonts w:eastAsia="Times New Roman"/>
            </w:rPr>
            <w:t> </w:t>
          </w:r>
        </w:p>
      </w:sdtContent>
    </w:sdt>
    <w:sectPr w:rsidR="008D5BB2" w:rsidRPr="008D5BB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52AFA" w14:textId="77777777" w:rsidR="00C67150" w:rsidRDefault="00C67150" w:rsidP="00C00867">
      <w:pPr>
        <w:spacing w:line="240" w:lineRule="auto"/>
      </w:pPr>
      <w:r>
        <w:separator/>
      </w:r>
    </w:p>
  </w:endnote>
  <w:endnote w:type="continuationSeparator" w:id="0">
    <w:p w14:paraId="333F4C18" w14:textId="77777777" w:rsidR="00C67150" w:rsidRDefault="00C67150" w:rsidP="00C008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BDC3" w14:textId="77777777" w:rsidR="00C67150" w:rsidRDefault="00C67150" w:rsidP="00C00867">
      <w:pPr>
        <w:spacing w:line="240" w:lineRule="auto"/>
      </w:pPr>
      <w:r>
        <w:separator/>
      </w:r>
    </w:p>
  </w:footnote>
  <w:footnote w:type="continuationSeparator" w:id="0">
    <w:p w14:paraId="6C0D1D90" w14:textId="77777777" w:rsidR="00C67150" w:rsidRDefault="00C67150" w:rsidP="00C00867">
      <w:pPr>
        <w:spacing w:line="240" w:lineRule="auto"/>
      </w:pPr>
      <w:r>
        <w:continuationSeparator/>
      </w:r>
    </w:p>
  </w:footnote>
  <w:footnote w:id="1">
    <w:p w14:paraId="35AAF92F" w14:textId="14B4A747" w:rsidR="00C00867" w:rsidRPr="00C00867" w:rsidRDefault="00C00867">
      <w:pPr>
        <w:pStyle w:val="FootnoteText"/>
      </w:pPr>
      <w:r>
        <w:rPr>
          <w:rStyle w:val="FootnoteReference"/>
        </w:rPr>
        <w:footnoteRef/>
      </w:r>
      <w:r>
        <w:t xml:space="preserve"> </w:t>
      </w:r>
      <w:r w:rsidRPr="00C00867">
        <w:t xml:space="preserve">The MATLAB code used for model implementation is available as a public repository on Zenodo </w:t>
      </w:r>
      <w:sdt>
        <w:sdtPr>
          <w:tag w:val="MENDELEY_CITATION_v3_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"/>
          <w:id w:val="-811400716"/>
          <w:placeholder>
            <w:docPart w:val="CAA9A3E8EC686843B9316E273F70F32E"/>
          </w:placeholder>
        </w:sdtPr>
        <w:sdtEndPr/>
        <w:sdtContent>
          <w:r w:rsidRPr="00C00867">
            <w:t>(Colnaghi, 2025)</w:t>
          </w:r>
        </w:sdtContent>
      </w:sdt>
      <w:r w:rsidRPr="00C00867">
        <w:t>.</w:t>
      </w:r>
    </w:p>
  </w:footnote>
  <w:footnote w:id="2">
    <w:p w14:paraId="7D3ED14F" w14:textId="527603F6" w:rsidR="00EF2F3C" w:rsidRPr="001A1E06" w:rsidRDefault="00EF2F3C">
      <w:pPr>
        <w:pStyle w:val="FootnoteText"/>
      </w:pPr>
      <w:r>
        <w:rPr>
          <w:rStyle w:val="FootnoteReference"/>
        </w:rPr>
        <w:footnoteRef/>
      </w:r>
      <w:r>
        <w:t xml:space="preserve"> </w:t>
      </w:r>
      <w:r w:rsidR="001A1E06">
        <w:t xml:space="preserve">We note that this interpretation of </w:t>
      </w:r>
      <w:r w:rsidR="001A1E06" w:rsidRPr="00FF2E7D">
        <w:rPr>
          <w:i/>
          <w:iCs/>
        </w:rPr>
        <w:t>f</w:t>
      </w:r>
      <w:r w:rsidR="001A1E06">
        <w:rPr>
          <w:i/>
          <w:iCs/>
        </w:rPr>
        <w:t xml:space="preserve"> </w:t>
      </w:r>
      <w:r w:rsidR="001A1E06">
        <w:t xml:space="preserve">is slightly different than the risk factor </w:t>
      </w:r>
      <w:r w:rsidR="001A1E06" w:rsidRPr="00FF2E7D">
        <w:rPr>
          <w:i/>
          <w:iCs/>
        </w:rPr>
        <w:t>r</w:t>
      </w:r>
      <w:r w:rsidR="001A1E06">
        <w:t xml:space="preserve"> considered in the original formulation of the Collective Risk Dilemma (</w:t>
      </w:r>
      <w:r w:rsidR="001A1E06" w:rsidRPr="00742CB7">
        <w:rPr>
          <w:rFonts w:eastAsia="Times New Roman"/>
          <w:color w:val="000000"/>
        </w:rPr>
        <w:t>Santos &amp; Pacheco, 2011)</w:t>
      </w:r>
      <w:r w:rsidR="001A1E06">
        <w:t>, which represents the probability of losing the whole endowment when collective success is not achieved.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5924312"/>
      <w:docPartObj>
        <w:docPartGallery w:val="Page Numbers (Top of Page)"/>
        <w:docPartUnique/>
      </w:docPartObj>
    </w:sdtPr>
    <w:sdtEndPr>
      <w:rPr>
        <w:noProof/>
      </w:rPr>
    </w:sdtEndPr>
    <w:sdtContent>
      <w:p w14:paraId="4D32F64E" w14:textId="60739CFD" w:rsidR="00FB207F" w:rsidRDefault="00FB207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7032C63" w14:textId="77777777" w:rsidR="004917AC" w:rsidRDefault="0049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0B7"/>
    <w:rsid w:val="00001C38"/>
    <w:rsid w:val="00013552"/>
    <w:rsid w:val="00014D0A"/>
    <w:rsid w:val="000327E5"/>
    <w:rsid w:val="0004254B"/>
    <w:rsid w:val="000537C7"/>
    <w:rsid w:val="00060352"/>
    <w:rsid w:val="00062527"/>
    <w:rsid w:val="00066FAB"/>
    <w:rsid w:val="00081D95"/>
    <w:rsid w:val="00093E16"/>
    <w:rsid w:val="000E366A"/>
    <w:rsid w:val="00115996"/>
    <w:rsid w:val="00120D6D"/>
    <w:rsid w:val="001673DB"/>
    <w:rsid w:val="00194C6C"/>
    <w:rsid w:val="001A1E06"/>
    <w:rsid w:val="001A2359"/>
    <w:rsid w:val="001A7C76"/>
    <w:rsid w:val="001B140F"/>
    <w:rsid w:val="001B6357"/>
    <w:rsid w:val="001D480A"/>
    <w:rsid w:val="001F2115"/>
    <w:rsid w:val="001F2F25"/>
    <w:rsid w:val="002011F1"/>
    <w:rsid w:val="0022639F"/>
    <w:rsid w:val="00233308"/>
    <w:rsid w:val="00252CFB"/>
    <w:rsid w:val="00283071"/>
    <w:rsid w:val="00286380"/>
    <w:rsid w:val="002929FE"/>
    <w:rsid w:val="002B6B0C"/>
    <w:rsid w:val="00323733"/>
    <w:rsid w:val="00361F95"/>
    <w:rsid w:val="003F5FDB"/>
    <w:rsid w:val="0043478C"/>
    <w:rsid w:val="00441D01"/>
    <w:rsid w:val="0045391A"/>
    <w:rsid w:val="00453C14"/>
    <w:rsid w:val="004732A0"/>
    <w:rsid w:val="00490157"/>
    <w:rsid w:val="004917AC"/>
    <w:rsid w:val="004A2573"/>
    <w:rsid w:val="004B2D6B"/>
    <w:rsid w:val="005001F6"/>
    <w:rsid w:val="00557C7F"/>
    <w:rsid w:val="005A418E"/>
    <w:rsid w:val="005F4A90"/>
    <w:rsid w:val="006306ED"/>
    <w:rsid w:val="00643A09"/>
    <w:rsid w:val="0068478C"/>
    <w:rsid w:val="006F0F45"/>
    <w:rsid w:val="006F7AAD"/>
    <w:rsid w:val="007050E5"/>
    <w:rsid w:val="007069E2"/>
    <w:rsid w:val="00742CB7"/>
    <w:rsid w:val="00770978"/>
    <w:rsid w:val="007D4CBD"/>
    <w:rsid w:val="007E0264"/>
    <w:rsid w:val="008751BE"/>
    <w:rsid w:val="008B0AC8"/>
    <w:rsid w:val="008C594D"/>
    <w:rsid w:val="008C7C8F"/>
    <w:rsid w:val="008D21B8"/>
    <w:rsid w:val="008D5BB2"/>
    <w:rsid w:val="00914C74"/>
    <w:rsid w:val="009917EA"/>
    <w:rsid w:val="009B3E4E"/>
    <w:rsid w:val="009B75B6"/>
    <w:rsid w:val="00A968D0"/>
    <w:rsid w:val="00AE5757"/>
    <w:rsid w:val="00B22D80"/>
    <w:rsid w:val="00B32CDF"/>
    <w:rsid w:val="00B62518"/>
    <w:rsid w:val="00BB02F3"/>
    <w:rsid w:val="00BC74A8"/>
    <w:rsid w:val="00BD5586"/>
    <w:rsid w:val="00C00867"/>
    <w:rsid w:val="00C67150"/>
    <w:rsid w:val="00C716A9"/>
    <w:rsid w:val="00C8614C"/>
    <w:rsid w:val="00CD2402"/>
    <w:rsid w:val="00CF20A9"/>
    <w:rsid w:val="00D04062"/>
    <w:rsid w:val="00D13752"/>
    <w:rsid w:val="00D14969"/>
    <w:rsid w:val="00D47652"/>
    <w:rsid w:val="00DD49D0"/>
    <w:rsid w:val="00DE1809"/>
    <w:rsid w:val="00E145C8"/>
    <w:rsid w:val="00E2444F"/>
    <w:rsid w:val="00E74B81"/>
    <w:rsid w:val="00EB1236"/>
    <w:rsid w:val="00ED4909"/>
    <w:rsid w:val="00EF2F3C"/>
    <w:rsid w:val="00F03671"/>
    <w:rsid w:val="00F11524"/>
    <w:rsid w:val="00F550F4"/>
    <w:rsid w:val="00F63F74"/>
    <w:rsid w:val="00FA20B7"/>
    <w:rsid w:val="00FA4A4E"/>
    <w:rsid w:val="00FB207F"/>
    <w:rsid w:val="00FF2E7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BAF11"/>
  <w15:chartTrackingRefBased/>
  <w15:docId w15:val="{04B2B3C7-A663-4CC7-944E-3DBFACDB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0B7"/>
    <w:pPr>
      <w:spacing w:after="0" w:line="480" w:lineRule="auto"/>
      <w:ind w:firstLine="720"/>
    </w:pPr>
    <w:rPr>
      <w:rFonts w:ascii="Times New Roman" w:hAnsi="Times New Roman" w:cs="Times New Roman"/>
      <w:kern w:val="0"/>
      <w:shd w:val="clear" w:color="auto" w:fill="FFFFFF"/>
      <w:lang w:val="en-US"/>
      <w14:ligatures w14:val="none"/>
    </w:rPr>
  </w:style>
  <w:style w:type="paragraph" w:styleId="Heading1">
    <w:name w:val="heading 1"/>
    <w:basedOn w:val="Normal"/>
    <w:next w:val="Normal"/>
    <w:link w:val="Heading1Char"/>
    <w:uiPriority w:val="9"/>
    <w:qFormat/>
    <w:rsid w:val="00FA20B7"/>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shd w:val="clear" w:color="auto" w:fill="auto"/>
      <w:lang w:val="en-NL"/>
      <w14:ligatures w14:val="standardContextual"/>
    </w:rPr>
  </w:style>
  <w:style w:type="paragraph" w:styleId="Heading2">
    <w:name w:val="heading 2"/>
    <w:basedOn w:val="Normal"/>
    <w:next w:val="Normal"/>
    <w:link w:val="Heading2Char"/>
    <w:uiPriority w:val="9"/>
    <w:semiHidden/>
    <w:unhideWhenUsed/>
    <w:qFormat/>
    <w:rsid w:val="00FA20B7"/>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shd w:val="clear" w:color="auto" w:fill="auto"/>
      <w:lang w:val="en-NL"/>
      <w14:ligatures w14:val="standardContextual"/>
    </w:rPr>
  </w:style>
  <w:style w:type="paragraph" w:styleId="Heading3">
    <w:name w:val="heading 3"/>
    <w:basedOn w:val="Normal"/>
    <w:next w:val="Normal"/>
    <w:link w:val="Heading3Char"/>
    <w:uiPriority w:val="9"/>
    <w:semiHidden/>
    <w:unhideWhenUsed/>
    <w:qFormat/>
    <w:rsid w:val="00FA20B7"/>
    <w:pPr>
      <w:keepNext/>
      <w:keepLines/>
      <w:spacing w:before="160" w:after="80" w:line="278" w:lineRule="auto"/>
      <w:ind w:firstLine="0"/>
      <w:outlineLvl w:val="2"/>
    </w:pPr>
    <w:rPr>
      <w:rFonts w:asciiTheme="minorHAnsi" w:eastAsiaTheme="majorEastAsia" w:hAnsiTheme="minorHAnsi" w:cstheme="majorBidi"/>
      <w:color w:val="0F4761" w:themeColor="accent1" w:themeShade="BF"/>
      <w:kern w:val="2"/>
      <w:sz w:val="28"/>
      <w:szCs w:val="28"/>
      <w:shd w:val="clear" w:color="auto" w:fill="auto"/>
      <w:lang w:val="en-NL"/>
      <w14:ligatures w14:val="standardContextual"/>
    </w:rPr>
  </w:style>
  <w:style w:type="paragraph" w:styleId="Heading4">
    <w:name w:val="heading 4"/>
    <w:basedOn w:val="Normal"/>
    <w:next w:val="Normal"/>
    <w:link w:val="Heading4Char"/>
    <w:uiPriority w:val="9"/>
    <w:semiHidden/>
    <w:unhideWhenUsed/>
    <w:qFormat/>
    <w:rsid w:val="00FA20B7"/>
    <w:pPr>
      <w:keepNext/>
      <w:keepLines/>
      <w:spacing w:before="80" w:after="40" w:line="278" w:lineRule="auto"/>
      <w:ind w:firstLine="0"/>
      <w:outlineLvl w:val="3"/>
    </w:pPr>
    <w:rPr>
      <w:rFonts w:asciiTheme="minorHAnsi" w:eastAsiaTheme="majorEastAsia" w:hAnsiTheme="minorHAnsi" w:cstheme="majorBidi"/>
      <w:i/>
      <w:iCs/>
      <w:color w:val="0F4761" w:themeColor="accent1" w:themeShade="BF"/>
      <w:kern w:val="2"/>
      <w:shd w:val="clear" w:color="auto" w:fill="auto"/>
      <w:lang w:val="en-NL"/>
      <w14:ligatures w14:val="standardContextual"/>
    </w:rPr>
  </w:style>
  <w:style w:type="paragraph" w:styleId="Heading5">
    <w:name w:val="heading 5"/>
    <w:basedOn w:val="Normal"/>
    <w:next w:val="Normal"/>
    <w:link w:val="Heading5Char"/>
    <w:uiPriority w:val="9"/>
    <w:semiHidden/>
    <w:unhideWhenUsed/>
    <w:qFormat/>
    <w:rsid w:val="00FA20B7"/>
    <w:pPr>
      <w:keepNext/>
      <w:keepLines/>
      <w:spacing w:before="80" w:after="40" w:line="278" w:lineRule="auto"/>
      <w:ind w:firstLine="0"/>
      <w:outlineLvl w:val="4"/>
    </w:pPr>
    <w:rPr>
      <w:rFonts w:asciiTheme="minorHAnsi" w:eastAsiaTheme="majorEastAsia" w:hAnsiTheme="minorHAnsi" w:cstheme="majorBidi"/>
      <w:color w:val="0F4761" w:themeColor="accent1" w:themeShade="BF"/>
      <w:kern w:val="2"/>
      <w:shd w:val="clear" w:color="auto" w:fill="auto"/>
      <w:lang w:val="en-NL"/>
      <w14:ligatures w14:val="standardContextual"/>
    </w:rPr>
  </w:style>
  <w:style w:type="paragraph" w:styleId="Heading6">
    <w:name w:val="heading 6"/>
    <w:basedOn w:val="Normal"/>
    <w:next w:val="Normal"/>
    <w:link w:val="Heading6Char"/>
    <w:uiPriority w:val="9"/>
    <w:semiHidden/>
    <w:unhideWhenUsed/>
    <w:qFormat/>
    <w:rsid w:val="00FA20B7"/>
    <w:pPr>
      <w:keepNext/>
      <w:keepLines/>
      <w:spacing w:before="40" w:line="278" w:lineRule="auto"/>
      <w:ind w:firstLine="0"/>
      <w:outlineLvl w:val="5"/>
    </w:pPr>
    <w:rPr>
      <w:rFonts w:asciiTheme="minorHAnsi" w:eastAsiaTheme="majorEastAsia" w:hAnsiTheme="minorHAnsi" w:cstheme="majorBidi"/>
      <w:i/>
      <w:iCs/>
      <w:color w:val="595959" w:themeColor="text1" w:themeTint="A6"/>
      <w:kern w:val="2"/>
      <w:shd w:val="clear" w:color="auto" w:fill="auto"/>
      <w:lang w:val="en-NL"/>
      <w14:ligatures w14:val="standardContextual"/>
    </w:rPr>
  </w:style>
  <w:style w:type="paragraph" w:styleId="Heading7">
    <w:name w:val="heading 7"/>
    <w:basedOn w:val="Normal"/>
    <w:next w:val="Normal"/>
    <w:link w:val="Heading7Char"/>
    <w:uiPriority w:val="9"/>
    <w:semiHidden/>
    <w:unhideWhenUsed/>
    <w:qFormat/>
    <w:rsid w:val="00FA20B7"/>
    <w:pPr>
      <w:keepNext/>
      <w:keepLines/>
      <w:spacing w:before="40" w:line="278" w:lineRule="auto"/>
      <w:ind w:firstLine="0"/>
      <w:outlineLvl w:val="6"/>
    </w:pPr>
    <w:rPr>
      <w:rFonts w:asciiTheme="minorHAnsi" w:eastAsiaTheme="majorEastAsia" w:hAnsiTheme="minorHAnsi" w:cstheme="majorBidi"/>
      <w:color w:val="595959" w:themeColor="text1" w:themeTint="A6"/>
      <w:kern w:val="2"/>
      <w:shd w:val="clear" w:color="auto" w:fill="auto"/>
      <w:lang w:val="en-NL"/>
      <w14:ligatures w14:val="standardContextual"/>
    </w:rPr>
  </w:style>
  <w:style w:type="paragraph" w:styleId="Heading8">
    <w:name w:val="heading 8"/>
    <w:basedOn w:val="Normal"/>
    <w:next w:val="Normal"/>
    <w:link w:val="Heading8Char"/>
    <w:uiPriority w:val="9"/>
    <w:semiHidden/>
    <w:unhideWhenUsed/>
    <w:qFormat/>
    <w:rsid w:val="00FA20B7"/>
    <w:pPr>
      <w:keepNext/>
      <w:keepLines/>
      <w:spacing w:line="278" w:lineRule="auto"/>
      <w:ind w:firstLine="0"/>
      <w:outlineLvl w:val="7"/>
    </w:pPr>
    <w:rPr>
      <w:rFonts w:asciiTheme="minorHAnsi" w:eastAsiaTheme="majorEastAsia" w:hAnsiTheme="minorHAnsi" w:cstheme="majorBidi"/>
      <w:i/>
      <w:iCs/>
      <w:color w:val="272727" w:themeColor="text1" w:themeTint="D8"/>
      <w:kern w:val="2"/>
      <w:shd w:val="clear" w:color="auto" w:fill="auto"/>
      <w:lang w:val="en-NL"/>
      <w14:ligatures w14:val="standardContextual"/>
    </w:rPr>
  </w:style>
  <w:style w:type="paragraph" w:styleId="Heading9">
    <w:name w:val="heading 9"/>
    <w:basedOn w:val="Normal"/>
    <w:next w:val="Normal"/>
    <w:link w:val="Heading9Char"/>
    <w:uiPriority w:val="9"/>
    <w:semiHidden/>
    <w:unhideWhenUsed/>
    <w:qFormat/>
    <w:rsid w:val="00FA20B7"/>
    <w:pPr>
      <w:keepNext/>
      <w:keepLines/>
      <w:spacing w:line="278" w:lineRule="auto"/>
      <w:ind w:firstLine="0"/>
      <w:outlineLvl w:val="8"/>
    </w:pPr>
    <w:rPr>
      <w:rFonts w:asciiTheme="minorHAnsi" w:eastAsiaTheme="majorEastAsia" w:hAnsiTheme="minorHAnsi" w:cstheme="majorBidi"/>
      <w:color w:val="272727" w:themeColor="text1" w:themeTint="D8"/>
      <w:kern w:val="2"/>
      <w:shd w:val="clear" w:color="auto" w:fill="auto"/>
      <w:lang w:val="en-NL"/>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2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2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2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2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2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2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2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20B7"/>
    <w:rPr>
      <w:rFonts w:eastAsiaTheme="majorEastAsia" w:cstheme="majorBidi"/>
      <w:color w:val="272727" w:themeColor="text1" w:themeTint="D8"/>
    </w:rPr>
  </w:style>
  <w:style w:type="paragraph" w:styleId="Title">
    <w:name w:val="Title"/>
    <w:basedOn w:val="Normal"/>
    <w:next w:val="Normal"/>
    <w:link w:val="TitleChar"/>
    <w:uiPriority w:val="10"/>
    <w:qFormat/>
    <w:rsid w:val="00FA20B7"/>
    <w:pPr>
      <w:spacing w:after="80" w:line="240" w:lineRule="auto"/>
      <w:ind w:firstLine="0"/>
      <w:contextualSpacing/>
    </w:pPr>
    <w:rPr>
      <w:rFonts w:asciiTheme="majorHAnsi" w:eastAsiaTheme="majorEastAsia" w:hAnsiTheme="majorHAnsi" w:cstheme="majorBidi"/>
      <w:spacing w:val="-10"/>
      <w:kern w:val="28"/>
      <w:sz w:val="56"/>
      <w:szCs w:val="56"/>
      <w:shd w:val="clear" w:color="auto" w:fill="auto"/>
      <w:lang w:val="en-NL"/>
      <w14:ligatures w14:val="standardContextual"/>
    </w:rPr>
  </w:style>
  <w:style w:type="character" w:customStyle="1" w:styleId="TitleChar">
    <w:name w:val="Title Char"/>
    <w:basedOn w:val="DefaultParagraphFont"/>
    <w:link w:val="Title"/>
    <w:uiPriority w:val="10"/>
    <w:rsid w:val="00FA2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0B7"/>
    <w:pPr>
      <w:numPr>
        <w:ilvl w:val="1"/>
      </w:numPr>
      <w:spacing w:after="160" w:line="278" w:lineRule="auto"/>
      <w:ind w:firstLine="720"/>
    </w:pPr>
    <w:rPr>
      <w:rFonts w:asciiTheme="minorHAnsi" w:eastAsiaTheme="majorEastAsia" w:hAnsiTheme="minorHAnsi" w:cstheme="majorBidi"/>
      <w:color w:val="595959" w:themeColor="text1" w:themeTint="A6"/>
      <w:spacing w:val="15"/>
      <w:kern w:val="2"/>
      <w:sz w:val="28"/>
      <w:szCs w:val="28"/>
      <w:shd w:val="clear" w:color="auto" w:fill="auto"/>
      <w:lang w:val="en-NL"/>
      <w14:ligatures w14:val="standardContextual"/>
    </w:rPr>
  </w:style>
  <w:style w:type="character" w:customStyle="1" w:styleId="SubtitleChar">
    <w:name w:val="Subtitle Char"/>
    <w:basedOn w:val="DefaultParagraphFont"/>
    <w:link w:val="Subtitle"/>
    <w:uiPriority w:val="11"/>
    <w:rsid w:val="00FA2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20B7"/>
    <w:pPr>
      <w:spacing w:before="160" w:after="160" w:line="278" w:lineRule="auto"/>
      <w:ind w:firstLine="0"/>
      <w:jc w:val="center"/>
    </w:pPr>
    <w:rPr>
      <w:rFonts w:asciiTheme="minorHAnsi" w:hAnsiTheme="minorHAnsi" w:cstheme="minorBidi"/>
      <w:i/>
      <w:iCs/>
      <w:color w:val="404040" w:themeColor="text1" w:themeTint="BF"/>
      <w:kern w:val="2"/>
      <w:shd w:val="clear" w:color="auto" w:fill="auto"/>
      <w:lang w:val="en-NL"/>
      <w14:ligatures w14:val="standardContextual"/>
    </w:rPr>
  </w:style>
  <w:style w:type="character" w:customStyle="1" w:styleId="QuoteChar">
    <w:name w:val="Quote Char"/>
    <w:basedOn w:val="DefaultParagraphFont"/>
    <w:link w:val="Quote"/>
    <w:uiPriority w:val="29"/>
    <w:rsid w:val="00FA20B7"/>
    <w:rPr>
      <w:i/>
      <w:iCs/>
      <w:color w:val="404040" w:themeColor="text1" w:themeTint="BF"/>
    </w:rPr>
  </w:style>
  <w:style w:type="paragraph" w:styleId="ListParagraph">
    <w:name w:val="List Paragraph"/>
    <w:basedOn w:val="Normal"/>
    <w:uiPriority w:val="34"/>
    <w:qFormat/>
    <w:rsid w:val="00FA20B7"/>
    <w:pPr>
      <w:spacing w:after="160" w:line="278" w:lineRule="auto"/>
      <w:ind w:left="720" w:firstLine="0"/>
      <w:contextualSpacing/>
    </w:pPr>
    <w:rPr>
      <w:rFonts w:asciiTheme="minorHAnsi" w:hAnsiTheme="minorHAnsi" w:cstheme="minorBidi"/>
      <w:kern w:val="2"/>
      <w:shd w:val="clear" w:color="auto" w:fill="auto"/>
      <w:lang w:val="en-NL"/>
      <w14:ligatures w14:val="standardContextual"/>
    </w:rPr>
  </w:style>
  <w:style w:type="character" w:styleId="IntenseEmphasis">
    <w:name w:val="Intense Emphasis"/>
    <w:basedOn w:val="DefaultParagraphFont"/>
    <w:uiPriority w:val="21"/>
    <w:qFormat/>
    <w:rsid w:val="00FA20B7"/>
    <w:rPr>
      <w:i/>
      <w:iCs/>
      <w:color w:val="0F4761" w:themeColor="accent1" w:themeShade="BF"/>
    </w:rPr>
  </w:style>
  <w:style w:type="paragraph" w:styleId="IntenseQuote">
    <w:name w:val="Intense Quote"/>
    <w:basedOn w:val="Normal"/>
    <w:next w:val="Normal"/>
    <w:link w:val="IntenseQuoteChar"/>
    <w:uiPriority w:val="30"/>
    <w:qFormat/>
    <w:rsid w:val="00FA20B7"/>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hAnsiTheme="minorHAnsi" w:cstheme="minorBidi"/>
      <w:i/>
      <w:iCs/>
      <w:color w:val="0F4761" w:themeColor="accent1" w:themeShade="BF"/>
      <w:kern w:val="2"/>
      <w:shd w:val="clear" w:color="auto" w:fill="auto"/>
      <w:lang w:val="en-NL"/>
      <w14:ligatures w14:val="standardContextual"/>
    </w:rPr>
  </w:style>
  <w:style w:type="character" w:customStyle="1" w:styleId="IntenseQuoteChar">
    <w:name w:val="Intense Quote Char"/>
    <w:basedOn w:val="DefaultParagraphFont"/>
    <w:link w:val="IntenseQuote"/>
    <w:uiPriority w:val="30"/>
    <w:rsid w:val="00FA20B7"/>
    <w:rPr>
      <w:i/>
      <w:iCs/>
      <w:color w:val="0F4761" w:themeColor="accent1" w:themeShade="BF"/>
    </w:rPr>
  </w:style>
  <w:style w:type="character" w:styleId="IntenseReference">
    <w:name w:val="Intense Reference"/>
    <w:basedOn w:val="DefaultParagraphFont"/>
    <w:uiPriority w:val="32"/>
    <w:qFormat/>
    <w:rsid w:val="00FA20B7"/>
    <w:rPr>
      <w:b/>
      <w:bCs/>
      <w:smallCaps/>
      <w:color w:val="0F4761" w:themeColor="accent1" w:themeShade="BF"/>
      <w:spacing w:val="5"/>
    </w:rPr>
  </w:style>
  <w:style w:type="character" w:styleId="PlaceholderText">
    <w:name w:val="Placeholder Text"/>
    <w:basedOn w:val="DefaultParagraphFont"/>
    <w:uiPriority w:val="99"/>
    <w:semiHidden/>
    <w:rsid w:val="00770978"/>
    <w:rPr>
      <w:color w:val="666666"/>
    </w:rPr>
  </w:style>
  <w:style w:type="paragraph" w:styleId="Revision">
    <w:name w:val="Revision"/>
    <w:hidden/>
    <w:uiPriority w:val="99"/>
    <w:semiHidden/>
    <w:rsid w:val="00C00867"/>
    <w:pPr>
      <w:spacing w:after="0" w:line="240" w:lineRule="auto"/>
    </w:pPr>
    <w:rPr>
      <w:rFonts w:ascii="Times New Roman" w:hAnsi="Times New Roman" w:cs="Times New Roman"/>
      <w:kern w:val="0"/>
      <w:shd w:val="clear" w:color="auto" w:fill="FFFFFF"/>
      <w:lang w:val="en-US"/>
      <w14:ligatures w14:val="none"/>
    </w:rPr>
  </w:style>
  <w:style w:type="paragraph" w:styleId="FootnoteText">
    <w:name w:val="footnote text"/>
    <w:basedOn w:val="Normal"/>
    <w:link w:val="FootnoteTextChar"/>
    <w:uiPriority w:val="99"/>
    <w:semiHidden/>
    <w:unhideWhenUsed/>
    <w:rsid w:val="00C00867"/>
    <w:pPr>
      <w:spacing w:line="240" w:lineRule="auto"/>
    </w:pPr>
    <w:rPr>
      <w:sz w:val="20"/>
      <w:szCs w:val="20"/>
    </w:rPr>
  </w:style>
  <w:style w:type="character" w:customStyle="1" w:styleId="FootnoteTextChar">
    <w:name w:val="Footnote Text Char"/>
    <w:basedOn w:val="DefaultParagraphFont"/>
    <w:link w:val="FootnoteText"/>
    <w:uiPriority w:val="99"/>
    <w:semiHidden/>
    <w:rsid w:val="00C00867"/>
    <w:rPr>
      <w:rFonts w:ascii="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C00867"/>
    <w:rPr>
      <w:vertAlign w:val="superscript"/>
    </w:rPr>
  </w:style>
  <w:style w:type="character" w:styleId="CommentReference">
    <w:name w:val="annotation reference"/>
    <w:basedOn w:val="DefaultParagraphFont"/>
    <w:uiPriority w:val="99"/>
    <w:semiHidden/>
    <w:unhideWhenUsed/>
    <w:rsid w:val="00D14969"/>
    <w:rPr>
      <w:sz w:val="16"/>
      <w:szCs w:val="16"/>
    </w:rPr>
  </w:style>
  <w:style w:type="paragraph" w:styleId="CommentText">
    <w:name w:val="annotation text"/>
    <w:basedOn w:val="Normal"/>
    <w:link w:val="CommentTextChar"/>
    <w:uiPriority w:val="99"/>
    <w:semiHidden/>
    <w:unhideWhenUsed/>
    <w:rsid w:val="00D14969"/>
    <w:pPr>
      <w:spacing w:line="240" w:lineRule="auto"/>
    </w:pPr>
    <w:rPr>
      <w:sz w:val="20"/>
      <w:szCs w:val="20"/>
    </w:rPr>
  </w:style>
  <w:style w:type="character" w:customStyle="1" w:styleId="CommentTextChar">
    <w:name w:val="Comment Text Char"/>
    <w:basedOn w:val="DefaultParagraphFont"/>
    <w:link w:val="CommentText"/>
    <w:uiPriority w:val="99"/>
    <w:semiHidden/>
    <w:rsid w:val="00D14969"/>
    <w:rPr>
      <w:rFonts w:ascii="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14969"/>
    <w:rPr>
      <w:b/>
      <w:bCs/>
    </w:rPr>
  </w:style>
  <w:style w:type="character" w:customStyle="1" w:styleId="CommentSubjectChar">
    <w:name w:val="Comment Subject Char"/>
    <w:basedOn w:val="CommentTextChar"/>
    <w:link w:val="CommentSubject"/>
    <w:uiPriority w:val="99"/>
    <w:semiHidden/>
    <w:rsid w:val="00D14969"/>
    <w:rPr>
      <w:rFonts w:ascii="Times New Roman" w:hAnsi="Times New Roman" w:cs="Times New Roman"/>
      <w:b/>
      <w:bCs/>
      <w:kern w:val="0"/>
      <w:sz w:val="20"/>
      <w:szCs w:val="20"/>
      <w:lang w:val="en-US"/>
      <w14:ligatures w14:val="none"/>
    </w:rPr>
  </w:style>
  <w:style w:type="paragraph" w:styleId="Header">
    <w:name w:val="header"/>
    <w:basedOn w:val="Normal"/>
    <w:link w:val="HeaderChar"/>
    <w:uiPriority w:val="99"/>
    <w:unhideWhenUsed/>
    <w:rsid w:val="004917AC"/>
    <w:pPr>
      <w:tabs>
        <w:tab w:val="center" w:pos="4513"/>
        <w:tab w:val="right" w:pos="9026"/>
      </w:tabs>
      <w:spacing w:line="240" w:lineRule="auto"/>
    </w:pPr>
  </w:style>
  <w:style w:type="character" w:customStyle="1" w:styleId="HeaderChar">
    <w:name w:val="Header Char"/>
    <w:basedOn w:val="DefaultParagraphFont"/>
    <w:link w:val="Header"/>
    <w:uiPriority w:val="99"/>
    <w:rsid w:val="004917AC"/>
    <w:rPr>
      <w:rFonts w:ascii="Times New Roman" w:hAnsi="Times New Roman" w:cs="Times New Roman"/>
      <w:kern w:val="0"/>
      <w:lang w:val="en-US"/>
      <w14:ligatures w14:val="none"/>
    </w:rPr>
  </w:style>
  <w:style w:type="paragraph" w:styleId="Footer">
    <w:name w:val="footer"/>
    <w:basedOn w:val="Normal"/>
    <w:link w:val="FooterChar"/>
    <w:uiPriority w:val="99"/>
    <w:unhideWhenUsed/>
    <w:rsid w:val="004917AC"/>
    <w:pPr>
      <w:tabs>
        <w:tab w:val="center" w:pos="4513"/>
        <w:tab w:val="right" w:pos="9026"/>
      </w:tabs>
      <w:spacing w:line="240" w:lineRule="auto"/>
    </w:pPr>
  </w:style>
  <w:style w:type="character" w:customStyle="1" w:styleId="FooterChar">
    <w:name w:val="Footer Char"/>
    <w:basedOn w:val="DefaultParagraphFont"/>
    <w:link w:val="Footer"/>
    <w:uiPriority w:val="99"/>
    <w:rsid w:val="004917AC"/>
    <w:rPr>
      <w:rFonts w:ascii="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87889">
      <w:bodyDiv w:val="1"/>
      <w:marLeft w:val="0"/>
      <w:marRight w:val="0"/>
      <w:marTop w:val="0"/>
      <w:marBottom w:val="0"/>
      <w:divBdr>
        <w:top w:val="none" w:sz="0" w:space="0" w:color="auto"/>
        <w:left w:val="none" w:sz="0" w:space="0" w:color="auto"/>
        <w:bottom w:val="none" w:sz="0" w:space="0" w:color="auto"/>
        <w:right w:val="none" w:sz="0" w:space="0" w:color="auto"/>
      </w:divBdr>
    </w:div>
    <w:div w:id="867910113">
      <w:bodyDiv w:val="1"/>
      <w:marLeft w:val="0"/>
      <w:marRight w:val="0"/>
      <w:marTop w:val="0"/>
      <w:marBottom w:val="0"/>
      <w:divBdr>
        <w:top w:val="none" w:sz="0" w:space="0" w:color="auto"/>
        <w:left w:val="none" w:sz="0" w:space="0" w:color="auto"/>
        <w:bottom w:val="none" w:sz="0" w:space="0" w:color="auto"/>
        <w:right w:val="none" w:sz="0" w:space="0" w:color="auto"/>
      </w:divBdr>
      <w:divsChild>
        <w:div w:id="64881866">
          <w:marLeft w:val="480"/>
          <w:marRight w:val="0"/>
          <w:marTop w:val="0"/>
          <w:marBottom w:val="0"/>
          <w:divBdr>
            <w:top w:val="none" w:sz="0" w:space="0" w:color="auto"/>
            <w:left w:val="none" w:sz="0" w:space="0" w:color="auto"/>
            <w:bottom w:val="none" w:sz="0" w:space="0" w:color="auto"/>
            <w:right w:val="none" w:sz="0" w:space="0" w:color="auto"/>
          </w:divBdr>
        </w:div>
        <w:div w:id="2007055041">
          <w:marLeft w:val="480"/>
          <w:marRight w:val="0"/>
          <w:marTop w:val="0"/>
          <w:marBottom w:val="0"/>
          <w:divBdr>
            <w:top w:val="none" w:sz="0" w:space="0" w:color="auto"/>
            <w:left w:val="none" w:sz="0" w:space="0" w:color="auto"/>
            <w:bottom w:val="none" w:sz="0" w:space="0" w:color="auto"/>
            <w:right w:val="none" w:sz="0" w:space="0" w:color="auto"/>
          </w:divBdr>
        </w:div>
        <w:div w:id="1433940226">
          <w:marLeft w:val="480"/>
          <w:marRight w:val="0"/>
          <w:marTop w:val="0"/>
          <w:marBottom w:val="0"/>
          <w:divBdr>
            <w:top w:val="none" w:sz="0" w:space="0" w:color="auto"/>
            <w:left w:val="none" w:sz="0" w:space="0" w:color="auto"/>
            <w:bottom w:val="none" w:sz="0" w:space="0" w:color="auto"/>
            <w:right w:val="none" w:sz="0" w:space="0" w:color="auto"/>
          </w:divBdr>
        </w:div>
        <w:div w:id="687029654">
          <w:marLeft w:val="480"/>
          <w:marRight w:val="0"/>
          <w:marTop w:val="0"/>
          <w:marBottom w:val="0"/>
          <w:divBdr>
            <w:top w:val="none" w:sz="0" w:space="0" w:color="auto"/>
            <w:left w:val="none" w:sz="0" w:space="0" w:color="auto"/>
            <w:bottom w:val="none" w:sz="0" w:space="0" w:color="auto"/>
            <w:right w:val="none" w:sz="0" w:space="0" w:color="auto"/>
          </w:divBdr>
        </w:div>
      </w:divsChild>
    </w:div>
    <w:div w:id="874393110">
      <w:bodyDiv w:val="1"/>
      <w:marLeft w:val="0"/>
      <w:marRight w:val="0"/>
      <w:marTop w:val="0"/>
      <w:marBottom w:val="0"/>
      <w:divBdr>
        <w:top w:val="none" w:sz="0" w:space="0" w:color="auto"/>
        <w:left w:val="none" w:sz="0" w:space="0" w:color="auto"/>
        <w:bottom w:val="none" w:sz="0" w:space="0" w:color="auto"/>
        <w:right w:val="none" w:sz="0" w:space="0" w:color="auto"/>
      </w:divBdr>
      <w:divsChild>
        <w:div w:id="541212806">
          <w:marLeft w:val="480"/>
          <w:marRight w:val="0"/>
          <w:marTop w:val="0"/>
          <w:marBottom w:val="0"/>
          <w:divBdr>
            <w:top w:val="none" w:sz="0" w:space="0" w:color="auto"/>
            <w:left w:val="none" w:sz="0" w:space="0" w:color="auto"/>
            <w:bottom w:val="none" w:sz="0" w:space="0" w:color="auto"/>
            <w:right w:val="none" w:sz="0" w:space="0" w:color="auto"/>
          </w:divBdr>
        </w:div>
        <w:div w:id="1982152505">
          <w:marLeft w:val="480"/>
          <w:marRight w:val="0"/>
          <w:marTop w:val="0"/>
          <w:marBottom w:val="0"/>
          <w:divBdr>
            <w:top w:val="none" w:sz="0" w:space="0" w:color="auto"/>
            <w:left w:val="none" w:sz="0" w:space="0" w:color="auto"/>
            <w:bottom w:val="none" w:sz="0" w:space="0" w:color="auto"/>
            <w:right w:val="none" w:sz="0" w:space="0" w:color="auto"/>
          </w:divBdr>
        </w:div>
        <w:div w:id="1326857012">
          <w:marLeft w:val="480"/>
          <w:marRight w:val="0"/>
          <w:marTop w:val="0"/>
          <w:marBottom w:val="0"/>
          <w:divBdr>
            <w:top w:val="none" w:sz="0" w:space="0" w:color="auto"/>
            <w:left w:val="none" w:sz="0" w:space="0" w:color="auto"/>
            <w:bottom w:val="none" w:sz="0" w:space="0" w:color="auto"/>
            <w:right w:val="none" w:sz="0" w:space="0" w:color="auto"/>
          </w:divBdr>
        </w:div>
        <w:div w:id="1410154356">
          <w:marLeft w:val="480"/>
          <w:marRight w:val="0"/>
          <w:marTop w:val="0"/>
          <w:marBottom w:val="0"/>
          <w:divBdr>
            <w:top w:val="none" w:sz="0" w:space="0" w:color="auto"/>
            <w:left w:val="none" w:sz="0" w:space="0" w:color="auto"/>
            <w:bottom w:val="none" w:sz="0" w:space="0" w:color="auto"/>
            <w:right w:val="none" w:sz="0" w:space="0" w:color="auto"/>
          </w:divBdr>
        </w:div>
      </w:divsChild>
    </w:div>
    <w:div w:id="884440105">
      <w:bodyDiv w:val="1"/>
      <w:marLeft w:val="0"/>
      <w:marRight w:val="0"/>
      <w:marTop w:val="0"/>
      <w:marBottom w:val="0"/>
      <w:divBdr>
        <w:top w:val="none" w:sz="0" w:space="0" w:color="auto"/>
        <w:left w:val="none" w:sz="0" w:space="0" w:color="auto"/>
        <w:bottom w:val="none" w:sz="0" w:space="0" w:color="auto"/>
        <w:right w:val="none" w:sz="0" w:space="0" w:color="auto"/>
      </w:divBdr>
    </w:div>
    <w:div w:id="1467772705">
      <w:bodyDiv w:val="1"/>
      <w:marLeft w:val="0"/>
      <w:marRight w:val="0"/>
      <w:marTop w:val="0"/>
      <w:marBottom w:val="0"/>
      <w:divBdr>
        <w:top w:val="none" w:sz="0" w:space="0" w:color="auto"/>
        <w:left w:val="none" w:sz="0" w:space="0" w:color="auto"/>
        <w:bottom w:val="none" w:sz="0" w:space="0" w:color="auto"/>
        <w:right w:val="none" w:sz="0" w:space="0" w:color="auto"/>
      </w:divBdr>
      <w:divsChild>
        <w:div w:id="1061750161">
          <w:marLeft w:val="480"/>
          <w:marRight w:val="0"/>
          <w:marTop w:val="0"/>
          <w:marBottom w:val="0"/>
          <w:divBdr>
            <w:top w:val="none" w:sz="0" w:space="0" w:color="auto"/>
            <w:left w:val="none" w:sz="0" w:space="0" w:color="auto"/>
            <w:bottom w:val="none" w:sz="0" w:space="0" w:color="auto"/>
            <w:right w:val="none" w:sz="0" w:space="0" w:color="auto"/>
          </w:divBdr>
        </w:div>
        <w:div w:id="1275481276">
          <w:marLeft w:val="480"/>
          <w:marRight w:val="0"/>
          <w:marTop w:val="0"/>
          <w:marBottom w:val="0"/>
          <w:divBdr>
            <w:top w:val="none" w:sz="0" w:space="0" w:color="auto"/>
            <w:left w:val="none" w:sz="0" w:space="0" w:color="auto"/>
            <w:bottom w:val="none" w:sz="0" w:space="0" w:color="auto"/>
            <w:right w:val="none" w:sz="0" w:space="0" w:color="auto"/>
          </w:divBdr>
        </w:div>
      </w:divsChild>
    </w:div>
    <w:div w:id="193111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FF6D1F5AD534FC5BF18C5511153E4CD"/>
        <w:category>
          <w:name w:val="General"/>
          <w:gallery w:val="placeholder"/>
        </w:category>
        <w:types>
          <w:type w:val="bbPlcHdr"/>
        </w:types>
        <w:behaviors>
          <w:behavior w:val="content"/>
        </w:behaviors>
        <w:guid w:val="{587B989E-C2C5-4556-B14E-C2328DD33532}"/>
      </w:docPartPr>
      <w:docPartBody>
        <w:p w:rsidR="004159BE" w:rsidRDefault="004159BE" w:rsidP="004159BE">
          <w:pPr>
            <w:pStyle w:val="AFF6D1F5AD534FC5BF18C5511153E4CD"/>
          </w:pPr>
          <w:r w:rsidRPr="005D26D9">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A871F7CD-F5F7-4A8D-A2C3-2B7780EB6682}"/>
      </w:docPartPr>
      <w:docPartBody>
        <w:p w:rsidR="00247297" w:rsidRDefault="00096CEA">
          <w:r w:rsidRPr="000D53D6">
            <w:rPr>
              <w:rStyle w:val="PlaceholderText"/>
            </w:rPr>
            <w:t>Click or tap here to enter text.</w:t>
          </w:r>
        </w:p>
      </w:docPartBody>
    </w:docPart>
    <w:docPart>
      <w:docPartPr>
        <w:name w:val="CAA9A3E8EC686843B9316E273F70F32E"/>
        <w:category>
          <w:name w:val="General"/>
          <w:gallery w:val="placeholder"/>
        </w:category>
        <w:types>
          <w:type w:val="bbPlcHdr"/>
        </w:types>
        <w:behaviors>
          <w:behavior w:val="content"/>
        </w:behaviors>
        <w:guid w:val="{22A82283-0F69-404E-9C89-AE3E09C2647C}"/>
      </w:docPartPr>
      <w:docPartBody>
        <w:p w:rsidR="00237C45" w:rsidRDefault="00EC2CF3" w:rsidP="00EC2CF3">
          <w:pPr>
            <w:pStyle w:val="CAA9A3E8EC686843B9316E273F70F32E"/>
          </w:pPr>
          <w:r w:rsidRPr="000D53D6">
            <w:rPr>
              <w:rStyle w:val="PlaceholderText"/>
            </w:rPr>
            <w:t>Click or tap here to enter text.</w:t>
          </w:r>
        </w:p>
      </w:docPartBody>
    </w:docPart>
    <w:docPart>
      <w:docPartPr>
        <w:name w:val="13782420DBD9584A9E1CC1728E5E1BC0"/>
        <w:category>
          <w:name w:val="General"/>
          <w:gallery w:val="placeholder"/>
        </w:category>
        <w:types>
          <w:type w:val="bbPlcHdr"/>
        </w:types>
        <w:behaviors>
          <w:behavior w:val="content"/>
        </w:behaviors>
        <w:guid w:val="{D2E5F355-C19C-8042-B3A6-92A24ADBEF1C}"/>
      </w:docPartPr>
      <w:docPartBody>
        <w:p w:rsidR="00237C45" w:rsidRDefault="00EC2CF3" w:rsidP="00EC2CF3">
          <w:pPr>
            <w:pStyle w:val="13782420DBD9584A9E1CC1728E5E1BC0"/>
          </w:pPr>
          <w:r w:rsidRPr="005D26D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BE"/>
    <w:rsid w:val="00001C38"/>
    <w:rsid w:val="00096CEA"/>
    <w:rsid w:val="001842E0"/>
    <w:rsid w:val="001B140F"/>
    <w:rsid w:val="00237C45"/>
    <w:rsid w:val="00247297"/>
    <w:rsid w:val="004159BE"/>
    <w:rsid w:val="0045391A"/>
    <w:rsid w:val="00453C14"/>
    <w:rsid w:val="00616FC2"/>
    <w:rsid w:val="007342FA"/>
    <w:rsid w:val="008C7C8F"/>
    <w:rsid w:val="00AB6887"/>
    <w:rsid w:val="00AF767A"/>
    <w:rsid w:val="00B323E4"/>
    <w:rsid w:val="00C715C9"/>
    <w:rsid w:val="00D13752"/>
    <w:rsid w:val="00E72437"/>
    <w:rsid w:val="00E85885"/>
    <w:rsid w:val="00EC2CF3"/>
    <w:rsid w:val="00F550F4"/>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L" w:eastAsia="en-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6FC2"/>
    <w:rPr>
      <w:color w:val="666666"/>
    </w:rPr>
  </w:style>
  <w:style w:type="paragraph" w:customStyle="1" w:styleId="AFF6D1F5AD534FC5BF18C5511153E4CD">
    <w:name w:val="AFF6D1F5AD534FC5BF18C5511153E4CD"/>
    <w:rsid w:val="004159BE"/>
  </w:style>
  <w:style w:type="paragraph" w:customStyle="1" w:styleId="CAA9A3E8EC686843B9316E273F70F32E">
    <w:name w:val="CAA9A3E8EC686843B9316E273F70F32E"/>
    <w:rsid w:val="00EC2CF3"/>
    <w:rPr>
      <w:lang w:eastAsia="en-GB"/>
    </w:rPr>
  </w:style>
  <w:style w:type="paragraph" w:customStyle="1" w:styleId="13782420DBD9584A9E1CC1728E5E1BC0">
    <w:name w:val="13782420DBD9584A9E1CC1728E5E1BC0"/>
    <w:rsid w:val="00EC2CF3"/>
    <w:rPr>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F42E90-9628-445B-A161-88197A7B1986}">
  <we:reference id="f78a3046-9e99-4300-aa2b-5814002b01a2" version="1.55.1.0" store="EXCatalog" storeType="EXCatalog"/>
  <we:alternateReferences>
    <we:reference id="WA104382081" version="1.55.1.0" store="nl-NL" storeType="OMEX"/>
  </we:alternateReferences>
  <we:properties>
    <we:property name="MENDELEY_CITATIONS" value="[{&quot;citationID&quot;:&quot;MENDELEY_CITATION_f8006868-2016-4d9f-90ee-7f3d404bed90&quot;,&quot;properties&quot;:{&quot;noteIndex&quot;:0},&quot;isEdited&quot;:false,&quot;manualOverride&quot;:{&quot;isManuallyOverridden&quot;:true,&quot;citeprocText&quot;:&quot;(Milinski et al., 2008; Santos &amp;#38; Pacheco, 2011)&quot;,&quot;manualOverrideText&quot;:&quot;(see also Milinski et al., 2008; Santos &amp; Pacheco, 2011)&quot;},&quot;citationTag&quot;:&quot;MENDELEY_CITATION_v3_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&quot;,&quot;citationItems&quot;:[{&quot;id&quot;:&quot;77c61825-d80d-3d00-8193-821d55ef3a34&quot;,&quot;itemData&quot;:{&quot;type&quot;:&quot;article-journal&quot;,&quot;id&quot;:&quot;77c61825-d80d-3d00-8193-821d55ef3a34&quot;,&quot;title&quot;:&quot;Risk of collective failure provides an escape from the tragedy of the commons&quot;,&quot;author&quot;:[{&quot;family&quot;:&quot;Santos&quot;,&quot;given&quot;:&quot;Francisco C.&quot;,&quot;parse-names&quot;:false,&quot;dropping-particle&quot;:&quot;&quot;,&quot;non-dropping-particle&quot;:&quot;&quot;},{&quot;family&quot;:&quot;Pacheco&quot;,&quot;given&quot;:&quot;Jorge M.&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015648108&quot;,&quot;ISSN&quot;:&quot;00278424&quot;,&quot;PMID&quot;:&quot;21659631&quot;,&quot;issued&quot;:{&quot;date-parts&quot;:[[2011,6,28]]},&quot;page&quot;:&quot;10421-10425&quot;,&quot;abstract&quot;:&quot;From group hunting to global warming, how to deal with collective action may be formulated in terms of a public goods game of cooperation. In most cases, contributions depend on the risk of future losses. Here, we introduce an evolutionary dynamics approach to a broad class of cooperation problems in which attempting to minimize future losses turns the risk of failure into a central issue in individual decisions. We find that decisions within small groups under high risk and stringent requirements to success significantly raise the chances of coordinating actions and escaping the tragedy of the commons. We also offer insights on the scale at which public goods problems of cooperation are best solved. Instead of large-scale endeavors involving most of the population, which as we argue, may be counterproductive to achieve cooperation, the joint combination of local agreements within groups that are small compared with the population at risk is prone to significantly raise the probability of success. In addition, our model predicts that, if one takes into consideration that groups of different sizes are interwoven in complex networks of contacts, the chances for global coordination in an overall cooperating state are further enhanced.&quot;,&quot;issue&quot;:&quot;26&quot;,&quot;volume&quot;:&quot;108&quot;},&quot;isTemporary&quot;:false},{&quot;id&quot;:&quot;7684b337-5424-3767-8096-a645cb20d44f&quot;,&quot;itemData&quot;:{&quot;type&quot;:&quot;article-journal&quot;,&quot;id&quot;:&quot;7684b337-5424-3767-8096-a645cb20d44f&quot;,&quot;title&quot;:&quot;The collective-risk social dilemma and the prevention of simulated dangerous climate change&quot;,&quot;author&quot;:[{&quot;family&quot;:&quot;Milinski&quot;,&quot;given&quot;:&quot;Manfred&quot;,&quot;parse-names&quot;:false,&quot;dropping-particle&quot;:&quot;&quot;,&quot;non-dropping-particle&quot;:&quot;&quot;},{&quot;family&quot;:&quot;Sommerfeld&quot;,&quot;given&quot;:&quot;Ralf D&quot;,&quot;parse-names&quot;:false,&quot;dropping-particle&quot;:&quot;&quot;,&quot;non-dropping-particle&quot;:&quot;&quot;},{&quot;family&quot;:&quot;Krambeck&quot;,&quot;given&quot;:&quot;Hans-Jü Rgen&quot;,&quot;parse-names&quot;:false,&quot;dropping-particle&quot;:&quot;&quot;,&quot;non-dropping-particle&quot;:&quot;&quot;},{&quot;family&quot;:&quot;Reed&quot;,&quot;given&quot;:&quot;Floyd A&quot;,&quot;parse-names&quot;:false,&quot;dropping-particle&quot;:&quot;&quot;,&quot;non-dropping-particle&quot;:&quot;&quot;},{&quot;family&quot;:&quot;Marotzke&quot;,&quot;given&quot;:&quot;Jochem&quot;,&quot;parse-names&quot;:false,&quot;dropping-particle&quot;:&quot;&quot;,&quot;non-dropping-particle&quot;:&quot;&quot;}],&quot;container-title&quot;:&quot;Proc Natl Acad Sci U S A&quot;,&quot;URL&quot;:&quot;www.pnas.orgcgidoi10.1073pnas.0709546105&quot;,&quot;issued&quot;:{&quot;date-parts&quot;:[[2008]]},&quot;page&quot;:&quot;2291-2294&quot;,&quot;issue&quot;:&quot;105&quot;,&quot;volume&quot;:&quot;7&quot;,&quot;container-title-short&quot;:&quot;&quot;},&quot;isTemporary&quot;:false}]},{&quot;citationID&quot;:&quot;MENDELEY_CITATION_95287deb-9386-4dd4-9b29-c318805bb98c&quot;,&quot;properties&quot;:{&quot;noteIndex&quot;:0},&quot;isEdited&quot;:false,&quot;manualOverride&quot;:{&quot;isManuallyOverridden&quot;:false,&quot;citeprocText&quot;:&quot;(Traulsen et al., 2006)&quot;,&quot;manualOverrideText&quot;:&quot;&quot;},&quot;citationTag&quot;:&quot;MENDELEY_CITATION_v3_eyJjaXRhdGlvbklEIjoiTUVOREVMRVlfQ0lUQVRJT05fOTUyODdkZWItOTM4Ni00ZGQ0LTliMjktYzMxODgwNWJiOThj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quot;,&quot;citationItems&quot;:[{&quot;id&quot;:&quot;19b5a2dc-219f-301c-81f6-2ea13727f434&quot;,&quot;itemData&quot;:{&quot;type&quot;:&quot;article-journal&quot;,&quot;id&quot;:&quot;19b5a2dc-219f-301c-81f6-2ea13727f434&quot;,&quot;title&quot;:&quot;Stochastic dynamics of invasion and fixation&quot;,&quot;author&quot;:[{&quot;family&quot;:&quot;Traulsen&quot;,&quot;given&quot;:&quot;Arne&quot;,&quot;parse-names&quot;:false,&quot;dropping-particle&quot;:&quot;&quot;,&quot;non-dropping-particle&quot;:&quot;&quot;},{&quot;family&quot;:&quot;Nowak&quot;,&quot;given&quot;:&quot;Martin A&quot;,&quot;parse-names&quot;:false,&quot;dropping-particle&quot;:&quot;&quot;,&quot;non-dropping-particle&quot;:&quot;&quot;},{&quot;family&quot;:&quot;Pacheco&quot;,&quot;given&quot;:&quot;Jorge M&quot;,&quot;parse-names&quot;:false,&quot;dropping-particle&quot;:&quot;&quot;,&quot;non-dropping-particle&quot;:&quot;&quot;}],&quot;container-title&quot;:&quot;Phys Rev E Stat Nonlin Soft Matter Phys&quot;,&quot;issued&quot;:{&quot;date-parts&quot;:[[2006]]},&quot;page&quot;:&quot;11909&quot;,&quot;abstract&quot;:&quot;We study evolutionary game dynamics in finite populations. We analyze an evolutionary process, which we call pairwise comparison, for which we adopt the ubiquitous Fermi distribution function from statistical mechanics. The inverse temperature in this process controls the intensity of selection, leading to a unified framework for evolutionary dynamics at all intensities of selection, from random drift to imitation dynamics. We derive a simple closed formula that determines the feasibility of cooperation in finite populations, whenever cooperation is modeled in terms of any symmetric two-person game. In contrast with previous results, the present formula is valid at all intensities of selection and for any initial condition. We investigate the evolutionary dynamics of cooperators in finite populations, and study the interplay between intensity of selection and the remnants of interior fixed points in infinite populations, as a function of a given initial number of cooperators, showing how this interplay strongly affects the approach to fixation of a given trait in finite populations, leading to counterintuitive results at different intensities of selection. More than 30 years have passed since Maynard-Smith and Price laid the foundations of evolutionary game theory [1]. In this context, the replicator dynamics equation [2-4] has inspired mathematicians, physicists, biologists, economists, psychologists, as well as political and computer scientists to investigate the evolution of traits under natural selection [5-7]. In the absence of mutations, and whenever populations are infinite, homogeneous, and well mixed (each individual is equally likely to interact with any other individual), the (mean-field) description by the deterministic replicator dynamics in which the abundance x of a strategy changes according to its relative payoff ẋ = x(π x − 〈π〉), has led to inumerous insights. In spite of the insights provided by deterministic replicator dynamics, it has been long recognized that populations, being finite, will exhibit stochastic effects that may play a sizable role. Such behavior is well known in physics, where stochastic effects in finite-sized systems have been studied for a long time [8,9]. Studies of stochastic evolutionary dynamics in finite populations, however, have been carried out mostly numerically. Indeed, finite-size populations are an ever-present ingredient in individual-based computer simulations [10-18], which naturally incorporate such stochastic effects. Different intensities of selection have been employed in these studies, ranging from a strong selection framework, captured by the finite-population analog of replicator dynamics [13-17], to an extreme selection pressure under imitation dynamics, used as a metaphor of cultural evolution [4]. Recently, the fixation probability of a trait under frequency-dependent selection in a finite population has been derived [19]. In order to control the interplay of drift and selection, an intensity of selection has been proposed, which measures the impact of the game on the fitness and determines the amplitude of fitness differences on which selection acts. In such a system,&quot;,&quot;issue&quot;:&quot;1&quot;,&quot;volume&quot;:&quot;74&quot;,&quot;container-title-short&quot;:&quot;&quot;},&quot;isTemporary&quot;:false}]},{&quot;citationID&quot;:&quot;MENDELEY_CITATION_4209f1ba-8173-4386-905f-862990337c42&quot;,&quot;properties&quot;:{&quot;noteIndex&quot;:0},&quot;isEdited&quot;:false,&quot;manualOverride&quot;:{&quot;isManuallyOverridden&quot;:false,&quot;citeprocText&quot;:&quot;(Colnaghi, 2025)&quot;,&quot;manualOverrideText&quot;:&quot;&quot;},&quot;citationTag&quot;:&quot;MENDELEY_CITATION_v3_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&quot;,&quot;citationItems&quot;:[{&quot;id&quot;:&quot;b7a1733e-dd29-3dce-8204-a0e45f85d037&quot;,&quot;itemData&quot;:{&quot;type&quot;:&quot;article&quot;,&quot;id&quot;:&quot;b7a1733e-dd29-3dce-8204-a0e45f85d037&quot;,&quot;title&quot;:&quot;Agent-based model for \&quot;The Ecological Origins of\nCollectivism\&quot;\n&quot;,&quot;author&quot;:[{&quot;family&quot;:&quot;Colnaghi&quot;,&quot;given&quot;:&quot;Marco&quot;,&quot;parse-names&quot;:false,&quot;dropping-particle&quot;:&quot;&quot;,&quot;non-dropping-particle&quot;:&quot;&quot;}],&quot;DOI&quot;:&quot;10.5281/zenodo.15198377&quot;,&quot;URL&quot;:&quot;https://doi.org/10.5281/zenodo.15198377&quot;,&quot;issued&quot;:{&quot;date-parts&quot;:[[2025,4]]},&quot;publisher&quot;:&quot;Zenodo&quot;,&quot;container-title-short&quot;:&quot;&quot;},&quot;isTemporary&quot;:false}]},{&quot;citationID&quot;:&quot;MENDELEY_CITATION_55337c46-b20c-4b6e-8ec0-6d4a73f75850&quot;,&quot;properties&quot;:{&quot;noteIndex&quot;:0},&quot;isEdited&quot;:false,&quot;manualOverride&quot;:{&quot;isManuallyOverridden&quot;:false,&quot;citeprocText&quot;:&quot;(Traulsen et al., 2006)&quot;,&quot;manualOverrideText&quot;:&quot;&quot;},&quot;citationTag&quot;:&quot;MENDELEY_CITATION_v3_eyJjaXRhdGlvbklEIjoiTUVOREVMRVlfQ0lUQVRJT05fNTUzMzdjNDYtYjIwYy00YjZlLThlYzAtNmQ0YTczZjc1ODUw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quot;,&quot;citationItems&quot;:[{&quot;id&quot;:&quot;19b5a2dc-219f-301c-81f6-2ea13727f434&quot;,&quot;itemData&quot;:{&quot;type&quot;:&quot;article-journal&quot;,&quot;id&quot;:&quot;19b5a2dc-219f-301c-81f6-2ea13727f434&quot;,&quot;title&quot;:&quot;Stochastic dynamics of invasion and fixation&quot;,&quot;author&quot;:[{&quot;family&quot;:&quot;Traulsen&quot;,&quot;given&quot;:&quot;Arne&quot;,&quot;parse-names&quot;:false,&quot;dropping-particle&quot;:&quot;&quot;,&quot;non-dropping-particle&quot;:&quot;&quot;},{&quot;family&quot;:&quot;Nowak&quot;,&quot;given&quot;:&quot;Martin A&quot;,&quot;parse-names&quot;:false,&quot;dropping-particle&quot;:&quot;&quot;,&quot;non-dropping-particle&quot;:&quot;&quot;},{&quot;family&quot;:&quot;Pacheco&quot;,&quot;given&quot;:&quot;Jorge M&quot;,&quot;parse-names&quot;:false,&quot;dropping-particle&quot;:&quot;&quot;,&quot;non-dropping-particle&quot;:&quot;&quot;}],&quot;container-title&quot;:&quot;Phys Rev E Stat Nonlin Soft Matter Phys&quot;,&quot;issued&quot;:{&quot;date-parts&quot;:[[2006]]},&quot;page&quot;:&quot;11909&quot;,&quot;abstract&quot;:&quot;We study evolutionary game dynamics in finite populations. We analyze an evolutionary process, which we call pairwise comparison, for which we adopt the ubiquitous Fermi distribution function from statistical mechanics. The inverse temperature in this process controls the intensity of selection, leading to a unified framework for evolutionary dynamics at all intensities of selection, from random drift to imitation dynamics. We derive a simple closed formula that determines the feasibility of cooperation in finite populations, whenever cooperation is modeled in terms of any symmetric two-person game. In contrast with previous results, the present formula is valid at all intensities of selection and for any initial condition. We investigate the evolutionary dynamics of cooperators in finite populations, and study the interplay between intensity of selection and the remnants of interior fixed points in infinite populations, as a function of a given initial number of cooperators, showing how this interplay strongly affects the approach to fixation of a given trait in finite populations, leading to counterintuitive results at different intensities of selection. More than 30 years have passed since Maynard-Smith and Price laid the foundations of evolutionary game theory [1]. In this context, the replicator dynamics equation [2-4] has inspired mathematicians, physicists, biologists, economists, psychologists, as well as political and computer scientists to investigate the evolution of traits under natural selection [5-7]. In the absence of mutations, and whenever populations are infinite, homogeneous, and well mixed (each individual is equally likely to interact with any other individual), the (mean-field) description by the deterministic replicator dynamics in which the abundance x of a strategy changes according to its relative payoff ẋ = x(π x − 〈π〉), has led to inumerous insights. In spite of the insights provided by deterministic replicator dynamics, it has been long recognized that populations, being finite, will exhibit stochastic effects that may play a sizable role. Such behavior is well known in physics, where stochastic effects in finite-sized systems have been studied for a long time [8,9]. Studies of stochastic evolutionary dynamics in finite populations, however, have been carried out mostly numerically. Indeed, finite-size populations are an ever-present ingredient in individual-based computer simulations [10-18], which naturally incorporate such stochastic effects. Different intensities of selection have been employed in these studies, ranging from a strong selection framework, captured by the finite-population analog of replicator dynamics [13-17], to an extreme selection pressure under imitation dynamics, used as a metaphor of cultural evolution [4]. Recently, the fixation probability of a trait under frequency-dependent selection in a finite population has been derived [19]. In order to control the interplay of drift and selection, an intensity of selection has been proposed, which measures the impact of the game on the fitness and determines the amplitude of fitness differences on which selection acts. In such a system,&quot;,&quot;issue&quot;:&quot;1&quot;,&quot;volume&quot;:&quot;74&quot;,&quot;container-title-short&quot;:&quot;&quot;},&quot;isTemporary&quot;:false}]},{&quot;citationID&quot;:&quot;MENDELEY_CITATION_d5ceed95-8d56-4e6c-a31e-fc7711ac15ab&quot;,&quot;properties&quot;:{&quot;noteIndex&quot;:0},&quot;isEdited&quot;:false,&quot;manualOverride&quot;:{&quot;isManuallyOverridden&quot;:false,&quot;citeprocText&quot;:&quot;(Traulsen et al., 2006)&quot;,&quot;manualOverrideText&quot;:&quot;&quot;},&quot;citationTag&quot;:&quot;MENDELEY_CITATION_v3_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&quot;,&quot;citationItems&quot;:[{&quot;id&quot;:&quot;19b5a2dc-219f-301c-81f6-2ea13727f434&quot;,&quot;itemData&quot;:{&quot;type&quot;:&quot;article-journal&quot;,&quot;id&quot;:&quot;19b5a2dc-219f-301c-81f6-2ea13727f434&quot;,&quot;title&quot;:&quot;Stochastic dynamics of invasion and fixation&quot;,&quot;author&quot;:[{&quot;family&quot;:&quot;Traulsen&quot;,&quot;given&quot;:&quot;Arne&quot;,&quot;parse-names&quot;:false,&quot;dropping-particle&quot;:&quot;&quot;,&quot;non-dropping-particle&quot;:&quot;&quot;},{&quot;family&quot;:&quot;Nowak&quot;,&quot;given&quot;:&quot;Martin A&quot;,&quot;parse-names&quot;:false,&quot;dropping-particle&quot;:&quot;&quot;,&quot;non-dropping-particle&quot;:&quot;&quot;},{&quot;family&quot;:&quot;Pacheco&quot;,&quot;given&quot;:&quot;Jorge M&quot;,&quot;parse-names&quot;:false,&quot;dropping-particle&quot;:&quot;&quot;,&quot;non-dropping-particle&quot;:&quot;&quot;}],&quot;container-title&quot;:&quot;Phys Rev E Stat Nonlin Soft Matter Phys&quot;,&quot;issued&quot;:{&quot;date-parts&quot;:[[2006]]},&quot;page&quot;:&quot;11909&quot;,&quot;abstract&quot;:&quot;We study evolutionary game dynamics in finite populations. We analyze an evolutionary process, which we call pairwise comparison, for which we adopt the ubiquitous Fermi distribution function from statistical mechanics. The inverse temperature in this process controls the intensity of selection, leading to a unified framework for evolutionary dynamics at all intensities of selection, from random drift to imitation dynamics. We derive a simple closed formula that determines the feasibility of cooperation in finite populations, whenever cooperation is modeled in terms of any symmetric two-person game. In contrast with previous results, the present formula is valid at all intensities of selection and for any initial condition. We investigate the evolutionary dynamics of cooperators in finite populations, and study the interplay between intensity of selection and the remnants of interior fixed points in infinite populations, as a function of a given initial number of cooperators, showing how this interplay strongly affects the approach to fixation of a given trait in finite populations, leading to counterintuitive results at different intensities of selection. More than 30 years have passed since Maynard-Smith and Price laid the foundations of evolutionary game theory [1]. In this context, the replicator dynamics equation [2-4] has inspired mathematicians, physicists, biologists, economists, psychologists, as well as political and computer scientists to investigate the evolution of traits under natural selection [5-7]. In the absence of mutations, and whenever populations are infinite, homogeneous, and well mixed (each individual is equally likely to interact with any other individual), the (mean-field) description by the deterministic replicator dynamics in which the abundance x of a strategy changes according to its relative payoff ẋ = x(π x − 〈π〉), has led to inumerous insights. In spite of the insights provided by deterministic replicator dynamics, it has been long recognized that populations, being finite, will exhibit stochastic effects that may play a sizable role. Such behavior is well known in physics, where stochastic effects in finite-sized systems have been studied for a long time [8,9]. Studies of stochastic evolutionary dynamics in finite populations, however, have been carried out mostly numerically. Indeed, finite-size populations are an ever-present ingredient in individual-based computer simulations [10-18], which naturally incorporate such stochastic effects. Different intensities of selection have been employed in these studies, ranging from a strong selection framework, captured by the finite-population analog of replicator dynamics [13-17], to an extreme selection pressure under imitation dynamics, used as a metaphor of cultural evolution [4]. Recently, the fixation probability of a trait under frequency-dependent selection in a finite population has been derived [19]. In order to control the interplay of drift and selection, an intensity of selection has been proposed, which measures the impact of the game on the fitness and determines the amplitude of fitness differences on which selection acts. In such a system,&quot;,&quot;issue&quot;:&quot;1&quot;,&quot;volume&quot;:&quot;7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07BC4-3644-4CE4-81E6-BC00F75B9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1287</Words>
  <Characters>7342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Colnaghi, M. (Marco)</dc:creator>
  <cp:keywords/>
  <dc:description/>
  <cp:lastModifiedBy>Colnaghi, M. (Marco)</cp:lastModifiedBy>
  <cp:revision>86</cp:revision>
  <dcterms:created xsi:type="dcterms:W3CDTF">2025-02-06T12:17:00Z</dcterms:created>
  <dcterms:modified xsi:type="dcterms:W3CDTF">2025-04-30T14:20:00Z</dcterms:modified>
</cp:coreProperties>
</file>