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56F8B" w14:textId="77777777" w:rsidR="00CC37E6" w:rsidRPr="00287C29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 w:rsidRPr="00287C29">
        <w:rPr>
          <w:rFonts w:eastAsia="MS Mincho" w:cs="Times New Roman"/>
          <w:b/>
          <w:bCs/>
          <w:szCs w:val="24"/>
        </w:rPr>
        <w:t xml:space="preserve">Supplemental Table </w:t>
      </w:r>
      <w:r w:rsidRPr="006C5FD5">
        <w:rPr>
          <w:rFonts w:eastAsia="MS Mincho" w:cs="Times New Roman"/>
          <w:b/>
          <w:bCs/>
          <w:szCs w:val="24"/>
        </w:rPr>
        <w:t>1</w:t>
      </w:r>
      <w:r w:rsidRPr="00287C29">
        <w:rPr>
          <w:rFonts w:eastAsia="MS Mincho" w:cs="Times New Roman"/>
          <w:b/>
          <w:bCs/>
          <w:szCs w:val="24"/>
        </w:rPr>
        <w:t>.</w:t>
      </w:r>
      <w:r w:rsidRPr="00287C29">
        <w:rPr>
          <w:rFonts w:eastAsia="MS Mincho" w:cs="Times New Roman"/>
          <w:szCs w:val="24"/>
        </w:rPr>
        <w:t xml:space="preserve"> Mean (</w:t>
      </w:r>
      <w:r w:rsidRPr="000A4A10">
        <w:rPr>
          <w:rFonts w:eastAsia="MS Mincho" w:cs="Times New Roman"/>
          <w:i/>
          <w:szCs w:val="24"/>
        </w:rPr>
        <w:t>SD</w:t>
      </w:r>
      <w:r w:rsidRPr="00287C29">
        <w:rPr>
          <w:rFonts w:eastAsia="MS Mincho" w:cs="Times New Roman"/>
          <w:szCs w:val="24"/>
        </w:rPr>
        <w:t xml:space="preserve">) PROMIS </w:t>
      </w:r>
      <w:r>
        <w:rPr>
          <w:rFonts w:eastAsia="MS Mincho" w:cs="Times New Roman"/>
          <w:szCs w:val="24"/>
        </w:rPr>
        <w:t xml:space="preserve">functioning </w:t>
      </w:r>
      <w:r w:rsidRPr="00287C29">
        <w:rPr>
          <w:rFonts w:eastAsia="MS Mincho" w:cs="Times New Roman"/>
          <w:szCs w:val="24"/>
        </w:rPr>
        <w:t xml:space="preserve">scores by week, treatment group, and delivery mode (in-person vs remote). 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1524"/>
        <w:gridCol w:w="1829"/>
        <w:gridCol w:w="1710"/>
        <w:gridCol w:w="2070"/>
      </w:tblGrid>
      <w:tr w:rsidR="00CC37E6" w:rsidRPr="006C5FD5" w14:paraId="6360A21D" w14:textId="77777777" w:rsidTr="00C81F2D">
        <w:trPr>
          <w:tblCellSpacing w:w="15" w:type="dxa"/>
        </w:trPr>
        <w:tc>
          <w:tcPr>
            <w:tcW w:w="914" w:type="dxa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18E50D1A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</w:p>
        </w:tc>
        <w:tc>
          <w:tcPr>
            <w:tcW w:w="3323" w:type="dxa"/>
            <w:gridSpan w:val="2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26345D9D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>
              <w:rPr>
                <w:rFonts w:eastAsia="MS Mincho" w:cs="Times New Roman"/>
                <w:b/>
                <w:bCs/>
                <w:szCs w:val="24"/>
              </w:rPr>
              <w:t>BASIS Only Feedback Group</w:t>
            </w:r>
          </w:p>
        </w:tc>
        <w:tc>
          <w:tcPr>
            <w:tcW w:w="3735" w:type="dxa"/>
            <w:gridSpan w:val="2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1F8083B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>
              <w:rPr>
                <w:rFonts w:eastAsia="MS Mincho" w:cs="Times New Roman"/>
                <w:b/>
                <w:bCs/>
                <w:szCs w:val="24"/>
              </w:rPr>
              <w:t>Trust/Respect Feedback Group</w:t>
            </w:r>
          </w:p>
        </w:tc>
      </w:tr>
      <w:tr w:rsidR="00CC37E6" w:rsidRPr="006C5FD5" w14:paraId="716D19A4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3814D8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Week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8461EF" w14:textId="77777777" w:rsidR="00CC37E6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In-Person</w:t>
            </w:r>
          </w:p>
          <w:p w14:paraId="60ADE1E4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Mean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SD</w:t>
            </w:r>
            <w:r w:rsidRPr="006C5FD5">
              <w:rPr>
                <w:rFonts w:eastAsia="MS Mincho" w:cs="Times New Roman"/>
                <w:b/>
                <w:bCs/>
                <w:szCs w:val="24"/>
              </w:rPr>
              <w:t xml:space="preserve">),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n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BFE064" w14:textId="77777777" w:rsidR="00CC37E6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Remote</w:t>
            </w:r>
          </w:p>
          <w:p w14:paraId="211019C6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Mean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SD</w:t>
            </w:r>
            <w:r w:rsidRPr="006C5FD5">
              <w:rPr>
                <w:rFonts w:eastAsia="MS Mincho" w:cs="Times New Roman"/>
                <w:b/>
                <w:bCs/>
                <w:szCs w:val="24"/>
              </w:rPr>
              <w:t xml:space="preserve">),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n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B97250" w14:textId="77777777" w:rsidR="00CC37E6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In-Person</w:t>
            </w:r>
          </w:p>
          <w:p w14:paraId="42630F13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Mean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SD</w:t>
            </w:r>
            <w:r w:rsidRPr="006C5FD5">
              <w:rPr>
                <w:rFonts w:eastAsia="MS Mincho" w:cs="Times New Roman"/>
                <w:b/>
                <w:bCs/>
                <w:szCs w:val="24"/>
              </w:rPr>
              <w:t xml:space="preserve">),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n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462597" w14:textId="77777777" w:rsidR="00CC37E6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Remote</w:t>
            </w:r>
          </w:p>
          <w:p w14:paraId="371D12F5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Mean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SD</w:t>
            </w:r>
            <w:r w:rsidRPr="006C5FD5">
              <w:rPr>
                <w:rFonts w:eastAsia="MS Mincho" w:cs="Times New Roman"/>
                <w:b/>
                <w:bCs/>
                <w:szCs w:val="24"/>
              </w:rPr>
              <w:t xml:space="preserve">),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n</w:t>
            </w:r>
          </w:p>
        </w:tc>
      </w:tr>
      <w:tr w:rsidR="00CC37E6" w:rsidRPr="006C5FD5" w14:paraId="3B8D1CE1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7DA437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C5FD5">
              <w:rPr>
                <w:rFonts w:eastAsia="MS Mincho" w:cs="Times New Roman"/>
                <w:b/>
                <w:bCs/>
                <w:szCs w:val="24"/>
              </w:rPr>
              <w:t>Baseline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117A5E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1.52 (0.96), 10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903E51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1.49 (1.01), 64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38A63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1.56 (1.08), 14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D0AD17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1.50 (1.02), 74</w:t>
            </w:r>
          </w:p>
        </w:tc>
      </w:tr>
      <w:tr w:rsidR="00CC37E6" w:rsidRPr="006C5FD5" w14:paraId="77CEF8FB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99AF31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E2C145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1.70 (0.91), 10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1D3F12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1.57 (1.06), 64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096890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1.77 (1.23), 14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FD19AE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1.59 (1.06), 74</w:t>
            </w:r>
          </w:p>
        </w:tc>
      </w:tr>
      <w:tr w:rsidR="00CC37E6" w:rsidRPr="006C5FD5" w14:paraId="5747D032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32AE0B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4BB562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2.05 (0.99), 10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7A6531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1.92 (0.97), 64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88D48F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1.75 (1.18), 14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4F1790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1.85 (1.06), 74</w:t>
            </w:r>
          </w:p>
        </w:tc>
      </w:tr>
      <w:tr w:rsidR="00CC37E6" w:rsidRPr="006C5FD5" w14:paraId="4F78FB84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0AE2AE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3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A72938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1.78 (0.95), 10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E5147E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2.05 (1.06), 64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502D19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1.89 (1.28), 14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DECD5C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1.97 (1.06), 74</w:t>
            </w:r>
          </w:p>
        </w:tc>
      </w:tr>
      <w:tr w:rsidR="00CC37E6" w:rsidRPr="006C5FD5" w14:paraId="4E00374A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55E086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4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937242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2.07 (1.28), 7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93384D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2.08 (1.05), 59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E3B225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2.09 (1.25), 11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361CEC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2.10 (1.00), 69</w:t>
            </w:r>
          </w:p>
        </w:tc>
      </w:tr>
      <w:tr w:rsidR="00CC37E6" w:rsidRPr="006C5FD5" w14:paraId="39B096B1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55FC81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5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C4E3E9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1.85 (0.49), 5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685603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2.06 (0.97), 53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B86803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2.00 (1.55), 7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7B1A67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2.17 (1.05), 66</w:t>
            </w:r>
          </w:p>
        </w:tc>
      </w:tr>
      <w:tr w:rsidR="00CC37E6" w:rsidRPr="006C5FD5" w14:paraId="27F6A678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91E3C2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6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DB730C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2.30 (0.48), 5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D990F1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2.13 (1.07), 49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9A3182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2.67 (0.88), 6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6A3EC4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2.12 (1.09), 57</w:t>
            </w:r>
          </w:p>
        </w:tc>
      </w:tr>
      <w:tr w:rsidR="00CC37E6" w:rsidRPr="006C5FD5" w14:paraId="60456DCE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5D0516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7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98FF5F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1.88 (0.66), 4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89CC4F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2.06 (1.08), 44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6FC2A5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2.40 (1.64), 5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8B2CDF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2.21 (1.27), 48</w:t>
            </w:r>
          </w:p>
        </w:tc>
      </w:tr>
      <w:tr w:rsidR="00CC37E6" w:rsidRPr="006C5FD5" w14:paraId="01921D1F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926F58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8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C6784F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2.00 (0.00), 3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023369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2.08 (1.04), 40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7B0C47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2.20 (1.32), 5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92BE0E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2.19 (1.12), 40</w:t>
            </w:r>
          </w:p>
        </w:tc>
      </w:tr>
      <w:tr w:rsidR="00CC37E6" w:rsidRPr="006C5FD5" w14:paraId="5E04E6D4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73CF74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9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EA80E4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2.33 (0.58), 3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5F7169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2.24 (0.99), 35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8EA707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2.50 (1.29), 4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AAA83C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2.34 (1.06), 35</w:t>
            </w:r>
          </w:p>
        </w:tc>
      </w:tr>
      <w:tr w:rsidR="00CC37E6" w:rsidRPr="006C5FD5" w14:paraId="5A77414D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18358B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10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CB103B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2.33 (0.58), 3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3A6F4B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2.15 (1.03), 32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C4B23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2.67 (1.53), 3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6B7513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2.46 (1.12), 27</w:t>
            </w:r>
          </w:p>
        </w:tc>
      </w:tr>
      <w:tr w:rsidR="00CC37E6" w:rsidRPr="006C5FD5" w14:paraId="2AE351C2" w14:textId="77777777" w:rsidTr="00C81F2D">
        <w:trPr>
          <w:tblCellSpacing w:w="15" w:type="dxa"/>
        </w:trPr>
        <w:tc>
          <w:tcPr>
            <w:tcW w:w="914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2C111A4A" w14:textId="77777777" w:rsidR="00CC37E6" w:rsidRPr="006C5FD5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11</w:t>
            </w:r>
          </w:p>
        </w:tc>
        <w:tc>
          <w:tcPr>
            <w:tcW w:w="1494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272A5144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proofErr w:type="gramStart"/>
            <w:r w:rsidRPr="006C5FD5">
              <w:rPr>
                <w:rFonts w:eastAsia="MS Mincho" w:cs="Times New Roman"/>
                <w:szCs w:val="24"/>
              </w:rPr>
              <w:t>2.00 (—</w:t>
            </w:r>
            <w:proofErr w:type="gramEnd"/>
            <w:r w:rsidRPr="006C5FD5">
              <w:rPr>
                <w:rFonts w:eastAsia="MS Mincho" w:cs="Times New Roman"/>
                <w:szCs w:val="24"/>
              </w:rPr>
              <w:t>), 1</w:t>
            </w:r>
          </w:p>
        </w:tc>
        <w:tc>
          <w:tcPr>
            <w:tcW w:w="1799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1D7C6304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2.13 (0.95), 23</w:t>
            </w:r>
          </w:p>
        </w:tc>
        <w:tc>
          <w:tcPr>
            <w:tcW w:w="1680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47EF449A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2.67 (1.53), 3</w:t>
            </w:r>
          </w:p>
        </w:tc>
        <w:tc>
          <w:tcPr>
            <w:tcW w:w="2025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4127B1F8" w14:textId="77777777" w:rsidR="00CC37E6" w:rsidRPr="006C5FD5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C5FD5">
              <w:rPr>
                <w:rFonts w:eastAsia="MS Mincho" w:cs="Times New Roman"/>
                <w:szCs w:val="24"/>
              </w:rPr>
              <w:t>2.40 (1.05), 15</w:t>
            </w:r>
          </w:p>
        </w:tc>
      </w:tr>
    </w:tbl>
    <w:p w14:paraId="6DC45112" w14:textId="77777777" w:rsidR="00CC37E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1F671853" w14:textId="77777777" w:rsidR="00CC37E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511CFA7F" w14:textId="77777777" w:rsidR="00CC37E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5FC2CBE0" w14:textId="77777777" w:rsidR="00CC37E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>
        <w:rPr>
          <w:rFonts w:eastAsia="MS Mincho" w:cs="Times New Roman"/>
          <w:szCs w:val="24"/>
        </w:rPr>
        <w:br w:type="column"/>
      </w:r>
    </w:p>
    <w:p w14:paraId="4F14463D" w14:textId="77777777" w:rsidR="00CC37E6" w:rsidRPr="00B243B3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 w:rsidRPr="00B243B3">
        <w:rPr>
          <w:rFonts w:eastAsia="MS Mincho" w:cs="Times New Roman"/>
          <w:b/>
          <w:bCs/>
          <w:szCs w:val="24"/>
        </w:rPr>
        <w:t>Supplemental Analysis of Remote/In-Person and Clinic Site</w:t>
      </w:r>
    </w:p>
    <w:p w14:paraId="57D76149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 w:rsidRPr="006D3D10">
        <w:rPr>
          <w:rFonts w:eastAsia="MS Mincho" w:cs="Times New Roman"/>
          <w:szCs w:val="24"/>
        </w:rPr>
        <w:t xml:space="preserve">Inclusion of study </w:t>
      </w:r>
      <w:proofErr w:type="gramStart"/>
      <w:r w:rsidRPr="006D3D10">
        <w:rPr>
          <w:rFonts w:eastAsia="MS Mincho" w:cs="Times New Roman"/>
          <w:szCs w:val="24"/>
        </w:rPr>
        <w:t>setting</w:t>
      </w:r>
      <w:proofErr w:type="gramEnd"/>
      <w:r w:rsidRPr="006D3D10">
        <w:rPr>
          <w:rFonts w:eastAsia="MS Mincho" w:cs="Times New Roman"/>
          <w:szCs w:val="24"/>
        </w:rPr>
        <w:t xml:space="preserve"> </w:t>
      </w:r>
      <w:r>
        <w:rPr>
          <w:rFonts w:eastAsia="MS Mincho" w:cs="Times New Roman"/>
          <w:szCs w:val="24"/>
        </w:rPr>
        <w:t xml:space="preserve">(remote/in-person) </w:t>
      </w:r>
      <w:r w:rsidRPr="006D3D10">
        <w:rPr>
          <w:rFonts w:eastAsia="MS Mincho" w:cs="Times New Roman"/>
          <w:szCs w:val="24"/>
        </w:rPr>
        <w:t>did not significantly predict within</w:t>
      </w:r>
      <w:r w:rsidRPr="006D3D10">
        <w:rPr>
          <w:rFonts w:eastAsia="MS Mincho" w:cs="Times New Roman"/>
          <w:szCs w:val="24"/>
        </w:rPr>
        <w:noBreakHyphen/>
        <w:t>person deviations in functioning, and no interactions involving study setting were statistically significant</w:t>
      </w:r>
      <w:r>
        <w:rPr>
          <w:rFonts w:eastAsia="MS Mincho" w:cs="Times New Roman"/>
          <w:szCs w:val="24"/>
        </w:rPr>
        <w:t xml:space="preserve"> (Table S2)</w:t>
      </w:r>
      <w:r w:rsidRPr="006D3D10">
        <w:rPr>
          <w:rFonts w:eastAsia="MS Mincho" w:cs="Times New Roman"/>
          <w:szCs w:val="24"/>
        </w:rPr>
        <w:t xml:space="preserve">. </w:t>
      </w:r>
      <w:proofErr w:type="gramStart"/>
      <w:r w:rsidRPr="006D3D10">
        <w:rPr>
          <w:rFonts w:eastAsia="MS Mincho" w:cs="Times New Roman"/>
          <w:szCs w:val="24"/>
        </w:rPr>
        <w:t>In particular, neither</w:t>
      </w:r>
      <w:proofErr w:type="gramEnd"/>
      <w:r w:rsidRPr="006D3D10">
        <w:rPr>
          <w:rFonts w:eastAsia="MS Mincho" w:cs="Times New Roman"/>
          <w:szCs w:val="24"/>
        </w:rPr>
        <w:t xml:space="preserve"> the effect of unre</w:t>
      </w:r>
      <w:r>
        <w:rPr>
          <w:rFonts w:eastAsia="MS Mincho" w:cs="Times New Roman"/>
          <w:szCs w:val="24"/>
        </w:rPr>
        <w:t xml:space="preserve">covered declines </w:t>
      </w:r>
      <w:r w:rsidRPr="006D3D10">
        <w:rPr>
          <w:rFonts w:eastAsia="MS Mincho" w:cs="Times New Roman"/>
          <w:szCs w:val="24"/>
        </w:rPr>
        <w:t xml:space="preserve">nor the interaction between </w:t>
      </w:r>
      <w:r>
        <w:rPr>
          <w:rFonts w:eastAsia="MS Mincho" w:cs="Times New Roman"/>
          <w:szCs w:val="24"/>
        </w:rPr>
        <w:t xml:space="preserve">decline </w:t>
      </w:r>
      <w:r w:rsidRPr="006D3D10">
        <w:rPr>
          <w:rFonts w:eastAsia="MS Mincho" w:cs="Times New Roman"/>
          <w:szCs w:val="24"/>
        </w:rPr>
        <w:t>status and treatment condition was moderated by study setting (all |</w:t>
      </w:r>
      <w:r w:rsidRPr="000A4A10">
        <w:rPr>
          <w:rFonts w:eastAsia="MS Mincho" w:cs="Times New Roman"/>
          <w:i/>
          <w:szCs w:val="24"/>
        </w:rPr>
        <w:t>z</w:t>
      </w:r>
      <w:r w:rsidRPr="006D3D10">
        <w:rPr>
          <w:rFonts w:eastAsia="MS Mincho" w:cs="Times New Roman"/>
          <w:szCs w:val="24"/>
        </w:rPr>
        <w:t>| &lt; 0.20, p &gt; .80), including the critical three</w:t>
      </w:r>
      <w:r w:rsidRPr="006D3D10">
        <w:rPr>
          <w:rFonts w:eastAsia="MS Mincho" w:cs="Times New Roman"/>
          <w:szCs w:val="24"/>
        </w:rPr>
        <w:noBreakHyphen/>
        <w:t>way interaction of unre</w:t>
      </w:r>
      <w:r>
        <w:rPr>
          <w:rFonts w:eastAsia="MS Mincho" w:cs="Times New Roman"/>
          <w:szCs w:val="24"/>
        </w:rPr>
        <w:t xml:space="preserve">covered decline </w:t>
      </w:r>
      <w:r w:rsidRPr="006D3D10">
        <w:rPr>
          <w:rFonts w:eastAsia="MS Mincho" w:cs="Times New Roman"/>
          <w:szCs w:val="24"/>
        </w:rPr>
        <w:t xml:space="preserve">× treatment × study setting (z = 0.14, </w:t>
      </w:r>
      <w:r w:rsidRPr="000A4A10">
        <w:rPr>
          <w:rFonts w:eastAsia="MS Mincho" w:cs="Times New Roman"/>
          <w:i/>
          <w:szCs w:val="24"/>
        </w:rPr>
        <w:t>p</w:t>
      </w:r>
      <w:r w:rsidRPr="006D3D10">
        <w:rPr>
          <w:rFonts w:eastAsia="MS Mincho" w:cs="Times New Roman"/>
          <w:szCs w:val="24"/>
        </w:rPr>
        <w:t xml:space="preserve"> = .889).</w:t>
      </w:r>
    </w:p>
    <w:p w14:paraId="7CBC0029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 w:rsidRPr="006D3D10">
        <w:rPr>
          <w:rFonts w:eastAsia="MS Mincho" w:cs="Times New Roman"/>
          <w:szCs w:val="24"/>
        </w:rPr>
        <w:t>Similarly, inclusion of clinic site yielded no significant main effects or interactions</w:t>
      </w:r>
      <w:r>
        <w:rPr>
          <w:rFonts w:eastAsia="MS Mincho" w:cs="Times New Roman"/>
          <w:szCs w:val="24"/>
        </w:rPr>
        <w:t xml:space="preserve"> (Table S3)</w:t>
      </w:r>
      <w:r w:rsidRPr="006D3D10">
        <w:rPr>
          <w:rFonts w:eastAsia="MS Mincho" w:cs="Times New Roman"/>
          <w:szCs w:val="24"/>
        </w:rPr>
        <w:t>. Differences between clinics were small and non</w:t>
      </w:r>
      <w:r w:rsidRPr="006D3D10">
        <w:rPr>
          <w:rFonts w:eastAsia="MS Mincho" w:cs="Times New Roman"/>
          <w:szCs w:val="24"/>
        </w:rPr>
        <w:noBreakHyphen/>
        <w:t xml:space="preserve">significant, and clinic did not moderate the association between </w:t>
      </w:r>
      <w:r>
        <w:rPr>
          <w:rFonts w:eastAsia="MS Mincho" w:cs="Times New Roman"/>
          <w:szCs w:val="24"/>
        </w:rPr>
        <w:t xml:space="preserve">decline </w:t>
      </w:r>
      <w:r w:rsidRPr="006D3D10">
        <w:rPr>
          <w:rFonts w:eastAsia="MS Mincho" w:cs="Times New Roman"/>
          <w:szCs w:val="24"/>
        </w:rPr>
        <w:t>status and functioning, nor the buffering effect of treatment condition (all |</w:t>
      </w:r>
      <w:r w:rsidRPr="000A4A10">
        <w:rPr>
          <w:rFonts w:eastAsia="MS Mincho" w:cs="Times New Roman"/>
          <w:i/>
          <w:szCs w:val="24"/>
        </w:rPr>
        <w:t>z</w:t>
      </w:r>
      <w:r w:rsidRPr="006D3D10">
        <w:rPr>
          <w:rFonts w:eastAsia="MS Mincho" w:cs="Times New Roman"/>
          <w:szCs w:val="24"/>
        </w:rPr>
        <w:t xml:space="preserve">| &lt; 0.15, </w:t>
      </w:r>
      <w:r w:rsidRPr="000A4A10">
        <w:rPr>
          <w:rFonts w:eastAsia="MS Mincho" w:cs="Times New Roman"/>
          <w:i/>
          <w:szCs w:val="24"/>
        </w:rPr>
        <w:t>p</w:t>
      </w:r>
      <w:r w:rsidRPr="006D3D10">
        <w:rPr>
          <w:rFonts w:eastAsia="MS Mincho" w:cs="Times New Roman"/>
          <w:szCs w:val="24"/>
        </w:rPr>
        <w:t xml:space="preserve"> &gt; .88 for three</w:t>
      </w:r>
      <w:r w:rsidRPr="006D3D10">
        <w:rPr>
          <w:rFonts w:eastAsia="MS Mincho" w:cs="Times New Roman"/>
          <w:szCs w:val="24"/>
        </w:rPr>
        <w:noBreakHyphen/>
        <w:t>way interactions). Across both sets of analyses, all additional coefficients were close to zero in magnitude, and the primary pattern of results remained unchanged.</w:t>
      </w:r>
    </w:p>
    <w:p w14:paraId="535F3282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 w:rsidRPr="006D3D10">
        <w:rPr>
          <w:rFonts w:eastAsia="MS Mincho" w:cs="Times New Roman"/>
          <w:szCs w:val="24"/>
        </w:rPr>
        <w:t>These findings indicate that the observed within</w:t>
      </w:r>
      <w:r w:rsidRPr="006D3D10">
        <w:rPr>
          <w:rFonts w:eastAsia="MS Mincho" w:cs="Times New Roman"/>
          <w:szCs w:val="24"/>
        </w:rPr>
        <w:noBreakHyphen/>
        <w:t xml:space="preserve">person effects of </w:t>
      </w:r>
      <w:r>
        <w:rPr>
          <w:rFonts w:eastAsia="MS Mincho" w:cs="Times New Roman"/>
          <w:szCs w:val="24"/>
        </w:rPr>
        <w:t>decline and recovery</w:t>
      </w:r>
      <w:r w:rsidRPr="006D3D10">
        <w:rPr>
          <w:rFonts w:eastAsia="MS Mincho" w:cs="Times New Roman"/>
          <w:szCs w:val="24"/>
        </w:rPr>
        <w:t xml:space="preserve">, as well as the buffering effect of the trust/respect feedback condition, were highly consistent across both delivery modality and clinical </w:t>
      </w:r>
      <w:r>
        <w:rPr>
          <w:rFonts w:eastAsia="MS Mincho" w:cs="Times New Roman"/>
          <w:szCs w:val="24"/>
        </w:rPr>
        <w:t>site</w:t>
      </w:r>
      <w:r w:rsidRPr="006D3D10">
        <w:rPr>
          <w:rFonts w:eastAsia="MS Mincho" w:cs="Times New Roman"/>
          <w:szCs w:val="24"/>
        </w:rPr>
        <w:t>.</w:t>
      </w:r>
    </w:p>
    <w:p w14:paraId="06218AC2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>
        <w:rPr>
          <w:rFonts w:eastAsia="MS Mincho" w:cs="Times New Roman"/>
          <w:b/>
          <w:bCs/>
          <w:szCs w:val="24"/>
        </w:rPr>
        <w:br w:type="column"/>
      </w:r>
      <w:r w:rsidRPr="006D3D10">
        <w:rPr>
          <w:rFonts w:eastAsia="MS Mincho" w:cs="Times New Roman"/>
          <w:b/>
          <w:bCs/>
          <w:szCs w:val="24"/>
        </w:rPr>
        <w:lastRenderedPageBreak/>
        <w:t>Supplemental Table S2</w:t>
      </w:r>
    </w:p>
    <w:p w14:paraId="4FD4ECAC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 w:rsidRPr="006D3D10">
        <w:rPr>
          <w:rFonts w:eastAsia="MS Mincho" w:cs="Times New Roman"/>
          <w:b/>
          <w:bCs/>
          <w:i/>
          <w:iCs/>
          <w:szCs w:val="24"/>
        </w:rPr>
        <w:t>Person</w:t>
      </w:r>
      <w:r w:rsidRPr="006D3D10">
        <w:rPr>
          <w:rFonts w:eastAsia="MS Mincho" w:cs="Times New Roman"/>
          <w:b/>
          <w:bCs/>
          <w:i/>
          <w:iCs/>
          <w:szCs w:val="24"/>
        </w:rPr>
        <w:noBreakHyphen/>
        <w:t>Centered Mixed</w:t>
      </w:r>
      <w:r w:rsidRPr="006D3D10">
        <w:rPr>
          <w:rFonts w:eastAsia="MS Mincho" w:cs="Times New Roman"/>
          <w:b/>
          <w:bCs/>
          <w:i/>
          <w:iCs/>
          <w:szCs w:val="24"/>
        </w:rPr>
        <w:noBreakHyphen/>
        <w:t xml:space="preserve">Effects REML Model Including </w:t>
      </w:r>
      <w:r>
        <w:rPr>
          <w:rFonts w:eastAsia="MS Mincho" w:cs="Times New Roman"/>
          <w:b/>
          <w:bCs/>
          <w:i/>
          <w:iCs/>
          <w:szCs w:val="24"/>
        </w:rPr>
        <w:t>Remote vs. In-Person</w:t>
      </w:r>
      <w:r w:rsidRPr="006D3D10">
        <w:rPr>
          <w:rFonts w:eastAsia="MS Mincho" w:cs="Times New Roman"/>
          <w:b/>
          <w:bCs/>
          <w:i/>
          <w:iCs/>
          <w:szCs w:val="24"/>
        </w:rPr>
        <w:t xml:space="preserve"> (N = 162)</w:t>
      </w:r>
    </w:p>
    <w:p w14:paraId="3688652A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 w:rsidRPr="006D3D10">
        <w:rPr>
          <w:rFonts w:eastAsia="MS Mincho" w:cs="Times New Roman"/>
          <w:b/>
          <w:bCs/>
          <w:szCs w:val="24"/>
        </w:rPr>
        <w:t>Outcome:</w:t>
      </w:r>
      <w:r w:rsidRPr="006D3D10">
        <w:rPr>
          <w:rFonts w:eastAsia="MS Mincho" w:cs="Times New Roman"/>
          <w:szCs w:val="24"/>
        </w:rPr>
        <w:t xml:space="preserve"> Person</w:t>
      </w:r>
      <w:r w:rsidRPr="006D3D10">
        <w:rPr>
          <w:rFonts w:eastAsia="MS Mincho" w:cs="Times New Roman"/>
          <w:szCs w:val="24"/>
        </w:rPr>
        <w:noBreakHyphen/>
        <w:t xml:space="preserve">centered weekly functioning </w:t>
      </w:r>
      <w:r w:rsidRPr="006D3D10">
        <w:rPr>
          <w:rFonts w:eastAsia="MS Mincho" w:cs="Times New Roman"/>
          <w:szCs w:val="24"/>
        </w:rPr>
        <w:br/>
      </w:r>
      <w:r w:rsidRPr="006D3D10">
        <w:rPr>
          <w:rFonts w:eastAsia="MS Mincho" w:cs="Times New Roman"/>
          <w:b/>
          <w:bCs/>
          <w:szCs w:val="24"/>
        </w:rPr>
        <w:t>Model:</w:t>
      </w:r>
      <w:r w:rsidRPr="006D3D10">
        <w:rPr>
          <w:rFonts w:eastAsia="MS Mincho" w:cs="Times New Roman"/>
          <w:szCs w:val="24"/>
        </w:rPr>
        <w:t xml:space="preserve"> REML mixed</w:t>
      </w:r>
      <w:r w:rsidRPr="006D3D10">
        <w:rPr>
          <w:rFonts w:eastAsia="MS Mincho" w:cs="Times New Roman"/>
          <w:szCs w:val="24"/>
        </w:rPr>
        <w:noBreakHyphen/>
        <w:t>effects model with random intercept for patient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2"/>
        <w:gridCol w:w="1526"/>
        <w:gridCol w:w="590"/>
        <w:gridCol w:w="706"/>
        <w:gridCol w:w="1126"/>
      </w:tblGrid>
      <w:tr w:rsidR="00CC37E6" w:rsidRPr="006D3D10" w14:paraId="20D9EE73" w14:textId="77777777" w:rsidTr="00C81F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9DDE91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702024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Estimate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SE</w:t>
            </w:r>
            <w:r w:rsidRPr="006D3D10">
              <w:rPr>
                <w:rFonts w:eastAsia="MS Mincho" w:cs="Times New Roman"/>
                <w:b/>
                <w:bCs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8DD92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D05901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F338E1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 xml:space="preserve">Cohen’s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d</w:t>
            </w:r>
          </w:p>
        </w:tc>
      </w:tr>
      <w:tr w:rsidR="00CC37E6" w:rsidRPr="006D3D10" w14:paraId="790BE1BC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9D7C08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Intercept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AC18F9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-0.159 (0.043)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46C8A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-3.70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8D3B83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&lt; .001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30DFF1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-0.33</w:t>
            </w:r>
          </w:p>
        </w:tc>
      </w:tr>
      <w:tr w:rsidR="00CC37E6" w:rsidRPr="006D3D10" w14:paraId="5859A090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FEA8C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 xml:space="preserve">Unrepaired </w:t>
            </w:r>
            <w:r>
              <w:rPr>
                <w:rFonts w:eastAsia="MS Mincho" w:cs="Times New Roman"/>
                <w:szCs w:val="24"/>
              </w:rPr>
              <w:t>decline</w:t>
            </w:r>
            <w:r w:rsidRPr="006D3D10">
              <w:rPr>
                <w:rFonts w:eastAsia="MS Mincho" w:cs="Times New Roman"/>
                <w:szCs w:val="24"/>
              </w:rPr>
              <w:t xml:space="preserve"> (C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35E370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-0.155 (0.071)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630CB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-2.18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EB97D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.029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2C8791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-0.32</w:t>
            </w:r>
          </w:p>
        </w:tc>
      </w:tr>
      <w:tr w:rsidR="00CC37E6" w:rsidRPr="006D3D10" w14:paraId="3F43F155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719AD2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Re</w:t>
            </w:r>
            <w:r>
              <w:rPr>
                <w:rFonts w:eastAsia="MS Mincho" w:cs="Times New Roman"/>
                <w:szCs w:val="24"/>
              </w:rPr>
              <w:t>covered decline</w:t>
            </w:r>
            <w:r w:rsidRPr="006D3D10">
              <w:rPr>
                <w:rFonts w:eastAsia="MS Mincho" w:cs="Times New Roman"/>
                <w:szCs w:val="24"/>
              </w:rPr>
              <w:t xml:space="preserve"> (C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2)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4D09FB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-0.091 (0.120)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84DC0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-0.76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F9782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.447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83E70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-0.19</w:t>
            </w:r>
          </w:p>
        </w:tc>
      </w:tr>
      <w:tr w:rsidR="00CC37E6" w:rsidRPr="006D3D10" w14:paraId="2BE96C23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8E1D47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Treatment group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05E6A3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-0.031 (0.034)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6DDDB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-0.90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E0BCC2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.369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B6265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-0.06</w:t>
            </w:r>
          </w:p>
        </w:tc>
      </w:tr>
      <w:tr w:rsidR="00CC37E6" w:rsidRPr="006D3D10" w14:paraId="278705AD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64BB7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>
              <w:rPr>
                <w:rFonts w:eastAsia="MS Mincho" w:cs="Times New Roman"/>
                <w:szCs w:val="24"/>
              </w:rPr>
              <w:t>R</w:t>
            </w:r>
            <w:r w:rsidRPr="006D3D10">
              <w:rPr>
                <w:rFonts w:eastAsia="MS Mincho" w:cs="Times New Roman"/>
                <w:szCs w:val="24"/>
              </w:rPr>
              <w:t>emote vs. in</w:t>
            </w:r>
            <w:r w:rsidRPr="006D3D10">
              <w:rPr>
                <w:rFonts w:eastAsia="MS Mincho" w:cs="Times New Roman"/>
                <w:szCs w:val="24"/>
              </w:rPr>
              <w:noBreakHyphen/>
              <w:t>person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F36C86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+0.012 (0.041)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96F74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0.29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98DA7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.772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014A2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+0.03</w:t>
            </w:r>
          </w:p>
        </w:tc>
      </w:tr>
      <w:tr w:rsidR="00CC37E6" w:rsidRPr="006D3D10" w14:paraId="75AAC32F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F17E37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1 × Treatment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83B895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+0.253 (0.101)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4CF33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2.50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1C441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.012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6D6439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+0.53</w:t>
            </w:r>
          </w:p>
        </w:tc>
      </w:tr>
      <w:tr w:rsidR="00CC37E6" w:rsidRPr="006D3D10" w14:paraId="6EF2777E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0EE92C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2 × Treatment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403A4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+0.059 (0.178)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DC8F6F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0.33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775B88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.741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FF51D0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+0.12</w:t>
            </w:r>
          </w:p>
        </w:tc>
      </w:tr>
      <w:tr w:rsidR="00CC37E6" w:rsidRPr="006D3D10" w14:paraId="40BB9D8C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DF224B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 xml:space="preserve">1 × </w:t>
            </w:r>
            <w:r>
              <w:rPr>
                <w:rFonts w:eastAsia="MS Mincho" w:cs="Times New Roman"/>
                <w:szCs w:val="24"/>
              </w:rPr>
              <w:t>Remote/In-Person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338B76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-0.018 (0.096)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79FD2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F12EAA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.849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97E867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-0.04</w:t>
            </w:r>
          </w:p>
        </w:tc>
      </w:tr>
      <w:tr w:rsidR="00CC37E6" w:rsidRPr="006D3D10" w14:paraId="3E51AB1E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97CD70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 xml:space="preserve">2 × </w:t>
            </w:r>
            <w:r>
              <w:rPr>
                <w:rFonts w:eastAsia="MS Mincho" w:cs="Times New Roman"/>
                <w:szCs w:val="24"/>
              </w:rPr>
              <w:t>Remote/In-Person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B129C3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+0.022 (0.141)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9C0339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344C0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.876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560D8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+0.05</w:t>
            </w:r>
          </w:p>
        </w:tc>
      </w:tr>
      <w:tr w:rsidR="00CC37E6" w:rsidRPr="006D3D10" w14:paraId="31E57BA6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E64C7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 xml:space="preserve">Treatment × </w:t>
            </w:r>
            <w:r>
              <w:rPr>
                <w:rFonts w:eastAsia="MS Mincho" w:cs="Times New Roman"/>
                <w:szCs w:val="24"/>
              </w:rPr>
              <w:t>Remote/In-Person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0D200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-0.009 (0.053)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372E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ACF6F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.866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8C42A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-0.02</w:t>
            </w:r>
          </w:p>
        </w:tc>
      </w:tr>
      <w:tr w:rsidR="00CC37E6" w:rsidRPr="006D3D10" w14:paraId="1A478F2F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C562A0" w14:textId="77777777" w:rsidR="00CC37E6" w:rsidRPr="00814942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814942">
              <w:rPr>
                <w:rFonts w:eastAsia="MS Mincho" w:cs="Times New Roman"/>
                <w:szCs w:val="24"/>
              </w:rPr>
              <w:t>Contrast 1 × Treatment × Remote/In-Person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656D5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+0.015 (0.110)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216F70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CEFD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.889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49978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+0.03</w:t>
            </w:r>
          </w:p>
        </w:tc>
      </w:tr>
      <w:tr w:rsidR="00CC37E6" w:rsidRPr="006D3D10" w14:paraId="3E68BD90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4CAFD4" w14:textId="77777777" w:rsidR="00CC37E6" w:rsidRPr="00814942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814942">
              <w:rPr>
                <w:rFonts w:eastAsia="MS Mincho" w:cs="Times New Roman"/>
                <w:szCs w:val="24"/>
              </w:rPr>
              <w:t>Contrast 2 × Treatment × Remote/In-Person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0222DF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-0.011 (0.182)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008A18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BEA6B1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.950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0DA46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-0.02</w:t>
            </w:r>
          </w:p>
        </w:tc>
      </w:tr>
      <w:tr w:rsidR="00CC37E6" w:rsidRPr="006D3D10" w14:paraId="23D6C25C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3D155A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Baseline functioning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6907F1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+0.008 (0.015)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62981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0.53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72A27F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.596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D0B5AF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+0.02</w:t>
            </w:r>
          </w:p>
        </w:tc>
      </w:tr>
      <w:tr w:rsidR="00CC37E6" w:rsidRPr="006D3D10" w14:paraId="15024AA6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00EAF75A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Time (log week)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511FE673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+0.142 (0.021)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4FD8B0C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6.65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4703AAC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&lt; .001</w:t>
            </w:r>
          </w:p>
        </w:tc>
        <w:tc>
          <w:tcPr>
            <w:tcW w:w="0" w:type="auto"/>
            <w:tcBorders>
              <w:top w:val="single" w:sz="6" w:space="0" w:color="E6E6E6"/>
              <w:bottom w:val="single" w:sz="4" w:space="0" w:color="auto"/>
            </w:tcBorders>
            <w:vAlign w:val="center"/>
            <w:hideMark/>
          </w:tcPr>
          <w:p w14:paraId="72BB42E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</w:p>
        </w:tc>
      </w:tr>
    </w:tbl>
    <w:p w14:paraId="13F674BC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70E90D23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>
        <w:rPr>
          <w:rFonts w:eastAsia="MS Mincho" w:cs="Times New Roman"/>
          <w:b/>
          <w:bCs/>
          <w:szCs w:val="24"/>
        </w:rPr>
        <w:br w:type="column"/>
      </w:r>
      <w:r w:rsidRPr="006D3D10">
        <w:rPr>
          <w:rFonts w:eastAsia="MS Mincho" w:cs="Times New Roman"/>
          <w:b/>
          <w:bCs/>
          <w:szCs w:val="24"/>
        </w:rPr>
        <w:lastRenderedPageBreak/>
        <w:t>Supplemental Table S3</w:t>
      </w:r>
    </w:p>
    <w:p w14:paraId="37A9E470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 w:rsidRPr="006D3D10">
        <w:rPr>
          <w:rFonts w:eastAsia="MS Mincho" w:cs="Times New Roman"/>
          <w:b/>
          <w:bCs/>
          <w:i/>
          <w:iCs/>
          <w:szCs w:val="24"/>
        </w:rPr>
        <w:t>Person</w:t>
      </w:r>
      <w:r w:rsidRPr="006D3D10">
        <w:rPr>
          <w:rFonts w:eastAsia="MS Mincho" w:cs="Times New Roman"/>
          <w:b/>
          <w:bCs/>
          <w:i/>
          <w:iCs/>
          <w:szCs w:val="24"/>
        </w:rPr>
        <w:noBreakHyphen/>
        <w:t>Centered Mixed</w:t>
      </w:r>
      <w:r w:rsidRPr="006D3D10">
        <w:rPr>
          <w:rFonts w:eastAsia="MS Mincho" w:cs="Times New Roman"/>
          <w:b/>
          <w:bCs/>
          <w:i/>
          <w:iCs/>
          <w:szCs w:val="24"/>
        </w:rPr>
        <w:noBreakHyphen/>
        <w:t>Effects REML Model Including Clinic Site (N = 162)</w:t>
      </w:r>
    </w:p>
    <w:p w14:paraId="0BAD65BF" w14:textId="77777777" w:rsidR="00CC37E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 w:rsidRPr="006D3D10">
        <w:rPr>
          <w:rFonts w:eastAsia="MS Mincho" w:cs="Times New Roman"/>
          <w:b/>
          <w:bCs/>
          <w:szCs w:val="24"/>
        </w:rPr>
        <w:t>Reference group:</w:t>
      </w:r>
      <w:r w:rsidRPr="006D3D10">
        <w:rPr>
          <w:rFonts w:eastAsia="MS Mincho" w:cs="Times New Roman"/>
          <w:szCs w:val="24"/>
        </w:rPr>
        <w:t xml:space="preserve"> Clinic 1</w:t>
      </w:r>
      <w:r>
        <w:rPr>
          <w:rFonts w:eastAsia="MS Mincho" w:cs="Times New Roman"/>
          <w:szCs w:val="24"/>
        </w:rPr>
        <w:t xml:space="preserve"> (two CMHCs combined)</w:t>
      </w:r>
      <w:r w:rsidRPr="006D3D10">
        <w:rPr>
          <w:rFonts w:eastAsia="MS Mincho" w:cs="Times New Roman"/>
          <w:szCs w:val="24"/>
        </w:rPr>
        <w:t xml:space="preserve"> </w:t>
      </w:r>
    </w:p>
    <w:p w14:paraId="162507B0" w14:textId="77777777" w:rsidR="00CC37E6" w:rsidRPr="00456C2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  <w:r w:rsidRPr="006D3D10">
        <w:rPr>
          <w:rFonts w:eastAsia="MS Mincho" w:cs="Times New Roman"/>
          <w:b/>
          <w:bCs/>
          <w:szCs w:val="24"/>
        </w:rPr>
        <w:t>Outcome:</w:t>
      </w:r>
      <w:r w:rsidRPr="006D3D10">
        <w:rPr>
          <w:rFonts w:eastAsia="MS Mincho" w:cs="Times New Roman"/>
          <w:szCs w:val="24"/>
        </w:rPr>
        <w:t xml:space="preserve"> Person</w:t>
      </w:r>
      <w:r w:rsidRPr="006D3D10">
        <w:rPr>
          <w:rFonts w:eastAsia="MS Mincho" w:cs="Times New Roman"/>
          <w:szCs w:val="24"/>
        </w:rPr>
        <w:noBreakHyphen/>
        <w:t xml:space="preserve">centered weekly functioning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1"/>
        <w:gridCol w:w="1526"/>
        <w:gridCol w:w="590"/>
        <w:gridCol w:w="706"/>
        <w:gridCol w:w="1126"/>
      </w:tblGrid>
      <w:tr w:rsidR="00CC37E6" w:rsidRPr="006D3D10" w14:paraId="0B8740B5" w14:textId="77777777" w:rsidTr="00C81F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A4A05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A8D6D1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Estimate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SE</w:t>
            </w:r>
            <w:r w:rsidRPr="006D3D10">
              <w:rPr>
                <w:rFonts w:eastAsia="MS Mincho" w:cs="Times New Roman"/>
                <w:b/>
                <w:bCs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45F141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4548F2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0C28D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 xml:space="preserve">Cohen’s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d</w:t>
            </w:r>
          </w:p>
        </w:tc>
      </w:tr>
      <w:tr w:rsidR="00CC37E6" w:rsidRPr="006D3D10" w14:paraId="2E55B8EC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CA249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Intercept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EB721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-0.161 (0.043)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852BD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-3.74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EF62CC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&lt; .001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ADEC79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-0.33</w:t>
            </w:r>
          </w:p>
        </w:tc>
      </w:tr>
      <w:tr w:rsidR="00CC37E6" w:rsidRPr="006D3D10" w14:paraId="1AC0BD3A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A3FCD8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 xml:space="preserve">Unrepaired </w:t>
            </w:r>
            <w:r>
              <w:rPr>
                <w:rFonts w:eastAsia="MS Mincho" w:cs="Times New Roman"/>
                <w:szCs w:val="24"/>
              </w:rPr>
              <w:t>decline</w:t>
            </w:r>
            <w:r w:rsidRPr="006D3D10">
              <w:rPr>
                <w:rFonts w:eastAsia="MS Mincho" w:cs="Times New Roman"/>
                <w:szCs w:val="24"/>
              </w:rPr>
              <w:t xml:space="preserve"> (C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27AC69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-0.156 (0.071)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0DE5A0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-2.20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2F0EC7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.028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56D89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-0.33</w:t>
            </w:r>
          </w:p>
        </w:tc>
      </w:tr>
      <w:tr w:rsidR="00CC37E6" w:rsidRPr="006D3D10" w14:paraId="2A9BA705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282AC4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814942">
              <w:rPr>
                <w:rFonts w:eastAsia="MS Mincho" w:cs="Times New Roman"/>
                <w:szCs w:val="24"/>
              </w:rPr>
              <w:t>Recovered decline (Contrast 2)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FD9317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-0.092 (0.120)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00DD29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-0.77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310E7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.441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05ABC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-0.19</w:t>
            </w:r>
          </w:p>
        </w:tc>
      </w:tr>
      <w:tr w:rsidR="00CC37E6" w:rsidRPr="006D3D10" w14:paraId="4DADB41E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63275C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Treatment group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E9C54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-0.030 (0.034)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41C188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-0.89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AA539A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.372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56029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-0.06</w:t>
            </w:r>
          </w:p>
        </w:tc>
      </w:tr>
      <w:tr w:rsidR="00CC37E6" w:rsidRPr="006D3D10" w14:paraId="7E08C494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3C043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 xml:space="preserve">Clinic 2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538A42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+0.018 (0.045)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EBB722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DD4CD2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.688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D8FA57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+0.04</w:t>
            </w:r>
          </w:p>
        </w:tc>
      </w:tr>
      <w:tr w:rsidR="00CC37E6" w:rsidRPr="006D3D10" w14:paraId="17BA19DB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6A4E0A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 xml:space="preserve">Clinic 3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409B3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-0.011 (0.048)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90698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2DF96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C59A37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-0.02</w:t>
            </w:r>
          </w:p>
        </w:tc>
      </w:tr>
      <w:tr w:rsidR="00CC37E6" w:rsidRPr="006D3D10" w14:paraId="56F81296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7EB349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1 × Treatment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B0D15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+0.252 (0.101)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5C8818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2.50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DDDA42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.012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0AF223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+0.53</w:t>
            </w:r>
          </w:p>
        </w:tc>
      </w:tr>
      <w:tr w:rsidR="00CC37E6" w:rsidRPr="006D3D10" w14:paraId="53A38C12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05EDF7A9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2 × Treatment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1542C8D7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+0.058 (0.178)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3E1FADA8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0.33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6055DFCB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.742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59775FD0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+0.12</w:t>
            </w:r>
          </w:p>
        </w:tc>
      </w:tr>
    </w:tbl>
    <w:p w14:paraId="444182C1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2041F564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 w:rsidRPr="006D3D10">
        <w:rPr>
          <w:rFonts w:eastAsia="MS Mincho" w:cs="Times New Roman"/>
          <w:b/>
          <w:bCs/>
          <w:szCs w:val="24"/>
        </w:rPr>
        <w:t>Two</w:t>
      </w:r>
      <w:r w:rsidRPr="006D3D10">
        <w:rPr>
          <w:rFonts w:eastAsia="MS Mincho" w:cs="Times New Roman"/>
          <w:b/>
          <w:bCs/>
          <w:szCs w:val="24"/>
        </w:rPr>
        <w:noBreakHyphen/>
        <w:t>Way Interactions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1526"/>
        <w:gridCol w:w="590"/>
        <w:gridCol w:w="510"/>
        <w:gridCol w:w="1126"/>
      </w:tblGrid>
      <w:tr w:rsidR="00CC37E6" w:rsidRPr="006D3D10" w14:paraId="1191714C" w14:textId="77777777" w:rsidTr="00C81F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6FB78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E154DE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Estimate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SE</w:t>
            </w:r>
            <w:r w:rsidRPr="006D3D10">
              <w:rPr>
                <w:rFonts w:eastAsia="MS Mincho" w:cs="Times New Roman"/>
                <w:b/>
                <w:bCs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81AEC7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1AD1E0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F2401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 xml:space="preserve">Cohen’s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d</w:t>
            </w:r>
          </w:p>
        </w:tc>
      </w:tr>
      <w:tr w:rsidR="00CC37E6" w:rsidRPr="006D3D10" w14:paraId="38D2E1AE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B43A44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1 × Clinic 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2C0B63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+0.010 (0.098)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BD8FC9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41DC0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.918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A3A3E1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+0.02</w:t>
            </w:r>
          </w:p>
        </w:tc>
      </w:tr>
      <w:tr w:rsidR="00CC37E6" w:rsidRPr="006D3D10" w14:paraId="4138D841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289C44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1 × Clinic 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FF9E30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-0.014 (0.103)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648E3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B0108C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.887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77926A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-0.03</w:t>
            </w:r>
          </w:p>
        </w:tc>
      </w:tr>
      <w:tr w:rsidR="00CC37E6" w:rsidRPr="006D3D10" w14:paraId="1CEFA1AB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CD173F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2 × Clinic 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01995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-0.021 (0.147)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5579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DDBDF4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.890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CD16C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-0.04</w:t>
            </w:r>
          </w:p>
        </w:tc>
      </w:tr>
      <w:tr w:rsidR="00CC37E6" w:rsidRPr="006D3D10" w14:paraId="600A63D0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19DACA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C</w:t>
            </w:r>
            <w:r>
              <w:rPr>
                <w:rFonts w:eastAsia="MS Mincho" w:cs="Times New Roman"/>
                <w:szCs w:val="24"/>
              </w:rPr>
              <w:t xml:space="preserve">ontrast </w:t>
            </w:r>
            <w:r w:rsidRPr="006D3D10">
              <w:rPr>
                <w:rFonts w:eastAsia="MS Mincho" w:cs="Times New Roman"/>
                <w:szCs w:val="24"/>
              </w:rPr>
              <w:t>2 × Clinic 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EB3DAA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+0.019 (0.152)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A98B22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4B723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.898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6A74AA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+0.04</w:t>
            </w:r>
          </w:p>
        </w:tc>
      </w:tr>
      <w:tr w:rsidR="00CC37E6" w:rsidRPr="006D3D10" w14:paraId="2F1BDD6A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A41C66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Treatment × Clinic 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E235D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+0.012 (0.055)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39640F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C06833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.828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6A0A59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+0.03</w:t>
            </w:r>
          </w:p>
        </w:tc>
      </w:tr>
      <w:tr w:rsidR="00CC37E6" w:rsidRPr="006D3D10" w14:paraId="153D6836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5B09EBDF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Treatment × Clinic 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26AAA4FA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-0.016 (0.058)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7B87D1E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248D596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.781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5DAB71E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-0.03</w:t>
            </w:r>
          </w:p>
        </w:tc>
      </w:tr>
    </w:tbl>
    <w:p w14:paraId="6FD3A96B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26176ADA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 w:rsidRPr="006D3D10">
        <w:rPr>
          <w:rFonts w:eastAsia="MS Mincho" w:cs="Times New Roman"/>
          <w:b/>
          <w:bCs/>
          <w:szCs w:val="24"/>
        </w:rPr>
        <w:t>Three</w:t>
      </w:r>
      <w:r w:rsidRPr="006D3D10">
        <w:rPr>
          <w:rFonts w:eastAsia="MS Mincho" w:cs="Times New Roman"/>
          <w:b/>
          <w:bCs/>
          <w:szCs w:val="24"/>
        </w:rPr>
        <w:noBreakHyphen/>
        <w:t>Way Interactions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1526"/>
        <w:gridCol w:w="590"/>
        <w:gridCol w:w="510"/>
        <w:gridCol w:w="1126"/>
      </w:tblGrid>
      <w:tr w:rsidR="00CC37E6" w:rsidRPr="006D3D10" w14:paraId="1B8D519C" w14:textId="77777777" w:rsidTr="00C81F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6B0622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D7377F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Estimate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SE</w:t>
            </w:r>
            <w:r w:rsidRPr="006D3D10">
              <w:rPr>
                <w:rFonts w:eastAsia="MS Mincho" w:cs="Times New Roman"/>
                <w:b/>
                <w:bCs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78C166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A06416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2C678D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szCs w:val="24"/>
              </w:rPr>
              <w:t xml:space="preserve">Cohen’s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d</w:t>
            </w:r>
          </w:p>
        </w:tc>
      </w:tr>
      <w:tr w:rsidR="00CC37E6" w:rsidRPr="006D3D10" w14:paraId="44BE15A4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8088CB" w14:textId="77777777" w:rsidR="00CC37E6" w:rsidRPr="00814942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814942">
              <w:rPr>
                <w:rFonts w:eastAsia="MS Mincho" w:cs="Times New Roman"/>
                <w:szCs w:val="24"/>
              </w:rPr>
              <w:t>Contrast 1 × Treatment × Clinic 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0C9349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+0.009 (0.113)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7B328F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0.08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4F6606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.939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09D85B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+0.02</w:t>
            </w:r>
          </w:p>
        </w:tc>
      </w:tr>
      <w:tr w:rsidR="00CC37E6" w:rsidRPr="006D3D10" w14:paraId="58FCA26B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5114B6" w14:textId="77777777" w:rsidR="00CC37E6" w:rsidRPr="00814942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814942">
              <w:rPr>
                <w:rFonts w:eastAsia="MS Mincho" w:cs="Times New Roman"/>
                <w:szCs w:val="24"/>
              </w:rPr>
              <w:t>Contrast 1 × Treatment × Clinic 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9465AF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-0.012 (0.118)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0D9CB3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-0.10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416CBA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.920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F4D783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-0.02</w:t>
            </w:r>
          </w:p>
        </w:tc>
      </w:tr>
      <w:tr w:rsidR="00CC37E6" w:rsidRPr="006D3D10" w14:paraId="101A7EE8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EFB703" w14:textId="77777777" w:rsidR="00CC37E6" w:rsidRPr="00814942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814942">
              <w:rPr>
                <w:rFonts w:eastAsia="MS Mincho" w:cs="Times New Roman"/>
                <w:szCs w:val="24"/>
              </w:rPr>
              <w:t>Contrast 2 × Treatment × Clinic 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4CED9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-0.017 (0.184)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44A63C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-0.09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AA0B8F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.926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8A5CE5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-0.04</w:t>
            </w:r>
          </w:p>
        </w:tc>
      </w:tr>
      <w:tr w:rsidR="00CC37E6" w:rsidRPr="006D3D10" w14:paraId="6030964A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834938" w14:textId="77777777" w:rsidR="00CC37E6" w:rsidRPr="00814942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814942">
              <w:rPr>
                <w:rFonts w:eastAsia="MS Mincho" w:cs="Times New Roman"/>
                <w:szCs w:val="24"/>
              </w:rPr>
              <w:t>Contrast 2 × Treatment × Clinic 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3E9CD95D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+0.013 (0.188)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224B8D78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0.07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477EEF6A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.945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6BB37F89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0A4A10">
              <w:rPr>
                <w:rFonts w:eastAsia="MS Mincho" w:cs="Times New Roman"/>
                <w:szCs w:val="24"/>
              </w:rPr>
              <w:t>+0.03</w:t>
            </w:r>
          </w:p>
        </w:tc>
      </w:tr>
    </w:tbl>
    <w:p w14:paraId="430287E6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5324556D" w14:textId="77777777" w:rsidR="00CC37E6" w:rsidRPr="006D3D10" w:rsidRDefault="00CC37E6" w:rsidP="00CC37E6">
      <w:pPr>
        <w:spacing w:after="200" w:line="276" w:lineRule="auto"/>
        <w:rPr>
          <w:rFonts w:eastAsia="MS Mincho" w:cs="Times New Roman"/>
          <w:b/>
          <w:bCs/>
          <w:szCs w:val="24"/>
        </w:rPr>
      </w:pPr>
      <w:r w:rsidRPr="006D3D10">
        <w:rPr>
          <w:rFonts w:eastAsia="MS Mincho" w:cs="Times New Roman"/>
          <w:b/>
          <w:bCs/>
          <w:szCs w:val="24"/>
        </w:rPr>
        <w:t>Covariates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8"/>
        <w:gridCol w:w="1526"/>
        <w:gridCol w:w="510"/>
        <w:gridCol w:w="706"/>
        <w:gridCol w:w="1126"/>
      </w:tblGrid>
      <w:tr w:rsidR="00CC37E6" w:rsidRPr="006D3D10" w14:paraId="1B614FD2" w14:textId="77777777" w:rsidTr="00C81F2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EE0C64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5E3158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>Estimate (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SE</w:t>
            </w:r>
            <w:r w:rsidRPr="006D3D10">
              <w:rPr>
                <w:rFonts w:eastAsia="MS Mincho" w:cs="Times New Roman"/>
                <w:b/>
                <w:bCs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97CEB8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E222D6" w14:textId="77777777" w:rsidR="00CC37E6" w:rsidRPr="000A4A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i/>
                <w:szCs w:val="24"/>
              </w:rPr>
            </w:pP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6E6E6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5F5C36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b/>
                <w:bCs/>
                <w:szCs w:val="24"/>
              </w:rPr>
            </w:pPr>
            <w:r w:rsidRPr="006D3D10">
              <w:rPr>
                <w:rFonts w:eastAsia="MS Mincho" w:cs="Times New Roman"/>
                <w:b/>
                <w:bCs/>
                <w:szCs w:val="24"/>
              </w:rPr>
              <w:t xml:space="preserve">Cohen’s </w:t>
            </w:r>
            <w:r w:rsidRPr="000A4A10">
              <w:rPr>
                <w:rFonts w:eastAsia="MS Mincho" w:cs="Times New Roman"/>
                <w:b/>
                <w:bCs/>
                <w:i/>
                <w:szCs w:val="24"/>
              </w:rPr>
              <w:t>d</w:t>
            </w:r>
          </w:p>
        </w:tc>
      </w:tr>
      <w:tr w:rsidR="00CC37E6" w:rsidRPr="006D3D10" w14:paraId="4098ECC3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3FFAB6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Baseline functioning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8206A3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+0.008 (0.015)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45720F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0.54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3570EE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.589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3A3F3D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+0.02</w:t>
            </w:r>
          </w:p>
        </w:tc>
      </w:tr>
      <w:tr w:rsidR="00CC37E6" w:rsidRPr="006D3D10" w14:paraId="00915A65" w14:textId="77777777" w:rsidTr="00C81F2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45BFDA5E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Time (log week)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6C2926B5" w14:textId="77777777" w:rsidR="00CC37E6" w:rsidRPr="006D3D10" w:rsidRDefault="00CC37E6" w:rsidP="00C81F2D">
            <w:pPr>
              <w:spacing w:after="200" w:line="276" w:lineRule="auto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+0.142 (0.021)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01BED070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6.66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6" w:space="0" w:color="E6E6E6"/>
            </w:tcBorders>
            <w:vAlign w:val="center"/>
            <w:hideMark/>
          </w:tcPr>
          <w:p w14:paraId="104F14B5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  <w:r w:rsidRPr="006D3D10">
              <w:rPr>
                <w:rFonts w:eastAsia="MS Mincho" w:cs="Times New Roman"/>
                <w:szCs w:val="24"/>
              </w:rPr>
              <w:t>&lt; .001</w:t>
            </w:r>
          </w:p>
        </w:tc>
        <w:tc>
          <w:tcPr>
            <w:tcW w:w="0" w:type="auto"/>
            <w:tcBorders>
              <w:top w:val="single" w:sz="6" w:space="0" w:color="E6E6E6"/>
              <w:bottom w:val="single" w:sz="4" w:space="0" w:color="auto"/>
            </w:tcBorders>
            <w:vAlign w:val="center"/>
            <w:hideMark/>
          </w:tcPr>
          <w:p w14:paraId="44DA2A30" w14:textId="77777777" w:rsidR="00CC37E6" w:rsidRPr="006D3D10" w:rsidRDefault="00CC37E6" w:rsidP="00C81F2D">
            <w:pPr>
              <w:spacing w:after="200" w:line="276" w:lineRule="auto"/>
              <w:jc w:val="center"/>
              <w:rPr>
                <w:rFonts w:eastAsia="MS Mincho" w:cs="Times New Roman"/>
                <w:szCs w:val="24"/>
              </w:rPr>
            </w:pPr>
          </w:p>
        </w:tc>
      </w:tr>
    </w:tbl>
    <w:p w14:paraId="634577D5" w14:textId="77777777" w:rsidR="00CC37E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7B13077C" w14:textId="77777777" w:rsidR="00CC37E6" w:rsidRDefault="00CC37E6" w:rsidP="00CC37E6">
      <w:pPr>
        <w:spacing w:after="200" w:line="276" w:lineRule="auto"/>
        <w:rPr>
          <w:rFonts w:eastAsia="Calibri" w:cs="Times New Roman"/>
          <w:b/>
          <w:szCs w:val="24"/>
        </w:rPr>
      </w:pPr>
      <w:r w:rsidRPr="00284D52">
        <w:rPr>
          <w:rFonts w:eastAsia="Calibri" w:cs="Times New Roman"/>
          <w:b/>
          <w:szCs w:val="24"/>
        </w:rPr>
        <w:t xml:space="preserve">Appendix 1. </w:t>
      </w:r>
    </w:p>
    <w:p w14:paraId="241314F0" w14:textId="77777777" w:rsidR="00CC37E6" w:rsidRDefault="00CC37E6" w:rsidP="00CC37E6">
      <w:pPr>
        <w:spacing w:after="200" w:line="276" w:lineRule="auto"/>
        <w:rPr>
          <w:rFonts w:eastAsia="Calibri" w:cs="Times New Roman"/>
          <w:i/>
          <w:szCs w:val="24"/>
        </w:rPr>
      </w:pPr>
      <w:r>
        <w:rPr>
          <w:rFonts w:eastAsia="Calibri" w:cs="Times New Roman"/>
          <w:i/>
          <w:szCs w:val="24"/>
        </w:rPr>
        <w:t>Data Transparency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C37E6" w14:paraId="1E7B8E3C" w14:textId="77777777" w:rsidTr="00C81F2D">
        <w:tc>
          <w:tcPr>
            <w:tcW w:w="4675" w:type="dxa"/>
          </w:tcPr>
          <w:p w14:paraId="0B16FC74" w14:textId="77777777" w:rsidR="00CC37E6" w:rsidRPr="00284D52" w:rsidRDefault="00CC37E6" w:rsidP="00C81F2D">
            <w:pPr>
              <w:spacing w:after="200" w:line="276" w:lineRule="auto"/>
              <w:rPr>
                <w:rFonts w:eastAsia="Calibri" w:cs="Times New Roman"/>
                <w:szCs w:val="24"/>
              </w:rPr>
            </w:pPr>
            <w:r w:rsidRPr="00284D52">
              <w:rPr>
                <w:rFonts w:eastAsia="Calibri" w:cs="Times New Roman"/>
                <w:szCs w:val="24"/>
              </w:rPr>
              <w:t>Manuscript</w:t>
            </w:r>
          </w:p>
        </w:tc>
        <w:tc>
          <w:tcPr>
            <w:tcW w:w="4675" w:type="dxa"/>
          </w:tcPr>
          <w:p w14:paraId="0BDFA9A3" w14:textId="77777777" w:rsidR="00CC37E6" w:rsidRDefault="00CC37E6" w:rsidP="00C81F2D">
            <w:pPr>
              <w:spacing w:after="200"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Focus</w:t>
            </w:r>
          </w:p>
        </w:tc>
      </w:tr>
      <w:tr w:rsidR="00CC37E6" w14:paraId="63E7D72C" w14:textId="77777777" w:rsidTr="00C81F2D">
        <w:tc>
          <w:tcPr>
            <w:tcW w:w="4675" w:type="dxa"/>
          </w:tcPr>
          <w:p w14:paraId="050C5A3C" w14:textId="77777777" w:rsidR="00CC37E6" w:rsidRPr="00284D52" w:rsidRDefault="00CC37E6" w:rsidP="00C81F2D">
            <w:pPr>
              <w:spacing w:after="200" w:line="276" w:lineRule="auto"/>
              <w:rPr>
                <w:rFonts w:eastAsia="Calibri" w:cs="Times New Roman"/>
                <w:szCs w:val="24"/>
              </w:rPr>
            </w:pPr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 xml:space="preserve">Connolly Gibbons, M. B., Duong, L., </w:t>
            </w:r>
            <w:proofErr w:type="spellStart"/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Zoupou</w:t>
            </w:r>
            <w:proofErr w:type="spellEnd"/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, E., Kashden, J., Fisher, J., &amp; Crits-Christoph, P. (2023). Randomized controlled trial evaluating feedback to community-based therapists based on patient reports of trust and respect. </w:t>
            </w:r>
            <w:r w:rsidRPr="00284D52">
              <w:rPr>
                <w:rFonts w:cs="Times New Roman"/>
                <w:i/>
                <w:iCs/>
                <w:color w:val="222222"/>
                <w:szCs w:val="24"/>
                <w:shd w:val="clear" w:color="auto" w:fill="FFFFFF"/>
              </w:rPr>
              <w:t>Journal of consulting and clinical psychology</w:t>
            </w:r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, </w:t>
            </w:r>
            <w:r w:rsidRPr="00284D52">
              <w:rPr>
                <w:rFonts w:cs="Times New Roman"/>
                <w:i/>
                <w:iCs/>
                <w:color w:val="222222"/>
                <w:szCs w:val="24"/>
                <w:shd w:val="clear" w:color="auto" w:fill="FFFFFF"/>
              </w:rPr>
              <w:t>91</w:t>
            </w:r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(6), 337.</w:t>
            </w:r>
          </w:p>
        </w:tc>
        <w:tc>
          <w:tcPr>
            <w:tcW w:w="4675" w:type="dxa"/>
          </w:tcPr>
          <w:p w14:paraId="45EE5962" w14:textId="77777777" w:rsidR="00CC37E6" w:rsidRDefault="00CC37E6" w:rsidP="00C81F2D">
            <w:pPr>
              <w:spacing w:after="200" w:line="276" w:lineRule="auto"/>
              <w:rPr>
                <w:rFonts w:eastAsia="Calibri"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</w:t>
            </w:r>
            <w:r w:rsidRPr="00284D52">
              <w:rPr>
                <w:rFonts w:cs="Times New Roman"/>
                <w:szCs w:val="24"/>
              </w:rPr>
              <w:t>effects of gender and race/ethnicity matching in therapeutic relationships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CC37E6" w14:paraId="52B57823" w14:textId="77777777" w:rsidTr="00C81F2D">
        <w:tc>
          <w:tcPr>
            <w:tcW w:w="4675" w:type="dxa"/>
          </w:tcPr>
          <w:p w14:paraId="50369344" w14:textId="77777777" w:rsidR="00CC37E6" w:rsidRPr="00284D52" w:rsidRDefault="00CC37E6" w:rsidP="00C81F2D">
            <w:pPr>
              <w:spacing w:after="200" w:line="276" w:lineRule="auto"/>
              <w:rPr>
                <w:rFonts w:eastAsia="Calibri" w:cs="Times New Roman"/>
                <w:szCs w:val="24"/>
              </w:rPr>
            </w:pPr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 xml:space="preserve">Connolly Gibbons, M. B., Duong, L., </w:t>
            </w:r>
            <w:proofErr w:type="spellStart"/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Zoupou</w:t>
            </w:r>
            <w:proofErr w:type="spellEnd"/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, E., Kashden, J., Fisher, J., &amp; Crits-Christoph, P. (2023). Randomized controlled trial evaluating feedback to community-based therapists based on patient reports of trust and respect. </w:t>
            </w:r>
            <w:r w:rsidRPr="00284D52">
              <w:rPr>
                <w:rFonts w:cs="Times New Roman"/>
                <w:i/>
                <w:iCs/>
                <w:color w:val="222222"/>
                <w:szCs w:val="24"/>
                <w:shd w:val="clear" w:color="auto" w:fill="FFFFFF"/>
              </w:rPr>
              <w:t>Journal of consulting and clinical psychology</w:t>
            </w:r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, </w:t>
            </w:r>
            <w:r w:rsidRPr="00284D52">
              <w:rPr>
                <w:rFonts w:cs="Times New Roman"/>
                <w:i/>
                <w:iCs/>
                <w:color w:val="222222"/>
                <w:szCs w:val="24"/>
                <w:shd w:val="clear" w:color="auto" w:fill="FFFFFF"/>
              </w:rPr>
              <w:t>91</w:t>
            </w:r>
            <w:r w:rsidRPr="00284D52">
              <w:rPr>
                <w:rFonts w:cs="Times New Roman"/>
                <w:color w:val="222222"/>
                <w:szCs w:val="24"/>
                <w:shd w:val="clear" w:color="auto" w:fill="FFFFFF"/>
              </w:rPr>
              <w:t>(6), 337.</w:t>
            </w:r>
          </w:p>
        </w:tc>
        <w:tc>
          <w:tcPr>
            <w:tcW w:w="4675" w:type="dxa"/>
          </w:tcPr>
          <w:p w14:paraId="58BC8133" w14:textId="77777777" w:rsidR="00CC37E6" w:rsidRDefault="00CC37E6" w:rsidP="00C81F2D">
            <w:pPr>
              <w:spacing w:after="200" w:line="276" w:lineRule="auto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T</w:t>
            </w:r>
            <w:r w:rsidRPr="00284D52">
              <w:rPr>
                <w:rFonts w:eastAsia="Times New Roman" w:cs="Times New Roman"/>
                <w:szCs w:val="24"/>
              </w:rPr>
              <w:t>he development of measures of patients’ trust/respect towards their therapists</w:t>
            </w:r>
          </w:p>
        </w:tc>
      </w:tr>
    </w:tbl>
    <w:p w14:paraId="16CEC529" w14:textId="77777777" w:rsidR="00CC37E6" w:rsidRPr="00284D52" w:rsidRDefault="00CC37E6" w:rsidP="00CC37E6">
      <w:pPr>
        <w:spacing w:after="200" w:line="276" w:lineRule="auto"/>
        <w:rPr>
          <w:rFonts w:eastAsia="Calibri" w:cs="Times New Roman"/>
          <w:szCs w:val="24"/>
        </w:rPr>
      </w:pPr>
    </w:p>
    <w:p w14:paraId="156E85B2" w14:textId="77777777" w:rsidR="00CC37E6" w:rsidRPr="00C17A8F" w:rsidRDefault="00CC37E6" w:rsidP="00CC37E6">
      <w:pPr>
        <w:shd w:val="clear" w:color="auto" w:fill="FFFFFF"/>
        <w:spacing w:line="276" w:lineRule="auto"/>
        <w:textAlignment w:val="baseline"/>
        <w:rPr>
          <w:rFonts w:eastAsia="Times New Roman" w:cs="Times New Roman"/>
          <w:szCs w:val="24"/>
        </w:rPr>
      </w:pPr>
      <w:r w:rsidRPr="00284D52">
        <w:rPr>
          <w:rFonts w:cs="Times New Roman"/>
          <w:szCs w:val="24"/>
        </w:rPr>
        <w:t>The data reported in this manuscript have been previously published. Findings from the data collection have been reported in separate manuscripts. “</w:t>
      </w:r>
      <w:r w:rsidRPr="00284D52">
        <w:rPr>
          <w:rFonts w:eastAsia="Times New Roman" w:cs="Times New Roman"/>
          <w:color w:val="000000"/>
          <w:szCs w:val="24"/>
        </w:rPr>
        <w:t>Gender, Race/Ethnicity and Patient-Therapist Matching on Gender and Race/Ethnicity as Predictors/Moderators of the Effectiveness of Trust/Respect Feedback in Community-Based Mental Health Treatment Settings” </w:t>
      </w:r>
      <w:r w:rsidRPr="00284D52">
        <w:rPr>
          <w:rFonts w:cs="Times New Roman"/>
          <w:szCs w:val="24"/>
        </w:rPr>
        <w:t>focuses on the effects of gender and race/ethnicity matching in therapeutic relationships. “</w:t>
      </w:r>
      <w:r w:rsidRPr="00284D52">
        <w:rPr>
          <w:rFonts w:eastAsia="Times New Roman" w:cs="Times New Roman"/>
          <w:szCs w:val="24"/>
        </w:rPr>
        <w:t>Randomized Controlled Trial Evaluating Feedback to Community-Based Therapists Based on Patient Reports of Trust and Respect” focuses on the development of measures of patients’ trust/respect towards their therapists. Our current manuscript, “</w:t>
      </w:r>
      <w:r w:rsidRPr="008230B2">
        <w:rPr>
          <w:rFonts w:eastAsia="Times New Roman" w:cs="Times New Roman"/>
          <w:szCs w:val="24"/>
        </w:rPr>
        <w:t>Trust and Respect Declines and Recoveries in Psychotherapy: Clinical Impact of Relational Feedback</w:t>
      </w:r>
      <w:r w:rsidRPr="00284D52">
        <w:rPr>
          <w:rFonts w:eastAsia="Times New Roman" w:cs="Times New Roman"/>
          <w:szCs w:val="24"/>
        </w:rPr>
        <w:t xml:space="preserve">” focuses on the therapeutic effects of providing therapists with trust/respect feedback reports, namely </w:t>
      </w:r>
      <w:r>
        <w:rPr>
          <w:rFonts w:eastAsia="Times New Roman" w:cs="Times New Roman"/>
          <w:szCs w:val="24"/>
        </w:rPr>
        <w:t>trust/respect decline</w:t>
      </w:r>
      <w:r w:rsidRPr="00284D52">
        <w:rPr>
          <w:rFonts w:eastAsia="Times New Roman" w:cs="Times New Roman"/>
          <w:szCs w:val="24"/>
        </w:rPr>
        <w:t xml:space="preserve"> and </w:t>
      </w:r>
      <w:r>
        <w:rPr>
          <w:rFonts w:eastAsia="Times New Roman" w:cs="Times New Roman"/>
          <w:szCs w:val="24"/>
        </w:rPr>
        <w:t>recovery</w:t>
      </w:r>
      <w:r w:rsidRPr="00284D52">
        <w:rPr>
          <w:rFonts w:eastAsia="Times New Roman" w:cs="Times New Roman"/>
          <w:szCs w:val="24"/>
        </w:rPr>
        <w:t xml:space="preserve"> outcomes.</w:t>
      </w:r>
    </w:p>
    <w:p w14:paraId="4C0BC24C" w14:textId="77777777" w:rsidR="00CC37E6" w:rsidRDefault="00CC37E6" w:rsidP="00CC37E6">
      <w:pPr>
        <w:spacing w:after="200" w:line="276" w:lineRule="auto"/>
        <w:rPr>
          <w:rFonts w:eastAsia="MS Mincho" w:cs="Times New Roman"/>
          <w:szCs w:val="24"/>
        </w:rPr>
      </w:pPr>
    </w:p>
    <w:p w14:paraId="63188976" w14:textId="77777777" w:rsidR="00E75500" w:rsidRDefault="00E75500"/>
    <w:sectPr w:rsidR="00E75500" w:rsidSect="00CC37E6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E6"/>
    <w:rsid w:val="00055BBE"/>
    <w:rsid w:val="00366A5D"/>
    <w:rsid w:val="00547976"/>
    <w:rsid w:val="008334E0"/>
    <w:rsid w:val="00967AD4"/>
    <w:rsid w:val="009C1430"/>
    <w:rsid w:val="00B321D6"/>
    <w:rsid w:val="00CC37E6"/>
    <w:rsid w:val="00E7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85724"/>
  <w15:chartTrackingRefBased/>
  <w15:docId w15:val="{B353D5F0-1105-42B7-A721-F5DDEE28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7E6"/>
    <w:pPr>
      <w:spacing w:line="259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7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7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7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7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7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7E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7E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7E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7E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7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7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7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7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7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7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3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7E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3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7E6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37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7E6"/>
    <w:pPr>
      <w:spacing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37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7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7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37E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1004</Words>
  <Characters>5593</Characters>
  <Application>Microsoft Office Word</Application>
  <DocSecurity>0</DocSecurity>
  <Lines>341</Lines>
  <Paragraphs>288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Volsky, Sonya</dc:creator>
  <cp:keywords/>
  <dc:description/>
  <cp:lastModifiedBy>Volsky, Sonya</cp:lastModifiedBy>
  <cp:revision>1</cp:revision>
  <dcterms:created xsi:type="dcterms:W3CDTF">2026-07-31T15:35:00Z</dcterms:created>
  <dcterms:modified xsi:type="dcterms:W3CDTF">2026-07-31T15:36:00Z</dcterms:modified>
</cp:coreProperties>
</file>