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FE7738" w14:textId="77777777" w:rsidR="002C0F19" w:rsidRDefault="002C0F19" w:rsidP="00720BCC">
      <w:pPr>
        <w:jc w:val="center"/>
        <w:rPr>
          <w:rFonts w:eastAsia="Times New Roman" w:cs="Times New Roman"/>
          <w:sz w:val="36"/>
          <w:szCs w:val="36"/>
        </w:rPr>
      </w:pPr>
      <w:bookmarkStart w:id="0" w:name="_Hlk134295456"/>
      <w:bookmarkEnd w:id="0"/>
    </w:p>
    <w:p w14:paraId="7338638D" w14:textId="66744EC3" w:rsidR="00720BCC" w:rsidRDefault="00C7706F" w:rsidP="00720BCC">
      <w:pPr>
        <w:jc w:val="center"/>
        <w:rPr>
          <w:rFonts w:eastAsia="Times New Roman" w:cs="Times New Roman"/>
          <w:sz w:val="36"/>
          <w:szCs w:val="36"/>
        </w:rPr>
      </w:pPr>
      <w:r w:rsidRPr="00C7706F">
        <w:rPr>
          <w:rFonts w:eastAsia="Times New Roman" w:cs="Times New Roman"/>
          <w:sz w:val="36"/>
          <w:szCs w:val="36"/>
        </w:rPr>
        <w:t>Supplementary Information</w:t>
      </w:r>
      <w:r w:rsidR="00720BCC">
        <w:rPr>
          <w:rFonts w:eastAsia="Times New Roman" w:cs="Times New Roman"/>
          <w:sz w:val="36"/>
          <w:szCs w:val="36"/>
        </w:rPr>
        <w:t xml:space="preserve"> for</w:t>
      </w:r>
    </w:p>
    <w:p w14:paraId="55500B63" w14:textId="77777777" w:rsidR="00720BCC" w:rsidRDefault="00720BCC" w:rsidP="00720BCC">
      <w:pPr>
        <w:rPr>
          <w:rFonts w:eastAsia="Times New Roman" w:cs="Times New Roman"/>
        </w:rPr>
      </w:pPr>
    </w:p>
    <w:p w14:paraId="7AD1B5D8" w14:textId="5D27973D" w:rsidR="00720BCC" w:rsidRPr="005503A9" w:rsidRDefault="0049009C" w:rsidP="00242C84">
      <w:pPr>
        <w:jc w:val="center"/>
        <w:rPr>
          <w:rFonts w:eastAsia="Times New Roman" w:cs="Times New Roman"/>
          <w:b/>
          <w:sz w:val="28"/>
          <w:szCs w:val="28"/>
        </w:rPr>
      </w:pPr>
      <w:r w:rsidRPr="0049009C">
        <w:rPr>
          <w:rFonts w:eastAsia="Times New Roman" w:cs="Times New Roman"/>
          <w:b/>
          <w:sz w:val="28"/>
          <w:szCs w:val="28"/>
        </w:rPr>
        <w:t>Institutions and Cooperation: A Meta-</w:t>
      </w:r>
      <w:r w:rsidR="007245A0">
        <w:rPr>
          <w:rFonts w:eastAsia="Times New Roman" w:cs="Times New Roman"/>
          <w:b/>
          <w:sz w:val="28"/>
          <w:szCs w:val="28"/>
        </w:rPr>
        <w:t>A</w:t>
      </w:r>
      <w:r w:rsidRPr="0049009C">
        <w:rPr>
          <w:rFonts w:eastAsia="Times New Roman" w:cs="Times New Roman"/>
          <w:b/>
          <w:sz w:val="28"/>
          <w:szCs w:val="28"/>
        </w:rPr>
        <w:t xml:space="preserve">nalysis of </w:t>
      </w:r>
      <w:r w:rsidR="008326D3">
        <w:rPr>
          <w:rFonts w:eastAsia="Times New Roman" w:cs="Times New Roman"/>
          <w:b/>
          <w:sz w:val="28"/>
          <w:szCs w:val="28"/>
        </w:rPr>
        <w:t>Structural Features</w:t>
      </w:r>
      <w:r w:rsidRPr="0049009C">
        <w:rPr>
          <w:rFonts w:eastAsia="Times New Roman" w:cs="Times New Roman"/>
          <w:b/>
          <w:sz w:val="28"/>
          <w:szCs w:val="28"/>
        </w:rPr>
        <w:t xml:space="preserve"> in Social Dilemmas</w:t>
      </w:r>
    </w:p>
    <w:p w14:paraId="5A3A1A5A" w14:textId="77777777" w:rsidR="00197628" w:rsidRDefault="00197628" w:rsidP="004D4727"/>
    <w:p w14:paraId="0211C458" w14:textId="77777777" w:rsidR="004D01F2" w:rsidRDefault="004D01F2" w:rsidP="004D4727"/>
    <w:p w14:paraId="7EA608AE" w14:textId="77777777" w:rsidR="004D01F2" w:rsidRPr="008D4569" w:rsidRDefault="004D01F2" w:rsidP="004D01F2">
      <w:pPr>
        <w:jc w:val="center"/>
        <w:rPr>
          <w:rFonts w:eastAsia="Times New Roman" w:cs="Times New Roman"/>
          <w:b/>
          <w:color w:val="000000"/>
        </w:rPr>
      </w:pPr>
      <w:r w:rsidRPr="008D4569">
        <w:rPr>
          <w:rFonts w:eastAsia="Times New Roman" w:cs="Times New Roman"/>
          <w:b/>
          <w:color w:val="000000"/>
        </w:rPr>
        <w:t>Table of Contents</w:t>
      </w:r>
    </w:p>
    <w:sdt>
      <w:sdtPr>
        <w:rPr>
          <w:rFonts w:eastAsia="Calibri" w:cs="Times New Roman"/>
          <w:bCs/>
        </w:rPr>
        <w:id w:val="653185603"/>
        <w:docPartObj>
          <w:docPartGallery w:val="Table of Contents"/>
          <w:docPartUnique/>
        </w:docPartObj>
      </w:sdtPr>
      <w:sdtEndPr>
        <w:rPr>
          <w:rFonts w:eastAsia="SimSun" w:cs="Calibri"/>
          <w:bCs w:val="0"/>
        </w:rPr>
      </w:sdtEndPr>
      <w:sdtContent>
        <w:p w14:paraId="0C6D80B1" w14:textId="284BB1A0" w:rsidR="007D3A51" w:rsidRDefault="008C48BA">
          <w:pPr>
            <w:pStyle w:val="TOC1"/>
            <w:rPr>
              <w:rFonts w:asciiTheme="minorHAnsi" w:eastAsiaTheme="minorEastAsia" w:hAnsiTheme="minorHAnsi" w:cstheme="minorBidi"/>
              <w:b w:val="0"/>
              <w:noProof/>
              <w:kern w:val="2"/>
              <w:lang w:val="en-GB" w:eastAsia="zh-CN"/>
              <w14:ligatures w14:val="standardContextual"/>
            </w:rPr>
          </w:pPr>
          <w:r>
            <w:rPr>
              <w:rFonts w:eastAsia="Times New Roman" w:cs="Times New Roman"/>
              <w:bCs/>
              <w:noProof/>
            </w:rPr>
            <w:fldChar w:fldCharType="begin"/>
          </w:r>
          <w:r>
            <w:rPr>
              <w:rFonts w:eastAsia="Times New Roman" w:cs="Times New Roman"/>
              <w:bCs/>
              <w:noProof/>
            </w:rPr>
            <w:instrText xml:space="preserve"> TOC \o "1-3" \h \z \u </w:instrText>
          </w:r>
          <w:r>
            <w:rPr>
              <w:rFonts w:eastAsia="Times New Roman" w:cs="Times New Roman"/>
              <w:bCs/>
              <w:noProof/>
            </w:rPr>
            <w:fldChar w:fldCharType="separate"/>
          </w:r>
          <w:hyperlink w:anchor="_Toc169458470" w:history="1">
            <w:r w:rsidR="007D3A51" w:rsidRPr="00381FCC">
              <w:rPr>
                <w:rStyle w:val="Hyperlink"/>
                <w:noProof/>
              </w:rPr>
              <w:t>1. Deviation from Pre-Registration</w:t>
            </w:r>
            <w:r w:rsidR="007D3A51">
              <w:rPr>
                <w:noProof/>
                <w:webHidden/>
              </w:rPr>
              <w:tab/>
            </w:r>
            <w:r w:rsidR="007D3A51">
              <w:rPr>
                <w:noProof/>
                <w:webHidden/>
              </w:rPr>
              <w:fldChar w:fldCharType="begin"/>
            </w:r>
            <w:r w:rsidR="007D3A51">
              <w:rPr>
                <w:noProof/>
                <w:webHidden/>
              </w:rPr>
              <w:instrText xml:space="preserve"> PAGEREF _Toc169458470 \h </w:instrText>
            </w:r>
            <w:r w:rsidR="007D3A51">
              <w:rPr>
                <w:noProof/>
                <w:webHidden/>
              </w:rPr>
            </w:r>
            <w:r w:rsidR="007D3A51">
              <w:rPr>
                <w:noProof/>
                <w:webHidden/>
              </w:rPr>
              <w:fldChar w:fldCharType="separate"/>
            </w:r>
            <w:r w:rsidR="007D3A51">
              <w:rPr>
                <w:noProof/>
                <w:webHidden/>
              </w:rPr>
              <w:t>2</w:t>
            </w:r>
            <w:r w:rsidR="007D3A51">
              <w:rPr>
                <w:noProof/>
                <w:webHidden/>
              </w:rPr>
              <w:fldChar w:fldCharType="end"/>
            </w:r>
          </w:hyperlink>
        </w:p>
        <w:p w14:paraId="5FEEC337" w14:textId="06751932" w:rsidR="007D3A51" w:rsidRDefault="00000000">
          <w:pPr>
            <w:pStyle w:val="TOC2"/>
            <w:rPr>
              <w:rFonts w:asciiTheme="minorHAnsi" w:eastAsiaTheme="minorEastAsia" w:hAnsiTheme="minorHAnsi" w:cstheme="minorBidi"/>
              <w:noProof/>
              <w:kern w:val="2"/>
              <w:lang w:val="en-GB" w:eastAsia="zh-CN"/>
              <w14:ligatures w14:val="standardContextual"/>
            </w:rPr>
          </w:pPr>
          <w:hyperlink w:anchor="_Toc169458471" w:history="1">
            <w:r w:rsidR="007D3A51" w:rsidRPr="00381FCC">
              <w:rPr>
                <w:rStyle w:val="Hyperlink"/>
                <w:noProof/>
              </w:rPr>
              <w:t>1.1 Hypotheses about Sample Characteristics</w:t>
            </w:r>
            <w:r w:rsidR="007D3A51">
              <w:rPr>
                <w:noProof/>
                <w:webHidden/>
              </w:rPr>
              <w:tab/>
            </w:r>
            <w:r w:rsidR="007D3A51">
              <w:rPr>
                <w:noProof/>
                <w:webHidden/>
              </w:rPr>
              <w:fldChar w:fldCharType="begin"/>
            </w:r>
            <w:r w:rsidR="007D3A51">
              <w:rPr>
                <w:noProof/>
                <w:webHidden/>
              </w:rPr>
              <w:instrText xml:space="preserve"> PAGEREF _Toc169458471 \h </w:instrText>
            </w:r>
            <w:r w:rsidR="007D3A51">
              <w:rPr>
                <w:noProof/>
                <w:webHidden/>
              </w:rPr>
            </w:r>
            <w:r w:rsidR="007D3A51">
              <w:rPr>
                <w:noProof/>
                <w:webHidden/>
              </w:rPr>
              <w:fldChar w:fldCharType="separate"/>
            </w:r>
            <w:r w:rsidR="007D3A51">
              <w:rPr>
                <w:noProof/>
                <w:webHidden/>
              </w:rPr>
              <w:t>3</w:t>
            </w:r>
            <w:r w:rsidR="007D3A51">
              <w:rPr>
                <w:noProof/>
                <w:webHidden/>
              </w:rPr>
              <w:fldChar w:fldCharType="end"/>
            </w:r>
          </w:hyperlink>
        </w:p>
        <w:p w14:paraId="65C408AB" w14:textId="7F820062" w:rsidR="007D3A51" w:rsidRDefault="00000000">
          <w:pPr>
            <w:pStyle w:val="TOC1"/>
            <w:rPr>
              <w:rFonts w:asciiTheme="minorHAnsi" w:eastAsiaTheme="minorEastAsia" w:hAnsiTheme="minorHAnsi" w:cstheme="minorBidi"/>
              <w:b w:val="0"/>
              <w:noProof/>
              <w:kern w:val="2"/>
              <w:lang w:val="en-GB" w:eastAsia="zh-CN"/>
              <w14:ligatures w14:val="standardContextual"/>
            </w:rPr>
          </w:pPr>
          <w:hyperlink w:anchor="_Toc169458472" w:history="1">
            <w:r w:rsidR="007D3A51" w:rsidRPr="00381FCC">
              <w:rPr>
                <w:rStyle w:val="Hyperlink"/>
                <w:noProof/>
              </w:rPr>
              <w:t>2. Chinese and Japanese Search Strings</w:t>
            </w:r>
            <w:r w:rsidR="007D3A51">
              <w:rPr>
                <w:noProof/>
                <w:webHidden/>
              </w:rPr>
              <w:tab/>
            </w:r>
            <w:r w:rsidR="007D3A51">
              <w:rPr>
                <w:noProof/>
                <w:webHidden/>
              </w:rPr>
              <w:fldChar w:fldCharType="begin"/>
            </w:r>
            <w:r w:rsidR="007D3A51">
              <w:rPr>
                <w:noProof/>
                <w:webHidden/>
              </w:rPr>
              <w:instrText xml:space="preserve"> PAGEREF _Toc169458472 \h </w:instrText>
            </w:r>
            <w:r w:rsidR="007D3A51">
              <w:rPr>
                <w:noProof/>
                <w:webHidden/>
              </w:rPr>
            </w:r>
            <w:r w:rsidR="007D3A51">
              <w:rPr>
                <w:noProof/>
                <w:webHidden/>
              </w:rPr>
              <w:fldChar w:fldCharType="separate"/>
            </w:r>
            <w:r w:rsidR="007D3A51">
              <w:rPr>
                <w:noProof/>
                <w:webHidden/>
              </w:rPr>
              <w:t>6</w:t>
            </w:r>
            <w:r w:rsidR="007D3A51">
              <w:rPr>
                <w:noProof/>
                <w:webHidden/>
              </w:rPr>
              <w:fldChar w:fldCharType="end"/>
            </w:r>
          </w:hyperlink>
        </w:p>
        <w:p w14:paraId="2C8D7358" w14:textId="47C4E251" w:rsidR="007D3A51" w:rsidRDefault="00000000">
          <w:pPr>
            <w:pStyle w:val="TOC1"/>
            <w:rPr>
              <w:rFonts w:asciiTheme="minorHAnsi" w:eastAsiaTheme="minorEastAsia" w:hAnsiTheme="minorHAnsi" w:cstheme="minorBidi"/>
              <w:b w:val="0"/>
              <w:noProof/>
              <w:kern w:val="2"/>
              <w:lang w:val="en-GB" w:eastAsia="zh-CN"/>
              <w14:ligatures w14:val="standardContextual"/>
            </w:rPr>
          </w:pPr>
          <w:hyperlink w:anchor="_Toc169458473" w:history="1">
            <w:r w:rsidR="007D3A51" w:rsidRPr="00381FCC">
              <w:rPr>
                <w:rStyle w:val="Hyperlink"/>
                <w:noProof/>
              </w:rPr>
              <w:t>3. Flow Chart of Literature Search and Inclusion</w:t>
            </w:r>
            <w:r w:rsidR="007D3A51">
              <w:rPr>
                <w:noProof/>
                <w:webHidden/>
              </w:rPr>
              <w:tab/>
            </w:r>
            <w:r w:rsidR="007D3A51">
              <w:rPr>
                <w:noProof/>
                <w:webHidden/>
              </w:rPr>
              <w:fldChar w:fldCharType="begin"/>
            </w:r>
            <w:r w:rsidR="007D3A51">
              <w:rPr>
                <w:noProof/>
                <w:webHidden/>
              </w:rPr>
              <w:instrText xml:space="preserve"> PAGEREF _Toc169458473 \h </w:instrText>
            </w:r>
            <w:r w:rsidR="007D3A51">
              <w:rPr>
                <w:noProof/>
                <w:webHidden/>
              </w:rPr>
            </w:r>
            <w:r w:rsidR="007D3A51">
              <w:rPr>
                <w:noProof/>
                <w:webHidden/>
              </w:rPr>
              <w:fldChar w:fldCharType="separate"/>
            </w:r>
            <w:r w:rsidR="007D3A51">
              <w:rPr>
                <w:noProof/>
                <w:webHidden/>
              </w:rPr>
              <w:t>7</w:t>
            </w:r>
            <w:r w:rsidR="007D3A51">
              <w:rPr>
                <w:noProof/>
                <w:webHidden/>
              </w:rPr>
              <w:fldChar w:fldCharType="end"/>
            </w:r>
          </w:hyperlink>
        </w:p>
        <w:p w14:paraId="498ECE09" w14:textId="01A1C1BE" w:rsidR="007D3A51" w:rsidRDefault="00000000">
          <w:pPr>
            <w:pStyle w:val="TOC1"/>
            <w:rPr>
              <w:rFonts w:asciiTheme="minorHAnsi" w:eastAsiaTheme="minorEastAsia" w:hAnsiTheme="minorHAnsi" w:cstheme="minorBidi"/>
              <w:b w:val="0"/>
              <w:noProof/>
              <w:kern w:val="2"/>
              <w:lang w:val="en-GB" w:eastAsia="zh-CN"/>
              <w14:ligatures w14:val="standardContextual"/>
            </w:rPr>
          </w:pPr>
          <w:hyperlink w:anchor="_Toc169458474" w:history="1">
            <w:r w:rsidR="007D3A51" w:rsidRPr="00381FCC">
              <w:rPr>
                <w:rStyle w:val="Hyperlink"/>
                <w:noProof/>
              </w:rPr>
              <w:t xml:space="preserve">4. </w:t>
            </w:r>
            <w:r w:rsidR="007D3A51" w:rsidRPr="00381FCC">
              <w:rPr>
                <w:rStyle w:val="Hyperlink"/>
                <w:noProof/>
                <w:lang w:eastAsia="zh-CN"/>
              </w:rPr>
              <w:t>Derivation of the Formula for Computing Variance</w:t>
            </w:r>
            <w:r w:rsidR="007D3A51">
              <w:rPr>
                <w:noProof/>
                <w:webHidden/>
              </w:rPr>
              <w:tab/>
            </w:r>
            <w:r w:rsidR="007D3A51">
              <w:rPr>
                <w:noProof/>
                <w:webHidden/>
              </w:rPr>
              <w:fldChar w:fldCharType="begin"/>
            </w:r>
            <w:r w:rsidR="007D3A51">
              <w:rPr>
                <w:noProof/>
                <w:webHidden/>
              </w:rPr>
              <w:instrText xml:space="preserve"> PAGEREF _Toc169458474 \h </w:instrText>
            </w:r>
            <w:r w:rsidR="007D3A51">
              <w:rPr>
                <w:noProof/>
                <w:webHidden/>
              </w:rPr>
            </w:r>
            <w:r w:rsidR="007D3A51">
              <w:rPr>
                <w:noProof/>
                <w:webHidden/>
              </w:rPr>
              <w:fldChar w:fldCharType="separate"/>
            </w:r>
            <w:r w:rsidR="007D3A51">
              <w:rPr>
                <w:noProof/>
                <w:webHidden/>
              </w:rPr>
              <w:t>9</w:t>
            </w:r>
            <w:r w:rsidR="007D3A51">
              <w:rPr>
                <w:noProof/>
                <w:webHidden/>
              </w:rPr>
              <w:fldChar w:fldCharType="end"/>
            </w:r>
          </w:hyperlink>
        </w:p>
        <w:p w14:paraId="06830BA9" w14:textId="308E0107" w:rsidR="007D3A51" w:rsidRDefault="00000000">
          <w:pPr>
            <w:pStyle w:val="TOC1"/>
            <w:rPr>
              <w:rFonts w:asciiTheme="minorHAnsi" w:eastAsiaTheme="minorEastAsia" w:hAnsiTheme="minorHAnsi" w:cstheme="minorBidi"/>
              <w:b w:val="0"/>
              <w:noProof/>
              <w:kern w:val="2"/>
              <w:lang w:val="en-GB" w:eastAsia="zh-CN"/>
              <w14:ligatures w14:val="standardContextual"/>
            </w:rPr>
          </w:pPr>
          <w:hyperlink w:anchor="_Toc169458475" w:history="1">
            <w:r w:rsidR="007D3A51" w:rsidRPr="00381FCC">
              <w:rPr>
                <w:rStyle w:val="Hyperlink"/>
                <w:noProof/>
                <w:lang w:eastAsia="zh-CN"/>
              </w:rPr>
              <w:t xml:space="preserve">5. </w:t>
            </w:r>
            <w:r w:rsidR="007D3A51" w:rsidRPr="00381FCC">
              <w:rPr>
                <w:rStyle w:val="Hyperlink"/>
                <w:noProof/>
              </w:rPr>
              <w:t>Transformation from MPCR to K Index</w:t>
            </w:r>
            <w:r w:rsidR="007D3A51">
              <w:rPr>
                <w:noProof/>
                <w:webHidden/>
              </w:rPr>
              <w:tab/>
            </w:r>
            <w:r w:rsidR="007D3A51">
              <w:rPr>
                <w:noProof/>
                <w:webHidden/>
              </w:rPr>
              <w:fldChar w:fldCharType="begin"/>
            </w:r>
            <w:r w:rsidR="007D3A51">
              <w:rPr>
                <w:noProof/>
                <w:webHidden/>
              </w:rPr>
              <w:instrText xml:space="preserve"> PAGEREF _Toc169458475 \h </w:instrText>
            </w:r>
            <w:r w:rsidR="007D3A51">
              <w:rPr>
                <w:noProof/>
                <w:webHidden/>
              </w:rPr>
            </w:r>
            <w:r w:rsidR="007D3A51">
              <w:rPr>
                <w:noProof/>
                <w:webHidden/>
              </w:rPr>
              <w:fldChar w:fldCharType="separate"/>
            </w:r>
            <w:r w:rsidR="007D3A51">
              <w:rPr>
                <w:noProof/>
                <w:webHidden/>
              </w:rPr>
              <w:t>11</w:t>
            </w:r>
            <w:r w:rsidR="007D3A51">
              <w:rPr>
                <w:noProof/>
                <w:webHidden/>
              </w:rPr>
              <w:fldChar w:fldCharType="end"/>
            </w:r>
          </w:hyperlink>
        </w:p>
        <w:p w14:paraId="6C630472" w14:textId="42F36F69" w:rsidR="007D3A51" w:rsidRDefault="00000000">
          <w:pPr>
            <w:pStyle w:val="TOC1"/>
            <w:rPr>
              <w:rFonts w:asciiTheme="minorHAnsi" w:eastAsiaTheme="minorEastAsia" w:hAnsiTheme="minorHAnsi" w:cstheme="minorBidi"/>
              <w:b w:val="0"/>
              <w:noProof/>
              <w:kern w:val="2"/>
              <w:lang w:val="en-GB" w:eastAsia="zh-CN"/>
              <w14:ligatures w14:val="standardContextual"/>
            </w:rPr>
          </w:pPr>
          <w:hyperlink w:anchor="_Toc169458476" w:history="1">
            <w:r w:rsidR="007D3A51" w:rsidRPr="00381FCC">
              <w:rPr>
                <w:rStyle w:val="Hyperlink"/>
                <w:noProof/>
                <w:lang w:eastAsia="zh-CN"/>
              </w:rPr>
              <w:t>6</w:t>
            </w:r>
            <w:r w:rsidR="007D3A51" w:rsidRPr="00381FCC">
              <w:rPr>
                <w:rStyle w:val="Hyperlink"/>
                <w:noProof/>
              </w:rPr>
              <w:t>. Publication Bias Test</w:t>
            </w:r>
            <w:r w:rsidR="007D3A51">
              <w:rPr>
                <w:noProof/>
                <w:webHidden/>
              </w:rPr>
              <w:tab/>
            </w:r>
            <w:r w:rsidR="007D3A51">
              <w:rPr>
                <w:noProof/>
                <w:webHidden/>
              </w:rPr>
              <w:fldChar w:fldCharType="begin"/>
            </w:r>
            <w:r w:rsidR="007D3A51">
              <w:rPr>
                <w:noProof/>
                <w:webHidden/>
              </w:rPr>
              <w:instrText xml:space="preserve"> PAGEREF _Toc169458476 \h </w:instrText>
            </w:r>
            <w:r w:rsidR="007D3A51">
              <w:rPr>
                <w:noProof/>
                <w:webHidden/>
              </w:rPr>
            </w:r>
            <w:r w:rsidR="007D3A51">
              <w:rPr>
                <w:noProof/>
                <w:webHidden/>
              </w:rPr>
              <w:fldChar w:fldCharType="separate"/>
            </w:r>
            <w:r w:rsidR="007D3A51">
              <w:rPr>
                <w:noProof/>
                <w:webHidden/>
              </w:rPr>
              <w:t>12</w:t>
            </w:r>
            <w:r w:rsidR="007D3A51">
              <w:rPr>
                <w:noProof/>
                <w:webHidden/>
              </w:rPr>
              <w:fldChar w:fldCharType="end"/>
            </w:r>
          </w:hyperlink>
        </w:p>
        <w:p w14:paraId="2DAE7024" w14:textId="59ED54A9" w:rsidR="007D3A51" w:rsidRDefault="00000000">
          <w:pPr>
            <w:pStyle w:val="TOC1"/>
            <w:rPr>
              <w:rFonts w:asciiTheme="minorHAnsi" w:eastAsiaTheme="minorEastAsia" w:hAnsiTheme="minorHAnsi" w:cstheme="minorBidi"/>
              <w:b w:val="0"/>
              <w:noProof/>
              <w:kern w:val="2"/>
              <w:lang w:val="en-GB" w:eastAsia="zh-CN"/>
              <w14:ligatures w14:val="standardContextual"/>
            </w:rPr>
          </w:pPr>
          <w:hyperlink w:anchor="_Toc169458477" w:history="1">
            <w:r w:rsidR="007D3A51" w:rsidRPr="00381FCC">
              <w:rPr>
                <w:rStyle w:val="Hyperlink"/>
                <w:noProof/>
                <w:lang w:eastAsia="zh-CN"/>
              </w:rPr>
              <w:t>7</w:t>
            </w:r>
            <w:r w:rsidR="007D3A51" w:rsidRPr="00381FCC">
              <w:rPr>
                <w:rStyle w:val="Hyperlink"/>
                <w:noProof/>
              </w:rPr>
              <w:t>. Descriptive Statistics</w:t>
            </w:r>
            <w:r w:rsidR="007D3A51">
              <w:rPr>
                <w:noProof/>
                <w:webHidden/>
              </w:rPr>
              <w:tab/>
            </w:r>
            <w:r w:rsidR="007D3A51">
              <w:rPr>
                <w:noProof/>
                <w:webHidden/>
              </w:rPr>
              <w:fldChar w:fldCharType="begin"/>
            </w:r>
            <w:r w:rsidR="007D3A51">
              <w:rPr>
                <w:noProof/>
                <w:webHidden/>
              </w:rPr>
              <w:instrText xml:space="preserve"> PAGEREF _Toc169458477 \h </w:instrText>
            </w:r>
            <w:r w:rsidR="007D3A51">
              <w:rPr>
                <w:noProof/>
                <w:webHidden/>
              </w:rPr>
            </w:r>
            <w:r w:rsidR="007D3A51">
              <w:rPr>
                <w:noProof/>
                <w:webHidden/>
              </w:rPr>
              <w:fldChar w:fldCharType="separate"/>
            </w:r>
            <w:r w:rsidR="007D3A51">
              <w:rPr>
                <w:noProof/>
                <w:webHidden/>
              </w:rPr>
              <w:t>14</w:t>
            </w:r>
            <w:r w:rsidR="007D3A51">
              <w:rPr>
                <w:noProof/>
                <w:webHidden/>
              </w:rPr>
              <w:fldChar w:fldCharType="end"/>
            </w:r>
          </w:hyperlink>
        </w:p>
        <w:p w14:paraId="1810F01E" w14:textId="73EE218C" w:rsidR="007D3A51" w:rsidRDefault="00000000">
          <w:pPr>
            <w:pStyle w:val="TOC2"/>
            <w:rPr>
              <w:rFonts w:asciiTheme="minorHAnsi" w:eastAsiaTheme="minorEastAsia" w:hAnsiTheme="minorHAnsi" w:cstheme="minorBidi"/>
              <w:noProof/>
              <w:kern w:val="2"/>
              <w:lang w:val="en-GB" w:eastAsia="zh-CN"/>
              <w14:ligatures w14:val="standardContextual"/>
            </w:rPr>
          </w:pPr>
          <w:hyperlink w:anchor="_Toc169458478" w:history="1">
            <w:r w:rsidR="007D3A51" w:rsidRPr="00381FCC">
              <w:rPr>
                <w:rStyle w:val="Hyperlink"/>
                <w:noProof/>
                <w:lang w:eastAsia="zh-CN"/>
              </w:rPr>
              <w:t>7</w:t>
            </w:r>
            <w:r w:rsidR="007D3A51" w:rsidRPr="00381FCC">
              <w:rPr>
                <w:rStyle w:val="Hyperlink"/>
                <w:noProof/>
              </w:rPr>
              <w:t>.1 Zero-Order Correlations between Predictor Variables</w:t>
            </w:r>
            <w:r w:rsidR="007D3A51">
              <w:rPr>
                <w:noProof/>
                <w:webHidden/>
              </w:rPr>
              <w:tab/>
            </w:r>
            <w:r w:rsidR="007D3A51">
              <w:rPr>
                <w:noProof/>
                <w:webHidden/>
              </w:rPr>
              <w:fldChar w:fldCharType="begin"/>
            </w:r>
            <w:r w:rsidR="007D3A51">
              <w:rPr>
                <w:noProof/>
                <w:webHidden/>
              </w:rPr>
              <w:instrText xml:space="preserve"> PAGEREF _Toc169458478 \h </w:instrText>
            </w:r>
            <w:r w:rsidR="007D3A51">
              <w:rPr>
                <w:noProof/>
                <w:webHidden/>
              </w:rPr>
            </w:r>
            <w:r w:rsidR="007D3A51">
              <w:rPr>
                <w:noProof/>
                <w:webHidden/>
              </w:rPr>
              <w:fldChar w:fldCharType="separate"/>
            </w:r>
            <w:r w:rsidR="007D3A51">
              <w:rPr>
                <w:noProof/>
                <w:webHidden/>
              </w:rPr>
              <w:t>14</w:t>
            </w:r>
            <w:r w:rsidR="007D3A51">
              <w:rPr>
                <w:noProof/>
                <w:webHidden/>
              </w:rPr>
              <w:fldChar w:fldCharType="end"/>
            </w:r>
          </w:hyperlink>
        </w:p>
        <w:p w14:paraId="5CD87CF9" w14:textId="1E84CD58" w:rsidR="007D3A51" w:rsidRDefault="00000000">
          <w:pPr>
            <w:pStyle w:val="TOC2"/>
            <w:rPr>
              <w:rFonts w:asciiTheme="minorHAnsi" w:eastAsiaTheme="minorEastAsia" w:hAnsiTheme="minorHAnsi" w:cstheme="minorBidi"/>
              <w:noProof/>
              <w:kern w:val="2"/>
              <w:lang w:val="en-GB" w:eastAsia="zh-CN"/>
              <w14:ligatures w14:val="standardContextual"/>
            </w:rPr>
          </w:pPr>
          <w:hyperlink w:anchor="_Toc169458479" w:history="1">
            <w:r w:rsidR="007D3A51" w:rsidRPr="00381FCC">
              <w:rPr>
                <w:rStyle w:val="Hyperlink"/>
                <w:noProof/>
                <w:lang w:eastAsia="zh-CN"/>
              </w:rPr>
              <w:t>7</w:t>
            </w:r>
            <w:r w:rsidR="007D3A51" w:rsidRPr="00381FCC">
              <w:rPr>
                <w:rStyle w:val="Hyperlink"/>
                <w:noProof/>
              </w:rPr>
              <w:t>.2 Variance Inflation Factors</w:t>
            </w:r>
            <w:r w:rsidR="007D3A51">
              <w:rPr>
                <w:noProof/>
                <w:webHidden/>
              </w:rPr>
              <w:tab/>
            </w:r>
            <w:r w:rsidR="007D3A51">
              <w:rPr>
                <w:noProof/>
                <w:webHidden/>
              </w:rPr>
              <w:fldChar w:fldCharType="begin"/>
            </w:r>
            <w:r w:rsidR="007D3A51">
              <w:rPr>
                <w:noProof/>
                <w:webHidden/>
              </w:rPr>
              <w:instrText xml:space="preserve"> PAGEREF _Toc169458479 \h </w:instrText>
            </w:r>
            <w:r w:rsidR="007D3A51">
              <w:rPr>
                <w:noProof/>
                <w:webHidden/>
              </w:rPr>
            </w:r>
            <w:r w:rsidR="007D3A51">
              <w:rPr>
                <w:noProof/>
                <w:webHidden/>
              </w:rPr>
              <w:fldChar w:fldCharType="separate"/>
            </w:r>
            <w:r w:rsidR="007D3A51">
              <w:rPr>
                <w:noProof/>
                <w:webHidden/>
              </w:rPr>
              <w:t>15</w:t>
            </w:r>
            <w:r w:rsidR="007D3A51">
              <w:rPr>
                <w:noProof/>
                <w:webHidden/>
              </w:rPr>
              <w:fldChar w:fldCharType="end"/>
            </w:r>
          </w:hyperlink>
        </w:p>
        <w:p w14:paraId="783F40A2" w14:textId="65B14303" w:rsidR="007D3A51" w:rsidRDefault="00000000">
          <w:pPr>
            <w:pStyle w:val="TOC1"/>
            <w:rPr>
              <w:rFonts w:asciiTheme="minorHAnsi" w:eastAsiaTheme="minorEastAsia" w:hAnsiTheme="minorHAnsi" w:cstheme="minorBidi"/>
              <w:b w:val="0"/>
              <w:noProof/>
              <w:kern w:val="2"/>
              <w:lang w:val="en-GB" w:eastAsia="zh-CN"/>
              <w14:ligatures w14:val="standardContextual"/>
            </w:rPr>
          </w:pPr>
          <w:hyperlink w:anchor="_Toc169458480" w:history="1">
            <w:r w:rsidR="007D3A51" w:rsidRPr="00381FCC">
              <w:rPr>
                <w:rStyle w:val="Hyperlink"/>
                <w:noProof/>
                <w:lang w:eastAsia="zh-CN"/>
              </w:rPr>
              <w:t>8</w:t>
            </w:r>
            <w:r w:rsidR="007D3A51" w:rsidRPr="00381FCC">
              <w:rPr>
                <w:rStyle w:val="Hyperlink"/>
                <w:noProof/>
              </w:rPr>
              <w:t>. Meta-Regression Analyses</w:t>
            </w:r>
            <w:r w:rsidR="007D3A51">
              <w:rPr>
                <w:noProof/>
                <w:webHidden/>
              </w:rPr>
              <w:tab/>
            </w:r>
            <w:r w:rsidR="007D3A51">
              <w:rPr>
                <w:noProof/>
                <w:webHidden/>
              </w:rPr>
              <w:fldChar w:fldCharType="begin"/>
            </w:r>
            <w:r w:rsidR="007D3A51">
              <w:rPr>
                <w:noProof/>
                <w:webHidden/>
              </w:rPr>
              <w:instrText xml:space="preserve"> PAGEREF _Toc169458480 \h </w:instrText>
            </w:r>
            <w:r w:rsidR="007D3A51">
              <w:rPr>
                <w:noProof/>
                <w:webHidden/>
              </w:rPr>
            </w:r>
            <w:r w:rsidR="007D3A51">
              <w:rPr>
                <w:noProof/>
                <w:webHidden/>
              </w:rPr>
              <w:fldChar w:fldCharType="separate"/>
            </w:r>
            <w:r w:rsidR="007D3A51">
              <w:rPr>
                <w:noProof/>
                <w:webHidden/>
              </w:rPr>
              <w:t>17</w:t>
            </w:r>
            <w:r w:rsidR="007D3A51">
              <w:rPr>
                <w:noProof/>
                <w:webHidden/>
              </w:rPr>
              <w:fldChar w:fldCharType="end"/>
            </w:r>
          </w:hyperlink>
        </w:p>
        <w:p w14:paraId="2D9F8170" w14:textId="000BE4D8" w:rsidR="007D3A51" w:rsidRDefault="00000000">
          <w:pPr>
            <w:pStyle w:val="TOC2"/>
            <w:rPr>
              <w:rFonts w:asciiTheme="minorHAnsi" w:eastAsiaTheme="minorEastAsia" w:hAnsiTheme="minorHAnsi" w:cstheme="minorBidi"/>
              <w:noProof/>
              <w:kern w:val="2"/>
              <w:lang w:val="en-GB" w:eastAsia="zh-CN"/>
              <w14:ligatures w14:val="standardContextual"/>
            </w:rPr>
          </w:pPr>
          <w:hyperlink w:anchor="_Toc169458481" w:history="1">
            <w:r w:rsidR="007D3A51" w:rsidRPr="00381FCC">
              <w:rPr>
                <w:rStyle w:val="Hyperlink"/>
                <w:noProof/>
                <w:lang w:eastAsia="zh-CN"/>
              </w:rPr>
              <w:t>8</w:t>
            </w:r>
            <w:r w:rsidR="007D3A51" w:rsidRPr="00381FCC">
              <w:rPr>
                <w:rStyle w:val="Hyperlink"/>
                <w:noProof/>
              </w:rPr>
              <w:t>.1 Mixed-Effects Meta-Regression Models</w:t>
            </w:r>
            <w:r w:rsidR="007D3A51">
              <w:rPr>
                <w:noProof/>
                <w:webHidden/>
              </w:rPr>
              <w:tab/>
            </w:r>
            <w:r w:rsidR="007D3A51">
              <w:rPr>
                <w:noProof/>
                <w:webHidden/>
              </w:rPr>
              <w:fldChar w:fldCharType="begin"/>
            </w:r>
            <w:r w:rsidR="007D3A51">
              <w:rPr>
                <w:noProof/>
                <w:webHidden/>
              </w:rPr>
              <w:instrText xml:space="preserve"> PAGEREF _Toc169458481 \h </w:instrText>
            </w:r>
            <w:r w:rsidR="007D3A51">
              <w:rPr>
                <w:noProof/>
                <w:webHidden/>
              </w:rPr>
            </w:r>
            <w:r w:rsidR="007D3A51">
              <w:rPr>
                <w:noProof/>
                <w:webHidden/>
              </w:rPr>
              <w:fldChar w:fldCharType="separate"/>
            </w:r>
            <w:r w:rsidR="007D3A51">
              <w:rPr>
                <w:noProof/>
                <w:webHidden/>
              </w:rPr>
              <w:t>17</w:t>
            </w:r>
            <w:r w:rsidR="007D3A51">
              <w:rPr>
                <w:noProof/>
                <w:webHidden/>
              </w:rPr>
              <w:fldChar w:fldCharType="end"/>
            </w:r>
          </w:hyperlink>
        </w:p>
        <w:p w14:paraId="5B355F75" w14:textId="159D66DB" w:rsidR="007D3A51" w:rsidRDefault="00000000">
          <w:pPr>
            <w:pStyle w:val="TOC2"/>
            <w:rPr>
              <w:rFonts w:asciiTheme="minorHAnsi" w:eastAsiaTheme="minorEastAsia" w:hAnsiTheme="minorHAnsi" w:cstheme="minorBidi"/>
              <w:noProof/>
              <w:kern w:val="2"/>
              <w:lang w:val="en-GB" w:eastAsia="zh-CN"/>
              <w14:ligatures w14:val="standardContextual"/>
            </w:rPr>
          </w:pPr>
          <w:hyperlink w:anchor="_Toc169458482" w:history="1">
            <w:r w:rsidR="007D3A51" w:rsidRPr="00381FCC">
              <w:rPr>
                <w:rStyle w:val="Hyperlink"/>
                <w:noProof/>
                <w:lang w:eastAsia="zh-CN"/>
              </w:rPr>
              <w:t>8</w:t>
            </w:r>
            <w:r w:rsidR="007D3A51" w:rsidRPr="00381FCC">
              <w:rPr>
                <w:rStyle w:val="Hyperlink"/>
                <w:noProof/>
              </w:rPr>
              <w:t>.2 Models to Test Additional Hypotheses</w:t>
            </w:r>
            <w:r w:rsidR="007D3A51">
              <w:rPr>
                <w:noProof/>
                <w:webHidden/>
              </w:rPr>
              <w:tab/>
            </w:r>
            <w:r w:rsidR="007D3A51">
              <w:rPr>
                <w:noProof/>
                <w:webHidden/>
              </w:rPr>
              <w:fldChar w:fldCharType="begin"/>
            </w:r>
            <w:r w:rsidR="007D3A51">
              <w:rPr>
                <w:noProof/>
                <w:webHidden/>
              </w:rPr>
              <w:instrText xml:space="preserve"> PAGEREF _Toc169458482 \h </w:instrText>
            </w:r>
            <w:r w:rsidR="007D3A51">
              <w:rPr>
                <w:noProof/>
                <w:webHidden/>
              </w:rPr>
            </w:r>
            <w:r w:rsidR="007D3A51">
              <w:rPr>
                <w:noProof/>
                <w:webHidden/>
              </w:rPr>
              <w:fldChar w:fldCharType="separate"/>
            </w:r>
            <w:r w:rsidR="007D3A51">
              <w:rPr>
                <w:noProof/>
                <w:webHidden/>
              </w:rPr>
              <w:t>19</w:t>
            </w:r>
            <w:r w:rsidR="007D3A51">
              <w:rPr>
                <w:noProof/>
                <w:webHidden/>
              </w:rPr>
              <w:fldChar w:fldCharType="end"/>
            </w:r>
          </w:hyperlink>
        </w:p>
        <w:p w14:paraId="299BE711" w14:textId="068C3C57" w:rsidR="007D3A51" w:rsidRDefault="00000000">
          <w:pPr>
            <w:pStyle w:val="TOC2"/>
            <w:rPr>
              <w:rFonts w:asciiTheme="minorHAnsi" w:eastAsiaTheme="minorEastAsia" w:hAnsiTheme="minorHAnsi" w:cstheme="minorBidi"/>
              <w:noProof/>
              <w:kern w:val="2"/>
              <w:lang w:val="en-GB" w:eastAsia="zh-CN"/>
              <w14:ligatures w14:val="standardContextual"/>
            </w:rPr>
          </w:pPr>
          <w:hyperlink w:anchor="_Toc169458483" w:history="1">
            <w:r w:rsidR="007D3A51" w:rsidRPr="00381FCC">
              <w:rPr>
                <w:rStyle w:val="Hyperlink"/>
                <w:noProof/>
                <w:lang w:eastAsia="zh-CN"/>
              </w:rPr>
              <w:t>8</w:t>
            </w:r>
            <w:r w:rsidR="007D3A51" w:rsidRPr="00381FCC">
              <w:rPr>
                <w:rStyle w:val="Hyperlink"/>
                <w:noProof/>
              </w:rPr>
              <w:t>.3 Predictive Power of Variables</w:t>
            </w:r>
            <w:r w:rsidR="007D3A51">
              <w:rPr>
                <w:noProof/>
                <w:webHidden/>
              </w:rPr>
              <w:tab/>
            </w:r>
            <w:r w:rsidR="007D3A51">
              <w:rPr>
                <w:noProof/>
                <w:webHidden/>
              </w:rPr>
              <w:fldChar w:fldCharType="begin"/>
            </w:r>
            <w:r w:rsidR="007D3A51">
              <w:rPr>
                <w:noProof/>
                <w:webHidden/>
              </w:rPr>
              <w:instrText xml:space="preserve"> PAGEREF _Toc169458483 \h </w:instrText>
            </w:r>
            <w:r w:rsidR="007D3A51">
              <w:rPr>
                <w:noProof/>
                <w:webHidden/>
              </w:rPr>
            </w:r>
            <w:r w:rsidR="007D3A51">
              <w:rPr>
                <w:noProof/>
                <w:webHidden/>
              </w:rPr>
              <w:fldChar w:fldCharType="separate"/>
            </w:r>
            <w:r w:rsidR="007D3A51">
              <w:rPr>
                <w:noProof/>
                <w:webHidden/>
              </w:rPr>
              <w:t>22</w:t>
            </w:r>
            <w:r w:rsidR="007D3A51">
              <w:rPr>
                <w:noProof/>
                <w:webHidden/>
              </w:rPr>
              <w:fldChar w:fldCharType="end"/>
            </w:r>
          </w:hyperlink>
        </w:p>
        <w:p w14:paraId="5CFC4FAA" w14:textId="2EDFC446" w:rsidR="007D3A51" w:rsidRDefault="00000000">
          <w:pPr>
            <w:pStyle w:val="TOC2"/>
            <w:rPr>
              <w:rFonts w:asciiTheme="minorHAnsi" w:eastAsiaTheme="minorEastAsia" w:hAnsiTheme="minorHAnsi" w:cstheme="minorBidi"/>
              <w:noProof/>
              <w:kern w:val="2"/>
              <w:lang w:val="en-GB" w:eastAsia="zh-CN"/>
              <w14:ligatures w14:val="standardContextual"/>
            </w:rPr>
          </w:pPr>
          <w:hyperlink w:anchor="_Toc169458484" w:history="1">
            <w:r w:rsidR="007D3A51" w:rsidRPr="00381FCC">
              <w:rPr>
                <w:rStyle w:val="Hyperlink"/>
                <w:noProof/>
                <w:lang w:eastAsia="zh-CN"/>
              </w:rPr>
              <w:t>8</w:t>
            </w:r>
            <w:r w:rsidR="007D3A51" w:rsidRPr="00381FCC">
              <w:rPr>
                <w:rStyle w:val="Hyperlink"/>
                <w:noProof/>
              </w:rPr>
              <w:t>.4 Additional Analyses</w:t>
            </w:r>
            <w:r w:rsidR="007D3A51">
              <w:rPr>
                <w:noProof/>
                <w:webHidden/>
              </w:rPr>
              <w:tab/>
            </w:r>
            <w:r w:rsidR="007D3A51">
              <w:rPr>
                <w:noProof/>
                <w:webHidden/>
              </w:rPr>
              <w:fldChar w:fldCharType="begin"/>
            </w:r>
            <w:r w:rsidR="007D3A51">
              <w:rPr>
                <w:noProof/>
                <w:webHidden/>
              </w:rPr>
              <w:instrText xml:space="preserve"> PAGEREF _Toc169458484 \h </w:instrText>
            </w:r>
            <w:r w:rsidR="007D3A51">
              <w:rPr>
                <w:noProof/>
                <w:webHidden/>
              </w:rPr>
            </w:r>
            <w:r w:rsidR="007D3A51">
              <w:rPr>
                <w:noProof/>
                <w:webHidden/>
              </w:rPr>
              <w:fldChar w:fldCharType="separate"/>
            </w:r>
            <w:r w:rsidR="007D3A51">
              <w:rPr>
                <w:noProof/>
                <w:webHidden/>
              </w:rPr>
              <w:t>24</w:t>
            </w:r>
            <w:r w:rsidR="007D3A51">
              <w:rPr>
                <w:noProof/>
                <w:webHidden/>
              </w:rPr>
              <w:fldChar w:fldCharType="end"/>
            </w:r>
          </w:hyperlink>
        </w:p>
        <w:p w14:paraId="56891A74" w14:textId="7BE35A88" w:rsidR="007D3A51" w:rsidRDefault="00000000">
          <w:pPr>
            <w:pStyle w:val="TOC1"/>
            <w:rPr>
              <w:rFonts w:asciiTheme="minorHAnsi" w:eastAsiaTheme="minorEastAsia" w:hAnsiTheme="minorHAnsi" w:cstheme="minorBidi"/>
              <w:b w:val="0"/>
              <w:noProof/>
              <w:kern w:val="2"/>
              <w:lang w:val="en-GB" w:eastAsia="zh-CN"/>
              <w14:ligatures w14:val="standardContextual"/>
            </w:rPr>
          </w:pPr>
          <w:hyperlink w:anchor="_Toc169458485" w:history="1">
            <w:r w:rsidR="007D3A51" w:rsidRPr="00381FCC">
              <w:rPr>
                <w:rStyle w:val="Hyperlink"/>
                <w:noProof/>
                <w:lang w:eastAsia="zh-CN"/>
              </w:rPr>
              <w:t>9</w:t>
            </w:r>
            <w:r w:rsidR="007D3A51" w:rsidRPr="00381FCC">
              <w:rPr>
                <w:rStyle w:val="Hyperlink"/>
                <w:noProof/>
              </w:rPr>
              <w:t>. Exploratory Analyses</w:t>
            </w:r>
            <w:r w:rsidR="007D3A51" w:rsidRPr="00381FCC">
              <w:rPr>
                <w:rStyle w:val="Hyperlink"/>
                <w:rFonts w:cs="Times New Roman"/>
                <w:bCs/>
                <w:noProof/>
              </w:rPr>
              <w:t xml:space="preserve"> Using a Machine Learning Approach</w:t>
            </w:r>
            <w:r w:rsidR="007D3A51" w:rsidRPr="00381FCC">
              <w:rPr>
                <w:rStyle w:val="Hyperlink"/>
                <w:noProof/>
              </w:rPr>
              <w:t>: MetaForest</w:t>
            </w:r>
            <w:r w:rsidR="007D3A51">
              <w:rPr>
                <w:noProof/>
                <w:webHidden/>
              </w:rPr>
              <w:tab/>
            </w:r>
            <w:r w:rsidR="007D3A51">
              <w:rPr>
                <w:noProof/>
                <w:webHidden/>
              </w:rPr>
              <w:fldChar w:fldCharType="begin"/>
            </w:r>
            <w:r w:rsidR="007D3A51">
              <w:rPr>
                <w:noProof/>
                <w:webHidden/>
              </w:rPr>
              <w:instrText xml:space="preserve"> PAGEREF _Toc169458485 \h </w:instrText>
            </w:r>
            <w:r w:rsidR="007D3A51">
              <w:rPr>
                <w:noProof/>
                <w:webHidden/>
              </w:rPr>
            </w:r>
            <w:r w:rsidR="007D3A51">
              <w:rPr>
                <w:noProof/>
                <w:webHidden/>
              </w:rPr>
              <w:fldChar w:fldCharType="separate"/>
            </w:r>
            <w:r w:rsidR="007D3A51">
              <w:rPr>
                <w:noProof/>
                <w:webHidden/>
              </w:rPr>
              <w:t>32</w:t>
            </w:r>
            <w:r w:rsidR="007D3A51">
              <w:rPr>
                <w:noProof/>
                <w:webHidden/>
              </w:rPr>
              <w:fldChar w:fldCharType="end"/>
            </w:r>
          </w:hyperlink>
        </w:p>
        <w:p w14:paraId="64C8AAFB" w14:textId="2441729B" w:rsidR="007D3A51" w:rsidRDefault="00000000">
          <w:pPr>
            <w:pStyle w:val="TOC1"/>
            <w:rPr>
              <w:rFonts w:asciiTheme="minorHAnsi" w:eastAsiaTheme="minorEastAsia" w:hAnsiTheme="minorHAnsi" w:cstheme="minorBidi"/>
              <w:b w:val="0"/>
              <w:noProof/>
              <w:kern w:val="2"/>
              <w:lang w:val="en-GB" w:eastAsia="zh-CN"/>
              <w14:ligatures w14:val="standardContextual"/>
            </w:rPr>
          </w:pPr>
          <w:hyperlink w:anchor="_Toc169458486" w:history="1">
            <w:r w:rsidR="007D3A51" w:rsidRPr="00381FCC">
              <w:rPr>
                <w:rStyle w:val="Hyperlink"/>
                <w:noProof/>
                <w:lang w:eastAsia="zh-CN"/>
              </w:rPr>
              <w:t>10</w:t>
            </w:r>
            <w:r w:rsidR="007D3A51" w:rsidRPr="00381FCC">
              <w:rPr>
                <w:rStyle w:val="Hyperlink"/>
                <w:noProof/>
              </w:rPr>
              <w:t>. Meta-Analyses of Within-Study Effect Sizes</w:t>
            </w:r>
            <w:r w:rsidR="007D3A51">
              <w:rPr>
                <w:noProof/>
                <w:webHidden/>
              </w:rPr>
              <w:tab/>
            </w:r>
            <w:r w:rsidR="007D3A51">
              <w:rPr>
                <w:noProof/>
                <w:webHidden/>
              </w:rPr>
              <w:fldChar w:fldCharType="begin"/>
            </w:r>
            <w:r w:rsidR="007D3A51">
              <w:rPr>
                <w:noProof/>
                <w:webHidden/>
              </w:rPr>
              <w:instrText xml:space="preserve"> PAGEREF _Toc169458486 \h </w:instrText>
            </w:r>
            <w:r w:rsidR="007D3A51">
              <w:rPr>
                <w:noProof/>
                <w:webHidden/>
              </w:rPr>
            </w:r>
            <w:r w:rsidR="007D3A51">
              <w:rPr>
                <w:noProof/>
                <w:webHidden/>
              </w:rPr>
              <w:fldChar w:fldCharType="separate"/>
            </w:r>
            <w:r w:rsidR="007D3A51">
              <w:rPr>
                <w:noProof/>
                <w:webHidden/>
              </w:rPr>
              <w:t>37</w:t>
            </w:r>
            <w:r w:rsidR="007D3A51">
              <w:rPr>
                <w:noProof/>
                <w:webHidden/>
              </w:rPr>
              <w:fldChar w:fldCharType="end"/>
            </w:r>
          </w:hyperlink>
        </w:p>
        <w:p w14:paraId="01544D08" w14:textId="3DF40F8A" w:rsidR="007D3A51" w:rsidRDefault="00000000">
          <w:pPr>
            <w:pStyle w:val="TOC1"/>
            <w:rPr>
              <w:rFonts w:asciiTheme="minorHAnsi" w:eastAsiaTheme="minorEastAsia" w:hAnsiTheme="minorHAnsi" w:cstheme="minorBidi"/>
              <w:b w:val="0"/>
              <w:noProof/>
              <w:kern w:val="2"/>
              <w:lang w:val="en-GB" w:eastAsia="zh-CN"/>
              <w14:ligatures w14:val="standardContextual"/>
            </w:rPr>
          </w:pPr>
          <w:hyperlink w:anchor="_Toc169458487" w:history="1">
            <w:r w:rsidR="007D3A51" w:rsidRPr="00381FCC">
              <w:rPr>
                <w:rStyle w:val="Hyperlink"/>
                <w:noProof/>
              </w:rPr>
              <w:t>1</w:t>
            </w:r>
            <w:r w:rsidR="007D3A51" w:rsidRPr="00381FCC">
              <w:rPr>
                <w:rStyle w:val="Hyperlink"/>
                <w:noProof/>
                <w:lang w:eastAsia="zh-CN"/>
              </w:rPr>
              <w:t>1</w:t>
            </w:r>
            <w:r w:rsidR="007D3A51" w:rsidRPr="00381FCC">
              <w:rPr>
                <w:rStyle w:val="Hyperlink"/>
                <w:noProof/>
              </w:rPr>
              <w:t>. References</w:t>
            </w:r>
            <w:r w:rsidR="007D3A51">
              <w:rPr>
                <w:noProof/>
                <w:webHidden/>
              </w:rPr>
              <w:tab/>
            </w:r>
            <w:r w:rsidR="007D3A51">
              <w:rPr>
                <w:noProof/>
                <w:webHidden/>
              </w:rPr>
              <w:fldChar w:fldCharType="begin"/>
            </w:r>
            <w:r w:rsidR="007D3A51">
              <w:rPr>
                <w:noProof/>
                <w:webHidden/>
              </w:rPr>
              <w:instrText xml:space="preserve"> PAGEREF _Toc169458487 \h </w:instrText>
            </w:r>
            <w:r w:rsidR="007D3A51">
              <w:rPr>
                <w:noProof/>
                <w:webHidden/>
              </w:rPr>
            </w:r>
            <w:r w:rsidR="007D3A51">
              <w:rPr>
                <w:noProof/>
                <w:webHidden/>
              </w:rPr>
              <w:fldChar w:fldCharType="separate"/>
            </w:r>
            <w:r w:rsidR="007D3A51">
              <w:rPr>
                <w:noProof/>
                <w:webHidden/>
              </w:rPr>
              <w:t>43</w:t>
            </w:r>
            <w:r w:rsidR="007D3A51">
              <w:rPr>
                <w:noProof/>
                <w:webHidden/>
              </w:rPr>
              <w:fldChar w:fldCharType="end"/>
            </w:r>
          </w:hyperlink>
        </w:p>
        <w:p w14:paraId="1A1BEA53" w14:textId="519F7E8B" w:rsidR="007D3A51" w:rsidRDefault="00000000">
          <w:pPr>
            <w:pStyle w:val="TOC2"/>
            <w:rPr>
              <w:rFonts w:asciiTheme="minorHAnsi" w:eastAsiaTheme="minorEastAsia" w:hAnsiTheme="minorHAnsi" w:cstheme="minorBidi"/>
              <w:noProof/>
              <w:kern w:val="2"/>
              <w:lang w:val="en-GB" w:eastAsia="zh-CN"/>
              <w14:ligatures w14:val="standardContextual"/>
            </w:rPr>
          </w:pPr>
          <w:hyperlink w:anchor="_Toc169458488" w:history="1">
            <w:r w:rsidR="007D3A51" w:rsidRPr="00381FCC">
              <w:rPr>
                <w:rStyle w:val="Hyperlink"/>
                <w:noProof/>
              </w:rPr>
              <w:t>11.1 References Cited in the SI</w:t>
            </w:r>
            <w:r w:rsidR="007D3A51">
              <w:rPr>
                <w:noProof/>
                <w:webHidden/>
              </w:rPr>
              <w:tab/>
            </w:r>
            <w:r w:rsidR="007D3A51">
              <w:rPr>
                <w:noProof/>
                <w:webHidden/>
              </w:rPr>
              <w:fldChar w:fldCharType="begin"/>
            </w:r>
            <w:r w:rsidR="007D3A51">
              <w:rPr>
                <w:noProof/>
                <w:webHidden/>
              </w:rPr>
              <w:instrText xml:space="preserve"> PAGEREF _Toc169458488 \h </w:instrText>
            </w:r>
            <w:r w:rsidR="007D3A51">
              <w:rPr>
                <w:noProof/>
                <w:webHidden/>
              </w:rPr>
            </w:r>
            <w:r w:rsidR="007D3A51">
              <w:rPr>
                <w:noProof/>
                <w:webHidden/>
              </w:rPr>
              <w:fldChar w:fldCharType="separate"/>
            </w:r>
            <w:r w:rsidR="007D3A51">
              <w:rPr>
                <w:noProof/>
                <w:webHidden/>
              </w:rPr>
              <w:t>43</w:t>
            </w:r>
            <w:r w:rsidR="007D3A51">
              <w:rPr>
                <w:noProof/>
                <w:webHidden/>
              </w:rPr>
              <w:fldChar w:fldCharType="end"/>
            </w:r>
          </w:hyperlink>
        </w:p>
        <w:p w14:paraId="3BF93165" w14:textId="7CCE215C" w:rsidR="007D3A51" w:rsidRDefault="00000000">
          <w:pPr>
            <w:pStyle w:val="TOC2"/>
            <w:rPr>
              <w:rFonts w:asciiTheme="minorHAnsi" w:eastAsiaTheme="minorEastAsia" w:hAnsiTheme="minorHAnsi" w:cstheme="minorBidi"/>
              <w:noProof/>
              <w:kern w:val="2"/>
              <w:lang w:val="en-GB" w:eastAsia="zh-CN"/>
              <w14:ligatures w14:val="standardContextual"/>
            </w:rPr>
          </w:pPr>
          <w:hyperlink w:anchor="_Toc169458489" w:history="1">
            <w:r w:rsidR="007D3A51" w:rsidRPr="00381FCC">
              <w:rPr>
                <w:rStyle w:val="Hyperlink"/>
                <w:noProof/>
                <w:lang w:eastAsia="zh-CN"/>
              </w:rPr>
              <w:t>11.2 References Included in the Meta-Analysis in Study 1</w:t>
            </w:r>
            <w:r w:rsidR="007D3A51">
              <w:rPr>
                <w:noProof/>
                <w:webHidden/>
              </w:rPr>
              <w:tab/>
            </w:r>
            <w:r w:rsidR="007D3A51">
              <w:rPr>
                <w:noProof/>
                <w:webHidden/>
              </w:rPr>
              <w:fldChar w:fldCharType="begin"/>
            </w:r>
            <w:r w:rsidR="007D3A51">
              <w:rPr>
                <w:noProof/>
                <w:webHidden/>
              </w:rPr>
              <w:instrText xml:space="preserve"> PAGEREF _Toc169458489 \h </w:instrText>
            </w:r>
            <w:r w:rsidR="007D3A51">
              <w:rPr>
                <w:noProof/>
                <w:webHidden/>
              </w:rPr>
            </w:r>
            <w:r w:rsidR="007D3A51">
              <w:rPr>
                <w:noProof/>
                <w:webHidden/>
              </w:rPr>
              <w:fldChar w:fldCharType="separate"/>
            </w:r>
            <w:r w:rsidR="007D3A51">
              <w:rPr>
                <w:noProof/>
                <w:webHidden/>
              </w:rPr>
              <w:t>49</w:t>
            </w:r>
            <w:r w:rsidR="007D3A51">
              <w:rPr>
                <w:noProof/>
                <w:webHidden/>
              </w:rPr>
              <w:fldChar w:fldCharType="end"/>
            </w:r>
          </w:hyperlink>
        </w:p>
        <w:p w14:paraId="4F38B890" w14:textId="61E8BA5B" w:rsidR="005C06C1" w:rsidRPr="007A397C" w:rsidRDefault="008C48BA" w:rsidP="005D6644">
          <w:pPr>
            <w:pStyle w:val="TOC1"/>
          </w:pPr>
          <w:r>
            <w:rPr>
              <w:rFonts w:eastAsia="Times New Roman"/>
              <w:bCs/>
              <w:noProof/>
            </w:rPr>
            <w:fldChar w:fldCharType="end"/>
          </w:r>
        </w:p>
      </w:sdtContent>
    </w:sdt>
    <w:p w14:paraId="3665953F" w14:textId="11383DD7" w:rsidR="00442922" w:rsidRDefault="00C7706F" w:rsidP="002C0F19">
      <w:pPr>
        <w:pStyle w:val="Heading1"/>
      </w:pPr>
      <w:bookmarkStart w:id="1" w:name="_Toc169458470"/>
      <w:r>
        <w:lastRenderedPageBreak/>
        <w:t>1</w:t>
      </w:r>
      <w:r w:rsidR="00354D03">
        <w:t>.</w:t>
      </w:r>
      <w:r>
        <w:t xml:space="preserve"> </w:t>
      </w:r>
      <w:bookmarkStart w:id="2" w:name="_Hlk74863093"/>
      <w:r>
        <w:t xml:space="preserve">Deviation from </w:t>
      </w:r>
      <w:r w:rsidR="002C0F19">
        <w:t>P</w:t>
      </w:r>
      <w:r>
        <w:t>re</w:t>
      </w:r>
      <w:r w:rsidR="002C0F19">
        <w:t>-R</w:t>
      </w:r>
      <w:r>
        <w:t>egistration</w:t>
      </w:r>
      <w:bookmarkEnd w:id="1"/>
      <w:bookmarkEnd w:id="2"/>
    </w:p>
    <w:p w14:paraId="06FD414A" w14:textId="4D1BC8CE" w:rsidR="002C0F19" w:rsidRDefault="002C0F19" w:rsidP="002C0F19">
      <w:pPr>
        <w:ind w:firstLine="709"/>
        <w:rPr>
          <w:rFonts w:eastAsia="Times New Roman" w:cs="Times New Roman"/>
          <w:bCs/>
          <w:color w:val="000000"/>
        </w:rPr>
      </w:pPr>
      <w:r w:rsidRPr="002C0F19">
        <w:rPr>
          <w:rFonts w:eastAsia="Times New Roman" w:cs="Times New Roman"/>
          <w:bCs/>
          <w:color w:val="000000"/>
        </w:rPr>
        <w:t xml:space="preserve">The present </w:t>
      </w:r>
      <w:r w:rsidR="0098665E">
        <w:rPr>
          <w:rFonts w:eastAsia="Times New Roman" w:cs="Times New Roman"/>
          <w:bCs/>
          <w:color w:val="000000"/>
        </w:rPr>
        <w:t>meta-analysis</w:t>
      </w:r>
      <w:r w:rsidRPr="002C0F19">
        <w:rPr>
          <w:rFonts w:eastAsia="Times New Roman" w:cs="Times New Roman"/>
          <w:bCs/>
          <w:color w:val="000000"/>
        </w:rPr>
        <w:t xml:space="preserve"> has been pre-registered on OSF </w:t>
      </w:r>
      <w:r w:rsidR="0098665E">
        <w:rPr>
          <w:rFonts w:eastAsia="Times New Roman" w:cs="Times New Roman"/>
          <w:bCs/>
          <w:color w:val="000000"/>
        </w:rPr>
        <w:t>(</w:t>
      </w:r>
      <w:r w:rsidR="00AD5427" w:rsidRPr="00AD5427">
        <w:rPr>
          <w:rFonts w:eastAsia="Times New Roman" w:cs="Times New Roman"/>
          <w:bCs/>
        </w:rPr>
        <w:t>https://osf.io/pavrb</w:t>
      </w:r>
      <w:r w:rsidR="0098665E">
        <w:rPr>
          <w:rFonts w:eastAsia="Times New Roman" w:cs="Times New Roman"/>
          <w:bCs/>
          <w:color w:val="000000"/>
        </w:rPr>
        <w:t xml:space="preserve">) </w:t>
      </w:r>
      <w:r w:rsidRPr="002C0F19">
        <w:rPr>
          <w:rFonts w:eastAsia="Times New Roman" w:cs="Times New Roman"/>
          <w:bCs/>
          <w:color w:val="000000"/>
        </w:rPr>
        <w:t xml:space="preserve">before </w:t>
      </w:r>
      <w:r w:rsidR="0098665E">
        <w:rPr>
          <w:rFonts w:eastAsia="Times New Roman" w:cs="Times New Roman"/>
          <w:bCs/>
          <w:color w:val="000000"/>
        </w:rPr>
        <w:t>data analysis</w:t>
      </w:r>
      <w:r w:rsidRPr="002C0F19">
        <w:rPr>
          <w:rFonts w:eastAsia="Times New Roman" w:cs="Times New Roman"/>
          <w:bCs/>
          <w:color w:val="000000"/>
        </w:rPr>
        <w:t xml:space="preserve">. We made </w:t>
      </w:r>
      <w:r w:rsidR="00FD1449">
        <w:rPr>
          <w:rFonts w:eastAsia="Times New Roman" w:cs="Times New Roman"/>
          <w:bCs/>
          <w:color w:val="000000"/>
        </w:rPr>
        <w:t>several</w:t>
      </w:r>
      <w:r w:rsidRPr="002C0F19">
        <w:rPr>
          <w:rFonts w:eastAsia="Times New Roman" w:cs="Times New Roman"/>
          <w:bCs/>
          <w:color w:val="000000"/>
        </w:rPr>
        <w:t xml:space="preserve"> decisions that deviated from our pre-registration.</w:t>
      </w:r>
    </w:p>
    <w:p w14:paraId="3337D08B" w14:textId="5FCF6199" w:rsidR="00A460B2" w:rsidRDefault="00A460B2" w:rsidP="00A460B2">
      <w:pPr>
        <w:ind w:firstLine="709"/>
        <w:rPr>
          <w:rFonts w:eastAsia="Times New Roman" w:cs="Times New Roman"/>
          <w:bCs/>
          <w:color w:val="000000"/>
        </w:rPr>
      </w:pPr>
      <w:r>
        <w:rPr>
          <w:rFonts w:eastAsia="Times New Roman" w:cs="Times New Roman"/>
          <w:bCs/>
          <w:color w:val="000000"/>
        </w:rPr>
        <w:t xml:space="preserve">First, we added </w:t>
      </w:r>
      <w:r w:rsidR="0036461B">
        <w:rPr>
          <w:rFonts w:eastAsia="Times New Roman" w:cs="Times New Roman"/>
          <w:bCs/>
          <w:color w:val="000000"/>
        </w:rPr>
        <w:t>two</w:t>
      </w:r>
      <w:r>
        <w:rPr>
          <w:rFonts w:eastAsia="Times New Roman" w:cs="Times New Roman"/>
          <w:bCs/>
          <w:color w:val="000000"/>
        </w:rPr>
        <w:t xml:space="preserve"> more criteria while assessing the eligibility of studies to be included in the confirmatory analysis: 1) mean age of the sample included was constrained to be equal to or above 18, </w:t>
      </w:r>
      <w:r w:rsidR="00FE2F2B">
        <w:rPr>
          <w:rFonts w:eastAsia="Times New Roman" w:cs="Times New Roman"/>
          <w:bCs/>
          <w:color w:val="000000"/>
        </w:rPr>
        <w:t xml:space="preserve">and </w:t>
      </w:r>
      <w:r>
        <w:rPr>
          <w:rFonts w:eastAsia="Times New Roman" w:cs="Times New Roman"/>
          <w:bCs/>
          <w:color w:val="000000"/>
        </w:rPr>
        <w:t xml:space="preserve">2) only </w:t>
      </w:r>
      <w:r w:rsidR="00E55385">
        <w:rPr>
          <w:rFonts w:eastAsia="Times New Roman" w:cs="Times New Roman"/>
          <w:bCs/>
          <w:color w:val="000000"/>
        </w:rPr>
        <w:t>PDs</w:t>
      </w:r>
      <w:r w:rsidRPr="00812C14">
        <w:rPr>
          <w:rFonts w:eastAsia="Times New Roman" w:cs="Times New Roman"/>
          <w:bCs/>
          <w:color w:val="000000"/>
        </w:rPr>
        <w:t xml:space="preserve"> and </w:t>
      </w:r>
      <w:r w:rsidR="00E55385">
        <w:rPr>
          <w:rFonts w:eastAsia="Times New Roman" w:cs="Times New Roman"/>
          <w:bCs/>
          <w:color w:val="000000"/>
        </w:rPr>
        <w:t>PGDs</w:t>
      </w:r>
      <w:r>
        <w:rPr>
          <w:rFonts w:eastAsia="Times New Roman" w:cs="Times New Roman"/>
          <w:bCs/>
          <w:color w:val="000000"/>
        </w:rPr>
        <w:t xml:space="preserve"> with linear payoff structure were included (see inclusion criteria in the main text for more details). </w:t>
      </w:r>
    </w:p>
    <w:p w14:paraId="06565EE7" w14:textId="314AC291" w:rsidR="0098665E" w:rsidRDefault="00B6193A" w:rsidP="00DA508D">
      <w:pPr>
        <w:ind w:firstLine="709"/>
        <w:rPr>
          <w:rFonts w:eastAsia="Times New Roman" w:cs="Times New Roman"/>
          <w:bCs/>
          <w:color w:val="000000"/>
        </w:rPr>
      </w:pPr>
      <w:r>
        <w:rPr>
          <w:rFonts w:eastAsia="Times New Roman" w:cs="Times New Roman"/>
          <w:bCs/>
          <w:color w:val="000000"/>
        </w:rPr>
        <w:t>Second</w:t>
      </w:r>
      <w:r w:rsidR="0098665E">
        <w:rPr>
          <w:rFonts w:eastAsia="Times New Roman" w:cs="Times New Roman"/>
          <w:bCs/>
          <w:color w:val="000000"/>
        </w:rPr>
        <w:t xml:space="preserve">, we made </w:t>
      </w:r>
      <w:r w:rsidR="00523562">
        <w:rPr>
          <w:rFonts w:eastAsia="Times New Roman" w:cs="Times New Roman"/>
          <w:bCs/>
          <w:color w:val="000000"/>
        </w:rPr>
        <w:t xml:space="preserve">slight adjustments to the </w:t>
      </w:r>
      <w:r w:rsidR="00404DEF">
        <w:rPr>
          <w:rFonts w:eastAsia="Times New Roman" w:cs="Times New Roman"/>
          <w:bCs/>
          <w:color w:val="000000"/>
        </w:rPr>
        <w:t>predictor variables included in the meta-</w:t>
      </w:r>
      <w:r w:rsidR="00A54BE8">
        <w:rPr>
          <w:rFonts w:eastAsia="Times New Roman" w:cs="Times New Roman"/>
          <w:bCs/>
          <w:color w:val="000000"/>
        </w:rPr>
        <w:t>regression</w:t>
      </w:r>
      <w:r w:rsidR="00404DEF">
        <w:rPr>
          <w:rFonts w:eastAsia="Times New Roman" w:cs="Times New Roman"/>
          <w:bCs/>
          <w:color w:val="000000"/>
        </w:rPr>
        <w:t xml:space="preserve">. </w:t>
      </w:r>
      <w:r w:rsidR="00523562">
        <w:rPr>
          <w:rFonts w:eastAsia="Times New Roman" w:cs="Times New Roman"/>
          <w:bCs/>
          <w:color w:val="000000"/>
        </w:rPr>
        <w:t xml:space="preserve">Specifically, </w:t>
      </w:r>
      <w:r w:rsidR="0098665E">
        <w:rPr>
          <w:rFonts w:eastAsia="Times New Roman" w:cs="Times New Roman"/>
          <w:bCs/>
          <w:color w:val="000000"/>
        </w:rPr>
        <w:t xml:space="preserve">we </w:t>
      </w:r>
      <w:r w:rsidR="00523562">
        <w:rPr>
          <w:rFonts w:eastAsia="Times New Roman" w:cs="Times New Roman"/>
          <w:bCs/>
          <w:color w:val="000000"/>
        </w:rPr>
        <w:t xml:space="preserve">removed </w:t>
      </w:r>
      <w:r w:rsidR="0098665E">
        <w:rPr>
          <w:rFonts w:eastAsia="Times New Roman" w:cs="Times New Roman"/>
          <w:bCs/>
          <w:color w:val="000000"/>
        </w:rPr>
        <w:t>feedback</w:t>
      </w:r>
      <w:r w:rsidR="00523562">
        <w:rPr>
          <w:rFonts w:eastAsia="Times New Roman" w:cs="Times New Roman"/>
          <w:bCs/>
          <w:color w:val="000000"/>
        </w:rPr>
        <w:t xml:space="preserve"> </w:t>
      </w:r>
      <w:r w:rsidR="009E7426">
        <w:rPr>
          <w:rFonts w:eastAsia="Times New Roman" w:cs="Times New Roman"/>
          <w:bCs/>
          <w:color w:val="000000"/>
        </w:rPr>
        <w:t xml:space="preserve">(i.e., </w:t>
      </w:r>
      <w:r w:rsidR="009E7426" w:rsidRPr="00E46ECE">
        <w:rPr>
          <w:rFonts w:eastAsia="Times New Roman" w:cs="Times New Roman"/>
          <w:bCs/>
          <w:color w:val="000000"/>
        </w:rPr>
        <w:t xml:space="preserve">whether participants received feedback </w:t>
      </w:r>
      <w:r w:rsidR="009E7426">
        <w:rPr>
          <w:rFonts w:eastAsia="Times New Roman" w:cs="Times New Roman"/>
          <w:bCs/>
          <w:color w:val="000000"/>
        </w:rPr>
        <w:t xml:space="preserve">about group member’s behavior </w:t>
      </w:r>
      <w:r w:rsidR="009E7426" w:rsidRPr="00E46ECE">
        <w:rPr>
          <w:rFonts w:eastAsia="Times New Roman" w:cs="Times New Roman"/>
          <w:bCs/>
          <w:color w:val="000000"/>
        </w:rPr>
        <w:t>after each round of decision</w:t>
      </w:r>
      <w:r w:rsidR="009E7426">
        <w:rPr>
          <w:rFonts w:eastAsia="Times New Roman" w:cs="Times New Roman"/>
          <w:bCs/>
          <w:color w:val="000000"/>
        </w:rPr>
        <w:t xml:space="preserve">) </w:t>
      </w:r>
      <w:r w:rsidR="00523562">
        <w:rPr>
          <w:rFonts w:eastAsia="Times New Roman" w:cs="Times New Roman"/>
          <w:bCs/>
          <w:color w:val="000000"/>
        </w:rPr>
        <w:t>from the structural features</w:t>
      </w:r>
      <w:r w:rsidR="009E7426">
        <w:rPr>
          <w:rFonts w:eastAsia="Times New Roman" w:cs="Times New Roman"/>
          <w:bCs/>
          <w:color w:val="000000"/>
        </w:rPr>
        <w:t>,</w:t>
      </w:r>
      <w:r w:rsidR="00523562">
        <w:rPr>
          <w:rFonts w:eastAsia="Times New Roman" w:cs="Times New Roman"/>
          <w:bCs/>
          <w:color w:val="000000"/>
        </w:rPr>
        <w:t xml:space="preserve"> but</w:t>
      </w:r>
      <w:r w:rsidR="00404DEF">
        <w:rPr>
          <w:rFonts w:eastAsia="Times New Roman" w:cs="Times New Roman"/>
          <w:bCs/>
          <w:color w:val="000000"/>
        </w:rPr>
        <w:t xml:space="preserve"> included choice type</w:t>
      </w:r>
      <w:r w:rsidR="00CE366D">
        <w:rPr>
          <w:rFonts w:eastAsia="Times New Roman" w:cs="Times New Roman"/>
          <w:bCs/>
          <w:color w:val="000000"/>
        </w:rPr>
        <w:t xml:space="preserve"> </w:t>
      </w:r>
      <w:r w:rsidR="007F23C1">
        <w:rPr>
          <w:rFonts w:eastAsia="Times New Roman" w:cs="Times New Roman"/>
          <w:bCs/>
          <w:color w:val="000000"/>
        </w:rPr>
        <w:t xml:space="preserve">and year of data collection </w:t>
      </w:r>
      <w:r w:rsidR="00404DEF">
        <w:rPr>
          <w:rFonts w:eastAsia="Times New Roman" w:cs="Times New Roman"/>
          <w:bCs/>
          <w:color w:val="000000"/>
        </w:rPr>
        <w:t>as control variables.</w:t>
      </w:r>
      <w:r w:rsidR="00177F9C">
        <w:rPr>
          <w:rFonts w:eastAsia="Times New Roman" w:cs="Times New Roman"/>
          <w:bCs/>
          <w:color w:val="000000"/>
        </w:rPr>
        <w:t xml:space="preserve"> </w:t>
      </w:r>
      <w:r w:rsidR="0007643C">
        <w:rPr>
          <w:rFonts w:eastAsia="Times New Roman" w:cs="Times New Roman"/>
          <w:bCs/>
          <w:color w:val="000000"/>
        </w:rPr>
        <w:t xml:space="preserve">Feedback was </w:t>
      </w:r>
      <w:r w:rsidR="009E7426">
        <w:rPr>
          <w:rFonts w:eastAsia="Times New Roman" w:cs="Times New Roman"/>
          <w:bCs/>
          <w:color w:val="000000"/>
        </w:rPr>
        <w:t xml:space="preserve">removed </w:t>
      </w:r>
      <w:r w:rsidR="00CE366D">
        <w:rPr>
          <w:rFonts w:eastAsia="Times New Roman" w:cs="Times New Roman"/>
          <w:bCs/>
          <w:color w:val="000000"/>
        </w:rPr>
        <w:t xml:space="preserve">from the Cooperation Databank and the current meta-analysis </w:t>
      </w:r>
      <w:r w:rsidR="00EC4F0E">
        <w:rPr>
          <w:rFonts w:eastAsia="Times New Roman" w:cs="Times New Roman"/>
          <w:bCs/>
          <w:color w:val="000000"/>
        </w:rPr>
        <w:t>due to unacceptably low inter-rater agreement</w:t>
      </w:r>
      <w:r w:rsidR="00A946C6">
        <w:rPr>
          <w:rFonts w:eastAsia="Times New Roman" w:cs="Times New Roman"/>
          <w:bCs/>
          <w:color w:val="000000"/>
        </w:rPr>
        <w:t xml:space="preserve"> (</w:t>
      </w:r>
      <w:r w:rsidR="00CE366D">
        <w:rPr>
          <w:rFonts w:eastAsia="Times New Roman" w:cs="Times New Roman"/>
          <w:bCs/>
          <w:color w:val="000000"/>
        </w:rPr>
        <w:t xml:space="preserve">see </w:t>
      </w:r>
      <w:r w:rsidR="00A44781" w:rsidRPr="00A44781">
        <w:rPr>
          <w:rFonts w:cs="Times New Roman"/>
        </w:rPr>
        <w:t>Spadaro, Tiddi, et al., 2022</w:t>
      </w:r>
      <w:r w:rsidR="00A44781">
        <w:rPr>
          <w:rFonts w:cs="Times New Roman" w:hint="eastAsia"/>
          <w:lang w:eastAsia="zh-CN"/>
        </w:rPr>
        <w:t xml:space="preserve"> </w:t>
      </w:r>
      <w:r w:rsidR="00CE366D">
        <w:rPr>
          <w:rFonts w:eastAsia="Times New Roman" w:cs="Times New Roman"/>
          <w:bCs/>
          <w:color w:val="000000"/>
        </w:rPr>
        <w:t xml:space="preserve">for more information). </w:t>
      </w:r>
      <w:r w:rsidR="005631B2">
        <w:rPr>
          <w:rFonts w:eastAsia="Times New Roman" w:cs="Times New Roman"/>
          <w:bCs/>
          <w:color w:val="000000"/>
        </w:rPr>
        <w:t xml:space="preserve">Besides, we included choice type as a control variable since cooperation estimates were retrieved from </w:t>
      </w:r>
      <w:r w:rsidR="003B5600">
        <w:rPr>
          <w:rFonts w:eastAsia="Times New Roman" w:cs="Times New Roman"/>
          <w:bCs/>
          <w:color w:val="000000"/>
        </w:rPr>
        <w:t>two types of</w:t>
      </w:r>
      <w:r w:rsidR="006A7EEA">
        <w:rPr>
          <w:rFonts w:eastAsia="Times New Roman" w:cs="Times New Roman"/>
          <w:bCs/>
          <w:color w:val="000000"/>
        </w:rPr>
        <w:t xml:space="preserve"> games</w:t>
      </w:r>
      <w:r w:rsidR="003B5600">
        <w:rPr>
          <w:rFonts w:eastAsia="Times New Roman" w:cs="Times New Roman"/>
          <w:bCs/>
          <w:color w:val="000000"/>
        </w:rPr>
        <w:t xml:space="preserve"> with different choice options</w:t>
      </w:r>
      <w:r w:rsidR="006A7EEA">
        <w:rPr>
          <w:rFonts w:eastAsia="Times New Roman" w:cs="Times New Roman"/>
          <w:bCs/>
          <w:color w:val="000000"/>
        </w:rPr>
        <w:t xml:space="preserve">. In </w:t>
      </w:r>
      <w:r w:rsidR="003B5600">
        <w:rPr>
          <w:rFonts w:eastAsia="Times New Roman" w:cs="Times New Roman"/>
          <w:bCs/>
          <w:color w:val="000000"/>
        </w:rPr>
        <w:t xml:space="preserve">dichotomous-choice games, participants </w:t>
      </w:r>
      <w:r w:rsidR="00057994">
        <w:rPr>
          <w:rFonts w:eastAsia="Times New Roman" w:cs="Times New Roman"/>
          <w:bCs/>
          <w:color w:val="000000"/>
        </w:rPr>
        <w:t>are</w:t>
      </w:r>
      <w:r w:rsidR="003B5600">
        <w:rPr>
          <w:rFonts w:eastAsia="Times New Roman" w:cs="Times New Roman"/>
          <w:bCs/>
          <w:color w:val="000000"/>
        </w:rPr>
        <w:t xml:space="preserve"> asked to make binary </w:t>
      </w:r>
      <w:r w:rsidR="003C6590">
        <w:rPr>
          <w:rFonts w:eastAsia="Times New Roman" w:cs="Times New Roman"/>
          <w:bCs/>
          <w:color w:val="000000"/>
        </w:rPr>
        <w:t>decisions</w:t>
      </w:r>
      <w:r w:rsidR="003B5600">
        <w:rPr>
          <w:rFonts w:eastAsia="Times New Roman" w:cs="Times New Roman"/>
          <w:bCs/>
          <w:color w:val="000000"/>
        </w:rPr>
        <w:t xml:space="preserve"> </w:t>
      </w:r>
      <w:r w:rsidR="003C6590">
        <w:rPr>
          <w:rFonts w:eastAsia="Times New Roman" w:cs="Times New Roman"/>
          <w:bCs/>
          <w:color w:val="000000"/>
        </w:rPr>
        <w:t xml:space="preserve">(i.e., cooperation or defection), while in continuous-choice games, participants </w:t>
      </w:r>
      <w:r w:rsidR="00057994">
        <w:rPr>
          <w:rFonts w:eastAsia="Times New Roman" w:cs="Times New Roman"/>
          <w:bCs/>
          <w:color w:val="000000"/>
        </w:rPr>
        <w:t xml:space="preserve">often </w:t>
      </w:r>
      <w:r w:rsidR="00354033">
        <w:rPr>
          <w:rFonts w:eastAsia="Times New Roman" w:cs="Times New Roman"/>
          <w:bCs/>
          <w:color w:val="000000"/>
        </w:rPr>
        <w:t>ma</w:t>
      </w:r>
      <w:r w:rsidR="00057994">
        <w:rPr>
          <w:rFonts w:eastAsia="Times New Roman" w:cs="Times New Roman"/>
          <w:bCs/>
          <w:color w:val="000000"/>
        </w:rPr>
        <w:t>k</w:t>
      </w:r>
      <w:r w:rsidR="00354033">
        <w:rPr>
          <w:rFonts w:eastAsia="Times New Roman" w:cs="Times New Roman"/>
          <w:bCs/>
          <w:color w:val="000000"/>
        </w:rPr>
        <w:t xml:space="preserve">e </w:t>
      </w:r>
      <w:r w:rsidR="00890BB8">
        <w:rPr>
          <w:rFonts w:eastAsia="Times New Roman" w:cs="Times New Roman"/>
          <w:bCs/>
          <w:color w:val="000000"/>
        </w:rPr>
        <w:t xml:space="preserve">continuous </w:t>
      </w:r>
      <w:r w:rsidR="00354033">
        <w:rPr>
          <w:rFonts w:eastAsia="Times New Roman" w:cs="Times New Roman"/>
          <w:bCs/>
          <w:color w:val="000000"/>
        </w:rPr>
        <w:t xml:space="preserve">contributions </w:t>
      </w:r>
      <w:r w:rsidR="008A4358">
        <w:rPr>
          <w:rFonts w:eastAsia="Times New Roman" w:cs="Times New Roman"/>
          <w:bCs/>
          <w:color w:val="000000"/>
        </w:rPr>
        <w:t xml:space="preserve">to a </w:t>
      </w:r>
      <w:r w:rsidR="00057994">
        <w:rPr>
          <w:rFonts w:eastAsia="Times New Roman" w:cs="Times New Roman"/>
          <w:bCs/>
          <w:color w:val="000000"/>
        </w:rPr>
        <w:t>group account</w:t>
      </w:r>
      <w:r w:rsidR="008A4358">
        <w:rPr>
          <w:rFonts w:eastAsia="Times New Roman" w:cs="Times New Roman"/>
          <w:bCs/>
          <w:color w:val="000000"/>
        </w:rPr>
        <w:t xml:space="preserve"> </w:t>
      </w:r>
      <w:r w:rsidR="009374E4">
        <w:rPr>
          <w:rFonts w:eastAsia="Times New Roman" w:cs="Times New Roman"/>
          <w:bCs/>
          <w:color w:val="000000"/>
        </w:rPr>
        <w:t>and/</w:t>
      </w:r>
      <w:r w:rsidR="008A4358">
        <w:rPr>
          <w:rFonts w:eastAsia="Times New Roman" w:cs="Times New Roman"/>
          <w:bCs/>
          <w:color w:val="000000"/>
        </w:rPr>
        <w:t>or withdrawal resources from a common pool.</w:t>
      </w:r>
      <w:r w:rsidR="00057994">
        <w:rPr>
          <w:rFonts w:eastAsia="Times New Roman" w:cs="Times New Roman"/>
          <w:bCs/>
          <w:color w:val="000000"/>
        </w:rPr>
        <w:t xml:space="preserve"> </w:t>
      </w:r>
      <w:r w:rsidR="007F23C1">
        <w:rPr>
          <w:rFonts w:eastAsia="Times New Roman" w:cs="Times New Roman"/>
          <w:bCs/>
          <w:color w:val="000000"/>
        </w:rPr>
        <w:t>We decide</w:t>
      </w:r>
      <w:r w:rsidR="00322436">
        <w:rPr>
          <w:rFonts w:eastAsia="Times New Roman" w:cs="Times New Roman"/>
          <w:bCs/>
          <w:color w:val="000000"/>
        </w:rPr>
        <w:t>d</w:t>
      </w:r>
      <w:r w:rsidR="007F23C1">
        <w:rPr>
          <w:rFonts w:eastAsia="Times New Roman" w:cs="Times New Roman"/>
          <w:bCs/>
          <w:color w:val="000000"/>
        </w:rPr>
        <w:t xml:space="preserve"> to control for this variable while examining the effect of structural features on cooperation. </w:t>
      </w:r>
      <w:r w:rsidR="00DA508D">
        <w:rPr>
          <w:rFonts w:eastAsia="Times New Roman" w:cs="Times New Roman"/>
          <w:bCs/>
          <w:color w:val="000000"/>
        </w:rPr>
        <w:t>A</w:t>
      </w:r>
      <w:r w:rsidR="007F23C1">
        <w:rPr>
          <w:rFonts w:eastAsia="Times New Roman" w:cs="Times New Roman"/>
          <w:bCs/>
          <w:color w:val="000000"/>
        </w:rPr>
        <w:t xml:space="preserve">fter </w:t>
      </w:r>
      <w:r w:rsidR="00B87D5B">
        <w:rPr>
          <w:rFonts w:eastAsia="Times New Roman" w:cs="Times New Roman"/>
          <w:bCs/>
          <w:color w:val="000000"/>
        </w:rPr>
        <w:t xml:space="preserve">the </w:t>
      </w:r>
      <w:r w:rsidR="007F23C1">
        <w:rPr>
          <w:rFonts w:eastAsia="Times New Roman" w:cs="Times New Roman"/>
          <w:bCs/>
          <w:color w:val="000000"/>
        </w:rPr>
        <w:t>publication of this pre-registration, recent meta-analys</w:t>
      </w:r>
      <w:r w:rsidR="000C067C">
        <w:rPr>
          <w:rFonts w:eastAsia="Times New Roman" w:cs="Times New Roman"/>
          <w:bCs/>
          <w:color w:val="000000"/>
        </w:rPr>
        <w:t>e</w:t>
      </w:r>
      <w:r w:rsidR="007F23C1">
        <w:rPr>
          <w:rFonts w:eastAsia="Times New Roman" w:cs="Times New Roman"/>
          <w:bCs/>
          <w:color w:val="000000"/>
        </w:rPr>
        <w:t>s</w:t>
      </w:r>
      <w:r w:rsidR="00B87D5B">
        <w:rPr>
          <w:rFonts w:eastAsia="Times New Roman" w:cs="Times New Roman"/>
          <w:bCs/>
          <w:color w:val="000000"/>
        </w:rPr>
        <w:t xml:space="preserve"> </w:t>
      </w:r>
      <w:r w:rsidR="00DA508D">
        <w:rPr>
          <w:rFonts w:eastAsia="Times New Roman" w:cs="Times New Roman"/>
          <w:bCs/>
          <w:color w:val="000000"/>
        </w:rPr>
        <w:t xml:space="preserve">have </w:t>
      </w:r>
      <w:r w:rsidR="007F23C1">
        <w:rPr>
          <w:rFonts w:eastAsia="Times New Roman" w:cs="Times New Roman"/>
          <w:bCs/>
          <w:color w:val="000000"/>
        </w:rPr>
        <w:t xml:space="preserve">found </w:t>
      </w:r>
      <w:r w:rsidR="00B87D5B">
        <w:rPr>
          <w:rFonts w:eastAsia="Times New Roman" w:cs="Times New Roman"/>
          <w:bCs/>
          <w:color w:val="000000"/>
        </w:rPr>
        <w:t xml:space="preserve">an increase in cooperation across the last several decades of research within studies conducted in both the United States and China </w:t>
      </w:r>
      <w:r w:rsidR="000E24A7" w:rsidRPr="000E24A7">
        <w:rPr>
          <w:rFonts w:cs="Times New Roman"/>
        </w:rPr>
        <w:t>(Yuan et al., 2022, 202</w:t>
      </w:r>
      <w:r w:rsidR="00DB4350">
        <w:rPr>
          <w:rFonts w:cs="Times New Roman" w:hint="eastAsia"/>
          <w:lang w:eastAsia="zh-CN"/>
        </w:rPr>
        <w:t>4</w:t>
      </w:r>
      <w:r w:rsidR="000E24A7" w:rsidRPr="000E24A7">
        <w:rPr>
          <w:rFonts w:cs="Times New Roman"/>
        </w:rPr>
        <w:t>)</w:t>
      </w:r>
      <w:r w:rsidR="00B87D5B">
        <w:rPr>
          <w:rFonts w:eastAsia="Times New Roman" w:cs="Times New Roman"/>
          <w:bCs/>
          <w:color w:val="000000"/>
        </w:rPr>
        <w:t>.</w:t>
      </w:r>
      <w:r w:rsidR="00DA508D" w:rsidRPr="00DA508D">
        <w:rPr>
          <w:rFonts w:eastAsia="Times New Roman" w:cs="Times New Roman"/>
          <w:bCs/>
          <w:color w:val="000000"/>
        </w:rPr>
        <w:t xml:space="preserve"> </w:t>
      </w:r>
      <w:r w:rsidR="00DA508D">
        <w:rPr>
          <w:rFonts w:eastAsia="Times New Roman" w:cs="Times New Roman"/>
          <w:bCs/>
          <w:color w:val="000000"/>
        </w:rPr>
        <w:t>Therefore, year of data collection was additionally added as a control variable</w:t>
      </w:r>
      <w:r w:rsidR="00E753E9">
        <w:rPr>
          <w:rFonts w:eastAsia="Times New Roman" w:cs="Times New Roman"/>
          <w:bCs/>
          <w:color w:val="000000"/>
        </w:rPr>
        <w:t>.</w:t>
      </w:r>
    </w:p>
    <w:p w14:paraId="2414A867" w14:textId="275DFFF4" w:rsidR="00AB17E2" w:rsidRPr="00837D92" w:rsidRDefault="00AB17E2" w:rsidP="00DA508D">
      <w:pPr>
        <w:ind w:firstLine="709"/>
        <w:rPr>
          <w:rFonts w:eastAsiaTheme="minorEastAsia" w:cs="Times New Roman"/>
          <w:bCs/>
          <w:color w:val="000000"/>
          <w:lang w:eastAsia="zh-CN"/>
        </w:rPr>
      </w:pPr>
      <w:r>
        <w:rPr>
          <w:rFonts w:eastAsia="Times New Roman" w:cs="Times New Roman"/>
          <w:bCs/>
          <w:color w:val="000000"/>
        </w:rPr>
        <w:lastRenderedPageBreak/>
        <w:t xml:space="preserve">Third, we edited the formulas used to compute cooperation rates, cooperation estimates and variance of the cooperation estimates. </w:t>
      </w:r>
      <w:r w:rsidR="00557474">
        <w:rPr>
          <w:rFonts w:eastAsia="Times New Roman" w:cs="Times New Roman"/>
          <w:bCs/>
          <w:color w:val="000000"/>
        </w:rPr>
        <w:t>W</w:t>
      </w:r>
      <w:r w:rsidR="00EE7F1F">
        <w:rPr>
          <w:rFonts w:eastAsia="Times New Roman" w:cs="Times New Roman"/>
          <w:bCs/>
          <w:color w:val="000000"/>
        </w:rPr>
        <w:t>hen computing proportion of contributions in continuous-choice games</w:t>
      </w:r>
      <w:r w:rsidR="00617B4F">
        <w:rPr>
          <w:rFonts w:eastAsia="Times New Roman" w:cs="Times New Roman"/>
          <w:bCs/>
          <w:color w:val="000000"/>
        </w:rPr>
        <w:t>, we scaled it by the range of choice options</w:t>
      </w:r>
      <w:r w:rsidR="009A68BA">
        <w:rPr>
          <w:rFonts w:eastAsia="Times New Roman" w:cs="Times New Roman"/>
          <w:bCs/>
          <w:color w:val="000000"/>
        </w:rPr>
        <w:t xml:space="preserve"> (see formula </w:t>
      </w:r>
      <w:r w:rsidR="00557474">
        <w:rPr>
          <w:rFonts w:eastAsia="Times New Roman" w:cs="Times New Roman"/>
          <w:bCs/>
          <w:color w:val="000000"/>
        </w:rPr>
        <w:t>1</w:t>
      </w:r>
      <w:r w:rsidR="009A68BA">
        <w:rPr>
          <w:rFonts w:eastAsia="Times New Roman" w:cs="Times New Roman"/>
          <w:bCs/>
          <w:color w:val="000000"/>
        </w:rPr>
        <w:t>b in the main text)</w:t>
      </w:r>
      <w:r w:rsidR="00617B4F">
        <w:rPr>
          <w:rFonts w:eastAsia="Times New Roman" w:cs="Times New Roman"/>
          <w:bCs/>
          <w:color w:val="000000"/>
        </w:rPr>
        <w:t xml:space="preserve">. </w:t>
      </w:r>
      <w:r w:rsidR="00837D92">
        <w:rPr>
          <w:rFonts w:eastAsia="Times New Roman" w:cs="Times New Roman"/>
          <w:bCs/>
          <w:color w:val="000000"/>
        </w:rPr>
        <w:t>Therefore, formula</w:t>
      </w:r>
      <w:r w:rsidR="00C11827">
        <w:rPr>
          <w:rFonts w:eastAsia="Times New Roman" w:cs="Times New Roman"/>
          <w:bCs/>
          <w:color w:val="000000"/>
        </w:rPr>
        <w:t>s</w:t>
      </w:r>
      <w:r w:rsidR="00837D92">
        <w:rPr>
          <w:rFonts w:eastAsia="Times New Roman" w:cs="Times New Roman"/>
          <w:bCs/>
          <w:color w:val="000000"/>
        </w:rPr>
        <w:t xml:space="preserve"> for computing cooperation estimate</w:t>
      </w:r>
      <w:r w:rsidR="00C11827">
        <w:rPr>
          <w:rFonts w:eastAsia="Times New Roman" w:cs="Times New Roman"/>
          <w:bCs/>
          <w:color w:val="000000"/>
        </w:rPr>
        <w:t xml:space="preserve"> and its variance</w:t>
      </w:r>
      <w:r w:rsidR="00837D92">
        <w:rPr>
          <w:rFonts w:eastAsia="Times New Roman" w:cs="Times New Roman"/>
          <w:bCs/>
          <w:color w:val="000000"/>
        </w:rPr>
        <w:t xml:space="preserve"> in </w:t>
      </w:r>
      <w:r w:rsidR="00837D92" w:rsidRPr="00837D92">
        <w:rPr>
          <w:rFonts w:eastAsia="Times New Roman" w:cs="Times New Roman"/>
          <w:bCs/>
          <w:color w:val="000000"/>
        </w:rPr>
        <w:t>continuous-choice games</w:t>
      </w:r>
      <w:r w:rsidR="00837D92">
        <w:rPr>
          <w:rFonts w:eastAsia="Times New Roman" w:cs="Times New Roman"/>
          <w:bCs/>
          <w:color w:val="000000"/>
        </w:rPr>
        <w:t xml:space="preserve"> w</w:t>
      </w:r>
      <w:r w:rsidR="00C11827">
        <w:rPr>
          <w:rFonts w:eastAsia="Times New Roman" w:cs="Times New Roman"/>
          <w:bCs/>
          <w:color w:val="000000"/>
        </w:rPr>
        <w:t>ere</w:t>
      </w:r>
      <w:r w:rsidR="00837D92">
        <w:rPr>
          <w:rFonts w:eastAsia="Times New Roman" w:cs="Times New Roman"/>
          <w:bCs/>
          <w:color w:val="000000"/>
        </w:rPr>
        <w:t xml:space="preserve"> </w:t>
      </w:r>
      <w:r w:rsidR="00837D92">
        <w:rPr>
          <w:rFonts w:eastAsiaTheme="minorEastAsia" w:cs="Times New Roman" w:hint="eastAsia"/>
          <w:bCs/>
          <w:color w:val="000000"/>
          <w:lang w:eastAsia="zh-CN"/>
        </w:rPr>
        <w:t>adjusted</w:t>
      </w:r>
      <w:r w:rsidR="00837D92">
        <w:rPr>
          <w:rFonts w:eastAsiaTheme="minorEastAsia" w:cs="Times New Roman"/>
          <w:bCs/>
          <w:color w:val="000000"/>
          <w:lang w:eastAsia="zh-CN"/>
        </w:rPr>
        <w:t xml:space="preserve"> accordingly (see formula </w:t>
      </w:r>
      <w:r w:rsidR="00557474">
        <w:rPr>
          <w:rFonts w:eastAsiaTheme="minorEastAsia" w:cs="Times New Roman"/>
          <w:bCs/>
          <w:color w:val="000000"/>
          <w:lang w:eastAsia="zh-CN"/>
        </w:rPr>
        <w:t>2</w:t>
      </w:r>
      <w:r w:rsidR="00837D92">
        <w:rPr>
          <w:rFonts w:eastAsiaTheme="minorEastAsia" w:cs="Times New Roman"/>
          <w:bCs/>
          <w:color w:val="000000"/>
          <w:lang w:eastAsia="zh-CN"/>
        </w:rPr>
        <w:t>b</w:t>
      </w:r>
      <w:r w:rsidR="00C11827">
        <w:rPr>
          <w:rFonts w:eastAsiaTheme="minorEastAsia" w:cs="Times New Roman"/>
          <w:bCs/>
          <w:color w:val="000000"/>
          <w:lang w:eastAsia="zh-CN"/>
        </w:rPr>
        <w:t xml:space="preserve"> and </w:t>
      </w:r>
      <w:r w:rsidR="00557474">
        <w:rPr>
          <w:rFonts w:eastAsiaTheme="minorEastAsia" w:cs="Times New Roman"/>
          <w:bCs/>
          <w:color w:val="000000"/>
          <w:lang w:eastAsia="zh-CN"/>
        </w:rPr>
        <w:t>4</w:t>
      </w:r>
      <w:r w:rsidR="00C11827">
        <w:rPr>
          <w:rFonts w:eastAsiaTheme="minorEastAsia" w:cs="Times New Roman"/>
          <w:bCs/>
          <w:color w:val="000000"/>
          <w:lang w:eastAsia="zh-CN"/>
        </w:rPr>
        <w:t>b</w:t>
      </w:r>
      <w:r w:rsidR="00837D92">
        <w:rPr>
          <w:rFonts w:eastAsiaTheme="minorEastAsia" w:cs="Times New Roman"/>
          <w:bCs/>
          <w:color w:val="000000"/>
          <w:lang w:eastAsia="zh-CN"/>
        </w:rPr>
        <w:t xml:space="preserve"> in the main text).</w:t>
      </w:r>
      <w:r w:rsidR="00C11827">
        <w:rPr>
          <w:rFonts w:eastAsiaTheme="minorEastAsia" w:cs="Times New Roman"/>
          <w:bCs/>
          <w:color w:val="000000"/>
          <w:lang w:eastAsia="zh-CN"/>
        </w:rPr>
        <w:t xml:space="preserve"> Importantly, </w:t>
      </w:r>
      <w:r w:rsidR="00DA1CE8">
        <w:rPr>
          <w:rFonts w:eastAsiaTheme="minorEastAsia" w:cs="Times New Roman"/>
          <w:bCs/>
          <w:color w:val="000000"/>
          <w:lang w:eastAsia="zh-CN"/>
        </w:rPr>
        <w:t>we identified a typo in the formula for computing variance of the cooperation estimate in dichotomous-choice games during the pre-registration phase</w:t>
      </w:r>
      <w:r w:rsidR="004649B1">
        <w:rPr>
          <w:rFonts w:eastAsiaTheme="minorEastAsia" w:cs="Times New Roman"/>
          <w:bCs/>
          <w:color w:val="000000"/>
          <w:lang w:eastAsia="zh-CN"/>
        </w:rPr>
        <w:t xml:space="preserve">. The final formula has been corrected and applied in the current analyses (see formula </w:t>
      </w:r>
      <w:r w:rsidR="00557474">
        <w:rPr>
          <w:rFonts w:eastAsiaTheme="minorEastAsia" w:cs="Times New Roman"/>
          <w:bCs/>
          <w:color w:val="000000"/>
          <w:lang w:eastAsia="zh-CN"/>
        </w:rPr>
        <w:t>4</w:t>
      </w:r>
      <w:r w:rsidR="004649B1">
        <w:rPr>
          <w:rFonts w:eastAsiaTheme="minorEastAsia" w:cs="Times New Roman"/>
          <w:bCs/>
          <w:color w:val="000000"/>
          <w:lang w:eastAsia="zh-CN"/>
        </w:rPr>
        <w:t>a in the main text).</w:t>
      </w:r>
      <w:r w:rsidR="00E81B0D">
        <w:rPr>
          <w:rFonts w:eastAsiaTheme="minorEastAsia" w:cs="Times New Roman"/>
          <w:bCs/>
          <w:color w:val="000000"/>
          <w:lang w:eastAsia="zh-CN"/>
        </w:rPr>
        <w:t xml:space="preserve"> These formulas are currently used to </w:t>
      </w:r>
      <w:r w:rsidR="00CE62D1">
        <w:rPr>
          <w:rFonts w:eastAsiaTheme="minorEastAsia" w:cs="Times New Roman"/>
          <w:bCs/>
          <w:color w:val="000000"/>
          <w:lang w:eastAsia="zh-CN"/>
        </w:rPr>
        <w:t>compute logit-transformed cooperation rate and its variance</w:t>
      </w:r>
      <w:r w:rsidR="0031713A">
        <w:rPr>
          <w:rFonts w:eastAsiaTheme="minorEastAsia" w:cs="Times New Roman"/>
          <w:bCs/>
          <w:color w:val="000000"/>
          <w:lang w:eastAsia="zh-CN"/>
        </w:rPr>
        <w:t xml:space="preserve"> to conduct meta-regression </w:t>
      </w:r>
      <w:r w:rsidR="00AE306D">
        <w:rPr>
          <w:rFonts w:eastAsiaTheme="minorEastAsia" w:cs="Times New Roman"/>
          <w:bCs/>
          <w:color w:val="000000"/>
          <w:lang w:eastAsia="zh-CN"/>
        </w:rPr>
        <w:t>in</w:t>
      </w:r>
      <w:r w:rsidR="0031713A">
        <w:rPr>
          <w:rFonts w:eastAsiaTheme="minorEastAsia" w:cs="Times New Roman"/>
          <w:bCs/>
          <w:color w:val="000000"/>
          <w:lang w:eastAsia="zh-CN"/>
        </w:rPr>
        <w:t xml:space="preserve"> the </w:t>
      </w:r>
      <w:proofErr w:type="spellStart"/>
      <w:r w:rsidR="0031713A">
        <w:rPr>
          <w:rFonts w:eastAsiaTheme="minorEastAsia" w:cs="Times New Roman"/>
          <w:bCs/>
          <w:color w:val="000000"/>
          <w:lang w:eastAsia="zh-CN"/>
        </w:rPr>
        <w:t>CoDa</w:t>
      </w:r>
      <w:proofErr w:type="spellEnd"/>
      <w:r w:rsidR="0031713A">
        <w:rPr>
          <w:rFonts w:eastAsiaTheme="minorEastAsia" w:cs="Times New Roman"/>
          <w:bCs/>
          <w:color w:val="000000"/>
          <w:lang w:eastAsia="zh-CN"/>
        </w:rPr>
        <w:t xml:space="preserve"> research platform (</w:t>
      </w:r>
      <w:r w:rsidR="00D13FF8" w:rsidRPr="00C12950">
        <w:rPr>
          <w:rFonts w:eastAsiaTheme="minorEastAsia" w:cs="Times New Roman"/>
          <w:bCs/>
          <w:lang w:eastAsia="zh-CN"/>
        </w:rPr>
        <w:t>https://app.cooperationdatabank.org/</w:t>
      </w:r>
      <w:r w:rsidR="0031713A">
        <w:rPr>
          <w:rFonts w:eastAsiaTheme="minorEastAsia" w:cs="Times New Roman"/>
          <w:bCs/>
          <w:color w:val="000000"/>
          <w:lang w:eastAsia="zh-CN"/>
        </w:rPr>
        <w:t>).</w:t>
      </w:r>
    </w:p>
    <w:p w14:paraId="536C6B14" w14:textId="717EB347" w:rsidR="00E46714" w:rsidRDefault="00CA2958" w:rsidP="00E46714">
      <w:pPr>
        <w:ind w:firstLine="709"/>
        <w:rPr>
          <w:rFonts w:eastAsia="Times New Roman" w:cs="Times New Roman"/>
          <w:bCs/>
          <w:color w:val="000000"/>
        </w:rPr>
      </w:pPr>
      <w:r>
        <w:rPr>
          <w:rFonts w:eastAsia="Times New Roman" w:cs="Times New Roman"/>
          <w:bCs/>
          <w:color w:val="000000"/>
        </w:rPr>
        <w:t>Finally</w:t>
      </w:r>
      <w:r w:rsidR="00B72A1B" w:rsidRPr="00B72A1B">
        <w:rPr>
          <w:rFonts w:eastAsia="Times New Roman" w:cs="Times New Roman"/>
          <w:bCs/>
          <w:color w:val="000000"/>
        </w:rPr>
        <w:t xml:space="preserve">, we </w:t>
      </w:r>
      <w:r w:rsidR="0098621A">
        <w:rPr>
          <w:rFonts w:eastAsia="Times New Roman" w:cs="Times New Roman"/>
          <w:bCs/>
          <w:color w:val="000000"/>
        </w:rPr>
        <w:t xml:space="preserve">pre-registered to conduct </w:t>
      </w:r>
      <w:r w:rsidR="00AF2F8A">
        <w:rPr>
          <w:rFonts w:eastAsia="Times New Roman" w:cs="Times New Roman"/>
          <w:bCs/>
          <w:color w:val="000000"/>
        </w:rPr>
        <w:t>cross-validation using the holdout method</w:t>
      </w:r>
      <w:r w:rsidR="00C17D6E">
        <w:rPr>
          <w:rFonts w:eastAsia="Times New Roman" w:cs="Times New Roman"/>
          <w:bCs/>
          <w:color w:val="000000"/>
        </w:rPr>
        <w:t xml:space="preserve"> to ensure the robustness of the findings. </w:t>
      </w:r>
      <w:r w:rsidR="00AF2F8A">
        <w:rPr>
          <w:rFonts w:eastAsia="Times New Roman" w:cs="Times New Roman"/>
          <w:bCs/>
          <w:color w:val="000000"/>
        </w:rPr>
        <w:t xml:space="preserve">However, </w:t>
      </w:r>
      <w:r w:rsidR="005B55B4">
        <w:rPr>
          <w:rFonts w:eastAsia="Times New Roman" w:cs="Times New Roman"/>
          <w:bCs/>
          <w:color w:val="000000"/>
        </w:rPr>
        <w:t>random</w:t>
      </w:r>
      <w:r w:rsidR="00462721">
        <w:rPr>
          <w:rFonts w:eastAsia="Times New Roman" w:cs="Times New Roman"/>
          <w:bCs/>
          <w:color w:val="000000"/>
        </w:rPr>
        <w:t>ly</w:t>
      </w:r>
      <w:r w:rsidR="005B55B4">
        <w:rPr>
          <w:rFonts w:eastAsia="Times New Roman" w:cs="Times New Roman"/>
          <w:bCs/>
          <w:color w:val="000000"/>
        </w:rPr>
        <w:t xml:space="preserve"> split</w:t>
      </w:r>
      <w:r w:rsidR="00462721">
        <w:rPr>
          <w:rFonts w:eastAsia="Times New Roman" w:cs="Times New Roman"/>
          <w:bCs/>
          <w:color w:val="000000"/>
        </w:rPr>
        <w:t>ting</w:t>
      </w:r>
      <w:r w:rsidR="005B55B4">
        <w:rPr>
          <w:rFonts w:eastAsia="Times New Roman" w:cs="Times New Roman"/>
          <w:bCs/>
          <w:color w:val="000000"/>
        </w:rPr>
        <w:t xml:space="preserve"> the dataset </w:t>
      </w:r>
      <w:r w:rsidR="00462721">
        <w:rPr>
          <w:rFonts w:eastAsia="Times New Roman" w:cs="Times New Roman"/>
          <w:bCs/>
          <w:color w:val="000000"/>
        </w:rPr>
        <w:t xml:space="preserve">into training sample (70% of the studies) and validation sample (30% of the studies) </w:t>
      </w:r>
      <w:r w:rsidR="004044EA">
        <w:rPr>
          <w:rFonts w:eastAsia="Times New Roman" w:cs="Times New Roman"/>
          <w:bCs/>
          <w:color w:val="000000"/>
        </w:rPr>
        <w:t>can</w:t>
      </w:r>
      <w:r w:rsidR="005B55B4">
        <w:rPr>
          <w:rFonts w:eastAsia="Times New Roman" w:cs="Times New Roman"/>
          <w:bCs/>
          <w:color w:val="000000"/>
        </w:rPr>
        <w:t xml:space="preserve"> result in less observations in the training sample, which </w:t>
      </w:r>
      <w:r w:rsidR="00142694">
        <w:rPr>
          <w:rFonts w:eastAsia="Times New Roman" w:cs="Times New Roman"/>
          <w:bCs/>
          <w:color w:val="000000"/>
        </w:rPr>
        <w:t xml:space="preserve">may </w:t>
      </w:r>
      <w:r w:rsidR="005B55B4">
        <w:rPr>
          <w:rFonts w:eastAsia="Times New Roman" w:cs="Times New Roman"/>
          <w:bCs/>
          <w:color w:val="000000"/>
        </w:rPr>
        <w:t>increase the risk of overfitting</w:t>
      </w:r>
      <w:r w:rsidR="005A0F66">
        <w:rPr>
          <w:rFonts w:eastAsia="Times New Roman" w:cs="Times New Roman"/>
          <w:bCs/>
          <w:color w:val="000000"/>
        </w:rPr>
        <w:t xml:space="preserve"> of meta-regression models</w:t>
      </w:r>
      <w:r w:rsidR="005B55B4">
        <w:rPr>
          <w:rFonts w:eastAsia="Times New Roman" w:cs="Times New Roman"/>
          <w:bCs/>
          <w:color w:val="000000"/>
        </w:rPr>
        <w:t xml:space="preserve">. </w:t>
      </w:r>
      <w:r w:rsidR="00D727BC">
        <w:rPr>
          <w:rFonts w:eastAsia="Times New Roman" w:cs="Times New Roman"/>
          <w:bCs/>
          <w:color w:val="000000"/>
        </w:rPr>
        <w:t xml:space="preserve">Therefore, </w:t>
      </w:r>
      <w:r w:rsidR="00E13E82">
        <w:rPr>
          <w:rFonts w:eastAsia="Times New Roman" w:cs="Times New Roman"/>
          <w:bCs/>
          <w:color w:val="000000"/>
        </w:rPr>
        <w:t>i</w:t>
      </w:r>
      <w:r w:rsidR="005B55B4">
        <w:rPr>
          <w:rFonts w:eastAsia="Times New Roman" w:cs="Times New Roman"/>
          <w:bCs/>
          <w:color w:val="000000"/>
        </w:rPr>
        <w:t xml:space="preserve">nstead of </w:t>
      </w:r>
      <w:r w:rsidR="00E8710D">
        <w:rPr>
          <w:rFonts w:eastAsia="Times New Roman" w:cs="Times New Roman"/>
          <w:bCs/>
          <w:color w:val="000000"/>
        </w:rPr>
        <w:t xml:space="preserve">running </w:t>
      </w:r>
      <w:r w:rsidR="00B7139C" w:rsidRPr="00B7139C">
        <w:rPr>
          <w:rFonts w:eastAsia="Times New Roman" w:cs="Times New Roman"/>
          <w:bCs/>
          <w:color w:val="000000"/>
        </w:rPr>
        <w:t xml:space="preserve">holdout </w:t>
      </w:r>
      <w:r w:rsidR="00E8710D">
        <w:rPr>
          <w:rFonts w:eastAsia="Times New Roman" w:cs="Times New Roman"/>
          <w:bCs/>
          <w:color w:val="000000"/>
        </w:rPr>
        <w:t xml:space="preserve">validation, we </w:t>
      </w:r>
      <w:r w:rsidR="00B05AF9">
        <w:rPr>
          <w:rFonts w:eastAsia="Times New Roman" w:cs="Times New Roman"/>
          <w:bCs/>
          <w:color w:val="000000"/>
        </w:rPr>
        <w:t>provided an additional</w:t>
      </w:r>
      <w:r w:rsidR="00417274">
        <w:rPr>
          <w:rFonts w:eastAsia="Times New Roman" w:cs="Times New Roman"/>
          <w:bCs/>
          <w:color w:val="000000"/>
        </w:rPr>
        <w:t>, well powered,</w:t>
      </w:r>
      <w:r w:rsidR="00B05AF9">
        <w:rPr>
          <w:rFonts w:eastAsia="Times New Roman" w:cs="Times New Roman"/>
          <w:bCs/>
          <w:color w:val="000000"/>
        </w:rPr>
        <w:t xml:space="preserve"> test of the hypotheses using </w:t>
      </w:r>
      <w:r w:rsidR="00914EAF">
        <w:rPr>
          <w:rFonts w:eastAsia="Times New Roman" w:cs="Times New Roman"/>
          <w:bCs/>
          <w:color w:val="000000"/>
        </w:rPr>
        <w:t xml:space="preserve">over 10 </w:t>
      </w:r>
      <w:r w:rsidR="00E01E11">
        <w:rPr>
          <w:rFonts w:eastAsia="Times New Roman" w:cs="Times New Roman"/>
          <w:bCs/>
          <w:color w:val="000000"/>
        </w:rPr>
        <w:t xml:space="preserve">three-level </w:t>
      </w:r>
      <w:r w:rsidR="00B05AF9">
        <w:rPr>
          <w:rFonts w:eastAsia="Times New Roman" w:cs="Times New Roman"/>
          <w:bCs/>
          <w:color w:val="000000"/>
        </w:rPr>
        <w:t xml:space="preserve">meta-analyses conducted </w:t>
      </w:r>
      <w:r w:rsidR="00AE306D">
        <w:rPr>
          <w:rFonts w:eastAsia="Times New Roman" w:cs="Times New Roman"/>
          <w:bCs/>
          <w:color w:val="000000"/>
        </w:rPr>
        <w:t>in</w:t>
      </w:r>
      <w:r w:rsidR="00B05AF9">
        <w:rPr>
          <w:rFonts w:eastAsia="Times New Roman" w:cs="Times New Roman"/>
          <w:bCs/>
          <w:color w:val="000000"/>
        </w:rPr>
        <w:t xml:space="preserve"> the </w:t>
      </w:r>
      <w:proofErr w:type="spellStart"/>
      <w:r w:rsidR="00B05AF9">
        <w:rPr>
          <w:rFonts w:eastAsia="Times New Roman" w:cs="Times New Roman"/>
          <w:bCs/>
          <w:color w:val="000000"/>
        </w:rPr>
        <w:t>CoDa</w:t>
      </w:r>
      <w:proofErr w:type="spellEnd"/>
      <w:r w:rsidR="00B05AF9">
        <w:rPr>
          <w:rFonts w:eastAsia="Times New Roman" w:cs="Times New Roman"/>
          <w:bCs/>
          <w:color w:val="000000"/>
        </w:rPr>
        <w:t xml:space="preserve"> research platform. </w:t>
      </w:r>
      <w:r w:rsidR="00091F48">
        <w:rPr>
          <w:rFonts w:eastAsia="Times New Roman" w:cs="Times New Roman"/>
          <w:bCs/>
          <w:color w:val="000000"/>
        </w:rPr>
        <w:t xml:space="preserve">These meta-analyses employed Cohen’s </w:t>
      </w:r>
      <w:r w:rsidR="00091F48" w:rsidRPr="00091F48">
        <w:rPr>
          <w:rFonts w:eastAsia="Times New Roman" w:cs="Times New Roman"/>
          <w:bCs/>
          <w:i/>
          <w:iCs/>
          <w:color w:val="000000"/>
        </w:rPr>
        <w:t>d</w:t>
      </w:r>
      <w:r w:rsidR="00091F48">
        <w:rPr>
          <w:rFonts w:eastAsia="Times New Roman" w:cs="Times New Roman"/>
          <w:bCs/>
          <w:color w:val="000000"/>
        </w:rPr>
        <w:t xml:space="preserve"> (and </w:t>
      </w:r>
      <w:r w:rsidR="00091F48" w:rsidRPr="00091F48">
        <w:rPr>
          <w:rFonts w:eastAsia="Times New Roman" w:cs="Times New Roman"/>
          <w:bCs/>
          <w:i/>
          <w:iCs/>
          <w:color w:val="000000"/>
        </w:rPr>
        <w:t>r</w:t>
      </w:r>
      <w:r w:rsidR="00091F48">
        <w:rPr>
          <w:rFonts w:eastAsia="Times New Roman" w:cs="Times New Roman"/>
          <w:bCs/>
          <w:color w:val="000000"/>
        </w:rPr>
        <w:t>) as the effect size and examined how manipulations of the structural features of social dilemmas affect cooperation within studies.</w:t>
      </w:r>
      <w:r w:rsidR="00E10F0F">
        <w:rPr>
          <w:rFonts w:eastAsia="Times New Roman" w:cs="Times New Roman"/>
          <w:bCs/>
          <w:color w:val="000000"/>
        </w:rPr>
        <w:t xml:space="preserve"> Results from these meta-analyses largely replicated our </w:t>
      </w:r>
      <w:r w:rsidR="00482BAA">
        <w:rPr>
          <w:rFonts w:eastAsia="Times New Roman" w:cs="Times New Roman"/>
          <w:bCs/>
          <w:color w:val="000000"/>
        </w:rPr>
        <w:t xml:space="preserve">main </w:t>
      </w:r>
      <w:r w:rsidR="00E10F0F">
        <w:rPr>
          <w:rFonts w:eastAsia="Times New Roman" w:cs="Times New Roman"/>
          <w:bCs/>
          <w:color w:val="000000"/>
        </w:rPr>
        <w:t xml:space="preserve">findings in the </w:t>
      </w:r>
      <w:r w:rsidR="002960A2">
        <w:rPr>
          <w:rFonts w:eastAsia="Times New Roman" w:cs="Times New Roman"/>
          <w:bCs/>
          <w:color w:val="000000"/>
        </w:rPr>
        <w:t xml:space="preserve">meta-regression analyses, and </w:t>
      </w:r>
      <w:r w:rsidR="007C780F">
        <w:rPr>
          <w:rFonts w:eastAsia="Times New Roman" w:cs="Times New Roman"/>
          <w:bCs/>
          <w:color w:val="000000"/>
        </w:rPr>
        <w:t>ensured the robustness of our conclusions.</w:t>
      </w:r>
    </w:p>
    <w:p w14:paraId="05E2456E" w14:textId="457986C8" w:rsidR="008F440D" w:rsidRPr="008F440D" w:rsidRDefault="008F440D" w:rsidP="008F440D">
      <w:pPr>
        <w:pStyle w:val="Heading2"/>
      </w:pPr>
      <w:bookmarkStart w:id="3" w:name="_Toc169458471"/>
      <w:r>
        <w:t xml:space="preserve">1.1 </w:t>
      </w:r>
      <w:r w:rsidRPr="008F440D">
        <w:t xml:space="preserve">Hypotheses </w:t>
      </w:r>
      <w:r w:rsidR="00C35C4A">
        <w:t>about Sample Characteristics</w:t>
      </w:r>
      <w:bookmarkEnd w:id="3"/>
    </w:p>
    <w:p w14:paraId="1B8C72DF" w14:textId="66AF100D" w:rsidR="00C35C4A" w:rsidRDefault="00C35C4A" w:rsidP="008F440D">
      <w:pPr>
        <w:ind w:firstLine="709"/>
        <w:rPr>
          <w:rFonts w:eastAsiaTheme="minorEastAsia" w:cs="Times New Roman"/>
          <w:bCs/>
          <w:szCs w:val="22"/>
          <w:lang w:eastAsia="zh-CN"/>
        </w:rPr>
      </w:pPr>
      <w:r w:rsidRPr="00C35C4A">
        <w:rPr>
          <w:rFonts w:eastAsiaTheme="minorEastAsia" w:cs="Times New Roman"/>
          <w:bCs/>
          <w:szCs w:val="22"/>
          <w:lang w:eastAsia="zh-CN"/>
        </w:rPr>
        <w:t xml:space="preserve">The present meta-analysis provides a unique opportunity to also consider how certain sample characteristics may explain variance in cooperation. </w:t>
      </w:r>
      <w:r>
        <w:rPr>
          <w:rFonts w:eastAsiaTheme="minorEastAsia" w:cs="Times New Roman"/>
          <w:bCs/>
          <w:szCs w:val="22"/>
          <w:lang w:eastAsia="zh-CN"/>
        </w:rPr>
        <w:t>Here, w</w:t>
      </w:r>
      <w:r w:rsidRPr="00C35C4A">
        <w:rPr>
          <w:rFonts w:eastAsiaTheme="minorEastAsia" w:cs="Times New Roman"/>
          <w:bCs/>
          <w:szCs w:val="22"/>
          <w:lang w:eastAsia="zh-CN"/>
        </w:rPr>
        <w:t xml:space="preserve">e focus on three sample </w:t>
      </w:r>
      <w:r w:rsidRPr="00C35C4A">
        <w:rPr>
          <w:rFonts w:eastAsiaTheme="minorEastAsia" w:cs="Times New Roman"/>
          <w:bCs/>
          <w:szCs w:val="22"/>
          <w:lang w:eastAsia="zh-CN"/>
        </w:rPr>
        <w:lastRenderedPageBreak/>
        <w:t>characteristics (i.e., age, gender, and academic discipline) that are often measured and reported in studies, and for which we are able to generate predictions about cooperation.</w:t>
      </w:r>
    </w:p>
    <w:p w14:paraId="25307812" w14:textId="3315C6C4" w:rsidR="008F440D" w:rsidRDefault="008F440D" w:rsidP="008F440D">
      <w:pPr>
        <w:ind w:firstLine="709"/>
        <w:rPr>
          <w:rFonts w:eastAsia="Times New Roman" w:cs="Times New Roman"/>
          <w:bCs/>
          <w:color w:val="000000"/>
        </w:rPr>
      </w:pPr>
      <w:r w:rsidRPr="008F440D">
        <w:rPr>
          <w:rFonts w:eastAsia="Times New Roman" w:cs="Times New Roman"/>
          <w:b/>
          <w:bCs/>
          <w:iCs/>
          <w:color w:val="000000"/>
        </w:rPr>
        <w:t>Age</w:t>
      </w:r>
      <w:r>
        <w:rPr>
          <w:rFonts w:eastAsia="Times New Roman" w:cs="Times New Roman"/>
          <w:b/>
          <w:bCs/>
          <w:iCs/>
          <w:color w:val="000000"/>
        </w:rPr>
        <w:t xml:space="preserve">. </w:t>
      </w:r>
      <w:r w:rsidRPr="008B7005">
        <w:rPr>
          <w:rFonts w:eastAsia="Times New Roman" w:cs="Times New Roman"/>
          <w:bCs/>
          <w:color w:val="000000"/>
        </w:rPr>
        <w:t>Age has been hypothesized to be associated with cooperation. Older people may become more cooperative because (a) they accumulate life experiences in which they learn about the benefits of being prosocial (</w:t>
      </w:r>
      <w:r w:rsidRPr="008B7005">
        <w:rPr>
          <w:rFonts w:eastAsia="Times New Roman" w:cs="Times New Roman"/>
          <w:bCs/>
          <w:i/>
          <w:color w:val="000000"/>
        </w:rPr>
        <w:t>individual learning hypothesis</w:t>
      </w:r>
      <w:r w:rsidRPr="008B7005">
        <w:rPr>
          <w:rFonts w:eastAsia="Times New Roman" w:cs="Times New Roman"/>
          <w:bCs/>
          <w:color w:val="000000"/>
        </w:rPr>
        <w:t>), and/or (b) social interactions later in life are characterized by greater mutual dependence and corresponding interests, which could result in greater cooperation (</w:t>
      </w:r>
      <w:r w:rsidRPr="008B7005">
        <w:rPr>
          <w:rFonts w:eastAsia="Times New Roman" w:cs="Times New Roman"/>
          <w:bCs/>
          <w:i/>
          <w:color w:val="000000"/>
        </w:rPr>
        <w:t>situational change hypothesis,</w:t>
      </w:r>
      <w:r w:rsidRPr="008B7005">
        <w:rPr>
          <w:rFonts w:eastAsia="Times New Roman" w:cs="Times New Roman"/>
          <w:bCs/>
          <w:color w:val="000000"/>
        </w:rPr>
        <w:t xml:space="preserve"> </w:t>
      </w:r>
      <w:r w:rsidR="000E24A7" w:rsidRPr="000E24A7">
        <w:rPr>
          <w:rFonts w:cs="Times New Roman"/>
        </w:rPr>
        <w:t>Van Lange et al., 1997)</w:t>
      </w:r>
      <w:r w:rsidRPr="008B7005">
        <w:rPr>
          <w:rFonts w:eastAsia="Times New Roman" w:cs="Times New Roman"/>
          <w:bCs/>
          <w:color w:val="000000"/>
        </w:rPr>
        <w:t>. Following this reasoning, we predict higher levels of cooperation in samples with a higher mean age (</w:t>
      </w:r>
      <w:r w:rsidRPr="008B7005">
        <w:rPr>
          <w:rFonts w:eastAsia="Times New Roman" w:cs="Times New Roman"/>
          <w:bCs/>
          <w:i/>
          <w:iCs/>
          <w:color w:val="000000"/>
        </w:rPr>
        <w:t xml:space="preserve">Hypothesis </w:t>
      </w:r>
      <w:r w:rsidR="00C35C4A">
        <w:rPr>
          <w:rFonts w:eastAsia="Times New Roman" w:cs="Times New Roman"/>
          <w:bCs/>
          <w:i/>
          <w:iCs/>
          <w:color w:val="000000"/>
        </w:rPr>
        <w:t>9</w:t>
      </w:r>
      <w:r w:rsidRPr="008B7005">
        <w:rPr>
          <w:rFonts w:eastAsia="Times New Roman" w:cs="Times New Roman"/>
          <w:bCs/>
          <w:color w:val="000000"/>
        </w:rPr>
        <w:t>).</w:t>
      </w:r>
    </w:p>
    <w:p w14:paraId="4F7B1A43" w14:textId="16CBCE0E" w:rsidR="008F440D" w:rsidRDefault="008F440D" w:rsidP="008F440D">
      <w:pPr>
        <w:ind w:firstLine="709"/>
        <w:rPr>
          <w:rFonts w:eastAsia="Times New Roman" w:cs="Times New Roman"/>
          <w:bCs/>
          <w:color w:val="000000"/>
        </w:rPr>
      </w:pPr>
      <w:r w:rsidRPr="008B7005">
        <w:rPr>
          <w:rFonts w:eastAsia="Times New Roman" w:cs="Times New Roman"/>
          <w:bCs/>
          <w:color w:val="000000"/>
        </w:rPr>
        <w:t xml:space="preserve">Previous research has largely focused on changes from early childhood to early adulthood and found that age is positively associated with cooperation </w:t>
      </w:r>
      <w:r w:rsidR="00965601" w:rsidRPr="00C12950">
        <w:rPr>
          <w:rFonts w:cs="Times New Roman"/>
          <w:lang w:val="en-GB"/>
        </w:rPr>
        <w:t>(e.g., Benenson et al., 2007; Ebersbach et al., 2019; Eisenberg &amp; Fabes, 1991)</w:t>
      </w:r>
      <w:r w:rsidRPr="00C12950">
        <w:rPr>
          <w:rFonts w:eastAsia="Times New Roman" w:cs="Times New Roman"/>
          <w:bCs/>
          <w:color w:val="000000"/>
          <w:lang w:val="en-GB"/>
        </w:rPr>
        <w:t xml:space="preserve">. </w:t>
      </w:r>
      <w:r w:rsidRPr="008B7005">
        <w:rPr>
          <w:rFonts w:eastAsia="Times New Roman" w:cs="Times New Roman"/>
          <w:bCs/>
          <w:color w:val="000000"/>
        </w:rPr>
        <w:t xml:space="preserve">However, research has been inconclusive about whether cooperativeness increases with age beyond early adulthood. Some previous research has found that older people are more prosocial in economic games (e.g., dictator and trust games, </w:t>
      </w:r>
      <w:r w:rsidR="00965601" w:rsidRPr="00965601">
        <w:rPr>
          <w:rFonts w:cs="Times New Roman"/>
        </w:rPr>
        <w:t>Matsumoto et al., 2016; Van Lange et al., 1997)</w:t>
      </w:r>
      <w:r w:rsidRPr="008B7005">
        <w:rPr>
          <w:rFonts w:eastAsia="Times New Roman" w:cs="Times New Roman"/>
          <w:bCs/>
          <w:color w:val="000000"/>
        </w:rPr>
        <w:t xml:space="preserve">, and for naturalistic helping behaviors, such as contribution to charities </w:t>
      </w:r>
      <w:r w:rsidR="00965601" w:rsidRPr="00965601">
        <w:rPr>
          <w:rFonts w:cs="Times New Roman"/>
          <w:lang w:val="en-GB"/>
        </w:rPr>
        <w:t>(</w:t>
      </w:r>
      <w:proofErr w:type="spellStart"/>
      <w:r w:rsidR="00965601" w:rsidRPr="00965601">
        <w:rPr>
          <w:rFonts w:cs="Times New Roman"/>
          <w:lang w:val="en-GB"/>
        </w:rPr>
        <w:t>Bekkers</w:t>
      </w:r>
      <w:proofErr w:type="spellEnd"/>
      <w:r w:rsidR="00965601" w:rsidRPr="00965601">
        <w:rPr>
          <w:rFonts w:cs="Times New Roman"/>
          <w:lang w:val="en-GB"/>
        </w:rPr>
        <w:t xml:space="preserve"> &amp; </w:t>
      </w:r>
      <w:proofErr w:type="spellStart"/>
      <w:r w:rsidR="00965601" w:rsidRPr="00965601">
        <w:rPr>
          <w:rFonts w:cs="Times New Roman"/>
          <w:lang w:val="en-GB"/>
        </w:rPr>
        <w:t>Wiepking</w:t>
      </w:r>
      <w:proofErr w:type="spellEnd"/>
      <w:r w:rsidR="00965601" w:rsidRPr="00965601">
        <w:rPr>
          <w:rFonts w:cs="Times New Roman"/>
          <w:lang w:val="en-GB"/>
        </w:rPr>
        <w:t>, 2010; Sze et al., 2012)</w:t>
      </w:r>
      <w:r w:rsidRPr="00965601">
        <w:rPr>
          <w:rFonts w:eastAsia="Times New Roman" w:cs="Times New Roman"/>
          <w:bCs/>
          <w:color w:val="000000"/>
          <w:lang w:val="en-GB"/>
        </w:rPr>
        <w:t xml:space="preserve">. </w:t>
      </w:r>
      <w:r w:rsidRPr="008B7005">
        <w:rPr>
          <w:rFonts w:eastAsia="Times New Roman" w:cs="Times New Roman"/>
          <w:bCs/>
          <w:color w:val="000000"/>
        </w:rPr>
        <w:t xml:space="preserve">Other studies found no relation between age and donations to charity </w:t>
      </w:r>
      <w:r w:rsidR="00965601" w:rsidRPr="00965601">
        <w:rPr>
          <w:rFonts w:cs="Times New Roman"/>
        </w:rPr>
        <w:t>(Feldman, 2010; Rooney et al., 2001)</w:t>
      </w:r>
      <w:r w:rsidRPr="008B7005">
        <w:rPr>
          <w:rFonts w:eastAsia="Times New Roman" w:cs="Times New Roman"/>
          <w:bCs/>
          <w:color w:val="000000"/>
        </w:rPr>
        <w:t xml:space="preserve">, or mixed evidence in economic games </w:t>
      </w:r>
      <w:r w:rsidR="00965601" w:rsidRPr="00965601">
        <w:rPr>
          <w:rFonts w:cs="Times New Roman"/>
        </w:rPr>
        <w:t>(Romano et al., 2020)</w:t>
      </w:r>
      <w:r w:rsidRPr="008B7005">
        <w:rPr>
          <w:rFonts w:eastAsia="Times New Roman" w:cs="Times New Roman"/>
          <w:bCs/>
          <w:color w:val="000000"/>
        </w:rPr>
        <w:t>.</w:t>
      </w:r>
    </w:p>
    <w:p w14:paraId="40AB605F" w14:textId="7EBF71E5" w:rsidR="008F440D" w:rsidRDefault="008F440D" w:rsidP="008F440D">
      <w:pPr>
        <w:ind w:firstLine="709"/>
        <w:rPr>
          <w:rFonts w:eastAsia="Times New Roman" w:cs="Times New Roman"/>
          <w:bCs/>
          <w:color w:val="000000"/>
        </w:rPr>
      </w:pPr>
      <w:r w:rsidRPr="008F440D">
        <w:rPr>
          <w:rFonts w:eastAsia="Times New Roman" w:cs="Times New Roman"/>
          <w:b/>
          <w:bCs/>
          <w:iCs/>
          <w:color w:val="000000"/>
        </w:rPr>
        <w:t>Gender</w:t>
      </w:r>
      <w:r>
        <w:rPr>
          <w:rFonts w:eastAsia="Times New Roman" w:cs="Times New Roman"/>
          <w:b/>
          <w:bCs/>
          <w:iCs/>
          <w:color w:val="000000"/>
        </w:rPr>
        <w:t xml:space="preserve">. </w:t>
      </w:r>
      <w:r w:rsidRPr="008B7005">
        <w:rPr>
          <w:rFonts w:eastAsia="Times New Roman" w:cs="Times New Roman"/>
          <w:bCs/>
          <w:color w:val="000000"/>
        </w:rPr>
        <w:t xml:space="preserve">According to social role theory, women are perceived to have a communal orientation, be more friendly, kind, and less selfish </w:t>
      </w:r>
      <w:r w:rsidR="00965601" w:rsidRPr="00965601">
        <w:rPr>
          <w:rFonts w:cs="Times New Roman"/>
        </w:rPr>
        <w:t>(</w:t>
      </w:r>
      <w:proofErr w:type="spellStart"/>
      <w:r w:rsidR="00965601" w:rsidRPr="00965601">
        <w:rPr>
          <w:rFonts w:cs="Times New Roman"/>
        </w:rPr>
        <w:t>Eagly</w:t>
      </w:r>
      <w:proofErr w:type="spellEnd"/>
      <w:r w:rsidR="00965601" w:rsidRPr="00965601">
        <w:rPr>
          <w:rFonts w:cs="Times New Roman"/>
        </w:rPr>
        <w:t>, 2009)</w:t>
      </w:r>
      <w:r w:rsidRPr="008B7005">
        <w:rPr>
          <w:rFonts w:eastAsia="Times New Roman" w:cs="Times New Roman"/>
          <w:bCs/>
          <w:color w:val="000000"/>
        </w:rPr>
        <w:t xml:space="preserve">. Men, on the other hand, are perceived to be more agentic, independent, assertive, ambitious and dominant </w:t>
      </w:r>
      <w:r w:rsidR="00965601" w:rsidRPr="00965601">
        <w:rPr>
          <w:rFonts w:cs="Times New Roman"/>
        </w:rPr>
        <w:t>(</w:t>
      </w:r>
      <w:proofErr w:type="spellStart"/>
      <w:r w:rsidR="00965601" w:rsidRPr="00965601">
        <w:rPr>
          <w:rFonts w:cs="Times New Roman"/>
        </w:rPr>
        <w:t>Eagly</w:t>
      </w:r>
      <w:proofErr w:type="spellEnd"/>
      <w:r w:rsidR="00965601" w:rsidRPr="00965601">
        <w:rPr>
          <w:rFonts w:cs="Times New Roman"/>
        </w:rPr>
        <w:t>, 2009)</w:t>
      </w:r>
      <w:r w:rsidRPr="008B7005">
        <w:rPr>
          <w:rFonts w:eastAsia="Times New Roman" w:cs="Times New Roman"/>
          <w:bCs/>
          <w:color w:val="000000"/>
        </w:rPr>
        <w:t xml:space="preserve">. Men and women are thought to self-regulate their behavior according to these stereotypes </w:t>
      </w:r>
      <w:r w:rsidR="00965601" w:rsidRPr="00965601">
        <w:rPr>
          <w:rFonts w:cs="Times New Roman"/>
        </w:rPr>
        <w:t>(</w:t>
      </w:r>
      <w:proofErr w:type="spellStart"/>
      <w:r w:rsidR="00965601" w:rsidRPr="00965601">
        <w:rPr>
          <w:rFonts w:cs="Times New Roman"/>
        </w:rPr>
        <w:t>Eagly</w:t>
      </w:r>
      <w:proofErr w:type="spellEnd"/>
      <w:r w:rsidR="00965601" w:rsidRPr="00965601">
        <w:rPr>
          <w:rFonts w:cs="Times New Roman"/>
        </w:rPr>
        <w:t xml:space="preserve"> &amp; Wood, 2011)</w:t>
      </w:r>
      <w:r w:rsidRPr="008B7005">
        <w:rPr>
          <w:rFonts w:eastAsia="Times New Roman" w:cs="Times New Roman"/>
          <w:bCs/>
          <w:color w:val="000000"/>
        </w:rPr>
        <w:t xml:space="preserve">. In social dilemmas, cooperation displays concern for the well-being of others, </w:t>
      </w:r>
      <w:r w:rsidRPr="008B7005">
        <w:rPr>
          <w:rFonts w:eastAsia="Times New Roman" w:cs="Times New Roman"/>
          <w:bCs/>
          <w:color w:val="000000"/>
        </w:rPr>
        <w:lastRenderedPageBreak/>
        <w:t xml:space="preserve">and so a communal orientation would predict higher cooperation, while an agentic self-interested orientation would predict defection. Moreover, previous research has found that people expect higher cooperation from women than men </w:t>
      </w:r>
      <w:r w:rsidR="00965601" w:rsidRPr="00965601">
        <w:rPr>
          <w:rFonts w:cs="Times New Roman"/>
        </w:rPr>
        <w:t>(Balliet et al., 2011)</w:t>
      </w:r>
      <w:r w:rsidRPr="008B7005">
        <w:rPr>
          <w:rFonts w:eastAsia="Times New Roman" w:cs="Times New Roman"/>
          <w:bCs/>
          <w:color w:val="000000"/>
        </w:rPr>
        <w:t>. This supports the idea that stereotypes of men and women as agentic and communal, respectively, apply to behavior in social dilemmas. Therefore, we can predict from social role theory that women will be more cooperative than men in social dilemmas (</w:t>
      </w:r>
      <w:r w:rsidRPr="008B7005">
        <w:rPr>
          <w:rFonts w:eastAsia="Times New Roman" w:cs="Times New Roman"/>
          <w:bCs/>
          <w:i/>
          <w:iCs/>
          <w:color w:val="000000"/>
        </w:rPr>
        <w:t>Hypothesis 1</w:t>
      </w:r>
      <w:r w:rsidR="00C35C4A">
        <w:rPr>
          <w:rFonts w:eastAsia="Times New Roman" w:cs="Times New Roman"/>
          <w:bCs/>
          <w:i/>
          <w:iCs/>
          <w:color w:val="000000"/>
        </w:rPr>
        <w:t>0</w:t>
      </w:r>
      <w:r w:rsidRPr="008B7005">
        <w:rPr>
          <w:rFonts w:eastAsia="Times New Roman" w:cs="Times New Roman"/>
          <w:bCs/>
          <w:color w:val="000000"/>
        </w:rPr>
        <w:t xml:space="preserve">). Yet, a meta-analysis has found no overall gender differences in cooperation </w:t>
      </w:r>
      <w:r w:rsidR="00965601" w:rsidRPr="00965601">
        <w:rPr>
          <w:rFonts w:cs="Times New Roman"/>
        </w:rPr>
        <w:t>(Balliet et al., 2011)</w:t>
      </w:r>
      <w:r w:rsidRPr="008B7005">
        <w:rPr>
          <w:rFonts w:eastAsia="Times New Roman" w:cs="Times New Roman"/>
          <w:bCs/>
          <w:color w:val="000000"/>
        </w:rPr>
        <w:t>.</w:t>
      </w:r>
    </w:p>
    <w:p w14:paraId="56E8E5FB" w14:textId="56A1CD82" w:rsidR="008B7005" w:rsidRDefault="008F440D" w:rsidP="00C35C4A">
      <w:pPr>
        <w:ind w:firstLine="709"/>
        <w:rPr>
          <w:rFonts w:eastAsia="Times New Roman" w:cs="Times New Roman"/>
          <w:bCs/>
          <w:color w:val="000000"/>
        </w:rPr>
      </w:pPr>
      <w:r w:rsidRPr="008F440D">
        <w:rPr>
          <w:rFonts w:eastAsia="Times New Roman" w:cs="Times New Roman"/>
          <w:b/>
          <w:bCs/>
          <w:iCs/>
          <w:color w:val="000000"/>
        </w:rPr>
        <w:t>Academic Discipline</w:t>
      </w:r>
      <w:r>
        <w:rPr>
          <w:rFonts w:eastAsia="Times New Roman" w:cs="Times New Roman"/>
          <w:b/>
          <w:bCs/>
          <w:iCs/>
          <w:color w:val="000000"/>
        </w:rPr>
        <w:t xml:space="preserve">. </w:t>
      </w:r>
      <w:r w:rsidRPr="008B7005">
        <w:rPr>
          <w:rFonts w:eastAsia="Times New Roman" w:cs="Times New Roman"/>
          <w:bCs/>
          <w:color w:val="000000"/>
        </w:rPr>
        <w:t xml:space="preserve">Many studies have been conducted with student samples, mostly with psychology and economic students. Psychology and economic students may select their academic path, in part, based on their differences in personality. Personality differences are often reflected in the situations and environments people choose, which can be consistent with their values and goals </w:t>
      </w:r>
      <w:r w:rsidR="00965601" w:rsidRPr="00965601">
        <w:rPr>
          <w:rFonts w:cs="Times New Roman"/>
        </w:rPr>
        <w:t>(Snyder &amp; Cantor, 1998)</w:t>
      </w:r>
      <w:r w:rsidRPr="008B7005">
        <w:rPr>
          <w:rFonts w:eastAsia="Times New Roman" w:cs="Times New Roman"/>
          <w:bCs/>
          <w:color w:val="000000"/>
        </w:rPr>
        <w:t xml:space="preserve">. Indeed, psychology students have been found to place greater weight to other’s outcomes in decision making compared to economic students, while economic students more strongly prioritize their self-interest relative to collective interests </w:t>
      </w:r>
      <w:r w:rsidR="00965601" w:rsidRPr="00965601">
        <w:rPr>
          <w:rFonts w:cs="Times New Roman"/>
        </w:rPr>
        <w:t>(Van Lange et al., 2011)</w:t>
      </w:r>
      <w:r w:rsidRPr="008B7005">
        <w:rPr>
          <w:rFonts w:eastAsia="Times New Roman" w:cs="Times New Roman"/>
          <w:bCs/>
          <w:color w:val="000000"/>
        </w:rPr>
        <w:t xml:space="preserve">. Additionally, training in economics, which conveys assumptions, norms and beliefs of rationality and self-interest, may result in lower cooperation among economic students </w:t>
      </w:r>
      <w:r w:rsidR="00965601" w:rsidRPr="00965601">
        <w:rPr>
          <w:rFonts w:cs="Times New Roman"/>
        </w:rPr>
        <w:t>(Frank et al., 1993)</w:t>
      </w:r>
      <w:r w:rsidRPr="008B7005">
        <w:rPr>
          <w:rFonts w:eastAsia="Times New Roman" w:cs="Times New Roman"/>
          <w:bCs/>
          <w:color w:val="000000"/>
        </w:rPr>
        <w:t xml:space="preserve">. In fact, previous research has found less cooperation among those who study economics, compared to those who do not, using a public goods dilemma </w:t>
      </w:r>
      <w:r w:rsidR="00965601" w:rsidRPr="00965601">
        <w:rPr>
          <w:rFonts w:cs="Times New Roman"/>
        </w:rPr>
        <w:t>(</w:t>
      </w:r>
      <w:proofErr w:type="spellStart"/>
      <w:r w:rsidR="00965601" w:rsidRPr="00965601">
        <w:rPr>
          <w:rFonts w:cs="Times New Roman"/>
        </w:rPr>
        <w:t>Marwell</w:t>
      </w:r>
      <w:proofErr w:type="spellEnd"/>
      <w:r w:rsidR="00965601" w:rsidRPr="00965601">
        <w:rPr>
          <w:rFonts w:cs="Times New Roman"/>
        </w:rPr>
        <w:t xml:space="preserve"> &amp; Ames, 1981)</w:t>
      </w:r>
      <w:r w:rsidRPr="008B7005">
        <w:rPr>
          <w:rFonts w:eastAsia="Times New Roman" w:cs="Times New Roman"/>
          <w:bCs/>
          <w:color w:val="000000"/>
        </w:rPr>
        <w:t xml:space="preserve">, a prisoner’s dilemma </w:t>
      </w:r>
      <w:r w:rsidR="00965601" w:rsidRPr="00965601">
        <w:rPr>
          <w:rFonts w:cs="Times New Roman"/>
        </w:rPr>
        <w:t>(Frank et al., 1993)</w:t>
      </w:r>
      <w:r w:rsidRPr="008B7005">
        <w:rPr>
          <w:rFonts w:eastAsia="Times New Roman" w:cs="Times New Roman"/>
          <w:bCs/>
          <w:color w:val="000000"/>
        </w:rPr>
        <w:t xml:space="preserve">, and the ultimatum bargaining game </w:t>
      </w:r>
      <w:r w:rsidR="00965601" w:rsidRPr="00965601">
        <w:rPr>
          <w:rFonts w:cs="Times New Roman"/>
        </w:rPr>
        <w:t>(Carter &amp; Irons, 1991)</w:t>
      </w:r>
      <w:r w:rsidRPr="002972E0">
        <w:rPr>
          <w:rStyle w:val="FootnoteReference"/>
        </w:rPr>
        <w:footnoteReference w:id="1"/>
      </w:r>
      <w:r w:rsidRPr="008B7005">
        <w:rPr>
          <w:rFonts w:eastAsia="Times New Roman" w:cs="Times New Roman"/>
          <w:bCs/>
          <w:color w:val="000000"/>
        </w:rPr>
        <w:t>. For these reasons, we expect lower cooperation from studies with economic students compared to studies with psychology students (</w:t>
      </w:r>
      <w:r w:rsidRPr="008B7005">
        <w:rPr>
          <w:rFonts w:eastAsia="Times New Roman" w:cs="Times New Roman"/>
          <w:bCs/>
          <w:i/>
          <w:iCs/>
          <w:color w:val="000000"/>
        </w:rPr>
        <w:t>Hypothesis 1</w:t>
      </w:r>
      <w:r w:rsidR="00C35C4A">
        <w:rPr>
          <w:rFonts w:eastAsia="Times New Roman" w:cs="Times New Roman"/>
          <w:bCs/>
          <w:i/>
          <w:iCs/>
          <w:color w:val="000000"/>
        </w:rPr>
        <w:t>1</w:t>
      </w:r>
      <w:r w:rsidRPr="008B7005">
        <w:rPr>
          <w:rFonts w:eastAsia="Times New Roman" w:cs="Times New Roman"/>
          <w:bCs/>
          <w:color w:val="000000"/>
        </w:rPr>
        <w:t>).</w:t>
      </w:r>
    </w:p>
    <w:p w14:paraId="66721548" w14:textId="34CFFBA0" w:rsidR="00D353F8" w:rsidRDefault="00B81A31" w:rsidP="00B81A31">
      <w:pPr>
        <w:pStyle w:val="Heading1"/>
      </w:pPr>
      <w:bookmarkStart w:id="4" w:name="_Toc169458472"/>
      <w:bookmarkStart w:id="5" w:name="_Hlk74054238"/>
      <w:r>
        <w:lastRenderedPageBreak/>
        <w:t xml:space="preserve">2. </w:t>
      </w:r>
      <w:r w:rsidR="00D353F8">
        <w:t>Chinese and Japanese Search String</w:t>
      </w:r>
      <w:r w:rsidR="00EE27A8">
        <w:t>s</w:t>
      </w:r>
      <w:bookmarkEnd w:id="4"/>
    </w:p>
    <w:p w14:paraId="1BB4596A" w14:textId="0A8F2906" w:rsidR="00187B95" w:rsidRDefault="00187B95" w:rsidP="00AB6990">
      <w:pPr>
        <w:ind w:firstLine="709"/>
        <w:rPr>
          <w:lang w:eastAsia="zh-CN"/>
        </w:rPr>
      </w:pPr>
      <w:r w:rsidRPr="00187B95">
        <w:t xml:space="preserve">The </w:t>
      </w:r>
      <w:r>
        <w:t>Chinese</w:t>
      </w:r>
      <w:r w:rsidRPr="00187B95">
        <w:t xml:space="preserve"> search string included the following key terms: </w:t>
      </w:r>
      <w:proofErr w:type="spellStart"/>
      <w:r w:rsidR="00653AAD">
        <w:rPr>
          <w:rFonts w:hint="eastAsia"/>
        </w:rPr>
        <w:t>囚徒困境</w:t>
      </w:r>
      <w:proofErr w:type="spellEnd"/>
      <w:r w:rsidR="00653AAD">
        <w:rPr>
          <w:rFonts w:hint="eastAsia"/>
          <w:lang w:eastAsia="zh-CN"/>
        </w:rPr>
        <w:t>,</w:t>
      </w:r>
      <w:r w:rsidR="00653AAD">
        <w:rPr>
          <w:rFonts w:hint="eastAsia"/>
        </w:rPr>
        <w:t xml:space="preserve"> </w:t>
      </w:r>
      <w:proofErr w:type="spellStart"/>
      <w:r w:rsidR="00653AAD">
        <w:rPr>
          <w:rFonts w:hint="eastAsia"/>
        </w:rPr>
        <w:t>囚徒两难</w:t>
      </w:r>
      <w:proofErr w:type="spellEnd"/>
      <w:r w:rsidR="00653AAD">
        <w:t>,</w:t>
      </w:r>
      <w:r w:rsidR="00653AAD">
        <w:rPr>
          <w:rFonts w:hint="eastAsia"/>
        </w:rPr>
        <w:t xml:space="preserve"> </w:t>
      </w:r>
      <w:proofErr w:type="spellStart"/>
      <w:r w:rsidR="00653AAD">
        <w:rPr>
          <w:rFonts w:hint="eastAsia"/>
        </w:rPr>
        <w:t>公共物品困境</w:t>
      </w:r>
      <w:proofErr w:type="spellEnd"/>
      <w:r w:rsidR="00653AAD">
        <w:t xml:space="preserve">, </w:t>
      </w:r>
      <w:proofErr w:type="spellStart"/>
      <w:r w:rsidR="00653AAD">
        <w:rPr>
          <w:rFonts w:hint="eastAsia"/>
        </w:rPr>
        <w:t>公共物品两难</w:t>
      </w:r>
      <w:proofErr w:type="spellEnd"/>
      <w:r w:rsidR="00653AAD">
        <w:rPr>
          <w:rFonts w:hint="eastAsia"/>
          <w:lang w:eastAsia="zh-CN"/>
        </w:rPr>
        <w:t>,</w:t>
      </w:r>
      <w:r w:rsidR="00653AAD">
        <w:rPr>
          <w:rFonts w:hint="eastAsia"/>
        </w:rPr>
        <w:t xml:space="preserve"> </w:t>
      </w:r>
      <w:proofErr w:type="spellStart"/>
      <w:r w:rsidR="00653AAD">
        <w:rPr>
          <w:rFonts w:hint="eastAsia"/>
        </w:rPr>
        <w:t>社会困境</w:t>
      </w:r>
      <w:proofErr w:type="spellEnd"/>
      <w:r w:rsidR="00653AAD">
        <w:rPr>
          <w:rFonts w:hint="eastAsia"/>
          <w:lang w:eastAsia="zh-CN"/>
        </w:rPr>
        <w:t>,</w:t>
      </w:r>
      <w:r w:rsidR="00653AAD">
        <w:rPr>
          <w:rFonts w:hint="eastAsia"/>
        </w:rPr>
        <w:t xml:space="preserve"> </w:t>
      </w:r>
      <w:proofErr w:type="spellStart"/>
      <w:r w:rsidR="00653AAD">
        <w:rPr>
          <w:rFonts w:hint="eastAsia"/>
        </w:rPr>
        <w:t>社会两难决策</w:t>
      </w:r>
      <w:proofErr w:type="spellEnd"/>
      <w:r w:rsidR="00653AAD">
        <w:t>,</w:t>
      </w:r>
      <w:r w:rsidR="00653AAD">
        <w:rPr>
          <w:rFonts w:hint="eastAsia"/>
        </w:rPr>
        <w:t xml:space="preserve"> </w:t>
      </w:r>
      <w:proofErr w:type="spellStart"/>
      <w:r w:rsidR="00653AAD">
        <w:rPr>
          <w:rFonts w:hint="eastAsia"/>
        </w:rPr>
        <w:t>行为决策</w:t>
      </w:r>
      <w:proofErr w:type="spellEnd"/>
      <w:r w:rsidR="00653AAD">
        <w:t xml:space="preserve">, </w:t>
      </w:r>
      <w:proofErr w:type="spellStart"/>
      <w:r w:rsidR="00653AAD">
        <w:rPr>
          <w:rFonts w:hint="eastAsia"/>
        </w:rPr>
        <w:t>合作决策</w:t>
      </w:r>
      <w:proofErr w:type="spellEnd"/>
      <w:r w:rsidR="00653AAD">
        <w:t xml:space="preserve">, </w:t>
      </w:r>
      <w:proofErr w:type="spellStart"/>
      <w:r w:rsidR="00653AAD">
        <w:rPr>
          <w:rFonts w:hint="eastAsia"/>
        </w:rPr>
        <w:t>合作行为</w:t>
      </w:r>
      <w:proofErr w:type="spellEnd"/>
      <w:r w:rsidR="00653AAD">
        <w:rPr>
          <w:rFonts w:hint="eastAsia"/>
          <w:lang w:eastAsia="zh-CN"/>
        </w:rPr>
        <w:t>.</w:t>
      </w:r>
    </w:p>
    <w:p w14:paraId="1A223D5C" w14:textId="51AF5252" w:rsidR="00D353F8" w:rsidRDefault="00187B95" w:rsidP="00AB6990">
      <w:pPr>
        <w:ind w:firstLine="709"/>
        <w:rPr>
          <w:lang w:eastAsia="ja-JP"/>
        </w:rPr>
      </w:pPr>
      <w:r>
        <w:rPr>
          <w:lang w:eastAsia="ja-JP"/>
        </w:rPr>
        <w:t xml:space="preserve">The Japanese search string included the follow key terms: </w:t>
      </w:r>
      <w:r w:rsidRPr="00187B95">
        <w:rPr>
          <w:rFonts w:hint="eastAsia"/>
          <w:lang w:eastAsia="ja-JP"/>
        </w:rPr>
        <w:t>囚人のジレンマ</w:t>
      </w:r>
      <w:r>
        <w:rPr>
          <w:lang w:eastAsia="ja-JP"/>
        </w:rPr>
        <w:t xml:space="preserve">, </w:t>
      </w:r>
      <w:r w:rsidRPr="00187B95">
        <w:rPr>
          <w:rFonts w:hint="eastAsia"/>
          <w:lang w:eastAsia="ja-JP"/>
        </w:rPr>
        <w:t>公共財ゲーム</w:t>
      </w:r>
      <w:r>
        <w:rPr>
          <w:rFonts w:hint="eastAsia"/>
          <w:lang w:eastAsia="ja-JP"/>
        </w:rPr>
        <w:t>,</w:t>
      </w:r>
      <w:r>
        <w:rPr>
          <w:lang w:eastAsia="ja-JP"/>
        </w:rPr>
        <w:t xml:space="preserve"> </w:t>
      </w:r>
      <w:r w:rsidRPr="00187B95">
        <w:rPr>
          <w:rFonts w:hint="eastAsia"/>
          <w:lang w:eastAsia="ja-JP"/>
        </w:rPr>
        <w:t>SD</w:t>
      </w:r>
      <w:r w:rsidRPr="00187B95">
        <w:rPr>
          <w:rFonts w:hint="eastAsia"/>
          <w:lang w:eastAsia="ja-JP"/>
        </w:rPr>
        <w:t>ゲーム</w:t>
      </w:r>
      <w:r>
        <w:rPr>
          <w:lang w:eastAsia="ja-JP"/>
        </w:rPr>
        <w:t xml:space="preserve">, </w:t>
      </w:r>
      <w:r w:rsidRPr="00187B95">
        <w:rPr>
          <w:rFonts w:hint="eastAsia"/>
          <w:lang w:eastAsia="ja-JP"/>
        </w:rPr>
        <w:t>リソースジレンマ</w:t>
      </w:r>
      <w:r>
        <w:rPr>
          <w:lang w:eastAsia="ja-JP"/>
        </w:rPr>
        <w:t xml:space="preserve">, </w:t>
      </w:r>
      <w:r w:rsidRPr="00187B95">
        <w:rPr>
          <w:rFonts w:hint="eastAsia"/>
          <w:lang w:eastAsia="ja-JP"/>
        </w:rPr>
        <w:t>資源ジレンマ</w:t>
      </w:r>
      <w:r>
        <w:rPr>
          <w:lang w:eastAsia="ja-JP"/>
        </w:rPr>
        <w:t>,</w:t>
      </w:r>
      <w:r w:rsidR="00E02265">
        <w:rPr>
          <w:lang w:eastAsia="ja-JP"/>
        </w:rPr>
        <w:t xml:space="preserve"> </w:t>
      </w:r>
      <w:r w:rsidRPr="00187B95">
        <w:rPr>
          <w:rFonts w:hint="eastAsia"/>
          <w:lang w:eastAsia="ja-JP"/>
        </w:rPr>
        <w:t>社会的交換</w:t>
      </w:r>
      <w:r w:rsidR="00653AAD">
        <w:rPr>
          <w:rFonts w:hint="eastAsia"/>
          <w:lang w:eastAsia="ja-JP"/>
        </w:rPr>
        <w:t xml:space="preserve"> AND</w:t>
      </w:r>
      <w:r w:rsidR="00653AAD">
        <w:rPr>
          <w:lang w:eastAsia="ja-JP"/>
        </w:rPr>
        <w:t xml:space="preserve"> </w:t>
      </w:r>
      <w:r w:rsidRPr="00187B95">
        <w:rPr>
          <w:rFonts w:hint="eastAsia"/>
          <w:lang w:eastAsia="ja-JP"/>
        </w:rPr>
        <w:t>ゲーム</w:t>
      </w:r>
      <w:r w:rsidR="00E02265">
        <w:rPr>
          <w:rFonts w:hint="eastAsia"/>
          <w:lang w:eastAsia="ja-JP"/>
        </w:rPr>
        <w:t>,</w:t>
      </w:r>
      <w:r w:rsidR="00E02265">
        <w:rPr>
          <w:lang w:eastAsia="ja-JP"/>
        </w:rPr>
        <w:t xml:space="preserve"> </w:t>
      </w:r>
      <w:r w:rsidRPr="00187B95">
        <w:rPr>
          <w:rFonts w:hint="eastAsia"/>
          <w:lang w:eastAsia="ja-JP"/>
        </w:rPr>
        <w:t>社会的交換</w:t>
      </w:r>
      <w:r w:rsidR="00653AAD">
        <w:rPr>
          <w:rFonts w:hint="eastAsia"/>
          <w:lang w:eastAsia="ja-JP"/>
        </w:rPr>
        <w:t xml:space="preserve"> AND</w:t>
      </w:r>
      <w:r w:rsidR="00653AAD">
        <w:rPr>
          <w:lang w:eastAsia="ja-JP"/>
        </w:rPr>
        <w:t xml:space="preserve"> </w:t>
      </w:r>
      <w:r w:rsidRPr="00187B95">
        <w:rPr>
          <w:rFonts w:hint="eastAsia"/>
          <w:lang w:eastAsia="ja-JP"/>
        </w:rPr>
        <w:t>実験</w:t>
      </w:r>
      <w:r w:rsidR="00E02265">
        <w:rPr>
          <w:lang w:eastAsia="ja-JP"/>
        </w:rPr>
        <w:t xml:space="preserve">, </w:t>
      </w:r>
      <w:r w:rsidRPr="00187B95">
        <w:rPr>
          <w:rFonts w:hint="eastAsia"/>
          <w:lang w:eastAsia="ja-JP"/>
        </w:rPr>
        <w:t>共有地の悲劇</w:t>
      </w:r>
      <w:r w:rsidR="00653AAD">
        <w:rPr>
          <w:rFonts w:hint="eastAsia"/>
          <w:lang w:eastAsia="ja-JP"/>
        </w:rPr>
        <w:t xml:space="preserve"> AND</w:t>
      </w:r>
      <w:r w:rsidR="00653AAD">
        <w:rPr>
          <w:lang w:eastAsia="ja-JP"/>
        </w:rPr>
        <w:t xml:space="preserve"> </w:t>
      </w:r>
      <w:r w:rsidRPr="00187B95">
        <w:rPr>
          <w:rFonts w:hint="eastAsia"/>
          <w:lang w:eastAsia="ja-JP"/>
        </w:rPr>
        <w:t>ゲーム</w:t>
      </w:r>
      <w:r w:rsidR="00E02265">
        <w:rPr>
          <w:lang w:eastAsia="ja-JP"/>
        </w:rPr>
        <w:t xml:space="preserve">, </w:t>
      </w:r>
      <w:r w:rsidRPr="00187B95">
        <w:rPr>
          <w:rFonts w:hint="eastAsia"/>
          <w:lang w:eastAsia="ja-JP"/>
        </w:rPr>
        <w:t>共有地の悲劇</w:t>
      </w:r>
      <w:r w:rsidR="00653AAD">
        <w:rPr>
          <w:rFonts w:hint="eastAsia"/>
          <w:lang w:eastAsia="ja-JP"/>
        </w:rPr>
        <w:t xml:space="preserve"> AND</w:t>
      </w:r>
      <w:r w:rsidR="00653AAD">
        <w:rPr>
          <w:lang w:eastAsia="ja-JP"/>
        </w:rPr>
        <w:t xml:space="preserve"> </w:t>
      </w:r>
      <w:r w:rsidRPr="00187B95">
        <w:rPr>
          <w:rFonts w:hint="eastAsia"/>
          <w:lang w:eastAsia="ja-JP"/>
        </w:rPr>
        <w:t>実験</w:t>
      </w:r>
      <w:r w:rsidR="00E02265">
        <w:rPr>
          <w:lang w:eastAsia="ja-JP"/>
        </w:rPr>
        <w:t xml:space="preserve">, </w:t>
      </w:r>
      <w:r>
        <w:rPr>
          <w:rFonts w:hint="eastAsia"/>
          <w:lang w:eastAsia="ja-JP"/>
        </w:rPr>
        <w:t>社会的ディレンマ</w:t>
      </w:r>
      <w:r w:rsidR="00653AAD">
        <w:rPr>
          <w:rFonts w:hint="eastAsia"/>
          <w:lang w:eastAsia="ja-JP"/>
        </w:rPr>
        <w:t xml:space="preserve"> AND</w:t>
      </w:r>
      <w:r w:rsidR="00653AAD">
        <w:rPr>
          <w:lang w:eastAsia="ja-JP"/>
        </w:rPr>
        <w:t xml:space="preserve"> </w:t>
      </w:r>
      <w:r>
        <w:rPr>
          <w:rFonts w:hint="eastAsia"/>
          <w:lang w:eastAsia="ja-JP"/>
        </w:rPr>
        <w:t>ゲーム</w:t>
      </w:r>
      <w:r w:rsidR="00E02265">
        <w:rPr>
          <w:lang w:eastAsia="ja-JP"/>
        </w:rPr>
        <w:t xml:space="preserve">, </w:t>
      </w:r>
      <w:r>
        <w:rPr>
          <w:rFonts w:hint="eastAsia"/>
          <w:lang w:eastAsia="ja-JP"/>
        </w:rPr>
        <w:t>社会的ディレンマ</w:t>
      </w:r>
      <w:r w:rsidR="00653AAD">
        <w:rPr>
          <w:rFonts w:hint="eastAsia"/>
          <w:lang w:eastAsia="ja-JP"/>
        </w:rPr>
        <w:t xml:space="preserve"> AND</w:t>
      </w:r>
      <w:r w:rsidR="00653AAD">
        <w:rPr>
          <w:lang w:eastAsia="ja-JP"/>
        </w:rPr>
        <w:t xml:space="preserve"> </w:t>
      </w:r>
      <w:r>
        <w:rPr>
          <w:rFonts w:hint="eastAsia"/>
          <w:lang w:eastAsia="ja-JP"/>
        </w:rPr>
        <w:t>実験</w:t>
      </w:r>
      <w:r w:rsidR="00E02265">
        <w:rPr>
          <w:lang w:eastAsia="ja-JP"/>
        </w:rPr>
        <w:t xml:space="preserve">, </w:t>
      </w:r>
      <w:r>
        <w:rPr>
          <w:rFonts w:hint="eastAsia"/>
          <w:lang w:eastAsia="ja-JP"/>
        </w:rPr>
        <w:t>PDG</w:t>
      </w:r>
      <w:r w:rsidR="00653AAD">
        <w:rPr>
          <w:lang w:eastAsia="ja-JP"/>
        </w:rPr>
        <w:t xml:space="preserve"> </w:t>
      </w:r>
      <w:r w:rsidR="00653AAD">
        <w:rPr>
          <w:rFonts w:hint="eastAsia"/>
          <w:lang w:eastAsia="ja-JP"/>
        </w:rPr>
        <w:t>AND</w:t>
      </w:r>
      <w:r w:rsidR="00653AAD">
        <w:rPr>
          <w:lang w:eastAsia="ja-JP"/>
        </w:rPr>
        <w:t xml:space="preserve"> </w:t>
      </w:r>
      <w:r>
        <w:rPr>
          <w:rFonts w:hint="eastAsia"/>
          <w:lang w:eastAsia="ja-JP"/>
        </w:rPr>
        <w:t>実験</w:t>
      </w:r>
      <w:r w:rsidR="00E02265">
        <w:rPr>
          <w:lang w:eastAsia="ja-JP"/>
        </w:rPr>
        <w:t xml:space="preserve">, </w:t>
      </w:r>
      <w:r>
        <w:rPr>
          <w:rFonts w:hint="eastAsia"/>
          <w:lang w:eastAsia="ja-JP"/>
        </w:rPr>
        <w:t>混合動機状況</w:t>
      </w:r>
      <w:r w:rsidR="00E02265">
        <w:rPr>
          <w:lang w:eastAsia="ja-JP"/>
        </w:rPr>
        <w:t xml:space="preserve">, </w:t>
      </w:r>
      <w:r>
        <w:rPr>
          <w:rFonts w:hint="eastAsia"/>
          <w:lang w:eastAsia="ja-JP"/>
        </w:rPr>
        <w:t>混合動機ゲーム</w:t>
      </w:r>
      <w:r w:rsidR="00E02265">
        <w:rPr>
          <w:rFonts w:hint="eastAsia"/>
          <w:lang w:eastAsia="ja-JP"/>
        </w:rPr>
        <w:t>,</w:t>
      </w:r>
      <w:r w:rsidR="00E02265">
        <w:rPr>
          <w:lang w:eastAsia="ja-JP"/>
        </w:rPr>
        <w:t xml:space="preserve"> </w:t>
      </w:r>
      <w:r>
        <w:rPr>
          <w:rFonts w:hint="eastAsia"/>
          <w:lang w:eastAsia="ja-JP"/>
        </w:rPr>
        <w:t>コモンズの悲劇</w:t>
      </w:r>
      <w:r w:rsidR="00653AAD">
        <w:rPr>
          <w:rFonts w:hint="eastAsia"/>
          <w:lang w:eastAsia="ja-JP"/>
        </w:rPr>
        <w:t xml:space="preserve"> AND</w:t>
      </w:r>
      <w:r w:rsidR="00653AAD">
        <w:rPr>
          <w:lang w:eastAsia="ja-JP"/>
        </w:rPr>
        <w:t xml:space="preserve"> </w:t>
      </w:r>
      <w:r>
        <w:rPr>
          <w:rFonts w:hint="eastAsia"/>
          <w:lang w:eastAsia="ja-JP"/>
        </w:rPr>
        <w:t>実験</w:t>
      </w:r>
      <w:r w:rsidR="00E02265">
        <w:rPr>
          <w:lang w:eastAsia="ja-JP"/>
        </w:rPr>
        <w:t xml:space="preserve">, </w:t>
      </w:r>
      <w:r>
        <w:rPr>
          <w:rFonts w:hint="eastAsia"/>
          <w:lang w:eastAsia="ja-JP"/>
        </w:rPr>
        <w:t>コモンズの悲劇</w:t>
      </w:r>
      <w:r w:rsidR="00653AAD">
        <w:rPr>
          <w:rFonts w:hint="eastAsia"/>
          <w:lang w:eastAsia="ja-JP"/>
        </w:rPr>
        <w:t xml:space="preserve"> AND</w:t>
      </w:r>
      <w:r w:rsidR="00653AAD">
        <w:rPr>
          <w:lang w:eastAsia="ja-JP"/>
        </w:rPr>
        <w:t xml:space="preserve"> </w:t>
      </w:r>
      <w:r>
        <w:rPr>
          <w:rFonts w:hint="eastAsia"/>
          <w:lang w:eastAsia="ja-JP"/>
        </w:rPr>
        <w:t>ゲーム</w:t>
      </w:r>
      <w:r w:rsidR="00E02265">
        <w:rPr>
          <w:lang w:eastAsia="ja-JP"/>
        </w:rPr>
        <w:t xml:space="preserve">, </w:t>
      </w:r>
      <w:r>
        <w:rPr>
          <w:rFonts w:hint="eastAsia"/>
          <w:lang w:eastAsia="ja-JP"/>
        </w:rPr>
        <w:t>コモンリソースディレンマ</w:t>
      </w:r>
      <w:r w:rsidR="00310E8F">
        <w:rPr>
          <w:rFonts w:hint="eastAsia"/>
          <w:lang w:eastAsia="ja-JP"/>
        </w:rPr>
        <w:t>,</w:t>
      </w:r>
      <w:r w:rsidR="00310E8F">
        <w:rPr>
          <w:lang w:eastAsia="ja-JP"/>
        </w:rPr>
        <w:t xml:space="preserve"> </w:t>
      </w:r>
      <w:r>
        <w:rPr>
          <w:rFonts w:hint="eastAsia"/>
          <w:lang w:eastAsia="ja-JP"/>
        </w:rPr>
        <w:t>共有資源ディレンマ</w:t>
      </w:r>
      <w:r w:rsidR="00310E8F">
        <w:rPr>
          <w:rFonts w:hint="eastAsia"/>
          <w:lang w:eastAsia="ja-JP"/>
        </w:rPr>
        <w:t>,</w:t>
      </w:r>
      <w:r w:rsidR="00310E8F">
        <w:rPr>
          <w:lang w:eastAsia="ja-JP"/>
        </w:rPr>
        <w:t xml:space="preserve"> </w:t>
      </w:r>
      <w:r>
        <w:rPr>
          <w:rFonts w:hint="eastAsia"/>
          <w:lang w:eastAsia="ja-JP"/>
        </w:rPr>
        <w:t>プリズナーズディレンマ</w:t>
      </w:r>
      <w:r w:rsidR="00310E8F">
        <w:rPr>
          <w:lang w:eastAsia="ja-JP"/>
        </w:rPr>
        <w:t xml:space="preserve">, </w:t>
      </w:r>
      <w:r>
        <w:rPr>
          <w:rFonts w:hint="eastAsia"/>
          <w:lang w:eastAsia="ja-JP"/>
        </w:rPr>
        <w:t>ギフトギビング</w:t>
      </w:r>
      <w:r w:rsidR="00310E8F">
        <w:rPr>
          <w:lang w:eastAsia="ja-JP"/>
        </w:rPr>
        <w:t xml:space="preserve">, </w:t>
      </w:r>
      <w:r>
        <w:rPr>
          <w:rFonts w:hint="eastAsia"/>
          <w:lang w:eastAsia="ja-JP"/>
        </w:rPr>
        <w:t>贈与</w:t>
      </w:r>
      <w:r w:rsidR="00653AAD">
        <w:rPr>
          <w:rFonts w:hint="eastAsia"/>
          <w:lang w:eastAsia="ja-JP"/>
        </w:rPr>
        <w:t xml:space="preserve"> AND</w:t>
      </w:r>
      <w:r w:rsidR="00653AAD">
        <w:rPr>
          <w:lang w:eastAsia="ja-JP"/>
        </w:rPr>
        <w:t xml:space="preserve"> </w:t>
      </w:r>
      <w:r>
        <w:rPr>
          <w:rFonts w:hint="eastAsia"/>
          <w:lang w:eastAsia="ja-JP"/>
        </w:rPr>
        <w:t>ゲーム</w:t>
      </w:r>
      <w:r w:rsidR="00310E8F">
        <w:rPr>
          <w:rFonts w:hint="eastAsia"/>
          <w:lang w:eastAsia="ja-JP"/>
        </w:rPr>
        <w:t>,</w:t>
      </w:r>
      <w:r w:rsidR="00310E8F">
        <w:rPr>
          <w:lang w:eastAsia="ja-JP"/>
        </w:rPr>
        <w:t xml:space="preserve"> </w:t>
      </w:r>
      <w:r>
        <w:rPr>
          <w:rFonts w:hint="eastAsia"/>
          <w:lang w:eastAsia="ja-JP"/>
        </w:rPr>
        <w:t>ソーシャル</w:t>
      </w:r>
      <w:r>
        <w:rPr>
          <w:rFonts w:hint="eastAsia"/>
          <w:lang w:eastAsia="ja-JP"/>
        </w:rPr>
        <w:t xml:space="preserve"> </w:t>
      </w:r>
      <w:r w:rsidR="00653AAD">
        <w:rPr>
          <w:rFonts w:hint="eastAsia"/>
          <w:lang w:eastAsia="ja-JP"/>
        </w:rPr>
        <w:t>AND</w:t>
      </w:r>
      <w:r w:rsidR="00653AAD">
        <w:rPr>
          <w:lang w:eastAsia="ja-JP"/>
        </w:rPr>
        <w:t xml:space="preserve"> </w:t>
      </w:r>
      <w:r>
        <w:rPr>
          <w:rFonts w:hint="eastAsia"/>
          <w:lang w:eastAsia="ja-JP"/>
        </w:rPr>
        <w:t>ジレンマ</w:t>
      </w:r>
      <w:r w:rsidR="00310E8F">
        <w:rPr>
          <w:lang w:eastAsia="ja-JP"/>
        </w:rPr>
        <w:t xml:space="preserve">, </w:t>
      </w:r>
      <w:r>
        <w:rPr>
          <w:rFonts w:hint="eastAsia"/>
          <w:lang w:eastAsia="ja-JP"/>
        </w:rPr>
        <w:t>公共財供給</w:t>
      </w:r>
      <w:r w:rsidR="00653AAD">
        <w:rPr>
          <w:rFonts w:hint="eastAsia"/>
          <w:lang w:eastAsia="ja-JP"/>
        </w:rPr>
        <w:t xml:space="preserve"> AND</w:t>
      </w:r>
      <w:r w:rsidR="00653AAD">
        <w:rPr>
          <w:lang w:eastAsia="ja-JP"/>
        </w:rPr>
        <w:t xml:space="preserve"> </w:t>
      </w:r>
      <w:r>
        <w:rPr>
          <w:rFonts w:hint="eastAsia"/>
          <w:lang w:eastAsia="ja-JP"/>
        </w:rPr>
        <w:t>ゲーム</w:t>
      </w:r>
      <w:r w:rsidR="00310E8F">
        <w:rPr>
          <w:lang w:eastAsia="ja-JP"/>
        </w:rPr>
        <w:t xml:space="preserve">, </w:t>
      </w:r>
      <w:r>
        <w:rPr>
          <w:rFonts w:hint="eastAsia"/>
          <w:lang w:eastAsia="ja-JP"/>
        </w:rPr>
        <w:t>社会的ジレンマ</w:t>
      </w:r>
      <w:r w:rsidR="00653AAD">
        <w:rPr>
          <w:rFonts w:hint="eastAsia"/>
          <w:lang w:eastAsia="ja-JP"/>
        </w:rPr>
        <w:t xml:space="preserve"> AND</w:t>
      </w:r>
      <w:r w:rsidR="00653AAD">
        <w:rPr>
          <w:lang w:eastAsia="ja-JP"/>
        </w:rPr>
        <w:t xml:space="preserve"> </w:t>
      </w:r>
      <w:r>
        <w:rPr>
          <w:rFonts w:hint="eastAsia"/>
          <w:lang w:eastAsia="ja-JP"/>
        </w:rPr>
        <w:t>実験</w:t>
      </w:r>
      <w:r w:rsidR="00310E8F">
        <w:rPr>
          <w:rFonts w:hint="eastAsia"/>
          <w:lang w:eastAsia="ja-JP"/>
        </w:rPr>
        <w:t>,</w:t>
      </w:r>
      <w:r w:rsidR="00310E8F">
        <w:rPr>
          <w:lang w:eastAsia="ja-JP"/>
        </w:rPr>
        <w:t xml:space="preserve"> </w:t>
      </w:r>
      <w:r>
        <w:rPr>
          <w:rFonts w:hint="eastAsia"/>
          <w:lang w:eastAsia="ja-JP"/>
        </w:rPr>
        <w:t>パブリック</w:t>
      </w:r>
      <w:r w:rsidR="00653AAD">
        <w:rPr>
          <w:rFonts w:hint="eastAsia"/>
          <w:lang w:eastAsia="ja-JP"/>
        </w:rPr>
        <w:t xml:space="preserve"> AND</w:t>
      </w:r>
      <w:r w:rsidR="00653AAD">
        <w:rPr>
          <w:lang w:eastAsia="ja-JP"/>
        </w:rPr>
        <w:t xml:space="preserve"> </w:t>
      </w:r>
      <w:r>
        <w:rPr>
          <w:rFonts w:hint="eastAsia"/>
          <w:lang w:eastAsia="ja-JP"/>
        </w:rPr>
        <w:t>グッズ</w:t>
      </w:r>
      <w:r w:rsidR="00310E8F">
        <w:rPr>
          <w:lang w:eastAsia="ja-JP"/>
        </w:rPr>
        <w:t xml:space="preserve">, </w:t>
      </w:r>
      <w:r>
        <w:rPr>
          <w:rFonts w:hint="eastAsia"/>
          <w:lang w:eastAsia="ja-JP"/>
        </w:rPr>
        <w:t>社会的ジレンマ</w:t>
      </w:r>
      <w:r w:rsidR="00310E8F">
        <w:rPr>
          <w:rFonts w:hint="eastAsia"/>
          <w:lang w:eastAsia="ja-JP"/>
        </w:rPr>
        <w:t xml:space="preserve"> AND</w:t>
      </w:r>
      <w:r w:rsidR="00310E8F">
        <w:rPr>
          <w:lang w:eastAsia="ja-JP"/>
        </w:rPr>
        <w:t xml:space="preserve"> </w:t>
      </w:r>
      <w:r>
        <w:rPr>
          <w:rFonts w:hint="eastAsia"/>
          <w:lang w:eastAsia="ja-JP"/>
        </w:rPr>
        <w:t>ゲーム</w:t>
      </w:r>
      <w:r w:rsidR="00310E8F">
        <w:rPr>
          <w:rFonts w:hint="eastAsia"/>
          <w:lang w:eastAsia="ja-JP"/>
        </w:rPr>
        <w:t>,</w:t>
      </w:r>
      <w:r w:rsidR="00310E8F">
        <w:rPr>
          <w:lang w:eastAsia="ja-JP"/>
        </w:rPr>
        <w:t xml:space="preserve"> </w:t>
      </w:r>
      <w:r>
        <w:rPr>
          <w:rFonts w:hint="eastAsia"/>
          <w:lang w:eastAsia="ja-JP"/>
        </w:rPr>
        <w:t>PD</w:t>
      </w:r>
      <w:r>
        <w:rPr>
          <w:rFonts w:hint="eastAsia"/>
          <w:lang w:eastAsia="ja-JP"/>
        </w:rPr>
        <w:t>ゲーム</w:t>
      </w:r>
      <w:r w:rsidR="00310E8F">
        <w:rPr>
          <w:lang w:eastAsia="ja-JP"/>
        </w:rPr>
        <w:t xml:space="preserve">, </w:t>
      </w:r>
      <w:r>
        <w:rPr>
          <w:rFonts w:hint="eastAsia"/>
          <w:lang w:eastAsia="ja-JP"/>
        </w:rPr>
        <w:t>囚人のディレンマ</w:t>
      </w:r>
      <w:r w:rsidR="00310E8F">
        <w:rPr>
          <w:lang w:eastAsia="ja-JP"/>
        </w:rPr>
        <w:t xml:space="preserve">, </w:t>
      </w:r>
      <w:r>
        <w:rPr>
          <w:lang w:eastAsia="ja-JP"/>
        </w:rPr>
        <w:t>Prisoner's dilemma Game</w:t>
      </w:r>
      <w:r w:rsidR="00653AAD">
        <w:rPr>
          <w:lang w:eastAsia="ja-JP"/>
        </w:rPr>
        <w:t>.</w:t>
      </w:r>
      <w:r w:rsidR="00D353F8">
        <w:rPr>
          <w:lang w:eastAsia="ja-JP"/>
        </w:rPr>
        <w:br w:type="page"/>
      </w:r>
    </w:p>
    <w:p w14:paraId="39F6CB85" w14:textId="6C1677DE" w:rsidR="00B81A31" w:rsidRDefault="00D353F8" w:rsidP="00B81A31">
      <w:pPr>
        <w:pStyle w:val="Heading1"/>
      </w:pPr>
      <w:bookmarkStart w:id="6" w:name="_Toc169458473"/>
      <w:r>
        <w:lastRenderedPageBreak/>
        <w:t xml:space="preserve">3. </w:t>
      </w:r>
      <w:r w:rsidR="00B81A31" w:rsidRPr="00B81A31">
        <w:t xml:space="preserve">Flow </w:t>
      </w:r>
      <w:r w:rsidR="00B81A31">
        <w:t>C</w:t>
      </w:r>
      <w:r w:rsidR="00B81A31" w:rsidRPr="00B81A31">
        <w:t xml:space="preserve">hart of </w:t>
      </w:r>
      <w:r w:rsidR="00B81A31">
        <w:t>L</w:t>
      </w:r>
      <w:r w:rsidR="00B81A31" w:rsidRPr="00B81A31">
        <w:t xml:space="preserve">iterature </w:t>
      </w:r>
      <w:r w:rsidR="00B81A31">
        <w:t>S</w:t>
      </w:r>
      <w:r w:rsidR="00B81A31" w:rsidRPr="00B81A31">
        <w:t xml:space="preserve">earch and </w:t>
      </w:r>
      <w:r w:rsidR="00B81A31">
        <w:t>I</w:t>
      </w:r>
      <w:r w:rsidR="00B81A31" w:rsidRPr="00B81A31">
        <w:t>nclusion</w:t>
      </w:r>
      <w:bookmarkEnd w:id="6"/>
    </w:p>
    <w:p w14:paraId="7D033718" w14:textId="44346CE7" w:rsidR="00B81A31" w:rsidRPr="007D413D" w:rsidRDefault="00B81A31" w:rsidP="00B81A31">
      <w:pPr>
        <w:rPr>
          <w:rFonts w:cs="Times New Roman"/>
          <w:b/>
        </w:rPr>
      </w:pPr>
      <w:r>
        <w:rPr>
          <w:rFonts w:cs="Times New Roman"/>
          <w:b/>
        </w:rPr>
        <w:t xml:space="preserve">Figure </w:t>
      </w:r>
      <w:r w:rsidR="00B73D11">
        <w:rPr>
          <w:rFonts w:cs="Times New Roman"/>
          <w:b/>
        </w:rPr>
        <w:t>S1</w:t>
      </w:r>
    </w:p>
    <w:p w14:paraId="7F6587A1" w14:textId="5BB8BDB0" w:rsidR="00B81A31" w:rsidRPr="007D413D" w:rsidRDefault="00B81A31" w:rsidP="00B81A31">
      <w:pPr>
        <w:rPr>
          <w:rFonts w:cs="Times New Roman"/>
          <w:i/>
        </w:rPr>
      </w:pPr>
      <w:r w:rsidRPr="007D413D">
        <w:rPr>
          <w:rFonts w:eastAsia="DengXian" w:cs="Times New Roman"/>
          <w:i/>
          <w:kern w:val="2"/>
        </w:rPr>
        <w:t xml:space="preserve">Flow </w:t>
      </w:r>
      <w:r w:rsidR="00B81680">
        <w:rPr>
          <w:rFonts w:eastAsia="DengXian" w:cs="Times New Roman"/>
          <w:i/>
          <w:kern w:val="2"/>
        </w:rPr>
        <w:t>C</w:t>
      </w:r>
      <w:r w:rsidRPr="007D413D">
        <w:rPr>
          <w:rFonts w:eastAsia="DengXian" w:cs="Times New Roman"/>
          <w:i/>
          <w:kern w:val="2"/>
        </w:rPr>
        <w:t xml:space="preserve">hart of </w:t>
      </w:r>
      <w:r w:rsidR="00B81680">
        <w:rPr>
          <w:rFonts w:eastAsia="DengXian" w:cs="Times New Roman"/>
          <w:i/>
          <w:kern w:val="2"/>
        </w:rPr>
        <w:t>L</w:t>
      </w:r>
      <w:r w:rsidRPr="007D413D">
        <w:rPr>
          <w:rFonts w:eastAsia="DengXian" w:cs="Times New Roman"/>
          <w:i/>
          <w:kern w:val="2"/>
        </w:rPr>
        <w:t xml:space="preserve">iterature </w:t>
      </w:r>
      <w:r w:rsidR="00B81680">
        <w:rPr>
          <w:rFonts w:eastAsia="DengXian" w:cs="Times New Roman"/>
          <w:i/>
          <w:kern w:val="2"/>
        </w:rPr>
        <w:t>S</w:t>
      </w:r>
      <w:r w:rsidRPr="007D413D">
        <w:rPr>
          <w:rFonts w:eastAsia="DengXian" w:cs="Times New Roman"/>
          <w:i/>
          <w:kern w:val="2"/>
        </w:rPr>
        <w:t xml:space="preserve">earch and </w:t>
      </w:r>
      <w:r w:rsidR="00B81680">
        <w:rPr>
          <w:rFonts w:eastAsia="DengXian" w:cs="Times New Roman"/>
          <w:i/>
          <w:kern w:val="2"/>
        </w:rPr>
        <w:t>I</w:t>
      </w:r>
      <w:r w:rsidRPr="007D413D">
        <w:rPr>
          <w:rFonts w:eastAsia="DengXian" w:cs="Times New Roman"/>
          <w:i/>
          <w:kern w:val="2"/>
        </w:rPr>
        <w:t>nclusion</w:t>
      </w:r>
      <w:r w:rsidR="00C12950">
        <w:rPr>
          <w:rFonts w:eastAsia="DengXian" w:cs="Times New Roman"/>
          <w:i/>
          <w:kern w:val="2"/>
        </w:rPr>
        <w:t xml:space="preserve"> (Study 1)</w:t>
      </w:r>
    </w:p>
    <w:p w14:paraId="75112BB0" w14:textId="77777777" w:rsidR="00B81A31" w:rsidRPr="007D413D" w:rsidRDefault="00B81A31" w:rsidP="00B81A31">
      <w:pPr>
        <w:widowControl w:val="0"/>
        <w:spacing w:line="240" w:lineRule="auto"/>
        <w:jc w:val="both"/>
        <w:rPr>
          <w:rFonts w:eastAsia="DengXian" w:cs="Times New Roman"/>
          <w:kern w:val="2"/>
        </w:rPr>
      </w:pPr>
      <w:r w:rsidRPr="007D413D">
        <w:rPr>
          <w:rFonts w:eastAsia="DengXian" w:cs="Times New Roman"/>
          <w:noProof/>
          <w:kern w:val="2"/>
        </w:rPr>
        <mc:AlternateContent>
          <mc:Choice Requires="wpg">
            <w:drawing>
              <wp:anchor distT="0" distB="0" distL="114300" distR="114300" simplePos="0" relativeHeight="251659264" behindDoc="0" locked="0" layoutInCell="1" allowOverlap="1" wp14:anchorId="144737AB" wp14:editId="0B2F5425">
                <wp:simplePos x="0" y="0"/>
                <wp:positionH relativeFrom="column">
                  <wp:posOffset>0</wp:posOffset>
                </wp:positionH>
                <wp:positionV relativeFrom="paragraph">
                  <wp:posOffset>66675</wp:posOffset>
                </wp:positionV>
                <wp:extent cx="5724525" cy="5029200"/>
                <wp:effectExtent l="0" t="0" r="28575" b="19050"/>
                <wp:wrapNone/>
                <wp:docPr id="1" name="Group 1"/>
                <wp:cNvGraphicFramePr/>
                <a:graphic xmlns:a="http://schemas.openxmlformats.org/drawingml/2006/main">
                  <a:graphicData uri="http://schemas.microsoft.com/office/word/2010/wordprocessingGroup">
                    <wpg:wgp>
                      <wpg:cNvGrpSpPr/>
                      <wpg:grpSpPr>
                        <a:xfrm>
                          <a:off x="0" y="0"/>
                          <a:ext cx="5724525" cy="5029200"/>
                          <a:chOff x="0" y="0"/>
                          <a:chExt cx="5724525" cy="5029200"/>
                        </a:xfrm>
                      </wpg:grpSpPr>
                      <wps:wsp>
                        <wps:cNvPr id="2" name="Rounded Rectangle 5"/>
                        <wps:cNvSpPr/>
                        <wps:spPr>
                          <a:xfrm rot="16200000">
                            <a:off x="-409575" y="409575"/>
                            <a:ext cx="1133475" cy="314325"/>
                          </a:xfrm>
                          <a:prstGeom prst="roundRect">
                            <a:avLst/>
                          </a:prstGeom>
                          <a:noFill/>
                          <a:ln w="12700" cap="flat" cmpd="sng" algn="ctr">
                            <a:solidFill>
                              <a:sysClr val="windowText" lastClr="000000"/>
                            </a:solidFill>
                            <a:prstDash val="solid"/>
                            <a:miter lim="800000"/>
                          </a:ln>
                          <a:effectLst/>
                        </wps:spPr>
                        <wps:txbx>
                          <w:txbxContent>
                            <w:p w14:paraId="2518FA8C" w14:textId="77777777" w:rsidR="006D624F" w:rsidRPr="00334367" w:rsidRDefault="006D624F" w:rsidP="00B81A31">
                              <w:pPr>
                                <w:jc w:val="center"/>
                                <w:rPr>
                                  <w:rFonts w:cs="Times New Roman"/>
                                  <w:b/>
                                </w:rPr>
                              </w:pPr>
                              <w:r w:rsidRPr="00334367">
                                <w:rPr>
                                  <w:rFonts w:cs="Times New Roman"/>
                                  <w:b/>
                                  <w:sz w:val="22"/>
                                </w:rPr>
                                <w:t>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a:spLocks noChangeArrowheads="1"/>
                        </wps:cNvSpPr>
                        <wps:spPr bwMode="auto">
                          <a:xfrm>
                            <a:off x="609600" y="57150"/>
                            <a:ext cx="2038350" cy="371475"/>
                          </a:xfrm>
                          <a:prstGeom prst="rect">
                            <a:avLst/>
                          </a:prstGeom>
                          <a:solidFill>
                            <a:srgbClr val="FFFFFF"/>
                          </a:solidFill>
                          <a:ln w="9525">
                            <a:solidFill>
                              <a:srgbClr val="000000"/>
                            </a:solidFill>
                            <a:miter lim="800000"/>
                            <a:headEnd/>
                            <a:tailEnd/>
                          </a:ln>
                        </wps:spPr>
                        <wps:txbx>
                          <w:txbxContent>
                            <w:p w14:paraId="0EA5A5EA" w14:textId="77777777" w:rsidR="006D624F" w:rsidRDefault="006D624F" w:rsidP="00B81A31">
                              <w:pPr>
                                <w:jc w:val="center"/>
                                <w:rPr>
                                  <w:rFonts w:cs="Times New Roman"/>
                                  <w:sz w:val="22"/>
                                </w:rPr>
                              </w:pPr>
                              <w:r>
                                <w:rPr>
                                  <w:rFonts w:cs="Times New Roman"/>
                                  <w:sz w:val="22"/>
                                </w:rPr>
                                <w:t>Records from CoDa (</w:t>
                              </w:r>
                              <w:r w:rsidRPr="00A64D95">
                                <w:rPr>
                                  <w:rFonts w:cs="Times New Roman"/>
                                  <w:i/>
                                  <w:sz w:val="22"/>
                                </w:rPr>
                                <w:t>k</w:t>
                              </w:r>
                              <w:r>
                                <w:rPr>
                                  <w:rFonts w:cs="Times New Roman"/>
                                  <w:sz w:val="22"/>
                                </w:rPr>
                                <w:t xml:space="preserve"> = 3,026)</w:t>
                              </w:r>
                            </w:p>
                          </w:txbxContent>
                        </wps:txbx>
                        <wps:bodyPr rot="0" vert="horz" wrap="square" lIns="91440" tIns="91440" rIns="91440" bIns="91440" anchor="t" anchorCtr="0" upright="1">
                          <a:noAutofit/>
                        </wps:bodyPr>
                      </wps:wsp>
                      <wps:wsp>
                        <wps:cNvPr id="6" name="Straight Arrow Connector 6"/>
                        <wps:cNvCnPr/>
                        <wps:spPr>
                          <a:xfrm>
                            <a:off x="1628775" y="438150"/>
                            <a:ext cx="0" cy="323850"/>
                          </a:xfrm>
                          <a:prstGeom prst="straightConnector1">
                            <a:avLst/>
                          </a:prstGeom>
                          <a:noFill/>
                          <a:ln w="6350" cap="flat" cmpd="sng" algn="ctr">
                            <a:solidFill>
                              <a:sysClr val="windowText" lastClr="000000"/>
                            </a:solidFill>
                            <a:prstDash val="solid"/>
                            <a:miter lim="800000"/>
                            <a:tailEnd type="triangle"/>
                          </a:ln>
                          <a:effectLst/>
                        </wps:spPr>
                        <wps:bodyPr/>
                      </wps:wsp>
                      <wps:wsp>
                        <wps:cNvPr id="7" name="Rectangle 7"/>
                        <wps:cNvSpPr>
                          <a:spLocks noChangeArrowheads="1"/>
                        </wps:cNvSpPr>
                        <wps:spPr bwMode="auto">
                          <a:xfrm>
                            <a:off x="381000" y="771526"/>
                            <a:ext cx="2628395" cy="371475"/>
                          </a:xfrm>
                          <a:prstGeom prst="rect">
                            <a:avLst/>
                          </a:prstGeom>
                          <a:solidFill>
                            <a:srgbClr val="FFFFFF"/>
                          </a:solidFill>
                          <a:ln w="9525">
                            <a:solidFill>
                              <a:srgbClr val="000000"/>
                            </a:solidFill>
                            <a:miter lim="800000"/>
                            <a:headEnd/>
                            <a:tailEnd/>
                          </a:ln>
                        </wps:spPr>
                        <wps:txbx>
                          <w:txbxContent>
                            <w:p w14:paraId="7B7944CC" w14:textId="70EB18AA" w:rsidR="006D624F" w:rsidRDefault="006D624F" w:rsidP="00B81A31">
                              <w:pPr>
                                <w:jc w:val="center"/>
                                <w:rPr>
                                  <w:rFonts w:cs="Times New Roman"/>
                                  <w:sz w:val="22"/>
                                </w:rPr>
                              </w:pPr>
                              <w:r>
                                <w:rPr>
                                  <w:rFonts w:cs="Times New Roman"/>
                                  <w:sz w:val="22"/>
                                </w:rPr>
                                <w:t xml:space="preserve">Records after data </w:t>
                              </w:r>
                              <w:r w:rsidRPr="00AA33E7">
                                <w:rPr>
                                  <w:rFonts w:cs="Times New Roman"/>
                                  <w:sz w:val="22"/>
                                </w:rPr>
                                <w:t>wrangling</w:t>
                              </w:r>
                              <w:r w:rsidRPr="00AA33E7" w:rsidDel="00AA33E7">
                                <w:rPr>
                                  <w:rFonts w:cs="Times New Roman"/>
                                  <w:sz w:val="22"/>
                                </w:rPr>
                                <w:t xml:space="preserve"> </w:t>
                              </w:r>
                              <w:r>
                                <w:rPr>
                                  <w:rFonts w:cs="Times New Roman"/>
                                  <w:sz w:val="22"/>
                                </w:rPr>
                                <w:t>(</w:t>
                              </w:r>
                              <w:r w:rsidRPr="00A64D95">
                                <w:rPr>
                                  <w:rFonts w:cs="Times New Roman"/>
                                  <w:i/>
                                  <w:sz w:val="22"/>
                                </w:rPr>
                                <w:t>k</w:t>
                              </w:r>
                              <w:r>
                                <w:rPr>
                                  <w:rFonts w:cs="Times New Roman"/>
                                  <w:sz w:val="22"/>
                                </w:rPr>
                                <w:t xml:space="preserve"> = </w:t>
                              </w:r>
                              <w:r w:rsidR="002972E0">
                                <w:rPr>
                                  <w:rFonts w:cs="Times New Roman"/>
                                  <w:sz w:val="22"/>
                                </w:rPr>
                                <w:t>3</w:t>
                              </w:r>
                              <w:r>
                                <w:rPr>
                                  <w:rFonts w:cs="Times New Roman"/>
                                  <w:sz w:val="22"/>
                                </w:rPr>
                                <w:t>,</w:t>
                              </w:r>
                              <w:r w:rsidR="002972E0">
                                <w:rPr>
                                  <w:rFonts w:cs="Times New Roman"/>
                                  <w:sz w:val="22"/>
                                </w:rPr>
                                <w:t>978</w:t>
                              </w:r>
                              <w:r>
                                <w:rPr>
                                  <w:rFonts w:cs="Times New Roman"/>
                                  <w:sz w:val="22"/>
                                </w:rPr>
                                <w:t>)</w:t>
                              </w:r>
                            </w:p>
                          </w:txbxContent>
                        </wps:txbx>
                        <wps:bodyPr rot="0" vert="horz" wrap="square" lIns="91440" tIns="91440" rIns="91440" bIns="91440" anchor="t" anchorCtr="0" upright="1">
                          <a:noAutofit/>
                        </wps:bodyPr>
                      </wps:wsp>
                      <wps:wsp>
                        <wps:cNvPr id="10" name="Rounded Rectangle 11"/>
                        <wps:cNvSpPr/>
                        <wps:spPr>
                          <a:xfrm rot="16200000">
                            <a:off x="-876300" y="2333625"/>
                            <a:ext cx="2066925" cy="314325"/>
                          </a:xfrm>
                          <a:prstGeom prst="roundRect">
                            <a:avLst/>
                          </a:prstGeom>
                          <a:noFill/>
                          <a:ln w="12700" cap="flat" cmpd="sng" algn="ctr">
                            <a:solidFill>
                              <a:sysClr val="windowText" lastClr="000000"/>
                            </a:solidFill>
                            <a:prstDash val="solid"/>
                            <a:miter lim="800000"/>
                          </a:ln>
                          <a:effectLst/>
                        </wps:spPr>
                        <wps:txbx>
                          <w:txbxContent>
                            <w:p w14:paraId="26EC3DD9" w14:textId="77777777" w:rsidR="006D624F" w:rsidRPr="00334367" w:rsidRDefault="006D624F" w:rsidP="00B81A31">
                              <w:pPr>
                                <w:jc w:val="center"/>
                                <w:rPr>
                                  <w:rFonts w:cs="Times New Roman"/>
                                  <w:b/>
                                  <w:sz w:val="22"/>
                                </w:rPr>
                              </w:pPr>
                              <w:r w:rsidRPr="00334367">
                                <w:rPr>
                                  <w:rFonts w:cs="Times New Roman"/>
                                  <w:b/>
                                  <w:sz w:val="22"/>
                                </w:rPr>
                                <w:t>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6"/>
                        <wps:cNvSpPr/>
                        <wps:spPr>
                          <a:xfrm rot="16200000">
                            <a:off x="-400050" y="4305300"/>
                            <a:ext cx="1133475" cy="314325"/>
                          </a:xfrm>
                          <a:prstGeom prst="roundRect">
                            <a:avLst/>
                          </a:prstGeom>
                          <a:noFill/>
                          <a:ln w="12700" cap="flat" cmpd="sng" algn="ctr">
                            <a:solidFill>
                              <a:sysClr val="windowText" lastClr="000000"/>
                            </a:solidFill>
                            <a:prstDash val="solid"/>
                            <a:miter lim="800000"/>
                          </a:ln>
                          <a:effectLst/>
                        </wps:spPr>
                        <wps:txbx>
                          <w:txbxContent>
                            <w:p w14:paraId="2C88E34E" w14:textId="77777777" w:rsidR="006D624F" w:rsidRPr="00334367" w:rsidRDefault="006D624F" w:rsidP="00B81A31">
                              <w:pPr>
                                <w:jc w:val="center"/>
                                <w:rPr>
                                  <w:rFonts w:cs="Times New Roman"/>
                                  <w:b/>
                                  <w:sz w:val="22"/>
                                </w:rPr>
                              </w:pPr>
                              <w:r w:rsidRPr="00334367">
                                <w:rPr>
                                  <w:rFonts w:cs="Times New Roman"/>
                                  <w:b/>
                                  <w:sz w:val="22"/>
                                </w:rPr>
                                <w:t>Inclusion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a:spLocks noChangeArrowheads="1"/>
                        </wps:cNvSpPr>
                        <wps:spPr bwMode="auto">
                          <a:xfrm>
                            <a:off x="666750" y="2333625"/>
                            <a:ext cx="1943100" cy="676275"/>
                          </a:xfrm>
                          <a:prstGeom prst="rect">
                            <a:avLst/>
                          </a:prstGeom>
                          <a:solidFill>
                            <a:srgbClr val="FFFFFF"/>
                          </a:solidFill>
                          <a:ln w="9525">
                            <a:solidFill>
                              <a:srgbClr val="000000"/>
                            </a:solidFill>
                            <a:miter lim="800000"/>
                            <a:headEnd/>
                            <a:tailEnd/>
                          </a:ln>
                        </wps:spPr>
                        <wps:txbx>
                          <w:txbxContent>
                            <w:p w14:paraId="7757DD62" w14:textId="77777777" w:rsidR="006D624F" w:rsidRDefault="006D624F" w:rsidP="00B81A31">
                              <w:pPr>
                                <w:jc w:val="center"/>
                                <w:rPr>
                                  <w:rFonts w:cs="Times New Roman"/>
                                  <w:sz w:val="22"/>
                                </w:rPr>
                              </w:pPr>
                              <w:r>
                                <w:rPr>
                                  <w:rFonts w:cs="Times New Roman"/>
                                  <w:sz w:val="22"/>
                                </w:rPr>
                                <w:t>Records assessed for eligibility</w:t>
                              </w:r>
                            </w:p>
                            <w:p w14:paraId="00D4FF1A" w14:textId="1792FCA6" w:rsidR="006D624F" w:rsidRDefault="006D624F" w:rsidP="00B81A31">
                              <w:pPr>
                                <w:jc w:val="center"/>
                                <w:rPr>
                                  <w:rFonts w:cs="Times New Roman"/>
                                  <w:sz w:val="22"/>
                                </w:rPr>
                              </w:pPr>
                              <w:r>
                                <w:rPr>
                                  <w:rFonts w:cs="Times New Roman"/>
                                  <w:sz w:val="22"/>
                                </w:rPr>
                                <w:t>(</w:t>
                              </w:r>
                              <w:r w:rsidRPr="00A64D95">
                                <w:rPr>
                                  <w:rFonts w:cs="Times New Roman"/>
                                  <w:i/>
                                  <w:iCs/>
                                  <w:sz w:val="22"/>
                                </w:rPr>
                                <w:t>k</w:t>
                              </w:r>
                              <w:r>
                                <w:rPr>
                                  <w:rFonts w:cs="Times New Roman"/>
                                  <w:sz w:val="22"/>
                                </w:rPr>
                                <w:t xml:space="preserve"> = </w:t>
                              </w:r>
                              <w:r w:rsidR="0086424B">
                                <w:rPr>
                                  <w:rFonts w:cs="Times New Roman"/>
                                  <w:sz w:val="22"/>
                                </w:rPr>
                                <w:t>3</w:t>
                              </w:r>
                              <w:r>
                                <w:rPr>
                                  <w:rFonts w:cs="Times New Roman"/>
                                  <w:sz w:val="22"/>
                                </w:rPr>
                                <w:t>,</w:t>
                              </w:r>
                              <w:r w:rsidR="0086424B">
                                <w:rPr>
                                  <w:rFonts w:cs="Times New Roman"/>
                                  <w:sz w:val="22"/>
                                </w:rPr>
                                <w:t>978</w:t>
                              </w:r>
                              <w:r>
                                <w:rPr>
                                  <w:rFonts w:cs="Times New Roman"/>
                                  <w:sz w:val="22"/>
                                </w:rPr>
                                <w:t>)</w:t>
                              </w:r>
                            </w:p>
                          </w:txbxContent>
                        </wps:txbx>
                        <wps:bodyPr rot="0" vert="horz" wrap="square" lIns="91440" tIns="91440" rIns="91440" bIns="91440" anchor="t" anchorCtr="0" upright="1">
                          <a:noAutofit/>
                        </wps:bodyPr>
                      </wps:wsp>
                      <wps:wsp>
                        <wps:cNvPr id="13" name="Straight Arrow Connector 13"/>
                        <wps:cNvCnPr/>
                        <wps:spPr>
                          <a:xfrm>
                            <a:off x="1638300" y="1162050"/>
                            <a:ext cx="0" cy="1165860"/>
                          </a:xfrm>
                          <a:prstGeom prst="straightConnector1">
                            <a:avLst/>
                          </a:prstGeom>
                          <a:noFill/>
                          <a:ln w="6350" cap="flat" cmpd="sng" algn="ctr">
                            <a:solidFill>
                              <a:sysClr val="windowText" lastClr="000000"/>
                            </a:solidFill>
                            <a:prstDash val="solid"/>
                            <a:miter lim="800000"/>
                            <a:tailEnd type="triangle"/>
                          </a:ln>
                          <a:effectLst/>
                        </wps:spPr>
                        <wps:bodyPr/>
                      </wps:wsp>
                      <wps:wsp>
                        <wps:cNvPr id="14" name="Straight Arrow Connector 14"/>
                        <wps:cNvCnPr/>
                        <wps:spPr>
                          <a:xfrm>
                            <a:off x="1647825" y="3019425"/>
                            <a:ext cx="0" cy="1165860"/>
                          </a:xfrm>
                          <a:prstGeom prst="straightConnector1">
                            <a:avLst/>
                          </a:prstGeom>
                          <a:noFill/>
                          <a:ln w="6350" cap="flat" cmpd="sng" algn="ctr">
                            <a:solidFill>
                              <a:sysClr val="windowText" lastClr="000000"/>
                            </a:solidFill>
                            <a:prstDash val="solid"/>
                            <a:miter lim="800000"/>
                            <a:tailEnd type="triangle"/>
                          </a:ln>
                          <a:effectLst/>
                        </wps:spPr>
                        <wps:bodyPr/>
                      </wps:wsp>
                      <wps:wsp>
                        <wps:cNvPr id="15" name="Rectangle 15"/>
                        <wps:cNvSpPr>
                          <a:spLocks noChangeArrowheads="1"/>
                        </wps:cNvSpPr>
                        <wps:spPr bwMode="auto">
                          <a:xfrm>
                            <a:off x="438150" y="4191000"/>
                            <a:ext cx="2423160" cy="676275"/>
                          </a:xfrm>
                          <a:prstGeom prst="rect">
                            <a:avLst/>
                          </a:prstGeom>
                          <a:solidFill>
                            <a:srgbClr val="FFFFFF"/>
                          </a:solidFill>
                          <a:ln w="9525">
                            <a:solidFill>
                              <a:srgbClr val="000000"/>
                            </a:solidFill>
                            <a:miter lim="800000"/>
                            <a:headEnd/>
                            <a:tailEnd/>
                          </a:ln>
                        </wps:spPr>
                        <wps:txbx>
                          <w:txbxContent>
                            <w:p w14:paraId="0F8B9B4F" w14:textId="77777777" w:rsidR="006D624F" w:rsidRPr="00334367" w:rsidRDefault="006D624F" w:rsidP="00B81A31">
                              <w:pPr>
                                <w:jc w:val="center"/>
                                <w:rPr>
                                  <w:rFonts w:cs="Times New Roman"/>
                                  <w:sz w:val="22"/>
                                </w:rPr>
                              </w:pPr>
                              <w:r w:rsidRPr="00334367">
                                <w:rPr>
                                  <w:rFonts w:cs="Times New Roman"/>
                                  <w:sz w:val="22"/>
                                </w:rPr>
                                <w:t>Records included in meta-analysis</w:t>
                              </w:r>
                            </w:p>
                            <w:p w14:paraId="79D1CE0A" w14:textId="3B49BE76" w:rsidR="006D624F" w:rsidRPr="00334367" w:rsidRDefault="006D624F" w:rsidP="00B81A31">
                              <w:pPr>
                                <w:jc w:val="center"/>
                                <w:rPr>
                                  <w:rFonts w:cs="Times New Roman"/>
                                  <w:sz w:val="22"/>
                                </w:rPr>
                              </w:pPr>
                              <w:r w:rsidRPr="00334367">
                                <w:rPr>
                                  <w:rFonts w:cs="Times New Roman"/>
                                  <w:sz w:val="22"/>
                                </w:rPr>
                                <w:t>(</w:t>
                              </w:r>
                              <w:r w:rsidRPr="00A64D95">
                                <w:rPr>
                                  <w:rFonts w:cs="Times New Roman"/>
                                  <w:i/>
                                  <w:iCs/>
                                  <w:sz w:val="22"/>
                                </w:rPr>
                                <w:t>k</w:t>
                              </w:r>
                              <w:r w:rsidRPr="00334367">
                                <w:rPr>
                                  <w:rFonts w:cs="Times New Roman"/>
                                  <w:sz w:val="22"/>
                                </w:rPr>
                                <w:t xml:space="preserve"> = 2</w:t>
                              </w:r>
                              <w:r>
                                <w:rPr>
                                  <w:rFonts w:cs="Times New Roman"/>
                                  <w:sz w:val="22"/>
                                </w:rPr>
                                <w:t>,</w:t>
                              </w:r>
                              <w:r w:rsidR="00AB6990">
                                <w:rPr>
                                  <w:rFonts w:cs="Times New Roman"/>
                                  <w:sz w:val="22"/>
                                </w:rPr>
                                <w:t>340</w:t>
                              </w:r>
                              <w:r w:rsidRPr="00334367">
                                <w:rPr>
                                  <w:rFonts w:cs="Times New Roman"/>
                                  <w:sz w:val="22"/>
                                </w:rPr>
                                <w:t>)</w:t>
                              </w:r>
                            </w:p>
                            <w:p w14:paraId="00DA5A3E" w14:textId="77777777" w:rsidR="006D624F" w:rsidRDefault="006D624F" w:rsidP="00B81A31">
                              <w:pPr>
                                <w:jc w:val="center"/>
                                <w:rPr>
                                  <w:rFonts w:cs="Times New Roman"/>
                                </w:rPr>
                              </w:pPr>
                            </w:p>
                          </w:txbxContent>
                        </wps:txbx>
                        <wps:bodyPr rot="0" vert="horz" wrap="square" lIns="91440" tIns="91440" rIns="91440" bIns="91440" anchor="t" anchorCtr="0" upright="1">
                          <a:noAutofit/>
                        </wps:bodyPr>
                      </wps:wsp>
                      <wps:wsp>
                        <wps:cNvPr id="16" name="Straight Arrow Connector 16"/>
                        <wps:cNvCnPr/>
                        <wps:spPr>
                          <a:xfrm>
                            <a:off x="2609850" y="2705100"/>
                            <a:ext cx="485775" cy="0"/>
                          </a:xfrm>
                          <a:prstGeom prst="straightConnector1">
                            <a:avLst/>
                          </a:prstGeom>
                          <a:noFill/>
                          <a:ln w="6350" cap="flat" cmpd="sng" algn="ctr">
                            <a:solidFill>
                              <a:sysClr val="windowText" lastClr="000000"/>
                            </a:solidFill>
                            <a:prstDash val="solid"/>
                            <a:miter lim="800000"/>
                            <a:tailEnd type="triangle"/>
                          </a:ln>
                          <a:effectLst/>
                        </wps:spPr>
                        <wps:bodyPr/>
                      </wps:wsp>
                      <wps:wsp>
                        <wps:cNvPr id="17" name="Rectangle 17"/>
                        <wps:cNvSpPr>
                          <a:spLocks noChangeArrowheads="1"/>
                        </wps:cNvSpPr>
                        <wps:spPr bwMode="auto">
                          <a:xfrm>
                            <a:off x="3095120" y="1133476"/>
                            <a:ext cx="2629405" cy="2937549"/>
                          </a:xfrm>
                          <a:prstGeom prst="rect">
                            <a:avLst/>
                          </a:prstGeom>
                          <a:solidFill>
                            <a:srgbClr val="FFFFFF"/>
                          </a:solidFill>
                          <a:ln w="9525">
                            <a:solidFill>
                              <a:srgbClr val="000000"/>
                            </a:solidFill>
                            <a:miter lim="800000"/>
                            <a:headEnd/>
                            <a:tailEnd/>
                          </a:ln>
                        </wps:spPr>
                        <wps:txbx>
                          <w:txbxContent>
                            <w:p w14:paraId="39F754D0" w14:textId="77777777" w:rsidR="006D624F" w:rsidRPr="00A64D95" w:rsidRDefault="006D624F" w:rsidP="00B81A31">
                              <w:pPr>
                                <w:rPr>
                                  <w:rFonts w:cs="Times New Roman"/>
                                  <w:b/>
                                  <w:bCs/>
                                  <w:sz w:val="22"/>
                                </w:rPr>
                              </w:pPr>
                              <w:r w:rsidRPr="00A64D95">
                                <w:rPr>
                                  <w:rFonts w:cs="Times New Roman"/>
                                  <w:b/>
                                  <w:bCs/>
                                  <w:sz w:val="22"/>
                                </w:rPr>
                                <w:t>Records excluded due to:</w:t>
                              </w:r>
                            </w:p>
                            <w:p w14:paraId="607D9085" w14:textId="6AB8C9AE" w:rsidR="006D624F" w:rsidRPr="00334367" w:rsidRDefault="006D624F" w:rsidP="00B81A31">
                              <w:pPr>
                                <w:widowControl w:val="0"/>
                                <w:spacing w:line="240" w:lineRule="auto"/>
                                <w:rPr>
                                  <w:rFonts w:cs="Times New Roman"/>
                                  <w:sz w:val="22"/>
                                </w:rPr>
                              </w:pPr>
                              <w:r w:rsidRPr="00334367">
                                <w:rPr>
                                  <w:rFonts w:cs="Times New Roman"/>
                                  <w:sz w:val="22"/>
                                </w:rPr>
                                <w:t xml:space="preserve">Not </w:t>
                              </w:r>
                              <w:r w:rsidRPr="002972E0">
                                <w:rPr>
                                  <w:rFonts w:cs="Times New Roman"/>
                                  <w:sz w:val="22"/>
                                </w:rPr>
                                <w:t>PD</w:t>
                              </w:r>
                              <w:r w:rsidR="00AB6990" w:rsidRPr="002972E0">
                                <w:rPr>
                                  <w:rFonts w:cs="Times New Roman"/>
                                  <w:sz w:val="22"/>
                                </w:rPr>
                                <w:t xml:space="preserve"> or</w:t>
                              </w:r>
                              <w:r w:rsidRPr="002972E0">
                                <w:rPr>
                                  <w:rFonts w:cs="Times New Roman"/>
                                  <w:sz w:val="22"/>
                                </w:rPr>
                                <w:t xml:space="preserve"> PGD (</w:t>
                              </w:r>
                              <w:r w:rsidRPr="002972E0">
                                <w:rPr>
                                  <w:rFonts w:cs="Times New Roman"/>
                                  <w:i/>
                                  <w:iCs/>
                                  <w:sz w:val="22"/>
                                </w:rPr>
                                <w:t>k</w:t>
                              </w:r>
                              <w:r w:rsidRPr="002972E0">
                                <w:rPr>
                                  <w:rFonts w:cs="Times New Roman"/>
                                  <w:sz w:val="22"/>
                                </w:rPr>
                                <w:t xml:space="preserve"> = </w:t>
                              </w:r>
                              <w:r w:rsidR="00AB6990" w:rsidRPr="002972E0">
                                <w:rPr>
                                  <w:rFonts w:cs="Times New Roman"/>
                                  <w:sz w:val="22"/>
                                </w:rPr>
                                <w:t>5</w:t>
                              </w:r>
                              <w:r w:rsidR="002972E0" w:rsidRPr="002972E0">
                                <w:rPr>
                                  <w:rFonts w:cs="Times New Roman"/>
                                  <w:sz w:val="22"/>
                                </w:rPr>
                                <w:t>91</w:t>
                              </w:r>
                              <w:r w:rsidRPr="002972E0">
                                <w:rPr>
                                  <w:rFonts w:cs="Times New Roman"/>
                                  <w:sz w:val="22"/>
                                </w:rPr>
                                <w:t>)</w:t>
                              </w:r>
                            </w:p>
                            <w:p w14:paraId="4C1E19CE" w14:textId="77777777" w:rsidR="006D624F" w:rsidRDefault="006D624F" w:rsidP="00B81A31">
                              <w:pPr>
                                <w:widowControl w:val="0"/>
                                <w:spacing w:line="240" w:lineRule="auto"/>
                                <w:rPr>
                                  <w:rFonts w:cs="Times New Roman"/>
                                  <w:sz w:val="22"/>
                                </w:rPr>
                              </w:pPr>
                            </w:p>
                            <w:p w14:paraId="39D0C55C" w14:textId="59B28AC5" w:rsidR="006D624F" w:rsidRPr="00334367" w:rsidRDefault="006D624F" w:rsidP="00B81A31">
                              <w:pPr>
                                <w:widowControl w:val="0"/>
                                <w:spacing w:line="240" w:lineRule="auto"/>
                                <w:rPr>
                                  <w:rFonts w:cs="Times New Roman"/>
                                  <w:sz w:val="22"/>
                                </w:rPr>
                              </w:pPr>
                              <w:r w:rsidRPr="00334367">
                                <w:rPr>
                                  <w:rFonts w:cs="Times New Roman"/>
                                  <w:sz w:val="22"/>
                                </w:rPr>
                                <w:t>Interactions</w:t>
                              </w:r>
                              <w:r>
                                <w:rPr>
                                  <w:rFonts w:cs="Times New Roman"/>
                                  <w:sz w:val="22"/>
                                </w:rPr>
                                <w:t xml:space="preserve"> </w:t>
                              </w:r>
                              <w:r w:rsidRPr="00334367">
                                <w:rPr>
                                  <w:rFonts w:cs="Times New Roman"/>
                                  <w:sz w:val="22"/>
                                </w:rPr>
                                <w:t xml:space="preserve">not </w:t>
                              </w:r>
                              <w:r>
                                <w:rPr>
                                  <w:rFonts w:cs="Times New Roman"/>
                                  <w:sz w:val="22"/>
                                </w:rPr>
                                <w:t>with</w:t>
                              </w:r>
                              <w:r w:rsidRPr="00334367">
                                <w:rPr>
                                  <w:rFonts w:cs="Times New Roman"/>
                                  <w:sz w:val="22"/>
                                </w:rPr>
                                <w:t xml:space="preserve"> strangers</w:t>
                              </w:r>
                              <w:r>
                                <w:rPr>
                                  <w:rFonts w:cs="Times New Roman"/>
                                  <w:sz w:val="22"/>
                                </w:rPr>
                                <w:t xml:space="preserve"> </w:t>
                              </w:r>
                              <w:r w:rsidRPr="00334367">
                                <w:rPr>
                                  <w:rFonts w:cs="Times New Roman"/>
                                  <w:sz w:val="22"/>
                                </w:rPr>
                                <w:t>(</w:t>
                              </w:r>
                              <w:r w:rsidRPr="00A64D95">
                                <w:rPr>
                                  <w:rFonts w:cs="Times New Roman"/>
                                  <w:i/>
                                  <w:iCs/>
                                  <w:sz w:val="22"/>
                                </w:rPr>
                                <w:t>k</w:t>
                              </w:r>
                              <w:r w:rsidRPr="00334367">
                                <w:rPr>
                                  <w:rFonts w:cs="Times New Roman"/>
                                  <w:sz w:val="22"/>
                                </w:rPr>
                                <w:t xml:space="preserve"> = </w:t>
                              </w:r>
                              <w:r w:rsidR="002972E0">
                                <w:rPr>
                                  <w:rFonts w:cs="Times New Roman"/>
                                  <w:sz w:val="22"/>
                                </w:rPr>
                                <w:t>188</w:t>
                              </w:r>
                              <w:r w:rsidRPr="00334367">
                                <w:rPr>
                                  <w:rFonts w:cs="Times New Roman"/>
                                  <w:sz w:val="22"/>
                                </w:rPr>
                                <w:t>)</w:t>
                              </w:r>
                            </w:p>
                            <w:p w14:paraId="193025E1" w14:textId="77777777" w:rsidR="006D624F" w:rsidRDefault="006D624F" w:rsidP="00B81A31">
                              <w:pPr>
                                <w:widowControl w:val="0"/>
                                <w:spacing w:line="240" w:lineRule="auto"/>
                                <w:rPr>
                                  <w:rFonts w:cs="Times New Roman"/>
                                  <w:sz w:val="22"/>
                                </w:rPr>
                              </w:pPr>
                            </w:p>
                            <w:p w14:paraId="6729D8D7" w14:textId="77777777" w:rsidR="006D624F" w:rsidRPr="00334367" w:rsidRDefault="006D624F" w:rsidP="00B81A31">
                              <w:pPr>
                                <w:widowControl w:val="0"/>
                                <w:spacing w:line="240" w:lineRule="auto"/>
                                <w:rPr>
                                  <w:rFonts w:cs="Times New Roman"/>
                                  <w:sz w:val="22"/>
                                </w:rPr>
                              </w:pPr>
                              <w:r w:rsidRPr="00334367">
                                <w:rPr>
                                  <w:rFonts w:cs="Times New Roman"/>
                                  <w:sz w:val="22"/>
                                </w:rPr>
                                <w:t xml:space="preserve">Mean age </w:t>
                              </w:r>
                              <w:r>
                                <w:rPr>
                                  <w:rFonts w:cs="Times New Roman"/>
                                  <w:sz w:val="22"/>
                                </w:rPr>
                                <w:t>lower</w:t>
                              </w:r>
                              <w:r w:rsidRPr="00334367">
                                <w:rPr>
                                  <w:rFonts w:cs="Times New Roman"/>
                                  <w:sz w:val="22"/>
                                </w:rPr>
                                <w:t xml:space="preserve"> than 18</w:t>
                              </w:r>
                              <w:r>
                                <w:rPr>
                                  <w:rFonts w:cs="Times New Roman"/>
                                  <w:sz w:val="22"/>
                                </w:rPr>
                                <w:t xml:space="preserve"> </w:t>
                              </w:r>
                              <w:r w:rsidRPr="00334367">
                                <w:rPr>
                                  <w:rFonts w:cs="Times New Roman"/>
                                  <w:sz w:val="22"/>
                                </w:rPr>
                                <w:t>(</w:t>
                              </w:r>
                              <w:r w:rsidRPr="00A64D95">
                                <w:rPr>
                                  <w:rFonts w:cs="Times New Roman"/>
                                  <w:i/>
                                  <w:iCs/>
                                  <w:sz w:val="22"/>
                                </w:rPr>
                                <w:t>k</w:t>
                              </w:r>
                              <w:r w:rsidRPr="00334367">
                                <w:rPr>
                                  <w:rFonts w:cs="Times New Roman"/>
                                  <w:sz w:val="22"/>
                                </w:rPr>
                                <w:t xml:space="preserve"> = 28)</w:t>
                              </w:r>
                            </w:p>
                            <w:p w14:paraId="4B70A179" w14:textId="77777777" w:rsidR="006D624F" w:rsidRDefault="006D624F" w:rsidP="00B81A31">
                              <w:pPr>
                                <w:widowControl w:val="0"/>
                                <w:spacing w:line="240" w:lineRule="auto"/>
                                <w:rPr>
                                  <w:rFonts w:cs="Times New Roman"/>
                                  <w:sz w:val="22"/>
                                </w:rPr>
                              </w:pPr>
                            </w:p>
                            <w:p w14:paraId="069DFEB3" w14:textId="4405D585" w:rsidR="002972E0" w:rsidRPr="00334367" w:rsidRDefault="002972E0" w:rsidP="002972E0">
                              <w:pPr>
                                <w:widowControl w:val="0"/>
                                <w:spacing w:line="240" w:lineRule="auto"/>
                                <w:rPr>
                                  <w:rFonts w:cs="Times New Roman"/>
                                  <w:sz w:val="22"/>
                                </w:rPr>
                              </w:pPr>
                              <w:r>
                                <w:rPr>
                                  <w:rFonts w:cs="Times New Roman"/>
                                  <w:sz w:val="22"/>
                                </w:rPr>
                                <w:t>Cooperation t</w:t>
                              </w:r>
                              <w:r w:rsidRPr="00334367">
                                <w:rPr>
                                  <w:rFonts w:cs="Times New Roman"/>
                                  <w:sz w:val="22"/>
                                </w:rPr>
                                <w:t xml:space="preserve">rial </w:t>
                              </w:r>
                              <w:r>
                                <w:rPr>
                                  <w:rFonts w:cs="Times New Roman"/>
                                  <w:sz w:val="22"/>
                                </w:rPr>
                                <w:t xml:space="preserve">unavailable </w:t>
                              </w:r>
                              <w:r w:rsidRPr="00334367">
                                <w:rPr>
                                  <w:rFonts w:cs="Times New Roman"/>
                                  <w:sz w:val="22"/>
                                </w:rPr>
                                <w:t>(</w:t>
                              </w:r>
                              <w:r w:rsidRPr="00A64D95">
                                <w:rPr>
                                  <w:rFonts w:cs="Times New Roman"/>
                                  <w:i/>
                                  <w:iCs/>
                                  <w:sz w:val="22"/>
                                </w:rPr>
                                <w:t>k</w:t>
                              </w:r>
                              <w:r w:rsidRPr="00334367">
                                <w:rPr>
                                  <w:rFonts w:cs="Times New Roman"/>
                                  <w:sz w:val="22"/>
                                </w:rPr>
                                <w:t xml:space="preserve"> = </w:t>
                              </w:r>
                              <w:r>
                                <w:rPr>
                                  <w:rFonts w:cs="Times New Roman"/>
                                  <w:sz w:val="22"/>
                                </w:rPr>
                                <w:t>378</w:t>
                              </w:r>
                              <w:r w:rsidRPr="00334367">
                                <w:rPr>
                                  <w:rFonts w:cs="Times New Roman"/>
                                  <w:sz w:val="22"/>
                                </w:rPr>
                                <w:t>)</w:t>
                              </w:r>
                            </w:p>
                            <w:p w14:paraId="7640D305" w14:textId="77777777" w:rsidR="002972E0" w:rsidRDefault="002972E0" w:rsidP="002972E0">
                              <w:pPr>
                                <w:widowControl w:val="0"/>
                                <w:spacing w:line="240" w:lineRule="auto"/>
                                <w:rPr>
                                  <w:rFonts w:cs="Times New Roman"/>
                                  <w:sz w:val="22"/>
                                </w:rPr>
                              </w:pPr>
                            </w:p>
                            <w:p w14:paraId="3AEF71FA" w14:textId="65089598" w:rsidR="006D624F" w:rsidRPr="00F133AA" w:rsidRDefault="006D624F" w:rsidP="00B81A31">
                              <w:pPr>
                                <w:widowControl w:val="0"/>
                                <w:spacing w:line="240" w:lineRule="auto"/>
                                <w:rPr>
                                  <w:rFonts w:cs="Times New Roman"/>
                                  <w:sz w:val="22"/>
                                </w:rPr>
                              </w:pPr>
                              <w:r w:rsidRPr="00334367">
                                <w:rPr>
                                  <w:rFonts w:cs="Times New Roman"/>
                                  <w:sz w:val="22"/>
                                </w:rPr>
                                <w:t>Unreliable cooperation rates</w:t>
                              </w:r>
                              <w:r>
                                <w:rPr>
                                  <w:rFonts w:cs="Times New Roman"/>
                                  <w:sz w:val="22"/>
                                </w:rPr>
                                <w:t xml:space="preserve"> </w:t>
                              </w:r>
                              <w:r w:rsidRPr="00334367">
                                <w:rPr>
                                  <w:rFonts w:cs="Times New Roman"/>
                                  <w:sz w:val="22"/>
                                </w:rPr>
                                <w:t>(</w:t>
                              </w:r>
                              <w:r w:rsidRPr="00A64D95">
                                <w:rPr>
                                  <w:rFonts w:cs="Times New Roman"/>
                                  <w:i/>
                                  <w:iCs/>
                                  <w:sz w:val="22"/>
                                </w:rPr>
                                <w:t>k</w:t>
                              </w:r>
                              <w:r w:rsidRPr="00334367">
                                <w:rPr>
                                  <w:rFonts w:cs="Times New Roman"/>
                                  <w:sz w:val="22"/>
                                </w:rPr>
                                <w:t xml:space="preserve"> = 44)</w:t>
                              </w:r>
                              <w:r>
                                <w:rPr>
                                  <w:rFonts w:cs="Times New Roman"/>
                                  <w:sz w:val="22"/>
                                </w:rPr>
                                <w:t>*</w:t>
                              </w:r>
                            </w:p>
                            <w:p w14:paraId="0EF4678E" w14:textId="77777777" w:rsidR="006D624F" w:rsidRPr="00334367" w:rsidRDefault="006D624F" w:rsidP="00B81A31">
                              <w:pPr>
                                <w:widowControl w:val="0"/>
                                <w:spacing w:line="240" w:lineRule="auto"/>
                                <w:rPr>
                                  <w:rFonts w:cs="Times New Roman"/>
                                  <w:sz w:val="22"/>
                                </w:rPr>
                              </w:pPr>
                            </w:p>
                            <w:p w14:paraId="5BC372AA" w14:textId="36240710" w:rsidR="006D624F" w:rsidRPr="006B359C" w:rsidRDefault="006D624F" w:rsidP="00B81A31">
                              <w:pPr>
                                <w:widowControl w:val="0"/>
                                <w:spacing w:line="240" w:lineRule="auto"/>
                                <w:rPr>
                                  <w:rFonts w:cs="Times New Roman"/>
                                  <w:sz w:val="22"/>
                                </w:rPr>
                              </w:pPr>
                              <w:r w:rsidRPr="00334367">
                                <w:rPr>
                                  <w:rFonts w:cs="Times New Roman"/>
                                  <w:sz w:val="22"/>
                                </w:rPr>
                                <w:t>Duplicates</w:t>
                              </w:r>
                              <w:r>
                                <w:rPr>
                                  <w:rFonts w:cs="Times New Roman"/>
                                  <w:sz w:val="22"/>
                                </w:rPr>
                                <w:t>:</w:t>
                              </w:r>
                              <w:r w:rsidRPr="00334367">
                                <w:rPr>
                                  <w:rFonts w:cs="Times New Roman"/>
                                  <w:sz w:val="22"/>
                                </w:rPr>
                                <w:t xml:space="preserve"> study and sub-study</w:t>
                              </w:r>
                              <w:r>
                                <w:rPr>
                                  <w:rFonts w:cs="Times New Roman"/>
                                  <w:sz w:val="22"/>
                                </w:rPr>
                                <w:t xml:space="preserve"> </w:t>
                              </w:r>
                              <w:r w:rsidRPr="00334367">
                                <w:rPr>
                                  <w:rFonts w:cs="Times New Roman"/>
                                  <w:sz w:val="22"/>
                                </w:rPr>
                                <w:t>(</w:t>
                              </w:r>
                              <w:r w:rsidRPr="00A64D95">
                                <w:rPr>
                                  <w:rFonts w:cs="Times New Roman"/>
                                  <w:i/>
                                  <w:iCs/>
                                  <w:sz w:val="22"/>
                                </w:rPr>
                                <w:t>k</w:t>
                              </w:r>
                              <w:r w:rsidRPr="00334367">
                                <w:rPr>
                                  <w:rFonts w:cs="Times New Roman"/>
                                  <w:sz w:val="22"/>
                                </w:rPr>
                                <w:t xml:space="preserve"> = 1</w:t>
                              </w:r>
                              <w:r w:rsidR="002972E0">
                                <w:rPr>
                                  <w:rFonts w:cs="Times New Roman"/>
                                  <w:sz w:val="22"/>
                                </w:rPr>
                                <w:t>36</w:t>
                              </w:r>
                              <w:r w:rsidRPr="00334367">
                                <w:rPr>
                                  <w:rFonts w:cs="Times New Roman"/>
                                  <w:sz w:val="22"/>
                                </w:rPr>
                                <w:t>)</w:t>
                              </w:r>
                              <w:r w:rsidRPr="006B359C">
                                <w:rPr>
                                  <w:rFonts w:cs="Times New Roman"/>
                                  <w:sz w:val="22"/>
                                </w:rPr>
                                <w:t>†</w:t>
                              </w:r>
                            </w:p>
                            <w:p w14:paraId="7412D160" w14:textId="77777777" w:rsidR="006D624F" w:rsidRDefault="006D624F" w:rsidP="00B81A31">
                              <w:pPr>
                                <w:widowControl w:val="0"/>
                                <w:spacing w:line="240" w:lineRule="auto"/>
                                <w:rPr>
                                  <w:rFonts w:cs="Times New Roman"/>
                                  <w:sz w:val="22"/>
                                </w:rPr>
                              </w:pPr>
                            </w:p>
                            <w:p w14:paraId="10F7461D" w14:textId="28FAA5D5" w:rsidR="006D624F" w:rsidRPr="006B359C" w:rsidRDefault="006D624F" w:rsidP="00B81A31">
                              <w:pPr>
                                <w:widowControl w:val="0"/>
                                <w:spacing w:line="240" w:lineRule="auto"/>
                                <w:rPr>
                                  <w:rFonts w:cs="Times New Roman"/>
                                  <w:sz w:val="22"/>
                                </w:rPr>
                              </w:pPr>
                              <w:r w:rsidRPr="00334367">
                                <w:rPr>
                                  <w:rFonts w:cs="Times New Roman"/>
                                  <w:sz w:val="22"/>
                                </w:rPr>
                                <w:t>Missing v</w:t>
                              </w:r>
                              <w:r>
                                <w:rPr>
                                  <w:rFonts w:cs="Times New Roman"/>
                                  <w:sz w:val="22"/>
                                </w:rPr>
                                <w:t xml:space="preserve">ariance estimate </w:t>
                              </w:r>
                              <w:r w:rsidRPr="00334367">
                                <w:rPr>
                                  <w:rFonts w:cs="Times New Roman"/>
                                  <w:sz w:val="22"/>
                                </w:rPr>
                                <w:t>(</w:t>
                              </w:r>
                              <w:r w:rsidRPr="00A64D95">
                                <w:rPr>
                                  <w:rFonts w:cs="Times New Roman"/>
                                  <w:i/>
                                  <w:iCs/>
                                  <w:sz w:val="22"/>
                                </w:rPr>
                                <w:t>k</w:t>
                              </w:r>
                              <w:r w:rsidRPr="00334367">
                                <w:rPr>
                                  <w:rFonts w:cs="Times New Roman"/>
                                  <w:sz w:val="22"/>
                                </w:rPr>
                                <w:t xml:space="preserve"> = 4)</w:t>
                              </w:r>
                              <w:r w:rsidRPr="006B359C">
                                <w:rPr>
                                  <w:rFonts w:cs="Times New Roman"/>
                                  <w:sz w:val="22"/>
                                </w:rPr>
                                <w:t>‡</w:t>
                              </w:r>
                            </w:p>
                            <w:p w14:paraId="79499249" w14:textId="77777777" w:rsidR="006D624F" w:rsidRDefault="006D624F" w:rsidP="00B81A31">
                              <w:pPr>
                                <w:widowControl w:val="0"/>
                                <w:spacing w:line="240" w:lineRule="auto"/>
                                <w:rPr>
                                  <w:rFonts w:cs="Times New Roman"/>
                                  <w:sz w:val="22"/>
                                </w:rPr>
                              </w:pPr>
                            </w:p>
                            <w:p w14:paraId="167DECDD" w14:textId="5A445B43" w:rsidR="006D624F" w:rsidRPr="00334367" w:rsidRDefault="006D624F" w:rsidP="00B81A31">
                              <w:pPr>
                                <w:widowControl w:val="0"/>
                                <w:spacing w:line="240" w:lineRule="auto"/>
                                <w:rPr>
                                  <w:rFonts w:cs="Times New Roman"/>
                                  <w:sz w:val="22"/>
                                </w:rPr>
                              </w:pPr>
                              <w:r w:rsidRPr="00334367">
                                <w:rPr>
                                  <w:rFonts w:cs="Times New Roman"/>
                                  <w:sz w:val="22"/>
                                </w:rPr>
                                <w:t>Nonlinear payoff structure (</w:t>
                              </w:r>
                              <w:r w:rsidRPr="00A64D95">
                                <w:rPr>
                                  <w:rFonts w:cs="Times New Roman"/>
                                  <w:i/>
                                  <w:iCs/>
                                  <w:sz w:val="22"/>
                                </w:rPr>
                                <w:t>k</w:t>
                              </w:r>
                              <w:r w:rsidRPr="00334367">
                                <w:rPr>
                                  <w:rFonts w:cs="Times New Roman"/>
                                  <w:sz w:val="22"/>
                                </w:rPr>
                                <w:t xml:space="preserve"> = </w:t>
                              </w:r>
                              <w:r w:rsidR="0086424B">
                                <w:rPr>
                                  <w:rFonts w:cs="Times New Roman"/>
                                  <w:sz w:val="22"/>
                                </w:rPr>
                                <w:t>269</w:t>
                              </w:r>
                              <w:r w:rsidRPr="00334367">
                                <w:rPr>
                                  <w:rFonts w:cs="Times New Roman"/>
                                  <w:sz w:val="22"/>
                                </w:rPr>
                                <w:t>)</w:t>
                              </w:r>
                            </w:p>
                          </w:txbxContent>
                        </wps:txbx>
                        <wps:bodyPr rot="0" vert="horz" wrap="square" lIns="91440" tIns="91440" rIns="91440" bIns="91440" anchor="t" anchorCtr="0" upright="1">
                          <a:noAutofit/>
                        </wps:bodyPr>
                      </wps:wsp>
                    </wpg:wgp>
                  </a:graphicData>
                </a:graphic>
                <wp14:sizeRelH relativeFrom="margin">
                  <wp14:pctWidth>0</wp14:pctWidth>
                </wp14:sizeRelH>
              </wp:anchor>
            </w:drawing>
          </mc:Choice>
          <mc:Fallback>
            <w:pict>
              <v:group w14:anchorId="144737AB" id="Group 1" o:spid="_x0000_s1026" style="position:absolute;left:0;text-align:left;margin-left:0;margin-top:5.25pt;width:450.75pt;height:396pt;z-index:251659264;mso-width-relative:margin" coordsize="57245,50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">
                <v:roundrect id="Rounded Rectangle 5" o:spid="_x0000_s1027" style="position:absolute;left:-4095;top:4095;width:11334;height:3143;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" filled="f" strokecolor="windowText" strokeweight="1pt">
                  <v:stroke joinstyle="miter"/>
                  <v:textbox>
                    <w:txbxContent>
                      <w:p w14:paraId="2518FA8C" w14:textId="77777777" w:rsidR="006D624F" w:rsidRPr="00334367" w:rsidRDefault="006D624F" w:rsidP="00B81A31">
                        <w:pPr>
                          <w:jc w:val="center"/>
                          <w:rPr>
                            <w:rFonts w:cs="Times New Roman"/>
                            <w:b/>
                          </w:rPr>
                        </w:pPr>
                        <w:r w:rsidRPr="00334367">
                          <w:rPr>
                            <w:rFonts w:cs="Times New Roman"/>
                            <w:b/>
                            <w:sz w:val="22"/>
                          </w:rPr>
                          <w:t>Search</w:t>
                        </w:r>
                      </w:p>
                    </w:txbxContent>
                  </v:textbox>
                </v:roundrect>
                <v:rect id="Rectangle 3" o:spid="_x0000_s1028" style="position:absolute;left:6096;top:571;width:2038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">
                  <v:textbox inset=",7.2pt,,7.2pt">
                    <w:txbxContent>
                      <w:p w14:paraId="0EA5A5EA" w14:textId="77777777" w:rsidR="006D624F" w:rsidRDefault="006D624F" w:rsidP="00B81A31">
                        <w:pPr>
                          <w:jc w:val="center"/>
                          <w:rPr>
                            <w:rFonts w:cs="Times New Roman"/>
                            <w:sz w:val="22"/>
                          </w:rPr>
                        </w:pPr>
                        <w:r>
                          <w:rPr>
                            <w:rFonts w:cs="Times New Roman"/>
                            <w:sz w:val="22"/>
                          </w:rPr>
                          <w:t>Records from CoDa (</w:t>
                        </w:r>
                        <w:r w:rsidRPr="00A64D95">
                          <w:rPr>
                            <w:rFonts w:cs="Times New Roman"/>
                            <w:i/>
                            <w:sz w:val="22"/>
                          </w:rPr>
                          <w:t>k</w:t>
                        </w:r>
                        <w:r>
                          <w:rPr>
                            <w:rFonts w:cs="Times New Roman"/>
                            <w:sz w:val="22"/>
                          </w:rPr>
                          <w:t xml:space="preserve"> = 3,026)</w:t>
                        </w:r>
                      </w:p>
                    </w:txbxContent>
                  </v:textbox>
                </v:rect>
                <v:shapetype id="_x0000_t32" coordsize="21600,21600" o:spt="32" o:oned="t" path="m,l21600,21600e" filled="f">
                  <v:path arrowok="t" fillok="f" o:connecttype="none"/>
                  <o:lock v:ext="edit" shapetype="t"/>
                </v:shapetype>
                <v:shape id="Straight Arrow Connector 6" o:spid="_x0000_s1029" type="#_x0000_t32" style="position:absolute;left:16287;top:4381;width:0;height:3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" strokecolor="windowText" strokeweight=".5pt">
                  <v:stroke endarrow="block" joinstyle="miter"/>
                </v:shape>
                <v:rect id="Rectangle 7" o:spid="_x0000_s1030" style="position:absolute;left:3810;top:7715;width:2628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">
                  <v:textbox inset=",7.2pt,,7.2pt">
                    <w:txbxContent>
                      <w:p w14:paraId="7B7944CC" w14:textId="70EB18AA" w:rsidR="006D624F" w:rsidRDefault="006D624F" w:rsidP="00B81A31">
                        <w:pPr>
                          <w:jc w:val="center"/>
                          <w:rPr>
                            <w:rFonts w:cs="Times New Roman"/>
                            <w:sz w:val="22"/>
                          </w:rPr>
                        </w:pPr>
                        <w:r>
                          <w:rPr>
                            <w:rFonts w:cs="Times New Roman"/>
                            <w:sz w:val="22"/>
                          </w:rPr>
                          <w:t xml:space="preserve">Records after data </w:t>
                        </w:r>
                        <w:r w:rsidRPr="00AA33E7">
                          <w:rPr>
                            <w:rFonts w:cs="Times New Roman"/>
                            <w:sz w:val="22"/>
                          </w:rPr>
                          <w:t>wrangling</w:t>
                        </w:r>
                        <w:r w:rsidRPr="00AA33E7" w:rsidDel="00AA33E7">
                          <w:rPr>
                            <w:rFonts w:cs="Times New Roman"/>
                            <w:sz w:val="22"/>
                          </w:rPr>
                          <w:t xml:space="preserve"> </w:t>
                        </w:r>
                        <w:r>
                          <w:rPr>
                            <w:rFonts w:cs="Times New Roman"/>
                            <w:sz w:val="22"/>
                          </w:rPr>
                          <w:t>(</w:t>
                        </w:r>
                        <w:r w:rsidRPr="00A64D95">
                          <w:rPr>
                            <w:rFonts w:cs="Times New Roman"/>
                            <w:i/>
                            <w:sz w:val="22"/>
                          </w:rPr>
                          <w:t>k</w:t>
                        </w:r>
                        <w:r>
                          <w:rPr>
                            <w:rFonts w:cs="Times New Roman"/>
                            <w:sz w:val="22"/>
                          </w:rPr>
                          <w:t xml:space="preserve"> = </w:t>
                        </w:r>
                        <w:r w:rsidR="002972E0">
                          <w:rPr>
                            <w:rFonts w:cs="Times New Roman"/>
                            <w:sz w:val="22"/>
                          </w:rPr>
                          <w:t>3</w:t>
                        </w:r>
                        <w:r>
                          <w:rPr>
                            <w:rFonts w:cs="Times New Roman"/>
                            <w:sz w:val="22"/>
                          </w:rPr>
                          <w:t>,</w:t>
                        </w:r>
                        <w:r w:rsidR="002972E0">
                          <w:rPr>
                            <w:rFonts w:cs="Times New Roman"/>
                            <w:sz w:val="22"/>
                          </w:rPr>
                          <w:t>978</w:t>
                        </w:r>
                        <w:r>
                          <w:rPr>
                            <w:rFonts w:cs="Times New Roman"/>
                            <w:sz w:val="22"/>
                          </w:rPr>
                          <w:t>)</w:t>
                        </w:r>
                      </w:p>
                    </w:txbxContent>
                  </v:textbox>
                </v:rect>
                <v:roundrect id="Rounded Rectangle 11" o:spid="_x0000_s1031" style="position:absolute;left:-8763;top:23336;width:20669;height:3143;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" filled="f" strokecolor="windowText" strokeweight="1pt">
                  <v:stroke joinstyle="miter"/>
                  <v:textbox>
                    <w:txbxContent>
                      <w:p w14:paraId="26EC3DD9" w14:textId="77777777" w:rsidR="006D624F" w:rsidRPr="00334367" w:rsidRDefault="006D624F" w:rsidP="00B81A31">
                        <w:pPr>
                          <w:jc w:val="center"/>
                          <w:rPr>
                            <w:rFonts w:cs="Times New Roman"/>
                            <w:b/>
                            <w:sz w:val="22"/>
                          </w:rPr>
                        </w:pPr>
                        <w:r w:rsidRPr="00334367">
                          <w:rPr>
                            <w:rFonts w:cs="Times New Roman"/>
                            <w:b/>
                            <w:sz w:val="22"/>
                          </w:rPr>
                          <w:t>Eligibility</w:t>
                        </w:r>
                      </w:p>
                    </w:txbxContent>
                  </v:textbox>
                </v:roundrect>
                <v:roundrect id="Rounded Rectangle 16" o:spid="_x0000_s1032" style="position:absolute;left:-4001;top:43053;width:11335;height:3143;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" filled="f" strokecolor="windowText" strokeweight="1pt">
                  <v:stroke joinstyle="miter"/>
                  <v:textbox>
                    <w:txbxContent>
                      <w:p w14:paraId="2C88E34E" w14:textId="77777777" w:rsidR="006D624F" w:rsidRPr="00334367" w:rsidRDefault="006D624F" w:rsidP="00B81A31">
                        <w:pPr>
                          <w:jc w:val="center"/>
                          <w:rPr>
                            <w:rFonts w:cs="Times New Roman"/>
                            <w:b/>
                            <w:sz w:val="22"/>
                          </w:rPr>
                        </w:pPr>
                        <w:r w:rsidRPr="00334367">
                          <w:rPr>
                            <w:rFonts w:cs="Times New Roman"/>
                            <w:b/>
                            <w:sz w:val="22"/>
                          </w:rPr>
                          <w:t>Inclusion</w:t>
                        </w:r>
                      </w:p>
                    </w:txbxContent>
                  </v:textbox>
                </v:roundrect>
                <v:rect id="Rectangle 12" o:spid="_x0000_s1033" style="position:absolute;left:6667;top:23336;width:19431;height:6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">
                  <v:textbox inset=",7.2pt,,7.2pt">
                    <w:txbxContent>
                      <w:p w14:paraId="7757DD62" w14:textId="77777777" w:rsidR="006D624F" w:rsidRDefault="006D624F" w:rsidP="00B81A31">
                        <w:pPr>
                          <w:jc w:val="center"/>
                          <w:rPr>
                            <w:rFonts w:cs="Times New Roman"/>
                            <w:sz w:val="22"/>
                          </w:rPr>
                        </w:pPr>
                        <w:r>
                          <w:rPr>
                            <w:rFonts w:cs="Times New Roman"/>
                            <w:sz w:val="22"/>
                          </w:rPr>
                          <w:t>Records assessed for eligibility</w:t>
                        </w:r>
                      </w:p>
                      <w:p w14:paraId="00D4FF1A" w14:textId="1792FCA6" w:rsidR="006D624F" w:rsidRDefault="006D624F" w:rsidP="00B81A31">
                        <w:pPr>
                          <w:jc w:val="center"/>
                          <w:rPr>
                            <w:rFonts w:cs="Times New Roman"/>
                            <w:sz w:val="22"/>
                          </w:rPr>
                        </w:pPr>
                        <w:r>
                          <w:rPr>
                            <w:rFonts w:cs="Times New Roman"/>
                            <w:sz w:val="22"/>
                          </w:rPr>
                          <w:t>(</w:t>
                        </w:r>
                        <w:r w:rsidRPr="00A64D95">
                          <w:rPr>
                            <w:rFonts w:cs="Times New Roman"/>
                            <w:i/>
                            <w:iCs/>
                            <w:sz w:val="22"/>
                          </w:rPr>
                          <w:t>k</w:t>
                        </w:r>
                        <w:r>
                          <w:rPr>
                            <w:rFonts w:cs="Times New Roman"/>
                            <w:sz w:val="22"/>
                          </w:rPr>
                          <w:t xml:space="preserve"> = </w:t>
                        </w:r>
                        <w:r w:rsidR="0086424B">
                          <w:rPr>
                            <w:rFonts w:cs="Times New Roman"/>
                            <w:sz w:val="22"/>
                          </w:rPr>
                          <w:t>3</w:t>
                        </w:r>
                        <w:r>
                          <w:rPr>
                            <w:rFonts w:cs="Times New Roman"/>
                            <w:sz w:val="22"/>
                          </w:rPr>
                          <w:t>,</w:t>
                        </w:r>
                        <w:r w:rsidR="0086424B">
                          <w:rPr>
                            <w:rFonts w:cs="Times New Roman"/>
                            <w:sz w:val="22"/>
                          </w:rPr>
                          <w:t>978</w:t>
                        </w:r>
                        <w:r>
                          <w:rPr>
                            <w:rFonts w:cs="Times New Roman"/>
                            <w:sz w:val="22"/>
                          </w:rPr>
                          <w:t>)</w:t>
                        </w:r>
                      </w:p>
                    </w:txbxContent>
                  </v:textbox>
                </v:rect>
                <v:shape id="Straight Arrow Connector 13" o:spid="_x0000_s1034" type="#_x0000_t32" style="position:absolute;left:16383;top:11620;width:0;height:116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" strokecolor="windowText" strokeweight=".5pt">
                  <v:stroke endarrow="block" joinstyle="miter"/>
                </v:shape>
                <v:shape id="Straight Arrow Connector 14" o:spid="_x0000_s1035" type="#_x0000_t32" style="position:absolute;left:16478;top:30194;width:0;height:116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" strokecolor="windowText" strokeweight=".5pt">
                  <v:stroke endarrow="block" joinstyle="miter"/>
                </v:shape>
                <v:rect id="Rectangle 15" o:spid="_x0000_s1036" style="position:absolute;left:4381;top:41910;width:24232;height:6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">
                  <v:textbox inset=",7.2pt,,7.2pt">
                    <w:txbxContent>
                      <w:p w14:paraId="0F8B9B4F" w14:textId="77777777" w:rsidR="006D624F" w:rsidRPr="00334367" w:rsidRDefault="006D624F" w:rsidP="00B81A31">
                        <w:pPr>
                          <w:jc w:val="center"/>
                          <w:rPr>
                            <w:rFonts w:cs="Times New Roman"/>
                            <w:sz w:val="22"/>
                          </w:rPr>
                        </w:pPr>
                        <w:r w:rsidRPr="00334367">
                          <w:rPr>
                            <w:rFonts w:cs="Times New Roman"/>
                            <w:sz w:val="22"/>
                          </w:rPr>
                          <w:t>Records included in meta-analysis</w:t>
                        </w:r>
                      </w:p>
                      <w:p w14:paraId="79D1CE0A" w14:textId="3B49BE76" w:rsidR="006D624F" w:rsidRPr="00334367" w:rsidRDefault="006D624F" w:rsidP="00B81A31">
                        <w:pPr>
                          <w:jc w:val="center"/>
                          <w:rPr>
                            <w:rFonts w:cs="Times New Roman"/>
                            <w:sz w:val="22"/>
                          </w:rPr>
                        </w:pPr>
                        <w:r w:rsidRPr="00334367">
                          <w:rPr>
                            <w:rFonts w:cs="Times New Roman"/>
                            <w:sz w:val="22"/>
                          </w:rPr>
                          <w:t>(</w:t>
                        </w:r>
                        <w:r w:rsidRPr="00A64D95">
                          <w:rPr>
                            <w:rFonts w:cs="Times New Roman"/>
                            <w:i/>
                            <w:iCs/>
                            <w:sz w:val="22"/>
                          </w:rPr>
                          <w:t>k</w:t>
                        </w:r>
                        <w:r w:rsidRPr="00334367">
                          <w:rPr>
                            <w:rFonts w:cs="Times New Roman"/>
                            <w:sz w:val="22"/>
                          </w:rPr>
                          <w:t xml:space="preserve"> = 2</w:t>
                        </w:r>
                        <w:r>
                          <w:rPr>
                            <w:rFonts w:cs="Times New Roman"/>
                            <w:sz w:val="22"/>
                          </w:rPr>
                          <w:t>,</w:t>
                        </w:r>
                        <w:r w:rsidR="00AB6990">
                          <w:rPr>
                            <w:rFonts w:cs="Times New Roman"/>
                            <w:sz w:val="22"/>
                          </w:rPr>
                          <w:t>340</w:t>
                        </w:r>
                        <w:r w:rsidRPr="00334367">
                          <w:rPr>
                            <w:rFonts w:cs="Times New Roman"/>
                            <w:sz w:val="22"/>
                          </w:rPr>
                          <w:t>)</w:t>
                        </w:r>
                      </w:p>
                      <w:p w14:paraId="00DA5A3E" w14:textId="77777777" w:rsidR="006D624F" w:rsidRDefault="006D624F" w:rsidP="00B81A31">
                        <w:pPr>
                          <w:jc w:val="center"/>
                          <w:rPr>
                            <w:rFonts w:cs="Times New Roman"/>
                          </w:rPr>
                        </w:pPr>
                      </w:p>
                    </w:txbxContent>
                  </v:textbox>
                </v:rect>
                <v:shape id="Straight Arrow Connector 16" o:spid="_x0000_s1037" type="#_x0000_t32" style="position:absolute;left:26098;top:27051;width:48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" strokecolor="windowText" strokeweight=".5pt">
                  <v:stroke endarrow="block" joinstyle="miter"/>
                </v:shape>
                <v:rect id="Rectangle 17" o:spid="_x0000_s1038" style="position:absolute;left:30951;top:11334;width:26294;height:29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">
                  <v:textbox inset=",7.2pt,,7.2pt">
                    <w:txbxContent>
                      <w:p w14:paraId="39F754D0" w14:textId="77777777" w:rsidR="006D624F" w:rsidRPr="00A64D95" w:rsidRDefault="006D624F" w:rsidP="00B81A31">
                        <w:pPr>
                          <w:rPr>
                            <w:rFonts w:cs="Times New Roman"/>
                            <w:b/>
                            <w:bCs/>
                            <w:sz w:val="22"/>
                          </w:rPr>
                        </w:pPr>
                        <w:r w:rsidRPr="00A64D95">
                          <w:rPr>
                            <w:rFonts w:cs="Times New Roman"/>
                            <w:b/>
                            <w:bCs/>
                            <w:sz w:val="22"/>
                          </w:rPr>
                          <w:t>Records excluded due to:</w:t>
                        </w:r>
                      </w:p>
                      <w:p w14:paraId="607D9085" w14:textId="6AB8C9AE" w:rsidR="006D624F" w:rsidRPr="00334367" w:rsidRDefault="006D624F" w:rsidP="00B81A31">
                        <w:pPr>
                          <w:widowControl w:val="0"/>
                          <w:spacing w:line="240" w:lineRule="auto"/>
                          <w:rPr>
                            <w:rFonts w:cs="Times New Roman"/>
                            <w:sz w:val="22"/>
                          </w:rPr>
                        </w:pPr>
                        <w:r w:rsidRPr="00334367">
                          <w:rPr>
                            <w:rFonts w:cs="Times New Roman"/>
                            <w:sz w:val="22"/>
                          </w:rPr>
                          <w:t xml:space="preserve">Not </w:t>
                        </w:r>
                        <w:r w:rsidRPr="002972E0">
                          <w:rPr>
                            <w:rFonts w:cs="Times New Roman"/>
                            <w:sz w:val="22"/>
                          </w:rPr>
                          <w:t>PD</w:t>
                        </w:r>
                        <w:r w:rsidR="00AB6990" w:rsidRPr="002972E0">
                          <w:rPr>
                            <w:rFonts w:cs="Times New Roman"/>
                            <w:sz w:val="22"/>
                          </w:rPr>
                          <w:t xml:space="preserve"> or</w:t>
                        </w:r>
                        <w:r w:rsidRPr="002972E0">
                          <w:rPr>
                            <w:rFonts w:cs="Times New Roman"/>
                            <w:sz w:val="22"/>
                          </w:rPr>
                          <w:t xml:space="preserve"> PGD (</w:t>
                        </w:r>
                        <w:r w:rsidRPr="002972E0">
                          <w:rPr>
                            <w:rFonts w:cs="Times New Roman"/>
                            <w:i/>
                            <w:iCs/>
                            <w:sz w:val="22"/>
                          </w:rPr>
                          <w:t>k</w:t>
                        </w:r>
                        <w:r w:rsidRPr="002972E0">
                          <w:rPr>
                            <w:rFonts w:cs="Times New Roman"/>
                            <w:sz w:val="22"/>
                          </w:rPr>
                          <w:t xml:space="preserve"> = </w:t>
                        </w:r>
                        <w:r w:rsidR="00AB6990" w:rsidRPr="002972E0">
                          <w:rPr>
                            <w:rFonts w:cs="Times New Roman"/>
                            <w:sz w:val="22"/>
                          </w:rPr>
                          <w:t>5</w:t>
                        </w:r>
                        <w:r w:rsidR="002972E0" w:rsidRPr="002972E0">
                          <w:rPr>
                            <w:rFonts w:cs="Times New Roman"/>
                            <w:sz w:val="22"/>
                          </w:rPr>
                          <w:t>91</w:t>
                        </w:r>
                        <w:r w:rsidRPr="002972E0">
                          <w:rPr>
                            <w:rFonts w:cs="Times New Roman"/>
                            <w:sz w:val="22"/>
                          </w:rPr>
                          <w:t>)</w:t>
                        </w:r>
                      </w:p>
                      <w:p w14:paraId="4C1E19CE" w14:textId="77777777" w:rsidR="006D624F" w:rsidRDefault="006D624F" w:rsidP="00B81A31">
                        <w:pPr>
                          <w:widowControl w:val="0"/>
                          <w:spacing w:line="240" w:lineRule="auto"/>
                          <w:rPr>
                            <w:rFonts w:cs="Times New Roman"/>
                            <w:sz w:val="22"/>
                          </w:rPr>
                        </w:pPr>
                      </w:p>
                      <w:p w14:paraId="39D0C55C" w14:textId="59B28AC5" w:rsidR="006D624F" w:rsidRPr="00334367" w:rsidRDefault="006D624F" w:rsidP="00B81A31">
                        <w:pPr>
                          <w:widowControl w:val="0"/>
                          <w:spacing w:line="240" w:lineRule="auto"/>
                          <w:rPr>
                            <w:rFonts w:cs="Times New Roman"/>
                            <w:sz w:val="22"/>
                          </w:rPr>
                        </w:pPr>
                        <w:r w:rsidRPr="00334367">
                          <w:rPr>
                            <w:rFonts w:cs="Times New Roman"/>
                            <w:sz w:val="22"/>
                          </w:rPr>
                          <w:t>Interactions</w:t>
                        </w:r>
                        <w:r>
                          <w:rPr>
                            <w:rFonts w:cs="Times New Roman"/>
                            <w:sz w:val="22"/>
                          </w:rPr>
                          <w:t xml:space="preserve"> </w:t>
                        </w:r>
                        <w:r w:rsidRPr="00334367">
                          <w:rPr>
                            <w:rFonts w:cs="Times New Roman"/>
                            <w:sz w:val="22"/>
                          </w:rPr>
                          <w:t xml:space="preserve">not </w:t>
                        </w:r>
                        <w:r>
                          <w:rPr>
                            <w:rFonts w:cs="Times New Roman"/>
                            <w:sz w:val="22"/>
                          </w:rPr>
                          <w:t>with</w:t>
                        </w:r>
                        <w:r w:rsidRPr="00334367">
                          <w:rPr>
                            <w:rFonts w:cs="Times New Roman"/>
                            <w:sz w:val="22"/>
                          </w:rPr>
                          <w:t xml:space="preserve"> strangers</w:t>
                        </w:r>
                        <w:r>
                          <w:rPr>
                            <w:rFonts w:cs="Times New Roman"/>
                            <w:sz w:val="22"/>
                          </w:rPr>
                          <w:t xml:space="preserve"> </w:t>
                        </w:r>
                        <w:r w:rsidRPr="00334367">
                          <w:rPr>
                            <w:rFonts w:cs="Times New Roman"/>
                            <w:sz w:val="22"/>
                          </w:rPr>
                          <w:t>(</w:t>
                        </w:r>
                        <w:r w:rsidRPr="00A64D95">
                          <w:rPr>
                            <w:rFonts w:cs="Times New Roman"/>
                            <w:i/>
                            <w:iCs/>
                            <w:sz w:val="22"/>
                          </w:rPr>
                          <w:t>k</w:t>
                        </w:r>
                        <w:r w:rsidRPr="00334367">
                          <w:rPr>
                            <w:rFonts w:cs="Times New Roman"/>
                            <w:sz w:val="22"/>
                          </w:rPr>
                          <w:t xml:space="preserve"> = </w:t>
                        </w:r>
                        <w:r w:rsidR="002972E0">
                          <w:rPr>
                            <w:rFonts w:cs="Times New Roman"/>
                            <w:sz w:val="22"/>
                          </w:rPr>
                          <w:t>188</w:t>
                        </w:r>
                        <w:r w:rsidRPr="00334367">
                          <w:rPr>
                            <w:rFonts w:cs="Times New Roman"/>
                            <w:sz w:val="22"/>
                          </w:rPr>
                          <w:t>)</w:t>
                        </w:r>
                      </w:p>
                      <w:p w14:paraId="193025E1" w14:textId="77777777" w:rsidR="006D624F" w:rsidRDefault="006D624F" w:rsidP="00B81A31">
                        <w:pPr>
                          <w:widowControl w:val="0"/>
                          <w:spacing w:line="240" w:lineRule="auto"/>
                          <w:rPr>
                            <w:rFonts w:cs="Times New Roman"/>
                            <w:sz w:val="22"/>
                          </w:rPr>
                        </w:pPr>
                      </w:p>
                      <w:p w14:paraId="6729D8D7" w14:textId="77777777" w:rsidR="006D624F" w:rsidRPr="00334367" w:rsidRDefault="006D624F" w:rsidP="00B81A31">
                        <w:pPr>
                          <w:widowControl w:val="0"/>
                          <w:spacing w:line="240" w:lineRule="auto"/>
                          <w:rPr>
                            <w:rFonts w:cs="Times New Roman"/>
                            <w:sz w:val="22"/>
                          </w:rPr>
                        </w:pPr>
                        <w:r w:rsidRPr="00334367">
                          <w:rPr>
                            <w:rFonts w:cs="Times New Roman"/>
                            <w:sz w:val="22"/>
                          </w:rPr>
                          <w:t xml:space="preserve">Mean age </w:t>
                        </w:r>
                        <w:r>
                          <w:rPr>
                            <w:rFonts w:cs="Times New Roman"/>
                            <w:sz w:val="22"/>
                          </w:rPr>
                          <w:t>lower</w:t>
                        </w:r>
                        <w:r w:rsidRPr="00334367">
                          <w:rPr>
                            <w:rFonts w:cs="Times New Roman"/>
                            <w:sz w:val="22"/>
                          </w:rPr>
                          <w:t xml:space="preserve"> than 18</w:t>
                        </w:r>
                        <w:r>
                          <w:rPr>
                            <w:rFonts w:cs="Times New Roman"/>
                            <w:sz w:val="22"/>
                          </w:rPr>
                          <w:t xml:space="preserve"> </w:t>
                        </w:r>
                        <w:r w:rsidRPr="00334367">
                          <w:rPr>
                            <w:rFonts w:cs="Times New Roman"/>
                            <w:sz w:val="22"/>
                          </w:rPr>
                          <w:t>(</w:t>
                        </w:r>
                        <w:r w:rsidRPr="00A64D95">
                          <w:rPr>
                            <w:rFonts w:cs="Times New Roman"/>
                            <w:i/>
                            <w:iCs/>
                            <w:sz w:val="22"/>
                          </w:rPr>
                          <w:t>k</w:t>
                        </w:r>
                        <w:r w:rsidRPr="00334367">
                          <w:rPr>
                            <w:rFonts w:cs="Times New Roman"/>
                            <w:sz w:val="22"/>
                          </w:rPr>
                          <w:t xml:space="preserve"> = 28)</w:t>
                        </w:r>
                      </w:p>
                      <w:p w14:paraId="4B70A179" w14:textId="77777777" w:rsidR="006D624F" w:rsidRDefault="006D624F" w:rsidP="00B81A31">
                        <w:pPr>
                          <w:widowControl w:val="0"/>
                          <w:spacing w:line="240" w:lineRule="auto"/>
                          <w:rPr>
                            <w:rFonts w:cs="Times New Roman"/>
                            <w:sz w:val="22"/>
                          </w:rPr>
                        </w:pPr>
                      </w:p>
                      <w:p w14:paraId="069DFEB3" w14:textId="4405D585" w:rsidR="002972E0" w:rsidRPr="00334367" w:rsidRDefault="002972E0" w:rsidP="002972E0">
                        <w:pPr>
                          <w:widowControl w:val="0"/>
                          <w:spacing w:line="240" w:lineRule="auto"/>
                          <w:rPr>
                            <w:rFonts w:cs="Times New Roman"/>
                            <w:sz w:val="22"/>
                          </w:rPr>
                        </w:pPr>
                        <w:r>
                          <w:rPr>
                            <w:rFonts w:cs="Times New Roman"/>
                            <w:sz w:val="22"/>
                          </w:rPr>
                          <w:t>Cooperation t</w:t>
                        </w:r>
                        <w:r w:rsidRPr="00334367">
                          <w:rPr>
                            <w:rFonts w:cs="Times New Roman"/>
                            <w:sz w:val="22"/>
                          </w:rPr>
                          <w:t xml:space="preserve">rial </w:t>
                        </w:r>
                        <w:r>
                          <w:rPr>
                            <w:rFonts w:cs="Times New Roman"/>
                            <w:sz w:val="22"/>
                          </w:rPr>
                          <w:t xml:space="preserve">unavailable </w:t>
                        </w:r>
                        <w:r w:rsidRPr="00334367">
                          <w:rPr>
                            <w:rFonts w:cs="Times New Roman"/>
                            <w:sz w:val="22"/>
                          </w:rPr>
                          <w:t>(</w:t>
                        </w:r>
                        <w:r w:rsidRPr="00A64D95">
                          <w:rPr>
                            <w:rFonts w:cs="Times New Roman"/>
                            <w:i/>
                            <w:iCs/>
                            <w:sz w:val="22"/>
                          </w:rPr>
                          <w:t>k</w:t>
                        </w:r>
                        <w:r w:rsidRPr="00334367">
                          <w:rPr>
                            <w:rFonts w:cs="Times New Roman"/>
                            <w:sz w:val="22"/>
                          </w:rPr>
                          <w:t xml:space="preserve"> = </w:t>
                        </w:r>
                        <w:r>
                          <w:rPr>
                            <w:rFonts w:cs="Times New Roman"/>
                            <w:sz w:val="22"/>
                          </w:rPr>
                          <w:t>378</w:t>
                        </w:r>
                        <w:r w:rsidRPr="00334367">
                          <w:rPr>
                            <w:rFonts w:cs="Times New Roman"/>
                            <w:sz w:val="22"/>
                          </w:rPr>
                          <w:t>)</w:t>
                        </w:r>
                      </w:p>
                      <w:p w14:paraId="7640D305" w14:textId="77777777" w:rsidR="002972E0" w:rsidRDefault="002972E0" w:rsidP="002972E0">
                        <w:pPr>
                          <w:widowControl w:val="0"/>
                          <w:spacing w:line="240" w:lineRule="auto"/>
                          <w:rPr>
                            <w:rFonts w:cs="Times New Roman"/>
                            <w:sz w:val="22"/>
                          </w:rPr>
                        </w:pPr>
                      </w:p>
                      <w:p w14:paraId="3AEF71FA" w14:textId="65089598" w:rsidR="006D624F" w:rsidRPr="00F133AA" w:rsidRDefault="006D624F" w:rsidP="00B81A31">
                        <w:pPr>
                          <w:widowControl w:val="0"/>
                          <w:spacing w:line="240" w:lineRule="auto"/>
                          <w:rPr>
                            <w:rFonts w:cs="Times New Roman"/>
                            <w:sz w:val="22"/>
                          </w:rPr>
                        </w:pPr>
                        <w:r w:rsidRPr="00334367">
                          <w:rPr>
                            <w:rFonts w:cs="Times New Roman"/>
                            <w:sz w:val="22"/>
                          </w:rPr>
                          <w:t>Unreliable cooperation rates</w:t>
                        </w:r>
                        <w:r>
                          <w:rPr>
                            <w:rFonts w:cs="Times New Roman"/>
                            <w:sz w:val="22"/>
                          </w:rPr>
                          <w:t xml:space="preserve"> </w:t>
                        </w:r>
                        <w:r w:rsidRPr="00334367">
                          <w:rPr>
                            <w:rFonts w:cs="Times New Roman"/>
                            <w:sz w:val="22"/>
                          </w:rPr>
                          <w:t>(</w:t>
                        </w:r>
                        <w:r w:rsidRPr="00A64D95">
                          <w:rPr>
                            <w:rFonts w:cs="Times New Roman"/>
                            <w:i/>
                            <w:iCs/>
                            <w:sz w:val="22"/>
                          </w:rPr>
                          <w:t>k</w:t>
                        </w:r>
                        <w:r w:rsidRPr="00334367">
                          <w:rPr>
                            <w:rFonts w:cs="Times New Roman"/>
                            <w:sz w:val="22"/>
                          </w:rPr>
                          <w:t xml:space="preserve"> = 44)</w:t>
                        </w:r>
                        <w:r>
                          <w:rPr>
                            <w:rFonts w:cs="Times New Roman"/>
                            <w:sz w:val="22"/>
                          </w:rPr>
                          <w:t>*</w:t>
                        </w:r>
                      </w:p>
                      <w:p w14:paraId="0EF4678E" w14:textId="77777777" w:rsidR="006D624F" w:rsidRPr="00334367" w:rsidRDefault="006D624F" w:rsidP="00B81A31">
                        <w:pPr>
                          <w:widowControl w:val="0"/>
                          <w:spacing w:line="240" w:lineRule="auto"/>
                          <w:rPr>
                            <w:rFonts w:cs="Times New Roman"/>
                            <w:sz w:val="22"/>
                          </w:rPr>
                        </w:pPr>
                      </w:p>
                      <w:p w14:paraId="5BC372AA" w14:textId="36240710" w:rsidR="006D624F" w:rsidRPr="006B359C" w:rsidRDefault="006D624F" w:rsidP="00B81A31">
                        <w:pPr>
                          <w:widowControl w:val="0"/>
                          <w:spacing w:line="240" w:lineRule="auto"/>
                          <w:rPr>
                            <w:rFonts w:cs="Times New Roman"/>
                            <w:sz w:val="22"/>
                          </w:rPr>
                        </w:pPr>
                        <w:r w:rsidRPr="00334367">
                          <w:rPr>
                            <w:rFonts w:cs="Times New Roman"/>
                            <w:sz w:val="22"/>
                          </w:rPr>
                          <w:t>Duplicates</w:t>
                        </w:r>
                        <w:r>
                          <w:rPr>
                            <w:rFonts w:cs="Times New Roman"/>
                            <w:sz w:val="22"/>
                          </w:rPr>
                          <w:t>:</w:t>
                        </w:r>
                        <w:r w:rsidRPr="00334367">
                          <w:rPr>
                            <w:rFonts w:cs="Times New Roman"/>
                            <w:sz w:val="22"/>
                          </w:rPr>
                          <w:t xml:space="preserve"> study and sub-study</w:t>
                        </w:r>
                        <w:r>
                          <w:rPr>
                            <w:rFonts w:cs="Times New Roman"/>
                            <w:sz w:val="22"/>
                          </w:rPr>
                          <w:t xml:space="preserve"> </w:t>
                        </w:r>
                        <w:r w:rsidRPr="00334367">
                          <w:rPr>
                            <w:rFonts w:cs="Times New Roman"/>
                            <w:sz w:val="22"/>
                          </w:rPr>
                          <w:t>(</w:t>
                        </w:r>
                        <w:r w:rsidRPr="00A64D95">
                          <w:rPr>
                            <w:rFonts w:cs="Times New Roman"/>
                            <w:i/>
                            <w:iCs/>
                            <w:sz w:val="22"/>
                          </w:rPr>
                          <w:t>k</w:t>
                        </w:r>
                        <w:r w:rsidRPr="00334367">
                          <w:rPr>
                            <w:rFonts w:cs="Times New Roman"/>
                            <w:sz w:val="22"/>
                          </w:rPr>
                          <w:t xml:space="preserve"> = 1</w:t>
                        </w:r>
                        <w:r w:rsidR="002972E0">
                          <w:rPr>
                            <w:rFonts w:cs="Times New Roman"/>
                            <w:sz w:val="22"/>
                          </w:rPr>
                          <w:t>36</w:t>
                        </w:r>
                        <w:r w:rsidRPr="00334367">
                          <w:rPr>
                            <w:rFonts w:cs="Times New Roman"/>
                            <w:sz w:val="22"/>
                          </w:rPr>
                          <w:t>)</w:t>
                        </w:r>
                        <w:r w:rsidRPr="006B359C">
                          <w:rPr>
                            <w:rFonts w:cs="Times New Roman"/>
                            <w:sz w:val="22"/>
                          </w:rPr>
                          <w:t>†</w:t>
                        </w:r>
                      </w:p>
                      <w:p w14:paraId="7412D160" w14:textId="77777777" w:rsidR="006D624F" w:rsidRDefault="006D624F" w:rsidP="00B81A31">
                        <w:pPr>
                          <w:widowControl w:val="0"/>
                          <w:spacing w:line="240" w:lineRule="auto"/>
                          <w:rPr>
                            <w:rFonts w:cs="Times New Roman"/>
                            <w:sz w:val="22"/>
                          </w:rPr>
                        </w:pPr>
                      </w:p>
                      <w:p w14:paraId="10F7461D" w14:textId="28FAA5D5" w:rsidR="006D624F" w:rsidRPr="006B359C" w:rsidRDefault="006D624F" w:rsidP="00B81A31">
                        <w:pPr>
                          <w:widowControl w:val="0"/>
                          <w:spacing w:line="240" w:lineRule="auto"/>
                          <w:rPr>
                            <w:rFonts w:cs="Times New Roman"/>
                            <w:sz w:val="22"/>
                          </w:rPr>
                        </w:pPr>
                        <w:r w:rsidRPr="00334367">
                          <w:rPr>
                            <w:rFonts w:cs="Times New Roman"/>
                            <w:sz w:val="22"/>
                          </w:rPr>
                          <w:t>Missing v</w:t>
                        </w:r>
                        <w:r>
                          <w:rPr>
                            <w:rFonts w:cs="Times New Roman"/>
                            <w:sz w:val="22"/>
                          </w:rPr>
                          <w:t xml:space="preserve">ariance estimate </w:t>
                        </w:r>
                        <w:r w:rsidRPr="00334367">
                          <w:rPr>
                            <w:rFonts w:cs="Times New Roman"/>
                            <w:sz w:val="22"/>
                          </w:rPr>
                          <w:t>(</w:t>
                        </w:r>
                        <w:r w:rsidRPr="00A64D95">
                          <w:rPr>
                            <w:rFonts w:cs="Times New Roman"/>
                            <w:i/>
                            <w:iCs/>
                            <w:sz w:val="22"/>
                          </w:rPr>
                          <w:t>k</w:t>
                        </w:r>
                        <w:r w:rsidRPr="00334367">
                          <w:rPr>
                            <w:rFonts w:cs="Times New Roman"/>
                            <w:sz w:val="22"/>
                          </w:rPr>
                          <w:t xml:space="preserve"> = 4)</w:t>
                        </w:r>
                        <w:r w:rsidRPr="006B359C">
                          <w:rPr>
                            <w:rFonts w:cs="Times New Roman"/>
                            <w:sz w:val="22"/>
                          </w:rPr>
                          <w:t>‡</w:t>
                        </w:r>
                      </w:p>
                      <w:p w14:paraId="79499249" w14:textId="77777777" w:rsidR="006D624F" w:rsidRDefault="006D624F" w:rsidP="00B81A31">
                        <w:pPr>
                          <w:widowControl w:val="0"/>
                          <w:spacing w:line="240" w:lineRule="auto"/>
                          <w:rPr>
                            <w:rFonts w:cs="Times New Roman"/>
                            <w:sz w:val="22"/>
                          </w:rPr>
                        </w:pPr>
                      </w:p>
                      <w:p w14:paraId="167DECDD" w14:textId="5A445B43" w:rsidR="006D624F" w:rsidRPr="00334367" w:rsidRDefault="006D624F" w:rsidP="00B81A31">
                        <w:pPr>
                          <w:widowControl w:val="0"/>
                          <w:spacing w:line="240" w:lineRule="auto"/>
                          <w:rPr>
                            <w:rFonts w:cs="Times New Roman"/>
                            <w:sz w:val="22"/>
                          </w:rPr>
                        </w:pPr>
                        <w:r w:rsidRPr="00334367">
                          <w:rPr>
                            <w:rFonts w:cs="Times New Roman"/>
                            <w:sz w:val="22"/>
                          </w:rPr>
                          <w:t>Nonlinear payoff structure (</w:t>
                        </w:r>
                        <w:r w:rsidRPr="00A64D95">
                          <w:rPr>
                            <w:rFonts w:cs="Times New Roman"/>
                            <w:i/>
                            <w:iCs/>
                            <w:sz w:val="22"/>
                          </w:rPr>
                          <w:t>k</w:t>
                        </w:r>
                        <w:r w:rsidRPr="00334367">
                          <w:rPr>
                            <w:rFonts w:cs="Times New Roman"/>
                            <w:sz w:val="22"/>
                          </w:rPr>
                          <w:t xml:space="preserve"> = </w:t>
                        </w:r>
                        <w:r w:rsidR="0086424B">
                          <w:rPr>
                            <w:rFonts w:cs="Times New Roman"/>
                            <w:sz w:val="22"/>
                          </w:rPr>
                          <w:t>269</w:t>
                        </w:r>
                        <w:r w:rsidRPr="00334367">
                          <w:rPr>
                            <w:rFonts w:cs="Times New Roman"/>
                            <w:sz w:val="22"/>
                          </w:rPr>
                          <w:t>)</w:t>
                        </w:r>
                      </w:p>
                    </w:txbxContent>
                  </v:textbox>
                </v:rect>
              </v:group>
            </w:pict>
          </mc:Fallback>
        </mc:AlternateContent>
      </w:r>
    </w:p>
    <w:p w14:paraId="2EC5F70D" w14:textId="77777777" w:rsidR="00B81A31" w:rsidRPr="007D413D" w:rsidRDefault="00B81A31" w:rsidP="00B81A31">
      <w:pPr>
        <w:widowControl w:val="0"/>
        <w:spacing w:line="240" w:lineRule="auto"/>
        <w:jc w:val="both"/>
        <w:rPr>
          <w:rFonts w:eastAsia="DengXian" w:cs="Times New Roman"/>
          <w:kern w:val="2"/>
        </w:rPr>
      </w:pPr>
    </w:p>
    <w:p w14:paraId="7BA367CA" w14:textId="77777777" w:rsidR="00B81A31" w:rsidRPr="007D413D" w:rsidRDefault="00B81A31" w:rsidP="00B81A31">
      <w:pPr>
        <w:widowControl w:val="0"/>
        <w:spacing w:line="240" w:lineRule="auto"/>
        <w:jc w:val="both"/>
        <w:rPr>
          <w:rFonts w:eastAsia="DengXian" w:cs="Times New Roman"/>
          <w:kern w:val="2"/>
        </w:rPr>
      </w:pPr>
    </w:p>
    <w:p w14:paraId="46D1A7D2" w14:textId="77777777" w:rsidR="00B81A31" w:rsidRPr="007D413D" w:rsidRDefault="00B81A31" w:rsidP="00B81A31">
      <w:pPr>
        <w:widowControl w:val="0"/>
        <w:spacing w:line="240" w:lineRule="auto"/>
        <w:jc w:val="both"/>
        <w:rPr>
          <w:rFonts w:eastAsia="DengXian" w:cs="Times New Roman"/>
          <w:kern w:val="2"/>
        </w:rPr>
      </w:pPr>
    </w:p>
    <w:p w14:paraId="741FEB71" w14:textId="77777777" w:rsidR="00B81A31" w:rsidRPr="007D413D" w:rsidRDefault="00B81A31" w:rsidP="00B81A31">
      <w:pPr>
        <w:widowControl w:val="0"/>
        <w:spacing w:line="240" w:lineRule="auto"/>
        <w:jc w:val="both"/>
        <w:rPr>
          <w:rFonts w:eastAsia="DengXian" w:cs="Times New Roman"/>
          <w:kern w:val="2"/>
        </w:rPr>
      </w:pPr>
    </w:p>
    <w:p w14:paraId="07984B2F" w14:textId="77777777" w:rsidR="00B81A31" w:rsidRPr="007D413D" w:rsidRDefault="00B81A31" w:rsidP="00B81A31">
      <w:pPr>
        <w:widowControl w:val="0"/>
        <w:spacing w:line="240" w:lineRule="auto"/>
        <w:jc w:val="both"/>
        <w:rPr>
          <w:rFonts w:eastAsia="DengXian" w:cs="Times New Roman"/>
          <w:kern w:val="2"/>
        </w:rPr>
      </w:pPr>
    </w:p>
    <w:p w14:paraId="78890ABC" w14:textId="77777777" w:rsidR="00B81A31" w:rsidRPr="007D413D" w:rsidRDefault="00B81A31" w:rsidP="00B81A31">
      <w:pPr>
        <w:widowControl w:val="0"/>
        <w:spacing w:line="240" w:lineRule="auto"/>
        <w:jc w:val="both"/>
        <w:rPr>
          <w:rFonts w:eastAsia="DengXian" w:cs="Times New Roman"/>
          <w:kern w:val="2"/>
        </w:rPr>
      </w:pPr>
    </w:p>
    <w:p w14:paraId="3C6DC522" w14:textId="77777777" w:rsidR="00B81A31" w:rsidRPr="007D413D" w:rsidRDefault="00B81A31" w:rsidP="00B81A31">
      <w:pPr>
        <w:widowControl w:val="0"/>
        <w:spacing w:line="240" w:lineRule="auto"/>
        <w:jc w:val="both"/>
        <w:rPr>
          <w:rFonts w:eastAsia="DengXian" w:cs="Times New Roman"/>
          <w:kern w:val="2"/>
        </w:rPr>
      </w:pPr>
    </w:p>
    <w:p w14:paraId="5A30867C" w14:textId="77777777" w:rsidR="00B81A31" w:rsidRPr="007D413D" w:rsidRDefault="00B81A31" w:rsidP="00B81A31">
      <w:pPr>
        <w:widowControl w:val="0"/>
        <w:spacing w:line="240" w:lineRule="auto"/>
        <w:jc w:val="both"/>
        <w:rPr>
          <w:rFonts w:eastAsia="DengXian" w:cs="Times New Roman"/>
          <w:kern w:val="2"/>
        </w:rPr>
      </w:pPr>
    </w:p>
    <w:p w14:paraId="12A43AC9" w14:textId="77777777" w:rsidR="00B81A31" w:rsidRPr="007D413D" w:rsidRDefault="00B81A31" w:rsidP="00B81A31">
      <w:pPr>
        <w:widowControl w:val="0"/>
        <w:spacing w:line="240" w:lineRule="auto"/>
        <w:jc w:val="both"/>
        <w:rPr>
          <w:rFonts w:eastAsia="DengXian" w:cs="Times New Roman"/>
          <w:kern w:val="2"/>
        </w:rPr>
      </w:pPr>
    </w:p>
    <w:p w14:paraId="416FEE89" w14:textId="77777777" w:rsidR="00B81A31" w:rsidRPr="007D413D" w:rsidRDefault="00B81A31" w:rsidP="00B81A31">
      <w:pPr>
        <w:widowControl w:val="0"/>
        <w:spacing w:line="240" w:lineRule="auto"/>
        <w:jc w:val="both"/>
        <w:rPr>
          <w:rFonts w:eastAsia="DengXian" w:cs="Times New Roman"/>
          <w:kern w:val="2"/>
        </w:rPr>
      </w:pPr>
    </w:p>
    <w:p w14:paraId="7E1EDC7A" w14:textId="77777777" w:rsidR="00B81A31" w:rsidRPr="007D413D" w:rsidRDefault="00B81A31" w:rsidP="00B81A31">
      <w:pPr>
        <w:widowControl w:val="0"/>
        <w:spacing w:line="240" w:lineRule="auto"/>
        <w:jc w:val="both"/>
        <w:rPr>
          <w:rFonts w:eastAsia="DengXian" w:cs="Times New Roman"/>
          <w:kern w:val="2"/>
        </w:rPr>
      </w:pPr>
    </w:p>
    <w:p w14:paraId="00FD24F1" w14:textId="77777777" w:rsidR="00B81A31" w:rsidRPr="007D413D" w:rsidRDefault="00B81A31" w:rsidP="00B81A31">
      <w:pPr>
        <w:widowControl w:val="0"/>
        <w:spacing w:line="240" w:lineRule="auto"/>
        <w:jc w:val="both"/>
        <w:rPr>
          <w:rFonts w:eastAsia="DengXian" w:cs="Times New Roman"/>
          <w:kern w:val="2"/>
        </w:rPr>
      </w:pPr>
    </w:p>
    <w:p w14:paraId="0A7EE554" w14:textId="77777777" w:rsidR="00B81A31" w:rsidRPr="007D413D" w:rsidRDefault="00B81A31" w:rsidP="00B81A31">
      <w:pPr>
        <w:widowControl w:val="0"/>
        <w:spacing w:line="240" w:lineRule="auto"/>
        <w:jc w:val="both"/>
        <w:rPr>
          <w:rFonts w:eastAsia="DengXian" w:cs="Times New Roman"/>
          <w:kern w:val="2"/>
        </w:rPr>
      </w:pPr>
    </w:p>
    <w:p w14:paraId="41308EB3" w14:textId="77777777" w:rsidR="00B81A31" w:rsidRPr="007D413D" w:rsidRDefault="00B81A31" w:rsidP="00B81A31">
      <w:pPr>
        <w:widowControl w:val="0"/>
        <w:spacing w:line="240" w:lineRule="auto"/>
        <w:jc w:val="both"/>
        <w:rPr>
          <w:rFonts w:eastAsia="DengXian" w:cs="Times New Roman"/>
          <w:kern w:val="2"/>
        </w:rPr>
      </w:pPr>
    </w:p>
    <w:p w14:paraId="7EDF3D6E" w14:textId="77777777" w:rsidR="00B81A31" w:rsidRPr="007D413D" w:rsidRDefault="00B81A31" w:rsidP="00B81A31">
      <w:pPr>
        <w:widowControl w:val="0"/>
        <w:spacing w:line="240" w:lineRule="auto"/>
        <w:jc w:val="both"/>
        <w:rPr>
          <w:rFonts w:eastAsia="DengXian" w:cs="Times New Roman"/>
          <w:kern w:val="2"/>
        </w:rPr>
      </w:pPr>
    </w:p>
    <w:p w14:paraId="5544A9BC" w14:textId="77777777" w:rsidR="00B81A31" w:rsidRPr="007D413D" w:rsidRDefault="00B81A31" w:rsidP="00B81A31">
      <w:pPr>
        <w:widowControl w:val="0"/>
        <w:spacing w:line="240" w:lineRule="auto"/>
        <w:jc w:val="both"/>
        <w:rPr>
          <w:rFonts w:eastAsia="DengXian" w:cs="Times New Roman"/>
          <w:kern w:val="2"/>
        </w:rPr>
      </w:pPr>
    </w:p>
    <w:p w14:paraId="4630660A" w14:textId="77777777" w:rsidR="00B81A31" w:rsidRPr="007D413D" w:rsidRDefault="00B81A31" w:rsidP="00B81A31">
      <w:pPr>
        <w:widowControl w:val="0"/>
        <w:spacing w:line="240" w:lineRule="auto"/>
        <w:jc w:val="both"/>
        <w:rPr>
          <w:rFonts w:eastAsia="DengXian" w:cs="Times New Roman"/>
          <w:kern w:val="2"/>
        </w:rPr>
      </w:pPr>
    </w:p>
    <w:p w14:paraId="49C7782E" w14:textId="77777777" w:rsidR="00B81A31" w:rsidRPr="007D413D" w:rsidRDefault="00B81A31" w:rsidP="00B81A31">
      <w:pPr>
        <w:widowControl w:val="0"/>
        <w:spacing w:line="240" w:lineRule="auto"/>
        <w:jc w:val="both"/>
        <w:rPr>
          <w:rFonts w:eastAsia="DengXian" w:cs="Times New Roman"/>
          <w:kern w:val="2"/>
        </w:rPr>
      </w:pPr>
    </w:p>
    <w:p w14:paraId="045A61CB" w14:textId="77777777" w:rsidR="00B81A31" w:rsidRPr="007D413D" w:rsidRDefault="00B81A31" w:rsidP="00B81A31">
      <w:pPr>
        <w:widowControl w:val="0"/>
        <w:spacing w:line="240" w:lineRule="auto"/>
        <w:jc w:val="both"/>
        <w:rPr>
          <w:rFonts w:eastAsia="DengXian" w:cs="Times New Roman"/>
          <w:kern w:val="2"/>
        </w:rPr>
      </w:pPr>
    </w:p>
    <w:p w14:paraId="1A665D80" w14:textId="77777777" w:rsidR="00B81A31" w:rsidRPr="007D413D" w:rsidRDefault="00B81A31" w:rsidP="00B81A31">
      <w:pPr>
        <w:widowControl w:val="0"/>
        <w:spacing w:line="240" w:lineRule="auto"/>
        <w:jc w:val="both"/>
        <w:rPr>
          <w:rFonts w:eastAsia="DengXian" w:cs="Times New Roman"/>
          <w:kern w:val="2"/>
        </w:rPr>
      </w:pPr>
    </w:p>
    <w:p w14:paraId="641DA62E" w14:textId="77777777" w:rsidR="00B81A31" w:rsidRPr="007D413D" w:rsidRDefault="00B81A31" w:rsidP="00B81A31">
      <w:pPr>
        <w:widowControl w:val="0"/>
        <w:spacing w:line="240" w:lineRule="auto"/>
        <w:jc w:val="both"/>
        <w:rPr>
          <w:rFonts w:eastAsia="DengXian" w:cs="Times New Roman"/>
          <w:kern w:val="2"/>
        </w:rPr>
      </w:pPr>
    </w:p>
    <w:p w14:paraId="607D12C4" w14:textId="77777777" w:rsidR="00B81A31" w:rsidRPr="007D413D" w:rsidRDefault="00B81A31" w:rsidP="00B81A31">
      <w:pPr>
        <w:widowControl w:val="0"/>
        <w:spacing w:line="240" w:lineRule="auto"/>
        <w:jc w:val="both"/>
        <w:rPr>
          <w:rFonts w:eastAsia="DengXian" w:cs="Times New Roman"/>
          <w:kern w:val="2"/>
        </w:rPr>
      </w:pPr>
    </w:p>
    <w:p w14:paraId="3945E429" w14:textId="77777777" w:rsidR="00B81A31" w:rsidRPr="007D413D" w:rsidRDefault="00B81A31" w:rsidP="00B81A31">
      <w:pPr>
        <w:widowControl w:val="0"/>
        <w:spacing w:line="240" w:lineRule="auto"/>
        <w:jc w:val="both"/>
        <w:rPr>
          <w:rFonts w:eastAsia="DengXian" w:cs="Times New Roman"/>
          <w:kern w:val="2"/>
        </w:rPr>
      </w:pPr>
    </w:p>
    <w:p w14:paraId="494ED581" w14:textId="77777777" w:rsidR="00B81A31" w:rsidRPr="007D413D" w:rsidRDefault="00B81A31" w:rsidP="00B81A31">
      <w:pPr>
        <w:widowControl w:val="0"/>
        <w:spacing w:line="240" w:lineRule="auto"/>
        <w:jc w:val="both"/>
        <w:rPr>
          <w:rFonts w:eastAsia="DengXian" w:cs="Times New Roman"/>
          <w:kern w:val="2"/>
        </w:rPr>
      </w:pPr>
    </w:p>
    <w:p w14:paraId="7061A32E" w14:textId="77777777" w:rsidR="00B81A31" w:rsidRPr="007D413D" w:rsidRDefault="00B81A31" w:rsidP="00B81A31">
      <w:pPr>
        <w:widowControl w:val="0"/>
        <w:spacing w:line="240" w:lineRule="auto"/>
        <w:jc w:val="both"/>
        <w:rPr>
          <w:rFonts w:eastAsia="DengXian" w:cs="Times New Roman"/>
          <w:kern w:val="2"/>
        </w:rPr>
      </w:pPr>
    </w:p>
    <w:p w14:paraId="6CBE1C6F" w14:textId="77777777" w:rsidR="00B81A31" w:rsidRPr="007D413D" w:rsidRDefault="00B81A31" w:rsidP="00B81A31">
      <w:pPr>
        <w:widowControl w:val="0"/>
        <w:spacing w:line="240" w:lineRule="auto"/>
        <w:jc w:val="both"/>
        <w:rPr>
          <w:rFonts w:eastAsia="DengXian" w:cs="Times New Roman"/>
          <w:kern w:val="2"/>
        </w:rPr>
      </w:pPr>
    </w:p>
    <w:p w14:paraId="5455D0EC" w14:textId="77777777" w:rsidR="00B81A31" w:rsidRPr="007D413D" w:rsidRDefault="00B81A31" w:rsidP="00B81A31">
      <w:pPr>
        <w:widowControl w:val="0"/>
        <w:spacing w:line="240" w:lineRule="auto"/>
        <w:jc w:val="both"/>
        <w:rPr>
          <w:rFonts w:eastAsia="DengXian" w:cs="Times New Roman"/>
          <w:kern w:val="2"/>
        </w:rPr>
      </w:pPr>
    </w:p>
    <w:p w14:paraId="7B3CDEA6" w14:textId="77777777" w:rsidR="00B81A31" w:rsidRPr="007D413D" w:rsidRDefault="00B81A31" w:rsidP="00B81A31">
      <w:pPr>
        <w:widowControl w:val="0"/>
        <w:spacing w:line="240" w:lineRule="auto"/>
        <w:jc w:val="both"/>
        <w:rPr>
          <w:rFonts w:eastAsia="DengXian" w:cs="Times New Roman"/>
          <w:kern w:val="2"/>
        </w:rPr>
      </w:pPr>
    </w:p>
    <w:p w14:paraId="69367C3D" w14:textId="77777777" w:rsidR="00B81A31" w:rsidRPr="007D413D" w:rsidRDefault="00B81A31" w:rsidP="00B81A31">
      <w:pPr>
        <w:spacing w:after="160" w:line="259" w:lineRule="auto"/>
        <w:rPr>
          <w:rFonts w:eastAsia="DengXian" w:cs="Times New Roman"/>
          <w:kern w:val="2"/>
        </w:rPr>
      </w:pPr>
    </w:p>
    <w:p w14:paraId="3566F977" w14:textId="0F28351E" w:rsidR="00B81A31" w:rsidRPr="004A33E9" w:rsidRDefault="00B81A31" w:rsidP="00CD0784">
      <w:pPr>
        <w:spacing w:line="240" w:lineRule="auto"/>
        <w:rPr>
          <w:rFonts w:cs="Times New Roman"/>
        </w:rPr>
      </w:pPr>
      <w:r w:rsidRPr="007D413D">
        <w:rPr>
          <w:rFonts w:eastAsia="DengXian" w:cs="Times New Roman"/>
          <w:i/>
          <w:kern w:val="2"/>
        </w:rPr>
        <w:t>Note.</w:t>
      </w:r>
      <w:r w:rsidRPr="007D413D">
        <w:rPr>
          <w:rFonts w:eastAsia="DengXian" w:cs="Times New Roman"/>
          <w:kern w:val="2"/>
        </w:rPr>
        <w:t xml:space="preserve"> </w:t>
      </w:r>
      <w:r w:rsidR="00F133AA">
        <w:rPr>
          <w:rFonts w:eastAsia="DengXian" w:cs="Times New Roman"/>
          <w:kern w:val="2"/>
        </w:rPr>
        <w:t xml:space="preserve">* </w:t>
      </w:r>
      <w:r w:rsidRPr="007D413D">
        <w:rPr>
          <w:rFonts w:eastAsia="DengXian" w:cs="Times New Roman"/>
          <w:kern w:val="2"/>
        </w:rPr>
        <w:t xml:space="preserve">We excluded records if </w:t>
      </w:r>
      <w:r w:rsidR="00A93D41">
        <w:rPr>
          <w:rFonts w:eastAsia="DengXian" w:cs="Times New Roman"/>
          <w:kern w:val="2"/>
        </w:rPr>
        <w:t>a</w:t>
      </w:r>
      <w:r w:rsidR="00A93D41" w:rsidRPr="007D413D">
        <w:rPr>
          <w:rFonts w:eastAsia="DengXian" w:cs="Times New Roman"/>
          <w:kern w:val="2"/>
        </w:rPr>
        <w:t xml:space="preserve"> </w:t>
      </w:r>
      <w:r>
        <w:rPr>
          <w:rFonts w:eastAsia="DengXian" w:cs="Times New Roman"/>
          <w:kern w:val="2"/>
        </w:rPr>
        <w:t>second annotator</w:t>
      </w:r>
      <w:r w:rsidRPr="007D413D">
        <w:rPr>
          <w:rFonts w:eastAsia="DengXian" w:cs="Times New Roman"/>
          <w:kern w:val="2"/>
        </w:rPr>
        <w:t xml:space="preserve"> reported unreliable cooperation rates.</w:t>
      </w:r>
      <w:r w:rsidRPr="008E7852">
        <w:t xml:space="preserve"> </w:t>
      </w:r>
      <w:r w:rsidRPr="00F72526">
        <w:rPr>
          <w:rFonts w:eastAsia="DengXian" w:cs="Times New Roman"/>
          <w:kern w:val="2"/>
        </w:rPr>
        <w:t xml:space="preserve">After a second annotator re-checked the outcome variables for each study (e.g., proportion of cooperative choices, mean contributions), we identified 44 studies that had unreliable </w:t>
      </w:r>
      <w:r w:rsidRPr="004A33E9">
        <w:rPr>
          <w:rFonts w:eastAsia="DengXian" w:cs="Times New Roman"/>
          <w:kern w:val="2"/>
        </w:rPr>
        <w:t>cooperation rates due to several reasons (e.g., insufficient information to code cooperation rates).</w:t>
      </w:r>
      <w:r w:rsidR="004A33E9" w:rsidRPr="004A33E9">
        <w:rPr>
          <w:rFonts w:cs="Times New Roman"/>
        </w:rPr>
        <w:t xml:space="preserve"> †</w:t>
      </w:r>
      <w:r w:rsidRPr="004A33E9">
        <w:rPr>
          <w:rFonts w:eastAsia="DengXian" w:cs="Times New Roman"/>
          <w:kern w:val="2"/>
        </w:rPr>
        <w:t xml:space="preserve"> W</w:t>
      </w:r>
      <w:r>
        <w:rPr>
          <w:rFonts w:eastAsia="DengXian" w:cs="Times New Roman"/>
          <w:kern w:val="2"/>
        </w:rPr>
        <w:t xml:space="preserve">e excluded records if </w:t>
      </w:r>
      <w:r>
        <w:rPr>
          <w:rFonts w:cs="Times New Roman"/>
        </w:rPr>
        <w:t>t</w:t>
      </w:r>
      <w:r w:rsidRPr="007D413D">
        <w:rPr>
          <w:rFonts w:cs="Times New Roman"/>
        </w:rPr>
        <w:t xml:space="preserve">he sample was a duplicate </w:t>
      </w:r>
      <w:r>
        <w:rPr>
          <w:rFonts w:cs="Times New Roman"/>
        </w:rPr>
        <w:t>of</w:t>
      </w:r>
      <w:r w:rsidRPr="007D413D">
        <w:rPr>
          <w:rFonts w:cs="Times New Roman"/>
        </w:rPr>
        <w:t xml:space="preserve"> </w:t>
      </w:r>
      <w:r>
        <w:rPr>
          <w:rFonts w:cs="Times New Roman"/>
        </w:rPr>
        <w:t>other samples</w:t>
      </w:r>
      <w:r w:rsidRPr="007D413D">
        <w:rPr>
          <w:rFonts w:cs="Times New Roman"/>
        </w:rPr>
        <w:t xml:space="preserve"> (e.g., between the main study and its sub-studies). </w:t>
      </w:r>
      <w:r>
        <w:rPr>
          <w:rFonts w:cs="Times New Roman"/>
        </w:rPr>
        <w:t xml:space="preserve">During </w:t>
      </w:r>
      <w:r w:rsidRPr="0098392B">
        <w:rPr>
          <w:rFonts w:cs="Times New Roman"/>
        </w:rPr>
        <w:t>data wrangling</w:t>
      </w:r>
      <w:r>
        <w:rPr>
          <w:rFonts w:cs="Times New Roman"/>
        </w:rPr>
        <w:t>,</w:t>
      </w:r>
      <w:r w:rsidRPr="0098392B">
        <w:rPr>
          <w:rFonts w:cs="Times New Roman"/>
        </w:rPr>
        <w:t xml:space="preserve"> </w:t>
      </w:r>
      <w:r>
        <w:rPr>
          <w:rFonts w:cs="Times New Roman"/>
        </w:rPr>
        <w:t>i</w:t>
      </w:r>
      <w:r w:rsidRPr="007D413D">
        <w:rPr>
          <w:rFonts w:cs="Times New Roman"/>
        </w:rPr>
        <w:t xml:space="preserve">f a study involved cooperation measures in different dilemmas or countries, sub-studies were coded for describing the sample and study characteristics separately. Therefore, we removed information about the main (overall) study to avoid duplicates when sub-studies were </w:t>
      </w:r>
      <w:r w:rsidRPr="004A33E9">
        <w:rPr>
          <w:rFonts w:cs="Times New Roman"/>
        </w:rPr>
        <w:t xml:space="preserve">available. </w:t>
      </w:r>
      <w:r w:rsidR="004A33E9" w:rsidRPr="004A33E9">
        <w:rPr>
          <w:rFonts w:cs="Times New Roman"/>
        </w:rPr>
        <w:t xml:space="preserve">‡ </w:t>
      </w:r>
      <w:r w:rsidRPr="004A33E9">
        <w:rPr>
          <w:rFonts w:cs="Times New Roman"/>
        </w:rPr>
        <w:t>We exclud</w:t>
      </w:r>
      <w:r>
        <w:rPr>
          <w:rFonts w:cs="Times New Roman"/>
        </w:rPr>
        <w:t>ed records if there was no sufficient information to compute the v</w:t>
      </w:r>
      <w:r w:rsidRPr="007D413D">
        <w:rPr>
          <w:rFonts w:cs="Times New Roman"/>
        </w:rPr>
        <w:t xml:space="preserve">ariance of the cooperation estimate. </w:t>
      </w:r>
      <w:r>
        <w:rPr>
          <w:rFonts w:cs="Times New Roman"/>
        </w:rPr>
        <w:t>For example, the</w:t>
      </w:r>
      <w:r w:rsidRPr="007D413D">
        <w:rPr>
          <w:rFonts w:cs="Times New Roman"/>
        </w:rPr>
        <w:t xml:space="preserve"> </w:t>
      </w:r>
      <w:r w:rsidRPr="007D413D">
        <w:rPr>
          <w:rFonts w:cs="Times New Roman"/>
        </w:rPr>
        <w:lastRenderedPageBreak/>
        <w:t>lower limit and upper limit of choice options w</w:t>
      </w:r>
      <w:r>
        <w:rPr>
          <w:rFonts w:cs="Times New Roman"/>
        </w:rPr>
        <w:t>ere</w:t>
      </w:r>
      <w:r w:rsidRPr="007D413D">
        <w:rPr>
          <w:rFonts w:cs="Times New Roman"/>
        </w:rPr>
        <w:t xml:space="preserve"> required for computing the variance of the logit-transformed cooperation rates (see formulas </w:t>
      </w:r>
      <w:r w:rsidR="00575A03">
        <w:rPr>
          <w:rFonts w:cs="Times New Roman"/>
        </w:rPr>
        <w:t>2</w:t>
      </w:r>
      <w:r w:rsidRPr="007D413D">
        <w:rPr>
          <w:rFonts w:cs="Times New Roman"/>
        </w:rPr>
        <w:t xml:space="preserve">b, </w:t>
      </w:r>
      <w:r w:rsidR="00575A03">
        <w:rPr>
          <w:rFonts w:cs="Times New Roman"/>
        </w:rPr>
        <w:t>3</w:t>
      </w:r>
      <w:r w:rsidRPr="007D413D">
        <w:rPr>
          <w:rFonts w:cs="Times New Roman"/>
        </w:rPr>
        <w:t xml:space="preserve">, </w:t>
      </w:r>
      <w:r w:rsidR="00575A03">
        <w:rPr>
          <w:rFonts w:cs="Times New Roman"/>
        </w:rPr>
        <w:t>4</w:t>
      </w:r>
      <w:r w:rsidRPr="007D413D">
        <w:rPr>
          <w:rFonts w:cs="Times New Roman"/>
        </w:rPr>
        <w:t>b-</w:t>
      </w:r>
      <w:r w:rsidR="00575A03">
        <w:rPr>
          <w:rFonts w:cs="Times New Roman"/>
        </w:rPr>
        <w:t>4</w:t>
      </w:r>
      <w:r w:rsidRPr="007D413D">
        <w:rPr>
          <w:rFonts w:cs="Times New Roman"/>
        </w:rPr>
        <w:t>c</w:t>
      </w:r>
      <w:r w:rsidR="00EA2661">
        <w:rPr>
          <w:rFonts w:cs="Times New Roman"/>
        </w:rPr>
        <w:t xml:space="preserve"> in the main text</w:t>
      </w:r>
      <w:r w:rsidRPr="007D413D">
        <w:rPr>
          <w:rFonts w:cs="Times New Roman"/>
        </w:rPr>
        <w:t>). We excluded studies if</w:t>
      </w:r>
      <w:r>
        <w:rPr>
          <w:rFonts w:cs="Times New Roman"/>
        </w:rPr>
        <w:t xml:space="preserve"> this</w:t>
      </w:r>
      <w:r w:rsidRPr="007D413D">
        <w:rPr>
          <w:rFonts w:cs="Times New Roman"/>
        </w:rPr>
        <w:t xml:space="preserve"> information was not</w:t>
      </w:r>
      <w:r>
        <w:rPr>
          <w:rFonts w:cs="Times New Roman"/>
        </w:rPr>
        <w:t xml:space="preserve"> provided</w:t>
      </w:r>
      <w:r w:rsidRPr="007D413D">
        <w:rPr>
          <w:rFonts w:cs="Times New Roman"/>
        </w:rPr>
        <w:t>.</w:t>
      </w:r>
      <w:r w:rsidRPr="009C18F4">
        <w:rPr>
          <w:rFonts w:cs="Times New Roman"/>
        </w:rPr>
        <w:t xml:space="preserve"> </w:t>
      </w:r>
      <w:r>
        <w:rPr>
          <w:rFonts w:cs="Times New Roman"/>
        </w:rPr>
        <w:t>That said, for the</w:t>
      </w:r>
      <w:r w:rsidRPr="007D413D">
        <w:rPr>
          <w:rFonts w:cs="Times New Roman"/>
        </w:rPr>
        <w:t xml:space="preserve"> continuous-choice games, we </w:t>
      </w:r>
      <w:r>
        <w:rPr>
          <w:rFonts w:cs="Times New Roman"/>
        </w:rPr>
        <w:t>did not exclude studies that failed to report the standard deviation of cooperation. In these cases, we used</w:t>
      </w:r>
      <w:r w:rsidRPr="007D413D">
        <w:rPr>
          <w:rFonts w:cs="Times New Roman"/>
        </w:rPr>
        <w:t xml:space="preserve"> the median </w:t>
      </w:r>
      <w:r>
        <w:rPr>
          <w:rFonts w:cs="Times New Roman"/>
        </w:rPr>
        <w:t xml:space="preserve">value </w:t>
      </w:r>
      <w:r w:rsidRPr="007D413D">
        <w:rPr>
          <w:rFonts w:cs="Times New Roman"/>
        </w:rPr>
        <w:t>of</w:t>
      </w:r>
      <w:r>
        <w:rPr>
          <w:rFonts w:cs="Times New Roman"/>
        </w:rPr>
        <w:t xml:space="preserve"> the</w:t>
      </w:r>
      <w:r w:rsidRPr="007D413D">
        <w:rPr>
          <w:rFonts w:cs="Times New Roman"/>
        </w:rPr>
        <w:t xml:space="preserve"> coefficient of </w:t>
      </w:r>
      <w:r w:rsidRPr="008B0E58">
        <w:rPr>
          <w:rFonts w:cs="Times New Roman"/>
        </w:rPr>
        <w:t>variation</w:t>
      </w:r>
      <w:r w:rsidRPr="008B0E58" w:rsidDel="008B0E58">
        <w:rPr>
          <w:rFonts w:cs="Times New Roman"/>
        </w:rPr>
        <w:t xml:space="preserve"> </w:t>
      </w:r>
      <w:r>
        <w:rPr>
          <w:rFonts w:cs="Times New Roman"/>
        </w:rPr>
        <w:t>as an estimate of the variance in cooperation.</w:t>
      </w:r>
      <w:bookmarkEnd w:id="5"/>
    </w:p>
    <w:p w14:paraId="09BFBCC9" w14:textId="50CC1864" w:rsidR="00B81A31" w:rsidRDefault="00B81A31">
      <w:pPr>
        <w:spacing w:after="160" w:line="259" w:lineRule="auto"/>
        <w:rPr>
          <w:rFonts w:eastAsia="Times New Roman" w:cs="Times New Roman"/>
          <w:b/>
          <w:color w:val="000000"/>
        </w:rPr>
      </w:pPr>
      <w:r>
        <w:rPr>
          <w:rFonts w:eastAsia="Times New Roman" w:cs="Times New Roman"/>
          <w:b/>
          <w:color w:val="000000"/>
        </w:rPr>
        <w:br w:type="page"/>
      </w:r>
    </w:p>
    <w:p w14:paraId="0E94E0E1" w14:textId="04B7A8AE" w:rsidR="004D66D6" w:rsidRDefault="00575A03" w:rsidP="004D66D6">
      <w:pPr>
        <w:pStyle w:val="Heading1"/>
        <w:rPr>
          <w:lang w:eastAsia="zh-CN"/>
        </w:rPr>
      </w:pPr>
      <w:bookmarkStart w:id="7" w:name="_Toc169458474"/>
      <w:r>
        <w:lastRenderedPageBreak/>
        <w:t>4</w:t>
      </w:r>
      <w:r w:rsidR="00BB15D3">
        <w:t>.</w:t>
      </w:r>
      <w:r w:rsidR="000D7863">
        <w:t xml:space="preserve"> </w:t>
      </w:r>
      <w:r w:rsidR="004D66D6">
        <w:rPr>
          <w:rFonts w:hint="eastAsia"/>
          <w:lang w:eastAsia="zh-CN"/>
        </w:rPr>
        <w:t>Derivation of the Formula for Computing Variance</w:t>
      </w:r>
      <w:bookmarkEnd w:id="7"/>
    </w:p>
    <w:p w14:paraId="737C41C6" w14:textId="5D71F0AE" w:rsidR="004D66D6" w:rsidRPr="004D66D6" w:rsidRDefault="004D66D6" w:rsidP="00486F60">
      <w:pPr>
        <w:ind w:firstLine="709"/>
        <w:rPr>
          <w:lang w:val="en-GB" w:eastAsia="zh-CN"/>
        </w:rPr>
      </w:pPr>
      <w:r w:rsidRPr="004D66D6">
        <w:rPr>
          <w:lang w:val="en-GB"/>
        </w:rPr>
        <w:t xml:space="preserve">The formula for the </w:t>
      </w:r>
      <w:r w:rsidR="00840CD3">
        <w:rPr>
          <w:rFonts w:hint="eastAsia"/>
          <w:lang w:val="en-GB" w:eastAsia="zh-CN"/>
        </w:rPr>
        <w:t xml:space="preserve">sampling </w:t>
      </w:r>
      <w:r w:rsidR="00840CD3">
        <w:rPr>
          <w:lang w:val="en-GB" w:eastAsia="zh-CN"/>
        </w:rPr>
        <w:t>variance</w:t>
      </w:r>
      <w:r w:rsidR="00840CD3">
        <w:rPr>
          <w:rFonts w:hint="eastAsia"/>
          <w:lang w:val="en-GB" w:eastAsia="zh-CN"/>
        </w:rPr>
        <w:t xml:space="preserve"> of the logit of the proportions calculated from </w:t>
      </w:r>
      <w:r w:rsidRPr="004D66D6">
        <w:rPr>
          <w:lang w:val="en-GB"/>
        </w:rPr>
        <w:t>dichotomous outcomes</w:t>
      </w:r>
      <w:r w:rsidR="00840CD3">
        <w:rPr>
          <w:rFonts w:hint="eastAsia"/>
          <w:lang w:val="en-GB" w:eastAsia="zh-CN"/>
        </w:rPr>
        <w:t xml:space="preserve"> </w:t>
      </w:r>
      <w:r w:rsidR="006826FB">
        <w:rPr>
          <w:rFonts w:hint="eastAsia"/>
          <w:lang w:val="en-GB" w:eastAsia="zh-CN"/>
        </w:rPr>
        <w:t>(</w:t>
      </w:r>
      <w:r w:rsidR="00840CD3">
        <w:rPr>
          <w:rFonts w:hint="eastAsia"/>
          <w:lang w:val="en-GB" w:eastAsia="zh-CN"/>
        </w:rPr>
        <w:t>formula 4a</w:t>
      </w:r>
      <w:r w:rsidR="006826FB">
        <w:rPr>
          <w:rFonts w:hint="eastAsia"/>
          <w:lang w:val="en-GB" w:eastAsia="zh-CN"/>
        </w:rPr>
        <w:t>)</w:t>
      </w:r>
      <w:r w:rsidR="00840CD3">
        <w:rPr>
          <w:rFonts w:hint="eastAsia"/>
          <w:lang w:val="en-GB" w:eastAsia="zh-CN"/>
        </w:rPr>
        <w:t xml:space="preserve"> </w:t>
      </w:r>
      <w:r w:rsidRPr="004D66D6">
        <w:rPr>
          <w:lang w:val="en-GB"/>
        </w:rPr>
        <w:t xml:space="preserve">was retrieved from the book </w:t>
      </w:r>
      <w:r w:rsidRPr="004D66D6">
        <w:rPr>
          <w:i/>
          <w:iCs/>
          <w:lang w:val="en-GB"/>
        </w:rPr>
        <w:t>Practical Meta-Analysis</w:t>
      </w:r>
      <w:r w:rsidRPr="004D66D6">
        <w:rPr>
          <w:lang w:val="en-GB"/>
        </w:rPr>
        <w:t xml:space="preserve"> (Lipsey &amp; Wilson, 200</w:t>
      </w:r>
      <w:r w:rsidRPr="004D66D6">
        <w:rPr>
          <w:rFonts w:hint="eastAsia"/>
          <w:lang w:val="en-GB"/>
        </w:rPr>
        <w:t>1</w:t>
      </w:r>
      <w:r w:rsidRPr="004D66D6">
        <w:rPr>
          <w:lang w:val="en-GB"/>
        </w:rPr>
        <w:t xml:space="preserve">, p. 40). The formula </w:t>
      </w:r>
      <w:r w:rsidR="00EF75F6">
        <w:rPr>
          <w:lang w:val="en-GB"/>
        </w:rPr>
        <w:t>for the</w:t>
      </w:r>
      <w:r w:rsidR="00EF75F6">
        <w:rPr>
          <w:rFonts w:hint="eastAsia"/>
          <w:lang w:val="en-GB" w:eastAsia="zh-CN"/>
        </w:rPr>
        <w:t xml:space="preserve"> sampling variance of</w:t>
      </w:r>
      <w:r w:rsidRPr="004D66D6">
        <w:rPr>
          <w:lang w:val="en-GB"/>
        </w:rPr>
        <w:t xml:space="preserve"> the continuous outcomes</w:t>
      </w:r>
      <w:r w:rsidR="00E1011D">
        <w:rPr>
          <w:rFonts w:hint="eastAsia"/>
          <w:lang w:val="en-GB" w:eastAsia="zh-CN"/>
        </w:rPr>
        <w:t xml:space="preserve"> </w:t>
      </w:r>
      <w:r w:rsidR="006826FB">
        <w:rPr>
          <w:rFonts w:hint="eastAsia"/>
          <w:lang w:val="en-GB" w:eastAsia="zh-CN"/>
        </w:rPr>
        <w:t>(</w:t>
      </w:r>
      <w:r w:rsidR="00E1011D">
        <w:rPr>
          <w:rFonts w:hint="eastAsia"/>
          <w:lang w:val="en-GB" w:eastAsia="zh-CN"/>
        </w:rPr>
        <w:t>formula 4b</w:t>
      </w:r>
      <w:r w:rsidR="006826FB">
        <w:rPr>
          <w:rFonts w:hint="eastAsia"/>
          <w:lang w:val="en-GB" w:eastAsia="zh-CN"/>
        </w:rPr>
        <w:t>)</w:t>
      </w:r>
      <w:r w:rsidRPr="004D66D6">
        <w:rPr>
          <w:lang w:val="en-GB"/>
        </w:rPr>
        <w:t xml:space="preserve"> was originally derived in consultation with </w:t>
      </w:r>
      <w:proofErr w:type="spellStart"/>
      <w:r w:rsidR="00DF15A4">
        <w:rPr>
          <w:rFonts w:hint="eastAsia"/>
          <w:lang w:val="en-GB" w:eastAsia="zh-CN"/>
        </w:rPr>
        <w:t>Dr.</w:t>
      </w:r>
      <w:proofErr w:type="spellEnd"/>
      <w:r w:rsidR="00DF15A4">
        <w:rPr>
          <w:rFonts w:hint="eastAsia"/>
          <w:lang w:val="en-GB" w:eastAsia="zh-CN"/>
        </w:rPr>
        <w:t xml:space="preserve"> </w:t>
      </w:r>
      <w:r w:rsidRPr="004D66D6">
        <w:rPr>
          <w:lang w:val="en-GB"/>
        </w:rPr>
        <w:t xml:space="preserve">Wolfgang </w:t>
      </w:r>
      <w:proofErr w:type="spellStart"/>
      <w:r w:rsidRPr="004D66D6">
        <w:rPr>
          <w:lang w:val="en-GB"/>
        </w:rPr>
        <w:t>Viechtbauer</w:t>
      </w:r>
      <w:proofErr w:type="spellEnd"/>
      <w:r w:rsidRPr="004D66D6">
        <w:rPr>
          <w:lang w:val="en-GB"/>
        </w:rPr>
        <w:t xml:space="preserve">, the author of the </w:t>
      </w:r>
      <w:proofErr w:type="spellStart"/>
      <w:r w:rsidRPr="004D66D6">
        <w:rPr>
          <w:i/>
          <w:iCs/>
          <w:lang w:val="en-GB"/>
        </w:rPr>
        <w:t>metafor</w:t>
      </w:r>
      <w:proofErr w:type="spellEnd"/>
      <w:r w:rsidRPr="004D66D6">
        <w:rPr>
          <w:lang w:val="en-GB"/>
        </w:rPr>
        <w:t xml:space="preserve"> package in R</w:t>
      </w:r>
      <w:r w:rsidR="005708D5">
        <w:rPr>
          <w:rFonts w:hint="eastAsia"/>
          <w:lang w:val="en-GB" w:eastAsia="zh-CN"/>
        </w:rPr>
        <w:t>,</w:t>
      </w:r>
      <w:r w:rsidRPr="004D66D6">
        <w:rPr>
          <w:lang w:val="en-GB"/>
        </w:rPr>
        <w:t xml:space="preserve"> and </w:t>
      </w:r>
      <w:r w:rsidR="00816C05">
        <w:rPr>
          <w:rFonts w:hint="eastAsia"/>
          <w:lang w:val="en-GB" w:eastAsia="zh-CN"/>
        </w:rPr>
        <w:t xml:space="preserve">has been </w:t>
      </w:r>
      <w:r w:rsidRPr="004D66D6">
        <w:rPr>
          <w:rFonts w:hint="eastAsia"/>
          <w:lang w:val="en-GB"/>
        </w:rPr>
        <w:t>used in previous meta-analytic papers (Spadaro, Graf, et al., 2022;</w:t>
      </w:r>
      <w:r w:rsidRPr="004D66D6">
        <w:rPr>
          <w:lang w:val="en-GB"/>
        </w:rPr>
        <w:t xml:space="preserve"> Yuan et al., 2022</w:t>
      </w:r>
      <w:r w:rsidRPr="004D66D6">
        <w:rPr>
          <w:rFonts w:hint="eastAsia"/>
          <w:lang w:val="en-GB"/>
        </w:rPr>
        <w:t xml:space="preserve">). </w:t>
      </w:r>
      <w:r w:rsidRPr="004D66D6">
        <w:rPr>
          <w:lang w:val="en-GB"/>
        </w:rPr>
        <w:t xml:space="preserve">We provide derivation </w:t>
      </w:r>
      <w:r w:rsidR="006826FB">
        <w:rPr>
          <w:rFonts w:hint="eastAsia"/>
          <w:lang w:val="en-GB" w:eastAsia="zh-CN"/>
        </w:rPr>
        <w:t>of</w:t>
      </w:r>
      <w:r w:rsidRPr="004D66D6">
        <w:rPr>
          <w:lang w:val="en-GB"/>
        </w:rPr>
        <w:t xml:space="preserve"> </w:t>
      </w:r>
      <w:r w:rsidR="00E1011D">
        <w:rPr>
          <w:rFonts w:hint="eastAsia"/>
          <w:lang w:val="en-GB" w:eastAsia="zh-CN"/>
        </w:rPr>
        <w:t xml:space="preserve">formula </w:t>
      </w:r>
      <w:r w:rsidR="006826FB">
        <w:rPr>
          <w:rFonts w:hint="eastAsia"/>
          <w:lang w:val="en-GB" w:eastAsia="zh-CN"/>
        </w:rPr>
        <w:t>4b</w:t>
      </w:r>
      <w:r w:rsidRPr="004D66D6">
        <w:rPr>
          <w:lang w:val="en-GB"/>
        </w:rPr>
        <w:t xml:space="preserve"> below</w:t>
      </w:r>
      <w:r w:rsidR="004873B1">
        <w:rPr>
          <w:rFonts w:hint="eastAsia"/>
          <w:lang w:val="en-GB" w:eastAsia="zh-CN"/>
        </w:rPr>
        <w:t>.</w:t>
      </w:r>
    </w:p>
    <w:p w14:paraId="35CED8B9" w14:textId="271EA887" w:rsidR="004D66D6" w:rsidRPr="004D66D6" w:rsidRDefault="004D66D6" w:rsidP="004873B1">
      <w:pPr>
        <w:rPr>
          <w:lang w:val="en-GB"/>
        </w:rPr>
      </w:pPr>
      <w:r w:rsidRPr="004D66D6">
        <w:rPr>
          <w:lang w:val="en-GB"/>
        </w:rPr>
        <w:t xml:space="preserve">The logit function for a probability </w:t>
      </w:r>
      <w:r w:rsidRPr="004D66D6">
        <w:rPr>
          <w:i/>
          <w:iCs/>
          <w:lang w:val="en-GB"/>
        </w:rPr>
        <w:t>p</w:t>
      </w:r>
      <w:r w:rsidRPr="004D66D6">
        <w:rPr>
          <w:lang w:val="en-GB"/>
        </w:rPr>
        <w:t xml:space="preserve"> is given by:</w:t>
      </w:r>
    </w:p>
    <w:p w14:paraId="1BBFC586" w14:textId="5E33F7DE" w:rsidR="004D66D6" w:rsidRPr="004D66D6" w:rsidRDefault="004D66D6" w:rsidP="00A64314">
      <w:pPr>
        <w:rPr>
          <w:lang w:val="en-GB"/>
        </w:rPr>
      </w:pPr>
      <m:oMathPara>
        <m:oMath>
          <m:r>
            <m:rPr>
              <m:sty m:val="p"/>
            </m:rPr>
            <w:rPr>
              <w:rFonts w:ascii="Cambria Math" w:hAnsi="Cambria Math"/>
              <w:lang w:val="en-GB"/>
            </w:rPr>
            <m:t>logit</m:t>
          </m:r>
          <m:d>
            <m:dPr>
              <m:ctrlPr>
                <w:rPr>
                  <w:rFonts w:ascii="Cambria Math" w:hAnsi="Cambria Math"/>
                  <w:iCs/>
                </w:rPr>
              </m:ctrlPr>
            </m:dPr>
            <m:e>
              <m:r>
                <w:rPr>
                  <w:rFonts w:ascii="Cambria Math" w:hAnsi="Cambria Math"/>
                </w:rPr>
                <m:t>p</m:t>
              </m:r>
            </m:e>
          </m:d>
          <m:r>
            <w:rPr>
              <w:rFonts w:ascii="Cambria Math" w:hAnsi="Cambria Math"/>
              <w:lang w:val="en-GB"/>
            </w:rPr>
            <m:t xml:space="preserve">= </m:t>
          </m:r>
          <m:func>
            <m:funcPr>
              <m:ctrlPr>
                <w:rPr>
                  <w:rFonts w:ascii="Cambria Math" w:hAnsi="Cambria Math"/>
                  <w:i/>
                </w:rPr>
              </m:ctrlPr>
            </m:funcPr>
            <m:fName>
              <m:sSub>
                <m:sSubPr>
                  <m:ctrlPr>
                    <w:rPr>
                      <w:rFonts w:ascii="Cambria Math" w:hAnsi="Cambria Math"/>
                    </w:rPr>
                  </m:ctrlPr>
                </m:sSubPr>
                <m:e>
                  <m:r>
                    <m:rPr>
                      <m:nor/>
                    </m:rPr>
                    <w:rPr>
                      <w:lang w:val="en-GB"/>
                    </w:rPr>
                    <m:t>log</m:t>
                  </m:r>
                </m:e>
                <m:sub>
                  <m:r>
                    <w:rPr>
                      <w:rFonts w:ascii="Cambria Math" w:hAnsi="Cambria Math"/>
                    </w:rPr>
                    <m:t>e</m:t>
                  </m:r>
                </m:sub>
              </m:sSub>
            </m:fName>
            <m:e>
              <m:d>
                <m:dPr>
                  <m:ctrlPr>
                    <w:rPr>
                      <w:rFonts w:ascii="Cambria Math" w:hAnsi="Cambria Math"/>
                      <w:i/>
                    </w:rPr>
                  </m:ctrlPr>
                </m:dPr>
                <m:e>
                  <m:f>
                    <m:fPr>
                      <m:ctrlPr>
                        <w:rPr>
                          <w:rFonts w:ascii="Cambria Math" w:hAnsi="Cambria Math"/>
                          <w:i/>
                        </w:rPr>
                      </m:ctrlPr>
                    </m:fPr>
                    <m:num>
                      <m:r>
                        <w:rPr>
                          <w:rFonts w:ascii="Cambria Math" w:hAnsi="Cambria Math"/>
                        </w:rPr>
                        <m:t>p</m:t>
                      </m:r>
                    </m:num>
                    <m:den>
                      <m:r>
                        <w:rPr>
                          <w:rFonts w:ascii="Cambria Math" w:hAnsi="Cambria Math"/>
                          <w:lang w:val="en-GB"/>
                        </w:rPr>
                        <m:t>1-</m:t>
                      </m:r>
                      <m:r>
                        <w:rPr>
                          <w:rFonts w:ascii="Cambria Math" w:hAnsi="Cambria Math"/>
                        </w:rPr>
                        <m:t>p</m:t>
                      </m:r>
                    </m:den>
                  </m:f>
                </m:e>
              </m:d>
            </m:e>
          </m:func>
        </m:oMath>
      </m:oMathPara>
    </w:p>
    <w:p w14:paraId="2E7450C5" w14:textId="0B2675A1" w:rsidR="004D66D6" w:rsidRPr="004D66D6" w:rsidRDefault="004D66D6" w:rsidP="004873B1">
      <w:pPr>
        <w:rPr>
          <w:lang w:val="en-GB"/>
        </w:rPr>
      </w:pPr>
      <w:r w:rsidRPr="004D66D6">
        <w:rPr>
          <w:lang w:val="en-GB"/>
        </w:rPr>
        <w:t xml:space="preserve">For continuous outcomes, we need to replace </w:t>
      </w:r>
      <w:r w:rsidRPr="004D66D6">
        <w:rPr>
          <w:i/>
          <w:iCs/>
          <w:lang w:val="en-GB"/>
        </w:rPr>
        <w:t>p</w:t>
      </w:r>
      <w:r w:rsidRPr="004D66D6">
        <w:rPr>
          <w:lang w:val="en-GB"/>
        </w:rPr>
        <w:t xml:space="preserve"> with </w:t>
      </w:r>
      <m:oMath>
        <m:f>
          <m:fPr>
            <m:ctrlPr>
              <w:rPr>
                <w:rFonts w:ascii="Cambria Math" w:hAnsi="Cambria Math"/>
                <w:i/>
                <w:iCs/>
              </w:rPr>
            </m:ctrlPr>
          </m:fPr>
          <m:num>
            <m:r>
              <w:rPr>
                <w:rFonts w:ascii="Cambria Math" w:hAnsi="Cambria Math"/>
              </w:rPr>
              <m:t>M-</m:t>
            </m:r>
            <m:sSub>
              <m:sSubPr>
                <m:ctrlPr>
                  <w:rPr>
                    <w:rFonts w:ascii="Cambria Math" w:hAnsi="Cambria Math"/>
                    <w:i/>
                    <w:iCs/>
                  </w:rPr>
                </m:ctrlPr>
              </m:sSubPr>
              <m:e>
                <m:r>
                  <w:rPr>
                    <w:rFonts w:ascii="Cambria Math" w:hAnsi="Cambria Math"/>
                  </w:rPr>
                  <m:t>E</m:t>
                </m:r>
              </m:e>
              <m:sub>
                <m:r>
                  <w:rPr>
                    <w:rFonts w:ascii="Cambria Math" w:hAnsi="Cambria Math"/>
                  </w:rPr>
                  <m:t>LL</m:t>
                </m:r>
              </m:sub>
            </m:sSub>
          </m:num>
          <m:den>
            <m:sSub>
              <m:sSubPr>
                <m:ctrlPr>
                  <w:rPr>
                    <w:rFonts w:ascii="Cambria Math" w:hAnsi="Cambria Math"/>
                    <w:i/>
                    <w:iCs/>
                  </w:rPr>
                </m:ctrlPr>
              </m:sSubPr>
              <m:e>
                <m:r>
                  <w:rPr>
                    <w:rFonts w:ascii="Cambria Math" w:hAnsi="Cambria Math"/>
                  </w:rPr>
                  <m:t>E</m:t>
                </m:r>
              </m:e>
              <m:sub>
                <m:r>
                  <w:rPr>
                    <w:rFonts w:ascii="Cambria Math" w:hAnsi="Cambria Math"/>
                  </w:rPr>
                  <m:t>UL</m:t>
                </m:r>
              </m:sub>
            </m:sSub>
            <m:r>
              <w:rPr>
                <w:rFonts w:ascii="Cambria Math" w:hAnsi="Cambria Math"/>
              </w:rPr>
              <m:t>-</m:t>
            </m:r>
            <m:sSub>
              <m:sSubPr>
                <m:ctrlPr>
                  <w:rPr>
                    <w:rFonts w:ascii="Cambria Math" w:hAnsi="Cambria Math"/>
                    <w:i/>
                    <w:iCs/>
                  </w:rPr>
                </m:ctrlPr>
              </m:sSubPr>
              <m:e>
                <m:r>
                  <w:rPr>
                    <w:rFonts w:ascii="Cambria Math" w:hAnsi="Cambria Math"/>
                  </w:rPr>
                  <m:t>E</m:t>
                </m:r>
              </m:e>
              <m:sub>
                <m:r>
                  <w:rPr>
                    <w:rFonts w:ascii="Cambria Math" w:hAnsi="Cambria Math"/>
                  </w:rPr>
                  <m:t>LL</m:t>
                </m:r>
              </m:sub>
            </m:sSub>
          </m:den>
        </m:f>
      </m:oMath>
      <w:r w:rsidRPr="004D66D6">
        <w:rPr>
          <w:lang w:val="en-GB"/>
        </w:rPr>
        <w:t xml:space="preserve">, where </w:t>
      </w:r>
      <w:r w:rsidRPr="004D66D6">
        <w:rPr>
          <w:i/>
          <w:iCs/>
          <w:lang w:val="en-GB"/>
        </w:rPr>
        <w:t>M</w:t>
      </w:r>
      <w:r w:rsidRPr="004D66D6">
        <w:rPr>
          <w:lang w:val="en-GB"/>
        </w:rPr>
        <w:t xml:space="preserve"> is the mean contributions, </w:t>
      </w:r>
      <m:oMath>
        <m:sSub>
          <m:sSubPr>
            <m:ctrlPr>
              <w:rPr>
                <w:rFonts w:ascii="Cambria Math" w:hAnsi="Cambria Math"/>
                <w:i/>
                <w:iCs/>
              </w:rPr>
            </m:ctrlPr>
          </m:sSubPr>
          <m:e>
            <m:r>
              <w:rPr>
                <w:rFonts w:ascii="Cambria Math" w:hAnsi="Cambria Math"/>
              </w:rPr>
              <m:t>E</m:t>
            </m:r>
          </m:e>
          <m:sub>
            <m:r>
              <w:rPr>
                <w:rFonts w:ascii="Cambria Math" w:hAnsi="Cambria Math"/>
              </w:rPr>
              <m:t>UL</m:t>
            </m:r>
          </m:sub>
        </m:sSub>
      </m:oMath>
      <w:r w:rsidRPr="004D66D6">
        <w:rPr>
          <w:iCs/>
        </w:rPr>
        <w:t xml:space="preserve"> is the upper limit of the choice options, </w:t>
      </w:r>
      <w:bookmarkStart w:id="8" w:name="_Hlk158076974"/>
      <m:oMath>
        <m:sSub>
          <m:sSubPr>
            <m:ctrlPr>
              <w:rPr>
                <w:rFonts w:ascii="Cambria Math" w:hAnsi="Cambria Math"/>
                <w:i/>
              </w:rPr>
            </m:ctrlPr>
          </m:sSubPr>
          <m:e>
            <m:r>
              <w:rPr>
                <w:rFonts w:ascii="Cambria Math" w:hAnsi="Cambria Math"/>
              </w:rPr>
              <m:t>E</m:t>
            </m:r>
          </m:e>
          <m:sub>
            <m:r>
              <w:rPr>
                <w:rFonts w:ascii="Cambria Math" w:hAnsi="Cambria Math"/>
              </w:rPr>
              <m:t>LL</m:t>
            </m:r>
          </m:sub>
        </m:sSub>
      </m:oMath>
      <w:r w:rsidRPr="004D66D6">
        <w:t xml:space="preserve"> is the lower limit of the choice options</w:t>
      </w:r>
      <w:bookmarkEnd w:id="8"/>
      <w:r w:rsidRPr="004D66D6">
        <w:rPr>
          <w:lang w:val="en-GB"/>
        </w:rPr>
        <w:t>. This gives us:</w:t>
      </w:r>
    </w:p>
    <w:p w14:paraId="3F4B7001" w14:textId="49487A37" w:rsidR="004D66D6" w:rsidRPr="004D66D6" w:rsidRDefault="004D66D6" w:rsidP="004D66D6">
      <w:pPr>
        <w:rPr>
          <w:lang w:val="en-GB"/>
        </w:rPr>
      </w:pPr>
      <m:oMathPara>
        <m:oMath>
          <m:r>
            <m:rPr>
              <m:sty m:val="p"/>
            </m:rPr>
            <w:rPr>
              <w:rFonts w:ascii="Cambria Math" w:hAnsi="Cambria Math"/>
              <w:lang w:val="en-GB"/>
            </w:rPr>
            <m:t>logit</m:t>
          </m:r>
          <m:d>
            <m:dPr>
              <m:ctrlPr>
                <w:rPr>
                  <w:rFonts w:ascii="Cambria Math" w:hAnsi="Cambria Math"/>
                  <w:iCs/>
                </w:rPr>
              </m:ctrlPr>
            </m:dPr>
            <m:e>
              <m:f>
                <m:fPr>
                  <m:ctrlPr>
                    <w:rPr>
                      <w:rFonts w:ascii="Cambria Math" w:hAnsi="Cambria Math"/>
                      <w:i/>
                      <w:iCs/>
                    </w:rPr>
                  </m:ctrlPr>
                </m:fPr>
                <m:num>
                  <m:r>
                    <w:rPr>
                      <w:rFonts w:ascii="Cambria Math" w:hAnsi="Cambria Math"/>
                    </w:rPr>
                    <m:t>M-</m:t>
                  </m:r>
                  <m:sSub>
                    <m:sSubPr>
                      <m:ctrlPr>
                        <w:rPr>
                          <w:rFonts w:ascii="Cambria Math" w:hAnsi="Cambria Math"/>
                          <w:i/>
                          <w:iCs/>
                        </w:rPr>
                      </m:ctrlPr>
                    </m:sSubPr>
                    <m:e>
                      <m:r>
                        <w:rPr>
                          <w:rFonts w:ascii="Cambria Math" w:hAnsi="Cambria Math"/>
                        </w:rPr>
                        <m:t>E</m:t>
                      </m:r>
                    </m:e>
                    <m:sub>
                      <m:r>
                        <w:rPr>
                          <w:rFonts w:ascii="Cambria Math" w:hAnsi="Cambria Math"/>
                        </w:rPr>
                        <m:t>LL</m:t>
                      </m:r>
                    </m:sub>
                  </m:sSub>
                </m:num>
                <m:den>
                  <m:sSub>
                    <m:sSubPr>
                      <m:ctrlPr>
                        <w:rPr>
                          <w:rFonts w:ascii="Cambria Math" w:hAnsi="Cambria Math"/>
                          <w:i/>
                          <w:iCs/>
                        </w:rPr>
                      </m:ctrlPr>
                    </m:sSubPr>
                    <m:e>
                      <m:r>
                        <w:rPr>
                          <w:rFonts w:ascii="Cambria Math" w:hAnsi="Cambria Math"/>
                        </w:rPr>
                        <m:t>E</m:t>
                      </m:r>
                    </m:e>
                    <m:sub>
                      <m:r>
                        <w:rPr>
                          <w:rFonts w:ascii="Cambria Math" w:hAnsi="Cambria Math"/>
                        </w:rPr>
                        <m:t>UL</m:t>
                      </m:r>
                    </m:sub>
                  </m:sSub>
                  <m:r>
                    <w:rPr>
                      <w:rFonts w:ascii="Cambria Math" w:hAnsi="Cambria Math"/>
                    </w:rPr>
                    <m:t>-</m:t>
                  </m:r>
                  <m:sSub>
                    <m:sSubPr>
                      <m:ctrlPr>
                        <w:rPr>
                          <w:rFonts w:ascii="Cambria Math" w:hAnsi="Cambria Math"/>
                          <w:i/>
                          <w:iCs/>
                        </w:rPr>
                      </m:ctrlPr>
                    </m:sSubPr>
                    <m:e>
                      <m:r>
                        <w:rPr>
                          <w:rFonts w:ascii="Cambria Math" w:hAnsi="Cambria Math"/>
                        </w:rPr>
                        <m:t>E</m:t>
                      </m:r>
                    </m:e>
                    <m:sub>
                      <m:r>
                        <w:rPr>
                          <w:rFonts w:ascii="Cambria Math" w:hAnsi="Cambria Math"/>
                        </w:rPr>
                        <m:t>LL</m:t>
                      </m:r>
                    </m:sub>
                  </m:sSub>
                </m:den>
              </m:f>
            </m:e>
          </m:d>
          <m:r>
            <w:rPr>
              <w:rFonts w:ascii="Cambria Math" w:hAnsi="Cambria Math"/>
              <w:lang w:val="en-GB"/>
            </w:rPr>
            <m:t xml:space="preserve">= </m:t>
          </m:r>
          <m:func>
            <m:funcPr>
              <m:ctrlPr>
                <w:rPr>
                  <w:rFonts w:ascii="Cambria Math" w:hAnsi="Cambria Math"/>
                  <w:i/>
                </w:rPr>
              </m:ctrlPr>
            </m:funcPr>
            <m:fName>
              <m:sSub>
                <m:sSubPr>
                  <m:ctrlPr>
                    <w:rPr>
                      <w:rFonts w:ascii="Cambria Math" w:hAnsi="Cambria Math"/>
                    </w:rPr>
                  </m:ctrlPr>
                </m:sSubPr>
                <m:e>
                  <m:r>
                    <m:rPr>
                      <m:nor/>
                    </m:rPr>
                    <w:rPr>
                      <w:lang w:val="en-GB"/>
                    </w:rPr>
                    <m:t>log</m:t>
                  </m:r>
                </m:e>
                <m:sub>
                  <m:r>
                    <w:rPr>
                      <w:rFonts w:ascii="Cambria Math" w:hAnsi="Cambria Math"/>
                    </w:rPr>
                    <m:t>e</m:t>
                  </m:r>
                </m:sub>
              </m:sSub>
            </m:fName>
            <m:e>
              <m:d>
                <m:dPr>
                  <m:ctrlPr>
                    <w:rPr>
                      <w:rFonts w:ascii="Cambria Math" w:hAnsi="Cambria Math"/>
                      <w:i/>
                    </w:rPr>
                  </m:ctrlPr>
                </m:dPr>
                <m:e>
                  <m:f>
                    <m:fPr>
                      <m:ctrlPr>
                        <w:rPr>
                          <w:rFonts w:ascii="Cambria Math" w:hAnsi="Cambria Math"/>
                          <w:i/>
                        </w:rPr>
                      </m:ctrlPr>
                    </m:fPr>
                    <m:num>
                      <m:f>
                        <m:fPr>
                          <m:ctrlPr>
                            <w:rPr>
                              <w:rFonts w:ascii="Cambria Math" w:hAnsi="Cambria Math"/>
                              <w:i/>
                              <w:iCs/>
                            </w:rPr>
                          </m:ctrlPr>
                        </m:fPr>
                        <m:num>
                          <m:r>
                            <w:rPr>
                              <w:rFonts w:ascii="Cambria Math" w:hAnsi="Cambria Math"/>
                            </w:rPr>
                            <m:t>M-</m:t>
                          </m:r>
                          <m:sSub>
                            <m:sSubPr>
                              <m:ctrlPr>
                                <w:rPr>
                                  <w:rFonts w:ascii="Cambria Math" w:hAnsi="Cambria Math"/>
                                  <w:i/>
                                  <w:iCs/>
                                </w:rPr>
                              </m:ctrlPr>
                            </m:sSubPr>
                            <m:e>
                              <m:r>
                                <w:rPr>
                                  <w:rFonts w:ascii="Cambria Math" w:hAnsi="Cambria Math"/>
                                </w:rPr>
                                <m:t>E</m:t>
                              </m:r>
                            </m:e>
                            <m:sub>
                              <m:r>
                                <w:rPr>
                                  <w:rFonts w:ascii="Cambria Math" w:hAnsi="Cambria Math"/>
                                </w:rPr>
                                <m:t>LL</m:t>
                              </m:r>
                            </m:sub>
                          </m:sSub>
                        </m:num>
                        <m:den>
                          <m:sSub>
                            <m:sSubPr>
                              <m:ctrlPr>
                                <w:rPr>
                                  <w:rFonts w:ascii="Cambria Math" w:hAnsi="Cambria Math"/>
                                  <w:i/>
                                  <w:iCs/>
                                </w:rPr>
                              </m:ctrlPr>
                            </m:sSubPr>
                            <m:e>
                              <m:r>
                                <w:rPr>
                                  <w:rFonts w:ascii="Cambria Math" w:hAnsi="Cambria Math"/>
                                </w:rPr>
                                <m:t>E</m:t>
                              </m:r>
                            </m:e>
                            <m:sub>
                              <m:r>
                                <w:rPr>
                                  <w:rFonts w:ascii="Cambria Math" w:hAnsi="Cambria Math"/>
                                </w:rPr>
                                <m:t>UL</m:t>
                              </m:r>
                            </m:sub>
                          </m:sSub>
                          <m:r>
                            <w:rPr>
                              <w:rFonts w:ascii="Cambria Math" w:hAnsi="Cambria Math"/>
                            </w:rPr>
                            <m:t>-</m:t>
                          </m:r>
                          <m:sSub>
                            <m:sSubPr>
                              <m:ctrlPr>
                                <w:rPr>
                                  <w:rFonts w:ascii="Cambria Math" w:hAnsi="Cambria Math"/>
                                  <w:i/>
                                  <w:iCs/>
                                </w:rPr>
                              </m:ctrlPr>
                            </m:sSubPr>
                            <m:e>
                              <m:r>
                                <w:rPr>
                                  <w:rFonts w:ascii="Cambria Math" w:hAnsi="Cambria Math"/>
                                </w:rPr>
                                <m:t>E</m:t>
                              </m:r>
                            </m:e>
                            <m:sub>
                              <m:r>
                                <w:rPr>
                                  <w:rFonts w:ascii="Cambria Math" w:hAnsi="Cambria Math"/>
                                </w:rPr>
                                <m:t>LL</m:t>
                              </m:r>
                            </m:sub>
                          </m:sSub>
                        </m:den>
                      </m:f>
                    </m:num>
                    <m:den>
                      <m:r>
                        <w:rPr>
                          <w:rFonts w:ascii="Cambria Math" w:hAnsi="Cambria Math"/>
                          <w:lang w:val="en-GB"/>
                        </w:rPr>
                        <m:t>1-</m:t>
                      </m:r>
                      <m:f>
                        <m:fPr>
                          <m:ctrlPr>
                            <w:rPr>
                              <w:rFonts w:ascii="Cambria Math" w:hAnsi="Cambria Math"/>
                              <w:i/>
                              <w:iCs/>
                            </w:rPr>
                          </m:ctrlPr>
                        </m:fPr>
                        <m:num>
                          <m:r>
                            <w:rPr>
                              <w:rFonts w:ascii="Cambria Math" w:hAnsi="Cambria Math"/>
                            </w:rPr>
                            <m:t>M-</m:t>
                          </m:r>
                          <m:sSub>
                            <m:sSubPr>
                              <m:ctrlPr>
                                <w:rPr>
                                  <w:rFonts w:ascii="Cambria Math" w:hAnsi="Cambria Math"/>
                                  <w:i/>
                                  <w:iCs/>
                                </w:rPr>
                              </m:ctrlPr>
                            </m:sSubPr>
                            <m:e>
                              <m:r>
                                <w:rPr>
                                  <w:rFonts w:ascii="Cambria Math" w:hAnsi="Cambria Math"/>
                                </w:rPr>
                                <m:t>E</m:t>
                              </m:r>
                            </m:e>
                            <m:sub>
                              <m:r>
                                <w:rPr>
                                  <w:rFonts w:ascii="Cambria Math" w:hAnsi="Cambria Math"/>
                                </w:rPr>
                                <m:t>LL</m:t>
                              </m:r>
                            </m:sub>
                          </m:sSub>
                        </m:num>
                        <m:den>
                          <m:sSub>
                            <m:sSubPr>
                              <m:ctrlPr>
                                <w:rPr>
                                  <w:rFonts w:ascii="Cambria Math" w:hAnsi="Cambria Math"/>
                                  <w:i/>
                                  <w:iCs/>
                                </w:rPr>
                              </m:ctrlPr>
                            </m:sSubPr>
                            <m:e>
                              <m:r>
                                <w:rPr>
                                  <w:rFonts w:ascii="Cambria Math" w:hAnsi="Cambria Math"/>
                                </w:rPr>
                                <m:t>E</m:t>
                              </m:r>
                            </m:e>
                            <m:sub>
                              <m:r>
                                <w:rPr>
                                  <w:rFonts w:ascii="Cambria Math" w:hAnsi="Cambria Math"/>
                                </w:rPr>
                                <m:t>UL</m:t>
                              </m:r>
                            </m:sub>
                          </m:sSub>
                          <m:r>
                            <w:rPr>
                              <w:rFonts w:ascii="Cambria Math" w:hAnsi="Cambria Math"/>
                            </w:rPr>
                            <m:t>-</m:t>
                          </m:r>
                          <m:sSub>
                            <m:sSubPr>
                              <m:ctrlPr>
                                <w:rPr>
                                  <w:rFonts w:ascii="Cambria Math" w:hAnsi="Cambria Math"/>
                                  <w:i/>
                                  <w:iCs/>
                                </w:rPr>
                              </m:ctrlPr>
                            </m:sSubPr>
                            <m:e>
                              <m:r>
                                <w:rPr>
                                  <w:rFonts w:ascii="Cambria Math" w:hAnsi="Cambria Math"/>
                                </w:rPr>
                                <m:t>E</m:t>
                              </m:r>
                            </m:e>
                            <m:sub>
                              <m:r>
                                <w:rPr>
                                  <w:rFonts w:ascii="Cambria Math" w:hAnsi="Cambria Math"/>
                                </w:rPr>
                                <m:t>LL</m:t>
                              </m:r>
                            </m:sub>
                          </m:sSub>
                        </m:den>
                      </m:f>
                    </m:den>
                  </m:f>
                </m:e>
              </m:d>
            </m:e>
          </m:func>
        </m:oMath>
      </m:oMathPara>
    </w:p>
    <w:p w14:paraId="4ECA2A41" w14:textId="72E2E63A" w:rsidR="004D66D6" w:rsidRPr="004D66D6" w:rsidRDefault="004D66D6" w:rsidP="000241D6">
      <w:pPr>
        <w:rPr>
          <w:lang w:val="en-GB"/>
        </w:rPr>
      </w:pPr>
      <w:r w:rsidRPr="004D66D6">
        <w:rPr>
          <w:lang w:val="en-GB"/>
        </w:rPr>
        <w:t>This simplifies to:</w:t>
      </w:r>
    </w:p>
    <w:p w14:paraId="3FE48F8A" w14:textId="05A730E4" w:rsidR="004D66D6" w:rsidRPr="004D66D6" w:rsidRDefault="004D66D6" w:rsidP="000241D6">
      <w:pPr>
        <w:rPr>
          <w:lang w:val="en-GB"/>
        </w:rPr>
      </w:pPr>
      <m:oMathPara>
        <m:oMath>
          <m:r>
            <m:rPr>
              <m:sty m:val="p"/>
            </m:rPr>
            <w:rPr>
              <w:rFonts w:ascii="Cambria Math" w:hAnsi="Cambria Math"/>
            </w:rPr>
            <m:t>logit</m:t>
          </m:r>
          <m:d>
            <m:dPr>
              <m:ctrlPr>
                <w:rPr>
                  <w:rFonts w:ascii="Cambria Math" w:hAnsi="Cambria Math"/>
                  <w:iCs/>
                </w:rPr>
              </m:ctrlPr>
            </m:dPr>
            <m:e>
              <m:f>
                <m:fPr>
                  <m:ctrlPr>
                    <w:rPr>
                      <w:rFonts w:ascii="Cambria Math" w:hAnsi="Cambria Math"/>
                      <w:i/>
                      <w:iCs/>
                    </w:rPr>
                  </m:ctrlPr>
                </m:fPr>
                <m:num>
                  <m:r>
                    <w:rPr>
                      <w:rFonts w:ascii="Cambria Math" w:hAnsi="Cambria Math"/>
                    </w:rPr>
                    <m:t>M-</m:t>
                  </m:r>
                  <m:sSub>
                    <m:sSubPr>
                      <m:ctrlPr>
                        <w:rPr>
                          <w:rFonts w:ascii="Cambria Math" w:hAnsi="Cambria Math"/>
                          <w:i/>
                          <w:iCs/>
                        </w:rPr>
                      </m:ctrlPr>
                    </m:sSubPr>
                    <m:e>
                      <m:r>
                        <w:rPr>
                          <w:rFonts w:ascii="Cambria Math" w:hAnsi="Cambria Math"/>
                        </w:rPr>
                        <m:t>E</m:t>
                      </m:r>
                    </m:e>
                    <m:sub>
                      <m:r>
                        <w:rPr>
                          <w:rFonts w:ascii="Cambria Math" w:hAnsi="Cambria Math"/>
                        </w:rPr>
                        <m:t>LL</m:t>
                      </m:r>
                    </m:sub>
                  </m:sSub>
                </m:num>
                <m:den>
                  <m:sSub>
                    <m:sSubPr>
                      <m:ctrlPr>
                        <w:rPr>
                          <w:rFonts w:ascii="Cambria Math" w:hAnsi="Cambria Math"/>
                          <w:i/>
                          <w:iCs/>
                        </w:rPr>
                      </m:ctrlPr>
                    </m:sSubPr>
                    <m:e>
                      <m:r>
                        <w:rPr>
                          <w:rFonts w:ascii="Cambria Math" w:hAnsi="Cambria Math"/>
                        </w:rPr>
                        <m:t>E</m:t>
                      </m:r>
                    </m:e>
                    <m:sub>
                      <m:r>
                        <w:rPr>
                          <w:rFonts w:ascii="Cambria Math" w:hAnsi="Cambria Math"/>
                        </w:rPr>
                        <m:t>UL</m:t>
                      </m:r>
                    </m:sub>
                  </m:sSub>
                  <m:r>
                    <w:rPr>
                      <w:rFonts w:ascii="Cambria Math" w:hAnsi="Cambria Math"/>
                    </w:rPr>
                    <m:t>-</m:t>
                  </m:r>
                  <m:sSub>
                    <m:sSubPr>
                      <m:ctrlPr>
                        <w:rPr>
                          <w:rFonts w:ascii="Cambria Math" w:hAnsi="Cambria Math"/>
                          <w:i/>
                          <w:iCs/>
                        </w:rPr>
                      </m:ctrlPr>
                    </m:sSubPr>
                    <m:e>
                      <m:r>
                        <w:rPr>
                          <w:rFonts w:ascii="Cambria Math" w:hAnsi="Cambria Math"/>
                        </w:rPr>
                        <m:t>E</m:t>
                      </m:r>
                    </m:e>
                    <m:sub>
                      <m:r>
                        <w:rPr>
                          <w:rFonts w:ascii="Cambria Math" w:hAnsi="Cambria Math"/>
                        </w:rPr>
                        <m:t>LL</m:t>
                      </m:r>
                    </m:sub>
                  </m:sSub>
                </m:den>
              </m:f>
            </m:e>
          </m:d>
          <m:r>
            <w:rPr>
              <w:rFonts w:ascii="Cambria Math" w:hAnsi="Cambria Math"/>
            </w:rPr>
            <m:t xml:space="preserve">= </m:t>
          </m:r>
          <m:func>
            <m:funcPr>
              <m:ctrlPr>
                <w:rPr>
                  <w:rFonts w:ascii="Cambria Math" w:hAnsi="Cambria Math"/>
                  <w:i/>
                </w:rPr>
              </m:ctrlPr>
            </m:funcPr>
            <m:fName>
              <m:sSub>
                <m:sSubPr>
                  <m:ctrlPr>
                    <w:rPr>
                      <w:rFonts w:ascii="Cambria Math" w:hAnsi="Cambria Math"/>
                    </w:rPr>
                  </m:ctrlPr>
                </m:sSubPr>
                <m:e>
                  <m:r>
                    <m:rPr>
                      <m:nor/>
                    </m:rPr>
                    <w:rPr>
                      <w:lang w:val="en-GB"/>
                    </w:rPr>
                    <m:t>log</m:t>
                  </m:r>
                </m:e>
                <m:sub>
                  <m:r>
                    <w:rPr>
                      <w:rFonts w:ascii="Cambria Math" w:hAnsi="Cambria Math"/>
                    </w:rPr>
                    <m:t>e</m:t>
                  </m:r>
                </m:sub>
              </m:sSub>
            </m:fName>
            <m:e>
              <m:d>
                <m:dPr>
                  <m:ctrlPr>
                    <w:rPr>
                      <w:rFonts w:ascii="Cambria Math" w:hAnsi="Cambria Math"/>
                      <w:i/>
                    </w:rPr>
                  </m:ctrlPr>
                </m:dPr>
                <m:e>
                  <m:f>
                    <m:fPr>
                      <m:ctrlPr>
                        <w:rPr>
                          <w:rFonts w:ascii="Cambria Math" w:hAnsi="Cambria Math"/>
                          <w:i/>
                        </w:rPr>
                      </m:ctrlPr>
                    </m:fPr>
                    <m:num>
                      <m:r>
                        <w:rPr>
                          <w:rFonts w:ascii="Cambria Math" w:hAnsi="Cambria Math"/>
                        </w:rPr>
                        <m:t>M-</m:t>
                      </m:r>
                      <m:sSub>
                        <m:sSubPr>
                          <m:ctrlPr>
                            <w:rPr>
                              <w:rFonts w:ascii="Cambria Math" w:hAnsi="Cambria Math"/>
                              <w:i/>
                              <w:iCs/>
                            </w:rPr>
                          </m:ctrlPr>
                        </m:sSubPr>
                        <m:e>
                          <m:r>
                            <w:rPr>
                              <w:rFonts w:ascii="Cambria Math" w:hAnsi="Cambria Math"/>
                            </w:rPr>
                            <m:t>E</m:t>
                          </m:r>
                        </m:e>
                        <m:sub>
                          <m:r>
                            <w:rPr>
                              <w:rFonts w:ascii="Cambria Math" w:hAnsi="Cambria Math"/>
                            </w:rPr>
                            <m:t>LL</m:t>
                          </m:r>
                        </m:sub>
                      </m:sSub>
                    </m:num>
                    <m:den>
                      <m:sSub>
                        <m:sSubPr>
                          <m:ctrlPr>
                            <w:rPr>
                              <w:rFonts w:ascii="Cambria Math" w:hAnsi="Cambria Math"/>
                              <w:i/>
                              <w:iCs/>
                            </w:rPr>
                          </m:ctrlPr>
                        </m:sSubPr>
                        <m:e>
                          <m:r>
                            <w:rPr>
                              <w:rFonts w:ascii="Cambria Math" w:hAnsi="Cambria Math"/>
                            </w:rPr>
                            <m:t>E</m:t>
                          </m:r>
                        </m:e>
                        <m:sub>
                          <m:r>
                            <w:rPr>
                              <w:rFonts w:ascii="Cambria Math" w:hAnsi="Cambria Math"/>
                            </w:rPr>
                            <m:t>UL</m:t>
                          </m:r>
                        </m:sub>
                      </m:sSub>
                      <m:r>
                        <w:rPr>
                          <w:rFonts w:ascii="Cambria Math" w:hAnsi="Cambria Math"/>
                        </w:rPr>
                        <m:t>-M</m:t>
                      </m:r>
                    </m:den>
                  </m:f>
                </m:e>
              </m:d>
            </m:e>
          </m:func>
        </m:oMath>
      </m:oMathPara>
    </w:p>
    <w:p w14:paraId="06FED053" w14:textId="7A0B4B01" w:rsidR="004D66D6" w:rsidRPr="004D66D6" w:rsidRDefault="004D66D6" w:rsidP="000241D6">
      <w:r w:rsidRPr="004D66D6">
        <w:rPr>
          <w:lang w:val="en-GB"/>
        </w:rPr>
        <w:t xml:space="preserve">To calculate the sampling variance for this logit-transformed ratio </w:t>
      </w:r>
      <m:oMath>
        <m:func>
          <m:funcPr>
            <m:ctrlPr>
              <w:rPr>
                <w:rFonts w:ascii="Cambria Math" w:hAnsi="Cambria Math"/>
                <w:i/>
              </w:rPr>
            </m:ctrlPr>
          </m:funcPr>
          <m:fName>
            <m:sSub>
              <m:sSubPr>
                <m:ctrlPr>
                  <w:rPr>
                    <w:rFonts w:ascii="Cambria Math" w:hAnsi="Cambria Math"/>
                  </w:rPr>
                </m:ctrlPr>
              </m:sSubPr>
              <m:e>
                <m:r>
                  <m:rPr>
                    <m:nor/>
                  </m:rPr>
                  <w:rPr>
                    <w:lang w:val="en-GB"/>
                  </w:rPr>
                  <m:t>log</m:t>
                </m:r>
              </m:e>
              <m:sub>
                <m:r>
                  <w:rPr>
                    <w:rFonts w:ascii="Cambria Math" w:hAnsi="Cambria Math"/>
                  </w:rPr>
                  <m:t>e</m:t>
                </m:r>
              </m:sub>
            </m:sSub>
          </m:fName>
          <m:e>
            <m:d>
              <m:dPr>
                <m:ctrlPr>
                  <w:rPr>
                    <w:rFonts w:ascii="Cambria Math" w:hAnsi="Cambria Math"/>
                    <w:i/>
                  </w:rPr>
                </m:ctrlPr>
              </m:dPr>
              <m:e>
                <m:f>
                  <m:fPr>
                    <m:ctrlPr>
                      <w:rPr>
                        <w:rFonts w:ascii="Cambria Math" w:hAnsi="Cambria Math"/>
                        <w:i/>
                      </w:rPr>
                    </m:ctrlPr>
                  </m:fPr>
                  <m:num>
                    <m:r>
                      <w:rPr>
                        <w:rFonts w:ascii="Cambria Math" w:hAnsi="Cambria Math"/>
                      </w:rPr>
                      <m:t>M-</m:t>
                    </m:r>
                    <m:sSub>
                      <m:sSubPr>
                        <m:ctrlPr>
                          <w:rPr>
                            <w:rFonts w:ascii="Cambria Math" w:hAnsi="Cambria Math"/>
                            <w:i/>
                            <w:iCs/>
                          </w:rPr>
                        </m:ctrlPr>
                      </m:sSubPr>
                      <m:e>
                        <m:r>
                          <w:rPr>
                            <w:rFonts w:ascii="Cambria Math" w:hAnsi="Cambria Math"/>
                          </w:rPr>
                          <m:t>E</m:t>
                        </m:r>
                      </m:e>
                      <m:sub>
                        <m:r>
                          <w:rPr>
                            <w:rFonts w:ascii="Cambria Math" w:hAnsi="Cambria Math"/>
                          </w:rPr>
                          <m:t>LL</m:t>
                        </m:r>
                      </m:sub>
                    </m:sSub>
                  </m:num>
                  <m:den>
                    <m:sSub>
                      <m:sSubPr>
                        <m:ctrlPr>
                          <w:rPr>
                            <w:rFonts w:ascii="Cambria Math" w:hAnsi="Cambria Math"/>
                            <w:i/>
                            <w:iCs/>
                          </w:rPr>
                        </m:ctrlPr>
                      </m:sSubPr>
                      <m:e>
                        <m:r>
                          <w:rPr>
                            <w:rFonts w:ascii="Cambria Math" w:hAnsi="Cambria Math"/>
                          </w:rPr>
                          <m:t>E</m:t>
                        </m:r>
                      </m:e>
                      <m:sub>
                        <m:r>
                          <w:rPr>
                            <w:rFonts w:ascii="Cambria Math" w:hAnsi="Cambria Math"/>
                          </w:rPr>
                          <m:t>UL</m:t>
                        </m:r>
                      </m:sub>
                    </m:sSub>
                    <m:r>
                      <w:rPr>
                        <w:rFonts w:ascii="Cambria Math" w:hAnsi="Cambria Math"/>
                      </w:rPr>
                      <m:t>-M</m:t>
                    </m:r>
                  </m:den>
                </m:f>
              </m:e>
            </m:d>
          </m:e>
        </m:func>
      </m:oMath>
      <w:r w:rsidRPr="004D66D6">
        <w:t xml:space="preserve">, we need to use the delta method, i.e., the variance of a given function </w:t>
      </w:r>
      <m:oMath>
        <m:r>
          <w:rPr>
            <w:rFonts w:ascii="Cambria Math" w:hAnsi="Cambria Math"/>
          </w:rPr>
          <m:t>g</m:t>
        </m:r>
        <m:d>
          <m:dPr>
            <m:ctrlPr>
              <w:rPr>
                <w:rFonts w:ascii="Cambria Math" w:hAnsi="Cambria Math"/>
                <w:i/>
              </w:rPr>
            </m:ctrlPr>
          </m:dPr>
          <m:e>
            <m:r>
              <w:rPr>
                <w:rFonts w:ascii="Cambria Math" w:hAnsi="Cambria Math"/>
              </w:rPr>
              <m:t>M</m:t>
            </m:r>
          </m:e>
        </m:d>
      </m:oMath>
      <w:r w:rsidRPr="004D66D6">
        <w:t xml:space="preserve"> can be approximated by:</w:t>
      </w:r>
    </w:p>
    <w:p w14:paraId="7E6FDE42" w14:textId="1E495DB3" w:rsidR="004D66D6" w:rsidRPr="004D66D6" w:rsidRDefault="004D66D6" w:rsidP="000241D6">
      <m:oMathPara>
        <m:oMath>
          <m:r>
            <m:rPr>
              <m:sty m:val="p"/>
            </m:rPr>
            <w:rPr>
              <w:rFonts w:ascii="Cambria Math" w:hAnsi="Cambria Math"/>
            </w:rPr>
            <m:t>Var</m:t>
          </m:r>
          <m:d>
            <m:dPr>
              <m:ctrlPr>
                <w:rPr>
                  <w:rFonts w:ascii="Cambria Math" w:hAnsi="Cambria Math"/>
                  <w:i/>
                </w:rPr>
              </m:ctrlPr>
            </m:dPr>
            <m:e>
              <m:r>
                <w:rPr>
                  <w:rFonts w:ascii="Cambria Math" w:hAnsi="Cambria Math"/>
                </w:rPr>
                <m:t>g</m:t>
              </m:r>
              <m:d>
                <m:dPr>
                  <m:ctrlPr>
                    <w:rPr>
                      <w:rFonts w:ascii="Cambria Math" w:hAnsi="Cambria Math"/>
                      <w:i/>
                    </w:rPr>
                  </m:ctrlPr>
                </m:dPr>
                <m:e>
                  <m:r>
                    <w:rPr>
                      <w:rFonts w:ascii="Cambria Math" w:hAnsi="Cambria Math"/>
                    </w:rPr>
                    <m:t>M</m:t>
                  </m:r>
                </m:e>
              </m:d>
            </m:e>
          </m:d>
          <m:r>
            <w:rPr>
              <w:rFonts w:ascii="Cambria Math" w:hAnsi="Cambria Math"/>
            </w:rPr>
            <m:t>≈[</m:t>
          </m:r>
          <m:sSup>
            <m:sSupPr>
              <m:ctrlPr>
                <w:rPr>
                  <w:rFonts w:ascii="Cambria Math" w:hAnsi="Cambria Math"/>
                </w:rPr>
              </m:ctrlPr>
            </m:sSupPr>
            <m:e>
              <m:sSup>
                <m:sSupPr>
                  <m:ctrlPr>
                    <w:rPr>
                      <w:rFonts w:ascii="Cambria Math" w:hAnsi="Cambria Math"/>
                      <w:i/>
                    </w:rPr>
                  </m:ctrlPr>
                </m:sSupPr>
                <m:e>
                  <m:r>
                    <w:rPr>
                      <w:rFonts w:ascii="Cambria Math" w:hAnsi="Cambria Math"/>
                    </w:rPr>
                    <m:t>g</m:t>
                  </m:r>
                </m:e>
                <m:sup>
                  <m:r>
                    <w:rPr>
                      <w:rFonts w:ascii="Cambria Math" w:hAnsi="Cambria Math"/>
                    </w:rPr>
                    <m:t>'</m:t>
                  </m:r>
                </m:sup>
              </m:sSup>
              <m:r>
                <w:rPr>
                  <w:rFonts w:ascii="Cambria Math" w:hAnsi="Cambria Math"/>
                </w:rPr>
                <m:t>(M)]</m:t>
              </m:r>
            </m:e>
            <m:sup>
              <m:r>
                <w:rPr>
                  <w:rFonts w:ascii="Cambria Math" w:hAnsi="Cambria Math"/>
                </w:rPr>
                <m:t>2</m:t>
              </m:r>
            </m:sup>
          </m:sSup>
          <m:r>
            <m:rPr>
              <m:sty m:val="p"/>
            </m:rPr>
            <w:rPr>
              <w:rFonts w:ascii="Cambria Math" w:hAnsi="Cambria Math"/>
            </w:rPr>
            <m:t>∙Var</m:t>
          </m:r>
          <m:d>
            <m:dPr>
              <m:ctrlPr>
                <w:rPr>
                  <w:rFonts w:ascii="Cambria Math" w:hAnsi="Cambria Math"/>
                  <w:i/>
                </w:rPr>
              </m:ctrlPr>
            </m:dPr>
            <m:e>
              <m:r>
                <w:rPr>
                  <w:rFonts w:ascii="Cambria Math" w:hAnsi="Cambria Math"/>
                </w:rPr>
                <m:t>M</m:t>
              </m:r>
            </m:e>
          </m:d>
        </m:oMath>
      </m:oMathPara>
    </w:p>
    <w:p w14:paraId="54F26FBC" w14:textId="7F9C6B13" w:rsidR="004D66D6" w:rsidRPr="004D66D6" w:rsidRDefault="004D66D6" w:rsidP="000241D6">
      <w:r w:rsidRPr="004D66D6">
        <w:t xml:space="preserve">Let </w:t>
      </w:r>
      <m:oMath>
        <m:r>
          <w:rPr>
            <w:rFonts w:ascii="Cambria Math" w:hAnsi="Cambria Math"/>
          </w:rPr>
          <m:t>g</m:t>
        </m:r>
        <m:d>
          <m:dPr>
            <m:ctrlPr>
              <w:rPr>
                <w:rFonts w:ascii="Cambria Math" w:hAnsi="Cambria Math"/>
                <w:i/>
              </w:rPr>
            </m:ctrlPr>
          </m:dPr>
          <m:e>
            <m:r>
              <w:rPr>
                <w:rFonts w:ascii="Cambria Math" w:hAnsi="Cambria Math"/>
              </w:rPr>
              <m:t>M</m:t>
            </m:r>
          </m:e>
        </m:d>
        <m:r>
          <w:rPr>
            <w:rFonts w:ascii="Cambria Math" w:hAnsi="Cambria Math"/>
          </w:rPr>
          <m:t>=</m:t>
        </m:r>
        <m:func>
          <m:funcPr>
            <m:ctrlPr>
              <w:rPr>
                <w:rFonts w:ascii="Cambria Math" w:hAnsi="Cambria Math"/>
                <w:i/>
              </w:rPr>
            </m:ctrlPr>
          </m:funcPr>
          <m:fName>
            <m:sSub>
              <m:sSubPr>
                <m:ctrlPr>
                  <w:rPr>
                    <w:rFonts w:ascii="Cambria Math" w:hAnsi="Cambria Math"/>
                  </w:rPr>
                </m:ctrlPr>
              </m:sSubPr>
              <m:e>
                <m:r>
                  <m:rPr>
                    <m:nor/>
                  </m:rPr>
                  <w:rPr>
                    <w:lang w:val="en-GB"/>
                  </w:rPr>
                  <m:t>log</m:t>
                </m:r>
              </m:e>
              <m:sub>
                <m:r>
                  <w:rPr>
                    <w:rFonts w:ascii="Cambria Math" w:hAnsi="Cambria Math"/>
                  </w:rPr>
                  <m:t>e</m:t>
                </m:r>
              </m:sub>
            </m:sSub>
          </m:fName>
          <m:e>
            <m:d>
              <m:dPr>
                <m:ctrlPr>
                  <w:rPr>
                    <w:rFonts w:ascii="Cambria Math" w:hAnsi="Cambria Math"/>
                    <w:i/>
                  </w:rPr>
                </m:ctrlPr>
              </m:dPr>
              <m:e>
                <m:f>
                  <m:fPr>
                    <m:ctrlPr>
                      <w:rPr>
                        <w:rFonts w:ascii="Cambria Math" w:hAnsi="Cambria Math"/>
                        <w:i/>
                      </w:rPr>
                    </m:ctrlPr>
                  </m:fPr>
                  <m:num>
                    <m:r>
                      <w:rPr>
                        <w:rFonts w:ascii="Cambria Math" w:hAnsi="Cambria Math"/>
                      </w:rPr>
                      <m:t>M-</m:t>
                    </m:r>
                    <m:sSub>
                      <m:sSubPr>
                        <m:ctrlPr>
                          <w:rPr>
                            <w:rFonts w:ascii="Cambria Math" w:hAnsi="Cambria Math"/>
                            <w:i/>
                            <w:iCs/>
                          </w:rPr>
                        </m:ctrlPr>
                      </m:sSubPr>
                      <m:e>
                        <m:r>
                          <w:rPr>
                            <w:rFonts w:ascii="Cambria Math" w:hAnsi="Cambria Math"/>
                          </w:rPr>
                          <m:t>E</m:t>
                        </m:r>
                      </m:e>
                      <m:sub>
                        <m:r>
                          <w:rPr>
                            <w:rFonts w:ascii="Cambria Math" w:hAnsi="Cambria Math"/>
                          </w:rPr>
                          <m:t>LL</m:t>
                        </m:r>
                      </m:sub>
                    </m:sSub>
                  </m:num>
                  <m:den>
                    <m:sSub>
                      <m:sSubPr>
                        <m:ctrlPr>
                          <w:rPr>
                            <w:rFonts w:ascii="Cambria Math" w:hAnsi="Cambria Math"/>
                            <w:i/>
                            <w:iCs/>
                          </w:rPr>
                        </m:ctrlPr>
                      </m:sSubPr>
                      <m:e>
                        <m:r>
                          <w:rPr>
                            <w:rFonts w:ascii="Cambria Math" w:hAnsi="Cambria Math"/>
                          </w:rPr>
                          <m:t>E</m:t>
                        </m:r>
                      </m:e>
                      <m:sub>
                        <m:r>
                          <w:rPr>
                            <w:rFonts w:ascii="Cambria Math" w:hAnsi="Cambria Math"/>
                          </w:rPr>
                          <m:t>UL</m:t>
                        </m:r>
                      </m:sub>
                    </m:sSub>
                    <m:r>
                      <w:rPr>
                        <w:rFonts w:ascii="Cambria Math" w:hAnsi="Cambria Math"/>
                      </w:rPr>
                      <m:t>-M</m:t>
                    </m:r>
                  </m:den>
                </m:f>
              </m:e>
            </m:d>
          </m:e>
        </m:func>
      </m:oMath>
      <w:r w:rsidRPr="004D66D6">
        <w:t xml:space="preserve">, we can calculate the derivative of </w:t>
      </w:r>
      <m:oMath>
        <m:r>
          <w:rPr>
            <w:rFonts w:ascii="Cambria Math" w:hAnsi="Cambria Math"/>
          </w:rPr>
          <m:t>g</m:t>
        </m:r>
        <m:d>
          <m:dPr>
            <m:ctrlPr>
              <w:rPr>
                <w:rFonts w:ascii="Cambria Math" w:hAnsi="Cambria Math"/>
                <w:i/>
              </w:rPr>
            </m:ctrlPr>
          </m:dPr>
          <m:e>
            <m:r>
              <w:rPr>
                <w:rFonts w:ascii="Cambria Math" w:hAnsi="Cambria Math"/>
              </w:rPr>
              <m:t>M</m:t>
            </m:r>
          </m:e>
        </m:d>
      </m:oMath>
      <w:r w:rsidRPr="004D66D6">
        <w:t>:</w:t>
      </w:r>
    </w:p>
    <w:p w14:paraId="73B56C8A" w14:textId="00DBC41C" w:rsidR="004D66D6" w:rsidRPr="004D66D6" w:rsidRDefault="00000000" w:rsidP="004D66D6">
      <m:oMathPara>
        <m:oMath>
          <m:sSup>
            <m:sSupPr>
              <m:ctrlPr>
                <w:rPr>
                  <w:rFonts w:ascii="Cambria Math" w:hAnsi="Cambria Math"/>
                  <w:i/>
                </w:rPr>
              </m:ctrlPr>
            </m:sSupPr>
            <m:e>
              <m:r>
                <w:rPr>
                  <w:rFonts w:ascii="Cambria Math" w:hAnsi="Cambria Math"/>
                </w:rPr>
                <m:t>g</m:t>
              </m:r>
            </m:e>
            <m:sup>
              <m:r>
                <w:rPr>
                  <w:rFonts w:ascii="Cambria Math" w:hAnsi="Cambria Math"/>
                </w:rPr>
                <m:t>'</m:t>
              </m:r>
            </m:sup>
          </m:sSup>
          <m:d>
            <m:dPr>
              <m:ctrlPr>
                <w:rPr>
                  <w:rFonts w:ascii="Cambria Math" w:hAnsi="Cambria Math"/>
                  <w:i/>
                </w:rPr>
              </m:ctrlPr>
            </m:dPr>
            <m:e>
              <m:r>
                <w:rPr>
                  <w:rFonts w:ascii="Cambria Math" w:hAnsi="Cambria Math"/>
                </w:rPr>
                <m:t>M</m:t>
              </m:r>
            </m:e>
          </m:d>
          <m:r>
            <w:rPr>
              <w:rFonts w:ascii="Cambria Math" w:hAnsi="Cambria Math"/>
            </w:rPr>
            <m:t>=</m:t>
          </m:r>
          <m:f>
            <m:fPr>
              <m:ctrlPr>
                <w:rPr>
                  <w:rFonts w:ascii="Cambria Math" w:hAnsi="Cambria Math"/>
                  <w:i/>
                </w:rPr>
              </m:ctrlPr>
            </m:fPr>
            <m:num>
              <m:r>
                <w:rPr>
                  <w:rFonts w:ascii="Cambria Math" w:hAnsi="Cambria Math"/>
                </w:rPr>
                <m:t>d</m:t>
              </m:r>
            </m:num>
            <m:den>
              <m:r>
                <w:rPr>
                  <w:rFonts w:ascii="Cambria Math" w:hAnsi="Cambria Math"/>
                </w:rPr>
                <m:t>dM</m:t>
              </m:r>
            </m:den>
          </m:f>
          <m:d>
            <m:dPr>
              <m:begChr m:val="["/>
              <m:endChr m:val="]"/>
              <m:ctrlPr>
                <w:rPr>
                  <w:rFonts w:ascii="Cambria Math" w:hAnsi="Cambria Math"/>
                  <w:i/>
                </w:rPr>
              </m:ctrlPr>
            </m:dPr>
            <m:e>
              <m:func>
                <m:funcPr>
                  <m:ctrlPr>
                    <w:rPr>
                      <w:rFonts w:ascii="Cambria Math" w:hAnsi="Cambria Math"/>
                      <w:i/>
                    </w:rPr>
                  </m:ctrlPr>
                </m:funcPr>
                <m:fName>
                  <m:sSub>
                    <m:sSubPr>
                      <m:ctrlPr>
                        <w:rPr>
                          <w:rFonts w:ascii="Cambria Math" w:hAnsi="Cambria Math"/>
                        </w:rPr>
                      </m:ctrlPr>
                    </m:sSubPr>
                    <m:e>
                      <m:r>
                        <m:rPr>
                          <m:nor/>
                        </m:rPr>
                        <m:t>log</m:t>
                      </m:r>
                    </m:e>
                    <m:sub>
                      <m:r>
                        <w:rPr>
                          <w:rFonts w:ascii="Cambria Math" w:hAnsi="Cambria Math"/>
                        </w:rPr>
                        <m:t>e</m:t>
                      </m:r>
                    </m:sub>
                  </m:sSub>
                </m:fName>
                <m:e>
                  <m:d>
                    <m:dPr>
                      <m:ctrlPr>
                        <w:rPr>
                          <w:rFonts w:ascii="Cambria Math" w:hAnsi="Cambria Math"/>
                          <w:i/>
                        </w:rPr>
                      </m:ctrlPr>
                    </m:dPr>
                    <m:e>
                      <m:f>
                        <m:fPr>
                          <m:ctrlPr>
                            <w:rPr>
                              <w:rFonts w:ascii="Cambria Math" w:hAnsi="Cambria Math"/>
                              <w:i/>
                            </w:rPr>
                          </m:ctrlPr>
                        </m:fPr>
                        <m:num>
                          <m:r>
                            <w:rPr>
                              <w:rFonts w:ascii="Cambria Math" w:hAnsi="Cambria Math"/>
                            </w:rPr>
                            <m:t>M-</m:t>
                          </m:r>
                          <m:sSub>
                            <m:sSubPr>
                              <m:ctrlPr>
                                <w:rPr>
                                  <w:rFonts w:ascii="Cambria Math" w:hAnsi="Cambria Math"/>
                                  <w:i/>
                                  <w:iCs/>
                                </w:rPr>
                              </m:ctrlPr>
                            </m:sSubPr>
                            <m:e>
                              <m:r>
                                <w:rPr>
                                  <w:rFonts w:ascii="Cambria Math" w:hAnsi="Cambria Math"/>
                                </w:rPr>
                                <m:t>E</m:t>
                              </m:r>
                            </m:e>
                            <m:sub>
                              <m:r>
                                <w:rPr>
                                  <w:rFonts w:ascii="Cambria Math" w:hAnsi="Cambria Math"/>
                                </w:rPr>
                                <m:t>LL</m:t>
                              </m:r>
                            </m:sub>
                          </m:sSub>
                        </m:num>
                        <m:den>
                          <m:sSub>
                            <m:sSubPr>
                              <m:ctrlPr>
                                <w:rPr>
                                  <w:rFonts w:ascii="Cambria Math" w:hAnsi="Cambria Math"/>
                                  <w:i/>
                                  <w:iCs/>
                                </w:rPr>
                              </m:ctrlPr>
                            </m:sSubPr>
                            <m:e>
                              <m:r>
                                <w:rPr>
                                  <w:rFonts w:ascii="Cambria Math" w:hAnsi="Cambria Math"/>
                                </w:rPr>
                                <m:t>E</m:t>
                              </m:r>
                            </m:e>
                            <m:sub>
                              <m:r>
                                <w:rPr>
                                  <w:rFonts w:ascii="Cambria Math" w:hAnsi="Cambria Math"/>
                                </w:rPr>
                                <m:t>UL</m:t>
                              </m:r>
                            </m:sub>
                          </m:sSub>
                          <m:r>
                            <w:rPr>
                              <w:rFonts w:ascii="Cambria Math" w:hAnsi="Cambria Math"/>
                            </w:rPr>
                            <m:t>-M</m:t>
                          </m:r>
                        </m:den>
                      </m:f>
                    </m:e>
                  </m:d>
                </m:e>
              </m:func>
            </m:e>
          </m:d>
          <m:r>
            <w:rPr>
              <w:rFonts w:ascii="Cambria Math" w:hAnsi="Cambria Math"/>
            </w:rPr>
            <m:t>=</m:t>
          </m:r>
          <m:f>
            <m:fPr>
              <m:ctrlPr>
                <w:rPr>
                  <w:rFonts w:ascii="Cambria Math" w:hAnsi="Cambria Math"/>
                  <w:i/>
                </w:rPr>
              </m:ctrlPr>
            </m:fPr>
            <m:num>
              <m:r>
                <w:rPr>
                  <w:rFonts w:ascii="Cambria Math" w:hAnsi="Cambria Math"/>
                </w:rPr>
                <m:t>1</m:t>
              </m:r>
            </m:num>
            <m:den>
              <m:f>
                <m:fPr>
                  <m:ctrlPr>
                    <w:rPr>
                      <w:rFonts w:ascii="Cambria Math" w:hAnsi="Cambria Math"/>
                      <w:i/>
                    </w:rPr>
                  </m:ctrlPr>
                </m:fPr>
                <m:num>
                  <m:r>
                    <w:rPr>
                      <w:rFonts w:ascii="Cambria Math" w:hAnsi="Cambria Math"/>
                    </w:rPr>
                    <m:t>M-</m:t>
                  </m:r>
                  <m:sSub>
                    <m:sSubPr>
                      <m:ctrlPr>
                        <w:rPr>
                          <w:rFonts w:ascii="Cambria Math" w:hAnsi="Cambria Math"/>
                          <w:i/>
                          <w:iCs/>
                        </w:rPr>
                      </m:ctrlPr>
                    </m:sSubPr>
                    <m:e>
                      <m:r>
                        <w:rPr>
                          <w:rFonts w:ascii="Cambria Math" w:hAnsi="Cambria Math"/>
                        </w:rPr>
                        <m:t>E</m:t>
                      </m:r>
                    </m:e>
                    <m:sub>
                      <m:r>
                        <w:rPr>
                          <w:rFonts w:ascii="Cambria Math" w:hAnsi="Cambria Math"/>
                        </w:rPr>
                        <m:t>LL</m:t>
                      </m:r>
                    </m:sub>
                  </m:sSub>
                </m:num>
                <m:den>
                  <m:sSub>
                    <m:sSubPr>
                      <m:ctrlPr>
                        <w:rPr>
                          <w:rFonts w:ascii="Cambria Math" w:hAnsi="Cambria Math"/>
                          <w:i/>
                          <w:iCs/>
                        </w:rPr>
                      </m:ctrlPr>
                    </m:sSubPr>
                    <m:e>
                      <m:r>
                        <w:rPr>
                          <w:rFonts w:ascii="Cambria Math" w:hAnsi="Cambria Math"/>
                        </w:rPr>
                        <m:t>E</m:t>
                      </m:r>
                    </m:e>
                    <m:sub>
                      <m:r>
                        <w:rPr>
                          <w:rFonts w:ascii="Cambria Math" w:hAnsi="Cambria Math"/>
                        </w:rPr>
                        <m:t>UL</m:t>
                      </m:r>
                    </m:sub>
                  </m:sSub>
                  <m:r>
                    <w:rPr>
                      <w:rFonts w:ascii="Cambria Math" w:hAnsi="Cambria Math"/>
                    </w:rPr>
                    <m:t>-M</m:t>
                  </m:r>
                </m:den>
              </m:f>
            </m:den>
          </m:f>
          <m:r>
            <m:rPr>
              <m:sty m:val="p"/>
            </m:rPr>
            <w:rPr>
              <w:rFonts w:ascii="Cambria Math" w:hAnsi="Cambria Math"/>
            </w:rPr>
            <m:t>∙</m:t>
          </m:r>
          <m:f>
            <m:fPr>
              <m:ctrlPr>
                <w:rPr>
                  <w:rFonts w:ascii="Cambria Math" w:hAnsi="Cambria Math"/>
                  <w:i/>
                </w:rPr>
              </m:ctrlPr>
            </m:fPr>
            <m:num>
              <m:r>
                <w:rPr>
                  <w:rFonts w:ascii="Cambria Math" w:hAnsi="Cambria Math"/>
                </w:rPr>
                <m:t>d</m:t>
              </m:r>
            </m:num>
            <m:den>
              <m:r>
                <w:rPr>
                  <w:rFonts w:ascii="Cambria Math" w:hAnsi="Cambria Math"/>
                </w:rPr>
                <m:t>dM</m:t>
              </m:r>
            </m:den>
          </m:f>
          <m:d>
            <m:dPr>
              <m:ctrlPr>
                <w:rPr>
                  <w:rFonts w:ascii="Cambria Math" w:hAnsi="Cambria Math"/>
                  <w:i/>
                </w:rPr>
              </m:ctrlPr>
            </m:dPr>
            <m:e>
              <m:f>
                <m:fPr>
                  <m:ctrlPr>
                    <w:rPr>
                      <w:rFonts w:ascii="Cambria Math" w:hAnsi="Cambria Math"/>
                      <w:i/>
                    </w:rPr>
                  </m:ctrlPr>
                </m:fPr>
                <m:num>
                  <m:r>
                    <w:rPr>
                      <w:rFonts w:ascii="Cambria Math" w:hAnsi="Cambria Math"/>
                    </w:rPr>
                    <m:t>M-</m:t>
                  </m:r>
                  <m:sSub>
                    <m:sSubPr>
                      <m:ctrlPr>
                        <w:rPr>
                          <w:rFonts w:ascii="Cambria Math" w:hAnsi="Cambria Math"/>
                          <w:i/>
                          <w:iCs/>
                        </w:rPr>
                      </m:ctrlPr>
                    </m:sSubPr>
                    <m:e>
                      <m:r>
                        <w:rPr>
                          <w:rFonts w:ascii="Cambria Math" w:hAnsi="Cambria Math"/>
                        </w:rPr>
                        <m:t>E</m:t>
                      </m:r>
                    </m:e>
                    <m:sub>
                      <m:r>
                        <w:rPr>
                          <w:rFonts w:ascii="Cambria Math" w:hAnsi="Cambria Math"/>
                        </w:rPr>
                        <m:t>LL</m:t>
                      </m:r>
                    </m:sub>
                  </m:sSub>
                </m:num>
                <m:den>
                  <m:sSub>
                    <m:sSubPr>
                      <m:ctrlPr>
                        <w:rPr>
                          <w:rFonts w:ascii="Cambria Math" w:hAnsi="Cambria Math"/>
                          <w:i/>
                          <w:iCs/>
                        </w:rPr>
                      </m:ctrlPr>
                    </m:sSubPr>
                    <m:e>
                      <m:r>
                        <w:rPr>
                          <w:rFonts w:ascii="Cambria Math" w:hAnsi="Cambria Math"/>
                        </w:rPr>
                        <m:t>E</m:t>
                      </m:r>
                    </m:e>
                    <m:sub>
                      <m:r>
                        <w:rPr>
                          <w:rFonts w:ascii="Cambria Math" w:hAnsi="Cambria Math"/>
                        </w:rPr>
                        <m:t>UL</m:t>
                      </m:r>
                    </m:sub>
                  </m:sSub>
                  <m:r>
                    <w:rPr>
                      <w:rFonts w:ascii="Cambria Math" w:hAnsi="Cambria Math"/>
                    </w:rPr>
                    <m:t>-M</m:t>
                  </m:r>
                </m:den>
              </m:f>
            </m:e>
          </m:d>
          <m:r>
            <w:rPr>
              <w:rFonts w:ascii="Cambria Math" w:hAnsi="Cambria Math"/>
            </w:rPr>
            <m:t>=</m:t>
          </m:r>
          <m:f>
            <m:fPr>
              <m:ctrlPr>
                <w:rPr>
                  <w:rFonts w:ascii="Cambria Math" w:hAnsi="Cambria Math"/>
                  <w:i/>
                </w:rPr>
              </m:ctrlPr>
            </m:fPr>
            <m:num>
              <m:sSub>
                <m:sSubPr>
                  <m:ctrlPr>
                    <w:rPr>
                      <w:rFonts w:ascii="Cambria Math" w:hAnsi="Cambria Math"/>
                      <w:i/>
                      <w:iCs/>
                    </w:rPr>
                  </m:ctrlPr>
                </m:sSubPr>
                <m:e>
                  <m:r>
                    <w:rPr>
                      <w:rFonts w:ascii="Cambria Math" w:hAnsi="Cambria Math"/>
                    </w:rPr>
                    <m:t>E</m:t>
                  </m:r>
                </m:e>
                <m:sub>
                  <m:r>
                    <w:rPr>
                      <w:rFonts w:ascii="Cambria Math" w:hAnsi="Cambria Math"/>
                    </w:rPr>
                    <m:t>LL</m:t>
                  </m:r>
                </m:sub>
              </m:sSub>
              <m:r>
                <w:rPr>
                  <w:rFonts w:ascii="Cambria Math" w:hAnsi="Cambria Math"/>
                </w:rPr>
                <m:t>-</m:t>
              </m:r>
              <m:sSub>
                <m:sSubPr>
                  <m:ctrlPr>
                    <w:rPr>
                      <w:rFonts w:ascii="Cambria Math" w:hAnsi="Cambria Math"/>
                      <w:i/>
                      <w:iCs/>
                    </w:rPr>
                  </m:ctrlPr>
                </m:sSubPr>
                <m:e>
                  <m:r>
                    <w:rPr>
                      <w:rFonts w:ascii="Cambria Math" w:hAnsi="Cambria Math"/>
                    </w:rPr>
                    <m:t>E</m:t>
                  </m:r>
                </m:e>
                <m:sub>
                  <m:r>
                    <w:rPr>
                      <w:rFonts w:ascii="Cambria Math" w:hAnsi="Cambria Math"/>
                    </w:rPr>
                    <m:t>UL</m:t>
                  </m:r>
                </m:sub>
              </m:sSub>
            </m:num>
            <m:den>
              <m:d>
                <m:dPr>
                  <m:ctrlPr>
                    <w:rPr>
                      <w:rFonts w:ascii="Cambria Math" w:hAnsi="Cambria Math"/>
                      <w:i/>
                    </w:rPr>
                  </m:ctrlPr>
                </m:dPr>
                <m:e>
                  <m:sSub>
                    <m:sSubPr>
                      <m:ctrlPr>
                        <w:rPr>
                          <w:rFonts w:ascii="Cambria Math" w:hAnsi="Cambria Math"/>
                          <w:i/>
                          <w:iCs/>
                        </w:rPr>
                      </m:ctrlPr>
                    </m:sSubPr>
                    <m:e>
                      <m:r>
                        <w:rPr>
                          <w:rFonts w:ascii="Cambria Math" w:hAnsi="Cambria Math"/>
                        </w:rPr>
                        <m:t>E</m:t>
                      </m:r>
                    </m:e>
                    <m:sub>
                      <m:r>
                        <w:rPr>
                          <w:rFonts w:ascii="Cambria Math" w:hAnsi="Cambria Math"/>
                        </w:rPr>
                        <m:t>LL</m:t>
                      </m:r>
                    </m:sub>
                  </m:sSub>
                  <m:r>
                    <w:rPr>
                      <w:rFonts w:ascii="Cambria Math" w:hAnsi="Cambria Math"/>
                    </w:rPr>
                    <m:t>-M</m:t>
                  </m:r>
                </m:e>
              </m:d>
              <m:d>
                <m:dPr>
                  <m:ctrlPr>
                    <w:rPr>
                      <w:rFonts w:ascii="Cambria Math" w:hAnsi="Cambria Math"/>
                      <w:i/>
                    </w:rPr>
                  </m:ctrlPr>
                </m:dPr>
                <m:e>
                  <m:sSub>
                    <m:sSubPr>
                      <m:ctrlPr>
                        <w:rPr>
                          <w:rFonts w:ascii="Cambria Math" w:hAnsi="Cambria Math"/>
                          <w:i/>
                          <w:iCs/>
                        </w:rPr>
                      </m:ctrlPr>
                    </m:sSubPr>
                    <m:e>
                      <m:r>
                        <w:rPr>
                          <w:rFonts w:ascii="Cambria Math" w:hAnsi="Cambria Math"/>
                        </w:rPr>
                        <m:t>E</m:t>
                      </m:r>
                    </m:e>
                    <m:sub>
                      <m:r>
                        <w:rPr>
                          <w:rFonts w:ascii="Cambria Math" w:hAnsi="Cambria Math"/>
                        </w:rPr>
                        <m:t>UL</m:t>
                      </m:r>
                    </m:sub>
                  </m:sSub>
                  <m:r>
                    <w:rPr>
                      <w:rFonts w:ascii="Cambria Math" w:hAnsi="Cambria Math"/>
                    </w:rPr>
                    <m:t>-M</m:t>
                  </m:r>
                </m:e>
              </m:d>
            </m:den>
          </m:f>
        </m:oMath>
      </m:oMathPara>
    </w:p>
    <w:p w14:paraId="386C55AC" w14:textId="2EC4A9F2" w:rsidR="004D66D6" w:rsidRPr="004D66D6" w:rsidRDefault="004D66D6" w:rsidP="000241D6">
      <w:pPr>
        <w:rPr>
          <w:lang w:val="en-GB"/>
        </w:rPr>
      </w:pPr>
      <w:r w:rsidRPr="004D66D6">
        <w:rPr>
          <w:lang w:val="en-GB"/>
        </w:rPr>
        <w:t xml:space="preserve">For the sample mean from a population with variance </w:t>
      </w:r>
      <m:oMath>
        <m:sSup>
          <m:sSupPr>
            <m:ctrlPr>
              <w:rPr>
                <w:rFonts w:ascii="Cambria Math" w:hAnsi="Cambria Math"/>
                <w:i/>
                <w:lang w:val="en-GB"/>
              </w:rPr>
            </m:ctrlPr>
          </m:sSupPr>
          <m:e>
            <m:r>
              <w:rPr>
                <w:rFonts w:ascii="Cambria Math" w:hAnsi="Cambria Math"/>
                <w:lang w:val="en-GB"/>
              </w:rPr>
              <m:t>σ</m:t>
            </m:r>
          </m:e>
          <m:sup>
            <m:r>
              <w:rPr>
                <w:rFonts w:ascii="Cambria Math" w:hAnsi="Cambria Math"/>
                <w:lang w:val="en-GB"/>
              </w:rPr>
              <m:t>2</m:t>
            </m:r>
          </m:sup>
        </m:sSup>
      </m:oMath>
      <w:r w:rsidRPr="004D66D6">
        <w:rPr>
          <w:lang w:val="en-GB"/>
        </w:rPr>
        <w:t xml:space="preserve"> and sample size </w:t>
      </w:r>
      <w:r w:rsidRPr="004D66D6">
        <w:rPr>
          <w:i/>
          <w:iCs/>
          <w:lang w:val="en-GB"/>
        </w:rPr>
        <w:t>n</w:t>
      </w:r>
      <w:r w:rsidRPr="004D66D6">
        <w:rPr>
          <w:lang w:val="en-GB"/>
        </w:rPr>
        <w:t>, the sampling variance of the mean is given by:</w:t>
      </w:r>
    </w:p>
    <w:p w14:paraId="65412F60" w14:textId="49B86E13" w:rsidR="004D66D6" w:rsidRPr="004D66D6" w:rsidRDefault="004D66D6" w:rsidP="000241D6">
      <w:pPr>
        <w:rPr>
          <w:lang w:val="en-GB"/>
        </w:rPr>
      </w:pPr>
      <m:oMathPara>
        <m:oMath>
          <m:r>
            <m:rPr>
              <m:sty m:val="p"/>
            </m:rPr>
            <w:rPr>
              <w:rFonts w:ascii="Cambria Math" w:hAnsi="Cambria Math"/>
            </w:rPr>
            <m:t>Var</m:t>
          </m:r>
          <m:d>
            <m:dPr>
              <m:ctrlPr>
                <w:rPr>
                  <w:rFonts w:ascii="Cambria Math" w:hAnsi="Cambria Math"/>
                  <w:i/>
                </w:rPr>
              </m:ctrlPr>
            </m:dPr>
            <m:e>
              <m:r>
                <w:rPr>
                  <w:rFonts w:ascii="Cambria Math" w:hAnsi="Cambria Math"/>
                </w:rPr>
                <m:t>M</m:t>
              </m:r>
            </m:e>
          </m:d>
          <m:r>
            <w:rPr>
              <w:rFonts w:ascii="Cambria Math" w:hAnsi="Cambria Math"/>
              <w:lang w:val="en-GB"/>
            </w:rPr>
            <m:t>=</m:t>
          </m:r>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σ</m:t>
                  </m:r>
                </m:e>
                <m:sup>
                  <m:r>
                    <w:rPr>
                      <w:rFonts w:ascii="Cambria Math" w:hAnsi="Cambria Math"/>
                      <w:lang w:val="en-GB"/>
                    </w:rPr>
                    <m:t>2</m:t>
                  </m:r>
                </m:sup>
              </m:sSup>
            </m:num>
            <m:den>
              <m:r>
                <w:rPr>
                  <w:rFonts w:ascii="Cambria Math" w:hAnsi="Cambria Math"/>
                  <w:lang w:val="en-GB"/>
                </w:rPr>
                <m:t>n</m:t>
              </m:r>
            </m:den>
          </m:f>
          <m:r>
            <w:rPr>
              <w:rFonts w:ascii="Cambria Math" w:hAnsi="Cambria Math"/>
            </w:rPr>
            <m:t>≈</m:t>
          </m:r>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SD</m:t>
                  </m:r>
                </m:e>
                <m:sup>
                  <m:r>
                    <w:rPr>
                      <w:rFonts w:ascii="Cambria Math" w:hAnsi="Cambria Math"/>
                      <w:lang w:val="en-GB"/>
                    </w:rPr>
                    <m:t>2</m:t>
                  </m:r>
                </m:sup>
              </m:sSup>
            </m:num>
            <m:den>
              <m:r>
                <w:rPr>
                  <w:rFonts w:ascii="Cambria Math" w:hAnsi="Cambria Math"/>
                  <w:lang w:val="en-GB"/>
                </w:rPr>
                <m:t>n</m:t>
              </m:r>
            </m:den>
          </m:f>
        </m:oMath>
      </m:oMathPara>
    </w:p>
    <w:p w14:paraId="10C36C0A" w14:textId="33513900" w:rsidR="004D66D6" w:rsidRPr="004D66D6" w:rsidRDefault="004D66D6" w:rsidP="004D66D6">
      <w:r w:rsidRPr="004D66D6">
        <w:rPr>
          <w:iCs/>
        </w:rPr>
        <w:t>Thus,</w:t>
      </w:r>
      <w:r w:rsidRPr="004D66D6">
        <w:rPr>
          <w:iCs/>
        </w:rPr>
        <w:br/>
      </w:r>
      <m:oMathPara>
        <m:oMath>
          <m:r>
            <m:rPr>
              <m:sty m:val="p"/>
            </m:rPr>
            <w:rPr>
              <w:rFonts w:ascii="Cambria Math" w:hAnsi="Cambria Math"/>
            </w:rPr>
            <m:t>Var</m:t>
          </m:r>
          <m:d>
            <m:dPr>
              <m:ctrlPr>
                <w:rPr>
                  <w:rFonts w:ascii="Cambria Math" w:hAnsi="Cambria Math"/>
                  <w:i/>
                </w:rPr>
              </m:ctrlPr>
            </m:dPr>
            <m:e>
              <m:r>
                <w:rPr>
                  <w:rFonts w:ascii="Cambria Math" w:hAnsi="Cambria Math"/>
                </w:rPr>
                <m:t>g</m:t>
              </m:r>
              <m:d>
                <m:dPr>
                  <m:ctrlPr>
                    <w:rPr>
                      <w:rFonts w:ascii="Cambria Math" w:hAnsi="Cambria Math"/>
                      <w:i/>
                    </w:rPr>
                  </m:ctrlPr>
                </m:dPr>
                <m:e>
                  <m:r>
                    <w:rPr>
                      <w:rFonts w:ascii="Cambria Math" w:hAnsi="Cambria Math"/>
                    </w:rPr>
                    <m:t>M</m:t>
                  </m:r>
                </m:e>
              </m:d>
            </m:e>
          </m:d>
          <m:r>
            <w:rPr>
              <w:rFonts w:ascii="Cambria Math" w:hAnsi="Cambria Math"/>
            </w:rPr>
            <m:t>≈</m:t>
          </m:r>
          <m:sSup>
            <m:sSupPr>
              <m:ctrlPr>
                <w:rPr>
                  <w:rFonts w:ascii="Cambria Math" w:hAnsi="Cambria Math"/>
                </w:rPr>
              </m:ctrlPr>
            </m:sSupPr>
            <m:e>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iCs/>
                            </w:rPr>
                          </m:ctrlPr>
                        </m:sSubPr>
                        <m:e>
                          <m:r>
                            <w:rPr>
                              <w:rFonts w:ascii="Cambria Math" w:hAnsi="Cambria Math"/>
                            </w:rPr>
                            <m:t>E</m:t>
                          </m:r>
                        </m:e>
                        <m:sub>
                          <m:r>
                            <w:rPr>
                              <w:rFonts w:ascii="Cambria Math" w:hAnsi="Cambria Math"/>
                            </w:rPr>
                            <m:t>LL</m:t>
                          </m:r>
                        </m:sub>
                      </m:sSub>
                      <m:r>
                        <w:rPr>
                          <w:rFonts w:ascii="Cambria Math" w:hAnsi="Cambria Math"/>
                        </w:rPr>
                        <m:t>-</m:t>
                      </m:r>
                      <m:sSub>
                        <m:sSubPr>
                          <m:ctrlPr>
                            <w:rPr>
                              <w:rFonts w:ascii="Cambria Math" w:hAnsi="Cambria Math"/>
                              <w:i/>
                              <w:iCs/>
                            </w:rPr>
                          </m:ctrlPr>
                        </m:sSubPr>
                        <m:e>
                          <m:r>
                            <w:rPr>
                              <w:rFonts w:ascii="Cambria Math" w:hAnsi="Cambria Math"/>
                            </w:rPr>
                            <m:t>E</m:t>
                          </m:r>
                        </m:e>
                        <m:sub>
                          <m:r>
                            <w:rPr>
                              <w:rFonts w:ascii="Cambria Math" w:hAnsi="Cambria Math"/>
                            </w:rPr>
                            <m:t>UL</m:t>
                          </m:r>
                        </m:sub>
                      </m:sSub>
                    </m:num>
                    <m:den>
                      <m:d>
                        <m:dPr>
                          <m:ctrlPr>
                            <w:rPr>
                              <w:rFonts w:ascii="Cambria Math" w:hAnsi="Cambria Math"/>
                              <w:i/>
                            </w:rPr>
                          </m:ctrlPr>
                        </m:dPr>
                        <m:e>
                          <m:sSub>
                            <m:sSubPr>
                              <m:ctrlPr>
                                <w:rPr>
                                  <w:rFonts w:ascii="Cambria Math" w:hAnsi="Cambria Math"/>
                                  <w:i/>
                                  <w:iCs/>
                                </w:rPr>
                              </m:ctrlPr>
                            </m:sSubPr>
                            <m:e>
                              <m:r>
                                <w:rPr>
                                  <w:rFonts w:ascii="Cambria Math" w:hAnsi="Cambria Math"/>
                                </w:rPr>
                                <m:t>E</m:t>
                              </m:r>
                            </m:e>
                            <m:sub>
                              <m:r>
                                <w:rPr>
                                  <w:rFonts w:ascii="Cambria Math" w:hAnsi="Cambria Math"/>
                                </w:rPr>
                                <m:t>LL</m:t>
                              </m:r>
                            </m:sub>
                          </m:sSub>
                          <m:r>
                            <w:rPr>
                              <w:rFonts w:ascii="Cambria Math" w:hAnsi="Cambria Math"/>
                            </w:rPr>
                            <m:t>-M</m:t>
                          </m:r>
                        </m:e>
                      </m:d>
                      <m:d>
                        <m:dPr>
                          <m:ctrlPr>
                            <w:rPr>
                              <w:rFonts w:ascii="Cambria Math" w:hAnsi="Cambria Math"/>
                              <w:i/>
                            </w:rPr>
                          </m:ctrlPr>
                        </m:dPr>
                        <m:e>
                          <m:sSub>
                            <m:sSubPr>
                              <m:ctrlPr>
                                <w:rPr>
                                  <w:rFonts w:ascii="Cambria Math" w:hAnsi="Cambria Math"/>
                                  <w:i/>
                                  <w:iCs/>
                                </w:rPr>
                              </m:ctrlPr>
                            </m:sSubPr>
                            <m:e>
                              <m:r>
                                <w:rPr>
                                  <w:rFonts w:ascii="Cambria Math" w:hAnsi="Cambria Math"/>
                                </w:rPr>
                                <m:t>E</m:t>
                              </m:r>
                            </m:e>
                            <m:sub>
                              <m:r>
                                <w:rPr>
                                  <w:rFonts w:ascii="Cambria Math" w:hAnsi="Cambria Math"/>
                                </w:rPr>
                                <m:t>UL</m:t>
                              </m:r>
                            </m:sub>
                          </m:sSub>
                          <m:r>
                            <w:rPr>
                              <w:rFonts w:ascii="Cambria Math" w:hAnsi="Cambria Math"/>
                            </w:rPr>
                            <m:t>-M</m:t>
                          </m:r>
                        </m:e>
                      </m:d>
                    </m:den>
                  </m:f>
                </m:e>
              </m:d>
            </m:e>
            <m:sup>
              <m:r>
                <w:rPr>
                  <w:rFonts w:ascii="Cambria Math" w:hAnsi="Cambria Math"/>
                </w:rPr>
                <m:t>2</m:t>
              </m:r>
            </m:sup>
          </m:sSup>
          <m:r>
            <w:rPr>
              <w:rFonts w:ascii="Cambria Math" w:hAnsi="Cambria Math"/>
            </w:rPr>
            <m:t>∙</m:t>
          </m:r>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SD</m:t>
                  </m:r>
                </m:e>
                <m:sup>
                  <m:r>
                    <w:rPr>
                      <w:rFonts w:ascii="Cambria Math" w:hAnsi="Cambria Math"/>
                      <w:lang w:val="en-GB"/>
                    </w:rPr>
                    <m:t>2</m:t>
                  </m:r>
                </m:sup>
              </m:sSup>
            </m:num>
            <m:den>
              <m:r>
                <w:rPr>
                  <w:rFonts w:ascii="Cambria Math" w:hAnsi="Cambria Math"/>
                  <w:lang w:val="en-GB"/>
                </w:rPr>
                <m:t>n</m:t>
              </m:r>
            </m:den>
          </m:f>
          <m:r>
            <w:rPr>
              <w:rFonts w:ascii="Cambria Math" w:hAnsi="Cambria Math"/>
              <w:lang w:val="en-GB"/>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sSub>
                        <m:sSubPr>
                          <m:ctrlPr>
                            <w:rPr>
                              <w:rFonts w:ascii="Cambria Math" w:hAnsi="Cambria Math"/>
                              <w:i/>
                              <w:iCs/>
                            </w:rPr>
                          </m:ctrlPr>
                        </m:sSubPr>
                        <m:e>
                          <m:r>
                            <w:rPr>
                              <w:rFonts w:ascii="Cambria Math" w:hAnsi="Cambria Math"/>
                            </w:rPr>
                            <m:t>E</m:t>
                          </m:r>
                        </m:e>
                        <m:sub>
                          <m:r>
                            <w:rPr>
                              <w:rFonts w:ascii="Cambria Math" w:hAnsi="Cambria Math"/>
                            </w:rPr>
                            <m:t>LL</m:t>
                          </m:r>
                        </m:sub>
                      </m:sSub>
                      <m:r>
                        <w:rPr>
                          <w:rFonts w:ascii="Cambria Math" w:hAnsi="Cambria Math"/>
                        </w:rPr>
                        <m:t>-</m:t>
                      </m:r>
                      <m:sSub>
                        <m:sSubPr>
                          <m:ctrlPr>
                            <w:rPr>
                              <w:rFonts w:ascii="Cambria Math" w:hAnsi="Cambria Math"/>
                              <w:i/>
                              <w:iCs/>
                            </w:rPr>
                          </m:ctrlPr>
                        </m:sSubPr>
                        <m:e>
                          <m:r>
                            <w:rPr>
                              <w:rFonts w:ascii="Cambria Math" w:hAnsi="Cambria Math"/>
                            </w:rPr>
                            <m:t>E</m:t>
                          </m:r>
                        </m:e>
                        <m:sub>
                          <m:r>
                            <w:rPr>
                              <w:rFonts w:ascii="Cambria Math" w:hAnsi="Cambria Math"/>
                            </w:rPr>
                            <m:t>UL</m:t>
                          </m:r>
                        </m:sub>
                      </m:sSub>
                    </m:e>
                  </m:d>
                </m:e>
                <m:sup>
                  <m:r>
                    <w:rPr>
                      <w:rFonts w:ascii="Cambria Math" w:hAnsi="Cambria Math"/>
                    </w:rPr>
                    <m:t>2</m:t>
                  </m:r>
                </m:sup>
              </m:sSup>
            </m:num>
            <m:den>
              <m:sSup>
                <m:sSupPr>
                  <m:ctrlPr>
                    <w:rPr>
                      <w:rFonts w:ascii="Cambria Math" w:hAnsi="Cambria Math"/>
                      <w:i/>
                    </w:rPr>
                  </m:ctrlPr>
                </m:sSupPr>
                <m:e>
                  <m:d>
                    <m:dPr>
                      <m:ctrlPr>
                        <w:rPr>
                          <w:rFonts w:ascii="Cambria Math" w:hAnsi="Cambria Math"/>
                          <w:i/>
                        </w:rPr>
                      </m:ctrlPr>
                    </m:dPr>
                    <m:e>
                      <m:sSub>
                        <m:sSubPr>
                          <m:ctrlPr>
                            <w:rPr>
                              <w:rFonts w:ascii="Cambria Math" w:hAnsi="Cambria Math"/>
                              <w:i/>
                              <w:iCs/>
                            </w:rPr>
                          </m:ctrlPr>
                        </m:sSubPr>
                        <m:e>
                          <m:r>
                            <w:rPr>
                              <w:rFonts w:ascii="Cambria Math" w:hAnsi="Cambria Math"/>
                            </w:rPr>
                            <m:t>E</m:t>
                          </m:r>
                        </m:e>
                        <m:sub>
                          <m:r>
                            <w:rPr>
                              <w:rFonts w:ascii="Cambria Math" w:hAnsi="Cambria Math"/>
                            </w:rPr>
                            <m:t>UL</m:t>
                          </m:r>
                        </m:sub>
                      </m:sSub>
                      <m:r>
                        <w:rPr>
                          <w:rFonts w:ascii="Cambria Math" w:hAnsi="Cambria Math"/>
                        </w:rPr>
                        <m:t>-M</m:t>
                      </m:r>
                    </m:e>
                  </m:d>
                </m:e>
                <m:sup>
                  <m:r>
                    <w:rPr>
                      <w:rFonts w:ascii="Cambria Math" w:hAnsi="Cambria Math"/>
                    </w:rPr>
                    <m:t>2</m:t>
                  </m:r>
                </m:sup>
              </m:sSup>
            </m:den>
          </m:f>
          <m:r>
            <w:rPr>
              <w:rFonts w:ascii="Cambria Math" w:hAnsi="Cambria Math"/>
            </w:rPr>
            <m:t>∙</m:t>
          </m:r>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SD</m:t>
                  </m:r>
                </m:e>
                <m:sup>
                  <m:r>
                    <w:rPr>
                      <w:rFonts w:ascii="Cambria Math" w:hAnsi="Cambria Math"/>
                      <w:lang w:val="en-GB"/>
                    </w:rPr>
                    <m:t>2</m:t>
                  </m:r>
                </m:sup>
              </m:sSup>
            </m:num>
            <m:den>
              <m:r>
                <w:rPr>
                  <w:rFonts w:ascii="Cambria Math" w:hAnsi="Cambria Math"/>
                  <w:lang w:val="en-GB"/>
                </w:rPr>
                <m:t>n∙</m:t>
              </m:r>
              <m:sSup>
                <m:sSupPr>
                  <m:ctrlPr>
                    <w:rPr>
                      <w:rFonts w:ascii="Cambria Math" w:hAnsi="Cambria Math"/>
                      <w:i/>
                      <w:lang w:val="en-GB"/>
                    </w:rPr>
                  </m:ctrlPr>
                </m:sSupPr>
                <m:e>
                  <m:d>
                    <m:dPr>
                      <m:ctrlPr>
                        <w:rPr>
                          <w:rFonts w:ascii="Cambria Math" w:hAnsi="Cambria Math"/>
                          <w:i/>
                        </w:rPr>
                      </m:ctrlPr>
                    </m:dPr>
                    <m:e>
                      <m:r>
                        <w:rPr>
                          <w:rFonts w:ascii="Cambria Math" w:hAnsi="Cambria Math"/>
                        </w:rPr>
                        <m:t>M-</m:t>
                      </m:r>
                      <m:sSub>
                        <m:sSubPr>
                          <m:ctrlPr>
                            <w:rPr>
                              <w:rFonts w:ascii="Cambria Math" w:hAnsi="Cambria Math"/>
                              <w:i/>
                              <w:iCs/>
                            </w:rPr>
                          </m:ctrlPr>
                        </m:sSubPr>
                        <m:e>
                          <m:r>
                            <w:rPr>
                              <w:rFonts w:ascii="Cambria Math" w:hAnsi="Cambria Math"/>
                            </w:rPr>
                            <m:t>E</m:t>
                          </m:r>
                        </m:e>
                        <m:sub>
                          <m:r>
                            <w:rPr>
                              <w:rFonts w:ascii="Cambria Math" w:hAnsi="Cambria Math"/>
                            </w:rPr>
                            <m:t>LL</m:t>
                          </m:r>
                        </m:sub>
                      </m:sSub>
                    </m:e>
                  </m:d>
                </m:e>
                <m:sup>
                  <m:r>
                    <w:rPr>
                      <w:rFonts w:ascii="Cambria Math" w:hAnsi="Cambria Math"/>
                      <w:lang w:val="en-GB"/>
                    </w:rPr>
                    <m:t>2</m:t>
                  </m:r>
                </m:sup>
              </m:sSup>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iCs/>
                            </w:rPr>
                          </m:ctrlPr>
                        </m:fPr>
                        <m:num>
                          <m:r>
                            <w:rPr>
                              <w:rFonts w:ascii="Cambria Math" w:hAnsi="Cambria Math"/>
                            </w:rPr>
                            <m:t>M-</m:t>
                          </m:r>
                          <m:sSub>
                            <m:sSubPr>
                              <m:ctrlPr>
                                <w:rPr>
                                  <w:rFonts w:ascii="Cambria Math" w:hAnsi="Cambria Math"/>
                                  <w:i/>
                                  <w:iCs/>
                                </w:rPr>
                              </m:ctrlPr>
                            </m:sSubPr>
                            <m:e>
                              <m:r>
                                <w:rPr>
                                  <w:rFonts w:ascii="Cambria Math" w:hAnsi="Cambria Math"/>
                                </w:rPr>
                                <m:t>E</m:t>
                              </m:r>
                            </m:e>
                            <m:sub>
                              <m:r>
                                <w:rPr>
                                  <w:rFonts w:ascii="Cambria Math" w:hAnsi="Cambria Math"/>
                                </w:rPr>
                                <m:t>LL</m:t>
                              </m:r>
                            </m:sub>
                          </m:sSub>
                        </m:num>
                        <m:den>
                          <m:sSub>
                            <m:sSubPr>
                              <m:ctrlPr>
                                <w:rPr>
                                  <w:rFonts w:ascii="Cambria Math" w:hAnsi="Cambria Math"/>
                                  <w:i/>
                                  <w:iCs/>
                                </w:rPr>
                              </m:ctrlPr>
                            </m:sSubPr>
                            <m:e>
                              <m:r>
                                <w:rPr>
                                  <w:rFonts w:ascii="Cambria Math" w:hAnsi="Cambria Math"/>
                                </w:rPr>
                                <m:t>E</m:t>
                              </m:r>
                            </m:e>
                            <m:sub>
                              <m:r>
                                <w:rPr>
                                  <w:rFonts w:ascii="Cambria Math" w:hAnsi="Cambria Math"/>
                                </w:rPr>
                                <m:t>UL</m:t>
                              </m:r>
                            </m:sub>
                          </m:sSub>
                          <m:r>
                            <w:rPr>
                              <w:rFonts w:ascii="Cambria Math" w:hAnsi="Cambria Math"/>
                            </w:rPr>
                            <m:t>-</m:t>
                          </m:r>
                          <m:sSub>
                            <m:sSubPr>
                              <m:ctrlPr>
                                <w:rPr>
                                  <w:rFonts w:ascii="Cambria Math" w:hAnsi="Cambria Math"/>
                                  <w:i/>
                                  <w:iCs/>
                                </w:rPr>
                              </m:ctrlPr>
                            </m:sSubPr>
                            <m:e>
                              <m:r>
                                <w:rPr>
                                  <w:rFonts w:ascii="Cambria Math" w:hAnsi="Cambria Math"/>
                                </w:rPr>
                                <m:t>E</m:t>
                              </m:r>
                            </m:e>
                            <m:sub>
                              <m:r>
                                <w:rPr>
                                  <w:rFonts w:ascii="Cambria Math" w:hAnsi="Cambria Math"/>
                                </w:rPr>
                                <m:t>LL</m:t>
                              </m:r>
                            </m:sub>
                          </m:sSub>
                        </m:den>
                      </m:f>
                    </m:e>
                  </m:d>
                </m:e>
                <m:sup>
                  <m:r>
                    <w:rPr>
                      <w:rFonts w:ascii="Cambria Math" w:hAnsi="Cambria Math"/>
                    </w:rPr>
                    <m:t>2</m:t>
                  </m:r>
                </m:sup>
              </m:sSup>
            </m:den>
          </m:f>
          <m:r>
            <w:rPr>
              <w:rFonts w:ascii="Cambria Math" w:hAnsi="Cambria Math"/>
            </w:rPr>
            <m:t>∙</m:t>
          </m:r>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SD</m:t>
                  </m:r>
                </m:e>
                <m:sup>
                  <m:r>
                    <w:rPr>
                      <w:rFonts w:ascii="Cambria Math" w:hAnsi="Cambria Math"/>
                      <w:lang w:val="en-GB"/>
                    </w:rPr>
                    <m:t>2</m:t>
                  </m:r>
                </m:sup>
              </m:sSup>
            </m:num>
            <m:den>
              <m:r>
                <w:rPr>
                  <w:rFonts w:ascii="Cambria Math" w:hAnsi="Cambria Math"/>
                  <w:lang w:val="en-GB"/>
                </w:rPr>
                <m:t>n∙</m:t>
              </m:r>
              <m:sSup>
                <m:sSupPr>
                  <m:ctrlPr>
                    <w:rPr>
                      <w:rFonts w:ascii="Cambria Math" w:hAnsi="Cambria Math"/>
                      <w:i/>
                      <w:lang w:val="en-GB"/>
                    </w:rPr>
                  </m:ctrlPr>
                </m:sSupPr>
                <m:e>
                  <m:d>
                    <m:dPr>
                      <m:ctrlPr>
                        <w:rPr>
                          <w:rFonts w:ascii="Cambria Math" w:hAnsi="Cambria Math"/>
                          <w:i/>
                        </w:rPr>
                      </m:ctrlPr>
                    </m:dPr>
                    <m:e>
                      <m:r>
                        <w:rPr>
                          <w:rFonts w:ascii="Cambria Math" w:hAnsi="Cambria Math"/>
                        </w:rPr>
                        <m:t>M-</m:t>
                      </m:r>
                      <m:sSub>
                        <m:sSubPr>
                          <m:ctrlPr>
                            <w:rPr>
                              <w:rFonts w:ascii="Cambria Math" w:hAnsi="Cambria Math"/>
                              <w:i/>
                              <w:iCs/>
                            </w:rPr>
                          </m:ctrlPr>
                        </m:sSubPr>
                        <m:e>
                          <m:r>
                            <w:rPr>
                              <w:rFonts w:ascii="Cambria Math" w:hAnsi="Cambria Math"/>
                            </w:rPr>
                            <m:t>E</m:t>
                          </m:r>
                        </m:e>
                        <m:sub>
                          <m:r>
                            <w:rPr>
                              <w:rFonts w:ascii="Cambria Math" w:hAnsi="Cambria Math"/>
                            </w:rPr>
                            <m:t>LL</m:t>
                          </m:r>
                        </m:sub>
                      </m:sSub>
                    </m:e>
                  </m:d>
                </m:e>
                <m:sup>
                  <m:r>
                    <w:rPr>
                      <w:rFonts w:ascii="Cambria Math" w:hAnsi="Cambria Math"/>
                      <w:lang w:val="en-GB"/>
                    </w:rPr>
                    <m:t>2</m:t>
                  </m:r>
                </m:sup>
              </m:sSup>
            </m:den>
          </m:f>
        </m:oMath>
      </m:oMathPara>
    </w:p>
    <w:p w14:paraId="28B90595" w14:textId="43639B7B" w:rsidR="004D66D6" w:rsidRPr="004D66D6" w:rsidRDefault="004D66D6" w:rsidP="000241D6">
      <w:pPr>
        <w:rPr>
          <w:lang w:val="en-GB"/>
        </w:rPr>
      </w:pPr>
      <w:r w:rsidRPr="004D66D6">
        <w:rPr>
          <w:lang w:val="en-GB"/>
        </w:rPr>
        <w:t xml:space="preserve">Given that </w:t>
      </w:r>
      <m:oMath>
        <m:r>
          <w:rPr>
            <w:rFonts w:ascii="Cambria Math" w:hAnsi="Cambria Math"/>
            <w:lang w:val="en-GB"/>
          </w:rPr>
          <m:t>p=</m:t>
        </m:r>
        <m:f>
          <m:fPr>
            <m:ctrlPr>
              <w:rPr>
                <w:rFonts w:ascii="Cambria Math" w:hAnsi="Cambria Math"/>
                <w:i/>
                <w:iCs/>
              </w:rPr>
            </m:ctrlPr>
          </m:fPr>
          <m:num>
            <m:r>
              <w:rPr>
                <w:rFonts w:ascii="Cambria Math" w:hAnsi="Cambria Math"/>
              </w:rPr>
              <m:t>M-</m:t>
            </m:r>
            <m:sSub>
              <m:sSubPr>
                <m:ctrlPr>
                  <w:rPr>
                    <w:rFonts w:ascii="Cambria Math" w:hAnsi="Cambria Math"/>
                    <w:i/>
                    <w:iCs/>
                  </w:rPr>
                </m:ctrlPr>
              </m:sSubPr>
              <m:e>
                <m:r>
                  <w:rPr>
                    <w:rFonts w:ascii="Cambria Math" w:hAnsi="Cambria Math"/>
                  </w:rPr>
                  <m:t>E</m:t>
                </m:r>
              </m:e>
              <m:sub>
                <m:r>
                  <w:rPr>
                    <w:rFonts w:ascii="Cambria Math" w:hAnsi="Cambria Math"/>
                  </w:rPr>
                  <m:t>LL</m:t>
                </m:r>
              </m:sub>
            </m:sSub>
          </m:num>
          <m:den>
            <m:sSub>
              <m:sSubPr>
                <m:ctrlPr>
                  <w:rPr>
                    <w:rFonts w:ascii="Cambria Math" w:hAnsi="Cambria Math"/>
                    <w:i/>
                    <w:iCs/>
                  </w:rPr>
                </m:ctrlPr>
              </m:sSubPr>
              <m:e>
                <m:r>
                  <w:rPr>
                    <w:rFonts w:ascii="Cambria Math" w:hAnsi="Cambria Math"/>
                  </w:rPr>
                  <m:t>E</m:t>
                </m:r>
              </m:e>
              <m:sub>
                <m:r>
                  <w:rPr>
                    <w:rFonts w:ascii="Cambria Math" w:hAnsi="Cambria Math"/>
                  </w:rPr>
                  <m:t>UL</m:t>
                </m:r>
              </m:sub>
            </m:sSub>
            <m:r>
              <w:rPr>
                <w:rFonts w:ascii="Cambria Math" w:hAnsi="Cambria Math"/>
              </w:rPr>
              <m:t>-</m:t>
            </m:r>
            <m:sSub>
              <m:sSubPr>
                <m:ctrlPr>
                  <w:rPr>
                    <w:rFonts w:ascii="Cambria Math" w:hAnsi="Cambria Math"/>
                    <w:i/>
                    <w:iCs/>
                  </w:rPr>
                </m:ctrlPr>
              </m:sSubPr>
              <m:e>
                <m:r>
                  <w:rPr>
                    <w:rFonts w:ascii="Cambria Math" w:hAnsi="Cambria Math"/>
                  </w:rPr>
                  <m:t>E</m:t>
                </m:r>
              </m:e>
              <m:sub>
                <m:r>
                  <w:rPr>
                    <w:rFonts w:ascii="Cambria Math" w:hAnsi="Cambria Math"/>
                  </w:rPr>
                  <m:t>LL</m:t>
                </m:r>
              </m:sub>
            </m:sSub>
          </m:den>
        </m:f>
      </m:oMath>
      <w:r w:rsidRPr="004D66D6">
        <w:rPr>
          <w:lang w:val="en-GB"/>
        </w:rPr>
        <w:t xml:space="preserve">, the approximation of the sampling variance for this logit-transformed ratio </w:t>
      </w:r>
      <m:oMath>
        <m:func>
          <m:funcPr>
            <m:ctrlPr>
              <w:rPr>
                <w:rFonts w:ascii="Cambria Math" w:hAnsi="Cambria Math"/>
                <w:i/>
              </w:rPr>
            </m:ctrlPr>
          </m:funcPr>
          <m:fName>
            <m:sSub>
              <m:sSubPr>
                <m:ctrlPr>
                  <w:rPr>
                    <w:rFonts w:ascii="Cambria Math" w:hAnsi="Cambria Math"/>
                  </w:rPr>
                </m:ctrlPr>
              </m:sSubPr>
              <m:e>
                <m:r>
                  <m:rPr>
                    <m:nor/>
                  </m:rPr>
                  <w:rPr>
                    <w:lang w:val="en-GB"/>
                  </w:rPr>
                  <m:t>log</m:t>
                </m:r>
              </m:e>
              <m:sub>
                <m:r>
                  <w:rPr>
                    <w:rFonts w:ascii="Cambria Math" w:hAnsi="Cambria Math"/>
                  </w:rPr>
                  <m:t>e</m:t>
                </m:r>
              </m:sub>
            </m:sSub>
          </m:fName>
          <m:e>
            <m:d>
              <m:dPr>
                <m:ctrlPr>
                  <w:rPr>
                    <w:rFonts w:ascii="Cambria Math" w:hAnsi="Cambria Math"/>
                    <w:i/>
                  </w:rPr>
                </m:ctrlPr>
              </m:dPr>
              <m:e>
                <m:f>
                  <m:fPr>
                    <m:ctrlPr>
                      <w:rPr>
                        <w:rFonts w:ascii="Cambria Math" w:hAnsi="Cambria Math"/>
                        <w:i/>
                      </w:rPr>
                    </m:ctrlPr>
                  </m:fPr>
                  <m:num>
                    <m:r>
                      <w:rPr>
                        <w:rFonts w:ascii="Cambria Math" w:hAnsi="Cambria Math"/>
                      </w:rPr>
                      <m:t>M-</m:t>
                    </m:r>
                    <m:sSub>
                      <m:sSubPr>
                        <m:ctrlPr>
                          <w:rPr>
                            <w:rFonts w:ascii="Cambria Math" w:hAnsi="Cambria Math"/>
                            <w:i/>
                            <w:iCs/>
                          </w:rPr>
                        </m:ctrlPr>
                      </m:sSubPr>
                      <m:e>
                        <m:r>
                          <w:rPr>
                            <w:rFonts w:ascii="Cambria Math" w:hAnsi="Cambria Math"/>
                          </w:rPr>
                          <m:t>E</m:t>
                        </m:r>
                      </m:e>
                      <m:sub>
                        <m:r>
                          <w:rPr>
                            <w:rFonts w:ascii="Cambria Math" w:hAnsi="Cambria Math"/>
                          </w:rPr>
                          <m:t>LL</m:t>
                        </m:r>
                      </m:sub>
                    </m:sSub>
                  </m:num>
                  <m:den>
                    <m:sSub>
                      <m:sSubPr>
                        <m:ctrlPr>
                          <w:rPr>
                            <w:rFonts w:ascii="Cambria Math" w:hAnsi="Cambria Math"/>
                            <w:i/>
                            <w:iCs/>
                          </w:rPr>
                        </m:ctrlPr>
                      </m:sSubPr>
                      <m:e>
                        <m:r>
                          <w:rPr>
                            <w:rFonts w:ascii="Cambria Math" w:hAnsi="Cambria Math"/>
                          </w:rPr>
                          <m:t>E</m:t>
                        </m:r>
                      </m:e>
                      <m:sub>
                        <m:r>
                          <w:rPr>
                            <w:rFonts w:ascii="Cambria Math" w:hAnsi="Cambria Math"/>
                          </w:rPr>
                          <m:t>UL</m:t>
                        </m:r>
                      </m:sub>
                    </m:sSub>
                    <m:r>
                      <w:rPr>
                        <w:rFonts w:ascii="Cambria Math" w:hAnsi="Cambria Math"/>
                      </w:rPr>
                      <m:t>-M</m:t>
                    </m:r>
                  </m:den>
                </m:f>
              </m:e>
            </m:d>
          </m:e>
        </m:func>
      </m:oMath>
      <w:r w:rsidRPr="004D66D6">
        <w:t xml:space="preserve"> </w:t>
      </w:r>
      <w:r w:rsidRPr="004D66D6">
        <w:rPr>
          <w:lang w:val="en-GB"/>
        </w:rPr>
        <w:t>can be given by:</w:t>
      </w:r>
    </w:p>
    <w:p w14:paraId="7A613B80" w14:textId="5F508996" w:rsidR="004D66D6" w:rsidRPr="004D66D6" w:rsidRDefault="004D66D6" w:rsidP="000241D6">
      <w:pPr>
        <w:rPr>
          <w:lang w:val="en-GB"/>
        </w:rPr>
      </w:pPr>
      <m:oMathPara>
        <m:oMath>
          <m:r>
            <w:rPr>
              <w:rFonts w:ascii="Cambria Math" w:hAnsi="Cambria Math"/>
              <w:lang w:val="en-GB"/>
            </w:rPr>
            <m:t>v=</m:t>
          </m:r>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SD</m:t>
                  </m:r>
                </m:e>
                <m:sup>
                  <m:r>
                    <w:rPr>
                      <w:rFonts w:ascii="Cambria Math" w:hAnsi="Cambria Math"/>
                      <w:lang w:val="en-GB"/>
                    </w:rPr>
                    <m:t>2</m:t>
                  </m:r>
                </m:sup>
              </m:sSup>
            </m:num>
            <m:den>
              <m:sSup>
                <m:sSupPr>
                  <m:ctrlPr>
                    <w:rPr>
                      <w:rFonts w:ascii="Cambria Math" w:hAnsi="Cambria Math"/>
                      <w:i/>
                      <w:lang w:val="en-GB"/>
                    </w:rPr>
                  </m:ctrlPr>
                </m:sSupPr>
                <m:e>
                  <m:r>
                    <w:rPr>
                      <w:rFonts w:ascii="Cambria Math" w:hAnsi="Cambria Math"/>
                      <w:lang w:val="en-GB"/>
                    </w:rPr>
                    <m:t>(M-</m:t>
                  </m:r>
                  <m:sSub>
                    <m:sSubPr>
                      <m:ctrlPr>
                        <w:rPr>
                          <w:rFonts w:ascii="Cambria Math" w:hAnsi="Cambria Math"/>
                        </w:rPr>
                      </m:ctrlPr>
                    </m:sSubPr>
                    <m:e>
                      <m:r>
                        <w:rPr>
                          <w:rFonts w:ascii="Cambria Math" w:hAnsi="Cambria Math"/>
                        </w:rPr>
                        <m:t>E</m:t>
                      </m:r>
                    </m:e>
                    <m:sub>
                      <m:r>
                        <w:rPr>
                          <w:rFonts w:ascii="Cambria Math" w:hAnsi="Cambria Math"/>
                        </w:rPr>
                        <m:t>LL</m:t>
                      </m:r>
                    </m:sub>
                  </m:sSub>
                  <m:r>
                    <w:rPr>
                      <w:rFonts w:ascii="Cambria Math" w:hAnsi="Cambria Math"/>
                      <w:lang w:val="en-GB"/>
                    </w:rPr>
                    <m:t>)</m:t>
                  </m:r>
                </m:e>
                <m:sup>
                  <m:r>
                    <w:rPr>
                      <w:rFonts w:ascii="Cambria Math" w:hAnsi="Cambria Math"/>
                      <w:lang w:val="en-GB"/>
                    </w:rPr>
                    <m:t>2</m:t>
                  </m:r>
                </m:sup>
              </m:sSup>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d>
                    <m:dPr>
                      <m:ctrlPr>
                        <w:rPr>
                          <w:rFonts w:ascii="Cambria Math" w:hAnsi="Cambria Math"/>
                          <w:i/>
                        </w:rPr>
                      </m:ctrlPr>
                    </m:dPr>
                    <m:e>
                      <m:r>
                        <w:rPr>
                          <w:rFonts w:ascii="Cambria Math" w:hAnsi="Cambria Math"/>
                        </w:rPr>
                        <m:t>1-p</m:t>
                      </m:r>
                    </m:e>
                  </m:d>
                </m:e>
                <m:sup>
                  <m:r>
                    <w:rPr>
                      <w:rFonts w:ascii="Cambria Math" w:hAnsi="Cambria Math"/>
                    </w:rPr>
                    <m:t>2</m:t>
                  </m:r>
                </m:sup>
              </m:sSup>
            </m:den>
          </m:f>
        </m:oMath>
      </m:oMathPara>
    </w:p>
    <w:p w14:paraId="7F348559" w14:textId="0064A535" w:rsidR="004D66D6" w:rsidRPr="004D66D6" w:rsidRDefault="004D66D6" w:rsidP="004D66D6">
      <w:pPr>
        <w:rPr>
          <w:lang w:val="en-GB"/>
        </w:rPr>
      </w:pPr>
      <w:r w:rsidRPr="004D66D6">
        <w:rPr>
          <w:lang w:val="en-GB"/>
        </w:rPr>
        <w:t xml:space="preserve">where </w:t>
      </w:r>
      <m:oMath>
        <m:sSub>
          <m:sSubPr>
            <m:ctrlPr>
              <w:rPr>
                <w:rFonts w:ascii="Cambria Math" w:hAnsi="Cambria Math"/>
                <w:i/>
              </w:rPr>
            </m:ctrlPr>
          </m:sSubPr>
          <m:e>
            <m:r>
              <w:rPr>
                <w:rFonts w:ascii="Cambria Math" w:hAnsi="Cambria Math"/>
              </w:rPr>
              <m:t>E</m:t>
            </m:r>
          </m:e>
          <m:sub>
            <m:r>
              <w:rPr>
                <w:rFonts w:ascii="Cambria Math" w:hAnsi="Cambria Math"/>
              </w:rPr>
              <m:t>LL</m:t>
            </m:r>
          </m:sub>
        </m:sSub>
      </m:oMath>
      <w:r w:rsidRPr="004D66D6">
        <w:t xml:space="preserve"> is the lower limit of the choice options.</w:t>
      </w:r>
    </w:p>
    <w:p w14:paraId="5BCFC660" w14:textId="77777777" w:rsidR="004D66D6" w:rsidRDefault="004D66D6" w:rsidP="004D66D6">
      <w:pPr>
        <w:rPr>
          <w:rFonts w:eastAsiaTheme="majorEastAsia" w:cstheme="majorBidi"/>
          <w:b/>
          <w:szCs w:val="32"/>
        </w:rPr>
      </w:pPr>
      <w:r>
        <w:br w:type="page"/>
      </w:r>
    </w:p>
    <w:p w14:paraId="27EE1167" w14:textId="66FDFB6D" w:rsidR="007317C6" w:rsidRPr="00456C03" w:rsidRDefault="004D66D6" w:rsidP="00456C03">
      <w:pPr>
        <w:pStyle w:val="Heading1"/>
        <w:rPr>
          <w:rFonts w:eastAsia="Times New Roman" w:cs="Times New Roman"/>
        </w:rPr>
      </w:pPr>
      <w:bookmarkStart w:id="9" w:name="_Toc169458475"/>
      <w:r>
        <w:rPr>
          <w:rFonts w:hint="eastAsia"/>
          <w:lang w:eastAsia="zh-CN"/>
        </w:rPr>
        <w:lastRenderedPageBreak/>
        <w:t xml:space="preserve">5. </w:t>
      </w:r>
      <w:r w:rsidR="00442922">
        <w:t xml:space="preserve">Transformation from MPCR to K </w:t>
      </w:r>
      <w:r w:rsidR="002B27BF">
        <w:t>I</w:t>
      </w:r>
      <w:r w:rsidR="00442922">
        <w:t>ndex</w:t>
      </w:r>
      <w:bookmarkEnd w:id="9"/>
    </w:p>
    <w:p w14:paraId="285175D5" w14:textId="5F4F615A" w:rsidR="007317C6" w:rsidRDefault="002E3221" w:rsidP="00A40526">
      <w:pPr>
        <w:ind w:firstLine="709"/>
        <w:rPr>
          <w:rFonts w:eastAsia="Times New Roman" w:cs="Times New Roman"/>
          <w:b/>
          <w:color w:val="000000"/>
        </w:rPr>
      </w:pPr>
      <w:r>
        <w:t xml:space="preserve">In </w:t>
      </w:r>
      <w:r w:rsidR="00B22095">
        <w:t xml:space="preserve">linear </w:t>
      </w:r>
      <w:r>
        <w:t xml:space="preserve">public goods dilemmas, </w:t>
      </w:r>
      <w:r w:rsidRPr="00A87F50">
        <w:t>marginal per capita return</w:t>
      </w:r>
      <w:r>
        <w:t xml:space="preserve"> (MPCR) can be transformed to K index by computing each of the parameters in formula </w:t>
      </w:r>
      <w:r w:rsidR="00575A03">
        <w:t>5</w:t>
      </w:r>
      <w:r>
        <w:t>b using MPCR</w:t>
      </w:r>
      <w:r w:rsidR="00A40526">
        <w:t>.</w:t>
      </w:r>
    </w:p>
    <w:tbl>
      <w:tblPr>
        <w:tblStyle w:val="TableGrid3"/>
        <w:tblpPr w:leftFromText="141" w:rightFromText="141" w:vertAnchor="text" w:horzAnchor="margin" w:tblpY="-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
        <w:gridCol w:w="8436"/>
        <w:gridCol w:w="616"/>
      </w:tblGrid>
      <w:tr w:rsidR="007317C6" w:rsidRPr="007317C6" w14:paraId="68083C76" w14:textId="77777777" w:rsidTr="00A40526">
        <w:tc>
          <w:tcPr>
            <w:tcW w:w="192" w:type="pct"/>
            <w:vAlign w:val="center"/>
          </w:tcPr>
          <w:p w14:paraId="781FBCF6" w14:textId="77777777" w:rsidR="007317C6" w:rsidRPr="007317C6" w:rsidRDefault="007317C6" w:rsidP="00A40526">
            <w:pPr>
              <w:rPr>
                <w:rFonts w:eastAsia="Calibri" w:cs="Times New Roman"/>
              </w:rPr>
            </w:pPr>
          </w:p>
        </w:tc>
        <w:tc>
          <w:tcPr>
            <w:tcW w:w="4533" w:type="pct"/>
            <w:vAlign w:val="center"/>
          </w:tcPr>
          <w:p w14:paraId="74A11F3A" w14:textId="77777777" w:rsidR="007317C6" w:rsidRPr="007317C6" w:rsidRDefault="007317C6" w:rsidP="00A40526">
            <w:pPr>
              <w:contextualSpacing/>
              <w:rPr>
                <w:rFonts w:eastAsiaTheme="minorEastAsia" w:cs="Times New Roman"/>
              </w:rPr>
            </w:pPr>
            <m:oMathPara>
              <m:oMath>
                <m:r>
                  <w:rPr>
                    <w:rFonts w:ascii="Cambria Math" w:eastAsiaTheme="minorHAnsi" w:hAnsi="Cambria Math" w:cs="Times New Roman"/>
                  </w:rPr>
                  <m:t>C= n∙E∙m</m:t>
                </m:r>
              </m:oMath>
            </m:oMathPara>
          </w:p>
          <w:p w14:paraId="6437E9A2" w14:textId="77777777" w:rsidR="007317C6" w:rsidRPr="007317C6" w:rsidRDefault="007317C6" w:rsidP="00A40526">
            <w:pPr>
              <w:contextualSpacing/>
              <w:rPr>
                <w:rFonts w:eastAsiaTheme="minorEastAsia" w:cs="Times New Roman"/>
              </w:rPr>
            </w:pPr>
            <m:oMathPara>
              <m:oMath>
                <m:r>
                  <w:rPr>
                    <w:rFonts w:ascii="Cambria Math" w:eastAsiaTheme="minorHAnsi" w:hAnsi="Cambria Math" w:cs="Times New Roman"/>
                  </w:rPr>
                  <m:t>D= E</m:t>
                </m:r>
              </m:oMath>
            </m:oMathPara>
          </w:p>
          <w:p w14:paraId="500AC58A" w14:textId="77777777" w:rsidR="007317C6" w:rsidRPr="007317C6" w:rsidRDefault="00000000" w:rsidP="00A40526">
            <w:pPr>
              <w:contextualSpacing/>
              <w:rPr>
                <w:rFonts w:eastAsiaTheme="minorEastAsia"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O</m:t>
                    </m:r>
                  </m:e>
                  <m:sub>
                    <m:r>
                      <w:rPr>
                        <w:rFonts w:ascii="Cambria Math" w:eastAsiaTheme="minorHAnsi" w:hAnsi="Cambria Math" w:cs="Times New Roman"/>
                      </w:rPr>
                      <m:t>max</m:t>
                    </m:r>
                  </m:sub>
                </m:sSub>
                <m:r>
                  <w:rPr>
                    <w:rFonts w:ascii="Cambria Math" w:eastAsiaTheme="minorHAnsi" w:hAnsi="Cambria Math" w:cs="Times New Roman"/>
                  </w:rPr>
                  <m:t>= E+(n-1)∙E∙m</m:t>
                </m:r>
              </m:oMath>
            </m:oMathPara>
          </w:p>
          <w:p w14:paraId="4849293B" w14:textId="77777777" w:rsidR="007317C6" w:rsidRPr="007317C6" w:rsidRDefault="00000000" w:rsidP="00A40526">
            <w:pPr>
              <w:contextualSpacing/>
              <w:rPr>
                <w:rFonts w:eastAsiaTheme="minorEastAsia" w:cs="Times New Roman"/>
              </w:rPr>
            </w:pPr>
            <m:oMathPara>
              <m:oMath>
                <m:sSub>
                  <m:sSubPr>
                    <m:ctrlPr>
                      <w:rPr>
                        <w:rFonts w:ascii="Cambria Math" w:eastAsiaTheme="minorHAnsi" w:hAnsi="Cambria Math" w:cs="Times New Roman"/>
                        <w:i/>
                      </w:rPr>
                    </m:ctrlPr>
                  </m:sSubPr>
                  <m:e>
                    <m:r>
                      <w:rPr>
                        <w:rFonts w:ascii="Cambria Math" w:eastAsiaTheme="minorHAnsi" w:hAnsi="Cambria Math" w:cs="Times New Roman"/>
                      </w:rPr>
                      <m:t>O</m:t>
                    </m:r>
                  </m:e>
                  <m:sub>
                    <m:r>
                      <w:rPr>
                        <w:rFonts w:ascii="Cambria Math" w:eastAsiaTheme="minorHAnsi" w:hAnsi="Cambria Math" w:cs="Times New Roman"/>
                      </w:rPr>
                      <m:t>min</m:t>
                    </m:r>
                  </m:sub>
                </m:sSub>
                <m:r>
                  <w:rPr>
                    <w:rFonts w:ascii="Cambria Math" w:eastAsiaTheme="minorHAnsi" w:hAnsi="Cambria Math" w:cs="Times New Roman"/>
                  </w:rPr>
                  <m:t>=E∙m</m:t>
                </m:r>
              </m:oMath>
            </m:oMathPara>
          </w:p>
        </w:tc>
        <w:tc>
          <w:tcPr>
            <w:tcW w:w="275" w:type="pct"/>
            <w:vAlign w:val="center"/>
          </w:tcPr>
          <w:p w14:paraId="39BF9E11" w14:textId="74204546" w:rsidR="007317C6" w:rsidRPr="007317C6" w:rsidRDefault="007317C6" w:rsidP="00A40526">
            <w:pPr>
              <w:rPr>
                <w:rFonts w:eastAsia="Calibri" w:cs="Times New Roman"/>
              </w:rPr>
            </w:pPr>
            <w:r w:rsidRPr="007317C6">
              <w:rPr>
                <w:rFonts w:eastAsia="Calibri" w:cs="Times New Roman"/>
              </w:rPr>
              <w:t>(</w:t>
            </w:r>
            <w:r w:rsidR="00575A03">
              <w:rPr>
                <w:rFonts w:eastAsia="Calibri" w:cs="Times New Roman"/>
              </w:rPr>
              <w:t>6</w:t>
            </w:r>
            <w:r w:rsidR="00A40526">
              <w:rPr>
                <w:rFonts w:eastAsia="Calibri" w:cs="Times New Roman"/>
              </w:rPr>
              <w:t>a</w:t>
            </w:r>
            <w:r w:rsidRPr="007317C6">
              <w:rPr>
                <w:rFonts w:eastAsia="Calibri" w:cs="Times New Roman"/>
              </w:rPr>
              <w:t>)</w:t>
            </w:r>
          </w:p>
          <w:p w14:paraId="5CD1173F" w14:textId="3279D043" w:rsidR="007317C6" w:rsidRDefault="007317C6" w:rsidP="00A40526">
            <w:pPr>
              <w:rPr>
                <w:rFonts w:eastAsia="Calibri" w:cs="Times New Roman"/>
              </w:rPr>
            </w:pPr>
            <w:r w:rsidRPr="007317C6">
              <w:rPr>
                <w:rFonts w:eastAsia="Calibri" w:cs="Times New Roman"/>
              </w:rPr>
              <w:t>(</w:t>
            </w:r>
            <w:r w:rsidR="00575A03">
              <w:rPr>
                <w:rFonts w:eastAsia="Calibri" w:cs="Times New Roman"/>
              </w:rPr>
              <w:t>6</w:t>
            </w:r>
            <w:r w:rsidR="00A40526">
              <w:rPr>
                <w:rFonts w:eastAsia="Calibri" w:cs="Times New Roman"/>
              </w:rPr>
              <w:t>b</w:t>
            </w:r>
            <w:r w:rsidRPr="007317C6">
              <w:rPr>
                <w:rFonts w:eastAsia="Calibri" w:cs="Times New Roman"/>
              </w:rPr>
              <w:t>)</w:t>
            </w:r>
          </w:p>
          <w:p w14:paraId="4886C169" w14:textId="787CC0B7" w:rsidR="00A40526" w:rsidRDefault="00A40526" w:rsidP="00A40526">
            <w:pPr>
              <w:rPr>
                <w:rFonts w:eastAsia="Calibri" w:cs="Times New Roman"/>
              </w:rPr>
            </w:pPr>
            <w:r w:rsidRPr="007317C6">
              <w:rPr>
                <w:rFonts w:eastAsia="Calibri" w:cs="Times New Roman"/>
              </w:rPr>
              <w:t>(</w:t>
            </w:r>
            <w:r w:rsidR="00575A03">
              <w:rPr>
                <w:rFonts w:eastAsia="Calibri" w:cs="Times New Roman"/>
              </w:rPr>
              <w:t>6</w:t>
            </w:r>
            <w:r>
              <w:rPr>
                <w:rFonts w:eastAsia="Calibri" w:cs="Times New Roman"/>
              </w:rPr>
              <w:t>c</w:t>
            </w:r>
            <w:r w:rsidRPr="007317C6">
              <w:rPr>
                <w:rFonts w:eastAsia="Calibri" w:cs="Times New Roman"/>
              </w:rPr>
              <w:t>)</w:t>
            </w:r>
          </w:p>
          <w:p w14:paraId="071FBFA8" w14:textId="60D58E2A" w:rsidR="00A40526" w:rsidRPr="007317C6" w:rsidRDefault="00A40526" w:rsidP="00A40526">
            <w:pPr>
              <w:rPr>
                <w:rFonts w:eastAsia="Calibri" w:cs="Times New Roman"/>
              </w:rPr>
            </w:pPr>
            <w:r w:rsidRPr="007317C6">
              <w:rPr>
                <w:rFonts w:eastAsia="Calibri" w:cs="Times New Roman"/>
              </w:rPr>
              <w:t>(</w:t>
            </w:r>
            <w:r w:rsidR="00575A03">
              <w:rPr>
                <w:rFonts w:eastAsia="Calibri" w:cs="Times New Roman"/>
              </w:rPr>
              <w:t>6</w:t>
            </w:r>
            <w:r>
              <w:rPr>
                <w:rFonts w:eastAsia="Calibri" w:cs="Times New Roman"/>
              </w:rPr>
              <w:t>d</w:t>
            </w:r>
            <w:r w:rsidRPr="007317C6">
              <w:rPr>
                <w:rFonts w:eastAsia="Calibri" w:cs="Times New Roman"/>
              </w:rPr>
              <w:t>)</w:t>
            </w:r>
          </w:p>
        </w:tc>
      </w:tr>
    </w:tbl>
    <w:p w14:paraId="69C391C2" w14:textId="54D7C762" w:rsidR="000D7863" w:rsidRDefault="00A40526" w:rsidP="00D94E2A">
      <w:pPr>
        <w:rPr>
          <w:rFonts w:eastAsia="Times New Roman" w:cs="Times New Roman"/>
        </w:rPr>
      </w:pPr>
      <w:r>
        <w:rPr>
          <w:rFonts w:eastAsia="Times New Roman" w:cs="Times New Roman"/>
          <w:bCs/>
          <w:color w:val="000000"/>
        </w:rPr>
        <w:t>Where</w:t>
      </w:r>
      <w:r w:rsidR="00B37B38">
        <w:rPr>
          <w:rFonts w:eastAsia="Times New Roman" w:cs="Times New Roman"/>
          <w:bCs/>
          <w:color w:val="000000"/>
        </w:rPr>
        <w:t xml:space="preserve"> </w:t>
      </w:r>
      <m:oMath>
        <m:r>
          <w:rPr>
            <w:rFonts w:ascii="Cambria Math" w:eastAsiaTheme="minorHAnsi" w:hAnsi="Cambria Math" w:cs="Times New Roman"/>
          </w:rPr>
          <m:t>C</m:t>
        </m:r>
      </m:oMath>
      <w:r w:rsidR="00B37B38" w:rsidRPr="007D413D">
        <w:t xml:space="preserve"> is the payoff for all choosing to cooperate, </w:t>
      </w:r>
      <m:oMath>
        <m:r>
          <w:rPr>
            <w:rFonts w:ascii="Cambria Math" w:eastAsiaTheme="minorHAnsi" w:hAnsi="Cambria Math" w:cs="Times New Roman"/>
          </w:rPr>
          <m:t>D</m:t>
        </m:r>
      </m:oMath>
      <w:r w:rsidR="00B37B38" w:rsidRPr="007D413D">
        <w:t xml:space="preserve"> is the payoff for all choosing to defect, </w:t>
      </w:r>
      <m:oMath>
        <m:sSub>
          <m:sSubPr>
            <m:ctrlPr>
              <w:rPr>
                <w:rFonts w:ascii="Cambria Math" w:eastAsiaTheme="minorHAnsi" w:hAnsi="Cambria Math" w:cs="Times New Roman"/>
                <w:i/>
              </w:rPr>
            </m:ctrlPr>
          </m:sSubPr>
          <m:e>
            <m:r>
              <w:rPr>
                <w:rFonts w:ascii="Cambria Math" w:eastAsiaTheme="minorHAnsi" w:hAnsi="Cambria Math" w:cs="Times New Roman"/>
              </w:rPr>
              <m:t>O</m:t>
            </m:r>
          </m:e>
          <m:sub>
            <m:r>
              <w:rPr>
                <w:rFonts w:ascii="Cambria Math" w:eastAsiaTheme="minorHAnsi" w:hAnsi="Cambria Math" w:cs="Times New Roman"/>
              </w:rPr>
              <m:t>max</m:t>
            </m:r>
          </m:sub>
        </m:sSub>
      </m:oMath>
      <w:r w:rsidR="00B37B38" w:rsidRPr="007D413D">
        <w:t xml:space="preserve"> is the highest payoff in the matrix, </w:t>
      </w:r>
      <m:oMath>
        <m:sSub>
          <m:sSubPr>
            <m:ctrlPr>
              <w:rPr>
                <w:rFonts w:ascii="Cambria Math" w:eastAsiaTheme="minorHAnsi" w:hAnsi="Cambria Math" w:cs="Times New Roman"/>
                <w:i/>
              </w:rPr>
            </m:ctrlPr>
          </m:sSubPr>
          <m:e>
            <m:r>
              <w:rPr>
                <w:rFonts w:ascii="Cambria Math" w:eastAsiaTheme="minorHAnsi" w:hAnsi="Cambria Math" w:cs="Times New Roman"/>
              </w:rPr>
              <m:t>O</m:t>
            </m:r>
          </m:e>
          <m:sub>
            <m:r>
              <w:rPr>
                <w:rFonts w:ascii="Cambria Math" w:eastAsiaTheme="minorHAnsi" w:hAnsi="Cambria Math" w:cs="Times New Roman"/>
              </w:rPr>
              <m:t>min</m:t>
            </m:r>
          </m:sub>
        </m:sSub>
      </m:oMath>
      <w:r w:rsidR="00B37B38" w:rsidRPr="007D413D">
        <w:t xml:space="preserve"> is the lowest payoff in the matrix</w:t>
      </w:r>
      <w:r w:rsidR="00B37B38">
        <w:t xml:space="preserve">, </w:t>
      </w:r>
      <m:oMath>
        <m:r>
          <w:rPr>
            <w:rFonts w:ascii="Cambria Math" w:eastAsiaTheme="minorHAnsi" w:hAnsi="Cambria Math" w:cs="Times New Roman"/>
          </w:rPr>
          <m:t xml:space="preserve"> n</m:t>
        </m:r>
      </m:oMath>
      <w:r w:rsidR="00631428">
        <w:rPr>
          <w:rFonts w:eastAsia="Times New Roman" w:cs="Times New Roman"/>
        </w:rPr>
        <w:t xml:space="preserve"> is the group size</w:t>
      </w:r>
      <w:r w:rsidR="00AC0D80">
        <w:rPr>
          <w:rFonts w:eastAsia="Times New Roman" w:cs="Times New Roman"/>
        </w:rPr>
        <w:t xml:space="preserve"> in the public goods dilemma</w:t>
      </w:r>
      <w:r w:rsidR="00631428">
        <w:rPr>
          <w:rFonts w:eastAsia="Times New Roman" w:cs="Times New Roman"/>
        </w:rPr>
        <w:t xml:space="preserve">, </w:t>
      </w:r>
      <m:oMath>
        <m:r>
          <w:rPr>
            <w:rFonts w:ascii="Cambria Math" w:eastAsiaTheme="minorHAnsi" w:hAnsi="Cambria Math" w:cs="Times New Roman"/>
          </w:rPr>
          <m:t>E</m:t>
        </m:r>
      </m:oMath>
      <w:r w:rsidR="00631428">
        <w:rPr>
          <w:rFonts w:eastAsia="Times New Roman" w:cs="Times New Roman"/>
        </w:rPr>
        <w:t xml:space="preserve"> is the </w:t>
      </w:r>
      <w:r w:rsidR="00AC0D80">
        <w:rPr>
          <w:rFonts w:eastAsia="Times New Roman" w:cs="Times New Roman"/>
        </w:rPr>
        <w:t xml:space="preserve">initial </w:t>
      </w:r>
      <w:r w:rsidR="00631428">
        <w:rPr>
          <w:rFonts w:eastAsia="Times New Roman" w:cs="Times New Roman"/>
        </w:rPr>
        <w:t>endowment size</w:t>
      </w:r>
      <w:r w:rsidR="00AC0D80">
        <w:rPr>
          <w:rFonts w:eastAsia="Times New Roman" w:cs="Times New Roman"/>
        </w:rPr>
        <w:t xml:space="preserve"> each group member possesses</w:t>
      </w:r>
      <w:r w:rsidR="00631428">
        <w:rPr>
          <w:rFonts w:eastAsia="Times New Roman" w:cs="Times New Roman"/>
        </w:rPr>
        <w:t xml:space="preserve">, </w:t>
      </w:r>
      <w:r w:rsidR="00B37B38">
        <w:rPr>
          <w:rFonts w:eastAsia="Times New Roman" w:cs="Times New Roman"/>
        </w:rPr>
        <w:t xml:space="preserve">and </w:t>
      </w:r>
      <m:oMath>
        <m:r>
          <w:rPr>
            <w:rFonts w:ascii="Cambria Math" w:eastAsiaTheme="minorHAnsi" w:hAnsi="Cambria Math" w:cs="Times New Roman"/>
          </w:rPr>
          <m:t>m</m:t>
        </m:r>
      </m:oMath>
      <w:r w:rsidR="00631428">
        <w:rPr>
          <w:rFonts w:eastAsia="Times New Roman" w:cs="Times New Roman"/>
        </w:rPr>
        <w:t xml:space="preserve"> is the </w:t>
      </w:r>
      <w:r w:rsidR="00AC0D80">
        <w:rPr>
          <w:rFonts w:eastAsia="Times New Roman" w:cs="Times New Roman"/>
        </w:rPr>
        <w:t xml:space="preserve">value of </w:t>
      </w:r>
      <w:r w:rsidR="00631428">
        <w:rPr>
          <w:rFonts w:eastAsia="Times New Roman" w:cs="Times New Roman"/>
        </w:rPr>
        <w:t>MPCR.</w:t>
      </w:r>
    </w:p>
    <w:p w14:paraId="68D67C22" w14:textId="08F57A64" w:rsidR="00FD5D4A" w:rsidRDefault="00FD5D4A">
      <w:pPr>
        <w:spacing w:after="160" w:line="259" w:lineRule="auto"/>
        <w:rPr>
          <w:rFonts w:eastAsia="Times New Roman" w:cs="Times New Roman"/>
        </w:rPr>
      </w:pPr>
      <w:r>
        <w:rPr>
          <w:rFonts w:eastAsia="Times New Roman" w:cs="Times New Roman"/>
        </w:rPr>
        <w:br w:type="page"/>
      </w:r>
    </w:p>
    <w:p w14:paraId="46544DC9" w14:textId="6B1622F9" w:rsidR="00510CB5" w:rsidRDefault="00B80FBC" w:rsidP="00510CB5">
      <w:pPr>
        <w:pStyle w:val="Heading1"/>
      </w:pPr>
      <w:bookmarkStart w:id="10" w:name="_Toc169458476"/>
      <w:bookmarkStart w:id="11" w:name="_Hlk74674125"/>
      <w:r>
        <w:rPr>
          <w:rFonts w:hint="eastAsia"/>
          <w:lang w:eastAsia="zh-CN"/>
        </w:rPr>
        <w:lastRenderedPageBreak/>
        <w:t>6</w:t>
      </w:r>
      <w:r w:rsidR="00510CB5">
        <w:t xml:space="preserve">. Publication </w:t>
      </w:r>
      <w:r w:rsidR="00F83039">
        <w:t>B</w:t>
      </w:r>
      <w:r w:rsidR="00510CB5">
        <w:t xml:space="preserve">ias </w:t>
      </w:r>
      <w:r w:rsidR="00F83039">
        <w:t>T</w:t>
      </w:r>
      <w:r w:rsidR="00510CB5">
        <w:t>est</w:t>
      </w:r>
      <w:bookmarkEnd w:id="10"/>
    </w:p>
    <w:p w14:paraId="548241E3" w14:textId="43C470E3" w:rsidR="00A11E14" w:rsidRDefault="00510CB5" w:rsidP="0006299A">
      <w:pPr>
        <w:ind w:firstLine="709"/>
        <w:rPr>
          <w:rFonts w:cs="Times New Roman"/>
        </w:rPr>
      </w:pPr>
      <w:r>
        <w:rPr>
          <w:rFonts w:cs="Times New Roman"/>
        </w:rPr>
        <w:t>The average cooperation estimates might have been influenced by publication bias, since 94% of the cooperation rates included in the analysis were retrieved from published studies. To examine the possibility of publication bias</w:t>
      </w:r>
      <w:r w:rsidR="00C12950">
        <w:rPr>
          <w:rFonts w:cs="Times New Roman"/>
        </w:rPr>
        <w:t xml:space="preserve"> in Study 1</w:t>
      </w:r>
      <w:r>
        <w:rPr>
          <w:rFonts w:cs="Times New Roman"/>
        </w:rPr>
        <w:t xml:space="preserve">, we first applied the funnel plot where all the cooperation estimates were plotted according to their sample size (see </w:t>
      </w:r>
      <w:r w:rsidRPr="00CD4884">
        <w:rPr>
          <w:rFonts w:cs="Times New Roman"/>
        </w:rPr>
        <w:t>Figure S</w:t>
      </w:r>
      <w:r w:rsidR="008A28DA">
        <w:rPr>
          <w:rFonts w:cs="Times New Roman"/>
        </w:rPr>
        <w:t>2</w:t>
      </w:r>
      <w:r w:rsidR="00575A03">
        <w:rPr>
          <w:rFonts w:cs="Times New Roman"/>
        </w:rPr>
        <w:t>a</w:t>
      </w:r>
      <w:r>
        <w:rPr>
          <w:rFonts w:cs="Times New Roman"/>
        </w:rPr>
        <w:t xml:space="preserve">). </w:t>
      </w:r>
      <w:r w:rsidR="0037299E">
        <w:rPr>
          <w:rFonts w:cs="Times New Roman"/>
        </w:rPr>
        <w:t xml:space="preserve">We also </w:t>
      </w:r>
      <w:r w:rsidR="00D61A86">
        <w:rPr>
          <w:rFonts w:cs="Times New Roman"/>
        </w:rPr>
        <w:t xml:space="preserve">considered a second funnel plot where we </w:t>
      </w:r>
      <w:r w:rsidRPr="00510CB5">
        <w:rPr>
          <w:rFonts w:cs="Times New Roman"/>
        </w:rPr>
        <w:t xml:space="preserve">randomly sampled one </w:t>
      </w:r>
      <w:r w:rsidR="00D61A86">
        <w:rPr>
          <w:rFonts w:cs="Times New Roman"/>
        </w:rPr>
        <w:t xml:space="preserve">effect </w:t>
      </w:r>
      <w:r w:rsidRPr="00510CB5">
        <w:rPr>
          <w:rFonts w:cs="Times New Roman"/>
        </w:rPr>
        <w:t xml:space="preserve">from </w:t>
      </w:r>
      <w:r w:rsidR="00DC6D3F">
        <w:rPr>
          <w:rFonts w:cs="Times New Roman"/>
        </w:rPr>
        <w:t xml:space="preserve">a </w:t>
      </w:r>
      <w:r w:rsidR="00D61A86">
        <w:rPr>
          <w:rFonts w:cs="Times New Roman"/>
        </w:rPr>
        <w:t xml:space="preserve">given </w:t>
      </w:r>
      <w:r w:rsidR="00DC6D3F">
        <w:rPr>
          <w:rFonts w:cs="Times New Roman"/>
        </w:rPr>
        <w:t>study that contains multiple cooperation estimates</w:t>
      </w:r>
      <w:r w:rsidR="00D61A86">
        <w:rPr>
          <w:rFonts w:cs="Times New Roman"/>
        </w:rPr>
        <w:t xml:space="preserve"> </w:t>
      </w:r>
      <w:r w:rsidR="004629B5">
        <w:rPr>
          <w:rFonts w:cs="Times New Roman"/>
        </w:rPr>
        <w:t xml:space="preserve">to </w:t>
      </w:r>
      <w:r w:rsidR="00417274">
        <w:rPr>
          <w:rFonts w:cs="Times New Roman"/>
        </w:rPr>
        <w:t xml:space="preserve">visualize the results minimizing </w:t>
      </w:r>
      <w:r w:rsidR="004629B5">
        <w:rPr>
          <w:rFonts w:cs="Times New Roman"/>
        </w:rPr>
        <w:t>the</w:t>
      </w:r>
      <w:r w:rsidR="00417274">
        <w:rPr>
          <w:rFonts w:cs="Times New Roman"/>
        </w:rPr>
        <w:t>se</w:t>
      </w:r>
      <w:r w:rsidR="004629B5">
        <w:rPr>
          <w:rFonts w:cs="Times New Roman"/>
        </w:rPr>
        <w:t xml:space="preserve"> dependences </w:t>
      </w:r>
      <w:r w:rsidR="00D61A86">
        <w:rPr>
          <w:rFonts w:cs="Times New Roman"/>
        </w:rPr>
        <w:t xml:space="preserve">(see </w:t>
      </w:r>
      <w:r w:rsidR="00D61A86" w:rsidRPr="00CD4884">
        <w:rPr>
          <w:rFonts w:cs="Times New Roman"/>
        </w:rPr>
        <w:t>Figure S</w:t>
      </w:r>
      <w:r w:rsidR="00575A03">
        <w:rPr>
          <w:rFonts w:cs="Times New Roman"/>
        </w:rPr>
        <w:t>2b</w:t>
      </w:r>
      <w:r w:rsidR="00D61A86" w:rsidRPr="00CD4884">
        <w:rPr>
          <w:rFonts w:cs="Times New Roman"/>
        </w:rPr>
        <w:t>)</w:t>
      </w:r>
      <w:r w:rsidRPr="00CD4884">
        <w:rPr>
          <w:rFonts w:cs="Times New Roman"/>
        </w:rPr>
        <w:t>.</w:t>
      </w:r>
      <w:r>
        <w:rPr>
          <w:rFonts w:cs="Times New Roman"/>
        </w:rPr>
        <w:t xml:space="preserve"> Then, a modified Egger’s regression method was used to test for funnel plot asymmetry </w:t>
      </w:r>
      <w:r w:rsidR="00E12E47" w:rsidRPr="00E12E47">
        <w:rPr>
          <w:rFonts w:cs="Times New Roman"/>
        </w:rPr>
        <w:t>(Egger et al., 1997)</w:t>
      </w:r>
      <w:r>
        <w:rPr>
          <w:rFonts w:cs="Times New Roman"/>
        </w:rPr>
        <w:t xml:space="preserve">. Specifically, </w:t>
      </w:r>
      <w:bookmarkStart w:id="12" w:name="_Hlk74667414"/>
      <w:r>
        <w:rPr>
          <w:rFonts w:cs="Times New Roman"/>
        </w:rPr>
        <w:t xml:space="preserve">we </w:t>
      </w:r>
      <w:bookmarkEnd w:id="12"/>
      <w:r>
        <w:rPr>
          <w:rFonts w:cs="Times New Roman"/>
        </w:rPr>
        <w:t xml:space="preserve">conducted a multilevel meta-regression of cooperation estimate on sample size (weighted by the inverse of the variance of the cooperation estimate). This modified approach </w:t>
      </w:r>
      <w:r w:rsidRPr="00192B13">
        <w:rPr>
          <w:rFonts w:cs="Times New Roman"/>
        </w:rPr>
        <w:t>allow</w:t>
      </w:r>
      <w:r>
        <w:rPr>
          <w:rFonts w:cs="Times New Roman"/>
        </w:rPr>
        <w:t>s us</w:t>
      </w:r>
      <w:r w:rsidRPr="00192B13">
        <w:rPr>
          <w:rFonts w:cs="Times New Roman"/>
        </w:rPr>
        <w:t xml:space="preserve"> to (1) </w:t>
      </w:r>
      <w:r w:rsidR="00C77CFB">
        <w:rPr>
          <w:rFonts w:cs="Times New Roman"/>
        </w:rPr>
        <w:t>detect selective reporting in the presence of dependent effect sizes</w:t>
      </w:r>
      <w:r w:rsidRPr="00192B13">
        <w:rPr>
          <w:rFonts w:cs="Times New Roman"/>
        </w:rPr>
        <w:t xml:space="preserve"> </w:t>
      </w:r>
      <w:r w:rsidR="00E12E47" w:rsidRPr="00E12E47">
        <w:rPr>
          <w:rFonts w:cs="Times New Roman"/>
        </w:rPr>
        <w:t>(Rodgers &amp; Pustejovsky, 2021)</w:t>
      </w:r>
      <w:r w:rsidRPr="00192B13">
        <w:rPr>
          <w:rFonts w:cs="Times New Roman"/>
        </w:rPr>
        <w:t xml:space="preserve">, and (2) improve accuracy in detecting publication bias when using logit transformations of the proportion as outcome measure </w:t>
      </w:r>
      <w:r w:rsidR="00E12E47" w:rsidRPr="00E12E47">
        <w:rPr>
          <w:rFonts w:cs="Times New Roman"/>
        </w:rPr>
        <w:t>(Macaskill et al., 2001)</w:t>
      </w:r>
      <w:r w:rsidRPr="00192B13">
        <w:rPr>
          <w:rFonts w:cs="Times New Roman"/>
        </w:rPr>
        <w:t>.</w:t>
      </w:r>
      <w:r w:rsidR="00085D69">
        <w:rPr>
          <w:rFonts w:cs="Times New Roman"/>
        </w:rPr>
        <w:t xml:space="preserve"> </w:t>
      </w:r>
      <w:r w:rsidR="00317559">
        <w:rPr>
          <w:rFonts w:cs="Times New Roman"/>
        </w:rPr>
        <w:t>Results showed that sample size was positively associated with cooperation estimates</w:t>
      </w:r>
      <w:r w:rsidR="008278F0">
        <w:rPr>
          <w:rFonts w:cs="Times New Roman"/>
        </w:rPr>
        <w:t xml:space="preserve"> </w:t>
      </w:r>
      <w:r w:rsidR="00317559">
        <w:rPr>
          <w:rFonts w:cs="Times New Roman"/>
        </w:rPr>
        <w:t>(</w:t>
      </w:r>
      <w:r w:rsidR="00317559" w:rsidRPr="00317559">
        <w:rPr>
          <w:rFonts w:eastAsia="Times New Roman" w:cs="Times New Roman"/>
          <w:i/>
          <w:iCs/>
        </w:rPr>
        <w:t>b</w:t>
      </w:r>
      <w:r w:rsidR="00317559" w:rsidRPr="000C40E0">
        <w:rPr>
          <w:rFonts w:eastAsia="Times New Roman" w:cs="Times New Roman"/>
        </w:rPr>
        <w:t xml:space="preserve"> = 0.0002,</w:t>
      </w:r>
      <w:r w:rsidR="00317559">
        <w:rPr>
          <w:rFonts w:eastAsia="Times New Roman" w:cs="Times New Roman"/>
        </w:rPr>
        <w:t xml:space="preserve"> </w:t>
      </w:r>
      <w:r w:rsidR="00317559" w:rsidRPr="00317559">
        <w:rPr>
          <w:rFonts w:eastAsia="Times New Roman" w:cs="Times New Roman"/>
          <w:i/>
          <w:iCs/>
        </w:rPr>
        <w:t>SE</w:t>
      </w:r>
      <w:r w:rsidR="00317559">
        <w:rPr>
          <w:rFonts w:eastAsia="Times New Roman" w:cs="Times New Roman"/>
        </w:rPr>
        <w:t xml:space="preserve"> = 0.0001</w:t>
      </w:r>
      <w:r w:rsidR="00317559" w:rsidRPr="000C40E0">
        <w:rPr>
          <w:rFonts w:eastAsia="Times New Roman" w:cs="Times New Roman"/>
        </w:rPr>
        <w:t xml:space="preserve">, </w:t>
      </w:r>
      <w:r w:rsidR="00317559" w:rsidRPr="00317559">
        <w:rPr>
          <w:rFonts w:eastAsia="Times New Roman" w:cs="Times New Roman"/>
          <w:i/>
          <w:iCs/>
        </w:rPr>
        <w:t>p</w:t>
      </w:r>
      <w:r w:rsidR="00317559" w:rsidRPr="000C40E0">
        <w:rPr>
          <w:rFonts w:eastAsia="Times New Roman" w:cs="Times New Roman"/>
        </w:rPr>
        <w:t xml:space="preserve"> = .02</w:t>
      </w:r>
      <w:r w:rsidR="00317559">
        <w:rPr>
          <w:rFonts w:eastAsia="Times New Roman" w:cs="Times New Roman"/>
        </w:rPr>
        <w:t>2</w:t>
      </w:r>
      <w:r w:rsidR="00B311B9">
        <w:rPr>
          <w:rFonts w:eastAsia="Times New Roman" w:cs="Times New Roman"/>
        </w:rPr>
        <w:t xml:space="preserve">, </w:t>
      </w:r>
      <w:r w:rsidR="00B311B9" w:rsidRPr="00AC1500">
        <w:rPr>
          <w:rFonts w:cs="Times New Roman"/>
        </w:rPr>
        <w:t xml:space="preserve">Δ </w:t>
      </w:r>
      <w:r w:rsidR="00B311B9" w:rsidRPr="00AC1500">
        <w:rPr>
          <w:rFonts w:cs="Times New Roman"/>
          <w:i/>
          <w:iCs/>
        </w:rPr>
        <w:t>R</w:t>
      </w:r>
      <w:r w:rsidR="00B311B9" w:rsidRPr="00AC1500">
        <w:rPr>
          <w:rFonts w:cs="Times New Roman"/>
          <w:i/>
          <w:iCs/>
          <w:vertAlign w:val="superscript"/>
        </w:rPr>
        <w:t>2</w:t>
      </w:r>
      <w:r w:rsidR="00B311B9" w:rsidRPr="00AC1500">
        <w:rPr>
          <w:rFonts w:cs="Times New Roman"/>
        </w:rPr>
        <w:t xml:space="preserve"> = .0</w:t>
      </w:r>
      <w:r w:rsidR="00B311B9">
        <w:rPr>
          <w:rFonts w:cs="Times New Roman"/>
        </w:rPr>
        <w:t>02</w:t>
      </w:r>
      <w:r w:rsidR="00317559">
        <w:rPr>
          <w:rFonts w:cs="Times New Roman"/>
        </w:rPr>
        <w:t>)</w:t>
      </w:r>
      <w:r w:rsidR="00B00206">
        <w:rPr>
          <w:rFonts w:cs="Times New Roman"/>
        </w:rPr>
        <w:t xml:space="preserve">. </w:t>
      </w:r>
      <w:r w:rsidR="00A11E14" w:rsidRPr="00A11E14">
        <w:rPr>
          <w:rFonts w:cs="Times New Roman"/>
        </w:rPr>
        <w:t xml:space="preserve">That said, there is only a small association between the sample size and cooperation estimates. </w:t>
      </w:r>
      <w:r w:rsidR="00A11E14">
        <w:rPr>
          <w:rFonts w:cs="Times New Roman"/>
        </w:rPr>
        <w:t>These results suggest that</w:t>
      </w:r>
      <w:r w:rsidR="00A11E14" w:rsidRPr="00A11E14">
        <w:rPr>
          <w:rFonts w:cs="Times New Roman"/>
        </w:rPr>
        <w:t xml:space="preserve"> there is </w:t>
      </w:r>
      <w:bookmarkStart w:id="13" w:name="OLE_LINK6"/>
      <w:r w:rsidR="00A11E14" w:rsidRPr="00A11E14">
        <w:rPr>
          <w:rFonts w:cs="Times New Roman"/>
        </w:rPr>
        <w:t>little</w:t>
      </w:r>
      <w:r w:rsidR="00D64551">
        <w:rPr>
          <w:rFonts w:cs="Times New Roman"/>
        </w:rPr>
        <w:t xml:space="preserve"> </w:t>
      </w:r>
      <w:r w:rsidR="00A11E14" w:rsidRPr="00A11E14">
        <w:rPr>
          <w:rFonts w:cs="Times New Roman"/>
        </w:rPr>
        <w:t>publication bias in our sample</w:t>
      </w:r>
      <w:bookmarkEnd w:id="13"/>
      <w:r w:rsidR="00A11E14" w:rsidRPr="00A11E14">
        <w:rPr>
          <w:rFonts w:cs="Times New Roman"/>
        </w:rPr>
        <w:t>.</w:t>
      </w:r>
    </w:p>
    <w:p w14:paraId="589F17A1" w14:textId="77777777" w:rsidR="001E5653" w:rsidRDefault="001E5653">
      <w:pPr>
        <w:spacing w:after="160" w:line="259" w:lineRule="auto"/>
        <w:rPr>
          <w:rFonts w:cs="Times New Roman"/>
        </w:rPr>
      </w:pPr>
      <w:r>
        <w:rPr>
          <w:rFonts w:cs="Times New Roman"/>
        </w:rPr>
        <w:br w:type="page"/>
      </w:r>
    </w:p>
    <w:p w14:paraId="4C7FBC2A" w14:textId="12461FF1" w:rsidR="004D15B5" w:rsidRPr="00806123" w:rsidRDefault="004D15B5" w:rsidP="004D15B5">
      <w:pPr>
        <w:rPr>
          <w:rFonts w:cs="Times New Roman"/>
          <w:b/>
          <w:bCs/>
        </w:rPr>
      </w:pPr>
      <w:r w:rsidRPr="00806123">
        <w:rPr>
          <w:rFonts w:cs="Times New Roman"/>
          <w:b/>
          <w:bCs/>
        </w:rPr>
        <w:lastRenderedPageBreak/>
        <w:t xml:space="preserve">Figure </w:t>
      </w:r>
      <w:r w:rsidR="00CD4884">
        <w:rPr>
          <w:rFonts w:cs="Times New Roman"/>
          <w:b/>
          <w:bCs/>
        </w:rPr>
        <w:t>S</w:t>
      </w:r>
      <w:r w:rsidR="008A28DA">
        <w:rPr>
          <w:rFonts w:cs="Times New Roman"/>
          <w:b/>
          <w:bCs/>
        </w:rPr>
        <w:t>2</w:t>
      </w:r>
    </w:p>
    <w:p w14:paraId="5B627F2F" w14:textId="0AD534B9" w:rsidR="004D15B5" w:rsidRPr="009F55B4" w:rsidRDefault="004D15B5" w:rsidP="004D15B5">
      <w:pPr>
        <w:rPr>
          <w:rFonts w:cs="Times New Roman"/>
          <w:i/>
          <w:iCs/>
        </w:rPr>
      </w:pPr>
      <w:r w:rsidRPr="009F55B4">
        <w:rPr>
          <w:rFonts w:cs="Times New Roman"/>
          <w:i/>
          <w:iCs/>
        </w:rPr>
        <w:t xml:space="preserve">Funnel </w:t>
      </w:r>
      <w:r>
        <w:rPr>
          <w:rFonts w:cs="Times New Roman"/>
          <w:i/>
          <w:iCs/>
        </w:rPr>
        <w:t>P</w:t>
      </w:r>
      <w:r w:rsidRPr="009F55B4">
        <w:rPr>
          <w:rFonts w:cs="Times New Roman"/>
          <w:i/>
          <w:iCs/>
        </w:rPr>
        <w:t xml:space="preserve">lots </w:t>
      </w:r>
      <w:r>
        <w:rPr>
          <w:rFonts w:cs="Times New Roman"/>
          <w:i/>
          <w:iCs/>
        </w:rPr>
        <w:t>B</w:t>
      </w:r>
      <w:r w:rsidRPr="009F55B4">
        <w:rPr>
          <w:rFonts w:cs="Times New Roman"/>
          <w:i/>
          <w:iCs/>
        </w:rPr>
        <w:t>ased on</w:t>
      </w:r>
      <w:r>
        <w:rPr>
          <w:rFonts w:cs="Times New Roman"/>
          <w:i/>
          <w:iCs/>
        </w:rPr>
        <w:t xml:space="preserve"> All the Cooperation Estimates</w:t>
      </w:r>
      <w:r w:rsidR="00575A03">
        <w:rPr>
          <w:rFonts w:cs="Times New Roman"/>
          <w:i/>
          <w:iCs/>
        </w:rPr>
        <w:t xml:space="preserve"> (a) and</w:t>
      </w:r>
      <w:r w:rsidR="00575A03" w:rsidRPr="00575A03">
        <w:rPr>
          <w:rFonts w:cs="Times New Roman"/>
          <w:i/>
          <w:iCs/>
        </w:rPr>
        <w:t xml:space="preserve"> </w:t>
      </w:r>
      <w:r w:rsidR="00575A03">
        <w:rPr>
          <w:rFonts w:cs="Times New Roman"/>
          <w:i/>
          <w:iCs/>
        </w:rPr>
        <w:t>Unique Cooperation Estimates per Study (b)</w:t>
      </w:r>
      <w:r w:rsidR="00C12950">
        <w:rPr>
          <w:rFonts w:cs="Times New Roman"/>
          <w:i/>
          <w:iCs/>
        </w:rPr>
        <w:t xml:space="preserve"> </w:t>
      </w:r>
      <w:r w:rsidR="00C12950">
        <w:rPr>
          <w:rFonts w:eastAsia="Times New Roman" w:cs="Times New Roman"/>
          <w:i/>
          <w:iCs/>
          <w:color w:val="000000"/>
          <w:szCs w:val="22"/>
          <w:lang w:eastAsia="zh-CN"/>
        </w:rPr>
        <w:t>(Study 1)</w:t>
      </w:r>
    </w:p>
    <w:p w14:paraId="487A208C" w14:textId="3EB6DDE7" w:rsidR="004D15B5" w:rsidRDefault="003658FC" w:rsidP="001E5653">
      <w:pPr>
        <w:rPr>
          <w:rFonts w:cs="Times New Roman"/>
          <w:b/>
          <w:bCs/>
        </w:rPr>
      </w:pPr>
      <w:r>
        <w:rPr>
          <w:noProof/>
        </w:rPr>
        <w:drawing>
          <wp:inline distT="0" distB="0" distL="0" distR="0" wp14:anchorId="348984EF" wp14:editId="0628785F">
            <wp:extent cx="5943600" cy="2962275"/>
            <wp:effectExtent l="0" t="0" r="0" b="9525"/>
            <wp:docPr id="1757641589" name="Picture 1" descr="A picture containing text, ske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41589" name="Picture 1" descr="A picture containing text, sketch&#10;&#10;Description automatically generated"/>
                    <pic:cNvPicPr>
                      <a:picLocks noChangeAspect="1" noChangeArrowheads="1"/>
                    </pic:cNvPicPr>
                  </pic:nvPicPr>
                  <pic:blipFill rotWithShape="1">
                    <a:blip r:embed="rId8">
                      <a:extLst>
                        <a:ext uri="{28A0092B-C50C-407E-A947-70E740481C1C}">
                          <a14:useLocalDpi xmlns:a14="http://schemas.microsoft.com/office/drawing/2010/main" val="0"/>
                        </a:ext>
                      </a:extLst>
                    </a:blip>
                    <a:srcRect b="50160"/>
                    <a:stretch/>
                  </pic:blipFill>
                  <pic:spPr bwMode="auto">
                    <a:xfrm>
                      <a:off x="0" y="0"/>
                      <a:ext cx="5943600" cy="2962275"/>
                    </a:xfrm>
                    <a:prstGeom prst="rect">
                      <a:avLst/>
                    </a:prstGeom>
                    <a:noFill/>
                    <a:ln>
                      <a:noFill/>
                    </a:ln>
                    <a:extLst>
                      <a:ext uri="{53640926-AAD7-44D8-BBD7-CCE9431645EC}">
                        <a14:shadowObscured xmlns:a14="http://schemas.microsoft.com/office/drawing/2010/main"/>
                      </a:ext>
                    </a:extLst>
                  </pic:spPr>
                </pic:pic>
              </a:graphicData>
            </a:graphic>
          </wp:inline>
        </w:drawing>
      </w:r>
    </w:p>
    <w:p w14:paraId="5E3A1450" w14:textId="42B6F7C6" w:rsidR="00510CB5" w:rsidRPr="00843DF4" w:rsidRDefault="00510CB5" w:rsidP="00D94E2A">
      <w:pPr>
        <w:rPr>
          <w:rFonts w:cs="Times New Roman"/>
        </w:rPr>
      </w:pPr>
    </w:p>
    <w:bookmarkEnd w:id="11"/>
    <w:p w14:paraId="0FAD8660" w14:textId="77777777" w:rsidR="007317C6" w:rsidRDefault="007317C6">
      <w:pPr>
        <w:spacing w:after="160" w:line="259" w:lineRule="auto"/>
        <w:rPr>
          <w:rFonts w:eastAsia="Times New Roman" w:cs="Times New Roman"/>
          <w:b/>
          <w:color w:val="000000"/>
        </w:rPr>
        <w:sectPr w:rsidR="007317C6" w:rsidSect="00F63796">
          <w:headerReference w:type="default" r:id="rId9"/>
          <w:pgSz w:w="12240" w:h="15840"/>
          <w:pgMar w:top="1440" w:right="1440" w:bottom="1440" w:left="1440" w:header="708" w:footer="708" w:gutter="0"/>
          <w:cols w:space="708"/>
          <w:docGrid w:linePitch="326"/>
        </w:sectPr>
      </w:pPr>
    </w:p>
    <w:p w14:paraId="4E0D42A1" w14:textId="22FB55A0" w:rsidR="005B2BAA" w:rsidRPr="005B2BAA" w:rsidRDefault="00156901" w:rsidP="005B2BAA">
      <w:pPr>
        <w:pStyle w:val="Heading1"/>
      </w:pPr>
      <w:bookmarkStart w:id="14" w:name="_Toc61988284"/>
      <w:bookmarkStart w:id="15" w:name="_Toc169458477"/>
      <w:r>
        <w:rPr>
          <w:rFonts w:hint="eastAsia"/>
          <w:lang w:eastAsia="zh-CN"/>
        </w:rPr>
        <w:lastRenderedPageBreak/>
        <w:t>7</w:t>
      </w:r>
      <w:r w:rsidR="005B2BAA">
        <w:t xml:space="preserve">. </w:t>
      </w:r>
      <w:r w:rsidR="005B2BAA" w:rsidRPr="005B2BAA">
        <w:t xml:space="preserve">Descriptive </w:t>
      </w:r>
      <w:r w:rsidR="00871904">
        <w:t>S</w:t>
      </w:r>
      <w:r w:rsidR="005B2BAA" w:rsidRPr="005B2BAA">
        <w:t>tatistics</w:t>
      </w:r>
      <w:bookmarkEnd w:id="14"/>
      <w:bookmarkEnd w:id="15"/>
    </w:p>
    <w:p w14:paraId="6DC1FDEA" w14:textId="5E8B1E72" w:rsidR="00E060CB" w:rsidRDefault="00156901" w:rsidP="00E2235F">
      <w:pPr>
        <w:pStyle w:val="Heading2"/>
      </w:pPr>
      <w:bookmarkStart w:id="16" w:name="_Toc61988285"/>
      <w:bookmarkStart w:id="17" w:name="_Toc169458478"/>
      <w:r>
        <w:rPr>
          <w:rFonts w:hint="eastAsia"/>
          <w:lang w:eastAsia="zh-CN"/>
        </w:rPr>
        <w:t>7</w:t>
      </w:r>
      <w:r w:rsidR="005B2BAA">
        <w:t xml:space="preserve">.1 </w:t>
      </w:r>
      <w:r w:rsidR="005B2BAA" w:rsidRPr="005B2BAA">
        <w:t>Zero-</w:t>
      </w:r>
      <w:r w:rsidR="00871904">
        <w:t>O</w:t>
      </w:r>
      <w:r w:rsidR="005B2BAA" w:rsidRPr="005B2BAA">
        <w:t xml:space="preserve">rder </w:t>
      </w:r>
      <w:r w:rsidR="00871904">
        <w:t>C</w:t>
      </w:r>
      <w:r w:rsidR="005B2BAA" w:rsidRPr="005B2BAA">
        <w:t xml:space="preserve">orrelations between </w:t>
      </w:r>
      <w:r w:rsidR="00871904">
        <w:t>P</w:t>
      </w:r>
      <w:r w:rsidR="005B2BAA" w:rsidRPr="005B2BAA">
        <w:t xml:space="preserve">redictor </w:t>
      </w:r>
      <w:r w:rsidR="00871904">
        <w:t>V</w:t>
      </w:r>
      <w:r w:rsidR="005B2BAA" w:rsidRPr="005B2BAA">
        <w:t>ariables</w:t>
      </w:r>
      <w:bookmarkEnd w:id="16"/>
      <w:bookmarkEnd w:id="17"/>
    </w:p>
    <w:p w14:paraId="4636FBA2" w14:textId="4CFEB754" w:rsidR="003630FF" w:rsidRDefault="003630FF" w:rsidP="00984D85">
      <w:pPr>
        <w:rPr>
          <w:rFonts w:eastAsia="Times New Roman" w:cs="Times New Roman"/>
          <w:color w:val="000000"/>
          <w:szCs w:val="22"/>
          <w:lang w:eastAsia="zh-CN"/>
        </w:rPr>
      </w:pPr>
      <w:r>
        <w:rPr>
          <w:rFonts w:eastAsia="Times New Roman" w:cs="Times New Roman"/>
          <w:b/>
          <w:bCs/>
          <w:color w:val="000000"/>
          <w:szCs w:val="22"/>
          <w:lang w:eastAsia="zh-CN"/>
        </w:rPr>
        <w:t>Ta</w:t>
      </w:r>
      <w:r w:rsidR="00E80154">
        <w:rPr>
          <w:rFonts w:eastAsia="Times New Roman" w:cs="Times New Roman"/>
          <w:b/>
          <w:bCs/>
          <w:color w:val="000000"/>
          <w:szCs w:val="22"/>
          <w:lang w:eastAsia="zh-CN"/>
        </w:rPr>
        <w:t xml:space="preserve">ble </w:t>
      </w:r>
      <w:bookmarkStart w:id="18" w:name="_Hlk74056700"/>
      <w:r w:rsidR="006014C9">
        <w:rPr>
          <w:rFonts w:eastAsia="Times New Roman" w:cs="Times New Roman"/>
          <w:b/>
          <w:bCs/>
          <w:color w:val="000000"/>
          <w:szCs w:val="22"/>
          <w:lang w:eastAsia="zh-CN"/>
        </w:rPr>
        <w:t>S1</w:t>
      </w:r>
      <w:bookmarkEnd w:id="18"/>
    </w:p>
    <w:p w14:paraId="463F59F7" w14:textId="66A7135F" w:rsidR="000F31A9" w:rsidRPr="000F31A9" w:rsidRDefault="00283C8D" w:rsidP="00984D85">
      <w:pPr>
        <w:rPr>
          <w:rFonts w:asciiTheme="minorHAnsi" w:eastAsiaTheme="minorEastAsia" w:hAnsiTheme="minorHAnsi" w:cstheme="minorBidi"/>
          <w:sz w:val="22"/>
          <w:szCs w:val="22"/>
          <w:lang w:eastAsia="zh-CN"/>
        </w:rPr>
      </w:pPr>
      <w:r w:rsidRPr="00283C8D">
        <w:rPr>
          <w:rFonts w:eastAsia="Times New Roman" w:cs="Times New Roman"/>
          <w:color w:val="000000"/>
          <w:szCs w:val="22"/>
          <w:lang w:eastAsia="zh-CN"/>
        </w:rPr>
        <w:t>Z</w:t>
      </w:r>
      <w:r w:rsidR="00392A57">
        <w:rPr>
          <w:rFonts w:eastAsia="Times New Roman" w:cs="Times New Roman"/>
          <w:i/>
          <w:iCs/>
          <w:color w:val="000000"/>
          <w:szCs w:val="22"/>
          <w:lang w:eastAsia="zh-CN"/>
        </w:rPr>
        <w:t>ero-</w:t>
      </w:r>
      <w:r w:rsidR="00B64610">
        <w:rPr>
          <w:rFonts w:eastAsia="Times New Roman" w:cs="Times New Roman"/>
          <w:i/>
          <w:iCs/>
          <w:color w:val="000000"/>
          <w:szCs w:val="22"/>
          <w:lang w:eastAsia="zh-CN"/>
        </w:rPr>
        <w:t>O</w:t>
      </w:r>
      <w:r w:rsidR="00392A57">
        <w:rPr>
          <w:rFonts w:eastAsia="Times New Roman" w:cs="Times New Roman"/>
          <w:i/>
          <w:iCs/>
          <w:color w:val="000000"/>
          <w:szCs w:val="22"/>
          <w:lang w:eastAsia="zh-CN"/>
        </w:rPr>
        <w:t>rder Correlations between Predictor V</w:t>
      </w:r>
      <w:r w:rsidRPr="00283C8D">
        <w:rPr>
          <w:rFonts w:eastAsia="Times New Roman" w:cs="Times New Roman"/>
          <w:i/>
          <w:iCs/>
          <w:color w:val="000000"/>
          <w:szCs w:val="22"/>
          <w:lang w:eastAsia="zh-CN"/>
        </w:rPr>
        <w:t>ariables</w:t>
      </w:r>
      <w:r w:rsidR="00C12950">
        <w:rPr>
          <w:rFonts w:eastAsia="Times New Roman" w:cs="Times New Roman"/>
          <w:i/>
          <w:iCs/>
          <w:color w:val="000000"/>
          <w:szCs w:val="22"/>
          <w:lang w:eastAsia="zh-CN"/>
        </w:rPr>
        <w:t xml:space="preserve"> (Study 1)</w:t>
      </w:r>
    </w:p>
    <w:tbl>
      <w:tblPr>
        <w:tblW w:w="13260" w:type="dxa"/>
        <w:tblCellMar>
          <w:left w:w="70" w:type="dxa"/>
          <w:right w:w="70" w:type="dxa"/>
        </w:tblCellMar>
        <w:tblLook w:val="04A0" w:firstRow="1" w:lastRow="0" w:firstColumn="1" w:lastColumn="0" w:noHBand="0" w:noVBand="1"/>
      </w:tblPr>
      <w:tblGrid>
        <w:gridCol w:w="300"/>
        <w:gridCol w:w="1828"/>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520"/>
        <w:gridCol w:w="300"/>
      </w:tblGrid>
      <w:tr w:rsidR="000F31A9" w:rsidRPr="005557B0" w14:paraId="460C003C" w14:textId="77777777" w:rsidTr="000F31A9">
        <w:trPr>
          <w:divId w:val="790055366"/>
          <w:trHeight w:val="225"/>
        </w:trPr>
        <w:tc>
          <w:tcPr>
            <w:tcW w:w="2040" w:type="dxa"/>
            <w:gridSpan w:val="2"/>
            <w:tcBorders>
              <w:top w:val="single" w:sz="4" w:space="0" w:color="auto"/>
              <w:left w:val="nil"/>
              <w:bottom w:val="single" w:sz="4" w:space="0" w:color="auto"/>
              <w:right w:val="nil"/>
            </w:tcBorders>
            <w:shd w:val="clear" w:color="auto" w:fill="auto"/>
            <w:noWrap/>
            <w:vAlign w:val="center"/>
            <w:hideMark/>
          </w:tcPr>
          <w:p w14:paraId="3BD29B0D" w14:textId="48FDA8BE" w:rsidR="000F31A9" w:rsidRPr="005557B0" w:rsidRDefault="000F31A9" w:rsidP="009011BB">
            <w:pPr>
              <w:spacing w:line="240" w:lineRule="auto"/>
              <w:jc w:val="center"/>
              <w:rPr>
                <w:rFonts w:eastAsia="Times New Roman" w:cs="Times New Roman"/>
                <w:b/>
                <w:bCs/>
                <w:color w:val="000000"/>
                <w:sz w:val="16"/>
                <w:szCs w:val="16"/>
                <w:lang w:val="nl-NL" w:eastAsia="zh-CN"/>
              </w:rPr>
            </w:pPr>
            <w:proofErr w:type="spellStart"/>
            <w:r w:rsidRPr="005557B0">
              <w:rPr>
                <w:rFonts w:eastAsia="Times New Roman" w:cs="Times New Roman"/>
                <w:b/>
                <w:bCs/>
                <w:color w:val="000000"/>
                <w:sz w:val="16"/>
                <w:szCs w:val="16"/>
                <w:lang w:val="nl-NL" w:eastAsia="zh-CN"/>
              </w:rPr>
              <w:t>Variable</w:t>
            </w:r>
            <w:proofErr w:type="spellEnd"/>
          </w:p>
        </w:tc>
        <w:tc>
          <w:tcPr>
            <w:tcW w:w="520" w:type="dxa"/>
            <w:tcBorders>
              <w:top w:val="single" w:sz="4" w:space="0" w:color="auto"/>
              <w:left w:val="nil"/>
              <w:bottom w:val="single" w:sz="4" w:space="0" w:color="auto"/>
              <w:right w:val="nil"/>
            </w:tcBorders>
            <w:shd w:val="clear" w:color="auto" w:fill="auto"/>
            <w:noWrap/>
            <w:vAlign w:val="center"/>
            <w:hideMark/>
          </w:tcPr>
          <w:p w14:paraId="1993229C" w14:textId="77777777" w:rsidR="000F31A9" w:rsidRPr="005557B0" w:rsidRDefault="000F31A9" w:rsidP="009011BB">
            <w:pPr>
              <w:spacing w:line="240" w:lineRule="auto"/>
              <w:jc w:val="center"/>
              <w:rPr>
                <w:rFonts w:eastAsia="Times New Roman" w:cs="Times New Roman"/>
                <w:b/>
                <w:bCs/>
                <w:color w:val="000000"/>
                <w:sz w:val="16"/>
                <w:szCs w:val="16"/>
                <w:lang w:val="nl-NL" w:eastAsia="zh-CN"/>
              </w:rPr>
            </w:pPr>
            <w:r w:rsidRPr="005557B0">
              <w:rPr>
                <w:rFonts w:eastAsia="Times New Roman" w:cs="Times New Roman"/>
                <w:b/>
                <w:bCs/>
                <w:color w:val="000000"/>
                <w:sz w:val="16"/>
                <w:szCs w:val="16"/>
                <w:lang w:val="nl-NL" w:eastAsia="zh-CN"/>
              </w:rPr>
              <w:t>1</w:t>
            </w:r>
          </w:p>
        </w:tc>
        <w:tc>
          <w:tcPr>
            <w:tcW w:w="520" w:type="dxa"/>
            <w:tcBorders>
              <w:top w:val="single" w:sz="4" w:space="0" w:color="auto"/>
              <w:left w:val="nil"/>
              <w:bottom w:val="single" w:sz="4" w:space="0" w:color="auto"/>
              <w:right w:val="nil"/>
            </w:tcBorders>
            <w:shd w:val="clear" w:color="auto" w:fill="auto"/>
            <w:noWrap/>
            <w:vAlign w:val="center"/>
            <w:hideMark/>
          </w:tcPr>
          <w:p w14:paraId="3CA368D4" w14:textId="77777777" w:rsidR="000F31A9" w:rsidRPr="005557B0" w:rsidRDefault="000F31A9" w:rsidP="009011BB">
            <w:pPr>
              <w:spacing w:line="240" w:lineRule="auto"/>
              <w:jc w:val="center"/>
              <w:rPr>
                <w:rFonts w:eastAsia="Times New Roman" w:cs="Times New Roman"/>
                <w:b/>
                <w:bCs/>
                <w:color w:val="000000"/>
                <w:sz w:val="16"/>
                <w:szCs w:val="16"/>
                <w:lang w:val="nl-NL" w:eastAsia="zh-CN"/>
              </w:rPr>
            </w:pPr>
            <w:r w:rsidRPr="005557B0">
              <w:rPr>
                <w:rFonts w:eastAsia="Times New Roman" w:cs="Times New Roman"/>
                <w:b/>
                <w:bCs/>
                <w:color w:val="000000"/>
                <w:sz w:val="16"/>
                <w:szCs w:val="16"/>
                <w:lang w:val="nl-NL" w:eastAsia="zh-CN"/>
              </w:rPr>
              <w:t>2</w:t>
            </w:r>
          </w:p>
        </w:tc>
        <w:tc>
          <w:tcPr>
            <w:tcW w:w="520" w:type="dxa"/>
            <w:tcBorders>
              <w:top w:val="single" w:sz="4" w:space="0" w:color="auto"/>
              <w:left w:val="nil"/>
              <w:bottom w:val="single" w:sz="4" w:space="0" w:color="auto"/>
              <w:right w:val="nil"/>
            </w:tcBorders>
            <w:shd w:val="clear" w:color="auto" w:fill="auto"/>
            <w:noWrap/>
            <w:vAlign w:val="center"/>
            <w:hideMark/>
          </w:tcPr>
          <w:p w14:paraId="63F962A8" w14:textId="77777777" w:rsidR="000F31A9" w:rsidRPr="005557B0" w:rsidRDefault="000F31A9" w:rsidP="009011BB">
            <w:pPr>
              <w:spacing w:line="240" w:lineRule="auto"/>
              <w:jc w:val="center"/>
              <w:rPr>
                <w:rFonts w:eastAsia="Times New Roman" w:cs="Times New Roman"/>
                <w:b/>
                <w:bCs/>
                <w:color w:val="000000"/>
                <w:sz w:val="16"/>
                <w:szCs w:val="16"/>
                <w:lang w:val="nl-NL" w:eastAsia="zh-CN"/>
              </w:rPr>
            </w:pPr>
            <w:r w:rsidRPr="005557B0">
              <w:rPr>
                <w:rFonts w:eastAsia="Times New Roman" w:cs="Times New Roman"/>
                <w:b/>
                <w:bCs/>
                <w:color w:val="000000"/>
                <w:sz w:val="16"/>
                <w:szCs w:val="16"/>
                <w:lang w:val="nl-NL" w:eastAsia="zh-CN"/>
              </w:rPr>
              <w:t>3</w:t>
            </w:r>
          </w:p>
        </w:tc>
        <w:tc>
          <w:tcPr>
            <w:tcW w:w="520" w:type="dxa"/>
            <w:tcBorders>
              <w:top w:val="single" w:sz="4" w:space="0" w:color="auto"/>
              <w:left w:val="nil"/>
              <w:bottom w:val="single" w:sz="4" w:space="0" w:color="auto"/>
              <w:right w:val="nil"/>
            </w:tcBorders>
            <w:shd w:val="clear" w:color="auto" w:fill="auto"/>
            <w:noWrap/>
            <w:vAlign w:val="center"/>
            <w:hideMark/>
          </w:tcPr>
          <w:p w14:paraId="714AB878" w14:textId="77777777" w:rsidR="000F31A9" w:rsidRPr="005557B0" w:rsidRDefault="000F31A9" w:rsidP="009011BB">
            <w:pPr>
              <w:spacing w:line="240" w:lineRule="auto"/>
              <w:jc w:val="center"/>
              <w:rPr>
                <w:rFonts w:eastAsia="Times New Roman" w:cs="Times New Roman"/>
                <w:b/>
                <w:bCs/>
                <w:color w:val="000000"/>
                <w:sz w:val="16"/>
                <w:szCs w:val="16"/>
                <w:lang w:val="nl-NL" w:eastAsia="zh-CN"/>
              </w:rPr>
            </w:pPr>
            <w:r w:rsidRPr="005557B0">
              <w:rPr>
                <w:rFonts w:eastAsia="Times New Roman" w:cs="Times New Roman"/>
                <w:b/>
                <w:bCs/>
                <w:color w:val="000000"/>
                <w:sz w:val="16"/>
                <w:szCs w:val="16"/>
                <w:lang w:val="nl-NL" w:eastAsia="zh-CN"/>
              </w:rPr>
              <w:t>4</w:t>
            </w:r>
          </w:p>
        </w:tc>
        <w:tc>
          <w:tcPr>
            <w:tcW w:w="520" w:type="dxa"/>
            <w:tcBorders>
              <w:top w:val="single" w:sz="4" w:space="0" w:color="auto"/>
              <w:left w:val="nil"/>
              <w:bottom w:val="single" w:sz="4" w:space="0" w:color="auto"/>
              <w:right w:val="nil"/>
            </w:tcBorders>
            <w:shd w:val="clear" w:color="auto" w:fill="auto"/>
            <w:noWrap/>
            <w:vAlign w:val="center"/>
            <w:hideMark/>
          </w:tcPr>
          <w:p w14:paraId="5A93D3F2" w14:textId="77777777" w:rsidR="000F31A9" w:rsidRPr="005557B0" w:rsidRDefault="000F31A9" w:rsidP="009011BB">
            <w:pPr>
              <w:spacing w:line="240" w:lineRule="auto"/>
              <w:jc w:val="center"/>
              <w:rPr>
                <w:rFonts w:eastAsia="Times New Roman" w:cs="Times New Roman"/>
                <w:b/>
                <w:bCs/>
                <w:color w:val="000000"/>
                <w:sz w:val="16"/>
                <w:szCs w:val="16"/>
                <w:lang w:val="nl-NL" w:eastAsia="zh-CN"/>
              </w:rPr>
            </w:pPr>
            <w:r w:rsidRPr="005557B0">
              <w:rPr>
                <w:rFonts w:eastAsia="Times New Roman" w:cs="Times New Roman"/>
                <w:b/>
                <w:bCs/>
                <w:color w:val="000000"/>
                <w:sz w:val="16"/>
                <w:szCs w:val="16"/>
                <w:lang w:val="nl-NL" w:eastAsia="zh-CN"/>
              </w:rPr>
              <w:t>5</w:t>
            </w:r>
          </w:p>
        </w:tc>
        <w:tc>
          <w:tcPr>
            <w:tcW w:w="520" w:type="dxa"/>
            <w:tcBorders>
              <w:top w:val="single" w:sz="4" w:space="0" w:color="auto"/>
              <w:left w:val="nil"/>
              <w:bottom w:val="single" w:sz="4" w:space="0" w:color="auto"/>
              <w:right w:val="nil"/>
            </w:tcBorders>
            <w:shd w:val="clear" w:color="auto" w:fill="auto"/>
            <w:noWrap/>
            <w:vAlign w:val="center"/>
            <w:hideMark/>
          </w:tcPr>
          <w:p w14:paraId="7436CA98" w14:textId="77777777" w:rsidR="000F31A9" w:rsidRPr="005557B0" w:rsidRDefault="000F31A9" w:rsidP="009011BB">
            <w:pPr>
              <w:spacing w:line="240" w:lineRule="auto"/>
              <w:jc w:val="center"/>
              <w:rPr>
                <w:rFonts w:eastAsia="Times New Roman" w:cs="Times New Roman"/>
                <w:b/>
                <w:bCs/>
                <w:color w:val="000000"/>
                <w:sz w:val="16"/>
                <w:szCs w:val="16"/>
                <w:lang w:val="nl-NL" w:eastAsia="zh-CN"/>
              </w:rPr>
            </w:pPr>
            <w:r w:rsidRPr="005557B0">
              <w:rPr>
                <w:rFonts w:eastAsia="Times New Roman" w:cs="Times New Roman"/>
                <w:b/>
                <w:bCs/>
                <w:color w:val="000000"/>
                <w:sz w:val="16"/>
                <w:szCs w:val="16"/>
                <w:lang w:val="nl-NL" w:eastAsia="zh-CN"/>
              </w:rPr>
              <w:t>6</w:t>
            </w:r>
          </w:p>
        </w:tc>
        <w:tc>
          <w:tcPr>
            <w:tcW w:w="520" w:type="dxa"/>
            <w:tcBorders>
              <w:top w:val="single" w:sz="4" w:space="0" w:color="auto"/>
              <w:left w:val="nil"/>
              <w:bottom w:val="single" w:sz="4" w:space="0" w:color="auto"/>
              <w:right w:val="nil"/>
            </w:tcBorders>
            <w:shd w:val="clear" w:color="auto" w:fill="auto"/>
            <w:noWrap/>
            <w:vAlign w:val="center"/>
            <w:hideMark/>
          </w:tcPr>
          <w:p w14:paraId="750727B2" w14:textId="77777777" w:rsidR="000F31A9" w:rsidRPr="005557B0" w:rsidRDefault="000F31A9" w:rsidP="009011BB">
            <w:pPr>
              <w:spacing w:line="240" w:lineRule="auto"/>
              <w:jc w:val="center"/>
              <w:rPr>
                <w:rFonts w:eastAsia="Times New Roman" w:cs="Times New Roman"/>
                <w:b/>
                <w:bCs/>
                <w:color w:val="000000"/>
                <w:sz w:val="16"/>
                <w:szCs w:val="16"/>
                <w:lang w:val="nl-NL" w:eastAsia="zh-CN"/>
              </w:rPr>
            </w:pPr>
            <w:r w:rsidRPr="005557B0">
              <w:rPr>
                <w:rFonts w:eastAsia="Times New Roman" w:cs="Times New Roman"/>
                <w:b/>
                <w:bCs/>
                <w:color w:val="000000"/>
                <w:sz w:val="16"/>
                <w:szCs w:val="16"/>
                <w:lang w:val="nl-NL" w:eastAsia="zh-CN"/>
              </w:rPr>
              <w:t>7</w:t>
            </w:r>
          </w:p>
        </w:tc>
        <w:tc>
          <w:tcPr>
            <w:tcW w:w="520" w:type="dxa"/>
            <w:tcBorders>
              <w:top w:val="single" w:sz="4" w:space="0" w:color="auto"/>
              <w:left w:val="nil"/>
              <w:bottom w:val="single" w:sz="4" w:space="0" w:color="auto"/>
              <w:right w:val="nil"/>
            </w:tcBorders>
            <w:shd w:val="clear" w:color="auto" w:fill="auto"/>
            <w:noWrap/>
            <w:vAlign w:val="center"/>
            <w:hideMark/>
          </w:tcPr>
          <w:p w14:paraId="2E8AC8E2" w14:textId="77777777" w:rsidR="000F31A9" w:rsidRPr="005557B0" w:rsidRDefault="000F31A9" w:rsidP="009011BB">
            <w:pPr>
              <w:spacing w:line="240" w:lineRule="auto"/>
              <w:jc w:val="center"/>
              <w:rPr>
                <w:rFonts w:eastAsia="Times New Roman" w:cs="Times New Roman"/>
                <w:b/>
                <w:bCs/>
                <w:color w:val="000000"/>
                <w:sz w:val="16"/>
                <w:szCs w:val="16"/>
                <w:lang w:val="nl-NL" w:eastAsia="zh-CN"/>
              </w:rPr>
            </w:pPr>
            <w:r w:rsidRPr="005557B0">
              <w:rPr>
                <w:rFonts w:eastAsia="Times New Roman" w:cs="Times New Roman"/>
                <w:b/>
                <w:bCs/>
                <w:color w:val="000000"/>
                <w:sz w:val="16"/>
                <w:szCs w:val="16"/>
                <w:lang w:val="nl-NL" w:eastAsia="zh-CN"/>
              </w:rPr>
              <w:t>8</w:t>
            </w:r>
          </w:p>
        </w:tc>
        <w:tc>
          <w:tcPr>
            <w:tcW w:w="520" w:type="dxa"/>
            <w:tcBorders>
              <w:top w:val="single" w:sz="4" w:space="0" w:color="auto"/>
              <w:left w:val="nil"/>
              <w:bottom w:val="single" w:sz="4" w:space="0" w:color="auto"/>
              <w:right w:val="nil"/>
            </w:tcBorders>
            <w:shd w:val="clear" w:color="auto" w:fill="auto"/>
            <w:noWrap/>
            <w:vAlign w:val="center"/>
            <w:hideMark/>
          </w:tcPr>
          <w:p w14:paraId="1D494B43" w14:textId="77777777" w:rsidR="000F31A9" w:rsidRPr="005557B0" w:rsidRDefault="000F31A9" w:rsidP="009011BB">
            <w:pPr>
              <w:spacing w:line="240" w:lineRule="auto"/>
              <w:jc w:val="center"/>
              <w:rPr>
                <w:rFonts w:eastAsia="Times New Roman" w:cs="Times New Roman"/>
                <w:b/>
                <w:bCs/>
                <w:color w:val="000000"/>
                <w:sz w:val="16"/>
                <w:szCs w:val="16"/>
                <w:lang w:val="nl-NL" w:eastAsia="zh-CN"/>
              </w:rPr>
            </w:pPr>
            <w:r w:rsidRPr="005557B0">
              <w:rPr>
                <w:rFonts w:eastAsia="Times New Roman" w:cs="Times New Roman"/>
                <w:b/>
                <w:bCs/>
                <w:color w:val="000000"/>
                <w:sz w:val="16"/>
                <w:szCs w:val="16"/>
                <w:lang w:val="nl-NL" w:eastAsia="zh-CN"/>
              </w:rPr>
              <w:t>9</w:t>
            </w:r>
          </w:p>
        </w:tc>
        <w:tc>
          <w:tcPr>
            <w:tcW w:w="520" w:type="dxa"/>
            <w:tcBorders>
              <w:top w:val="single" w:sz="4" w:space="0" w:color="auto"/>
              <w:left w:val="nil"/>
              <w:bottom w:val="single" w:sz="4" w:space="0" w:color="auto"/>
              <w:right w:val="nil"/>
            </w:tcBorders>
            <w:shd w:val="clear" w:color="auto" w:fill="auto"/>
            <w:noWrap/>
            <w:vAlign w:val="center"/>
            <w:hideMark/>
          </w:tcPr>
          <w:p w14:paraId="1FD915EB" w14:textId="77777777" w:rsidR="000F31A9" w:rsidRPr="005557B0" w:rsidRDefault="000F31A9" w:rsidP="009011BB">
            <w:pPr>
              <w:spacing w:line="240" w:lineRule="auto"/>
              <w:jc w:val="center"/>
              <w:rPr>
                <w:rFonts w:eastAsia="Times New Roman" w:cs="Times New Roman"/>
                <w:b/>
                <w:bCs/>
                <w:color w:val="000000"/>
                <w:sz w:val="16"/>
                <w:szCs w:val="16"/>
                <w:lang w:val="nl-NL" w:eastAsia="zh-CN"/>
              </w:rPr>
            </w:pPr>
            <w:r w:rsidRPr="005557B0">
              <w:rPr>
                <w:rFonts w:eastAsia="Times New Roman" w:cs="Times New Roman"/>
                <w:b/>
                <w:bCs/>
                <w:color w:val="000000"/>
                <w:sz w:val="16"/>
                <w:szCs w:val="16"/>
                <w:lang w:val="nl-NL" w:eastAsia="zh-CN"/>
              </w:rPr>
              <w:t>10</w:t>
            </w:r>
          </w:p>
        </w:tc>
        <w:tc>
          <w:tcPr>
            <w:tcW w:w="520" w:type="dxa"/>
            <w:tcBorders>
              <w:top w:val="single" w:sz="4" w:space="0" w:color="auto"/>
              <w:left w:val="nil"/>
              <w:bottom w:val="single" w:sz="4" w:space="0" w:color="auto"/>
              <w:right w:val="nil"/>
            </w:tcBorders>
            <w:shd w:val="clear" w:color="auto" w:fill="auto"/>
            <w:noWrap/>
            <w:vAlign w:val="center"/>
            <w:hideMark/>
          </w:tcPr>
          <w:p w14:paraId="662AA445" w14:textId="77777777" w:rsidR="000F31A9" w:rsidRPr="005557B0" w:rsidRDefault="000F31A9" w:rsidP="009011BB">
            <w:pPr>
              <w:spacing w:line="240" w:lineRule="auto"/>
              <w:jc w:val="center"/>
              <w:rPr>
                <w:rFonts w:eastAsia="Times New Roman" w:cs="Times New Roman"/>
                <w:b/>
                <w:bCs/>
                <w:color w:val="000000"/>
                <w:sz w:val="16"/>
                <w:szCs w:val="16"/>
                <w:lang w:val="nl-NL" w:eastAsia="zh-CN"/>
              </w:rPr>
            </w:pPr>
            <w:r w:rsidRPr="005557B0">
              <w:rPr>
                <w:rFonts w:eastAsia="Times New Roman" w:cs="Times New Roman"/>
                <w:b/>
                <w:bCs/>
                <w:color w:val="000000"/>
                <w:sz w:val="16"/>
                <w:szCs w:val="16"/>
                <w:lang w:val="nl-NL" w:eastAsia="zh-CN"/>
              </w:rPr>
              <w:t>11</w:t>
            </w:r>
          </w:p>
        </w:tc>
        <w:tc>
          <w:tcPr>
            <w:tcW w:w="520" w:type="dxa"/>
            <w:tcBorders>
              <w:top w:val="single" w:sz="4" w:space="0" w:color="auto"/>
              <w:left w:val="nil"/>
              <w:bottom w:val="single" w:sz="4" w:space="0" w:color="auto"/>
              <w:right w:val="nil"/>
            </w:tcBorders>
            <w:shd w:val="clear" w:color="auto" w:fill="auto"/>
            <w:noWrap/>
            <w:vAlign w:val="center"/>
            <w:hideMark/>
          </w:tcPr>
          <w:p w14:paraId="0CECEB59" w14:textId="77777777" w:rsidR="000F31A9" w:rsidRPr="005557B0" w:rsidRDefault="000F31A9" w:rsidP="009011BB">
            <w:pPr>
              <w:spacing w:line="240" w:lineRule="auto"/>
              <w:jc w:val="center"/>
              <w:rPr>
                <w:rFonts w:eastAsia="Times New Roman" w:cs="Times New Roman"/>
                <w:b/>
                <w:bCs/>
                <w:color w:val="000000"/>
                <w:sz w:val="16"/>
                <w:szCs w:val="16"/>
                <w:lang w:val="nl-NL" w:eastAsia="zh-CN"/>
              </w:rPr>
            </w:pPr>
            <w:r w:rsidRPr="005557B0">
              <w:rPr>
                <w:rFonts w:eastAsia="Times New Roman" w:cs="Times New Roman"/>
                <w:b/>
                <w:bCs/>
                <w:color w:val="000000"/>
                <w:sz w:val="16"/>
                <w:szCs w:val="16"/>
                <w:lang w:val="nl-NL" w:eastAsia="zh-CN"/>
              </w:rPr>
              <w:t>12</w:t>
            </w:r>
          </w:p>
        </w:tc>
        <w:tc>
          <w:tcPr>
            <w:tcW w:w="520" w:type="dxa"/>
            <w:tcBorders>
              <w:top w:val="single" w:sz="4" w:space="0" w:color="auto"/>
              <w:left w:val="nil"/>
              <w:bottom w:val="single" w:sz="4" w:space="0" w:color="auto"/>
              <w:right w:val="nil"/>
            </w:tcBorders>
            <w:shd w:val="clear" w:color="auto" w:fill="auto"/>
            <w:noWrap/>
            <w:vAlign w:val="center"/>
            <w:hideMark/>
          </w:tcPr>
          <w:p w14:paraId="780D679B" w14:textId="77777777" w:rsidR="000F31A9" w:rsidRPr="005557B0" w:rsidRDefault="000F31A9" w:rsidP="009011BB">
            <w:pPr>
              <w:spacing w:line="240" w:lineRule="auto"/>
              <w:jc w:val="center"/>
              <w:rPr>
                <w:rFonts w:eastAsia="Times New Roman" w:cs="Times New Roman"/>
                <w:b/>
                <w:bCs/>
                <w:color w:val="000000"/>
                <w:sz w:val="16"/>
                <w:szCs w:val="16"/>
                <w:lang w:val="nl-NL" w:eastAsia="zh-CN"/>
              </w:rPr>
            </w:pPr>
            <w:r w:rsidRPr="005557B0">
              <w:rPr>
                <w:rFonts w:eastAsia="Times New Roman" w:cs="Times New Roman"/>
                <w:b/>
                <w:bCs/>
                <w:color w:val="000000"/>
                <w:sz w:val="16"/>
                <w:szCs w:val="16"/>
                <w:lang w:val="nl-NL" w:eastAsia="zh-CN"/>
              </w:rPr>
              <w:t>13</w:t>
            </w:r>
          </w:p>
        </w:tc>
        <w:tc>
          <w:tcPr>
            <w:tcW w:w="520" w:type="dxa"/>
            <w:tcBorders>
              <w:top w:val="single" w:sz="4" w:space="0" w:color="auto"/>
              <w:left w:val="nil"/>
              <w:bottom w:val="single" w:sz="4" w:space="0" w:color="auto"/>
              <w:right w:val="nil"/>
            </w:tcBorders>
            <w:shd w:val="clear" w:color="auto" w:fill="auto"/>
            <w:noWrap/>
            <w:vAlign w:val="center"/>
            <w:hideMark/>
          </w:tcPr>
          <w:p w14:paraId="354CA0F1" w14:textId="77777777" w:rsidR="000F31A9" w:rsidRPr="005557B0" w:rsidRDefault="000F31A9" w:rsidP="009011BB">
            <w:pPr>
              <w:spacing w:line="240" w:lineRule="auto"/>
              <w:jc w:val="center"/>
              <w:rPr>
                <w:rFonts w:eastAsia="Times New Roman" w:cs="Times New Roman"/>
                <w:b/>
                <w:bCs/>
                <w:color w:val="000000"/>
                <w:sz w:val="16"/>
                <w:szCs w:val="16"/>
                <w:lang w:val="nl-NL" w:eastAsia="zh-CN"/>
              </w:rPr>
            </w:pPr>
            <w:r w:rsidRPr="005557B0">
              <w:rPr>
                <w:rFonts w:eastAsia="Times New Roman" w:cs="Times New Roman"/>
                <w:b/>
                <w:bCs/>
                <w:color w:val="000000"/>
                <w:sz w:val="16"/>
                <w:szCs w:val="16"/>
                <w:lang w:val="nl-NL" w:eastAsia="zh-CN"/>
              </w:rPr>
              <w:t>14</w:t>
            </w:r>
          </w:p>
        </w:tc>
        <w:tc>
          <w:tcPr>
            <w:tcW w:w="520" w:type="dxa"/>
            <w:tcBorders>
              <w:top w:val="single" w:sz="4" w:space="0" w:color="auto"/>
              <w:left w:val="nil"/>
              <w:bottom w:val="single" w:sz="4" w:space="0" w:color="auto"/>
              <w:right w:val="nil"/>
            </w:tcBorders>
            <w:shd w:val="clear" w:color="auto" w:fill="auto"/>
            <w:noWrap/>
            <w:vAlign w:val="center"/>
            <w:hideMark/>
          </w:tcPr>
          <w:p w14:paraId="57C70C4D" w14:textId="77777777" w:rsidR="000F31A9" w:rsidRPr="005557B0" w:rsidRDefault="000F31A9" w:rsidP="009011BB">
            <w:pPr>
              <w:spacing w:line="240" w:lineRule="auto"/>
              <w:jc w:val="center"/>
              <w:rPr>
                <w:rFonts w:eastAsia="Times New Roman" w:cs="Times New Roman"/>
                <w:b/>
                <w:bCs/>
                <w:color w:val="000000"/>
                <w:sz w:val="16"/>
                <w:szCs w:val="16"/>
                <w:lang w:val="nl-NL" w:eastAsia="zh-CN"/>
              </w:rPr>
            </w:pPr>
            <w:r w:rsidRPr="005557B0">
              <w:rPr>
                <w:rFonts w:eastAsia="Times New Roman" w:cs="Times New Roman"/>
                <w:b/>
                <w:bCs/>
                <w:color w:val="000000"/>
                <w:sz w:val="16"/>
                <w:szCs w:val="16"/>
                <w:lang w:val="nl-NL" w:eastAsia="zh-CN"/>
              </w:rPr>
              <w:t>15</w:t>
            </w:r>
          </w:p>
        </w:tc>
        <w:tc>
          <w:tcPr>
            <w:tcW w:w="520" w:type="dxa"/>
            <w:tcBorders>
              <w:top w:val="single" w:sz="4" w:space="0" w:color="auto"/>
              <w:left w:val="nil"/>
              <w:bottom w:val="single" w:sz="4" w:space="0" w:color="auto"/>
              <w:right w:val="nil"/>
            </w:tcBorders>
            <w:shd w:val="clear" w:color="auto" w:fill="auto"/>
            <w:noWrap/>
            <w:vAlign w:val="center"/>
            <w:hideMark/>
          </w:tcPr>
          <w:p w14:paraId="0A2FBC25" w14:textId="77777777" w:rsidR="000F31A9" w:rsidRPr="005557B0" w:rsidRDefault="000F31A9" w:rsidP="009011BB">
            <w:pPr>
              <w:spacing w:line="240" w:lineRule="auto"/>
              <w:jc w:val="center"/>
              <w:rPr>
                <w:rFonts w:eastAsia="Times New Roman" w:cs="Times New Roman"/>
                <w:b/>
                <w:bCs/>
                <w:color w:val="000000"/>
                <w:sz w:val="16"/>
                <w:szCs w:val="16"/>
                <w:lang w:val="nl-NL" w:eastAsia="zh-CN"/>
              </w:rPr>
            </w:pPr>
            <w:r w:rsidRPr="005557B0">
              <w:rPr>
                <w:rFonts w:eastAsia="Times New Roman" w:cs="Times New Roman"/>
                <w:b/>
                <w:bCs/>
                <w:color w:val="000000"/>
                <w:sz w:val="16"/>
                <w:szCs w:val="16"/>
                <w:lang w:val="nl-NL" w:eastAsia="zh-CN"/>
              </w:rPr>
              <w:t>16</w:t>
            </w:r>
          </w:p>
        </w:tc>
        <w:tc>
          <w:tcPr>
            <w:tcW w:w="520" w:type="dxa"/>
            <w:tcBorders>
              <w:top w:val="single" w:sz="4" w:space="0" w:color="auto"/>
              <w:left w:val="nil"/>
              <w:bottom w:val="single" w:sz="4" w:space="0" w:color="auto"/>
              <w:right w:val="nil"/>
            </w:tcBorders>
            <w:shd w:val="clear" w:color="auto" w:fill="auto"/>
            <w:noWrap/>
            <w:vAlign w:val="center"/>
            <w:hideMark/>
          </w:tcPr>
          <w:p w14:paraId="64518692" w14:textId="77777777" w:rsidR="000F31A9" w:rsidRPr="005557B0" w:rsidRDefault="000F31A9" w:rsidP="009011BB">
            <w:pPr>
              <w:spacing w:line="240" w:lineRule="auto"/>
              <w:jc w:val="center"/>
              <w:rPr>
                <w:rFonts w:eastAsia="Times New Roman" w:cs="Times New Roman"/>
                <w:b/>
                <w:bCs/>
                <w:color w:val="000000"/>
                <w:sz w:val="16"/>
                <w:szCs w:val="16"/>
                <w:lang w:val="nl-NL" w:eastAsia="zh-CN"/>
              </w:rPr>
            </w:pPr>
            <w:r w:rsidRPr="005557B0">
              <w:rPr>
                <w:rFonts w:eastAsia="Times New Roman" w:cs="Times New Roman"/>
                <w:b/>
                <w:bCs/>
                <w:color w:val="000000"/>
                <w:sz w:val="16"/>
                <w:szCs w:val="16"/>
                <w:lang w:val="nl-NL" w:eastAsia="zh-CN"/>
              </w:rPr>
              <w:t>17</w:t>
            </w:r>
          </w:p>
        </w:tc>
        <w:tc>
          <w:tcPr>
            <w:tcW w:w="520" w:type="dxa"/>
            <w:tcBorders>
              <w:top w:val="single" w:sz="4" w:space="0" w:color="auto"/>
              <w:left w:val="nil"/>
              <w:bottom w:val="single" w:sz="4" w:space="0" w:color="auto"/>
              <w:right w:val="nil"/>
            </w:tcBorders>
            <w:shd w:val="clear" w:color="auto" w:fill="auto"/>
            <w:noWrap/>
            <w:vAlign w:val="center"/>
            <w:hideMark/>
          </w:tcPr>
          <w:p w14:paraId="26A4728C" w14:textId="77777777" w:rsidR="000F31A9" w:rsidRPr="005557B0" w:rsidRDefault="000F31A9" w:rsidP="009011BB">
            <w:pPr>
              <w:spacing w:line="240" w:lineRule="auto"/>
              <w:jc w:val="center"/>
              <w:rPr>
                <w:rFonts w:eastAsia="Times New Roman" w:cs="Times New Roman"/>
                <w:b/>
                <w:bCs/>
                <w:color w:val="000000"/>
                <w:sz w:val="16"/>
                <w:szCs w:val="16"/>
                <w:lang w:val="nl-NL" w:eastAsia="zh-CN"/>
              </w:rPr>
            </w:pPr>
            <w:r w:rsidRPr="005557B0">
              <w:rPr>
                <w:rFonts w:eastAsia="Times New Roman" w:cs="Times New Roman"/>
                <w:b/>
                <w:bCs/>
                <w:color w:val="000000"/>
                <w:sz w:val="16"/>
                <w:szCs w:val="16"/>
                <w:lang w:val="nl-NL" w:eastAsia="zh-CN"/>
              </w:rPr>
              <w:t>18</w:t>
            </w:r>
          </w:p>
        </w:tc>
        <w:tc>
          <w:tcPr>
            <w:tcW w:w="520" w:type="dxa"/>
            <w:tcBorders>
              <w:top w:val="single" w:sz="4" w:space="0" w:color="auto"/>
              <w:left w:val="nil"/>
              <w:bottom w:val="single" w:sz="4" w:space="0" w:color="auto"/>
              <w:right w:val="nil"/>
            </w:tcBorders>
            <w:shd w:val="clear" w:color="auto" w:fill="auto"/>
            <w:noWrap/>
            <w:vAlign w:val="center"/>
            <w:hideMark/>
          </w:tcPr>
          <w:p w14:paraId="0DCB20BB" w14:textId="77777777" w:rsidR="000F31A9" w:rsidRPr="005557B0" w:rsidRDefault="000F31A9" w:rsidP="009011BB">
            <w:pPr>
              <w:spacing w:line="240" w:lineRule="auto"/>
              <w:jc w:val="center"/>
              <w:rPr>
                <w:rFonts w:eastAsia="Times New Roman" w:cs="Times New Roman"/>
                <w:b/>
                <w:bCs/>
                <w:color w:val="000000"/>
                <w:sz w:val="16"/>
                <w:szCs w:val="16"/>
                <w:lang w:val="nl-NL" w:eastAsia="zh-CN"/>
              </w:rPr>
            </w:pPr>
            <w:r w:rsidRPr="005557B0">
              <w:rPr>
                <w:rFonts w:eastAsia="Times New Roman" w:cs="Times New Roman"/>
                <w:b/>
                <w:bCs/>
                <w:color w:val="000000"/>
                <w:sz w:val="16"/>
                <w:szCs w:val="16"/>
                <w:lang w:val="nl-NL" w:eastAsia="zh-CN"/>
              </w:rPr>
              <w:t>19</w:t>
            </w:r>
          </w:p>
        </w:tc>
        <w:tc>
          <w:tcPr>
            <w:tcW w:w="520" w:type="dxa"/>
            <w:tcBorders>
              <w:top w:val="single" w:sz="4" w:space="0" w:color="auto"/>
              <w:left w:val="nil"/>
              <w:bottom w:val="single" w:sz="4" w:space="0" w:color="auto"/>
              <w:right w:val="nil"/>
            </w:tcBorders>
            <w:shd w:val="clear" w:color="auto" w:fill="auto"/>
            <w:noWrap/>
            <w:vAlign w:val="center"/>
            <w:hideMark/>
          </w:tcPr>
          <w:p w14:paraId="44B35E6E" w14:textId="77777777" w:rsidR="000F31A9" w:rsidRPr="005557B0" w:rsidRDefault="000F31A9" w:rsidP="009011BB">
            <w:pPr>
              <w:spacing w:line="240" w:lineRule="auto"/>
              <w:jc w:val="center"/>
              <w:rPr>
                <w:rFonts w:eastAsia="Times New Roman" w:cs="Times New Roman"/>
                <w:b/>
                <w:bCs/>
                <w:color w:val="000000"/>
                <w:sz w:val="16"/>
                <w:szCs w:val="16"/>
                <w:lang w:val="nl-NL" w:eastAsia="zh-CN"/>
              </w:rPr>
            </w:pPr>
            <w:r w:rsidRPr="005557B0">
              <w:rPr>
                <w:rFonts w:eastAsia="Times New Roman" w:cs="Times New Roman"/>
                <w:b/>
                <w:bCs/>
                <w:color w:val="000000"/>
                <w:sz w:val="16"/>
                <w:szCs w:val="16"/>
                <w:lang w:val="nl-NL" w:eastAsia="zh-CN"/>
              </w:rPr>
              <w:t>20</w:t>
            </w:r>
          </w:p>
        </w:tc>
        <w:tc>
          <w:tcPr>
            <w:tcW w:w="520" w:type="dxa"/>
            <w:tcBorders>
              <w:top w:val="single" w:sz="4" w:space="0" w:color="auto"/>
              <w:left w:val="nil"/>
              <w:bottom w:val="single" w:sz="4" w:space="0" w:color="auto"/>
              <w:right w:val="nil"/>
            </w:tcBorders>
            <w:shd w:val="clear" w:color="auto" w:fill="auto"/>
            <w:noWrap/>
            <w:vAlign w:val="center"/>
            <w:hideMark/>
          </w:tcPr>
          <w:p w14:paraId="303A7A27" w14:textId="77777777" w:rsidR="000F31A9" w:rsidRPr="005557B0" w:rsidRDefault="000F31A9" w:rsidP="009011BB">
            <w:pPr>
              <w:spacing w:line="240" w:lineRule="auto"/>
              <w:jc w:val="center"/>
              <w:rPr>
                <w:rFonts w:eastAsia="Times New Roman" w:cs="Times New Roman"/>
                <w:b/>
                <w:bCs/>
                <w:color w:val="000000"/>
                <w:sz w:val="16"/>
                <w:szCs w:val="16"/>
                <w:lang w:val="nl-NL" w:eastAsia="zh-CN"/>
              </w:rPr>
            </w:pPr>
            <w:r w:rsidRPr="005557B0">
              <w:rPr>
                <w:rFonts w:eastAsia="Times New Roman" w:cs="Times New Roman"/>
                <w:b/>
                <w:bCs/>
                <w:color w:val="000000"/>
                <w:sz w:val="16"/>
                <w:szCs w:val="16"/>
                <w:lang w:val="nl-NL" w:eastAsia="zh-CN"/>
              </w:rPr>
              <w:t>21</w:t>
            </w:r>
          </w:p>
        </w:tc>
        <w:tc>
          <w:tcPr>
            <w:tcW w:w="300" w:type="dxa"/>
            <w:tcBorders>
              <w:top w:val="single" w:sz="4" w:space="0" w:color="auto"/>
              <w:left w:val="nil"/>
              <w:bottom w:val="single" w:sz="4" w:space="0" w:color="auto"/>
              <w:right w:val="nil"/>
            </w:tcBorders>
            <w:shd w:val="clear" w:color="auto" w:fill="auto"/>
            <w:noWrap/>
            <w:vAlign w:val="center"/>
            <w:hideMark/>
          </w:tcPr>
          <w:p w14:paraId="4E6CFBFD" w14:textId="77777777" w:rsidR="000F31A9" w:rsidRPr="005557B0" w:rsidRDefault="000F31A9" w:rsidP="009011BB">
            <w:pPr>
              <w:spacing w:line="240" w:lineRule="auto"/>
              <w:jc w:val="center"/>
              <w:rPr>
                <w:rFonts w:eastAsia="Times New Roman" w:cs="Times New Roman"/>
                <w:b/>
                <w:bCs/>
                <w:color w:val="000000"/>
                <w:sz w:val="16"/>
                <w:szCs w:val="16"/>
                <w:lang w:val="nl-NL" w:eastAsia="zh-CN"/>
              </w:rPr>
            </w:pPr>
            <w:r w:rsidRPr="005557B0">
              <w:rPr>
                <w:rFonts w:eastAsia="Times New Roman" w:cs="Times New Roman"/>
                <w:b/>
                <w:bCs/>
                <w:color w:val="000000"/>
                <w:sz w:val="16"/>
                <w:szCs w:val="16"/>
                <w:lang w:val="nl-NL" w:eastAsia="zh-CN"/>
              </w:rPr>
              <w:t>22</w:t>
            </w:r>
          </w:p>
        </w:tc>
      </w:tr>
      <w:tr w:rsidR="000F31A9" w:rsidRPr="005557B0" w14:paraId="7DACD52D" w14:textId="77777777" w:rsidTr="000F31A9">
        <w:trPr>
          <w:divId w:val="790055366"/>
          <w:trHeight w:val="225"/>
        </w:trPr>
        <w:tc>
          <w:tcPr>
            <w:tcW w:w="212" w:type="dxa"/>
            <w:tcBorders>
              <w:top w:val="nil"/>
              <w:left w:val="nil"/>
              <w:bottom w:val="nil"/>
              <w:right w:val="nil"/>
            </w:tcBorders>
            <w:shd w:val="clear" w:color="auto" w:fill="auto"/>
            <w:noWrap/>
            <w:vAlign w:val="center"/>
            <w:hideMark/>
          </w:tcPr>
          <w:p w14:paraId="5571EA24" w14:textId="77777777" w:rsidR="000F31A9" w:rsidRPr="005557B0" w:rsidRDefault="000F31A9" w:rsidP="009011BB">
            <w:pPr>
              <w:spacing w:line="240" w:lineRule="auto"/>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w:t>
            </w:r>
          </w:p>
        </w:tc>
        <w:tc>
          <w:tcPr>
            <w:tcW w:w="1828" w:type="dxa"/>
            <w:tcBorders>
              <w:top w:val="nil"/>
              <w:left w:val="nil"/>
              <w:bottom w:val="nil"/>
              <w:right w:val="nil"/>
            </w:tcBorders>
            <w:shd w:val="clear" w:color="auto" w:fill="auto"/>
            <w:noWrap/>
            <w:vAlign w:val="center"/>
            <w:hideMark/>
          </w:tcPr>
          <w:p w14:paraId="0E3059F2" w14:textId="77777777" w:rsidR="000F31A9" w:rsidRPr="005557B0" w:rsidRDefault="000F31A9" w:rsidP="009011BB">
            <w:pPr>
              <w:spacing w:line="240" w:lineRule="auto"/>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K index</w:t>
            </w:r>
          </w:p>
        </w:tc>
        <w:tc>
          <w:tcPr>
            <w:tcW w:w="520" w:type="dxa"/>
            <w:tcBorders>
              <w:top w:val="nil"/>
              <w:left w:val="nil"/>
              <w:bottom w:val="nil"/>
              <w:right w:val="nil"/>
            </w:tcBorders>
            <w:shd w:val="clear" w:color="auto" w:fill="auto"/>
            <w:noWrap/>
            <w:vAlign w:val="center"/>
            <w:hideMark/>
          </w:tcPr>
          <w:p w14:paraId="6FF75DD8" w14:textId="0865831E" w:rsidR="000F31A9" w:rsidRPr="005557B0" w:rsidRDefault="00B2001E"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w:t>
            </w:r>
          </w:p>
        </w:tc>
        <w:tc>
          <w:tcPr>
            <w:tcW w:w="520" w:type="dxa"/>
            <w:tcBorders>
              <w:top w:val="nil"/>
              <w:left w:val="nil"/>
              <w:bottom w:val="nil"/>
              <w:right w:val="nil"/>
            </w:tcBorders>
            <w:shd w:val="clear" w:color="auto" w:fill="auto"/>
            <w:noWrap/>
            <w:vAlign w:val="center"/>
            <w:hideMark/>
          </w:tcPr>
          <w:p w14:paraId="7FD82BDD" w14:textId="77777777" w:rsidR="000F31A9" w:rsidRPr="005557B0" w:rsidRDefault="000F31A9" w:rsidP="009011BB">
            <w:pPr>
              <w:spacing w:line="240" w:lineRule="auto"/>
              <w:jc w:val="center"/>
              <w:rPr>
                <w:rFonts w:eastAsia="Times New Roman" w:cs="Times New Roman"/>
                <w:color w:val="000000"/>
                <w:sz w:val="16"/>
                <w:szCs w:val="16"/>
                <w:lang w:val="nl-NL" w:eastAsia="zh-CN"/>
              </w:rPr>
            </w:pPr>
          </w:p>
        </w:tc>
        <w:tc>
          <w:tcPr>
            <w:tcW w:w="520" w:type="dxa"/>
            <w:tcBorders>
              <w:top w:val="nil"/>
              <w:left w:val="nil"/>
              <w:bottom w:val="nil"/>
              <w:right w:val="nil"/>
            </w:tcBorders>
            <w:shd w:val="clear" w:color="auto" w:fill="auto"/>
            <w:noWrap/>
            <w:vAlign w:val="center"/>
            <w:hideMark/>
          </w:tcPr>
          <w:p w14:paraId="2317BBFE"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6093B8BE"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1E233714"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4804BCE0"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78CEC991"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3017CAF8"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1BD25959"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6FBA6938"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5D638AE5"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4ED44F47"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41F239B3"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049C58E1"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7D0A62D6"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127EA74D"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1FE4FCAE"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2EBE7288"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5B3CA4A5"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40853498"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513F7F36"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300" w:type="dxa"/>
            <w:tcBorders>
              <w:top w:val="nil"/>
              <w:left w:val="nil"/>
              <w:bottom w:val="nil"/>
              <w:right w:val="nil"/>
            </w:tcBorders>
            <w:shd w:val="clear" w:color="auto" w:fill="auto"/>
            <w:noWrap/>
            <w:vAlign w:val="center"/>
            <w:hideMark/>
          </w:tcPr>
          <w:p w14:paraId="0C002C36" w14:textId="77777777" w:rsidR="000F31A9" w:rsidRPr="005557B0" w:rsidRDefault="000F31A9" w:rsidP="009011BB">
            <w:pPr>
              <w:spacing w:line="240" w:lineRule="auto"/>
              <w:jc w:val="center"/>
              <w:rPr>
                <w:rFonts w:eastAsia="Times New Roman" w:cs="Times New Roman"/>
                <w:sz w:val="16"/>
                <w:szCs w:val="16"/>
                <w:lang w:val="nl-NL" w:eastAsia="zh-CN"/>
              </w:rPr>
            </w:pPr>
          </w:p>
        </w:tc>
      </w:tr>
      <w:tr w:rsidR="000F31A9" w:rsidRPr="005557B0" w14:paraId="30869E54" w14:textId="77777777" w:rsidTr="000F31A9">
        <w:trPr>
          <w:divId w:val="790055366"/>
          <w:trHeight w:val="225"/>
        </w:trPr>
        <w:tc>
          <w:tcPr>
            <w:tcW w:w="212" w:type="dxa"/>
            <w:tcBorders>
              <w:top w:val="nil"/>
              <w:left w:val="nil"/>
              <w:bottom w:val="nil"/>
              <w:right w:val="nil"/>
            </w:tcBorders>
            <w:shd w:val="clear" w:color="auto" w:fill="auto"/>
            <w:noWrap/>
            <w:vAlign w:val="center"/>
            <w:hideMark/>
          </w:tcPr>
          <w:p w14:paraId="6A7B1D13" w14:textId="77777777" w:rsidR="000F31A9" w:rsidRPr="005557B0" w:rsidRDefault="000F31A9" w:rsidP="009011BB">
            <w:pPr>
              <w:spacing w:line="240" w:lineRule="auto"/>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2</w:t>
            </w:r>
          </w:p>
        </w:tc>
        <w:tc>
          <w:tcPr>
            <w:tcW w:w="1828" w:type="dxa"/>
            <w:tcBorders>
              <w:top w:val="nil"/>
              <w:left w:val="nil"/>
              <w:bottom w:val="nil"/>
              <w:right w:val="nil"/>
            </w:tcBorders>
            <w:shd w:val="clear" w:color="auto" w:fill="auto"/>
            <w:noWrap/>
            <w:vAlign w:val="center"/>
            <w:hideMark/>
          </w:tcPr>
          <w:p w14:paraId="10175A51" w14:textId="77777777" w:rsidR="000F31A9" w:rsidRPr="005557B0" w:rsidRDefault="000F31A9" w:rsidP="009011BB">
            <w:pPr>
              <w:spacing w:line="240" w:lineRule="auto"/>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 xml:space="preserve">Group </w:t>
            </w:r>
            <w:proofErr w:type="spellStart"/>
            <w:r w:rsidRPr="005557B0">
              <w:rPr>
                <w:rFonts w:eastAsia="Times New Roman" w:cs="Times New Roman"/>
                <w:color w:val="000000"/>
                <w:sz w:val="16"/>
                <w:szCs w:val="16"/>
                <w:lang w:val="nl-NL" w:eastAsia="zh-CN"/>
              </w:rPr>
              <w:t>size</w:t>
            </w:r>
            <w:proofErr w:type="spellEnd"/>
          </w:p>
        </w:tc>
        <w:tc>
          <w:tcPr>
            <w:tcW w:w="520" w:type="dxa"/>
            <w:tcBorders>
              <w:top w:val="nil"/>
              <w:left w:val="nil"/>
              <w:bottom w:val="nil"/>
              <w:right w:val="nil"/>
            </w:tcBorders>
            <w:shd w:val="clear" w:color="auto" w:fill="auto"/>
            <w:noWrap/>
            <w:vAlign w:val="center"/>
            <w:hideMark/>
          </w:tcPr>
          <w:p w14:paraId="6AF084EE" w14:textId="3963D73D"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.05</w:t>
            </w:r>
          </w:p>
        </w:tc>
        <w:tc>
          <w:tcPr>
            <w:tcW w:w="520" w:type="dxa"/>
            <w:tcBorders>
              <w:top w:val="nil"/>
              <w:left w:val="nil"/>
              <w:bottom w:val="nil"/>
              <w:right w:val="nil"/>
            </w:tcBorders>
            <w:shd w:val="clear" w:color="auto" w:fill="auto"/>
            <w:noWrap/>
            <w:vAlign w:val="center"/>
            <w:hideMark/>
          </w:tcPr>
          <w:p w14:paraId="28287E72" w14:textId="4645019F" w:rsidR="000F31A9" w:rsidRPr="005557B0" w:rsidRDefault="00B2001E"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w:t>
            </w:r>
          </w:p>
        </w:tc>
        <w:tc>
          <w:tcPr>
            <w:tcW w:w="520" w:type="dxa"/>
            <w:tcBorders>
              <w:top w:val="nil"/>
              <w:left w:val="nil"/>
              <w:bottom w:val="nil"/>
              <w:right w:val="nil"/>
            </w:tcBorders>
            <w:shd w:val="clear" w:color="auto" w:fill="auto"/>
            <w:noWrap/>
            <w:vAlign w:val="center"/>
            <w:hideMark/>
          </w:tcPr>
          <w:p w14:paraId="3487A91E" w14:textId="77777777" w:rsidR="000F31A9" w:rsidRPr="005557B0" w:rsidRDefault="000F31A9" w:rsidP="009011BB">
            <w:pPr>
              <w:spacing w:line="240" w:lineRule="auto"/>
              <w:jc w:val="center"/>
              <w:rPr>
                <w:rFonts w:eastAsia="Times New Roman" w:cs="Times New Roman"/>
                <w:color w:val="000000"/>
                <w:sz w:val="16"/>
                <w:szCs w:val="16"/>
                <w:lang w:val="nl-NL" w:eastAsia="zh-CN"/>
              </w:rPr>
            </w:pPr>
          </w:p>
        </w:tc>
        <w:tc>
          <w:tcPr>
            <w:tcW w:w="520" w:type="dxa"/>
            <w:tcBorders>
              <w:top w:val="nil"/>
              <w:left w:val="nil"/>
              <w:bottom w:val="nil"/>
              <w:right w:val="nil"/>
            </w:tcBorders>
            <w:shd w:val="clear" w:color="auto" w:fill="auto"/>
            <w:noWrap/>
            <w:vAlign w:val="center"/>
            <w:hideMark/>
          </w:tcPr>
          <w:p w14:paraId="536FA53C"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7D22D79E"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3CB6CD06"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4BE42623"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0A97E715"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0088C65B"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1A2E4D9A"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7D63DDCA"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7B4099B5"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7855BEFE"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0C8D1B6D"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1C61CF89"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6F637151"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54FF1341"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589294EE"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0A685305"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5F459126"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0ADE50B3"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300" w:type="dxa"/>
            <w:tcBorders>
              <w:top w:val="nil"/>
              <w:left w:val="nil"/>
              <w:bottom w:val="nil"/>
              <w:right w:val="nil"/>
            </w:tcBorders>
            <w:shd w:val="clear" w:color="auto" w:fill="auto"/>
            <w:noWrap/>
            <w:vAlign w:val="center"/>
            <w:hideMark/>
          </w:tcPr>
          <w:p w14:paraId="0DCA9A1A" w14:textId="77777777" w:rsidR="000F31A9" w:rsidRPr="005557B0" w:rsidRDefault="000F31A9" w:rsidP="009011BB">
            <w:pPr>
              <w:spacing w:line="240" w:lineRule="auto"/>
              <w:jc w:val="center"/>
              <w:rPr>
                <w:rFonts w:eastAsia="Times New Roman" w:cs="Times New Roman"/>
                <w:sz w:val="16"/>
                <w:szCs w:val="16"/>
                <w:lang w:val="nl-NL" w:eastAsia="zh-CN"/>
              </w:rPr>
            </w:pPr>
          </w:p>
        </w:tc>
      </w:tr>
      <w:tr w:rsidR="000F31A9" w:rsidRPr="005557B0" w14:paraId="260CD863" w14:textId="77777777" w:rsidTr="000F31A9">
        <w:trPr>
          <w:divId w:val="790055366"/>
          <w:trHeight w:val="225"/>
        </w:trPr>
        <w:tc>
          <w:tcPr>
            <w:tcW w:w="212" w:type="dxa"/>
            <w:tcBorders>
              <w:top w:val="nil"/>
              <w:left w:val="nil"/>
              <w:bottom w:val="nil"/>
              <w:right w:val="nil"/>
            </w:tcBorders>
            <w:shd w:val="clear" w:color="auto" w:fill="auto"/>
            <w:noWrap/>
            <w:vAlign w:val="center"/>
            <w:hideMark/>
          </w:tcPr>
          <w:p w14:paraId="3774CFE9" w14:textId="77777777" w:rsidR="000F31A9" w:rsidRPr="005557B0" w:rsidRDefault="000F31A9" w:rsidP="009011BB">
            <w:pPr>
              <w:spacing w:line="240" w:lineRule="auto"/>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3</w:t>
            </w:r>
          </w:p>
        </w:tc>
        <w:tc>
          <w:tcPr>
            <w:tcW w:w="1828" w:type="dxa"/>
            <w:tcBorders>
              <w:top w:val="nil"/>
              <w:left w:val="nil"/>
              <w:bottom w:val="nil"/>
              <w:right w:val="nil"/>
            </w:tcBorders>
            <w:shd w:val="clear" w:color="auto" w:fill="auto"/>
            <w:noWrap/>
            <w:vAlign w:val="center"/>
            <w:hideMark/>
          </w:tcPr>
          <w:p w14:paraId="1758FDDB" w14:textId="77777777" w:rsidR="000F31A9" w:rsidRPr="005557B0" w:rsidRDefault="000F31A9" w:rsidP="009011BB">
            <w:pPr>
              <w:spacing w:line="240" w:lineRule="auto"/>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Age (</w:t>
            </w:r>
            <w:proofErr w:type="spellStart"/>
            <w:r w:rsidRPr="005557B0">
              <w:rPr>
                <w:rFonts w:eastAsia="Times New Roman" w:cs="Times New Roman"/>
                <w:color w:val="000000"/>
                <w:sz w:val="16"/>
                <w:szCs w:val="16"/>
                <w:lang w:val="nl-NL" w:eastAsia="zh-CN"/>
              </w:rPr>
              <w:t>Mean</w:t>
            </w:r>
            <w:proofErr w:type="spellEnd"/>
            <w:r w:rsidRPr="005557B0">
              <w:rPr>
                <w:rFonts w:eastAsia="Times New Roman" w:cs="Times New Roman"/>
                <w:color w:val="000000"/>
                <w:sz w:val="16"/>
                <w:szCs w:val="16"/>
                <w:lang w:val="nl-NL" w:eastAsia="zh-CN"/>
              </w:rPr>
              <w:t>)</w:t>
            </w:r>
          </w:p>
        </w:tc>
        <w:tc>
          <w:tcPr>
            <w:tcW w:w="520" w:type="dxa"/>
            <w:tcBorders>
              <w:top w:val="nil"/>
              <w:left w:val="nil"/>
              <w:bottom w:val="nil"/>
              <w:right w:val="nil"/>
            </w:tcBorders>
            <w:shd w:val="clear" w:color="auto" w:fill="auto"/>
            <w:noWrap/>
            <w:vAlign w:val="center"/>
            <w:hideMark/>
          </w:tcPr>
          <w:p w14:paraId="4C0F76BA" w14:textId="605C0F05"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.05</w:t>
            </w:r>
          </w:p>
        </w:tc>
        <w:tc>
          <w:tcPr>
            <w:tcW w:w="520" w:type="dxa"/>
            <w:tcBorders>
              <w:top w:val="nil"/>
              <w:left w:val="nil"/>
              <w:bottom w:val="nil"/>
              <w:right w:val="nil"/>
            </w:tcBorders>
            <w:shd w:val="clear" w:color="auto" w:fill="auto"/>
            <w:noWrap/>
            <w:vAlign w:val="center"/>
            <w:hideMark/>
          </w:tcPr>
          <w:p w14:paraId="084A91F1" w14:textId="46B91FFD"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.09</w:t>
            </w:r>
          </w:p>
        </w:tc>
        <w:tc>
          <w:tcPr>
            <w:tcW w:w="520" w:type="dxa"/>
            <w:tcBorders>
              <w:top w:val="nil"/>
              <w:left w:val="nil"/>
              <w:bottom w:val="nil"/>
              <w:right w:val="nil"/>
            </w:tcBorders>
            <w:shd w:val="clear" w:color="auto" w:fill="auto"/>
            <w:noWrap/>
            <w:vAlign w:val="center"/>
            <w:hideMark/>
          </w:tcPr>
          <w:p w14:paraId="2FCD9242" w14:textId="470CF956" w:rsidR="000F31A9" w:rsidRPr="005557B0" w:rsidRDefault="00B2001E"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w:t>
            </w:r>
          </w:p>
        </w:tc>
        <w:tc>
          <w:tcPr>
            <w:tcW w:w="520" w:type="dxa"/>
            <w:tcBorders>
              <w:top w:val="nil"/>
              <w:left w:val="nil"/>
              <w:bottom w:val="nil"/>
              <w:right w:val="nil"/>
            </w:tcBorders>
            <w:shd w:val="clear" w:color="auto" w:fill="auto"/>
            <w:noWrap/>
            <w:vAlign w:val="center"/>
            <w:hideMark/>
          </w:tcPr>
          <w:p w14:paraId="7C70C14B" w14:textId="77777777" w:rsidR="000F31A9" w:rsidRPr="005557B0" w:rsidRDefault="000F31A9" w:rsidP="009011BB">
            <w:pPr>
              <w:spacing w:line="240" w:lineRule="auto"/>
              <w:jc w:val="center"/>
              <w:rPr>
                <w:rFonts w:eastAsia="Times New Roman" w:cs="Times New Roman"/>
                <w:color w:val="000000"/>
                <w:sz w:val="16"/>
                <w:szCs w:val="16"/>
                <w:lang w:val="nl-NL" w:eastAsia="zh-CN"/>
              </w:rPr>
            </w:pPr>
          </w:p>
        </w:tc>
        <w:tc>
          <w:tcPr>
            <w:tcW w:w="520" w:type="dxa"/>
            <w:tcBorders>
              <w:top w:val="nil"/>
              <w:left w:val="nil"/>
              <w:bottom w:val="nil"/>
              <w:right w:val="nil"/>
            </w:tcBorders>
            <w:shd w:val="clear" w:color="auto" w:fill="auto"/>
            <w:noWrap/>
            <w:vAlign w:val="center"/>
            <w:hideMark/>
          </w:tcPr>
          <w:p w14:paraId="0CB459DA"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7DE7C08E"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3ED308EA"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4109C044"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2E21C094"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5FE5B95E"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0B052F8E"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60FE1D58"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0FB8B31B"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3BBBC922"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2E1FEB47"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1991D90A"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0B400ABC"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32E88752"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1D9C1109"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07463B3F"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2C5BA379"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300" w:type="dxa"/>
            <w:tcBorders>
              <w:top w:val="nil"/>
              <w:left w:val="nil"/>
              <w:bottom w:val="nil"/>
              <w:right w:val="nil"/>
            </w:tcBorders>
            <w:shd w:val="clear" w:color="auto" w:fill="auto"/>
            <w:noWrap/>
            <w:vAlign w:val="center"/>
            <w:hideMark/>
          </w:tcPr>
          <w:p w14:paraId="529B2CA7" w14:textId="77777777" w:rsidR="000F31A9" w:rsidRPr="005557B0" w:rsidRDefault="000F31A9" w:rsidP="009011BB">
            <w:pPr>
              <w:spacing w:line="240" w:lineRule="auto"/>
              <w:jc w:val="center"/>
              <w:rPr>
                <w:rFonts w:eastAsia="Times New Roman" w:cs="Times New Roman"/>
                <w:sz w:val="16"/>
                <w:szCs w:val="16"/>
                <w:lang w:val="nl-NL" w:eastAsia="zh-CN"/>
              </w:rPr>
            </w:pPr>
          </w:p>
        </w:tc>
      </w:tr>
      <w:tr w:rsidR="000F31A9" w:rsidRPr="005557B0" w14:paraId="712E049D" w14:textId="77777777" w:rsidTr="000F31A9">
        <w:trPr>
          <w:divId w:val="790055366"/>
          <w:trHeight w:val="225"/>
        </w:trPr>
        <w:tc>
          <w:tcPr>
            <w:tcW w:w="212" w:type="dxa"/>
            <w:tcBorders>
              <w:top w:val="nil"/>
              <w:left w:val="nil"/>
              <w:bottom w:val="nil"/>
              <w:right w:val="nil"/>
            </w:tcBorders>
            <w:shd w:val="clear" w:color="auto" w:fill="auto"/>
            <w:noWrap/>
            <w:vAlign w:val="center"/>
            <w:hideMark/>
          </w:tcPr>
          <w:p w14:paraId="55D62003" w14:textId="77777777" w:rsidR="000F31A9" w:rsidRPr="005557B0" w:rsidRDefault="000F31A9" w:rsidP="009011BB">
            <w:pPr>
              <w:spacing w:line="240" w:lineRule="auto"/>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4</w:t>
            </w:r>
          </w:p>
        </w:tc>
        <w:tc>
          <w:tcPr>
            <w:tcW w:w="1828" w:type="dxa"/>
            <w:tcBorders>
              <w:top w:val="nil"/>
              <w:left w:val="nil"/>
              <w:bottom w:val="nil"/>
              <w:right w:val="nil"/>
            </w:tcBorders>
            <w:shd w:val="clear" w:color="auto" w:fill="auto"/>
            <w:noWrap/>
            <w:vAlign w:val="center"/>
            <w:hideMark/>
          </w:tcPr>
          <w:p w14:paraId="1296E8F6" w14:textId="77777777" w:rsidR="000F31A9" w:rsidRPr="005557B0" w:rsidRDefault="000F31A9" w:rsidP="009011BB">
            <w:pPr>
              <w:spacing w:line="240" w:lineRule="auto"/>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Gender (Male %)</w:t>
            </w:r>
          </w:p>
        </w:tc>
        <w:tc>
          <w:tcPr>
            <w:tcW w:w="520" w:type="dxa"/>
            <w:tcBorders>
              <w:top w:val="nil"/>
              <w:left w:val="nil"/>
              <w:bottom w:val="nil"/>
              <w:right w:val="nil"/>
            </w:tcBorders>
            <w:shd w:val="clear" w:color="auto" w:fill="auto"/>
            <w:noWrap/>
            <w:vAlign w:val="center"/>
            <w:hideMark/>
          </w:tcPr>
          <w:p w14:paraId="4273DEFD" w14:textId="57C63C92"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–.02</w:t>
            </w:r>
          </w:p>
        </w:tc>
        <w:tc>
          <w:tcPr>
            <w:tcW w:w="520" w:type="dxa"/>
            <w:tcBorders>
              <w:top w:val="nil"/>
              <w:left w:val="nil"/>
              <w:bottom w:val="nil"/>
              <w:right w:val="nil"/>
            </w:tcBorders>
            <w:shd w:val="clear" w:color="auto" w:fill="auto"/>
            <w:noWrap/>
            <w:vAlign w:val="center"/>
            <w:hideMark/>
          </w:tcPr>
          <w:p w14:paraId="723E5D88" w14:textId="7777777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w:t>
            </w:r>
          </w:p>
        </w:tc>
        <w:tc>
          <w:tcPr>
            <w:tcW w:w="520" w:type="dxa"/>
            <w:tcBorders>
              <w:top w:val="nil"/>
              <w:left w:val="nil"/>
              <w:bottom w:val="nil"/>
              <w:right w:val="nil"/>
            </w:tcBorders>
            <w:shd w:val="clear" w:color="auto" w:fill="auto"/>
            <w:noWrap/>
            <w:vAlign w:val="center"/>
            <w:hideMark/>
          </w:tcPr>
          <w:p w14:paraId="5D973180" w14:textId="6B0E8F31"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.18</w:t>
            </w:r>
          </w:p>
        </w:tc>
        <w:tc>
          <w:tcPr>
            <w:tcW w:w="520" w:type="dxa"/>
            <w:tcBorders>
              <w:top w:val="nil"/>
              <w:left w:val="nil"/>
              <w:bottom w:val="nil"/>
              <w:right w:val="nil"/>
            </w:tcBorders>
            <w:shd w:val="clear" w:color="auto" w:fill="auto"/>
            <w:noWrap/>
            <w:vAlign w:val="center"/>
            <w:hideMark/>
          </w:tcPr>
          <w:p w14:paraId="0C52E886" w14:textId="2898490F" w:rsidR="000F31A9" w:rsidRPr="005557B0" w:rsidRDefault="00B2001E"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w:t>
            </w:r>
          </w:p>
        </w:tc>
        <w:tc>
          <w:tcPr>
            <w:tcW w:w="520" w:type="dxa"/>
            <w:tcBorders>
              <w:top w:val="nil"/>
              <w:left w:val="nil"/>
              <w:bottom w:val="nil"/>
              <w:right w:val="nil"/>
            </w:tcBorders>
            <w:shd w:val="clear" w:color="auto" w:fill="auto"/>
            <w:noWrap/>
            <w:vAlign w:val="center"/>
            <w:hideMark/>
          </w:tcPr>
          <w:p w14:paraId="63AF1B2B" w14:textId="77777777" w:rsidR="000F31A9" w:rsidRPr="005557B0" w:rsidRDefault="000F31A9" w:rsidP="009011BB">
            <w:pPr>
              <w:spacing w:line="240" w:lineRule="auto"/>
              <w:jc w:val="center"/>
              <w:rPr>
                <w:rFonts w:eastAsia="Times New Roman" w:cs="Times New Roman"/>
                <w:color w:val="000000"/>
                <w:sz w:val="16"/>
                <w:szCs w:val="16"/>
                <w:lang w:val="nl-NL" w:eastAsia="zh-CN"/>
              </w:rPr>
            </w:pPr>
          </w:p>
        </w:tc>
        <w:tc>
          <w:tcPr>
            <w:tcW w:w="520" w:type="dxa"/>
            <w:tcBorders>
              <w:top w:val="nil"/>
              <w:left w:val="nil"/>
              <w:bottom w:val="nil"/>
              <w:right w:val="nil"/>
            </w:tcBorders>
            <w:shd w:val="clear" w:color="auto" w:fill="auto"/>
            <w:noWrap/>
            <w:vAlign w:val="center"/>
            <w:hideMark/>
          </w:tcPr>
          <w:p w14:paraId="4FB22D31"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017C9236"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2301DA31"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191C429A"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6C33C0C8"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1877AF02"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4281A2A3"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024928ED"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4BB3BA2E"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48FA4563"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4444CD2B"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1E7FBB2C"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253C4494"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141FA115"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1C7368C4"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1286DB48"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300" w:type="dxa"/>
            <w:tcBorders>
              <w:top w:val="nil"/>
              <w:left w:val="nil"/>
              <w:bottom w:val="nil"/>
              <w:right w:val="nil"/>
            </w:tcBorders>
            <w:shd w:val="clear" w:color="auto" w:fill="auto"/>
            <w:noWrap/>
            <w:vAlign w:val="center"/>
            <w:hideMark/>
          </w:tcPr>
          <w:p w14:paraId="5A9715D9" w14:textId="77777777" w:rsidR="000F31A9" w:rsidRPr="005557B0" w:rsidRDefault="000F31A9" w:rsidP="009011BB">
            <w:pPr>
              <w:spacing w:line="240" w:lineRule="auto"/>
              <w:jc w:val="center"/>
              <w:rPr>
                <w:rFonts w:eastAsia="Times New Roman" w:cs="Times New Roman"/>
                <w:sz w:val="16"/>
                <w:szCs w:val="16"/>
                <w:lang w:val="nl-NL" w:eastAsia="zh-CN"/>
              </w:rPr>
            </w:pPr>
          </w:p>
        </w:tc>
      </w:tr>
      <w:tr w:rsidR="000F31A9" w:rsidRPr="005557B0" w14:paraId="1C4ABBC0" w14:textId="77777777" w:rsidTr="000F31A9">
        <w:trPr>
          <w:divId w:val="790055366"/>
          <w:trHeight w:val="225"/>
        </w:trPr>
        <w:tc>
          <w:tcPr>
            <w:tcW w:w="212" w:type="dxa"/>
            <w:tcBorders>
              <w:top w:val="nil"/>
              <w:left w:val="nil"/>
              <w:bottom w:val="nil"/>
              <w:right w:val="nil"/>
            </w:tcBorders>
            <w:shd w:val="clear" w:color="auto" w:fill="auto"/>
            <w:noWrap/>
            <w:vAlign w:val="center"/>
            <w:hideMark/>
          </w:tcPr>
          <w:p w14:paraId="0D73F2A0" w14:textId="77777777" w:rsidR="000F31A9" w:rsidRPr="005557B0" w:rsidRDefault="000F31A9" w:rsidP="009011BB">
            <w:pPr>
              <w:spacing w:line="240" w:lineRule="auto"/>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5</w:t>
            </w:r>
          </w:p>
        </w:tc>
        <w:tc>
          <w:tcPr>
            <w:tcW w:w="1828" w:type="dxa"/>
            <w:tcBorders>
              <w:top w:val="nil"/>
              <w:left w:val="nil"/>
              <w:bottom w:val="nil"/>
              <w:right w:val="nil"/>
            </w:tcBorders>
            <w:shd w:val="clear" w:color="auto" w:fill="auto"/>
            <w:noWrap/>
            <w:vAlign w:val="center"/>
            <w:hideMark/>
          </w:tcPr>
          <w:p w14:paraId="342F93B5" w14:textId="77777777" w:rsidR="000F31A9" w:rsidRPr="005557B0" w:rsidRDefault="000F31A9" w:rsidP="009011BB">
            <w:pPr>
              <w:spacing w:line="240" w:lineRule="auto"/>
              <w:rPr>
                <w:rFonts w:eastAsia="Times New Roman" w:cs="Times New Roman"/>
                <w:color w:val="000000"/>
                <w:sz w:val="16"/>
                <w:szCs w:val="16"/>
                <w:lang w:val="nl-NL" w:eastAsia="zh-CN"/>
              </w:rPr>
            </w:pPr>
            <w:proofErr w:type="spellStart"/>
            <w:r w:rsidRPr="005557B0">
              <w:rPr>
                <w:rFonts w:eastAsia="Times New Roman" w:cs="Times New Roman"/>
                <w:color w:val="000000"/>
                <w:sz w:val="16"/>
                <w:szCs w:val="16"/>
                <w:lang w:val="nl-NL" w:eastAsia="zh-CN"/>
              </w:rPr>
              <w:t>Year</w:t>
            </w:r>
            <w:proofErr w:type="spellEnd"/>
            <w:r w:rsidRPr="005557B0">
              <w:rPr>
                <w:rFonts w:eastAsia="Times New Roman" w:cs="Times New Roman"/>
                <w:color w:val="000000"/>
                <w:sz w:val="16"/>
                <w:szCs w:val="16"/>
                <w:lang w:val="nl-NL" w:eastAsia="zh-CN"/>
              </w:rPr>
              <w:t xml:space="preserve"> of data </w:t>
            </w:r>
            <w:proofErr w:type="spellStart"/>
            <w:r w:rsidRPr="005557B0">
              <w:rPr>
                <w:rFonts w:eastAsia="Times New Roman" w:cs="Times New Roman"/>
                <w:color w:val="000000"/>
                <w:sz w:val="16"/>
                <w:szCs w:val="16"/>
                <w:lang w:val="nl-NL" w:eastAsia="zh-CN"/>
              </w:rPr>
              <w:t>collection</w:t>
            </w:r>
            <w:proofErr w:type="spellEnd"/>
          </w:p>
        </w:tc>
        <w:tc>
          <w:tcPr>
            <w:tcW w:w="520" w:type="dxa"/>
            <w:tcBorders>
              <w:top w:val="nil"/>
              <w:left w:val="nil"/>
              <w:bottom w:val="nil"/>
              <w:right w:val="nil"/>
            </w:tcBorders>
            <w:shd w:val="clear" w:color="auto" w:fill="auto"/>
            <w:noWrap/>
            <w:vAlign w:val="center"/>
            <w:hideMark/>
          </w:tcPr>
          <w:p w14:paraId="20424758" w14:textId="75377A78"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–.09</w:t>
            </w:r>
          </w:p>
        </w:tc>
        <w:tc>
          <w:tcPr>
            <w:tcW w:w="520" w:type="dxa"/>
            <w:tcBorders>
              <w:top w:val="nil"/>
              <w:left w:val="nil"/>
              <w:bottom w:val="nil"/>
              <w:right w:val="nil"/>
            </w:tcBorders>
            <w:shd w:val="clear" w:color="auto" w:fill="auto"/>
            <w:noWrap/>
            <w:vAlign w:val="center"/>
            <w:hideMark/>
          </w:tcPr>
          <w:p w14:paraId="29B7C47A" w14:textId="6C624C5F"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–.03</w:t>
            </w:r>
          </w:p>
        </w:tc>
        <w:tc>
          <w:tcPr>
            <w:tcW w:w="520" w:type="dxa"/>
            <w:tcBorders>
              <w:top w:val="nil"/>
              <w:left w:val="nil"/>
              <w:bottom w:val="nil"/>
              <w:right w:val="nil"/>
            </w:tcBorders>
            <w:shd w:val="clear" w:color="auto" w:fill="auto"/>
            <w:noWrap/>
            <w:vAlign w:val="center"/>
            <w:hideMark/>
          </w:tcPr>
          <w:p w14:paraId="09F93711" w14:textId="1218BF3E"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.11</w:t>
            </w:r>
          </w:p>
        </w:tc>
        <w:tc>
          <w:tcPr>
            <w:tcW w:w="520" w:type="dxa"/>
            <w:tcBorders>
              <w:top w:val="nil"/>
              <w:left w:val="nil"/>
              <w:bottom w:val="nil"/>
              <w:right w:val="nil"/>
            </w:tcBorders>
            <w:shd w:val="clear" w:color="auto" w:fill="auto"/>
            <w:noWrap/>
            <w:vAlign w:val="center"/>
            <w:hideMark/>
          </w:tcPr>
          <w:p w14:paraId="38C24A3D" w14:textId="5A6D6232"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–.18</w:t>
            </w:r>
          </w:p>
        </w:tc>
        <w:tc>
          <w:tcPr>
            <w:tcW w:w="520" w:type="dxa"/>
            <w:tcBorders>
              <w:top w:val="nil"/>
              <w:left w:val="nil"/>
              <w:bottom w:val="nil"/>
              <w:right w:val="nil"/>
            </w:tcBorders>
            <w:shd w:val="clear" w:color="auto" w:fill="auto"/>
            <w:noWrap/>
            <w:vAlign w:val="center"/>
            <w:hideMark/>
          </w:tcPr>
          <w:p w14:paraId="10A6CF71" w14:textId="315D0C9B" w:rsidR="000F31A9" w:rsidRPr="005557B0" w:rsidRDefault="00B2001E"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w:t>
            </w:r>
          </w:p>
        </w:tc>
        <w:tc>
          <w:tcPr>
            <w:tcW w:w="520" w:type="dxa"/>
            <w:tcBorders>
              <w:top w:val="nil"/>
              <w:left w:val="nil"/>
              <w:bottom w:val="nil"/>
              <w:right w:val="nil"/>
            </w:tcBorders>
            <w:shd w:val="clear" w:color="auto" w:fill="auto"/>
            <w:noWrap/>
            <w:vAlign w:val="center"/>
            <w:hideMark/>
          </w:tcPr>
          <w:p w14:paraId="6A70EE40" w14:textId="77777777" w:rsidR="000F31A9" w:rsidRPr="005557B0" w:rsidRDefault="000F31A9" w:rsidP="009011BB">
            <w:pPr>
              <w:spacing w:line="240" w:lineRule="auto"/>
              <w:jc w:val="center"/>
              <w:rPr>
                <w:rFonts w:eastAsia="Times New Roman" w:cs="Times New Roman"/>
                <w:color w:val="000000"/>
                <w:sz w:val="16"/>
                <w:szCs w:val="16"/>
                <w:lang w:val="nl-NL" w:eastAsia="zh-CN"/>
              </w:rPr>
            </w:pPr>
          </w:p>
        </w:tc>
        <w:tc>
          <w:tcPr>
            <w:tcW w:w="520" w:type="dxa"/>
            <w:tcBorders>
              <w:top w:val="nil"/>
              <w:left w:val="nil"/>
              <w:bottom w:val="nil"/>
              <w:right w:val="nil"/>
            </w:tcBorders>
            <w:shd w:val="clear" w:color="auto" w:fill="auto"/>
            <w:noWrap/>
            <w:vAlign w:val="center"/>
            <w:hideMark/>
          </w:tcPr>
          <w:p w14:paraId="0971030A"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4F8E5ECA"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23D74227"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141192AF"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0135061D"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6A384566"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0BCB431C"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0FDA3B14"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421920B1"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59080981"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24618696"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4C74F179"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3D6085A6"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3AF41137"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404531A3"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300" w:type="dxa"/>
            <w:tcBorders>
              <w:top w:val="nil"/>
              <w:left w:val="nil"/>
              <w:bottom w:val="nil"/>
              <w:right w:val="nil"/>
            </w:tcBorders>
            <w:shd w:val="clear" w:color="auto" w:fill="auto"/>
            <w:noWrap/>
            <w:vAlign w:val="center"/>
            <w:hideMark/>
          </w:tcPr>
          <w:p w14:paraId="398E1F12" w14:textId="77777777" w:rsidR="000F31A9" w:rsidRPr="005557B0" w:rsidRDefault="000F31A9" w:rsidP="009011BB">
            <w:pPr>
              <w:spacing w:line="240" w:lineRule="auto"/>
              <w:jc w:val="center"/>
              <w:rPr>
                <w:rFonts w:eastAsia="Times New Roman" w:cs="Times New Roman"/>
                <w:sz w:val="16"/>
                <w:szCs w:val="16"/>
                <w:lang w:val="nl-NL" w:eastAsia="zh-CN"/>
              </w:rPr>
            </w:pPr>
          </w:p>
        </w:tc>
      </w:tr>
      <w:tr w:rsidR="000F31A9" w:rsidRPr="005557B0" w14:paraId="22FB4EC5" w14:textId="77777777" w:rsidTr="000F31A9">
        <w:trPr>
          <w:divId w:val="790055366"/>
          <w:trHeight w:val="225"/>
        </w:trPr>
        <w:tc>
          <w:tcPr>
            <w:tcW w:w="212" w:type="dxa"/>
            <w:tcBorders>
              <w:top w:val="nil"/>
              <w:left w:val="nil"/>
              <w:bottom w:val="nil"/>
              <w:right w:val="nil"/>
            </w:tcBorders>
            <w:shd w:val="clear" w:color="auto" w:fill="auto"/>
            <w:noWrap/>
            <w:vAlign w:val="center"/>
            <w:hideMark/>
          </w:tcPr>
          <w:p w14:paraId="7A116FCA" w14:textId="77777777" w:rsidR="000F31A9" w:rsidRPr="005557B0" w:rsidRDefault="000F31A9" w:rsidP="009011BB">
            <w:pPr>
              <w:spacing w:line="240" w:lineRule="auto"/>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6</w:t>
            </w:r>
          </w:p>
        </w:tc>
        <w:tc>
          <w:tcPr>
            <w:tcW w:w="1828" w:type="dxa"/>
            <w:tcBorders>
              <w:top w:val="nil"/>
              <w:left w:val="nil"/>
              <w:bottom w:val="nil"/>
              <w:right w:val="nil"/>
            </w:tcBorders>
            <w:shd w:val="clear" w:color="auto" w:fill="auto"/>
            <w:noWrap/>
            <w:vAlign w:val="center"/>
            <w:hideMark/>
          </w:tcPr>
          <w:p w14:paraId="09FA9DAF" w14:textId="77777777" w:rsidR="000F31A9" w:rsidRPr="005557B0" w:rsidRDefault="000F31A9" w:rsidP="009011BB">
            <w:pPr>
              <w:spacing w:line="240" w:lineRule="auto"/>
              <w:rPr>
                <w:rFonts w:eastAsia="Times New Roman" w:cs="Times New Roman"/>
                <w:color w:val="000000"/>
                <w:sz w:val="16"/>
                <w:szCs w:val="16"/>
                <w:lang w:val="nl-NL" w:eastAsia="zh-CN"/>
              </w:rPr>
            </w:pPr>
            <w:proofErr w:type="spellStart"/>
            <w:r w:rsidRPr="005557B0">
              <w:rPr>
                <w:rFonts w:eastAsia="Times New Roman" w:cs="Times New Roman"/>
                <w:color w:val="000000"/>
                <w:sz w:val="16"/>
                <w:szCs w:val="16"/>
                <w:lang w:val="nl-NL" w:eastAsia="zh-CN"/>
              </w:rPr>
              <w:t>Deception</w:t>
            </w:r>
            <w:r w:rsidRPr="005557B0">
              <w:rPr>
                <w:rFonts w:eastAsia="Times New Roman" w:cs="Times New Roman"/>
                <w:color w:val="000000"/>
                <w:sz w:val="16"/>
                <w:szCs w:val="16"/>
                <w:vertAlign w:val="superscript"/>
                <w:lang w:val="nl-NL" w:eastAsia="zh-CN"/>
              </w:rPr>
              <w:t>a</w:t>
            </w:r>
            <w:proofErr w:type="spellEnd"/>
            <w:r w:rsidRPr="005557B0">
              <w:rPr>
                <w:rFonts w:eastAsia="Times New Roman" w:cs="Times New Roman"/>
                <w:color w:val="000000"/>
                <w:sz w:val="16"/>
                <w:szCs w:val="16"/>
                <w:lang w:val="nl-NL" w:eastAsia="zh-CN"/>
              </w:rPr>
              <w:t>-yes</w:t>
            </w:r>
          </w:p>
        </w:tc>
        <w:tc>
          <w:tcPr>
            <w:tcW w:w="520" w:type="dxa"/>
            <w:tcBorders>
              <w:top w:val="nil"/>
              <w:left w:val="nil"/>
              <w:bottom w:val="nil"/>
              <w:right w:val="nil"/>
            </w:tcBorders>
            <w:shd w:val="clear" w:color="auto" w:fill="auto"/>
            <w:noWrap/>
            <w:vAlign w:val="center"/>
            <w:hideMark/>
          </w:tcPr>
          <w:p w14:paraId="6E7FFB71" w14:textId="59B95420"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.09</w:t>
            </w:r>
          </w:p>
        </w:tc>
        <w:tc>
          <w:tcPr>
            <w:tcW w:w="520" w:type="dxa"/>
            <w:tcBorders>
              <w:top w:val="nil"/>
              <w:left w:val="nil"/>
              <w:bottom w:val="nil"/>
              <w:right w:val="nil"/>
            </w:tcBorders>
            <w:shd w:val="clear" w:color="auto" w:fill="auto"/>
            <w:noWrap/>
            <w:vAlign w:val="center"/>
            <w:hideMark/>
          </w:tcPr>
          <w:p w14:paraId="3EDE1915" w14:textId="35DD23D8"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–.01</w:t>
            </w:r>
          </w:p>
        </w:tc>
        <w:tc>
          <w:tcPr>
            <w:tcW w:w="520" w:type="dxa"/>
            <w:tcBorders>
              <w:top w:val="nil"/>
              <w:left w:val="nil"/>
              <w:bottom w:val="nil"/>
              <w:right w:val="nil"/>
            </w:tcBorders>
            <w:shd w:val="clear" w:color="auto" w:fill="auto"/>
            <w:noWrap/>
            <w:vAlign w:val="center"/>
            <w:hideMark/>
          </w:tcPr>
          <w:p w14:paraId="69751E5B" w14:textId="7FB4F599"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–.13</w:t>
            </w:r>
          </w:p>
        </w:tc>
        <w:tc>
          <w:tcPr>
            <w:tcW w:w="520" w:type="dxa"/>
            <w:tcBorders>
              <w:top w:val="nil"/>
              <w:left w:val="nil"/>
              <w:bottom w:val="nil"/>
              <w:right w:val="nil"/>
            </w:tcBorders>
            <w:shd w:val="clear" w:color="auto" w:fill="auto"/>
            <w:noWrap/>
            <w:vAlign w:val="center"/>
            <w:hideMark/>
          </w:tcPr>
          <w:p w14:paraId="4D1A8032" w14:textId="5C3EF082"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–.02</w:t>
            </w:r>
          </w:p>
        </w:tc>
        <w:tc>
          <w:tcPr>
            <w:tcW w:w="520" w:type="dxa"/>
            <w:tcBorders>
              <w:top w:val="nil"/>
              <w:left w:val="nil"/>
              <w:bottom w:val="nil"/>
              <w:right w:val="nil"/>
            </w:tcBorders>
            <w:shd w:val="clear" w:color="auto" w:fill="auto"/>
            <w:noWrap/>
            <w:vAlign w:val="center"/>
            <w:hideMark/>
          </w:tcPr>
          <w:p w14:paraId="0CB4D0AA" w14:textId="759D83DD"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–.22</w:t>
            </w:r>
          </w:p>
        </w:tc>
        <w:tc>
          <w:tcPr>
            <w:tcW w:w="520" w:type="dxa"/>
            <w:tcBorders>
              <w:top w:val="nil"/>
              <w:left w:val="nil"/>
              <w:bottom w:val="nil"/>
              <w:right w:val="nil"/>
            </w:tcBorders>
            <w:shd w:val="clear" w:color="auto" w:fill="auto"/>
            <w:noWrap/>
            <w:vAlign w:val="center"/>
            <w:hideMark/>
          </w:tcPr>
          <w:p w14:paraId="0FB5BCB6" w14:textId="36D8B0EB" w:rsidR="000F31A9" w:rsidRPr="005557B0" w:rsidRDefault="00B2001E"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w:t>
            </w:r>
          </w:p>
        </w:tc>
        <w:tc>
          <w:tcPr>
            <w:tcW w:w="520" w:type="dxa"/>
            <w:tcBorders>
              <w:top w:val="nil"/>
              <w:left w:val="nil"/>
              <w:bottom w:val="nil"/>
              <w:right w:val="nil"/>
            </w:tcBorders>
            <w:shd w:val="clear" w:color="auto" w:fill="auto"/>
            <w:noWrap/>
            <w:vAlign w:val="center"/>
            <w:hideMark/>
          </w:tcPr>
          <w:p w14:paraId="4A155960" w14:textId="77777777" w:rsidR="000F31A9" w:rsidRPr="005557B0" w:rsidRDefault="000F31A9" w:rsidP="009011BB">
            <w:pPr>
              <w:spacing w:line="240" w:lineRule="auto"/>
              <w:jc w:val="center"/>
              <w:rPr>
                <w:rFonts w:eastAsia="Times New Roman" w:cs="Times New Roman"/>
                <w:color w:val="000000"/>
                <w:sz w:val="16"/>
                <w:szCs w:val="16"/>
                <w:lang w:val="nl-NL" w:eastAsia="zh-CN"/>
              </w:rPr>
            </w:pPr>
          </w:p>
        </w:tc>
        <w:tc>
          <w:tcPr>
            <w:tcW w:w="520" w:type="dxa"/>
            <w:tcBorders>
              <w:top w:val="nil"/>
              <w:left w:val="nil"/>
              <w:bottom w:val="nil"/>
              <w:right w:val="nil"/>
            </w:tcBorders>
            <w:shd w:val="clear" w:color="auto" w:fill="auto"/>
            <w:noWrap/>
            <w:vAlign w:val="center"/>
            <w:hideMark/>
          </w:tcPr>
          <w:p w14:paraId="301287C0"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51EE9C5A"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49F10D19"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3F906135"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20EE0207"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65D07CDD"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0A531E94"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31C8C3A5"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7E066D66"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579FE7CD"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2C8C8628"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2603687A"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6BCBCFC8"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04EF2618"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300" w:type="dxa"/>
            <w:tcBorders>
              <w:top w:val="nil"/>
              <w:left w:val="nil"/>
              <w:bottom w:val="nil"/>
              <w:right w:val="nil"/>
            </w:tcBorders>
            <w:shd w:val="clear" w:color="auto" w:fill="auto"/>
            <w:noWrap/>
            <w:vAlign w:val="center"/>
            <w:hideMark/>
          </w:tcPr>
          <w:p w14:paraId="659512B3" w14:textId="77777777" w:rsidR="000F31A9" w:rsidRPr="005557B0" w:rsidRDefault="000F31A9" w:rsidP="009011BB">
            <w:pPr>
              <w:spacing w:line="240" w:lineRule="auto"/>
              <w:jc w:val="center"/>
              <w:rPr>
                <w:rFonts w:eastAsia="Times New Roman" w:cs="Times New Roman"/>
                <w:sz w:val="16"/>
                <w:szCs w:val="16"/>
                <w:lang w:val="nl-NL" w:eastAsia="zh-CN"/>
              </w:rPr>
            </w:pPr>
          </w:p>
        </w:tc>
      </w:tr>
      <w:tr w:rsidR="000F31A9" w:rsidRPr="005557B0" w14:paraId="4B16B514" w14:textId="77777777" w:rsidTr="000F31A9">
        <w:trPr>
          <w:divId w:val="790055366"/>
          <w:trHeight w:val="225"/>
        </w:trPr>
        <w:tc>
          <w:tcPr>
            <w:tcW w:w="212" w:type="dxa"/>
            <w:tcBorders>
              <w:top w:val="nil"/>
              <w:left w:val="nil"/>
              <w:bottom w:val="nil"/>
              <w:right w:val="nil"/>
            </w:tcBorders>
            <w:shd w:val="clear" w:color="auto" w:fill="auto"/>
            <w:noWrap/>
            <w:vAlign w:val="center"/>
            <w:hideMark/>
          </w:tcPr>
          <w:p w14:paraId="1E09AB11" w14:textId="77777777" w:rsidR="000F31A9" w:rsidRPr="005557B0" w:rsidRDefault="000F31A9" w:rsidP="009011BB">
            <w:pPr>
              <w:spacing w:line="240" w:lineRule="auto"/>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7</w:t>
            </w:r>
          </w:p>
        </w:tc>
        <w:tc>
          <w:tcPr>
            <w:tcW w:w="1828" w:type="dxa"/>
            <w:tcBorders>
              <w:top w:val="nil"/>
              <w:left w:val="nil"/>
              <w:bottom w:val="nil"/>
              <w:right w:val="nil"/>
            </w:tcBorders>
            <w:shd w:val="clear" w:color="auto" w:fill="auto"/>
            <w:noWrap/>
            <w:vAlign w:val="center"/>
            <w:hideMark/>
          </w:tcPr>
          <w:p w14:paraId="73F47A4C" w14:textId="77777777" w:rsidR="000F31A9" w:rsidRPr="005557B0" w:rsidRDefault="000F31A9" w:rsidP="009011BB">
            <w:pPr>
              <w:spacing w:line="240" w:lineRule="auto"/>
              <w:rPr>
                <w:rFonts w:eastAsia="Times New Roman" w:cs="Times New Roman"/>
                <w:color w:val="000000"/>
                <w:sz w:val="16"/>
                <w:szCs w:val="16"/>
                <w:lang w:val="nl-NL" w:eastAsia="zh-CN"/>
              </w:rPr>
            </w:pPr>
            <w:proofErr w:type="spellStart"/>
            <w:r w:rsidRPr="005557B0">
              <w:rPr>
                <w:rFonts w:eastAsia="Times New Roman" w:cs="Times New Roman"/>
                <w:color w:val="000000"/>
                <w:sz w:val="16"/>
                <w:szCs w:val="16"/>
                <w:lang w:val="nl-NL" w:eastAsia="zh-CN"/>
              </w:rPr>
              <w:t>Simultaneous</w:t>
            </w:r>
            <w:r w:rsidRPr="005557B0">
              <w:rPr>
                <w:rFonts w:eastAsia="Times New Roman" w:cs="Times New Roman"/>
                <w:color w:val="000000"/>
                <w:sz w:val="16"/>
                <w:szCs w:val="16"/>
                <w:vertAlign w:val="superscript"/>
                <w:lang w:val="nl-NL" w:eastAsia="zh-CN"/>
              </w:rPr>
              <w:t>b</w:t>
            </w:r>
            <w:proofErr w:type="spellEnd"/>
          </w:p>
        </w:tc>
        <w:tc>
          <w:tcPr>
            <w:tcW w:w="520" w:type="dxa"/>
            <w:tcBorders>
              <w:top w:val="nil"/>
              <w:left w:val="nil"/>
              <w:bottom w:val="nil"/>
              <w:right w:val="nil"/>
            </w:tcBorders>
            <w:shd w:val="clear" w:color="auto" w:fill="auto"/>
            <w:noWrap/>
            <w:vAlign w:val="center"/>
            <w:hideMark/>
          </w:tcPr>
          <w:p w14:paraId="0504AE9F" w14:textId="3207F61F"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–.04</w:t>
            </w:r>
          </w:p>
        </w:tc>
        <w:tc>
          <w:tcPr>
            <w:tcW w:w="520" w:type="dxa"/>
            <w:tcBorders>
              <w:top w:val="nil"/>
              <w:left w:val="nil"/>
              <w:bottom w:val="nil"/>
              <w:right w:val="nil"/>
            </w:tcBorders>
            <w:shd w:val="clear" w:color="auto" w:fill="auto"/>
            <w:noWrap/>
            <w:vAlign w:val="center"/>
            <w:hideMark/>
          </w:tcPr>
          <w:p w14:paraId="1FABCABA" w14:textId="7679D96D"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.03</w:t>
            </w:r>
          </w:p>
        </w:tc>
        <w:tc>
          <w:tcPr>
            <w:tcW w:w="520" w:type="dxa"/>
            <w:tcBorders>
              <w:top w:val="nil"/>
              <w:left w:val="nil"/>
              <w:bottom w:val="nil"/>
              <w:right w:val="nil"/>
            </w:tcBorders>
            <w:shd w:val="clear" w:color="auto" w:fill="auto"/>
            <w:noWrap/>
            <w:vAlign w:val="center"/>
            <w:hideMark/>
          </w:tcPr>
          <w:p w14:paraId="1C8D078E" w14:textId="7777777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w:t>
            </w:r>
          </w:p>
        </w:tc>
        <w:tc>
          <w:tcPr>
            <w:tcW w:w="520" w:type="dxa"/>
            <w:tcBorders>
              <w:top w:val="nil"/>
              <w:left w:val="nil"/>
              <w:bottom w:val="nil"/>
              <w:right w:val="nil"/>
            </w:tcBorders>
            <w:shd w:val="clear" w:color="auto" w:fill="auto"/>
            <w:noWrap/>
            <w:vAlign w:val="center"/>
            <w:hideMark/>
          </w:tcPr>
          <w:p w14:paraId="69679F16" w14:textId="3B972674"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.03</w:t>
            </w:r>
          </w:p>
        </w:tc>
        <w:tc>
          <w:tcPr>
            <w:tcW w:w="520" w:type="dxa"/>
            <w:tcBorders>
              <w:top w:val="nil"/>
              <w:left w:val="nil"/>
              <w:bottom w:val="nil"/>
              <w:right w:val="nil"/>
            </w:tcBorders>
            <w:shd w:val="clear" w:color="auto" w:fill="auto"/>
            <w:noWrap/>
            <w:vAlign w:val="center"/>
            <w:hideMark/>
          </w:tcPr>
          <w:p w14:paraId="474EFA4A" w14:textId="30AB13B9"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–.04</w:t>
            </w:r>
          </w:p>
        </w:tc>
        <w:tc>
          <w:tcPr>
            <w:tcW w:w="520" w:type="dxa"/>
            <w:tcBorders>
              <w:top w:val="nil"/>
              <w:left w:val="nil"/>
              <w:bottom w:val="nil"/>
              <w:right w:val="nil"/>
            </w:tcBorders>
            <w:shd w:val="clear" w:color="auto" w:fill="auto"/>
            <w:noWrap/>
            <w:vAlign w:val="center"/>
            <w:hideMark/>
          </w:tcPr>
          <w:p w14:paraId="3BE4C6EB" w14:textId="2E20630B"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–.05</w:t>
            </w:r>
          </w:p>
        </w:tc>
        <w:tc>
          <w:tcPr>
            <w:tcW w:w="520" w:type="dxa"/>
            <w:tcBorders>
              <w:top w:val="nil"/>
              <w:left w:val="nil"/>
              <w:bottom w:val="nil"/>
              <w:right w:val="nil"/>
            </w:tcBorders>
            <w:shd w:val="clear" w:color="auto" w:fill="auto"/>
            <w:noWrap/>
            <w:vAlign w:val="center"/>
            <w:hideMark/>
          </w:tcPr>
          <w:p w14:paraId="52AFFDA3" w14:textId="2B8477BC" w:rsidR="000F31A9" w:rsidRPr="005557B0" w:rsidRDefault="00B2001E"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w:t>
            </w:r>
          </w:p>
        </w:tc>
        <w:tc>
          <w:tcPr>
            <w:tcW w:w="520" w:type="dxa"/>
            <w:tcBorders>
              <w:top w:val="nil"/>
              <w:left w:val="nil"/>
              <w:bottom w:val="nil"/>
              <w:right w:val="nil"/>
            </w:tcBorders>
            <w:shd w:val="clear" w:color="auto" w:fill="auto"/>
            <w:noWrap/>
            <w:vAlign w:val="center"/>
            <w:hideMark/>
          </w:tcPr>
          <w:p w14:paraId="44A22F01" w14:textId="77777777" w:rsidR="000F31A9" w:rsidRPr="005557B0" w:rsidRDefault="000F31A9" w:rsidP="009011BB">
            <w:pPr>
              <w:spacing w:line="240" w:lineRule="auto"/>
              <w:jc w:val="center"/>
              <w:rPr>
                <w:rFonts w:eastAsia="Times New Roman" w:cs="Times New Roman"/>
                <w:color w:val="000000"/>
                <w:sz w:val="16"/>
                <w:szCs w:val="16"/>
                <w:lang w:val="nl-NL" w:eastAsia="zh-CN"/>
              </w:rPr>
            </w:pPr>
          </w:p>
        </w:tc>
        <w:tc>
          <w:tcPr>
            <w:tcW w:w="520" w:type="dxa"/>
            <w:tcBorders>
              <w:top w:val="nil"/>
              <w:left w:val="nil"/>
              <w:bottom w:val="nil"/>
              <w:right w:val="nil"/>
            </w:tcBorders>
            <w:shd w:val="clear" w:color="auto" w:fill="auto"/>
            <w:noWrap/>
            <w:vAlign w:val="center"/>
            <w:hideMark/>
          </w:tcPr>
          <w:p w14:paraId="1CF21C92"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0F3ED366"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7840B908"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660764F6"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44B9115A"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0ADB7753"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207D6586"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05AC8C44"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478DC43A"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24ADAF67"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362EBD16"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3A18D773"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660E242D"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300" w:type="dxa"/>
            <w:tcBorders>
              <w:top w:val="nil"/>
              <w:left w:val="nil"/>
              <w:bottom w:val="nil"/>
              <w:right w:val="nil"/>
            </w:tcBorders>
            <w:shd w:val="clear" w:color="auto" w:fill="auto"/>
            <w:noWrap/>
            <w:vAlign w:val="center"/>
            <w:hideMark/>
          </w:tcPr>
          <w:p w14:paraId="478EC48A" w14:textId="77777777" w:rsidR="000F31A9" w:rsidRPr="005557B0" w:rsidRDefault="000F31A9" w:rsidP="009011BB">
            <w:pPr>
              <w:spacing w:line="240" w:lineRule="auto"/>
              <w:jc w:val="center"/>
              <w:rPr>
                <w:rFonts w:eastAsia="Times New Roman" w:cs="Times New Roman"/>
                <w:sz w:val="16"/>
                <w:szCs w:val="16"/>
                <w:lang w:val="nl-NL" w:eastAsia="zh-CN"/>
              </w:rPr>
            </w:pPr>
          </w:p>
        </w:tc>
      </w:tr>
      <w:tr w:rsidR="000F31A9" w:rsidRPr="005557B0" w14:paraId="002EFFA1" w14:textId="77777777" w:rsidTr="000F31A9">
        <w:trPr>
          <w:divId w:val="790055366"/>
          <w:trHeight w:val="225"/>
        </w:trPr>
        <w:tc>
          <w:tcPr>
            <w:tcW w:w="212" w:type="dxa"/>
            <w:tcBorders>
              <w:top w:val="nil"/>
              <w:left w:val="nil"/>
              <w:bottom w:val="nil"/>
              <w:right w:val="nil"/>
            </w:tcBorders>
            <w:shd w:val="clear" w:color="auto" w:fill="auto"/>
            <w:noWrap/>
            <w:vAlign w:val="center"/>
            <w:hideMark/>
          </w:tcPr>
          <w:p w14:paraId="412D9D07" w14:textId="77777777" w:rsidR="000F31A9" w:rsidRPr="005557B0" w:rsidRDefault="000F31A9" w:rsidP="009011BB">
            <w:pPr>
              <w:spacing w:line="240" w:lineRule="auto"/>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8</w:t>
            </w:r>
          </w:p>
        </w:tc>
        <w:tc>
          <w:tcPr>
            <w:tcW w:w="1828" w:type="dxa"/>
            <w:tcBorders>
              <w:top w:val="nil"/>
              <w:left w:val="nil"/>
              <w:bottom w:val="nil"/>
              <w:right w:val="nil"/>
            </w:tcBorders>
            <w:shd w:val="clear" w:color="auto" w:fill="auto"/>
            <w:noWrap/>
            <w:vAlign w:val="center"/>
            <w:hideMark/>
          </w:tcPr>
          <w:p w14:paraId="0DEDEA71" w14:textId="77777777" w:rsidR="000F31A9" w:rsidRPr="005557B0" w:rsidRDefault="000F31A9" w:rsidP="009011BB">
            <w:pPr>
              <w:spacing w:line="240" w:lineRule="auto"/>
              <w:rPr>
                <w:rFonts w:eastAsia="Times New Roman" w:cs="Times New Roman"/>
                <w:color w:val="000000"/>
                <w:sz w:val="16"/>
                <w:szCs w:val="16"/>
                <w:lang w:val="nl-NL" w:eastAsia="zh-CN"/>
              </w:rPr>
            </w:pPr>
            <w:proofErr w:type="spellStart"/>
            <w:r w:rsidRPr="005557B0">
              <w:rPr>
                <w:rFonts w:eastAsia="Times New Roman" w:cs="Times New Roman"/>
                <w:color w:val="000000"/>
                <w:sz w:val="16"/>
                <w:szCs w:val="16"/>
                <w:lang w:val="nl-NL" w:eastAsia="zh-CN"/>
              </w:rPr>
              <w:t>Discussion</w:t>
            </w:r>
            <w:r w:rsidRPr="005557B0">
              <w:rPr>
                <w:rFonts w:eastAsia="Times New Roman" w:cs="Times New Roman"/>
                <w:color w:val="000000"/>
                <w:sz w:val="16"/>
                <w:szCs w:val="16"/>
                <w:vertAlign w:val="superscript"/>
                <w:lang w:val="nl-NL" w:eastAsia="zh-CN"/>
              </w:rPr>
              <w:t>a</w:t>
            </w:r>
            <w:proofErr w:type="spellEnd"/>
            <w:r w:rsidRPr="005557B0">
              <w:rPr>
                <w:rFonts w:eastAsia="Times New Roman" w:cs="Times New Roman"/>
                <w:color w:val="000000"/>
                <w:sz w:val="16"/>
                <w:szCs w:val="16"/>
                <w:lang w:val="nl-NL" w:eastAsia="zh-CN"/>
              </w:rPr>
              <w:t>-yes</w:t>
            </w:r>
          </w:p>
        </w:tc>
        <w:tc>
          <w:tcPr>
            <w:tcW w:w="520" w:type="dxa"/>
            <w:tcBorders>
              <w:top w:val="nil"/>
              <w:left w:val="nil"/>
              <w:bottom w:val="nil"/>
              <w:right w:val="nil"/>
            </w:tcBorders>
            <w:shd w:val="clear" w:color="auto" w:fill="auto"/>
            <w:noWrap/>
            <w:vAlign w:val="center"/>
            <w:hideMark/>
          </w:tcPr>
          <w:p w14:paraId="7B479CCE" w14:textId="13F23FDD"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.06</w:t>
            </w:r>
          </w:p>
        </w:tc>
        <w:tc>
          <w:tcPr>
            <w:tcW w:w="520" w:type="dxa"/>
            <w:tcBorders>
              <w:top w:val="nil"/>
              <w:left w:val="nil"/>
              <w:bottom w:val="nil"/>
              <w:right w:val="nil"/>
            </w:tcBorders>
            <w:shd w:val="clear" w:color="auto" w:fill="auto"/>
            <w:noWrap/>
            <w:vAlign w:val="center"/>
            <w:hideMark/>
          </w:tcPr>
          <w:p w14:paraId="05578E0A" w14:textId="7777777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w:t>
            </w:r>
          </w:p>
        </w:tc>
        <w:tc>
          <w:tcPr>
            <w:tcW w:w="520" w:type="dxa"/>
            <w:tcBorders>
              <w:top w:val="nil"/>
              <w:left w:val="nil"/>
              <w:bottom w:val="nil"/>
              <w:right w:val="nil"/>
            </w:tcBorders>
            <w:shd w:val="clear" w:color="auto" w:fill="auto"/>
            <w:noWrap/>
            <w:vAlign w:val="center"/>
            <w:hideMark/>
          </w:tcPr>
          <w:p w14:paraId="0AF0CB36" w14:textId="7777777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w:t>
            </w:r>
          </w:p>
        </w:tc>
        <w:tc>
          <w:tcPr>
            <w:tcW w:w="520" w:type="dxa"/>
            <w:tcBorders>
              <w:top w:val="nil"/>
              <w:left w:val="nil"/>
              <w:bottom w:val="nil"/>
              <w:right w:val="nil"/>
            </w:tcBorders>
            <w:shd w:val="clear" w:color="auto" w:fill="auto"/>
            <w:noWrap/>
            <w:vAlign w:val="center"/>
            <w:hideMark/>
          </w:tcPr>
          <w:p w14:paraId="52B08539" w14:textId="4F88CF96"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–.11</w:t>
            </w:r>
          </w:p>
        </w:tc>
        <w:tc>
          <w:tcPr>
            <w:tcW w:w="520" w:type="dxa"/>
            <w:tcBorders>
              <w:top w:val="nil"/>
              <w:left w:val="nil"/>
              <w:bottom w:val="nil"/>
              <w:right w:val="nil"/>
            </w:tcBorders>
            <w:shd w:val="clear" w:color="auto" w:fill="auto"/>
            <w:noWrap/>
            <w:vAlign w:val="center"/>
            <w:hideMark/>
          </w:tcPr>
          <w:p w14:paraId="58F3B4CC" w14:textId="4E908036"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–.14</w:t>
            </w:r>
          </w:p>
        </w:tc>
        <w:tc>
          <w:tcPr>
            <w:tcW w:w="520" w:type="dxa"/>
            <w:tcBorders>
              <w:top w:val="nil"/>
              <w:left w:val="nil"/>
              <w:bottom w:val="nil"/>
              <w:right w:val="nil"/>
            </w:tcBorders>
            <w:shd w:val="clear" w:color="auto" w:fill="auto"/>
            <w:noWrap/>
            <w:vAlign w:val="center"/>
            <w:hideMark/>
          </w:tcPr>
          <w:p w14:paraId="186BCED4" w14:textId="189385D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.04</w:t>
            </w:r>
          </w:p>
        </w:tc>
        <w:tc>
          <w:tcPr>
            <w:tcW w:w="520" w:type="dxa"/>
            <w:tcBorders>
              <w:top w:val="nil"/>
              <w:left w:val="nil"/>
              <w:bottom w:val="nil"/>
              <w:right w:val="nil"/>
            </w:tcBorders>
            <w:shd w:val="clear" w:color="auto" w:fill="auto"/>
            <w:noWrap/>
            <w:vAlign w:val="center"/>
            <w:hideMark/>
          </w:tcPr>
          <w:p w14:paraId="7AEA50E3" w14:textId="6E8243FF"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.01</w:t>
            </w:r>
          </w:p>
        </w:tc>
        <w:tc>
          <w:tcPr>
            <w:tcW w:w="520" w:type="dxa"/>
            <w:tcBorders>
              <w:top w:val="nil"/>
              <w:left w:val="nil"/>
              <w:bottom w:val="nil"/>
              <w:right w:val="nil"/>
            </w:tcBorders>
            <w:shd w:val="clear" w:color="auto" w:fill="auto"/>
            <w:noWrap/>
            <w:vAlign w:val="center"/>
            <w:hideMark/>
          </w:tcPr>
          <w:p w14:paraId="0A2E054F" w14:textId="16778500" w:rsidR="000F31A9" w:rsidRPr="005557B0" w:rsidRDefault="00B2001E"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w:t>
            </w:r>
          </w:p>
        </w:tc>
        <w:tc>
          <w:tcPr>
            <w:tcW w:w="520" w:type="dxa"/>
            <w:tcBorders>
              <w:top w:val="nil"/>
              <w:left w:val="nil"/>
              <w:bottom w:val="nil"/>
              <w:right w:val="nil"/>
            </w:tcBorders>
            <w:shd w:val="clear" w:color="auto" w:fill="auto"/>
            <w:noWrap/>
            <w:vAlign w:val="center"/>
            <w:hideMark/>
          </w:tcPr>
          <w:p w14:paraId="228E7075" w14:textId="77777777" w:rsidR="000F31A9" w:rsidRPr="005557B0" w:rsidRDefault="000F31A9" w:rsidP="009011BB">
            <w:pPr>
              <w:spacing w:line="240" w:lineRule="auto"/>
              <w:jc w:val="center"/>
              <w:rPr>
                <w:rFonts w:eastAsia="Times New Roman" w:cs="Times New Roman"/>
                <w:color w:val="000000"/>
                <w:sz w:val="16"/>
                <w:szCs w:val="16"/>
                <w:lang w:val="nl-NL" w:eastAsia="zh-CN"/>
              </w:rPr>
            </w:pPr>
          </w:p>
        </w:tc>
        <w:tc>
          <w:tcPr>
            <w:tcW w:w="520" w:type="dxa"/>
            <w:tcBorders>
              <w:top w:val="nil"/>
              <w:left w:val="nil"/>
              <w:bottom w:val="nil"/>
              <w:right w:val="nil"/>
            </w:tcBorders>
            <w:shd w:val="clear" w:color="auto" w:fill="auto"/>
            <w:noWrap/>
            <w:vAlign w:val="center"/>
            <w:hideMark/>
          </w:tcPr>
          <w:p w14:paraId="4D7CFA4A"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4E9AD527"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24F02511"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2BCAC63C"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1D23A319"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7B34AB81"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2EA46143"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7334024E"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2D4968AB"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7441252F"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023C7DB4"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65AF1F28"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300" w:type="dxa"/>
            <w:tcBorders>
              <w:top w:val="nil"/>
              <w:left w:val="nil"/>
              <w:bottom w:val="nil"/>
              <w:right w:val="nil"/>
            </w:tcBorders>
            <w:shd w:val="clear" w:color="auto" w:fill="auto"/>
            <w:noWrap/>
            <w:vAlign w:val="center"/>
            <w:hideMark/>
          </w:tcPr>
          <w:p w14:paraId="0A4B274A" w14:textId="77777777" w:rsidR="000F31A9" w:rsidRPr="005557B0" w:rsidRDefault="000F31A9" w:rsidP="009011BB">
            <w:pPr>
              <w:spacing w:line="240" w:lineRule="auto"/>
              <w:jc w:val="center"/>
              <w:rPr>
                <w:rFonts w:eastAsia="Times New Roman" w:cs="Times New Roman"/>
                <w:sz w:val="16"/>
                <w:szCs w:val="16"/>
                <w:lang w:val="nl-NL" w:eastAsia="zh-CN"/>
              </w:rPr>
            </w:pPr>
          </w:p>
        </w:tc>
      </w:tr>
      <w:tr w:rsidR="000F31A9" w:rsidRPr="005557B0" w14:paraId="47637EA3" w14:textId="77777777" w:rsidTr="000F31A9">
        <w:trPr>
          <w:divId w:val="790055366"/>
          <w:trHeight w:val="225"/>
        </w:trPr>
        <w:tc>
          <w:tcPr>
            <w:tcW w:w="212" w:type="dxa"/>
            <w:tcBorders>
              <w:top w:val="nil"/>
              <w:left w:val="nil"/>
              <w:bottom w:val="nil"/>
              <w:right w:val="nil"/>
            </w:tcBorders>
            <w:shd w:val="clear" w:color="auto" w:fill="auto"/>
            <w:noWrap/>
            <w:vAlign w:val="center"/>
            <w:hideMark/>
          </w:tcPr>
          <w:p w14:paraId="26116A61" w14:textId="77777777" w:rsidR="000F31A9" w:rsidRPr="005557B0" w:rsidRDefault="000F31A9" w:rsidP="009011BB">
            <w:pPr>
              <w:spacing w:line="240" w:lineRule="auto"/>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9</w:t>
            </w:r>
          </w:p>
        </w:tc>
        <w:tc>
          <w:tcPr>
            <w:tcW w:w="1828" w:type="dxa"/>
            <w:tcBorders>
              <w:top w:val="nil"/>
              <w:left w:val="nil"/>
              <w:bottom w:val="nil"/>
              <w:right w:val="nil"/>
            </w:tcBorders>
            <w:shd w:val="clear" w:color="auto" w:fill="auto"/>
            <w:noWrap/>
            <w:vAlign w:val="center"/>
            <w:hideMark/>
          </w:tcPr>
          <w:p w14:paraId="052AC922" w14:textId="77777777" w:rsidR="000F31A9" w:rsidRPr="005557B0" w:rsidRDefault="000F31A9" w:rsidP="009011BB">
            <w:pPr>
              <w:spacing w:line="240" w:lineRule="auto"/>
              <w:rPr>
                <w:rFonts w:eastAsia="Times New Roman" w:cs="Times New Roman"/>
                <w:color w:val="000000"/>
                <w:sz w:val="16"/>
                <w:szCs w:val="16"/>
                <w:lang w:val="nl-NL" w:eastAsia="zh-CN"/>
              </w:rPr>
            </w:pPr>
            <w:proofErr w:type="spellStart"/>
            <w:r w:rsidRPr="005557B0">
              <w:rPr>
                <w:rFonts w:eastAsia="Times New Roman" w:cs="Times New Roman"/>
                <w:color w:val="000000"/>
                <w:sz w:val="16"/>
                <w:szCs w:val="16"/>
                <w:lang w:val="nl-NL" w:eastAsia="zh-CN"/>
              </w:rPr>
              <w:t>Discussion</w:t>
            </w:r>
            <w:r w:rsidRPr="005557B0">
              <w:rPr>
                <w:rFonts w:eastAsia="Times New Roman" w:cs="Times New Roman"/>
                <w:color w:val="000000"/>
                <w:sz w:val="16"/>
                <w:szCs w:val="16"/>
                <w:vertAlign w:val="superscript"/>
                <w:lang w:val="nl-NL" w:eastAsia="zh-CN"/>
              </w:rPr>
              <w:t>c</w:t>
            </w:r>
            <w:r w:rsidRPr="005557B0">
              <w:rPr>
                <w:rFonts w:eastAsia="Times New Roman" w:cs="Times New Roman"/>
                <w:color w:val="000000"/>
                <w:sz w:val="16"/>
                <w:szCs w:val="16"/>
                <w:lang w:val="nl-NL" w:eastAsia="zh-CN"/>
              </w:rPr>
              <w:t>-bidirectional</w:t>
            </w:r>
            <w:proofErr w:type="spellEnd"/>
          </w:p>
        </w:tc>
        <w:tc>
          <w:tcPr>
            <w:tcW w:w="520" w:type="dxa"/>
            <w:tcBorders>
              <w:top w:val="nil"/>
              <w:left w:val="nil"/>
              <w:bottom w:val="nil"/>
              <w:right w:val="nil"/>
            </w:tcBorders>
            <w:shd w:val="clear" w:color="auto" w:fill="auto"/>
            <w:noWrap/>
            <w:vAlign w:val="center"/>
            <w:hideMark/>
          </w:tcPr>
          <w:p w14:paraId="5572E090" w14:textId="0236121E"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–.01</w:t>
            </w:r>
          </w:p>
        </w:tc>
        <w:tc>
          <w:tcPr>
            <w:tcW w:w="520" w:type="dxa"/>
            <w:tcBorders>
              <w:top w:val="nil"/>
              <w:left w:val="nil"/>
              <w:bottom w:val="nil"/>
              <w:right w:val="nil"/>
            </w:tcBorders>
            <w:shd w:val="clear" w:color="auto" w:fill="auto"/>
            <w:noWrap/>
            <w:vAlign w:val="center"/>
            <w:hideMark/>
          </w:tcPr>
          <w:p w14:paraId="331DCB88" w14:textId="6F61B674"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.01</w:t>
            </w:r>
          </w:p>
        </w:tc>
        <w:tc>
          <w:tcPr>
            <w:tcW w:w="520" w:type="dxa"/>
            <w:tcBorders>
              <w:top w:val="nil"/>
              <w:left w:val="nil"/>
              <w:bottom w:val="nil"/>
              <w:right w:val="nil"/>
            </w:tcBorders>
            <w:shd w:val="clear" w:color="auto" w:fill="auto"/>
            <w:noWrap/>
            <w:vAlign w:val="center"/>
            <w:hideMark/>
          </w:tcPr>
          <w:p w14:paraId="1915E45E" w14:textId="7777777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w:t>
            </w:r>
          </w:p>
        </w:tc>
        <w:tc>
          <w:tcPr>
            <w:tcW w:w="520" w:type="dxa"/>
            <w:tcBorders>
              <w:top w:val="nil"/>
              <w:left w:val="nil"/>
              <w:bottom w:val="nil"/>
              <w:right w:val="nil"/>
            </w:tcBorders>
            <w:shd w:val="clear" w:color="auto" w:fill="auto"/>
            <w:noWrap/>
            <w:vAlign w:val="center"/>
            <w:hideMark/>
          </w:tcPr>
          <w:p w14:paraId="77E6BA52" w14:textId="12A16AC5"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–.08</w:t>
            </w:r>
          </w:p>
        </w:tc>
        <w:tc>
          <w:tcPr>
            <w:tcW w:w="520" w:type="dxa"/>
            <w:tcBorders>
              <w:top w:val="nil"/>
              <w:left w:val="nil"/>
              <w:bottom w:val="nil"/>
              <w:right w:val="nil"/>
            </w:tcBorders>
            <w:shd w:val="clear" w:color="auto" w:fill="auto"/>
            <w:noWrap/>
            <w:vAlign w:val="center"/>
            <w:hideMark/>
          </w:tcPr>
          <w:p w14:paraId="6986C343" w14:textId="5589BDE3"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–.12</w:t>
            </w:r>
          </w:p>
        </w:tc>
        <w:tc>
          <w:tcPr>
            <w:tcW w:w="520" w:type="dxa"/>
            <w:tcBorders>
              <w:top w:val="nil"/>
              <w:left w:val="nil"/>
              <w:bottom w:val="nil"/>
              <w:right w:val="nil"/>
            </w:tcBorders>
            <w:shd w:val="clear" w:color="auto" w:fill="auto"/>
            <w:noWrap/>
            <w:vAlign w:val="center"/>
            <w:hideMark/>
          </w:tcPr>
          <w:p w14:paraId="71FDDBB2" w14:textId="2046A1C1"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–.03</w:t>
            </w:r>
          </w:p>
        </w:tc>
        <w:tc>
          <w:tcPr>
            <w:tcW w:w="520" w:type="dxa"/>
            <w:tcBorders>
              <w:top w:val="nil"/>
              <w:left w:val="nil"/>
              <w:bottom w:val="nil"/>
              <w:right w:val="nil"/>
            </w:tcBorders>
            <w:shd w:val="clear" w:color="auto" w:fill="auto"/>
            <w:noWrap/>
            <w:vAlign w:val="center"/>
            <w:hideMark/>
          </w:tcPr>
          <w:p w14:paraId="32E22D42" w14:textId="50B83F5B"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.05</w:t>
            </w:r>
          </w:p>
        </w:tc>
        <w:tc>
          <w:tcPr>
            <w:tcW w:w="520" w:type="dxa"/>
            <w:tcBorders>
              <w:top w:val="nil"/>
              <w:left w:val="nil"/>
              <w:bottom w:val="nil"/>
              <w:right w:val="nil"/>
            </w:tcBorders>
            <w:shd w:val="clear" w:color="auto" w:fill="auto"/>
            <w:noWrap/>
            <w:vAlign w:val="center"/>
            <w:hideMark/>
          </w:tcPr>
          <w:p w14:paraId="29EEFE8A" w14:textId="47636285" w:rsidR="000F31A9" w:rsidRPr="005557B0" w:rsidRDefault="000F31A9" w:rsidP="009011BB">
            <w:pPr>
              <w:spacing w:line="240" w:lineRule="auto"/>
              <w:jc w:val="center"/>
              <w:rPr>
                <w:rFonts w:eastAsia="Times New Roman" w:cs="Times New Roman"/>
                <w:b/>
                <w:bCs/>
                <w:color w:val="000000"/>
                <w:sz w:val="16"/>
                <w:szCs w:val="16"/>
                <w:lang w:val="nl-NL" w:eastAsia="zh-CN"/>
              </w:rPr>
            </w:pPr>
            <w:r w:rsidRPr="005557B0">
              <w:rPr>
                <w:rFonts w:eastAsia="Times New Roman" w:cs="Times New Roman"/>
                <w:b/>
                <w:bCs/>
                <w:color w:val="000000"/>
                <w:sz w:val="16"/>
                <w:szCs w:val="16"/>
                <w:lang w:val="nl-NL" w:eastAsia="zh-CN"/>
              </w:rPr>
              <w:t>.86</w:t>
            </w:r>
          </w:p>
        </w:tc>
        <w:tc>
          <w:tcPr>
            <w:tcW w:w="520" w:type="dxa"/>
            <w:tcBorders>
              <w:top w:val="nil"/>
              <w:left w:val="nil"/>
              <w:bottom w:val="nil"/>
              <w:right w:val="nil"/>
            </w:tcBorders>
            <w:shd w:val="clear" w:color="auto" w:fill="auto"/>
            <w:noWrap/>
            <w:vAlign w:val="center"/>
            <w:hideMark/>
          </w:tcPr>
          <w:p w14:paraId="50A7CB80" w14:textId="4AC767B3" w:rsidR="000F31A9" w:rsidRPr="005557B0" w:rsidRDefault="00B2001E"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w:t>
            </w:r>
          </w:p>
        </w:tc>
        <w:tc>
          <w:tcPr>
            <w:tcW w:w="520" w:type="dxa"/>
            <w:tcBorders>
              <w:top w:val="nil"/>
              <w:left w:val="nil"/>
              <w:bottom w:val="nil"/>
              <w:right w:val="nil"/>
            </w:tcBorders>
            <w:shd w:val="clear" w:color="auto" w:fill="auto"/>
            <w:noWrap/>
            <w:vAlign w:val="center"/>
            <w:hideMark/>
          </w:tcPr>
          <w:p w14:paraId="5036BF65" w14:textId="77777777" w:rsidR="000F31A9" w:rsidRPr="005557B0" w:rsidRDefault="000F31A9" w:rsidP="009011BB">
            <w:pPr>
              <w:spacing w:line="240" w:lineRule="auto"/>
              <w:jc w:val="center"/>
              <w:rPr>
                <w:rFonts w:eastAsia="Times New Roman" w:cs="Times New Roman"/>
                <w:color w:val="000000"/>
                <w:sz w:val="16"/>
                <w:szCs w:val="16"/>
                <w:lang w:val="nl-NL" w:eastAsia="zh-CN"/>
              </w:rPr>
            </w:pPr>
          </w:p>
        </w:tc>
        <w:tc>
          <w:tcPr>
            <w:tcW w:w="520" w:type="dxa"/>
            <w:tcBorders>
              <w:top w:val="nil"/>
              <w:left w:val="nil"/>
              <w:bottom w:val="nil"/>
              <w:right w:val="nil"/>
            </w:tcBorders>
            <w:shd w:val="clear" w:color="auto" w:fill="auto"/>
            <w:noWrap/>
            <w:vAlign w:val="center"/>
            <w:hideMark/>
          </w:tcPr>
          <w:p w14:paraId="5F5973FC"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05C372C7"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3616E2CF"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2707E09D"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7440B076"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70BE9F5E"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5BF4C6C4"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587A4384"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657CF186"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054A81F7"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1668A3DE"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300" w:type="dxa"/>
            <w:tcBorders>
              <w:top w:val="nil"/>
              <w:left w:val="nil"/>
              <w:bottom w:val="nil"/>
              <w:right w:val="nil"/>
            </w:tcBorders>
            <w:shd w:val="clear" w:color="auto" w:fill="auto"/>
            <w:noWrap/>
            <w:vAlign w:val="center"/>
            <w:hideMark/>
          </w:tcPr>
          <w:p w14:paraId="47634BE6" w14:textId="77777777" w:rsidR="000F31A9" w:rsidRPr="005557B0" w:rsidRDefault="000F31A9" w:rsidP="009011BB">
            <w:pPr>
              <w:spacing w:line="240" w:lineRule="auto"/>
              <w:jc w:val="center"/>
              <w:rPr>
                <w:rFonts w:eastAsia="Times New Roman" w:cs="Times New Roman"/>
                <w:sz w:val="16"/>
                <w:szCs w:val="16"/>
                <w:lang w:val="nl-NL" w:eastAsia="zh-CN"/>
              </w:rPr>
            </w:pPr>
          </w:p>
        </w:tc>
      </w:tr>
      <w:tr w:rsidR="000F31A9" w:rsidRPr="005557B0" w14:paraId="0699398A" w14:textId="77777777" w:rsidTr="000F31A9">
        <w:trPr>
          <w:divId w:val="790055366"/>
          <w:trHeight w:val="225"/>
        </w:trPr>
        <w:tc>
          <w:tcPr>
            <w:tcW w:w="212" w:type="dxa"/>
            <w:tcBorders>
              <w:top w:val="nil"/>
              <w:left w:val="nil"/>
              <w:bottom w:val="nil"/>
              <w:right w:val="nil"/>
            </w:tcBorders>
            <w:shd w:val="clear" w:color="auto" w:fill="auto"/>
            <w:noWrap/>
            <w:vAlign w:val="center"/>
            <w:hideMark/>
          </w:tcPr>
          <w:p w14:paraId="4EFE0303" w14:textId="77777777" w:rsidR="000F31A9" w:rsidRPr="005557B0" w:rsidRDefault="000F31A9" w:rsidP="009011BB">
            <w:pPr>
              <w:spacing w:line="240" w:lineRule="auto"/>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10</w:t>
            </w:r>
          </w:p>
        </w:tc>
        <w:tc>
          <w:tcPr>
            <w:tcW w:w="1828" w:type="dxa"/>
            <w:tcBorders>
              <w:top w:val="nil"/>
              <w:left w:val="nil"/>
              <w:bottom w:val="nil"/>
              <w:right w:val="nil"/>
            </w:tcBorders>
            <w:shd w:val="clear" w:color="auto" w:fill="auto"/>
            <w:noWrap/>
            <w:vAlign w:val="center"/>
            <w:hideMark/>
          </w:tcPr>
          <w:p w14:paraId="01C67517" w14:textId="77777777" w:rsidR="000F31A9" w:rsidRPr="005557B0" w:rsidRDefault="000F31A9" w:rsidP="009011BB">
            <w:pPr>
              <w:spacing w:line="240" w:lineRule="auto"/>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 xml:space="preserve">End </w:t>
            </w:r>
            <w:proofErr w:type="spellStart"/>
            <w:r w:rsidRPr="005557B0">
              <w:rPr>
                <w:rFonts w:eastAsia="Times New Roman" w:cs="Times New Roman"/>
                <w:color w:val="000000"/>
                <w:sz w:val="16"/>
                <w:szCs w:val="16"/>
                <w:lang w:val="nl-NL" w:eastAsia="zh-CN"/>
              </w:rPr>
              <w:t>game</w:t>
            </w:r>
            <w:r w:rsidRPr="005557B0">
              <w:rPr>
                <w:rFonts w:eastAsia="Times New Roman" w:cs="Times New Roman"/>
                <w:color w:val="000000"/>
                <w:sz w:val="16"/>
                <w:szCs w:val="16"/>
                <w:vertAlign w:val="superscript"/>
                <w:lang w:val="nl-NL" w:eastAsia="zh-CN"/>
              </w:rPr>
              <w:t>a</w:t>
            </w:r>
            <w:proofErr w:type="spellEnd"/>
            <w:r w:rsidRPr="005557B0">
              <w:rPr>
                <w:rFonts w:eastAsia="Times New Roman" w:cs="Times New Roman"/>
                <w:color w:val="000000"/>
                <w:sz w:val="16"/>
                <w:szCs w:val="16"/>
                <w:lang w:val="nl-NL" w:eastAsia="zh-CN"/>
              </w:rPr>
              <w:t>-yes</w:t>
            </w:r>
          </w:p>
        </w:tc>
        <w:tc>
          <w:tcPr>
            <w:tcW w:w="520" w:type="dxa"/>
            <w:tcBorders>
              <w:top w:val="nil"/>
              <w:left w:val="nil"/>
              <w:bottom w:val="nil"/>
              <w:right w:val="nil"/>
            </w:tcBorders>
            <w:shd w:val="clear" w:color="auto" w:fill="auto"/>
            <w:noWrap/>
            <w:vAlign w:val="center"/>
            <w:hideMark/>
          </w:tcPr>
          <w:p w14:paraId="3586B585" w14:textId="5EE220A2"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.06</w:t>
            </w:r>
          </w:p>
        </w:tc>
        <w:tc>
          <w:tcPr>
            <w:tcW w:w="520" w:type="dxa"/>
            <w:tcBorders>
              <w:top w:val="nil"/>
              <w:left w:val="nil"/>
              <w:bottom w:val="nil"/>
              <w:right w:val="nil"/>
            </w:tcBorders>
            <w:shd w:val="clear" w:color="auto" w:fill="auto"/>
            <w:noWrap/>
            <w:vAlign w:val="center"/>
            <w:hideMark/>
          </w:tcPr>
          <w:p w14:paraId="0BEE71B5" w14:textId="240AC231"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.07</w:t>
            </w:r>
          </w:p>
        </w:tc>
        <w:tc>
          <w:tcPr>
            <w:tcW w:w="520" w:type="dxa"/>
            <w:tcBorders>
              <w:top w:val="nil"/>
              <w:left w:val="nil"/>
              <w:bottom w:val="nil"/>
              <w:right w:val="nil"/>
            </w:tcBorders>
            <w:shd w:val="clear" w:color="auto" w:fill="auto"/>
            <w:noWrap/>
            <w:vAlign w:val="center"/>
            <w:hideMark/>
          </w:tcPr>
          <w:p w14:paraId="558CF4AF" w14:textId="4BC89563"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.13</w:t>
            </w:r>
          </w:p>
        </w:tc>
        <w:tc>
          <w:tcPr>
            <w:tcW w:w="520" w:type="dxa"/>
            <w:tcBorders>
              <w:top w:val="nil"/>
              <w:left w:val="nil"/>
              <w:bottom w:val="nil"/>
              <w:right w:val="nil"/>
            </w:tcBorders>
            <w:shd w:val="clear" w:color="auto" w:fill="auto"/>
            <w:noWrap/>
            <w:vAlign w:val="center"/>
            <w:hideMark/>
          </w:tcPr>
          <w:p w14:paraId="1B93C5CD" w14:textId="6917CAA8"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–.11</w:t>
            </w:r>
          </w:p>
        </w:tc>
        <w:tc>
          <w:tcPr>
            <w:tcW w:w="520" w:type="dxa"/>
            <w:tcBorders>
              <w:top w:val="nil"/>
              <w:left w:val="nil"/>
              <w:bottom w:val="nil"/>
              <w:right w:val="nil"/>
            </w:tcBorders>
            <w:shd w:val="clear" w:color="auto" w:fill="auto"/>
            <w:noWrap/>
            <w:vAlign w:val="center"/>
            <w:hideMark/>
          </w:tcPr>
          <w:p w14:paraId="0F18165A" w14:textId="50C68B1D"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.30</w:t>
            </w:r>
          </w:p>
        </w:tc>
        <w:tc>
          <w:tcPr>
            <w:tcW w:w="520" w:type="dxa"/>
            <w:tcBorders>
              <w:top w:val="nil"/>
              <w:left w:val="nil"/>
              <w:bottom w:val="nil"/>
              <w:right w:val="nil"/>
            </w:tcBorders>
            <w:shd w:val="clear" w:color="auto" w:fill="auto"/>
            <w:noWrap/>
            <w:vAlign w:val="center"/>
            <w:hideMark/>
          </w:tcPr>
          <w:p w14:paraId="2A1E3C1C" w14:textId="6BD3A994"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–.13</w:t>
            </w:r>
          </w:p>
        </w:tc>
        <w:tc>
          <w:tcPr>
            <w:tcW w:w="520" w:type="dxa"/>
            <w:tcBorders>
              <w:top w:val="nil"/>
              <w:left w:val="nil"/>
              <w:bottom w:val="nil"/>
              <w:right w:val="nil"/>
            </w:tcBorders>
            <w:shd w:val="clear" w:color="auto" w:fill="auto"/>
            <w:noWrap/>
            <w:vAlign w:val="center"/>
            <w:hideMark/>
          </w:tcPr>
          <w:p w14:paraId="64F4C79A" w14:textId="321D8EFF"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–.04</w:t>
            </w:r>
          </w:p>
        </w:tc>
        <w:tc>
          <w:tcPr>
            <w:tcW w:w="520" w:type="dxa"/>
            <w:tcBorders>
              <w:top w:val="nil"/>
              <w:left w:val="nil"/>
              <w:bottom w:val="nil"/>
              <w:right w:val="nil"/>
            </w:tcBorders>
            <w:shd w:val="clear" w:color="auto" w:fill="auto"/>
            <w:noWrap/>
            <w:vAlign w:val="center"/>
            <w:hideMark/>
          </w:tcPr>
          <w:p w14:paraId="1D9A3916" w14:textId="3303ACC5"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–.12</w:t>
            </w:r>
          </w:p>
        </w:tc>
        <w:tc>
          <w:tcPr>
            <w:tcW w:w="520" w:type="dxa"/>
            <w:tcBorders>
              <w:top w:val="nil"/>
              <w:left w:val="nil"/>
              <w:bottom w:val="nil"/>
              <w:right w:val="nil"/>
            </w:tcBorders>
            <w:shd w:val="clear" w:color="auto" w:fill="auto"/>
            <w:noWrap/>
            <w:vAlign w:val="center"/>
            <w:hideMark/>
          </w:tcPr>
          <w:p w14:paraId="408CC82D" w14:textId="2F07DD21"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–.13</w:t>
            </w:r>
          </w:p>
        </w:tc>
        <w:tc>
          <w:tcPr>
            <w:tcW w:w="520" w:type="dxa"/>
            <w:tcBorders>
              <w:top w:val="nil"/>
              <w:left w:val="nil"/>
              <w:bottom w:val="nil"/>
              <w:right w:val="nil"/>
            </w:tcBorders>
            <w:shd w:val="clear" w:color="auto" w:fill="auto"/>
            <w:noWrap/>
            <w:vAlign w:val="center"/>
            <w:hideMark/>
          </w:tcPr>
          <w:p w14:paraId="73E82F40" w14:textId="5BBB137A" w:rsidR="000F31A9" w:rsidRPr="005557B0" w:rsidRDefault="00B2001E"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w:t>
            </w:r>
          </w:p>
        </w:tc>
        <w:tc>
          <w:tcPr>
            <w:tcW w:w="520" w:type="dxa"/>
            <w:tcBorders>
              <w:top w:val="nil"/>
              <w:left w:val="nil"/>
              <w:bottom w:val="nil"/>
              <w:right w:val="nil"/>
            </w:tcBorders>
            <w:shd w:val="clear" w:color="auto" w:fill="auto"/>
            <w:noWrap/>
            <w:vAlign w:val="center"/>
            <w:hideMark/>
          </w:tcPr>
          <w:p w14:paraId="2D69A057" w14:textId="77777777" w:rsidR="000F31A9" w:rsidRPr="005557B0" w:rsidRDefault="000F31A9" w:rsidP="009011BB">
            <w:pPr>
              <w:spacing w:line="240" w:lineRule="auto"/>
              <w:jc w:val="center"/>
              <w:rPr>
                <w:rFonts w:eastAsia="Times New Roman" w:cs="Times New Roman"/>
                <w:color w:val="000000"/>
                <w:sz w:val="16"/>
                <w:szCs w:val="16"/>
                <w:lang w:val="nl-NL" w:eastAsia="zh-CN"/>
              </w:rPr>
            </w:pPr>
          </w:p>
        </w:tc>
        <w:tc>
          <w:tcPr>
            <w:tcW w:w="520" w:type="dxa"/>
            <w:tcBorders>
              <w:top w:val="nil"/>
              <w:left w:val="nil"/>
              <w:bottom w:val="nil"/>
              <w:right w:val="nil"/>
            </w:tcBorders>
            <w:shd w:val="clear" w:color="auto" w:fill="auto"/>
            <w:noWrap/>
            <w:vAlign w:val="center"/>
            <w:hideMark/>
          </w:tcPr>
          <w:p w14:paraId="4838E745"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4A0D2EB6"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76C5E47D"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20DB9097"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2246AA07"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0BF598BA"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67F0C44D"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1AA7A8AC"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2CFE9B23"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3E926096"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300" w:type="dxa"/>
            <w:tcBorders>
              <w:top w:val="nil"/>
              <w:left w:val="nil"/>
              <w:bottom w:val="nil"/>
              <w:right w:val="nil"/>
            </w:tcBorders>
            <w:shd w:val="clear" w:color="auto" w:fill="auto"/>
            <w:noWrap/>
            <w:vAlign w:val="center"/>
            <w:hideMark/>
          </w:tcPr>
          <w:p w14:paraId="1090304A" w14:textId="77777777" w:rsidR="000F31A9" w:rsidRPr="005557B0" w:rsidRDefault="000F31A9" w:rsidP="009011BB">
            <w:pPr>
              <w:spacing w:line="240" w:lineRule="auto"/>
              <w:jc w:val="center"/>
              <w:rPr>
                <w:rFonts w:eastAsia="Times New Roman" w:cs="Times New Roman"/>
                <w:sz w:val="16"/>
                <w:szCs w:val="16"/>
                <w:lang w:val="nl-NL" w:eastAsia="zh-CN"/>
              </w:rPr>
            </w:pPr>
          </w:p>
        </w:tc>
      </w:tr>
      <w:tr w:rsidR="000F31A9" w:rsidRPr="005557B0" w14:paraId="1D195BA7" w14:textId="77777777" w:rsidTr="000F31A9">
        <w:trPr>
          <w:divId w:val="790055366"/>
          <w:trHeight w:val="225"/>
        </w:trPr>
        <w:tc>
          <w:tcPr>
            <w:tcW w:w="212" w:type="dxa"/>
            <w:tcBorders>
              <w:top w:val="nil"/>
              <w:left w:val="nil"/>
              <w:bottom w:val="nil"/>
              <w:right w:val="nil"/>
            </w:tcBorders>
            <w:shd w:val="clear" w:color="auto" w:fill="auto"/>
            <w:noWrap/>
            <w:vAlign w:val="center"/>
            <w:hideMark/>
          </w:tcPr>
          <w:p w14:paraId="3F410E84" w14:textId="77777777" w:rsidR="000F31A9" w:rsidRPr="005557B0" w:rsidRDefault="000F31A9" w:rsidP="009011BB">
            <w:pPr>
              <w:spacing w:line="240" w:lineRule="auto"/>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11</w:t>
            </w:r>
          </w:p>
        </w:tc>
        <w:tc>
          <w:tcPr>
            <w:tcW w:w="1828" w:type="dxa"/>
            <w:tcBorders>
              <w:top w:val="nil"/>
              <w:left w:val="nil"/>
              <w:bottom w:val="nil"/>
              <w:right w:val="nil"/>
            </w:tcBorders>
            <w:shd w:val="clear" w:color="auto" w:fill="auto"/>
            <w:noWrap/>
            <w:vAlign w:val="center"/>
            <w:hideMark/>
          </w:tcPr>
          <w:p w14:paraId="3DD6BE50" w14:textId="77777777" w:rsidR="000F31A9" w:rsidRPr="005557B0" w:rsidRDefault="000F31A9" w:rsidP="009011BB">
            <w:pPr>
              <w:spacing w:line="240" w:lineRule="auto"/>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 xml:space="preserve">Game </w:t>
            </w:r>
            <w:proofErr w:type="spellStart"/>
            <w:r w:rsidRPr="005557B0">
              <w:rPr>
                <w:rFonts w:eastAsia="Times New Roman" w:cs="Times New Roman"/>
                <w:color w:val="000000"/>
                <w:sz w:val="16"/>
                <w:szCs w:val="16"/>
                <w:lang w:val="nl-NL" w:eastAsia="zh-CN"/>
              </w:rPr>
              <w:t>incentive</w:t>
            </w:r>
            <w:r w:rsidRPr="005557B0">
              <w:rPr>
                <w:rFonts w:eastAsia="Times New Roman" w:cs="Times New Roman"/>
                <w:color w:val="000000"/>
                <w:sz w:val="16"/>
                <w:szCs w:val="16"/>
                <w:vertAlign w:val="superscript"/>
                <w:lang w:val="nl-NL" w:eastAsia="zh-CN"/>
              </w:rPr>
              <w:t>a</w:t>
            </w:r>
            <w:proofErr w:type="spellEnd"/>
            <w:r w:rsidRPr="005557B0">
              <w:rPr>
                <w:rFonts w:eastAsia="Times New Roman" w:cs="Times New Roman"/>
                <w:color w:val="000000"/>
                <w:sz w:val="16"/>
                <w:szCs w:val="16"/>
                <w:lang w:val="nl-NL" w:eastAsia="zh-CN"/>
              </w:rPr>
              <w:t>-yes</w:t>
            </w:r>
          </w:p>
        </w:tc>
        <w:tc>
          <w:tcPr>
            <w:tcW w:w="520" w:type="dxa"/>
            <w:tcBorders>
              <w:top w:val="nil"/>
              <w:left w:val="nil"/>
              <w:bottom w:val="nil"/>
              <w:right w:val="nil"/>
            </w:tcBorders>
            <w:shd w:val="clear" w:color="auto" w:fill="auto"/>
            <w:noWrap/>
            <w:vAlign w:val="center"/>
            <w:hideMark/>
          </w:tcPr>
          <w:p w14:paraId="724FCD2A" w14:textId="32E71D04"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–.05</w:t>
            </w:r>
          </w:p>
        </w:tc>
        <w:tc>
          <w:tcPr>
            <w:tcW w:w="520" w:type="dxa"/>
            <w:tcBorders>
              <w:top w:val="nil"/>
              <w:left w:val="nil"/>
              <w:bottom w:val="nil"/>
              <w:right w:val="nil"/>
            </w:tcBorders>
            <w:shd w:val="clear" w:color="auto" w:fill="auto"/>
            <w:noWrap/>
            <w:vAlign w:val="center"/>
            <w:hideMark/>
          </w:tcPr>
          <w:p w14:paraId="7A7EB6BF" w14:textId="6750F94B"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.05</w:t>
            </w:r>
          </w:p>
        </w:tc>
        <w:tc>
          <w:tcPr>
            <w:tcW w:w="520" w:type="dxa"/>
            <w:tcBorders>
              <w:top w:val="nil"/>
              <w:left w:val="nil"/>
              <w:bottom w:val="nil"/>
              <w:right w:val="nil"/>
            </w:tcBorders>
            <w:shd w:val="clear" w:color="auto" w:fill="auto"/>
            <w:noWrap/>
            <w:vAlign w:val="center"/>
            <w:hideMark/>
          </w:tcPr>
          <w:p w14:paraId="6A35AC34" w14:textId="2878A018"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–.06</w:t>
            </w:r>
          </w:p>
        </w:tc>
        <w:tc>
          <w:tcPr>
            <w:tcW w:w="520" w:type="dxa"/>
            <w:tcBorders>
              <w:top w:val="nil"/>
              <w:left w:val="nil"/>
              <w:bottom w:val="nil"/>
              <w:right w:val="nil"/>
            </w:tcBorders>
            <w:shd w:val="clear" w:color="auto" w:fill="auto"/>
            <w:noWrap/>
            <w:vAlign w:val="center"/>
            <w:hideMark/>
          </w:tcPr>
          <w:p w14:paraId="281C399C" w14:textId="7777777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w:t>
            </w:r>
          </w:p>
        </w:tc>
        <w:tc>
          <w:tcPr>
            <w:tcW w:w="520" w:type="dxa"/>
            <w:tcBorders>
              <w:top w:val="nil"/>
              <w:left w:val="nil"/>
              <w:bottom w:val="nil"/>
              <w:right w:val="nil"/>
            </w:tcBorders>
            <w:shd w:val="clear" w:color="auto" w:fill="auto"/>
            <w:noWrap/>
            <w:vAlign w:val="center"/>
            <w:hideMark/>
          </w:tcPr>
          <w:p w14:paraId="5DDACCAB" w14:textId="36A27723"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.10</w:t>
            </w:r>
          </w:p>
        </w:tc>
        <w:tc>
          <w:tcPr>
            <w:tcW w:w="520" w:type="dxa"/>
            <w:tcBorders>
              <w:top w:val="nil"/>
              <w:left w:val="nil"/>
              <w:bottom w:val="nil"/>
              <w:right w:val="nil"/>
            </w:tcBorders>
            <w:shd w:val="clear" w:color="auto" w:fill="auto"/>
            <w:noWrap/>
            <w:vAlign w:val="center"/>
            <w:hideMark/>
          </w:tcPr>
          <w:p w14:paraId="2DEAA266" w14:textId="11C138F5"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–.07</w:t>
            </w:r>
          </w:p>
        </w:tc>
        <w:tc>
          <w:tcPr>
            <w:tcW w:w="520" w:type="dxa"/>
            <w:tcBorders>
              <w:top w:val="nil"/>
              <w:left w:val="nil"/>
              <w:bottom w:val="nil"/>
              <w:right w:val="nil"/>
            </w:tcBorders>
            <w:shd w:val="clear" w:color="auto" w:fill="auto"/>
            <w:noWrap/>
            <w:vAlign w:val="center"/>
            <w:hideMark/>
          </w:tcPr>
          <w:p w14:paraId="1D64FA93" w14:textId="3CB2CE2B"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.07</w:t>
            </w:r>
          </w:p>
        </w:tc>
        <w:tc>
          <w:tcPr>
            <w:tcW w:w="520" w:type="dxa"/>
            <w:tcBorders>
              <w:top w:val="nil"/>
              <w:left w:val="nil"/>
              <w:bottom w:val="nil"/>
              <w:right w:val="nil"/>
            </w:tcBorders>
            <w:shd w:val="clear" w:color="auto" w:fill="auto"/>
            <w:noWrap/>
            <w:vAlign w:val="center"/>
            <w:hideMark/>
          </w:tcPr>
          <w:p w14:paraId="45ED92DF" w14:textId="7777777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w:t>
            </w:r>
          </w:p>
        </w:tc>
        <w:tc>
          <w:tcPr>
            <w:tcW w:w="520" w:type="dxa"/>
            <w:tcBorders>
              <w:top w:val="nil"/>
              <w:left w:val="nil"/>
              <w:bottom w:val="nil"/>
              <w:right w:val="nil"/>
            </w:tcBorders>
            <w:shd w:val="clear" w:color="auto" w:fill="auto"/>
            <w:noWrap/>
            <w:vAlign w:val="center"/>
            <w:hideMark/>
          </w:tcPr>
          <w:p w14:paraId="46285B10" w14:textId="329C262F"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.04</w:t>
            </w:r>
          </w:p>
        </w:tc>
        <w:tc>
          <w:tcPr>
            <w:tcW w:w="520" w:type="dxa"/>
            <w:tcBorders>
              <w:top w:val="nil"/>
              <w:left w:val="nil"/>
              <w:bottom w:val="nil"/>
              <w:right w:val="nil"/>
            </w:tcBorders>
            <w:shd w:val="clear" w:color="auto" w:fill="auto"/>
            <w:noWrap/>
            <w:vAlign w:val="center"/>
            <w:hideMark/>
          </w:tcPr>
          <w:p w14:paraId="153A5DCA" w14:textId="2B719565"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–.10</w:t>
            </w:r>
          </w:p>
        </w:tc>
        <w:tc>
          <w:tcPr>
            <w:tcW w:w="520" w:type="dxa"/>
            <w:tcBorders>
              <w:top w:val="nil"/>
              <w:left w:val="nil"/>
              <w:bottom w:val="nil"/>
              <w:right w:val="nil"/>
            </w:tcBorders>
            <w:shd w:val="clear" w:color="auto" w:fill="auto"/>
            <w:noWrap/>
            <w:vAlign w:val="center"/>
            <w:hideMark/>
          </w:tcPr>
          <w:p w14:paraId="7B2CD436" w14:textId="3F7CFFA2" w:rsidR="000F31A9" w:rsidRPr="005557B0" w:rsidRDefault="00B2001E"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w:t>
            </w:r>
          </w:p>
        </w:tc>
        <w:tc>
          <w:tcPr>
            <w:tcW w:w="520" w:type="dxa"/>
            <w:tcBorders>
              <w:top w:val="nil"/>
              <w:left w:val="nil"/>
              <w:bottom w:val="nil"/>
              <w:right w:val="nil"/>
            </w:tcBorders>
            <w:shd w:val="clear" w:color="auto" w:fill="auto"/>
            <w:noWrap/>
            <w:vAlign w:val="center"/>
            <w:hideMark/>
          </w:tcPr>
          <w:p w14:paraId="01D626EA" w14:textId="77777777" w:rsidR="000F31A9" w:rsidRPr="005557B0" w:rsidRDefault="000F31A9" w:rsidP="009011BB">
            <w:pPr>
              <w:spacing w:line="240" w:lineRule="auto"/>
              <w:jc w:val="center"/>
              <w:rPr>
                <w:rFonts w:eastAsia="Times New Roman" w:cs="Times New Roman"/>
                <w:color w:val="000000"/>
                <w:sz w:val="16"/>
                <w:szCs w:val="16"/>
                <w:lang w:val="nl-NL" w:eastAsia="zh-CN"/>
              </w:rPr>
            </w:pPr>
          </w:p>
        </w:tc>
        <w:tc>
          <w:tcPr>
            <w:tcW w:w="520" w:type="dxa"/>
            <w:tcBorders>
              <w:top w:val="nil"/>
              <w:left w:val="nil"/>
              <w:bottom w:val="nil"/>
              <w:right w:val="nil"/>
            </w:tcBorders>
            <w:shd w:val="clear" w:color="auto" w:fill="auto"/>
            <w:noWrap/>
            <w:vAlign w:val="center"/>
            <w:hideMark/>
          </w:tcPr>
          <w:p w14:paraId="0F9F85E6"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75E08672"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4192B59B"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344DCE41"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27EE7060"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0159E7C6"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711D42AF"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0A9436C7"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73063167"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300" w:type="dxa"/>
            <w:tcBorders>
              <w:top w:val="nil"/>
              <w:left w:val="nil"/>
              <w:bottom w:val="nil"/>
              <w:right w:val="nil"/>
            </w:tcBorders>
            <w:shd w:val="clear" w:color="auto" w:fill="auto"/>
            <w:noWrap/>
            <w:vAlign w:val="center"/>
            <w:hideMark/>
          </w:tcPr>
          <w:p w14:paraId="4FA236B3" w14:textId="77777777" w:rsidR="000F31A9" w:rsidRPr="005557B0" w:rsidRDefault="000F31A9" w:rsidP="009011BB">
            <w:pPr>
              <w:spacing w:line="240" w:lineRule="auto"/>
              <w:jc w:val="center"/>
              <w:rPr>
                <w:rFonts w:eastAsia="Times New Roman" w:cs="Times New Roman"/>
                <w:sz w:val="16"/>
                <w:szCs w:val="16"/>
                <w:lang w:val="nl-NL" w:eastAsia="zh-CN"/>
              </w:rPr>
            </w:pPr>
          </w:p>
        </w:tc>
      </w:tr>
      <w:tr w:rsidR="000F31A9" w:rsidRPr="005557B0" w14:paraId="41181714" w14:textId="77777777" w:rsidTr="000F31A9">
        <w:trPr>
          <w:divId w:val="790055366"/>
          <w:trHeight w:val="225"/>
        </w:trPr>
        <w:tc>
          <w:tcPr>
            <w:tcW w:w="212" w:type="dxa"/>
            <w:tcBorders>
              <w:top w:val="nil"/>
              <w:left w:val="nil"/>
              <w:bottom w:val="nil"/>
              <w:right w:val="nil"/>
            </w:tcBorders>
            <w:shd w:val="clear" w:color="auto" w:fill="auto"/>
            <w:noWrap/>
            <w:vAlign w:val="center"/>
            <w:hideMark/>
          </w:tcPr>
          <w:p w14:paraId="70DDDB59" w14:textId="77777777" w:rsidR="000F31A9" w:rsidRPr="005557B0" w:rsidRDefault="000F31A9" w:rsidP="009011BB">
            <w:pPr>
              <w:spacing w:line="240" w:lineRule="auto"/>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12</w:t>
            </w:r>
          </w:p>
        </w:tc>
        <w:tc>
          <w:tcPr>
            <w:tcW w:w="1828" w:type="dxa"/>
            <w:tcBorders>
              <w:top w:val="nil"/>
              <w:left w:val="nil"/>
              <w:bottom w:val="nil"/>
              <w:right w:val="nil"/>
            </w:tcBorders>
            <w:shd w:val="clear" w:color="auto" w:fill="auto"/>
            <w:noWrap/>
            <w:vAlign w:val="center"/>
            <w:hideMark/>
          </w:tcPr>
          <w:p w14:paraId="0A34E2B1" w14:textId="77777777" w:rsidR="000F31A9" w:rsidRPr="005557B0" w:rsidRDefault="000F31A9" w:rsidP="009011BB">
            <w:pPr>
              <w:spacing w:line="240" w:lineRule="auto"/>
              <w:rPr>
                <w:rFonts w:eastAsia="Times New Roman" w:cs="Times New Roman"/>
                <w:color w:val="000000"/>
                <w:sz w:val="16"/>
                <w:szCs w:val="16"/>
                <w:lang w:val="nl-NL" w:eastAsia="zh-CN"/>
              </w:rPr>
            </w:pPr>
            <w:proofErr w:type="spellStart"/>
            <w:r w:rsidRPr="005557B0">
              <w:rPr>
                <w:rFonts w:eastAsia="Times New Roman" w:cs="Times New Roman"/>
                <w:color w:val="000000"/>
                <w:sz w:val="16"/>
                <w:szCs w:val="16"/>
                <w:lang w:val="nl-NL" w:eastAsia="zh-CN"/>
              </w:rPr>
              <w:t>Incentive</w:t>
            </w:r>
            <w:r w:rsidRPr="005557B0">
              <w:rPr>
                <w:rFonts w:eastAsia="Times New Roman" w:cs="Times New Roman"/>
                <w:color w:val="000000"/>
                <w:sz w:val="16"/>
                <w:szCs w:val="16"/>
                <w:vertAlign w:val="superscript"/>
                <w:lang w:val="nl-NL" w:eastAsia="zh-CN"/>
              </w:rPr>
              <w:t>d</w:t>
            </w:r>
            <w:proofErr w:type="spellEnd"/>
            <w:r w:rsidRPr="005557B0">
              <w:rPr>
                <w:rFonts w:eastAsia="Times New Roman" w:cs="Times New Roman"/>
                <w:color w:val="000000"/>
                <w:sz w:val="16"/>
                <w:szCs w:val="16"/>
                <w:lang w:val="nl-NL" w:eastAsia="zh-CN"/>
              </w:rPr>
              <w:t xml:space="preserve">-non </w:t>
            </w:r>
            <w:proofErr w:type="spellStart"/>
            <w:r w:rsidRPr="005557B0">
              <w:rPr>
                <w:rFonts w:eastAsia="Times New Roman" w:cs="Times New Roman"/>
                <w:color w:val="000000"/>
                <w:sz w:val="16"/>
                <w:szCs w:val="16"/>
                <w:lang w:val="nl-NL" w:eastAsia="zh-CN"/>
              </w:rPr>
              <w:t>lottery</w:t>
            </w:r>
            <w:proofErr w:type="spellEnd"/>
          </w:p>
        </w:tc>
        <w:tc>
          <w:tcPr>
            <w:tcW w:w="520" w:type="dxa"/>
            <w:tcBorders>
              <w:top w:val="nil"/>
              <w:left w:val="nil"/>
              <w:bottom w:val="nil"/>
              <w:right w:val="nil"/>
            </w:tcBorders>
            <w:shd w:val="clear" w:color="auto" w:fill="auto"/>
            <w:noWrap/>
            <w:vAlign w:val="center"/>
            <w:hideMark/>
          </w:tcPr>
          <w:p w14:paraId="29E94F6F" w14:textId="3967CFAE"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.03</w:t>
            </w:r>
          </w:p>
        </w:tc>
        <w:tc>
          <w:tcPr>
            <w:tcW w:w="520" w:type="dxa"/>
            <w:tcBorders>
              <w:top w:val="nil"/>
              <w:left w:val="nil"/>
              <w:bottom w:val="nil"/>
              <w:right w:val="nil"/>
            </w:tcBorders>
            <w:shd w:val="clear" w:color="auto" w:fill="auto"/>
            <w:noWrap/>
            <w:vAlign w:val="center"/>
            <w:hideMark/>
          </w:tcPr>
          <w:p w14:paraId="76991276" w14:textId="5E971A4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–.01</w:t>
            </w:r>
          </w:p>
        </w:tc>
        <w:tc>
          <w:tcPr>
            <w:tcW w:w="520" w:type="dxa"/>
            <w:tcBorders>
              <w:top w:val="nil"/>
              <w:left w:val="nil"/>
              <w:bottom w:val="nil"/>
              <w:right w:val="nil"/>
            </w:tcBorders>
            <w:shd w:val="clear" w:color="auto" w:fill="auto"/>
            <w:noWrap/>
            <w:vAlign w:val="center"/>
            <w:hideMark/>
          </w:tcPr>
          <w:p w14:paraId="69664176" w14:textId="65D80E5A"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–.01</w:t>
            </w:r>
          </w:p>
        </w:tc>
        <w:tc>
          <w:tcPr>
            <w:tcW w:w="520" w:type="dxa"/>
            <w:tcBorders>
              <w:top w:val="nil"/>
              <w:left w:val="nil"/>
              <w:bottom w:val="nil"/>
              <w:right w:val="nil"/>
            </w:tcBorders>
            <w:shd w:val="clear" w:color="auto" w:fill="auto"/>
            <w:noWrap/>
            <w:vAlign w:val="center"/>
            <w:hideMark/>
          </w:tcPr>
          <w:p w14:paraId="12EA2ACE" w14:textId="2CAB7680"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.08</w:t>
            </w:r>
          </w:p>
        </w:tc>
        <w:tc>
          <w:tcPr>
            <w:tcW w:w="520" w:type="dxa"/>
            <w:tcBorders>
              <w:top w:val="nil"/>
              <w:left w:val="nil"/>
              <w:bottom w:val="nil"/>
              <w:right w:val="nil"/>
            </w:tcBorders>
            <w:shd w:val="clear" w:color="auto" w:fill="auto"/>
            <w:noWrap/>
            <w:vAlign w:val="center"/>
            <w:hideMark/>
          </w:tcPr>
          <w:p w14:paraId="3C78D9A2" w14:textId="48EDE43E"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.07</w:t>
            </w:r>
          </w:p>
        </w:tc>
        <w:tc>
          <w:tcPr>
            <w:tcW w:w="520" w:type="dxa"/>
            <w:tcBorders>
              <w:top w:val="nil"/>
              <w:left w:val="nil"/>
              <w:bottom w:val="nil"/>
              <w:right w:val="nil"/>
            </w:tcBorders>
            <w:shd w:val="clear" w:color="auto" w:fill="auto"/>
            <w:noWrap/>
            <w:vAlign w:val="center"/>
            <w:hideMark/>
          </w:tcPr>
          <w:p w14:paraId="0341E98E" w14:textId="6959ECE5"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–.21</w:t>
            </w:r>
          </w:p>
        </w:tc>
        <w:tc>
          <w:tcPr>
            <w:tcW w:w="520" w:type="dxa"/>
            <w:tcBorders>
              <w:top w:val="nil"/>
              <w:left w:val="nil"/>
              <w:bottom w:val="nil"/>
              <w:right w:val="nil"/>
            </w:tcBorders>
            <w:shd w:val="clear" w:color="auto" w:fill="auto"/>
            <w:noWrap/>
            <w:vAlign w:val="center"/>
            <w:hideMark/>
          </w:tcPr>
          <w:p w14:paraId="12A9ADED" w14:textId="39E20D3F"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.02</w:t>
            </w:r>
          </w:p>
        </w:tc>
        <w:tc>
          <w:tcPr>
            <w:tcW w:w="520" w:type="dxa"/>
            <w:tcBorders>
              <w:top w:val="nil"/>
              <w:left w:val="nil"/>
              <w:bottom w:val="nil"/>
              <w:right w:val="nil"/>
            </w:tcBorders>
            <w:shd w:val="clear" w:color="auto" w:fill="auto"/>
            <w:noWrap/>
            <w:vAlign w:val="center"/>
            <w:hideMark/>
          </w:tcPr>
          <w:p w14:paraId="12821F91" w14:textId="3022EDA0"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–.05</w:t>
            </w:r>
          </w:p>
        </w:tc>
        <w:tc>
          <w:tcPr>
            <w:tcW w:w="520" w:type="dxa"/>
            <w:tcBorders>
              <w:top w:val="nil"/>
              <w:left w:val="nil"/>
              <w:bottom w:val="nil"/>
              <w:right w:val="nil"/>
            </w:tcBorders>
            <w:shd w:val="clear" w:color="auto" w:fill="auto"/>
            <w:noWrap/>
            <w:vAlign w:val="center"/>
            <w:hideMark/>
          </w:tcPr>
          <w:p w14:paraId="2501A637" w14:textId="4702CE65"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–.03</w:t>
            </w:r>
          </w:p>
        </w:tc>
        <w:tc>
          <w:tcPr>
            <w:tcW w:w="520" w:type="dxa"/>
            <w:tcBorders>
              <w:top w:val="nil"/>
              <w:left w:val="nil"/>
              <w:bottom w:val="nil"/>
              <w:right w:val="nil"/>
            </w:tcBorders>
            <w:shd w:val="clear" w:color="auto" w:fill="auto"/>
            <w:noWrap/>
            <w:vAlign w:val="center"/>
            <w:hideMark/>
          </w:tcPr>
          <w:p w14:paraId="4B5249B9" w14:textId="51B4C62B"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.07</w:t>
            </w:r>
          </w:p>
        </w:tc>
        <w:tc>
          <w:tcPr>
            <w:tcW w:w="520" w:type="dxa"/>
            <w:tcBorders>
              <w:top w:val="nil"/>
              <w:left w:val="nil"/>
              <w:bottom w:val="nil"/>
              <w:right w:val="nil"/>
            </w:tcBorders>
            <w:shd w:val="clear" w:color="auto" w:fill="auto"/>
            <w:noWrap/>
            <w:vAlign w:val="center"/>
            <w:hideMark/>
          </w:tcPr>
          <w:p w14:paraId="2EE30B76" w14:textId="1F23326B" w:rsidR="000F31A9" w:rsidRPr="005557B0" w:rsidRDefault="000F31A9" w:rsidP="009011BB">
            <w:pPr>
              <w:spacing w:line="240" w:lineRule="auto"/>
              <w:jc w:val="center"/>
              <w:rPr>
                <w:rFonts w:eastAsia="Times New Roman" w:cs="Times New Roman"/>
                <w:b/>
                <w:bCs/>
                <w:color w:val="000000"/>
                <w:sz w:val="16"/>
                <w:szCs w:val="16"/>
                <w:lang w:val="nl-NL" w:eastAsia="zh-CN"/>
              </w:rPr>
            </w:pPr>
            <w:r w:rsidRPr="005557B0">
              <w:rPr>
                <w:rFonts w:eastAsia="Times New Roman" w:cs="Times New Roman"/>
                <w:b/>
                <w:bCs/>
                <w:color w:val="000000"/>
                <w:sz w:val="16"/>
                <w:szCs w:val="16"/>
                <w:lang w:val="nl-NL" w:eastAsia="zh-CN"/>
              </w:rPr>
              <w:t>.63</w:t>
            </w:r>
          </w:p>
        </w:tc>
        <w:tc>
          <w:tcPr>
            <w:tcW w:w="520" w:type="dxa"/>
            <w:tcBorders>
              <w:top w:val="nil"/>
              <w:left w:val="nil"/>
              <w:bottom w:val="nil"/>
              <w:right w:val="nil"/>
            </w:tcBorders>
            <w:shd w:val="clear" w:color="auto" w:fill="auto"/>
            <w:noWrap/>
            <w:vAlign w:val="center"/>
            <w:hideMark/>
          </w:tcPr>
          <w:p w14:paraId="573B6BC2" w14:textId="245201B3" w:rsidR="000F31A9" w:rsidRPr="005557B0" w:rsidRDefault="00B2001E"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w:t>
            </w:r>
          </w:p>
        </w:tc>
        <w:tc>
          <w:tcPr>
            <w:tcW w:w="520" w:type="dxa"/>
            <w:tcBorders>
              <w:top w:val="nil"/>
              <w:left w:val="nil"/>
              <w:bottom w:val="nil"/>
              <w:right w:val="nil"/>
            </w:tcBorders>
            <w:shd w:val="clear" w:color="auto" w:fill="auto"/>
            <w:noWrap/>
            <w:vAlign w:val="center"/>
            <w:hideMark/>
          </w:tcPr>
          <w:p w14:paraId="1DA1CCAB" w14:textId="77777777" w:rsidR="000F31A9" w:rsidRPr="005557B0" w:rsidRDefault="000F31A9" w:rsidP="009011BB">
            <w:pPr>
              <w:spacing w:line="240" w:lineRule="auto"/>
              <w:jc w:val="center"/>
              <w:rPr>
                <w:rFonts w:eastAsia="Times New Roman" w:cs="Times New Roman"/>
                <w:color w:val="000000"/>
                <w:sz w:val="16"/>
                <w:szCs w:val="16"/>
                <w:lang w:val="nl-NL" w:eastAsia="zh-CN"/>
              </w:rPr>
            </w:pPr>
          </w:p>
        </w:tc>
        <w:tc>
          <w:tcPr>
            <w:tcW w:w="520" w:type="dxa"/>
            <w:tcBorders>
              <w:top w:val="nil"/>
              <w:left w:val="nil"/>
              <w:bottom w:val="nil"/>
              <w:right w:val="nil"/>
            </w:tcBorders>
            <w:shd w:val="clear" w:color="auto" w:fill="auto"/>
            <w:noWrap/>
            <w:vAlign w:val="center"/>
            <w:hideMark/>
          </w:tcPr>
          <w:p w14:paraId="633571C5"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145A6E82"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6C4E1FD4"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0C280779"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76B35F61"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5A5F15CE"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0CD46C8F"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4C5572EE"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300" w:type="dxa"/>
            <w:tcBorders>
              <w:top w:val="nil"/>
              <w:left w:val="nil"/>
              <w:bottom w:val="nil"/>
              <w:right w:val="nil"/>
            </w:tcBorders>
            <w:shd w:val="clear" w:color="auto" w:fill="auto"/>
            <w:noWrap/>
            <w:vAlign w:val="center"/>
            <w:hideMark/>
          </w:tcPr>
          <w:p w14:paraId="0526EB28" w14:textId="77777777" w:rsidR="000F31A9" w:rsidRPr="005557B0" w:rsidRDefault="000F31A9" w:rsidP="009011BB">
            <w:pPr>
              <w:spacing w:line="240" w:lineRule="auto"/>
              <w:jc w:val="center"/>
              <w:rPr>
                <w:rFonts w:eastAsia="Times New Roman" w:cs="Times New Roman"/>
                <w:sz w:val="16"/>
                <w:szCs w:val="16"/>
                <w:lang w:val="nl-NL" w:eastAsia="zh-CN"/>
              </w:rPr>
            </w:pPr>
          </w:p>
        </w:tc>
      </w:tr>
      <w:tr w:rsidR="000F31A9" w:rsidRPr="005557B0" w14:paraId="56C78269" w14:textId="77777777" w:rsidTr="000F31A9">
        <w:trPr>
          <w:divId w:val="790055366"/>
          <w:trHeight w:val="225"/>
        </w:trPr>
        <w:tc>
          <w:tcPr>
            <w:tcW w:w="212" w:type="dxa"/>
            <w:tcBorders>
              <w:top w:val="nil"/>
              <w:left w:val="nil"/>
              <w:bottom w:val="nil"/>
              <w:right w:val="nil"/>
            </w:tcBorders>
            <w:shd w:val="clear" w:color="auto" w:fill="auto"/>
            <w:noWrap/>
            <w:vAlign w:val="center"/>
            <w:hideMark/>
          </w:tcPr>
          <w:p w14:paraId="543A20EC" w14:textId="77777777" w:rsidR="000F31A9" w:rsidRPr="005557B0" w:rsidRDefault="000F31A9" w:rsidP="009011BB">
            <w:pPr>
              <w:spacing w:line="240" w:lineRule="auto"/>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13</w:t>
            </w:r>
          </w:p>
        </w:tc>
        <w:tc>
          <w:tcPr>
            <w:tcW w:w="1828" w:type="dxa"/>
            <w:tcBorders>
              <w:top w:val="nil"/>
              <w:left w:val="nil"/>
              <w:bottom w:val="nil"/>
              <w:right w:val="nil"/>
            </w:tcBorders>
            <w:shd w:val="clear" w:color="auto" w:fill="auto"/>
            <w:noWrap/>
            <w:vAlign w:val="center"/>
            <w:hideMark/>
          </w:tcPr>
          <w:p w14:paraId="550DE296" w14:textId="77777777" w:rsidR="000F31A9" w:rsidRPr="005557B0" w:rsidRDefault="000F31A9" w:rsidP="009011BB">
            <w:pPr>
              <w:spacing w:line="240" w:lineRule="auto"/>
              <w:rPr>
                <w:rFonts w:eastAsia="Times New Roman" w:cs="Times New Roman"/>
                <w:color w:val="000000"/>
                <w:sz w:val="16"/>
                <w:szCs w:val="16"/>
                <w:lang w:val="nl-NL" w:eastAsia="zh-CN"/>
              </w:rPr>
            </w:pPr>
            <w:proofErr w:type="spellStart"/>
            <w:r w:rsidRPr="005557B0">
              <w:rPr>
                <w:rFonts w:eastAsia="Times New Roman" w:cs="Times New Roman"/>
                <w:color w:val="000000"/>
                <w:sz w:val="16"/>
                <w:szCs w:val="16"/>
                <w:lang w:val="nl-NL" w:eastAsia="zh-CN"/>
              </w:rPr>
              <w:t>Incentive</w:t>
            </w:r>
            <w:r w:rsidRPr="005557B0">
              <w:rPr>
                <w:rFonts w:eastAsia="Times New Roman" w:cs="Times New Roman"/>
                <w:color w:val="000000"/>
                <w:sz w:val="16"/>
                <w:szCs w:val="16"/>
                <w:vertAlign w:val="superscript"/>
                <w:lang w:val="nl-NL" w:eastAsia="zh-CN"/>
              </w:rPr>
              <w:t>e</w:t>
            </w:r>
            <w:r w:rsidRPr="005557B0">
              <w:rPr>
                <w:rFonts w:eastAsia="Times New Roman" w:cs="Times New Roman"/>
                <w:color w:val="000000"/>
                <w:sz w:val="16"/>
                <w:szCs w:val="16"/>
                <w:lang w:val="nl-NL" w:eastAsia="zh-CN"/>
              </w:rPr>
              <w:t>-monetary</w:t>
            </w:r>
            <w:proofErr w:type="spellEnd"/>
          </w:p>
        </w:tc>
        <w:tc>
          <w:tcPr>
            <w:tcW w:w="520" w:type="dxa"/>
            <w:tcBorders>
              <w:top w:val="nil"/>
              <w:left w:val="nil"/>
              <w:bottom w:val="nil"/>
              <w:right w:val="nil"/>
            </w:tcBorders>
            <w:shd w:val="clear" w:color="auto" w:fill="auto"/>
            <w:noWrap/>
            <w:vAlign w:val="center"/>
            <w:hideMark/>
          </w:tcPr>
          <w:p w14:paraId="10BA8111" w14:textId="7917E6CC"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–.08</w:t>
            </w:r>
          </w:p>
        </w:tc>
        <w:tc>
          <w:tcPr>
            <w:tcW w:w="520" w:type="dxa"/>
            <w:tcBorders>
              <w:top w:val="nil"/>
              <w:left w:val="nil"/>
              <w:bottom w:val="nil"/>
              <w:right w:val="nil"/>
            </w:tcBorders>
            <w:shd w:val="clear" w:color="auto" w:fill="auto"/>
            <w:noWrap/>
            <w:vAlign w:val="center"/>
            <w:hideMark/>
          </w:tcPr>
          <w:p w14:paraId="5DF62438" w14:textId="24FE17D9"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.04</w:t>
            </w:r>
          </w:p>
        </w:tc>
        <w:tc>
          <w:tcPr>
            <w:tcW w:w="520" w:type="dxa"/>
            <w:tcBorders>
              <w:top w:val="nil"/>
              <w:left w:val="nil"/>
              <w:bottom w:val="nil"/>
              <w:right w:val="nil"/>
            </w:tcBorders>
            <w:shd w:val="clear" w:color="auto" w:fill="auto"/>
            <w:noWrap/>
            <w:vAlign w:val="center"/>
            <w:hideMark/>
          </w:tcPr>
          <w:p w14:paraId="46D85747" w14:textId="42E59D80"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.04</w:t>
            </w:r>
          </w:p>
        </w:tc>
        <w:tc>
          <w:tcPr>
            <w:tcW w:w="520" w:type="dxa"/>
            <w:tcBorders>
              <w:top w:val="nil"/>
              <w:left w:val="nil"/>
              <w:bottom w:val="nil"/>
              <w:right w:val="nil"/>
            </w:tcBorders>
            <w:shd w:val="clear" w:color="auto" w:fill="auto"/>
            <w:noWrap/>
            <w:vAlign w:val="center"/>
            <w:hideMark/>
          </w:tcPr>
          <w:p w14:paraId="74991DF3" w14:textId="7DD7FDC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–.07</w:t>
            </w:r>
          </w:p>
        </w:tc>
        <w:tc>
          <w:tcPr>
            <w:tcW w:w="520" w:type="dxa"/>
            <w:tcBorders>
              <w:top w:val="nil"/>
              <w:left w:val="nil"/>
              <w:bottom w:val="nil"/>
              <w:right w:val="nil"/>
            </w:tcBorders>
            <w:shd w:val="clear" w:color="auto" w:fill="auto"/>
            <w:noWrap/>
            <w:vAlign w:val="center"/>
            <w:hideMark/>
          </w:tcPr>
          <w:p w14:paraId="311EE758" w14:textId="622FCA08"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.10</w:t>
            </w:r>
          </w:p>
        </w:tc>
        <w:tc>
          <w:tcPr>
            <w:tcW w:w="520" w:type="dxa"/>
            <w:tcBorders>
              <w:top w:val="nil"/>
              <w:left w:val="nil"/>
              <w:bottom w:val="nil"/>
              <w:right w:val="nil"/>
            </w:tcBorders>
            <w:shd w:val="clear" w:color="auto" w:fill="auto"/>
            <w:noWrap/>
            <w:vAlign w:val="center"/>
            <w:hideMark/>
          </w:tcPr>
          <w:p w14:paraId="099DDC63" w14:textId="5E666FCB"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–.13</w:t>
            </w:r>
          </w:p>
        </w:tc>
        <w:tc>
          <w:tcPr>
            <w:tcW w:w="520" w:type="dxa"/>
            <w:tcBorders>
              <w:top w:val="nil"/>
              <w:left w:val="nil"/>
              <w:bottom w:val="nil"/>
              <w:right w:val="nil"/>
            </w:tcBorders>
            <w:shd w:val="clear" w:color="auto" w:fill="auto"/>
            <w:noWrap/>
            <w:vAlign w:val="center"/>
            <w:hideMark/>
          </w:tcPr>
          <w:p w14:paraId="081C6509" w14:textId="1ADBA540"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.04</w:t>
            </w:r>
          </w:p>
        </w:tc>
        <w:tc>
          <w:tcPr>
            <w:tcW w:w="520" w:type="dxa"/>
            <w:tcBorders>
              <w:top w:val="nil"/>
              <w:left w:val="nil"/>
              <w:bottom w:val="nil"/>
              <w:right w:val="nil"/>
            </w:tcBorders>
            <w:shd w:val="clear" w:color="auto" w:fill="auto"/>
            <w:noWrap/>
            <w:vAlign w:val="center"/>
            <w:hideMark/>
          </w:tcPr>
          <w:p w14:paraId="445CBE0C" w14:textId="775F4E4E"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–.02</w:t>
            </w:r>
          </w:p>
        </w:tc>
        <w:tc>
          <w:tcPr>
            <w:tcW w:w="520" w:type="dxa"/>
            <w:tcBorders>
              <w:top w:val="nil"/>
              <w:left w:val="nil"/>
              <w:bottom w:val="nil"/>
              <w:right w:val="nil"/>
            </w:tcBorders>
            <w:shd w:val="clear" w:color="auto" w:fill="auto"/>
            <w:noWrap/>
            <w:vAlign w:val="center"/>
            <w:hideMark/>
          </w:tcPr>
          <w:p w14:paraId="34F3998B" w14:textId="1E4C002C"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.03</w:t>
            </w:r>
          </w:p>
        </w:tc>
        <w:tc>
          <w:tcPr>
            <w:tcW w:w="520" w:type="dxa"/>
            <w:tcBorders>
              <w:top w:val="nil"/>
              <w:left w:val="nil"/>
              <w:bottom w:val="nil"/>
              <w:right w:val="nil"/>
            </w:tcBorders>
            <w:shd w:val="clear" w:color="auto" w:fill="auto"/>
            <w:noWrap/>
            <w:vAlign w:val="center"/>
            <w:hideMark/>
          </w:tcPr>
          <w:p w14:paraId="00563268" w14:textId="64AF58F2"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.04</w:t>
            </w:r>
          </w:p>
        </w:tc>
        <w:tc>
          <w:tcPr>
            <w:tcW w:w="520" w:type="dxa"/>
            <w:tcBorders>
              <w:top w:val="nil"/>
              <w:left w:val="nil"/>
              <w:bottom w:val="nil"/>
              <w:right w:val="nil"/>
            </w:tcBorders>
            <w:shd w:val="clear" w:color="auto" w:fill="auto"/>
            <w:noWrap/>
            <w:vAlign w:val="center"/>
            <w:hideMark/>
          </w:tcPr>
          <w:p w14:paraId="05D86925" w14:textId="35F42843" w:rsidR="000F31A9" w:rsidRPr="005557B0" w:rsidRDefault="000F31A9" w:rsidP="009011BB">
            <w:pPr>
              <w:spacing w:line="240" w:lineRule="auto"/>
              <w:jc w:val="center"/>
              <w:rPr>
                <w:rFonts w:eastAsia="Times New Roman" w:cs="Times New Roman"/>
                <w:b/>
                <w:bCs/>
                <w:color w:val="000000"/>
                <w:sz w:val="16"/>
                <w:szCs w:val="16"/>
                <w:lang w:val="nl-NL" w:eastAsia="zh-CN"/>
              </w:rPr>
            </w:pPr>
            <w:r w:rsidRPr="005557B0">
              <w:rPr>
                <w:rFonts w:eastAsia="Times New Roman" w:cs="Times New Roman"/>
                <w:b/>
                <w:bCs/>
                <w:color w:val="000000"/>
                <w:sz w:val="16"/>
                <w:szCs w:val="16"/>
                <w:lang w:val="nl-NL" w:eastAsia="zh-CN"/>
              </w:rPr>
              <w:t>.75</w:t>
            </w:r>
          </w:p>
        </w:tc>
        <w:tc>
          <w:tcPr>
            <w:tcW w:w="520" w:type="dxa"/>
            <w:tcBorders>
              <w:top w:val="nil"/>
              <w:left w:val="nil"/>
              <w:bottom w:val="nil"/>
              <w:right w:val="nil"/>
            </w:tcBorders>
            <w:shd w:val="clear" w:color="auto" w:fill="auto"/>
            <w:noWrap/>
            <w:vAlign w:val="center"/>
            <w:hideMark/>
          </w:tcPr>
          <w:p w14:paraId="5A466E1C" w14:textId="72B95ED7" w:rsidR="000F31A9" w:rsidRPr="005557B0" w:rsidRDefault="000F31A9" w:rsidP="009011BB">
            <w:pPr>
              <w:spacing w:line="240" w:lineRule="auto"/>
              <w:jc w:val="center"/>
              <w:rPr>
                <w:rFonts w:eastAsia="Times New Roman" w:cs="Times New Roman"/>
                <w:b/>
                <w:bCs/>
                <w:color w:val="000000"/>
                <w:sz w:val="16"/>
                <w:szCs w:val="16"/>
                <w:lang w:val="nl-NL" w:eastAsia="zh-CN"/>
              </w:rPr>
            </w:pPr>
            <w:r w:rsidRPr="005557B0">
              <w:rPr>
                <w:rFonts w:eastAsia="Times New Roman" w:cs="Times New Roman"/>
                <w:b/>
                <w:bCs/>
                <w:color w:val="000000"/>
                <w:sz w:val="16"/>
                <w:szCs w:val="16"/>
                <w:lang w:val="nl-NL" w:eastAsia="zh-CN"/>
              </w:rPr>
              <w:t>.55</w:t>
            </w:r>
          </w:p>
        </w:tc>
        <w:tc>
          <w:tcPr>
            <w:tcW w:w="520" w:type="dxa"/>
            <w:tcBorders>
              <w:top w:val="nil"/>
              <w:left w:val="nil"/>
              <w:bottom w:val="nil"/>
              <w:right w:val="nil"/>
            </w:tcBorders>
            <w:shd w:val="clear" w:color="auto" w:fill="auto"/>
            <w:noWrap/>
            <w:vAlign w:val="center"/>
            <w:hideMark/>
          </w:tcPr>
          <w:p w14:paraId="5AFAFCD3" w14:textId="4C784967" w:rsidR="000F31A9" w:rsidRPr="005557B0" w:rsidRDefault="00B2001E"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w:t>
            </w:r>
          </w:p>
        </w:tc>
        <w:tc>
          <w:tcPr>
            <w:tcW w:w="520" w:type="dxa"/>
            <w:tcBorders>
              <w:top w:val="nil"/>
              <w:left w:val="nil"/>
              <w:bottom w:val="nil"/>
              <w:right w:val="nil"/>
            </w:tcBorders>
            <w:shd w:val="clear" w:color="auto" w:fill="auto"/>
            <w:noWrap/>
            <w:vAlign w:val="center"/>
            <w:hideMark/>
          </w:tcPr>
          <w:p w14:paraId="69C21DBD" w14:textId="77777777" w:rsidR="000F31A9" w:rsidRPr="005557B0" w:rsidRDefault="000F31A9" w:rsidP="009011BB">
            <w:pPr>
              <w:spacing w:line="240" w:lineRule="auto"/>
              <w:jc w:val="center"/>
              <w:rPr>
                <w:rFonts w:eastAsia="Times New Roman" w:cs="Times New Roman"/>
                <w:color w:val="000000"/>
                <w:sz w:val="16"/>
                <w:szCs w:val="16"/>
                <w:lang w:val="nl-NL" w:eastAsia="zh-CN"/>
              </w:rPr>
            </w:pPr>
          </w:p>
        </w:tc>
        <w:tc>
          <w:tcPr>
            <w:tcW w:w="520" w:type="dxa"/>
            <w:tcBorders>
              <w:top w:val="nil"/>
              <w:left w:val="nil"/>
              <w:bottom w:val="nil"/>
              <w:right w:val="nil"/>
            </w:tcBorders>
            <w:shd w:val="clear" w:color="auto" w:fill="auto"/>
            <w:noWrap/>
            <w:vAlign w:val="center"/>
            <w:hideMark/>
          </w:tcPr>
          <w:p w14:paraId="56FBDBDD"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172E7EF6"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6DC95664"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60042EEA"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1B88B920"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6732CC9A"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22E010D4"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300" w:type="dxa"/>
            <w:tcBorders>
              <w:top w:val="nil"/>
              <w:left w:val="nil"/>
              <w:bottom w:val="nil"/>
              <w:right w:val="nil"/>
            </w:tcBorders>
            <w:shd w:val="clear" w:color="auto" w:fill="auto"/>
            <w:noWrap/>
            <w:vAlign w:val="center"/>
            <w:hideMark/>
          </w:tcPr>
          <w:p w14:paraId="08F2698A" w14:textId="77777777" w:rsidR="000F31A9" w:rsidRPr="005557B0" w:rsidRDefault="000F31A9" w:rsidP="009011BB">
            <w:pPr>
              <w:spacing w:line="240" w:lineRule="auto"/>
              <w:jc w:val="center"/>
              <w:rPr>
                <w:rFonts w:eastAsia="Times New Roman" w:cs="Times New Roman"/>
                <w:sz w:val="16"/>
                <w:szCs w:val="16"/>
                <w:lang w:val="nl-NL" w:eastAsia="zh-CN"/>
              </w:rPr>
            </w:pPr>
          </w:p>
        </w:tc>
      </w:tr>
      <w:tr w:rsidR="000F31A9" w:rsidRPr="005557B0" w14:paraId="6A9E5DAE" w14:textId="77777777" w:rsidTr="000F31A9">
        <w:trPr>
          <w:divId w:val="790055366"/>
          <w:trHeight w:val="225"/>
        </w:trPr>
        <w:tc>
          <w:tcPr>
            <w:tcW w:w="212" w:type="dxa"/>
            <w:tcBorders>
              <w:top w:val="nil"/>
              <w:left w:val="nil"/>
              <w:bottom w:val="nil"/>
              <w:right w:val="nil"/>
            </w:tcBorders>
            <w:shd w:val="clear" w:color="auto" w:fill="auto"/>
            <w:noWrap/>
            <w:vAlign w:val="center"/>
            <w:hideMark/>
          </w:tcPr>
          <w:p w14:paraId="3EE2E796" w14:textId="77777777" w:rsidR="000F31A9" w:rsidRPr="005557B0" w:rsidRDefault="000F31A9" w:rsidP="009011BB">
            <w:pPr>
              <w:spacing w:line="240" w:lineRule="auto"/>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14</w:t>
            </w:r>
          </w:p>
        </w:tc>
        <w:tc>
          <w:tcPr>
            <w:tcW w:w="1828" w:type="dxa"/>
            <w:tcBorders>
              <w:top w:val="nil"/>
              <w:left w:val="nil"/>
              <w:bottom w:val="nil"/>
              <w:right w:val="nil"/>
            </w:tcBorders>
            <w:shd w:val="clear" w:color="auto" w:fill="auto"/>
            <w:noWrap/>
            <w:vAlign w:val="center"/>
            <w:hideMark/>
          </w:tcPr>
          <w:p w14:paraId="21DB3F7C" w14:textId="77777777" w:rsidR="000F31A9" w:rsidRPr="005557B0" w:rsidRDefault="000F31A9" w:rsidP="009011BB">
            <w:pPr>
              <w:spacing w:line="240" w:lineRule="auto"/>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 xml:space="preserve">Show up </w:t>
            </w:r>
            <w:proofErr w:type="spellStart"/>
            <w:r w:rsidRPr="005557B0">
              <w:rPr>
                <w:rFonts w:eastAsia="Times New Roman" w:cs="Times New Roman"/>
                <w:color w:val="000000"/>
                <w:sz w:val="16"/>
                <w:szCs w:val="16"/>
                <w:lang w:val="nl-NL" w:eastAsia="zh-CN"/>
              </w:rPr>
              <w:t>fee</w:t>
            </w:r>
            <w:r w:rsidRPr="005557B0">
              <w:rPr>
                <w:rFonts w:eastAsia="Times New Roman" w:cs="Times New Roman"/>
                <w:color w:val="000000"/>
                <w:sz w:val="16"/>
                <w:szCs w:val="16"/>
                <w:vertAlign w:val="superscript"/>
                <w:lang w:val="nl-NL" w:eastAsia="zh-CN"/>
              </w:rPr>
              <w:t>a</w:t>
            </w:r>
            <w:proofErr w:type="spellEnd"/>
            <w:r w:rsidRPr="005557B0">
              <w:rPr>
                <w:rFonts w:eastAsia="Times New Roman" w:cs="Times New Roman"/>
                <w:color w:val="000000"/>
                <w:sz w:val="16"/>
                <w:szCs w:val="16"/>
                <w:lang w:val="nl-NL" w:eastAsia="zh-CN"/>
              </w:rPr>
              <w:t>-yes</w:t>
            </w:r>
          </w:p>
        </w:tc>
        <w:tc>
          <w:tcPr>
            <w:tcW w:w="520" w:type="dxa"/>
            <w:tcBorders>
              <w:top w:val="nil"/>
              <w:left w:val="nil"/>
              <w:bottom w:val="nil"/>
              <w:right w:val="nil"/>
            </w:tcBorders>
            <w:shd w:val="clear" w:color="auto" w:fill="auto"/>
            <w:noWrap/>
            <w:vAlign w:val="center"/>
            <w:hideMark/>
          </w:tcPr>
          <w:p w14:paraId="731F314A" w14:textId="3DA4D274"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–.01</w:t>
            </w:r>
          </w:p>
        </w:tc>
        <w:tc>
          <w:tcPr>
            <w:tcW w:w="520" w:type="dxa"/>
            <w:tcBorders>
              <w:top w:val="nil"/>
              <w:left w:val="nil"/>
              <w:bottom w:val="nil"/>
              <w:right w:val="nil"/>
            </w:tcBorders>
            <w:shd w:val="clear" w:color="auto" w:fill="auto"/>
            <w:noWrap/>
            <w:vAlign w:val="center"/>
            <w:hideMark/>
          </w:tcPr>
          <w:p w14:paraId="0EB2DB66" w14:textId="772A846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–.02</w:t>
            </w:r>
          </w:p>
        </w:tc>
        <w:tc>
          <w:tcPr>
            <w:tcW w:w="520" w:type="dxa"/>
            <w:tcBorders>
              <w:top w:val="nil"/>
              <w:left w:val="nil"/>
              <w:bottom w:val="nil"/>
              <w:right w:val="nil"/>
            </w:tcBorders>
            <w:shd w:val="clear" w:color="auto" w:fill="auto"/>
            <w:noWrap/>
            <w:vAlign w:val="center"/>
            <w:hideMark/>
          </w:tcPr>
          <w:p w14:paraId="7E9780BD" w14:textId="35266293"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–.13</w:t>
            </w:r>
          </w:p>
        </w:tc>
        <w:tc>
          <w:tcPr>
            <w:tcW w:w="520" w:type="dxa"/>
            <w:tcBorders>
              <w:top w:val="nil"/>
              <w:left w:val="nil"/>
              <w:bottom w:val="nil"/>
              <w:right w:val="nil"/>
            </w:tcBorders>
            <w:shd w:val="clear" w:color="auto" w:fill="auto"/>
            <w:noWrap/>
            <w:vAlign w:val="center"/>
            <w:hideMark/>
          </w:tcPr>
          <w:p w14:paraId="1532C4B4" w14:textId="1CA05E52"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–.11</w:t>
            </w:r>
          </w:p>
        </w:tc>
        <w:tc>
          <w:tcPr>
            <w:tcW w:w="520" w:type="dxa"/>
            <w:tcBorders>
              <w:top w:val="nil"/>
              <w:left w:val="nil"/>
              <w:bottom w:val="nil"/>
              <w:right w:val="nil"/>
            </w:tcBorders>
            <w:shd w:val="clear" w:color="auto" w:fill="auto"/>
            <w:noWrap/>
            <w:vAlign w:val="center"/>
            <w:hideMark/>
          </w:tcPr>
          <w:p w14:paraId="57B0F28C" w14:textId="4F4F3D1D"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.06</w:t>
            </w:r>
          </w:p>
        </w:tc>
        <w:tc>
          <w:tcPr>
            <w:tcW w:w="520" w:type="dxa"/>
            <w:tcBorders>
              <w:top w:val="nil"/>
              <w:left w:val="nil"/>
              <w:bottom w:val="nil"/>
              <w:right w:val="nil"/>
            </w:tcBorders>
            <w:shd w:val="clear" w:color="auto" w:fill="auto"/>
            <w:noWrap/>
            <w:vAlign w:val="center"/>
            <w:hideMark/>
          </w:tcPr>
          <w:p w14:paraId="3A55D7CD" w14:textId="2DE86CC2"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.05</w:t>
            </w:r>
          </w:p>
        </w:tc>
        <w:tc>
          <w:tcPr>
            <w:tcW w:w="520" w:type="dxa"/>
            <w:tcBorders>
              <w:top w:val="nil"/>
              <w:left w:val="nil"/>
              <w:bottom w:val="nil"/>
              <w:right w:val="nil"/>
            </w:tcBorders>
            <w:shd w:val="clear" w:color="auto" w:fill="auto"/>
            <w:noWrap/>
            <w:vAlign w:val="center"/>
            <w:hideMark/>
          </w:tcPr>
          <w:p w14:paraId="0A449F61" w14:textId="7777777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w:t>
            </w:r>
          </w:p>
        </w:tc>
        <w:tc>
          <w:tcPr>
            <w:tcW w:w="520" w:type="dxa"/>
            <w:tcBorders>
              <w:top w:val="nil"/>
              <w:left w:val="nil"/>
              <w:bottom w:val="nil"/>
              <w:right w:val="nil"/>
            </w:tcBorders>
            <w:shd w:val="clear" w:color="auto" w:fill="auto"/>
            <w:noWrap/>
            <w:vAlign w:val="center"/>
            <w:hideMark/>
          </w:tcPr>
          <w:p w14:paraId="05A2FFCB" w14:textId="48A1258B"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–.04</w:t>
            </w:r>
          </w:p>
        </w:tc>
        <w:tc>
          <w:tcPr>
            <w:tcW w:w="520" w:type="dxa"/>
            <w:tcBorders>
              <w:top w:val="nil"/>
              <w:left w:val="nil"/>
              <w:bottom w:val="nil"/>
              <w:right w:val="nil"/>
            </w:tcBorders>
            <w:shd w:val="clear" w:color="auto" w:fill="auto"/>
            <w:noWrap/>
            <w:vAlign w:val="center"/>
            <w:hideMark/>
          </w:tcPr>
          <w:p w14:paraId="593BC106" w14:textId="692A21E1"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–.05</w:t>
            </w:r>
          </w:p>
        </w:tc>
        <w:tc>
          <w:tcPr>
            <w:tcW w:w="520" w:type="dxa"/>
            <w:tcBorders>
              <w:top w:val="nil"/>
              <w:left w:val="nil"/>
              <w:bottom w:val="nil"/>
              <w:right w:val="nil"/>
            </w:tcBorders>
            <w:shd w:val="clear" w:color="auto" w:fill="auto"/>
            <w:noWrap/>
            <w:vAlign w:val="center"/>
            <w:hideMark/>
          </w:tcPr>
          <w:p w14:paraId="6468D872" w14:textId="1062B385"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–.08</w:t>
            </w:r>
          </w:p>
        </w:tc>
        <w:tc>
          <w:tcPr>
            <w:tcW w:w="520" w:type="dxa"/>
            <w:tcBorders>
              <w:top w:val="nil"/>
              <w:left w:val="nil"/>
              <w:bottom w:val="nil"/>
              <w:right w:val="nil"/>
            </w:tcBorders>
            <w:shd w:val="clear" w:color="auto" w:fill="auto"/>
            <w:noWrap/>
            <w:vAlign w:val="center"/>
            <w:hideMark/>
          </w:tcPr>
          <w:p w14:paraId="25448261" w14:textId="358DB5AE"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.10</w:t>
            </w:r>
          </w:p>
        </w:tc>
        <w:tc>
          <w:tcPr>
            <w:tcW w:w="520" w:type="dxa"/>
            <w:tcBorders>
              <w:top w:val="nil"/>
              <w:left w:val="nil"/>
              <w:bottom w:val="nil"/>
              <w:right w:val="nil"/>
            </w:tcBorders>
            <w:shd w:val="clear" w:color="auto" w:fill="auto"/>
            <w:noWrap/>
            <w:vAlign w:val="center"/>
            <w:hideMark/>
          </w:tcPr>
          <w:p w14:paraId="504A8B78" w14:textId="187FAF2D"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.01</w:t>
            </w:r>
          </w:p>
        </w:tc>
        <w:tc>
          <w:tcPr>
            <w:tcW w:w="520" w:type="dxa"/>
            <w:tcBorders>
              <w:top w:val="nil"/>
              <w:left w:val="nil"/>
              <w:bottom w:val="nil"/>
              <w:right w:val="nil"/>
            </w:tcBorders>
            <w:shd w:val="clear" w:color="auto" w:fill="auto"/>
            <w:noWrap/>
            <w:vAlign w:val="center"/>
            <w:hideMark/>
          </w:tcPr>
          <w:p w14:paraId="56D55854" w14:textId="75701874"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.08</w:t>
            </w:r>
          </w:p>
        </w:tc>
        <w:tc>
          <w:tcPr>
            <w:tcW w:w="520" w:type="dxa"/>
            <w:tcBorders>
              <w:top w:val="nil"/>
              <w:left w:val="nil"/>
              <w:bottom w:val="nil"/>
              <w:right w:val="nil"/>
            </w:tcBorders>
            <w:shd w:val="clear" w:color="auto" w:fill="auto"/>
            <w:noWrap/>
            <w:vAlign w:val="center"/>
            <w:hideMark/>
          </w:tcPr>
          <w:p w14:paraId="51AA7145" w14:textId="68670270" w:rsidR="000F31A9" w:rsidRPr="005557B0" w:rsidRDefault="00B2001E"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w:t>
            </w:r>
          </w:p>
        </w:tc>
        <w:tc>
          <w:tcPr>
            <w:tcW w:w="520" w:type="dxa"/>
            <w:tcBorders>
              <w:top w:val="nil"/>
              <w:left w:val="nil"/>
              <w:bottom w:val="nil"/>
              <w:right w:val="nil"/>
            </w:tcBorders>
            <w:shd w:val="clear" w:color="auto" w:fill="auto"/>
            <w:noWrap/>
            <w:vAlign w:val="center"/>
            <w:hideMark/>
          </w:tcPr>
          <w:p w14:paraId="12C84D58" w14:textId="77777777" w:rsidR="000F31A9" w:rsidRPr="005557B0" w:rsidRDefault="000F31A9" w:rsidP="009011BB">
            <w:pPr>
              <w:spacing w:line="240" w:lineRule="auto"/>
              <w:jc w:val="center"/>
              <w:rPr>
                <w:rFonts w:eastAsia="Times New Roman" w:cs="Times New Roman"/>
                <w:color w:val="000000"/>
                <w:sz w:val="16"/>
                <w:szCs w:val="16"/>
                <w:lang w:val="nl-NL" w:eastAsia="zh-CN"/>
              </w:rPr>
            </w:pPr>
          </w:p>
        </w:tc>
        <w:tc>
          <w:tcPr>
            <w:tcW w:w="520" w:type="dxa"/>
            <w:tcBorders>
              <w:top w:val="nil"/>
              <w:left w:val="nil"/>
              <w:bottom w:val="nil"/>
              <w:right w:val="nil"/>
            </w:tcBorders>
            <w:shd w:val="clear" w:color="auto" w:fill="auto"/>
            <w:noWrap/>
            <w:vAlign w:val="center"/>
            <w:hideMark/>
          </w:tcPr>
          <w:p w14:paraId="294BE450"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5F82A581"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32143AE7"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4D247F1E"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0C2D7B84"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47E833B8"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300" w:type="dxa"/>
            <w:tcBorders>
              <w:top w:val="nil"/>
              <w:left w:val="nil"/>
              <w:bottom w:val="nil"/>
              <w:right w:val="nil"/>
            </w:tcBorders>
            <w:shd w:val="clear" w:color="auto" w:fill="auto"/>
            <w:noWrap/>
            <w:vAlign w:val="center"/>
            <w:hideMark/>
          </w:tcPr>
          <w:p w14:paraId="3214FF99" w14:textId="77777777" w:rsidR="000F31A9" w:rsidRPr="005557B0" w:rsidRDefault="000F31A9" w:rsidP="009011BB">
            <w:pPr>
              <w:spacing w:line="240" w:lineRule="auto"/>
              <w:jc w:val="center"/>
              <w:rPr>
                <w:rFonts w:eastAsia="Times New Roman" w:cs="Times New Roman"/>
                <w:sz w:val="16"/>
                <w:szCs w:val="16"/>
                <w:lang w:val="nl-NL" w:eastAsia="zh-CN"/>
              </w:rPr>
            </w:pPr>
          </w:p>
        </w:tc>
      </w:tr>
      <w:tr w:rsidR="000F31A9" w:rsidRPr="005557B0" w14:paraId="5CF50F06" w14:textId="77777777" w:rsidTr="000F31A9">
        <w:trPr>
          <w:divId w:val="790055366"/>
          <w:trHeight w:val="225"/>
        </w:trPr>
        <w:tc>
          <w:tcPr>
            <w:tcW w:w="212" w:type="dxa"/>
            <w:tcBorders>
              <w:top w:val="nil"/>
              <w:left w:val="nil"/>
              <w:bottom w:val="nil"/>
              <w:right w:val="nil"/>
            </w:tcBorders>
            <w:shd w:val="clear" w:color="auto" w:fill="auto"/>
            <w:noWrap/>
            <w:vAlign w:val="center"/>
            <w:hideMark/>
          </w:tcPr>
          <w:p w14:paraId="587CD8E4" w14:textId="77777777" w:rsidR="000F31A9" w:rsidRPr="005557B0" w:rsidRDefault="000F31A9" w:rsidP="009011BB">
            <w:pPr>
              <w:spacing w:line="240" w:lineRule="auto"/>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15</w:t>
            </w:r>
          </w:p>
        </w:tc>
        <w:tc>
          <w:tcPr>
            <w:tcW w:w="1828" w:type="dxa"/>
            <w:tcBorders>
              <w:top w:val="nil"/>
              <w:left w:val="nil"/>
              <w:bottom w:val="nil"/>
              <w:right w:val="nil"/>
            </w:tcBorders>
            <w:shd w:val="clear" w:color="auto" w:fill="auto"/>
            <w:noWrap/>
            <w:vAlign w:val="center"/>
            <w:hideMark/>
          </w:tcPr>
          <w:p w14:paraId="48998642" w14:textId="7A829C5A" w:rsidR="000F31A9" w:rsidRPr="005557B0" w:rsidRDefault="0009469B" w:rsidP="009011BB">
            <w:pPr>
              <w:spacing w:line="240" w:lineRule="auto"/>
              <w:rPr>
                <w:rFonts w:eastAsia="Times New Roman" w:cs="Times New Roman"/>
                <w:color w:val="000000"/>
                <w:sz w:val="16"/>
                <w:szCs w:val="16"/>
                <w:lang w:val="nl-NL" w:eastAsia="zh-CN"/>
              </w:rPr>
            </w:pPr>
            <w:r>
              <w:rPr>
                <w:rFonts w:eastAsia="Times New Roman" w:cs="Times New Roman"/>
                <w:color w:val="000000"/>
                <w:sz w:val="16"/>
                <w:szCs w:val="16"/>
                <w:lang w:val="nl-NL" w:eastAsia="zh-CN"/>
              </w:rPr>
              <w:t xml:space="preserve">Partner </w:t>
            </w:r>
            <w:proofErr w:type="spellStart"/>
            <w:r>
              <w:rPr>
                <w:rFonts w:eastAsia="Times New Roman" w:cs="Times New Roman"/>
                <w:color w:val="000000"/>
                <w:sz w:val="16"/>
                <w:szCs w:val="16"/>
                <w:lang w:val="nl-NL" w:eastAsia="zh-CN"/>
              </w:rPr>
              <w:t>matching</w:t>
            </w:r>
            <w:r w:rsidR="000F31A9" w:rsidRPr="005557B0">
              <w:rPr>
                <w:rFonts w:eastAsia="Times New Roman" w:cs="Times New Roman"/>
                <w:color w:val="000000"/>
                <w:sz w:val="16"/>
                <w:szCs w:val="16"/>
                <w:vertAlign w:val="superscript"/>
                <w:lang w:val="nl-NL" w:eastAsia="zh-CN"/>
              </w:rPr>
              <w:t>f</w:t>
            </w:r>
            <w:proofErr w:type="spellEnd"/>
          </w:p>
        </w:tc>
        <w:tc>
          <w:tcPr>
            <w:tcW w:w="520" w:type="dxa"/>
            <w:tcBorders>
              <w:top w:val="nil"/>
              <w:left w:val="nil"/>
              <w:bottom w:val="nil"/>
              <w:right w:val="nil"/>
            </w:tcBorders>
            <w:shd w:val="clear" w:color="auto" w:fill="auto"/>
            <w:noWrap/>
            <w:vAlign w:val="center"/>
            <w:hideMark/>
          </w:tcPr>
          <w:p w14:paraId="44C06D3D" w14:textId="52D57CE5"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.03</w:t>
            </w:r>
          </w:p>
        </w:tc>
        <w:tc>
          <w:tcPr>
            <w:tcW w:w="520" w:type="dxa"/>
            <w:tcBorders>
              <w:top w:val="nil"/>
              <w:left w:val="nil"/>
              <w:bottom w:val="nil"/>
              <w:right w:val="nil"/>
            </w:tcBorders>
            <w:shd w:val="clear" w:color="auto" w:fill="auto"/>
            <w:noWrap/>
            <w:vAlign w:val="center"/>
            <w:hideMark/>
          </w:tcPr>
          <w:p w14:paraId="252BA024" w14:textId="632540D8"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–.05</w:t>
            </w:r>
          </w:p>
        </w:tc>
        <w:tc>
          <w:tcPr>
            <w:tcW w:w="520" w:type="dxa"/>
            <w:tcBorders>
              <w:top w:val="nil"/>
              <w:left w:val="nil"/>
              <w:bottom w:val="nil"/>
              <w:right w:val="nil"/>
            </w:tcBorders>
            <w:shd w:val="clear" w:color="auto" w:fill="auto"/>
            <w:noWrap/>
            <w:vAlign w:val="center"/>
            <w:hideMark/>
          </w:tcPr>
          <w:p w14:paraId="15AB5CE6" w14:textId="27358EA3"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–.13</w:t>
            </w:r>
          </w:p>
        </w:tc>
        <w:tc>
          <w:tcPr>
            <w:tcW w:w="520" w:type="dxa"/>
            <w:tcBorders>
              <w:top w:val="nil"/>
              <w:left w:val="nil"/>
              <w:bottom w:val="nil"/>
              <w:right w:val="nil"/>
            </w:tcBorders>
            <w:shd w:val="clear" w:color="auto" w:fill="auto"/>
            <w:noWrap/>
            <w:vAlign w:val="center"/>
            <w:hideMark/>
          </w:tcPr>
          <w:p w14:paraId="6A179288" w14:textId="4CADD9D5"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.12</w:t>
            </w:r>
          </w:p>
        </w:tc>
        <w:tc>
          <w:tcPr>
            <w:tcW w:w="520" w:type="dxa"/>
            <w:tcBorders>
              <w:top w:val="nil"/>
              <w:left w:val="nil"/>
              <w:bottom w:val="nil"/>
              <w:right w:val="nil"/>
            </w:tcBorders>
            <w:shd w:val="clear" w:color="auto" w:fill="auto"/>
            <w:noWrap/>
            <w:vAlign w:val="center"/>
            <w:hideMark/>
          </w:tcPr>
          <w:p w14:paraId="255D6757" w14:textId="448A9952"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–.22</w:t>
            </w:r>
          </w:p>
        </w:tc>
        <w:tc>
          <w:tcPr>
            <w:tcW w:w="520" w:type="dxa"/>
            <w:tcBorders>
              <w:top w:val="nil"/>
              <w:left w:val="nil"/>
              <w:bottom w:val="nil"/>
              <w:right w:val="nil"/>
            </w:tcBorders>
            <w:shd w:val="clear" w:color="auto" w:fill="auto"/>
            <w:noWrap/>
            <w:vAlign w:val="center"/>
            <w:hideMark/>
          </w:tcPr>
          <w:p w14:paraId="0B5238B8" w14:textId="1428A992"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.05</w:t>
            </w:r>
          </w:p>
        </w:tc>
        <w:tc>
          <w:tcPr>
            <w:tcW w:w="520" w:type="dxa"/>
            <w:tcBorders>
              <w:top w:val="nil"/>
              <w:left w:val="nil"/>
              <w:bottom w:val="nil"/>
              <w:right w:val="nil"/>
            </w:tcBorders>
            <w:shd w:val="clear" w:color="auto" w:fill="auto"/>
            <w:noWrap/>
            <w:vAlign w:val="center"/>
            <w:hideMark/>
          </w:tcPr>
          <w:p w14:paraId="6C56A297" w14:textId="76FE042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.11</w:t>
            </w:r>
          </w:p>
        </w:tc>
        <w:tc>
          <w:tcPr>
            <w:tcW w:w="520" w:type="dxa"/>
            <w:tcBorders>
              <w:top w:val="nil"/>
              <w:left w:val="nil"/>
              <w:bottom w:val="nil"/>
              <w:right w:val="nil"/>
            </w:tcBorders>
            <w:shd w:val="clear" w:color="auto" w:fill="auto"/>
            <w:noWrap/>
            <w:vAlign w:val="center"/>
            <w:hideMark/>
          </w:tcPr>
          <w:p w14:paraId="52A85A17" w14:textId="09F23C44"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.11</w:t>
            </w:r>
          </w:p>
        </w:tc>
        <w:tc>
          <w:tcPr>
            <w:tcW w:w="520" w:type="dxa"/>
            <w:tcBorders>
              <w:top w:val="nil"/>
              <w:left w:val="nil"/>
              <w:bottom w:val="nil"/>
              <w:right w:val="nil"/>
            </w:tcBorders>
            <w:shd w:val="clear" w:color="auto" w:fill="auto"/>
            <w:noWrap/>
            <w:vAlign w:val="center"/>
            <w:hideMark/>
          </w:tcPr>
          <w:p w14:paraId="1F94F91A" w14:textId="2CFEA5FD"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.10</w:t>
            </w:r>
          </w:p>
        </w:tc>
        <w:tc>
          <w:tcPr>
            <w:tcW w:w="520" w:type="dxa"/>
            <w:tcBorders>
              <w:top w:val="nil"/>
              <w:left w:val="nil"/>
              <w:bottom w:val="nil"/>
              <w:right w:val="nil"/>
            </w:tcBorders>
            <w:shd w:val="clear" w:color="auto" w:fill="auto"/>
            <w:noWrap/>
            <w:vAlign w:val="center"/>
            <w:hideMark/>
          </w:tcPr>
          <w:p w14:paraId="31251EA2" w14:textId="4032B7F9" w:rsidR="000F31A9" w:rsidRPr="005557B0" w:rsidRDefault="000F31A9" w:rsidP="009011BB">
            <w:pPr>
              <w:spacing w:line="240" w:lineRule="auto"/>
              <w:jc w:val="center"/>
              <w:rPr>
                <w:rFonts w:eastAsia="Times New Roman" w:cs="Times New Roman"/>
                <w:b/>
                <w:bCs/>
                <w:color w:val="000000"/>
                <w:sz w:val="16"/>
                <w:szCs w:val="16"/>
                <w:lang w:val="nl-NL" w:eastAsia="zh-CN"/>
              </w:rPr>
            </w:pPr>
            <w:r w:rsidRPr="005557B0">
              <w:rPr>
                <w:rFonts w:eastAsia="Times New Roman" w:cs="Times New Roman"/>
                <w:b/>
                <w:bCs/>
                <w:color w:val="000000"/>
                <w:sz w:val="16"/>
                <w:szCs w:val="16"/>
                <w:lang w:val="nl-NL" w:eastAsia="zh-CN"/>
              </w:rPr>
              <w:t>–.43</w:t>
            </w:r>
          </w:p>
        </w:tc>
        <w:tc>
          <w:tcPr>
            <w:tcW w:w="520" w:type="dxa"/>
            <w:tcBorders>
              <w:top w:val="nil"/>
              <w:left w:val="nil"/>
              <w:bottom w:val="nil"/>
              <w:right w:val="nil"/>
            </w:tcBorders>
            <w:shd w:val="clear" w:color="auto" w:fill="auto"/>
            <w:noWrap/>
            <w:vAlign w:val="center"/>
            <w:hideMark/>
          </w:tcPr>
          <w:p w14:paraId="7814EB90" w14:textId="74C895DC"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.05</w:t>
            </w:r>
          </w:p>
        </w:tc>
        <w:tc>
          <w:tcPr>
            <w:tcW w:w="520" w:type="dxa"/>
            <w:tcBorders>
              <w:top w:val="nil"/>
              <w:left w:val="nil"/>
              <w:bottom w:val="nil"/>
              <w:right w:val="nil"/>
            </w:tcBorders>
            <w:shd w:val="clear" w:color="auto" w:fill="auto"/>
            <w:noWrap/>
            <w:vAlign w:val="center"/>
            <w:hideMark/>
          </w:tcPr>
          <w:p w14:paraId="559DF4CA" w14:textId="4E2A00EC"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.01</w:t>
            </w:r>
          </w:p>
        </w:tc>
        <w:tc>
          <w:tcPr>
            <w:tcW w:w="520" w:type="dxa"/>
            <w:tcBorders>
              <w:top w:val="nil"/>
              <w:left w:val="nil"/>
              <w:bottom w:val="nil"/>
              <w:right w:val="nil"/>
            </w:tcBorders>
            <w:shd w:val="clear" w:color="auto" w:fill="auto"/>
            <w:noWrap/>
            <w:vAlign w:val="center"/>
            <w:hideMark/>
          </w:tcPr>
          <w:p w14:paraId="27C4BE6E" w14:textId="3C723C12"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–.01</w:t>
            </w:r>
          </w:p>
        </w:tc>
        <w:tc>
          <w:tcPr>
            <w:tcW w:w="520" w:type="dxa"/>
            <w:tcBorders>
              <w:top w:val="nil"/>
              <w:left w:val="nil"/>
              <w:bottom w:val="nil"/>
              <w:right w:val="nil"/>
            </w:tcBorders>
            <w:shd w:val="clear" w:color="auto" w:fill="auto"/>
            <w:noWrap/>
            <w:vAlign w:val="center"/>
            <w:hideMark/>
          </w:tcPr>
          <w:p w14:paraId="41CA3BA8" w14:textId="05774C52"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–.08</w:t>
            </w:r>
          </w:p>
        </w:tc>
        <w:tc>
          <w:tcPr>
            <w:tcW w:w="520" w:type="dxa"/>
            <w:tcBorders>
              <w:top w:val="nil"/>
              <w:left w:val="nil"/>
              <w:bottom w:val="nil"/>
              <w:right w:val="nil"/>
            </w:tcBorders>
            <w:shd w:val="clear" w:color="auto" w:fill="auto"/>
            <w:noWrap/>
            <w:vAlign w:val="center"/>
            <w:hideMark/>
          </w:tcPr>
          <w:p w14:paraId="065F70A1" w14:textId="4CB787BB" w:rsidR="000F31A9" w:rsidRPr="005557B0" w:rsidRDefault="00B2001E"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w:t>
            </w:r>
          </w:p>
        </w:tc>
        <w:tc>
          <w:tcPr>
            <w:tcW w:w="520" w:type="dxa"/>
            <w:tcBorders>
              <w:top w:val="nil"/>
              <w:left w:val="nil"/>
              <w:bottom w:val="nil"/>
              <w:right w:val="nil"/>
            </w:tcBorders>
            <w:shd w:val="clear" w:color="auto" w:fill="auto"/>
            <w:noWrap/>
            <w:vAlign w:val="center"/>
            <w:hideMark/>
          </w:tcPr>
          <w:p w14:paraId="167086BD" w14:textId="77777777" w:rsidR="000F31A9" w:rsidRPr="005557B0" w:rsidRDefault="000F31A9" w:rsidP="009011BB">
            <w:pPr>
              <w:spacing w:line="240" w:lineRule="auto"/>
              <w:jc w:val="center"/>
              <w:rPr>
                <w:rFonts w:eastAsia="Times New Roman" w:cs="Times New Roman"/>
                <w:color w:val="000000"/>
                <w:sz w:val="16"/>
                <w:szCs w:val="16"/>
                <w:lang w:val="nl-NL" w:eastAsia="zh-CN"/>
              </w:rPr>
            </w:pPr>
          </w:p>
        </w:tc>
        <w:tc>
          <w:tcPr>
            <w:tcW w:w="520" w:type="dxa"/>
            <w:tcBorders>
              <w:top w:val="nil"/>
              <w:left w:val="nil"/>
              <w:bottom w:val="nil"/>
              <w:right w:val="nil"/>
            </w:tcBorders>
            <w:shd w:val="clear" w:color="auto" w:fill="auto"/>
            <w:noWrap/>
            <w:vAlign w:val="center"/>
            <w:hideMark/>
          </w:tcPr>
          <w:p w14:paraId="75EDC79D"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3E0FD2C3"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00155F15"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4EED4CBE"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00A603FF"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300" w:type="dxa"/>
            <w:tcBorders>
              <w:top w:val="nil"/>
              <w:left w:val="nil"/>
              <w:bottom w:val="nil"/>
              <w:right w:val="nil"/>
            </w:tcBorders>
            <w:shd w:val="clear" w:color="auto" w:fill="auto"/>
            <w:noWrap/>
            <w:vAlign w:val="center"/>
            <w:hideMark/>
          </w:tcPr>
          <w:p w14:paraId="7BF40F1F" w14:textId="77777777" w:rsidR="000F31A9" w:rsidRPr="005557B0" w:rsidRDefault="000F31A9" w:rsidP="009011BB">
            <w:pPr>
              <w:spacing w:line="240" w:lineRule="auto"/>
              <w:jc w:val="center"/>
              <w:rPr>
                <w:rFonts w:eastAsia="Times New Roman" w:cs="Times New Roman"/>
                <w:sz w:val="16"/>
                <w:szCs w:val="16"/>
                <w:lang w:val="nl-NL" w:eastAsia="zh-CN"/>
              </w:rPr>
            </w:pPr>
          </w:p>
        </w:tc>
      </w:tr>
      <w:tr w:rsidR="000F31A9" w:rsidRPr="005557B0" w14:paraId="12220612" w14:textId="77777777" w:rsidTr="000F31A9">
        <w:trPr>
          <w:divId w:val="790055366"/>
          <w:trHeight w:val="225"/>
        </w:trPr>
        <w:tc>
          <w:tcPr>
            <w:tcW w:w="212" w:type="dxa"/>
            <w:tcBorders>
              <w:top w:val="nil"/>
              <w:left w:val="nil"/>
              <w:bottom w:val="nil"/>
              <w:right w:val="nil"/>
            </w:tcBorders>
            <w:shd w:val="clear" w:color="auto" w:fill="auto"/>
            <w:noWrap/>
            <w:vAlign w:val="center"/>
            <w:hideMark/>
          </w:tcPr>
          <w:p w14:paraId="404E3AD0" w14:textId="77777777" w:rsidR="000F31A9" w:rsidRPr="005557B0" w:rsidRDefault="000F31A9" w:rsidP="009011BB">
            <w:pPr>
              <w:spacing w:line="240" w:lineRule="auto"/>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16</w:t>
            </w:r>
          </w:p>
        </w:tc>
        <w:tc>
          <w:tcPr>
            <w:tcW w:w="1828" w:type="dxa"/>
            <w:tcBorders>
              <w:top w:val="nil"/>
              <w:left w:val="nil"/>
              <w:bottom w:val="nil"/>
              <w:right w:val="nil"/>
            </w:tcBorders>
            <w:shd w:val="clear" w:color="auto" w:fill="auto"/>
            <w:noWrap/>
            <w:vAlign w:val="center"/>
            <w:hideMark/>
          </w:tcPr>
          <w:p w14:paraId="14330B0B" w14:textId="77777777" w:rsidR="000F31A9" w:rsidRPr="005557B0" w:rsidRDefault="000F31A9" w:rsidP="009011BB">
            <w:pPr>
              <w:spacing w:line="240" w:lineRule="auto"/>
              <w:rPr>
                <w:rFonts w:eastAsia="Times New Roman" w:cs="Times New Roman"/>
                <w:color w:val="000000"/>
                <w:sz w:val="16"/>
                <w:szCs w:val="16"/>
                <w:lang w:val="nl-NL" w:eastAsia="zh-CN"/>
              </w:rPr>
            </w:pPr>
            <w:proofErr w:type="spellStart"/>
            <w:r w:rsidRPr="005557B0">
              <w:rPr>
                <w:rFonts w:eastAsia="Times New Roman" w:cs="Times New Roman"/>
                <w:color w:val="000000"/>
                <w:sz w:val="16"/>
                <w:szCs w:val="16"/>
                <w:lang w:val="nl-NL" w:eastAsia="zh-CN"/>
              </w:rPr>
              <w:t>Sanction</w:t>
            </w:r>
            <w:r w:rsidRPr="005557B0">
              <w:rPr>
                <w:rFonts w:eastAsia="Times New Roman" w:cs="Times New Roman"/>
                <w:color w:val="000000"/>
                <w:sz w:val="16"/>
                <w:szCs w:val="16"/>
                <w:vertAlign w:val="superscript"/>
                <w:lang w:val="nl-NL" w:eastAsia="zh-CN"/>
              </w:rPr>
              <w:t>a</w:t>
            </w:r>
            <w:proofErr w:type="spellEnd"/>
            <w:r w:rsidRPr="005557B0">
              <w:rPr>
                <w:rFonts w:eastAsia="Times New Roman" w:cs="Times New Roman"/>
                <w:color w:val="000000"/>
                <w:sz w:val="16"/>
                <w:szCs w:val="16"/>
                <w:lang w:val="nl-NL" w:eastAsia="zh-CN"/>
              </w:rPr>
              <w:t>-yes</w:t>
            </w:r>
          </w:p>
        </w:tc>
        <w:tc>
          <w:tcPr>
            <w:tcW w:w="520" w:type="dxa"/>
            <w:tcBorders>
              <w:top w:val="nil"/>
              <w:left w:val="nil"/>
              <w:bottom w:val="nil"/>
              <w:right w:val="nil"/>
            </w:tcBorders>
            <w:shd w:val="clear" w:color="auto" w:fill="auto"/>
            <w:noWrap/>
            <w:vAlign w:val="center"/>
            <w:hideMark/>
          </w:tcPr>
          <w:p w14:paraId="053B516F" w14:textId="37DEF5A3"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–.06</w:t>
            </w:r>
          </w:p>
        </w:tc>
        <w:tc>
          <w:tcPr>
            <w:tcW w:w="520" w:type="dxa"/>
            <w:tcBorders>
              <w:top w:val="nil"/>
              <w:left w:val="nil"/>
              <w:bottom w:val="nil"/>
              <w:right w:val="nil"/>
            </w:tcBorders>
            <w:shd w:val="clear" w:color="auto" w:fill="auto"/>
            <w:noWrap/>
            <w:vAlign w:val="center"/>
            <w:hideMark/>
          </w:tcPr>
          <w:p w14:paraId="4FAFB7C9" w14:textId="7F824CD9"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–.01</w:t>
            </w:r>
          </w:p>
        </w:tc>
        <w:tc>
          <w:tcPr>
            <w:tcW w:w="520" w:type="dxa"/>
            <w:tcBorders>
              <w:top w:val="nil"/>
              <w:left w:val="nil"/>
              <w:bottom w:val="nil"/>
              <w:right w:val="nil"/>
            </w:tcBorders>
            <w:shd w:val="clear" w:color="auto" w:fill="auto"/>
            <w:noWrap/>
            <w:vAlign w:val="center"/>
            <w:hideMark/>
          </w:tcPr>
          <w:p w14:paraId="232A7728" w14:textId="44CB0A7B"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–.06</w:t>
            </w:r>
          </w:p>
        </w:tc>
        <w:tc>
          <w:tcPr>
            <w:tcW w:w="520" w:type="dxa"/>
            <w:tcBorders>
              <w:top w:val="nil"/>
              <w:left w:val="nil"/>
              <w:bottom w:val="nil"/>
              <w:right w:val="nil"/>
            </w:tcBorders>
            <w:shd w:val="clear" w:color="auto" w:fill="auto"/>
            <w:noWrap/>
            <w:vAlign w:val="center"/>
            <w:hideMark/>
          </w:tcPr>
          <w:p w14:paraId="2F2A0AE8" w14:textId="3C5DEF05"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.03</w:t>
            </w:r>
          </w:p>
        </w:tc>
        <w:tc>
          <w:tcPr>
            <w:tcW w:w="520" w:type="dxa"/>
            <w:tcBorders>
              <w:top w:val="nil"/>
              <w:left w:val="nil"/>
              <w:bottom w:val="nil"/>
              <w:right w:val="nil"/>
            </w:tcBorders>
            <w:shd w:val="clear" w:color="auto" w:fill="auto"/>
            <w:noWrap/>
            <w:vAlign w:val="center"/>
            <w:hideMark/>
          </w:tcPr>
          <w:p w14:paraId="7AF123CB" w14:textId="7AA7609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.20</w:t>
            </w:r>
          </w:p>
        </w:tc>
        <w:tc>
          <w:tcPr>
            <w:tcW w:w="520" w:type="dxa"/>
            <w:tcBorders>
              <w:top w:val="nil"/>
              <w:left w:val="nil"/>
              <w:bottom w:val="nil"/>
              <w:right w:val="nil"/>
            </w:tcBorders>
            <w:shd w:val="clear" w:color="auto" w:fill="auto"/>
            <w:noWrap/>
            <w:vAlign w:val="center"/>
            <w:hideMark/>
          </w:tcPr>
          <w:p w14:paraId="0FF727D2" w14:textId="02316F8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–.08</w:t>
            </w:r>
          </w:p>
        </w:tc>
        <w:tc>
          <w:tcPr>
            <w:tcW w:w="520" w:type="dxa"/>
            <w:tcBorders>
              <w:top w:val="nil"/>
              <w:left w:val="nil"/>
              <w:bottom w:val="nil"/>
              <w:right w:val="nil"/>
            </w:tcBorders>
            <w:shd w:val="clear" w:color="auto" w:fill="auto"/>
            <w:noWrap/>
            <w:vAlign w:val="center"/>
            <w:hideMark/>
          </w:tcPr>
          <w:p w14:paraId="17BF6D8C" w14:textId="3D904C75"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.09</w:t>
            </w:r>
          </w:p>
        </w:tc>
        <w:tc>
          <w:tcPr>
            <w:tcW w:w="520" w:type="dxa"/>
            <w:tcBorders>
              <w:top w:val="nil"/>
              <w:left w:val="nil"/>
              <w:bottom w:val="nil"/>
              <w:right w:val="nil"/>
            </w:tcBorders>
            <w:shd w:val="clear" w:color="auto" w:fill="auto"/>
            <w:noWrap/>
            <w:vAlign w:val="center"/>
            <w:hideMark/>
          </w:tcPr>
          <w:p w14:paraId="25DA4790" w14:textId="63D20A1B"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–.08</w:t>
            </w:r>
          </w:p>
        </w:tc>
        <w:tc>
          <w:tcPr>
            <w:tcW w:w="520" w:type="dxa"/>
            <w:tcBorders>
              <w:top w:val="nil"/>
              <w:left w:val="nil"/>
              <w:bottom w:val="nil"/>
              <w:right w:val="nil"/>
            </w:tcBorders>
            <w:shd w:val="clear" w:color="auto" w:fill="auto"/>
            <w:noWrap/>
            <w:vAlign w:val="center"/>
            <w:hideMark/>
          </w:tcPr>
          <w:p w14:paraId="41F81F87" w14:textId="0BDAAA58"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–.08</w:t>
            </w:r>
          </w:p>
        </w:tc>
        <w:tc>
          <w:tcPr>
            <w:tcW w:w="520" w:type="dxa"/>
            <w:tcBorders>
              <w:top w:val="nil"/>
              <w:left w:val="nil"/>
              <w:bottom w:val="nil"/>
              <w:right w:val="nil"/>
            </w:tcBorders>
            <w:shd w:val="clear" w:color="auto" w:fill="auto"/>
            <w:noWrap/>
            <w:vAlign w:val="center"/>
            <w:hideMark/>
          </w:tcPr>
          <w:p w14:paraId="66DE4B11" w14:textId="5EC5A119"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.11</w:t>
            </w:r>
          </w:p>
        </w:tc>
        <w:tc>
          <w:tcPr>
            <w:tcW w:w="520" w:type="dxa"/>
            <w:tcBorders>
              <w:top w:val="nil"/>
              <w:left w:val="nil"/>
              <w:bottom w:val="nil"/>
              <w:right w:val="nil"/>
            </w:tcBorders>
            <w:shd w:val="clear" w:color="auto" w:fill="auto"/>
            <w:noWrap/>
            <w:vAlign w:val="center"/>
            <w:hideMark/>
          </w:tcPr>
          <w:p w14:paraId="78F2C0E3" w14:textId="5EC21F96"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.10</w:t>
            </w:r>
          </w:p>
        </w:tc>
        <w:tc>
          <w:tcPr>
            <w:tcW w:w="520" w:type="dxa"/>
            <w:tcBorders>
              <w:top w:val="nil"/>
              <w:left w:val="nil"/>
              <w:bottom w:val="nil"/>
              <w:right w:val="nil"/>
            </w:tcBorders>
            <w:shd w:val="clear" w:color="auto" w:fill="auto"/>
            <w:noWrap/>
            <w:vAlign w:val="center"/>
            <w:hideMark/>
          </w:tcPr>
          <w:p w14:paraId="13DEAC05" w14:textId="58429FB9"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.12</w:t>
            </w:r>
          </w:p>
        </w:tc>
        <w:tc>
          <w:tcPr>
            <w:tcW w:w="520" w:type="dxa"/>
            <w:tcBorders>
              <w:top w:val="nil"/>
              <w:left w:val="nil"/>
              <w:bottom w:val="nil"/>
              <w:right w:val="nil"/>
            </w:tcBorders>
            <w:shd w:val="clear" w:color="auto" w:fill="auto"/>
            <w:noWrap/>
            <w:vAlign w:val="center"/>
            <w:hideMark/>
          </w:tcPr>
          <w:p w14:paraId="6079F07D" w14:textId="0EF65B12"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.07</w:t>
            </w:r>
          </w:p>
        </w:tc>
        <w:tc>
          <w:tcPr>
            <w:tcW w:w="520" w:type="dxa"/>
            <w:tcBorders>
              <w:top w:val="nil"/>
              <w:left w:val="nil"/>
              <w:bottom w:val="nil"/>
              <w:right w:val="nil"/>
            </w:tcBorders>
            <w:shd w:val="clear" w:color="auto" w:fill="auto"/>
            <w:noWrap/>
            <w:vAlign w:val="center"/>
            <w:hideMark/>
          </w:tcPr>
          <w:p w14:paraId="410BDFD9" w14:textId="1C10735E"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.03</w:t>
            </w:r>
          </w:p>
        </w:tc>
        <w:tc>
          <w:tcPr>
            <w:tcW w:w="520" w:type="dxa"/>
            <w:tcBorders>
              <w:top w:val="nil"/>
              <w:left w:val="nil"/>
              <w:bottom w:val="nil"/>
              <w:right w:val="nil"/>
            </w:tcBorders>
            <w:shd w:val="clear" w:color="auto" w:fill="auto"/>
            <w:noWrap/>
            <w:vAlign w:val="center"/>
            <w:hideMark/>
          </w:tcPr>
          <w:p w14:paraId="7F976C02" w14:textId="3E26AEF8"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.07</w:t>
            </w:r>
          </w:p>
        </w:tc>
        <w:tc>
          <w:tcPr>
            <w:tcW w:w="520" w:type="dxa"/>
            <w:tcBorders>
              <w:top w:val="nil"/>
              <w:left w:val="nil"/>
              <w:bottom w:val="nil"/>
              <w:right w:val="nil"/>
            </w:tcBorders>
            <w:shd w:val="clear" w:color="auto" w:fill="auto"/>
            <w:noWrap/>
            <w:vAlign w:val="center"/>
            <w:hideMark/>
          </w:tcPr>
          <w:p w14:paraId="6F17834F" w14:textId="6D13476B" w:rsidR="000F31A9" w:rsidRPr="005557B0" w:rsidRDefault="00B2001E"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w:t>
            </w:r>
          </w:p>
        </w:tc>
        <w:tc>
          <w:tcPr>
            <w:tcW w:w="520" w:type="dxa"/>
            <w:tcBorders>
              <w:top w:val="nil"/>
              <w:left w:val="nil"/>
              <w:bottom w:val="nil"/>
              <w:right w:val="nil"/>
            </w:tcBorders>
            <w:shd w:val="clear" w:color="auto" w:fill="auto"/>
            <w:noWrap/>
            <w:vAlign w:val="center"/>
            <w:hideMark/>
          </w:tcPr>
          <w:p w14:paraId="74154DD4" w14:textId="77777777" w:rsidR="000F31A9" w:rsidRPr="005557B0" w:rsidRDefault="000F31A9" w:rsidP="009011BB">
            <w:pPr>
              <w:spacing w:line="240" w:lineRule="auto"/>
              <w:jc w:val="center"/>
              <w:rPr>
                <w:rFonts w:eastAsia="Times New Roman" w:cs="Times New Roman"/>
                <w:color w:val="000000"/>
                <w:sz w:val="16"/>
                <w:szCs w:val="16"/>
                <w:lang w:val="nl-NL" w:eastAsia="zh-CN"/>
              </w:rPr>
            </w:pPr>
          </w:p>
        </w:tc>
        <w:tc>
          <w:tcPr>
            <w:tcW w:w="520" w:type="dxa"/>
            <w:tcBorders>
              <w:top w:val="nil"/>
              <w:left w:val="nil"/>
              <w:bottom w:val="nil"/>
              <w:right w:val="nil"/>
            </w:tcBorders>
            <w:shd w:val="clear" w:color="auto" w:fill="auto"/>
            <w:noWrap/>
            <w:vAlign w:val="center"/>
            <w:hideMark/>
          </w:tcPr>
          <w:p w14:paraId="7057C003"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716E38FC"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2C8D0C2A"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3A188166"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300" w:type="dxa"/>
            <w:tcBorders>
              <w:top w:val="nil"/>
              <w:left w:val="nil"/>
              <w:bottom w:val="nil"/>
              <w:right w:val="nil"/>
            </w:tcBorders>
            <w:shd w:val="clear" w:color="auto" w:fill="auto"/>
            <w:noWrap/>
            <w:vAlign w:val="center"/>
            <w:hideMark/>
          </w:tcPr>
          <w:p w14:paraId="5928ED3C" w14:textId="77777777" w:rsidR="000F31A9" w:rsidRPr="005557B0" w:rsidRDefault="000F31A9" w:rsidP="009011BB">
            <w:pPr>
              <w:spacing w:line="240" w:lineRule="auto"/>
              <w:jc w:val="center"/>
              <w:rPr>
                <w:rFonts w:eastAsia="Times New Roman" w:cs="Times New Roman"/>
                <w:sz w:val="16"/>
                <w:szCs w:val="16"/>
                <w:lang w:val="nl-NL" w:eastAsia="zh-CN"/>
              </w:rPr>
            </w:pPr>
          </w:p>
        </w:tc>
      </w:tr>
      <w:tr w:rsidR="000F31A9" w:rsidRPr="005557B0" w14:paraId="1D9675AE" w14:textId="77777777" w:rsidTr="000F31A9">
        <w:trPr>
          <w:divId w:val="790055366"/>
          <w:trHeight w:val="225"/>
        </w:trPr>
        <w:tc>
          <w:tcPr>
            <w:tcW w:w="212" w:type="dxa"/>
            <w:tcBorders>
              <w:top w:val="nil"/>
              <w:left w:val="nil"/>
              <w:bottom w:val="nil"/>
              <w:right w:val="nil"/>
            </w:tcBorders>
            <w:shd w:val="clear" w:color="auto" w:fill="auto"/>
            <w:noWrap/>
            <w:vAlign w:val="center"/>
            <w:hideMark/>
          </w:tcPr>
          <w:p w14:paraId="3E4F89E6" w14:textId="77777777" w:rsidR="000F31A9" w:rsidRPr="005557B0" w:rsidRDefault="000F31A9" w:rsidP="009011BB">
            <w:pPr>
              <w:spacing w:line="240" w:lineRule="auto"/>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17</w:t>
            </w:r>
          </w:p>
        </w:tc>
        <w:tc>
          <w:tcPr>
            <w:tcW w:w="1828" w:type="dxa"/>
            <w:tcBorders>
              <w:top w:val="nil"/>
              <w:left w:val="nil"/>
              <w:bottom w:val="nil"/>
              <w:right w:val="nil"/>
            </w:tcBorders>
            <w:shd w:val="clear" w:color="auto" w:fill="auto"/>
            <w:noWrap/>
            <w:vAlign w:val="center"/>
            <w:hideMark/>
          </w:tcPr>
          <w:p w14:paraId="0C6A2096" w14:textId="77777777" w:rsidR="000F31A9" w:rsidRPr="005557B0" w:rsidRDefault="000F31A9" w:rsidP="009011BB">
            <w:pPr>
              <w:spacing w:line="240" w:lineRule="auto"/>
              <w:rPr>
                <w:rFonts w:eastAsia="Times New Roman" w:cs="Times New Roman"/>
                <w:color w:val="000000"/>
                <w:sz w:val="16"/>
                <w:szCs w:val="16"/>
                <w:lang w:val="nl-NL" w:eastAsia="zh-CN"/>
              </w:rPr>
            </w:pPr>
            <w:proofErr w:type="spellStart"/>
            <w:r w:rsidRPr="005557B0">
              <w:rPr>
                <w:rFonts w:eastAsia="Times New Roman" w:cs="Times New Roman"/>
                <w:color w:val="000000"/>
                <w:sz w:val="16"/>
                <w:szCs w:val="16"/>
                <w:lang w:val="nl-NL" w:eastAsia="zh-CN"/>
              </w:rPr>
              <w:t>Symmetric</w:t>
            </w:r>
            <w:r w:rsidRPr="005557B0">
              <w:rPr>
                <w:rFonts w:eastAsia="Times New Roman" w:cs="Times New Roman"/>
                <w:color w:val="000000"/>
                <w:sz w:val="16"/>
                <w:szCs w:val="16"/>
                <w:vertAlign w:val="superscript"/>
                <w:lang w:val="nl-NL" w:eastAsia="zh-CN"/>
              </w:rPr>
              <w:t>g</w:t>
            </w:r>
            <w:proofErr w:type="spellEnd"/>
          </w:p>
        </w:tc>
        <w:tc>
          <w:tcPr>
            <w:tcW w:w="520" w:type="dxa"/>
            <w:tcBorders>
              <w:top w:val="nil"/>
              <w:left w:val="nil"/>
              <w:bottom w:val="nil"/>
              <w:right w:val="nil"/>
            </w:tcBorders>
            <w:shd w:val="clear" w:color="auto" w:fill="auto"/>
            <w:noWrap/>
            <w:vAlign w:val="center"/>
            <w:hideMark/>
          </w:tcPr>
          <w:p w14:paraId="5E70E0C6" w14:textId="17A7C038"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–.02</w:t>
            </w:r>
          </w:p>
        </w:tc>
        <w:tc>
          <w:tcPr>
            <w:tcW w:w="520" w:type="dxa"/>
            <w:tcBorders>
              <w:top w:val="nil"/>
              <w:left w:val="nil"/>
              <w:bottom w:val="nil"/>
              <w:right w:val="nil"/>
            </w:tcBorders>
            <w:shd w:val="clear" w:color="auto" w:fill="auto"/>
            <w:noWrap/>
            <w:vAlign w:val="center"/>
            <w:hideMark/>
          </w:tcPr>
          <w:p w14:paraId="2B6BF44E" w14:textId="1985F100"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–.02</w:t>
            </w:r>
          </w:p>
        </w:tc>
        <w:tc>
          <w:tcPr>
            <w:tcW w:w="520" w:type="dxa"/>
            <w:tcBorders>
              <w:top w:val="nil"/>
              <w:left w:val="nil"/>
              <w:bottom w:val="nil"/>
              <w:right w:val="nil"/>
            </w:tcBorders>
            <w:shd w:val="clear" w:color="auto" w:fill="auto"/>
            <w:noWrap/>
            <w:vAlign w:val="center"/>
            <w:hideMark/>
          </w:tcPr>
          <w:p w14:paraId="67882F26" w14:textId="427B3982"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.08</w:t>
            </w:r>
          </w:p>
        </w:tc>
        <w:tc>
          <w:tcPr>
            <w:tcW w:w="520" w:type="dxa"/>
            <w:tcBorders>
              <w:top w:val="nil"/>
              <w:left w:val="nil"/>
              <w:bottom w:val="nil"/>
              <w:right w:val="nil"/>
            </w:tcBorders>
            <w:shd w:val="clear" w:color="auto" w:fill="auto"/>
            <w:noWrap/>
            <w:vAlign w:val="center"/>
            <w:hideMark/>
          </w:tcPr>
          <w:p w14:paraId="6E85A456" w14:textId="0C5A0606"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.03</w:t>
            </w:r>
          </w:p>
        </w:tc>
        <w:tc>
          <w:tcPr>
            <w:tcW w:w="520" w:type="dxa"/>
            <w:tcBorders>
              <w:top w:val="nil"/>
              <w:left w:val="nil"/>
              <w:bottom w:val="nil"/>
              <w:right w:val="nil"/>
            </w:tcBorders>
            <w:shd w:val="clear" w:color="auto" w:fill="auto"/>
            <w:noWrap/>
            <w:vAlign w:val="center"/>
            <w:hideMark/>
          </w:tcPr>
          <w:p w14:paraId="17FE67CA" w14:textId="74A5C6D4"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–.02</w:t>
            </w:r>
          </w:p>
        </w:tc>
        <w:tc>
          <w:tcPr>
            <w:tcW w:w="520" w:type="dxa"/>
            <w:tcBorders>
              <w:top w:val="nil"/>
              <w:left w:val="nil"/>
              <w:bottom w:val="nil"/>
              <w:right w:val="nil"/>
            </w:tcBorders>
            <w:shd w:val="clear" w:color="auto" w:fill="auto"/>
            <w:noWrap/>
            <w:vAlign w:val="center"/>
            <w:hideMark/>
          </w:tcPr>
          <w:p w14:paraId="15E05D45" w14:textId="16C9AB21"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–.01</w:t>
            </w:r>
          </w:p>
        </w:tc>
        <w:tc>
          <w:tcPr>
            <w:tcW w:w="520" w:type="dxa"/>
            <w:tcBorders>
              <w:top w:val="nil"/>
              <w:left w:val="nil"/>
              <w:bottom w:val="nil"/>
              <w:right w:val="nil"/>
            </w:tcBorders>
            <w:shd w:val="clear" w:color="auto" w:fill="auto"/>
            <w:noWrap/>
            <w:vAlign w:val="center"/>
            <w:hideMark/>
          </w:tcPr>
          <w:p w14:paraId="5B66CBF9" w14:textId="51B6CB0F"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.01</w:t>
            </w:r>
          </w:p>
        </w:tc>
        <w:tc>
          <w:tcPr>
            <w:tcW w:w="520" w:type="dxa"/>
            <w:tcBorders>
              <w:top w:val="nil"/>
              <w:left w:val="nil"/>
              <w:bottom w:val="nil"/>
              <w:right w:val="nil"/>
            </w:tcBorders>
            <w:shd w:val="clear" w:color="auto" w:fill="auto"/>
            <w:noWrap/>
            <w:vAlign w:val="center"/>
            <w:hideMark/>
          </w:tcPr>
          <w:p w14:paraId="11ABFA3C" w14:textId="6C98CF85"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.06</w:t>
            </w:r>
          </w:p>
        </w:tc>
        <w:tc>
          <w:tcPr>
            <w:tcW w:w="520" w:type="dxa"/>
            <w:tcBorders>
              <w:top w:val="nil"/>
              <w:left w:val="nil"/>
              <w:bottom w:val="nil"/>
              <w:right w:val="nil"/>
            </w:tcBorders>
            <w:shd w:val="clear" w:color="auto" w:fill="auto"/>
            <w:noWrap/>
            <w:vAlign w:val="center"/>
            <w:hideMark/>
          </w:tcPr>
          <w:p w14:paraId="0DAB7D0F" w14:textId="3D5E0FB0"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.05</w:t>
            </w:r>
          </w:p>
        </w:tc>
        <w:tc>
          <w:tcPr>
            <w:tcW w:w="520" w:type="dxa"/>
            <w:tcBorders>
              <w:top w:val="nil"/>
              <w:left w:val="nil"/>
              <w:bottom w:val="nil"/>
              <w:right w:val="nil"/>
            </w:tcBorders>
            <w:shd w:val="clear" w:color="auto" w:fill="auto"/>
            <w:noWrap/>
            <w:vAlign w:val="center"/>
            <w:hideMark/>
          </w:tcPr>
          <w:p w14:paraId="06E950D7" w14:textId="5C8C9BD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.05</w:t>
            </w:r>
          </w:p>
        </w:tc>
        <w:tc>
          <w:tcPr>
            <w:tcW w:w="520" w:type="dxa"/>
            <w:tcBorders>
              <w:top w:val="nil"/>
              <w:left w:val="nil"/>
              <w:bottom w:val="nil"/>
              <w:right w:val="nil"/>
            </w:tcBorders>
            <w:shd w:val="clear" w:color="auto" w:fill="auto"/>
            <w:noWrap/>
            <w:vAlign w:val="center"/>
            <w:hideMark/>
          </w:tcPr>
          <w:p w14:paraId="3FCEF7E9" w14:textId="19437D32"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.02</w:t>
            </w:r>
          </w:p>
        </w:tc>
        <w:tc>
          <w:tcPr>
            <w:tcW w:w="520" w:type="dxa"/>
            <w:tcBorders>
              <w:top w:val="nil"/>
              <w:left w:val="nil"/>
              <w:bottom w:val="nil"/>
              <w:right w:val="nil"/>
            </w:tcBorders>
            <w:shd w:val="clear" w:color="auto" w:fill="auto"/>
            <w:noWrap/>
            <w:vAlign w:val="center"/>
            <w:hideMark/>
          </w:tcPr>
          <w:p w14:paraId="02097B24" w14:textId="4D26A4D4"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–.02</w:t>
            </w:r>
          </w:p>
        </w:tc>
        <w:tc>
          <w:tcPr>
            <w:tcW w:w="520" w:type="dxa"/>
            <w:tcBorders>
              <w:top w:val="nil"/>
              <w:left w:val="nil"/>
              <w:bottom w:val="nil"/>
              <w:right w:val="nil"/>
            </w:tcBorders>
            <w:shd w:val="clear" w:color="auto" w:fill="auto"/>
            <w:noWrap/>
            <w:vAlign w:val="center"/>
            <w:hideMark/>
          </w:tcPr>
          <w:p w14:paraId="40C5D138" w14:textId="5E8E45A9"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–.02</w:t>
            </w:r>
          </w:p>
        </w:tc>
        <w:tc>
          <w:tcPr>
            <w:tcW w:w="520" w:type="dxa"/>
            <w:tcBorders>
              <w:top w:val="nil"/>
              <w:left w:val="nil"/>
              <w:bottom w:val="nil"/>
              <w:right w:val="nil"/>
            </w:tcBorders>
            <w:shd w:val="clear" w:color="auto" w:fill="auto"/>
            <w:noWrap/>
            <w:vAlign w:val="center"/>
            <w:hideMark/>
          </w:tcPr>
          <w:p w14:paraId="7FF83393" w14:textId="13134CC6"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–.05</w:t>
            </w:r>
          </w:p>
        </w:tc>
        <w:tc>
          <w:tcPr>
            <w:tcW w:w="520" w:type="dxa"/>
            <w:tcBorders>
              <w:top w:val="nil"/>
              <w:left w:val="nil"/>
              <w:bottom w:val="nil"/>
              <w:right w:val="nil"/>
            </w:tcBorders>
            <w:shd w:val="clear" w:color="auto" w:fill="auto"/>
            <w:noWrap/>
            <w:vAlign w:val="center"/>
            <w:hideMark/>
          </w:tcPr>
          <w:p w14:paraId="6FDF8443" w14:textId="6674FC61"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–.05</w:t>
            </w:r>
          </w:p>
        </w:tc>
        <w:tc>
          <w:tcPr>
            <w:tcW w:w="520" w:type="dxa"/>
            <w:tcBorders>
              <w:top w:val="nil"/>
              <w:left w:val="nil"/>
              <w:bottom w:val="nil"/>
              <w:right w:val="nil"/>
            </w:tcBorders>
            <w:shd w:val="clear" w:color="auto" w:fill="auto"/>
            <w:noWrap/>
            <w:vAlign w:val="center"/>
            <w:hideMark/>
          </w:tcPr>
          <w:p w14:paraId="6CE1F3E6" w14:textId="3102F4C6"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.03</w:t>
            </w:r>
          </w:p>
        </w:tc>
        <w:tc>
          <w:tcPr>
            <w:tcW w:w="520" w:type="dxa"/>
            <w:tcBorders>
              <w:top w:val="nil"/>
              <w:left w:val="nil"/>
              <w:bottom w:val="nil"/>
              <w:right w:val="nil"/>
            </w:tcBorders>
            <w:shd w:val="clear" w:color="auto" w:fill="auto"/>
            <w:noWrap/>
            <w:vAlign w:val="center"/>
            <w:hideMark/>
          </w:tcPr>
          <w:p w14:paraId="3356BE9C" w14:textId="59751A1C" w:rsidR="000F31A9" w:rsidRPr="005557B0" w:rsidRDefault="00B2001E"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w:t>
            </w:r>
          </w:p>
        </w:tc>
        <w:tc>
          <w:tcPr>
            <w:tcW w:w="520" w:type="dxa"/>
            <w:tcBorders>
              <w:top w:val="nil"/>
              <w:left w:val="nil"/>
              <w:bottom w:val="nil"/>
              <w:right w:val="nil"/>
            </w:tcBorders>
            <w:shd w:val="clear" w:color="auto" w:fill="auto"/>
            <w:noWrap/>
            <w:vAlign w:val="center"/>
            <w:hideMark/>
          </w:tcPr>
          <w:p w14:paraId="21DB2A7C" w14:textId="77777777" w:rsidR="000F31A9" w:rsidRPr="005557B0" w:rsidRDefault="000F31A9" w:rsidP="009011BB">
            <w:pPr>
              <w:spacing w:line="240" w:lineRule="auto"/>
              <w:jc w:val="center"/>
              <w:rPr>
                <w:rFonts w:eastAsia="Times New Roman" w:cs="Times New Roman"/>
                <w:color w:val="000000"/>
                <w:sz w:val="16"/>
                <w:szCs w:val="16"/>
                <w:lang w:val="nl-NL" w:eastAsia="zh-CN"/>
              </w:rPr>
            </w:pPr>
          </w:p>
        </w:tc>
        <w:tc>
          <w:tcPr>
            <w:tcW w:w="520" w:type="dxa"/>
            <w:tcBorders>
              <w:top w:val="nil"/>
              <w:left w:val="nil"/>
              <w:bottom w:val="nil"/>
              <w:right w:val="nil"/>
            </w:tcBorders>
            <w:shd w:val="clear" w:color="auto" w:fill="auto"/>
            <w:noWrap/>
            <w:vAlign w:val="center"/>
            <w:hideMark/>
          </w:tcPr>
          <w:p w14:paraId="6FF99948"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557A4EE0"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5030BA9F"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300" w:type="dxa"/>
            <w:tcBorders>
              <w:top w:val="nil"/>
              <w:left w:val="nil"/>
              <w:bottom w:val="nil"/>
              <w:right w:val="nil"/>
            </w:tcBorders>
            <w:shd w:val="clear" w:color="auto" w:fill="auto"/>
            <w:noWrap/>
            <w:vAlign w:val="center"/>
            <w:hideMark/>
          </w:tcPr>
          <w:p w14:paraId="78743808" w14:textId="77777777" w:rsidR="000F31A9" w:rsidRPr="005557B0" w:rsidRDefault="000F31A9" w:rsidP="009011BB">
            <w:pPr>
              <w:spacing w:line="240" w:lineRule="auto"/>
              <w:jc w:val="center"/>
              <w:rPr>
                <w:rFonts w:eastAsia="Times New Roman" w:cs="Times New Roman"/>
                <w:sz w:val="16"/>
                <w:szCs w:val="16"/>
                <w:lang w:val="nl-NL" w:eastAsia="zh-CN"/>
              </w:rPr>
            </w:pPr>
          </w:p>
        </w:tc>
      </w:tr>
      <w:tr w:rsidR="000F31A9" w:rsidRPr="005557B0" w14:paraId="6F572C9C" w14:textId="77777777" w:rsidTr="000F31A9">
        <w:trPr>
          <w:divId w:val="790055366"/>
          <w:trHeight w:val="225"/>
        </w:trPr>
        <w:tc>
          <w:tcPr>
            <w:tcW w:w="212" w:type="dxa"/>
            <w:tcBorders>
              <w:top w:val="nil"/>
              <w:left w:val="nil"/>
              <w:bottom w:val="nil"/>
              <w:right w:val="nil"/>
            </w:tcBorders>
            <w:shd w:val="clear" w:color="auto" w:fill="auto"/>
            <w:noWrap/>
            <w:vAlign w:val="center"/>
            <w:hideMark/>
          </w:tcPr>
          <w:p w14:paraId="302D67E8" w14:textId="77777777" w:rsidR="000F31A9" w:rsidRPr="005557B0" w:rsidRDefault="000F31A9" w:rsidP="009011BB">
            <w:pPr>
              <w:spacing w:line="240" w:lineRule="auto"/>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18</w:t>
            </w:r>
          </w:p>
        </w:tc>
        <w:tc>
          <w:tcPr>
            <w:tcW w:w="1828" w:type="dxa"/>
            <w:tcBorders>
              <w:top w:val="nil"/>
              <w:left w:val="nil"/>
              <w:bottom w:val="nil"/>
              <w:right w:val="nil"/>
            </w:tcBorders>
            <w:shd w:val="clear" w:color="auto" w:fill="auto"/>
            <w:noWrap/>
            <w:vAlign w:val="center"/>
            <w:hideMark/>
          </w:tcPr>
          <w:p w14:paraId="58F804FF" w14:textId="77777777" w:rsidR="000F31A9" w:rsidRPr="005557B0" w:rsidRDefault="000F31A9" w:rsidP="009011BB">
            <w:pPr>
              <w:spacing w:line="240" w:lineRule="auto"/>
              <w:rPr>
                <w:rFonts w:eastAsia="Times New Roman" w:cs="Times New Roman"/>
                <w:color w:val="000000"/>
                <w:sz w:val="16"/>
                <w:szCs w:val="16"/>
                <w:lang w:val="nl-NL" w:eastAsia="zh-CN"/>
              </w:rPr>
            </w:pPr>
            <w:proofErr w:type="spellStart"/>
            <w:r w:rsidRPr="005557B0">
              <w:rPr>
                <w:rFonts w:eastAsia="Times New Roman" w:cs="Times New Roman"/>
                <w:color w:val="000000"/>
                <w:sz w:val="16"/>
                <w:szCs w:val="16"/>
                <w:lang w:val="nl-NL" w:eastAsia="zh-CN"/>
              </w:rPr>
              <w:t>Discipline</w:t>
            </w:r>
            <w:r w:rsidRPr="005557B0">
              <w:rPr>
                <w:rFonts w:eastAsia="Times New Roman" w:cs="Times New Roman"/>
                <w:color w:val="000000"/>
                <w:sz w:val="16"/>
                <w:szCs w:val="16"/>
                <w:vertAlign w:val="superscript"/>
                <w:lang w:val="nl-NL" w:eastAsia="zh-CN"/>
              </w:rPr>
              <w:t>h</w:t>
            </w:r>
            <w:r w:rsidRPr="005557B0">
              <w:rPr>
                <w:rFonts w:eastAsia="Times New Roman" w:cs="Times New Roman"/>
                <w:color w:val="000000"/>
                <w:sz w:val="16"/>
                <w:szCs w:val="16"/>
                <w:lang w:val="nl-NL" w:eastAsia="zh-CN"/>
              </w:rPr>
              <w:t>-psychology</w:t>
            </w:r>
            <w:proofErr w:type="spellEnd"/>
          </w:p>
        </w:tc>
        <w:tc>
          <w:tcPr>
            <w:tcW w:w="520" w:type="dxa"/>
            <w:tcBorders>
              <w:top w:val="nil"/>
              <w:left w:val="nil"/>
              <w:bottom w:val="nil"/>
              <w:right w:val="nil"/>
            </w:tcBorders>
            <w:shd w:val="clear" w:color="auto" w:fill="auto"/>
            <w:noWrap/>
            <w:vAlign w:val="center"/>
            <w:hideMark/>
          </w:tcPr>
          <w:p w14:paraId="3DE4A30C" w14:textId="7C777744"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.13</w:t>
            </w:r>
          </w:p>
        </w:tc>
        <w:tc>
          <w:tcPr>
            <w:tcW w:w="520" w:type="dxa"/>
            <w:tcBorders>
              <w:top w:val="nil"/>
              <w:left w:val="nil"/>
              <w:bottom w:val="nil"/>
              <w:right w:val="nil"/>
            </w:tcBorders>
            <w:shd w:val="clear" w:color="auto" w:fill="auto"/>
            <w:noWrap/>
            <w:vAlign w:val="center"/>
            <w:hideMark/>
          </w:tcPr>
          <w:p w14:paraId="074FD93B" w14:textId="0E275668"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–.07</w:t>
            </w:r>
          </w:p>
        </w:tc>
        <w:tc>
          <w:tcPr>
            <w:tcW w:w="520" w:type="dxa"/>
            <w:tcBorders>
              <w:top w:val="nil"/>
              <w:left w:val="nil"/>
              <w:bottom w:val="nil"/>
              <w:right w:val="nil"/>
            </w:tcBorders>
            <w:shd w:val="clear" w:color="auto" w:fill="auto"/>
            <w:noWrap/>
            <w:vAlign w:val="center"/>
            <w:hideMark/>
          </w:tcPr>
          <w:p w14:paraId="1D4D660E" w14:textId="162A7A13"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–.32</w:t>
            </w:r>
          </w:p>
        </w:tc>
        <w:tc>
          <w:tcPr>
            <w:tcW w:w="520" w:type="dxa"/>
            <w:tcBorders>
              <w:top w:val="nil"/>
              <w:left w:val="nil"/>
              <w:bottom w:val="nil"/>
              <w:right w:val="nil"/>
            </w:tcBorders>
            <w:shd w:val="clear" w:color="auto" w:fill="auto"/>
            <w:noWrap/>
            <w:vAlign w:val="center"/>
            <w:hideMark/>
          </w:tcPr>
          <w:p w14:paraId="3D50F4B6" w14:textId="7699D768"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–.11</w:t>
            </w:r>
          </w:p>
        </w:tc>
        <w:tc>
          <w:tcPr>
            <w:tcW w:w="520" w:type="dxa"/>
            <w:tcBorders>
              <w:top w:val="nil"/>
              <w:left w:val="nil"/>
              <w:bottom w:val="nil"/>
              <w:right w:val="nil"/>
            </w:tcBorders>
            <w:shd w:val="clear" w:color="auto" w:fill="auto"/>
            <w:noWrap/>
            <w:vAlign w:val="center"/>
            <w:hideMark/>
          </w:tcPr>
          <w:p w14:paraId="65C8CAD9" w14:textId="06E9ACF1"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–.49</w:t>
            </w:r>
          </w:p>
        </w:tc>
        <w:tc>
          <w:tcPr>
            <w:tcW w:w="520" w:type="dxa"/>
            <w:tcBorders>
              <w:top w:val="nil"/>
              <w:left w:val="nil"/>
              <w:bottom w:val="nil"/>
              <w:right w:val="nil"/>
            </w:tcBorders>
            <w:shd w:val="clear" w:color="auto" w:fill="auto"/>
            <w:noWrap/>
            <w:vAlign w:val="center"/>
            <w:hideMark/>
          </w:tcPr>
          <w:p w14:paraId="631AD3C7" w14:textId="4D9C4C4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.29</w:t>
            </w:r>
          </w:p>
        </w:tc>
        <w:tc>
          <w:tcPr>
            <w:tcW w:w="520" w:type="dxa"/>
            <w:tcBorders>
              <w:top w:val="nil"/>
              <w:left w:val="nil"/>
              <w:bottom w:val="nil"/>
              <w:right w:val="nil"/>
            </w:tcBorders>
            <w:shd w:val="clear" w:color="auto" w:fill="auto"/>
            <w:noWrap/>
            <w:vAlign w:val="center"/>
            <w:hideMark/>
          </w:tcPr>
          <w:p w14:paraId="173B572E" w14:textId="00271883"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.02</w:t>
            </w:r>
          </w:p>
        </w:tc>
        <w:tc>
          <w:tcPr>
            <w:tcW w:w="520" w:type="dxa"/>
            <w:tcBorders>
              <w:top w:val="nil"/>
              <w:left w:val="nil"/>
              <w:bottom w:val="nil"/>
              <w:right w:val="nil"/>
            </w:tcBorders>
            <w:shd w:val="clear" w:color="auto" w:fill="auto"/>
            <w:noWrap/>
            <w:vAlign w:val="center"/>
            <w:hideMark/>
          </w:tcPr>
          <w:p w14:paraId="5A8C4A0A" w14:textId="76E40F76"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.25</w:t>
            </w:r>
          </w:p>
        </w:tc>
        <w:tc>
          <w:tcPr>
            <w:tcW w:w="520" w:type="dxa"/>
            <w:tcBorders>
              <w:top w:val="nil"/>
              <w:left w:val="nil"/>
              <w:bottom w:val="nil"/>
              <w:right w:val="nil"/>
            </w:tcBorders>
            <w:shd w:val="clear" w:color="auto" w:fill="auto"/>
            <w:noWrap/>
            <w:vAlign w:val="center"/>
            <w:hideMark/>
          </w:tcPr>
          <w:p w14:paraId="530142AA" w14:textId="263212B6"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.18</w:t>
            </w:r>
          </w:p>
        </w:tc>
        <w:tc>
          <w:tcPr>
            <w:tcW w:w="520" w:type="dxa"/>
            <w:tcBorders>
              <w:top w:val="nil"/>
              <w:left w:val="nil"/>
              <w:bottom w:val="nil"/>
              <w:right w:val="nil"/>
            </w:tcBorders>
            <w:shd w:val="clear" w:color="auto" w:fill="auto"/>
            <w:noWrap/>
            <w:vAlign w:val="center"/>
            <w:hideMark/>
          </w:tcPr>
          <w:p w14:paraId="72675636" w14:textId="6A04A71B"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–.30</w:t>
            </w:r>
          </w:p>
        </w:tc>
        <w:tc>
          <w:tcPr>
            <w:tcW w:w="520" w:type="dxa"/>
            <w:tcBorders>
              <w:top w:val="nil"/>
              <w:left w:val="nil"/>
              <w:bottom w:val="nil"/>
              <w:right w:val="nil"/>
            </w:tcBorders>
            <w:shd w:val="clear" w:color="auto" w:fill="auto"/>
            <w:noWrap/>
            <w:vAlign w:val="center"/>
            <w:hideMark/>
          </w:tcPr>
          <w:p w14:paraId="01634963" w14:textId="4F8BB29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–.21</w:t>
            </w:r>
          </w:p>
        </w:tc>
        <w:tc>
          <w:tcPr>
            <w:tcW w:w="520" w:type="dxa"/>
            <w:tcBorders>
              <w:top w:val="nil"/>
              <w:left w:val="nil"/>
              <w:bottom w:val="nil"/>
              <w:right w:val="nil"/>
            </w:tcBorders>
            <w:shd w:val="clear" w:color="auto" w:fill="auto"/>
            <w:noWrap/>
            <w:vAlign w:val="center"/>
            <w:hideMark/>
          </w:tcPr>
          <w:p w14:paraId="59030081" w14:textId="3D4F2764"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–.23</w:t>
            </w:r>
          </w:p>
        </w:tc>
        <w:tc>
          <w:tcPr>
            <w:tcW w:w="520" w:type="dxa"/>
            <w:tcBorders>
              <w:top w:val="nil"/>
              <w:left w:val="nil"/>
              <w:bottom w:val="nil"/>
              <w:right w:val="nil"/>
            </w:tcBorders>
            <w:shd w:val="clear" w:color="auto" w:fill="auto"/>
            <w:noWrap/>
            <w:vAlign w:val="center"/>
            <w:hideMark/>
          </w:tcPr>
          <w:p w14:paraId="63372EC7" w14:textId="20A70DAF"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–.28</w:t>
            </w:r>
          </w:p>
        </w:tc>
        <w:tc>
          <w:tcPr>
            <w:tcW w:w="520" w:type="dxa"/>
            <w:tcBorders>
              <w:top w:val="nil"/>
              <w:left w:val="nil"/>
              <w:bottom w:val="nil"/>
              <w:right w:val="nil"/>
            </w:tcBorders>
            <w:shd w:val="clear" w:color="auto" w:fill="auto"/>
            <w:noWrap/>
            <w:vAlign w:val="center"/>
            <w:hideMark/>
          </w:tcPr>
          <w:p w14:paraId="570A6C65" w14:textId="43C4AAB2"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.12</w:t>
            </w:r>
          </w:p>
        </w:tc>
        <w:tc>
          <w:tcPr>
            <w:tcW w:w="520" w:type="dxa"/>
            <w:tcBorders>
              <w:top w:val="nil"/>
              <w:left w:val="nil"/>
              <w:bottom w:val="nil"/>
              <w:right w:val="nil"/>
            </w:tcBorders>
            <w:shd w:val="clear" w:color="auto" w:fill="auto"/>
            <w:noWrap/>
            <w:vAlign w:val="center"/>
            <w:hideMark/>
          </w:tcPr>
          <w:p w14:paraId="45ED524E" w14:textId="6AD54A60"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.17</w:t>
            </w:r>
          </w:p>
        </w:tc>
        <w:tc>
          <w:tcPr>
            <w:tcW w:w="520" w:type="dxa"/>
            <w:tcBorders>
              <w:top w:val="nil"/>
              <w:left w:val="nil"/>
              <w:bottom w:val="nil"/>
              <w:right w:val="nil"/>
            </w:tcBorders>
            <w:shd w:val="clear" w:color="auto" w:fill="auto"/>
            <w:noWrap/>
            <w:vAlign w:val="center"/>
            <w:hideMark/>
          </w:tcPr>
          <w:p w14:paraId="3C7B5E97" w14:textId="13932B4E"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–.19</w:t>
            </w:r>
          </w:p>
        </w:tc>
        <w:tc>
          <w:tcPr>
            <w:tcW w:w="520" w:type="dxa"/>
            <w:tcBorders>
              <w:top w:val="nil"/>
              <w:left w:val="nil"/>
              <w:bottom w:val="nil"/>
              <w:right w:val="nil"/>
            </w:tcBorders>
            <w:shd w:val="clear" w:color="auto" w:fill="auto"/>
            <w:noWrap/>
            <w:vAlign w:val="center"/>
            <w:hideMark/>
          </w:tcPr>
          <w:p w14:paraId="63E8A20B" w14:textId="0FF10E81"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–.01</w:t>
            </w:r>
          </w:p>
        </w:tc>
        <w:tc>
          <w:tcPr>
            <w:tcW w:w="520" w:type="dxa"/>
            <w:tcBorders>
              <w:top w:val="nil"/>
              <w:left w:val="nil"/>
              <w:bottom w:val="nil"/>
              <w:right w:val="nil"/>
            </w:tcBorders>
            <w:shd w:val="clear" w:color="auto" w:fill="auto"/>
            <w:noWrap/>
            <w:vAlign w:val="center"/>
            <w:hideMark/>
          </w:tcPr>
          <w:p w14:paraId="6E9D5C01" w14:textId="2DC62310" w:rsidR="000F31A9" w:rsidRPr="005557B0" w:rsidRDefault="00B2001E"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w:t>
            </w:r>
          </w:p>
        </w:tc>
        <w:tc>
          <w:tcPr>
            <w:tcW w:w="520" w:type="dxa"/>
            <w:tcBorders>
              <w:top w:val="nil"/>
              <w:left w:val="nil"/>
              <w:bottom w:val="nil"/>
              <w:right w:val="nil"/>
            </w:tcBorders>
            <w:shd w:val="clear" w:color="auto" w:fill="auto"/>
            <w:noWrap/>
            <w:vAlign w:val="center"/>
            <w:hideMark/>
          </w:tcPr>
          <w:p w14:paraId="25DF94AA" w14:textId="77777777" w:rsidR="000F31A9" w:rsidRPr="005557B0" w:rsidRDefault="000F31A9" w:rsidP="009011BB">
            <w:pPr>
              <w:spacing w:line="240" w:lineRule="auto"/>
              <w:jc w:val="center"/>
              <w:rPr>
                <w:rFonts w:eastAsia="Times New Roman" w:cs="Times New Roman"/>
                <w:color w:val="000000"/>
                <w:sz w:val="16"/>
                <w:szCs w:val="16"/>
                <w:lang w:val="nl-NL" w:eastAsia="zh-CN"/>
              </w:rPr>
            </w:pPr>
          </w:p>
        </w:tc>
        <w:tc>
          <w:tcPr>
            <w:tcW w:w="520" w:type="dxa"/>
            <w:tcBorders>
              <w:top w:val="nil"/>
              <w:left w:val="nil"/>
              <w:bottom w:val="nil"/>
              <w:right w:val="nil"/>
            </w:tcBorders>
            <w:shd w:val="clear" w:color="auto" w:fill="auto"/>
            <w:noWrap/>
            <w:vAlign w:val="center"/>
            <w:hideMark/>
          </w:tcPr>
          <w:p w14:paraId="0D5712CE"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520" w:type="dxa"/>
            <w:tcBorders>
              <w:top w:val="nil"/>
              <w:left w:val="nil"/>
              <w:bottom w:val="nil"/>
              <w:right w:val="nil"/>
            </w:tcBorders>
            <w:shd w:val="clear" w:color="auto" w:fill="auto"/>
            <w:noWrap/>
            <w:vAlign w:val="center"/>
            <w:hideMark/>
          </w:tcPr>
          <w:p w14:paraId="60792287"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300" w:type="dxa"/>
            <w:tcBorders>
              <w:top w:val="nil"/>
              <w:left w:val="nil"/>
              <w:bottom w:val="nil"/>
              <w:right w:val="nil"/>
            </w:tcBorders>
            <w:shd w:val="clear" w:color="auto" w:fill="auto"/>
            <w:noWrap/>
            <w:vAlign w:val="center"/>
            <w:hideMark/>
          </w:tcPr>
          <w:p w14:paraId="222E9001" w14:textId="77777777" w:rsidR="000F31A9" w:rsidRPr="005557B0" w:rsidRDefault="000F31A9" w:rsidP="009011BB">
            <w:pPr>
              <w:spacing w:line="240" w:lineRule="auto"/>
              <w:jc w:val="center"/>
              <w:rPr>
                <w:rFonts w:eastAsia="Times New Roman" w:cs="Times New Roman"/>
                <w:sz w:val="16"/>
                <w:szCs w:val="16"/>
                <w:lang w:val="nl-NL" w:eastAsia="zh-CN"/>
              </w:rPr>
            </w:pPr>
          </w:p>
        </w:tc>
      </w:tr>
      <w:tr w:rsidR="000F31A9" w:rsidRPr="005557B0" w14:paraId="78641B0D" w14:textId="77777777" w:rsidTr="000F31A9">
        <w:trPr>
          <w:divId w:val="790055366"/>
          <w:trHeight w:val="225"/>
        </w:trPr>
        <w:tc>
          <w:tcPr>
            <w:tcW w:w="212" w:type="dxa"/>
            <w:tcBorders>
              <w:top w:val="nil"/>
              <w:left w:val="nil"/>
              <w:bottom w:val="nil"/>
              <w:right w:val="nil"/>
            </w:tcBorders>
            <w:shd w:val="clear" w:color="auto" w:fill="auto"/>
            <w:noWrap/>
            <w:vAlign w:val="center"/>
            <w:hideMark/>
          </w:tcPr>
          <w:p w14:paraId="7E5749FD" w14:textId="77777777" w:rsidR="000F31A9" w:rsidRPr="005557B0" w:rsidRDefault="000F31A9" w:rsidP="009011BB">
            <w:pPr>
              <w:spacing w:line="240" w:lineRule="auto"/>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19</w:t>
            </w:r>
          </w:p>
        </w:tc>
        <w:tc>
          <w:tcPr>
            <w:tcW w:w="1828" w:type="dxa"/>
            <w:tcBorders>
              <w:top w:val="nil"/>
              <w:left w:val="nil"/>
              <w:bottom w:val="nil"/>
              <w:right w:val="nil"/>
            </w:tcBorders>
            <w:shd w:val="clear" w:color="auto" w:fill="auto"/>
            <w:noWrap/>
            <w:vAlign w:val="center"/>
            <w:hideMark/>
          </w:tcPr>
          <w:p w14:paraId="75BE6FB5" w14:textId="77777777" w:rsidR="000F31A9" w:rsidRPr="005557B0" w:rsidRDefault="000F31A9" w:rsidP="009011BB">
            <w:pPr>
              <w:spacing w:line="240" w:lineRule="auto"/>
              <w:rPr>
                <w:rFonts w:eastAsia="Times New Roman" w:cs="Times New Roman"/>
                <w:color w:val="000000"/>
                <w:sz w:val="16"/>
                <w:szCs w:val="16"/>
                <w:lang w:val="nl-NL" w:eastAsia="zh-CN"/>
              </w:rPr>
            </w:pPr>
            <w:proofErr w:type="spellStart"/>
            <w:r w:rsidRPr="005557B0">
              <w:rPr>
                <w:rFonts w:eastAsia="Times New Roman" w:cs="Times New Roman"/>
                <w:color w:val="000000"/>
                <w:sz w:val="16"/>
                <w:szCs w:val="16"/>
                <w:lang w:val="nl-NL" w:eastAsia="zh-CN"/>
              </w:rPr>
              <w:t>Choice</w:t>
            </w:r>
            <w:proofErr w:type="spellEnd"/>
            <w:r w:rsidRPr="005557B0">
              <w:rPr>
                <w:rFonts w:eastAsia="Times New Roman" w:cs="Times New Roman"/>
                <w:color w:val="000000"/>
                <w:sz w:val="16"/>
                <w:szCs w:val="16"/>
                <w:lang w:val="nl-NL" w:eastAsia="zh-CN"/>
              </w:rPr>
              <w:t xml:space="preserve"> </w:t>
            </w:r>
            <w:proofErr w:type="spellStart"/>
            <w:r w:rsidRPr="005557B0">
              <w:rPr>
                <w:rFonts w:eastAsia="Times New Roman" w:cs="Times New Roman"/>
                <w:color w:val="000000"/>
                <w:sz w:val="16"/>
                <w:szCs w:val="16"/>
                <w:lang w:val="nl-NL" w:eastAsia="zh-CN"/>
              </w:rPr>
              <w:t>type</w:t>
            </w:r>
            <w:r w:rsidRPr="005557B0">
              <w:rPr>
                <w:rFonts w:eastAsia="Times New Roman" w:cs="Times New Roman"/>
                <w:color w:val="000000"/>
                <w:sz w:val="16"/>
                <w:szCs w:val="16"/>
                <w:vertAlign w:val="superscript"/>
                <w:lang w:val="nl-NL" w:eastAsia="zh-CN"/>
              </w:rPr>
              <w:t>i</w:t>
            </w:r>
            <w:proofErr w:type="spellEnd"/>
          </w:p>
        </w:tc>
        <w:tc>
          <w:tcPr>
            <w:tcW w:w="520" w:type="dxa"/>
            <w:tcBorders>
              <w:top w:val="nil"/>
              <w:left w:val="nil"/>
              <w:bottom w:val="nil"/>
              <w:right w:val="nil"/>
            </w:tcBorders>
            <w:shd w:val="clear" w:color="auto" w:fill="auto"/>
            <w:noWrap/>
            <w:vAlign w:val="center"/>
            <w:hideMark/>
          </w:tcPr>
          <w:p w14:paraId="25D07C40" w14:textId="253BD922"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–.03</w:t>
            </w:r>
          </w:p>
        </w:tc>
        <w:tc>
          <w:tcPr>
            <w:tcW w:w="520" w:type="dxa"/>
            <w:tcBorders>
              <w:top w:val="nil"/>
              <w:left w:val="nil"/>
              <w:bottom w:val="nil"/>
              <w:right w:val="nil"/>
            </w:tcBorders>
            <w:shd w:val="clear" w:color="auto" w:fill="auto"/>
            <w:noWrap/>
            <w:vAlign w:val="center"/>
            <w:hideMark/>
          </w:tcPr>
          <w:p w14:paraId="4A3B62B7" w14:textId="0405A94C"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.07</w:t>
            </w:r>
          </w:p>
        </w:tc>
        <w:tc>
          <w:tcPr>
            <w:tcW w:w="520" w:type="dxa"/>
            <w:tcBorders>
              <w:top w:val="nil"/>
              <w:left w:val="nil"/>
              <w:bottom w:val="nil"/>
              <w:right w:val="nil"/>
            </w:tcBorders>
            <w:shd w:val="clear" w:color="auto" w:fill="auto"/>
            <w:noWrap/>
            <w:vAlign w:val="center"/>
            <w:hideMark/>
          </w:tcPr>
          <w:p w14:paraId="6346DA8C" w14:textId="683C8812"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.04</w:t>
            </w:r>
          </w:p>
        </w:tc>
        <w:tc>
          <w:tcPr>
            <w:tcW w:w="520" w:type="dxa"/>
            <w:tcBorders>
              <w:top w:val="nil"/>
              <w:left w:val="nil"/>
              <w:bottom w:val="nil"/>
              <w:right w:val="nil"/>
            </w:tcBorders>
            <w:shd w:val="clear" w:color="auto" w:fill="auto"/>
            <w:noWrap/>
            <w:vAlign w:val="center"/>
            <w:hideMark/>
          </w:tcPr>
          <w:p w14:paraId="303B256C" w14:textId="753D14F8"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–.06</w:t>
            </w:r>
          </w:p>
        </w:tc>
        <w:tc>
          <w:tcPr>
            <w:tcW w:w="520" w:type="dxa"/>
            <w:tcBorders>
              <w:top w:val="nil"/>
              <w:left w:val="nil"/>
              <w:bottom w:val="nil"/>
              <w:right w:val="nil"/>
            </w:tcBorders>
            <w:shd w:val="clear" w:color="auto" w:fill="auto"/>
            <w:noWrap/>
            <w:vAlign w:val="center"/>
            <w:hideMark/>
          </w:tcPr>
          <w:p w14:paraId="68175DAC" w14:textId="435A66A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.44</w:t>
            </w:r>
          </w:p>
        </w:tc>
        <w:tc>
          <w:tcPr>
            <w:tcW w:w="520" w:type="dxa"/>
            <w:tcBorders>
              <w:top w:val="nil"/>
              <w:left w:val="nil"/>
              <w:bottom w:val="nil"/>
              <w:right w:val="nil"/>
            </w:tcBorders>
            <w:shd w:val="clear" w:color="auto" w:fill="auto"/>
            <w:noWrap/>
            <w:vAlign w:val="center"/>
            <w:hideMark/>
          </w:tcPr>
          <w:p w14:paraId="63718D96" w14:textId="7E20F88B"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–.25</w:t>
            </w:r>
          </w:p>
        </w:tc>
        <w:tc>
          <w:tcPr>
            <w:tcW w:w="520" w:type="dxa"/>
            <w:tcBorders>
              <w:top w:val="nil"/>
              <w:left w:val="nil"/>
              <w:bottom w:val="nil"/>
              <w:right w:val="nil"/>
            </w:tcBorders>
            <w:shd w:val="clear" w:color="auto" w:fill="auto"/>
            <w:noWrap/>
            <w:vAlign w:val="center"/>
            <w:hideMark/>
          </w:tcPr>
          <w:p w14:paraId="1651A83C" w14:textId="51EBF191"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.09</w:t>
            </w:r>
          </w:p>
        </w:tc>
        <w:tc>
          <w:tcPr>
            <w:tcW w:w="520" w:type="dxa"/>
            <w:tcBorders>
              <w:top w:val="nil"/>
              <w:left w:val="nil"/>
              <w:bottom w:val="nil"/>
              <w:right w:val="nil"/>
            </w:tcBorders>
            <w:shd w:val="clear" w:color="auto" w:fill="auto"/>
            <w:noWrap/>
            <w:vAlign w:val="center"/>
            <w:hideMark/>
          </w:tcPr>
          <w:p w14:paraId="55AFB91F" w14:textId="639F384B"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–.15</w:t>
            </w:r>
          </w:p>
        </w:tc>
        <w:tc>
          <w:tcPr>
            <w:tcW w:w="520" w:type="dxa"/>
            <w:tcBorders>
              <w:top w:val="nil"/>
              <w:left w:val="nil"/>
              <w:bottom w:val="nil"/>
              <w:right w:val="nil"/>
            </w:tcBorders>
            <w:shd w:val="clear" w:color="auto" w:fill="auto"/>
            <w:noWrap/>
            <w:vAlign w:val="center"/>
            <w:hideMark/>
          </w:tcPr>
          <w:p w14:paraId="515DC45C" w14:textId="6E3F6F4F"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–.14</w:t>
            </w:r>
          </w:p>
        </w:tc>
        <w:tc>
          <w:tcPr>
            <w:tcW w:w="520" w:type="dxa"/>
            <w:tcBorders>
              <w:top w:val="nil"/>
              <w:left w:val="nil"/>
              <w:bottom w:val="nil"/>
              <w:right w:val="nil"/>
            </w:tcBorders>
            <w:shd w:val="clear" w:color="auto" w:fill="auto"/>
            <w:noWrap/>
            <w:vAlign w:val="center"/>
            <w:hideMark/>
          </w:tcPr>
          <w:p w14:paraId="1542DF0E" w14:textId="129E104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.20</w:t>
            </w:r>
          </w:p>
        </w:tc>
        <w:tc>
          <w:tcPr>
            <w:tcW w:w="520" w:type="dxa"/>
            <w:tcBorders>
              <w:top w:val="nil"/>
              <w:left w:val="nil"/>
              <w:bottom w:val="nil"/>
              <w:right w:val="nil"/>
            </w:tcBorders>
            <w:shd w:val="clear" w:color="auto" w:fill="auto"/>
            <w:noWrap/>
            <w:vAlign w:val="center"/>
            <w:hideMark/>
          </w:tcPr>
          <w:p w14:paraId="4173E990" w14:textId="54E340E5"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.20</w:t>
            </w:r>
          </w:p>
        </w:tc>
        <w:tc>
          <w:tcPr>
            <w:tcW w:w="520" w:type="dxa"/>
            <w:tcBorders>
              <w:top w:val="nil"/>
              <w:left w:val="nil"/>
              <w:bottom w:val="nil"/>
              <w:right w:val="nil"/>
            </w:tcBorders>
            <w:shd w:val="clear" w:color="auto" w:fill="auto"/>
            <w:noWrap/>
            <w:vAlign w:val="center"/>
            <w:hideMark/>
          </w:tcPr>
          <w:p w14:paraId="16D40C1C" w14:textId="2D3D6783"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.25</w:t>
            </w:r>
          </w:p>
        </w:tc>
        <w:tc>
          <w:tcPr>
            <w:tcW w:w="520" w:type="dxa"/>
            <w:tcBorders>
              <w:top w:val="nil"/>
              <w:left w:val="nil"/>
              <w:bottom w:val="nil"/>
              <w:right w:val="nil"/>
            </w:tcBorders>
            <w:shd w:val="clear" w:color="auto" w:fill="auto"/>
            <w:noWrap/>
            <w:vAlign w:val="center"/>
            <w:hideMark/>
          </w:tcPr>
          <w:p w14:paraId="5FE15CFF" w14:textId="27B8C9A9"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.21</w:t>
            </w:r>
          </w:p>
        </w:tc>
        <w:tc>
          <w:tcPr>
            <w:tcW w:w="520" w:type="dxa"/>
            <w:tcBorders>
              <w:top w:val="nil"/>
              <w:left w:val="nil"/>
              <w:bottom w:val="nil"/>
              <w:right w:val="nil"/>
            </w:tcBorders>
            <w:shd w:val="clear" w:color="auto" w:fill="auto"/>
            <w:noWrap/>
            <w:vAlign w:val="center"/>
            <w:hideMark/>
          </w:tcPr>
          <w:p w14:paraId="63B97FC5" w14:textId="771D0D4A"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.03</w:t>
            </w:r>
          </w:p>
        </w:tc>
        <w:tc>
          <w:tcPr>
            <w:tcW w:w="520" w:type="dxa"/>
            <w:tcBorders>
              <w:top w:val="nil"/>
              <w:left w:val="nil"/>
              <w:bottom w:val="nil"/>
              <w:right w:val="nil"/>
            </w:tcBorders>
            <w:shd w:val="clear" w:color="auto" w:fill="auto"/>
            <w:noWrap/>
            <w:vAlign w:val="center"/>
            <w:hideMark/>
          </w:tcPr>
          <w:p w14:paraId="5E67A04D" w14:textId="3093D93A"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–.03</w:t>
            </w:r>
          </w:p>
        </w:tc>
        <w:tc>
          <w:tcPr>
            <w:tcW w:w="520" w:type="dxa"/>
            <w:tcBorders>
              <w:top w:val="nil"/>
              <w:left w:val="nil"/>
              <w:bottom w:val="nil"/>
              <w:right w:val="nil"/>
            </w:tcBorders>
            <w:shd w:val="clear" w:color="auto" w:fill="auto"/>
            <w:noWrap/>
            <w:vAlign w:val="center"/>
            <w:hideMark/>
          </w:tcPr>
          <w:p w14:paraId="487D8DDA" w14:textId="33015DF6"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.28</w:t>
            </w:r>
          </w:p>
        </w:tc>
        <w:tc>
          <w:tcPr>
            <w:tcW w:w="520" w:type="dxa"/>
            <w:tcBorders>
              <w:top w:val="nil"/>
              <w:left w:val="nil"/>
              <w:bottom w:val="nil"/>
              <w:right w:val="nil"/>
            </w:tcBorders>
            <w:shd w:val="clear" w:color="auto" w:fill="auto"/>
            <w:noWrap/>
            <w:vAlign w:val="center"/>
            <w:hideMark/>
          </w:tcPr>
          <w:p w14:paraId="13B7C2E8" w14:textId="567E82AE"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–.08</w:t>
            </w:r>
          </w:p>
        </w:tc>
        <w:tc>
          <w:tcPr>
            <w:tcW w:w="520" w:type="dxa"/>
            <w:tcBorders>
              <w:top w:val="nil"/>
              <w:left w:val="nil"/>
              <w:bottom w:val="nil"/>
              <w:right w:val="nil"/>
            </w:tcBorders>
            <w:shd w:val="clear" w:color="auto" w:fill="auto"/>
            <w:noWrap/>
            <w:vAlign w:val="center"/>
            <w:hideMark/>
          </w:tcPr>
          <w:p w14:paraId="0BBD088A" w14:textId="4E681EA8"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–.46</w:t>
            </w:r>
          </w:p>
        </w:tc>
        <w:tc>
          <w:tcPr>
            <w:tcW w:w="520" w:type="dxa"/>
            <w:tcBorders>
              <w:top w:val="nil"/>
              <w:left w:val="nil"/>
              <w:bottom w:val="nil"/>
              <w:right w:val="nil"/>
            </w:tcBorders>
            <w:shd w:val="clear" w:color="auto" w:fill="auto"/>
            <w:noWrap/>
            <w:vAlign w:val="center"/>
            <w:hideMark/>
          </w:tcPr>
          <w:p w14:paraId="6DFD49D5" w14:textId="0B6CFDE2" w:rsidR="000F31A9" w:rsidRPr="005557B0" w:rsidRDefault="00B2001E"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w:t>
            </w:r>
          </w:p>
        </w:tc>
        <w:tc>
          <w:tcPr>
            <w:tcW w:w="520" w:type="dxa"/>
            <w:tcBorders>
              <w:top w:val="nil"/>
              <w:left w:val="nil"/>
              <w:bottom w:val="nil"/>
              <w:right w:val="nil"/>
            </w:tcBorders>
            <w:shd w:val="clear" w:color="auto" w:fill="auto"/>
            <w:noWrap/>
            <w:vAlign w:val="center"/>
            <w:hideMark/>
          </w:tcPr>
          <w:p w14:paraId="290656F5" w14:textId="77777777" w:rsidR="000F31A9" w:rsidRPr="005557B0" w:rsidRDefault="000F31A9" w:rsidP="009011BB">
            <w:pPr>
              <w:spacing w:line="240" w:lineRule="auto"/>
              <w:jc w:val="center"/>
              <w:rPr>
                <w:rFonts w:eastAsia="Times New Roman" w:cs="Times New Roman"/>
                <w:color w:val="000000"/>
                <w:sz w:val="16"/>
                <w:szCs w:val="16"/>
                <w:lang w:val="nl-NL" w:eastAsia="zh-CN"/>
              </w:rPr>
            </w:pPr>
          </w:p>
        </w:tc>
        <w:tc>
          <w:tcPr>
            <w:tcW w:w="520" w:type="dxa"/>
            <w:tcBorders>
              <w:top w:val="nil"/>
              <w:left w:val="nil"/>
              <w:bottom w:val="nil"/>
              <w:right w:val="nil"/>
            </w:tcBorders>
            <w:shd w:val="clear" w:color="auto" w:fill="auto"/>
            <w:noWrap/>
            <w:vAlign w:val="center"/>
            <w:hideMark/>
          </w:tcPr>
          <w:p w14:paraId="7342C21A" w14:textId="77777777" w:rsidR="000F31A9" w:rsidRPr="005557B0" w:rsidRDefault="000F31A9" w:rsidP="009011BB">
            <w:pPr>
              <w:spacing w:line="240" w:lineRule="auto"/>
              <w:jc w:val="center"/>
              <w:rPr>
                <w:rFonts w:eastAsia="Times New Roman" w:cs="Times New Roman"/>
                <w:sz w:val="16"/>
                <w:szCs w:val="16"/>
                <w:lang w:val="nl-NL" w:eastAsia="zh-CN"/>
              </w:rPr>
            </w:pPr>
          </w:p>
        </w:tc>
        <w:tc>
          <w:tcPr>
            <w:tcW w:w="300" w:type="dxa"/>
            <w:tcBorders>
              <w:top w:val="nil"/>
              <w:left w:val="nil"/>
              <w:bottom w:val="nil"/>
              <w:right w:val="nil"/>
            </w:tcBorders>
            <w:shd w:val="clear" w:color="auto" w:fill="auto"/>
            <w:noWrap/>
            <w:vAlign w:val="center"/>
            <w:hideMark/>
          </w:tcPr>
          <w:p w14:paraId="631D5C20" w14:textId="77777777" w:rsidR="000F31A9" w:rsidRPr="005557B0" w:rsidRDefault="000F31A9" w:rsidP="009011BB">
            <w:pPr>
              <w:spacing w:line="240" w:lineRule="auto"/>
              <w:jc w:val="center"/>
              <w:rPr>
                <w:rFonts w:eastAsia="Times New Roman" w:cs="Times New Roman"/>
                <w:sz w:val="16"/>
                <w:szCs w:val="16"/>
                <w:lang w:val="nl-NL" w:eastAsia="zh-CN"/>
              </w:rPr>
            </w:pPr>
          </w:p>
        </w:tc>
      </w:tr>
      <w:tr w:rsidR="000F31A9" w:rsidRPr="005557B0" w14:paraId="37378EC4" w14:textId="77777777" w:rsidTr="000F31A9">
        <w:trPr>
          <w:divId w:val="790055366"/>
          <w:trHeight w:val="225"/>
        </w:trPr>
        <w:tc>
          <w:tcPr>
            <w:tcW w:w="212" w:type="dxa"/>
            <w:tcBorders>
              <w:top w:val="nil"/>
              <w:left w:val="nil"/>
              <w:bottom w:val="nil"/>
              <w:right w:val="nil"/>
            </w:tcBorders>
            <w:shd w:val="clear" w:color="auto" w:fill="auto"/>
            <w:noWrap/>
            <w:vAlign w:val="center"/>
            <w:hideMark/>
          </w:tcPr>
          <w:p w14:paraId="336EC35A" w14:textId="77777777" w:rsidR="000F31A9" w:rsidRPr="005557B0" w:rsidRDefault="000F31A9" w:rsidP="009011BB">
            <w:pPr>
              <w:spacing w:line="240" w:lineRule="auto"/>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20</w:t>
            </w:r>
          </w:p>
        </w:tc>
        <w:tc>
          <w:tcPr>
            <w:tcW w:w="1828" w:type="dxa"/>
            <w:tcBorders>
              <w:top w:val="nil"/>
              <w:left w:val="nil"/>
              <w:bottom w:val="nil"/>
              <w:right w:val="nil"/>
            </w:tcBorders>
            <w:shd w:val="clear" w:color="auto" w:fill="auto"/>
            <w:noWrap/>
            <w:vAlign w:val="center"/>
            <w:hideMark/>
          </w:tcPr>
          <w:p w14:paraId="3B491076" w14:textId="77777777" w:rsidR="000F31A9" w:rsidRPr="005557B0" w:rsidRDefault="000F31A9" w:rsidP="009011BB">
            <w:pPr>
              <w:spacing w:line="240" w:lineRule="auto"/>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 xml:space="preserve">Ex. </w:t>
            </w:r>
            <w:proofErr w:type="spellStart"/>
            <w:r w:rsidRPr="005557B0">
              <w:rPr>
                <w:rFonts w:eastAsia="Times New Roman" w:cs="Times New Roman"/>
                <w:color w:val="000000"/>
                <w:sz w:val="16"/>
                <w:szCs w:val="16"/>
                <w:lang w:val="nl-NL" w:eastAsia="zh-CN"/>
              </w:rPr>
              <w:t>setting</w:t>
            </w:r>
            <w:r w:rsidRPr="005557B0">
              <w:rPr>
                <w:rFonts w:eastAsia="Times New Roman" w:cs="Times New Roman"/>
                <w:color w:val="000000"/>
                <w:sz w:val="16"/>
                <w:szCs w:val="16"/>
                <w:vertAlign w:val="superscript"/>
                <w:lang w:val="nl-NL" w:eastAsia="zh-CN"/>
              </w:rPr>
              <w:t>j</w:t>
            </w:r>
            <w:proofErr w:type="spellEnd"/>
            <w:r w:rsidRPr="005557B0">
              <w:rPr>
                <w:rFonts w:eastAsia="Times New Roman" w:cs="Times New Roman"/>
                <w:color w:val="000000"/>
                <w:sz w:val="16"/>
                <w:szCs w:val="16"/>
                <w:lang w:val="nl-NL" w:eastAsia="zh-CN"/>
              </w:rPr>
              <w:t>-online</w:t>
            </w:r>
          </w:p>
        </w:tc>
        <w:tc>
          <w:tcPr>
            <w:tcW w:w="520" w:type="dxa"/>
            <w:tcBorders>
              <w:top w:val="nil"/>
              <w:left w:val="nil"/>
              <w:bottom w:val="nil"/>
              <w:right w:val="nil"/>
            </w:tcBorders>
            <w:shd w:val="clear" w:color="auto" w:fill="auto"/>
            <w:noWrap/>
            <w:vAlign w:val="center"/>
            <w:hideMark/>
          </w:tcPr>
          <w:p w14:paraId="7D09649E" w14:textId="6F547B53"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–.02</w:t>
            </w:r>
          </w:p>
        </w:tc>
        <w:tc>
          <w:tcPr>
            <w:tcW w:w="520" w:type="dxa"/>
            <w:tcBorders>
              <w:top w:val="nil"/>
              <w:left w:val="nil"/>
              <w:bottom w:val="nil"/>
              <w:right w:val="nil"/>
            </w:tcBorders>
            <w:shd w:val="clear" w:color="auto" w:fill="auto"/>
            <w:noWrap/>
            <w:vAlign w:val="center"/>
            <w:hideMark/>
          </w:tcPr>
          <w:p w14:paraId="6C65F4DC" w14:textId="7777777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w:t>
            </w:r>
          </w:p>
        </w:tc>
        <w:tc>
          <w:tcPr>
            <w:tcW w:w="520" w:type="dxa"/>
            <w:tcBorders>
              <w:top w:val="nil"/>
              <w:left w:val="nil"/>
              <w:bottom w:val="nil"/>
              <w:right w:val="nil"/>
            </w:tcBorders>
            <w:shd w:val="clear" w:color="auto" w:fill="auto"/>
            <w:noWrap/>
            <w:vAlign w:val="center"/>
            <w:hideMark/>
          </w:tcPr>
          <w:p w14:paraId="1E6F98AE" w14:textId="170C1026"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.36</w:t>
            </w:r>
          </w:p>
        </w:tc>
        <w:tc>
          <w:tcPr>
            <w:tcW w:w="520" w:type="dxa"/>
            <w:tcBorders>
              <w:top w:val="nil"/>
              <w:left w:val="nil"/>
              <w:bottom w:val="nil"/>
              <w:right w:val="nil"/>
            </w:tcBorders>
            <w:shd w:val="clear" w:color="auto" w:fill="auto"/>
            <w:noWrap/>
            <w:vAlign w:val="center"/>
            <w:hideMark/>
          </w:tcPr>
          <w:p w14:paraId="3A410F52" w14:textId="7777777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w:t>
            </w:r>
          </w:p>
        </w:tc>
        <w:tc>
          <w:tcPr>
            <w:tcW w:w="520" w:type="dxa"/>
            <w:tcBorders>
              <w:top w:val="nil"/>
              <w:left w:val="nil"/>
              <w:bottom w:val="nil"/>
              <w:right w:val="nil"/>
            </w:tcBorders>
            <w:shd w:val="clear" w:color="auto" w:fill="auto"/>
            <w:noWrap/>
            <w:vAlign w:val="center"/>
            <w:hideMark/>
          </w:tcPr>
          <w:p w14:paraId="6CF59AE6" w14:textId="44D431FC"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.17</w:t>
            </w:r>
          </w:p>
        </w:tc>
        <w:tc>
          <w:tcPr>
            <w:tcW w:w="520" w:type="dxa"/>
            <w:tcBorders>
              <w:top w:val="nil"/>
              <w:left w:val="nil"/>
              <w:bottom w:val="nil"/>
              <w:right w:val="nil"/>
            </w:tcBorders>
            <w:shd w:val="clear" w:color="auto" w:fill="auto"/>
            <w:noWrap/>
            <w:vAlign w:val="center"/>
            <w:hideMark/>
          </w:tcPr>
          <w:p w14:paraId="254448CA" w14:textId="7777777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w:t>
            </w:r>
          </w:p>
        </w:tc>
        <w:tc>
          <w:tcPr>
            <w:tcW w:w="520" w:type="dxa"/>
            <w:tcBorders>
              <w:top w:val="nil"/>
              <w:left w:val="nil"/>
              <w:bottom w:val="nil"/>
              <w:right w:val="nil"/>
            </w:tcBorders>
            <w:shd w:val="clear" w:color="auto" w:fill="auto"/>
            <w:noWrap/>
            <w:vAlign w:val="center"/>
            <w:hideMark/>
          </w:tcPr>
          <w:p w14:paraId="47A94220" w14:textId="1B8E6285"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.03</w:t>
            </w:r>
          </w:p>
        </w:tc>
        <w:tc>
          <w:tcPr>
            <w:tcW w:w="520" w:type="dxa"/>
            <w:tcBorders>
              <w:top w:val="nil"/>
              <w:left w:val="nil"/>
              <w:bottom w:val="nil"/>
              <w:right w:val="nil"/>
            </w:tcBorders>
            <w:shd w:val="clear" w:color="auto" w:fill="auto"/>
            <w:noWrap/>
            <w:vAlign w:val="center"/>
            <w:hideMark/>
          </w:tcPr>
          <w:p w14:paraId="435AB02C" w14:textId="4066573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–.03</w:t>
            </w:r>
          </w:p>
        </w:tc>
        <w:tc>
          <w:tcPr>
            <w:tcW w:w="520" w:type="dxa"/>
            <w:tcBorders>
              <w:top w:val="nil"/>
              <w:left w:val="nil"/>
              <w:bottom w:val="nil"/>
              <w:right w:val="nil"/>
            </w:tcBorders>
            <w:shd w:val="clear" w:color="auto" w:fill="auto"/>
            <w:noWrap/>
            <w:vAlign w:val="center"/>
            <w:hideMark/>
          </w:tcPr>
          <w:p w14:paraId="09256D11" w14:textId="312CBD16"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–.03</w:t>
            </w:r>
          </w:p>
        </w:tc>
        <w:tc>
          <w:tcPr>
            <w:tcW w:w="520" w:type="dxa"/>
            <w:tcBorders>
              <w:top w:val="nil"/>
              <w:left w:val="nil"/>
              <w:bottom w:val="nil"/>
              <w:right w:val="nil"/>
            </w:tcBorders>
            <w:shd w:val="clear" w:color="auto" w:fill="auto"/>
            <w:noWrap/>
            <w:vAlign w:val="center"/>
            <w:hideMark/>
          </w:tcPr>
          <w:p w14:paraId="7BD5D9EC" w14:textId="1C5EC23F"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.10</w:t>
            </w:r>
          </w:p>
        </w:tc>
        <w:tc>
          <w:tcPr>
            <w:tcW w:w="520" w:type="dxa"/>
            <w:tcBorders>
              <w:top w:val="nil"/>
              <w:left w:val="nil"/>
              <w:bottom w:val="nil"/>
              <w:right w:val="nil"/>
            </w:tcBorders>
            <w:shd w:val="clear" w:color="auto" w:fill="auto"/>
            <w:noWrap/>
            <w:vAlign w:val="center"/>
            <w:hideMark/>
          </w:tcPr>
          <w:p w14:paraId="56162E24" w14:textId="7A4EA8C6"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–.08</w:t>
            </w:r>
          </w:p>
        </w:tc>
        <w:tc>
          <w:tcPr>
            <w:tcW w:w="520" w:type="dxa"/>
            <w:tcBorders>
              <w:top w:val="nil"/>
              <w:left w:val="nil"/>
              <w:bottom w:val="nil"/>
              <w:right w:val="nil"/>
            </w:tcBorders>
            <w:shd w:val="clear" w:color="auto" w:fill="auto"/>
            <w:noWrap/>
            <w:vAlign w:val="center"/>
            <w:hideMark/>
          </w:tcPr>
          <w:p w14:paraId="2BF4FB36" w14:textId="36ADB57B"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–.16</w:t>
            </w:r>
          </w:p>
        </w:tc>
        <w:tc>
          <w:tcPr>
            <w:tcW w:w="520" w:type="dxa"/>
            <w:tcBorders>
              <w:top w:val="nil"/>
              <w:left w:val="nil"/>
              <w:bottom w:val="nil"/>
              <w:right w:val="nil"/>
            </w:tcBorders>
            <w:shd w:val="clear" w:color="auto" w:fill="auto"/>
            <w:noWrap/>
            <w:vAlign w:val="center"/>
            <w:hideMark/>
          </w:tcPr>
          <w:p w14:paraId="7056222D" w14:textId="41180BC5"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–.05</w:t>
            </w:r>
          </w:p>
        </w:tc>
        <w:tc>
          <w:tcPr>
            <w:tcW w:w="520" w:type="dxa"/>
            <w:tcBorders>
              <w:top w:val="nil"/>
              <w:left w:val="nil"/>
              <w:bottom w:val="nil"/>
              <w:right w:val="nil"/>
            </w:tcBorders>
            <w:shd w:val="clear" w:color="auto" w:fill="auto"/>
            <w:noWrap/>
            <w:vAlign w:val="center"/>
            <w:hideMark/>
          </w:tcPr>
          <w:p w14:paraId="336A1734" w14:textId="52886779"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.05</w:t>
            </w:r>
          </w:p>
        </w:tc>
        <w:tc>
          <w:tcPr>
            <w:tcW w:w="520" w:type="dxa"/>
            <w:tcBorders>
              <w:top w:val="nil"/>
              <w:left w:val="nil"/>
              <w:bottom w:val="nil"/>
              <w:right w:val="nil"/>
            </w:tcBorders>
            <w:shd w:val="clear" w:color="auto" w:fill="auto"/>
            <w:noWrap/>
            <w:vAlign w:val="center"/>
            <w:hideMark/>
          </w:tcPr>
          <w:p w14:paraId="0808ED4D" w14:textId="55F65DCE"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–.18</w:t>
            </w:r>
          </w:p>
        </w:tc>
        <w:tc>
          <w:tcPr>
            <w:tcW w:w="520" w:type="dxa"/>
            <w:tcBorders>
              <w:top w:val="nil"/>
              <w:left w:val="nil"/>
              <w:bottom w:val="nil"/>
              <w:right w:val="nil"/>
            </w:tcBorders>
            <w:shd w:val="clear" w:color="auto" w:fill="auto"/>
            <w:noWrap/>
            <w:vAlign w:val="center"/>
            <w:hideMark/>
          </w:tcPr>
          <w:p w14:paraId="59845A6B" w14:textId="6779814C"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–.01</w:t>
            </w:r>
          </w:p>
        </w:tc>
        <w:tc>
          <w:tcPr>
            <w:tcW w:w="520" w:type="dxa"/>
            <w:tcBorders>
              <w:top w:val="nil"/>
              <w:left w:val="nil"/>
              <w:bottom w:val="nil"/>
              <w:right w:val="nil"/>
            </w:tcBorders>
            <w:shd w:val="clear" w:color="auto" w:fill="auto"/>
            <w:noWrap/>
            <w:vAlign w:val="center"/>
            <w:hideMark/>
          </w:tcPr>
          <w:p w14:paraId="458DA498" w14:textId="3B623C2B"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.05</w:t>
            </w:r>
          </w:p>
        </w:tc>
        <w:tc>
          <w:tcPr>
            <w:tcW w:w="520" w:type="dxa"/>
            <w:tcBorders>
              <w:top w:val="nil"/>
              <w:left w:val="nil"/>
              <w:bottom w:val="nil"/>
              <w:right w:val="nil"/>
            </w:tcBorders>
            <w:shd w:val="clear" w:color="auto" w:fill="auto"/>
            <w:noWrap/>
            <w:vAlign w:val="center"/>
            <w:hideMark/>
          </w:tcPr>
          <w:p w14:paraId="65F0405F" w14:textId="42AB0541"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–.12</w:t>
            </w:r>
          </w:p>
        </w:tc>
        <w:tc>
          <w:tcPr>
            <w:tcW w:w="520" w:type="dxa"/>
            <w:tcBorders>
              <w:top w:val="nil"/>
              <w:left w:val="nil"/>
              <w:bottom w:val="nil"/>
              <w:right w:val="nil"/>
            </w:tcBorders>
            <w:shd w:val="clear" w:color="auto" w:fill="auto"/>
            <w:noWrap/>
            <w:vAlign w:val="center"/>
            <w:hideMark/>
          </w:tcPr>
          <w:p w14:paraId="4CE25E98" w14:textId="35F55AF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.07</w:t>
            </w:r>
          </w:p>
        </w:tc>
        <w:tc>
          <w:tcPr>
            <w:tcW w:w="520" w:type="dxa"/>
            <w:tcBorders>
              <w:top w:val="nil"/>
              <w:left w:val="nil"/>
              <w:bottom w:val="nil"/>
              <w:right w:val="nil"/>
            </w:tcBorders>
            <w:shd w:val="clear" w:color="auto" w:fill="auto"/>
            <w:noWrap/>
            <w:vAlign w:val="center"/>
            <w:hideMark/>
          </w:tcPr>
          <w:p w14:paraId="2353BE25" w14:textId="20AF9318" w:rsidR="000F31A9" w:rsidRPr="005557B0" w:rsidRDefault="00B2001E"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w:t>
            </w:r>
          </w:p>
        </w:tc>
        <w:tc>
          <w:tcPr>
            <w:tcW w:w="520" w:type="dxa"/>
            <w:tcBorders>
              <w:top w:val="nil"/>
              <w:left w:val="nil"/>
              <w:bottom w:val="nil"/>
              <w:right w:val="nil"/>
            </w:tcBorders>
            <w:shd w:val="clear" w:color="auto" w:fill="auto"/>
            <w:noWrap/>
            <w:vAlign w:val="center"/>
            <w:hideMark/>
          </w:tcPr>
          <w:p w14:paraId="5EB24B82" w14:textId="77777777" w:rsidR="000F31A9" w:rsidRPr="005557B0" w:rsidRDefault="000F31A9" w:rsidP="009011BB">
            <w:pPr>
              <w:spacing w:line="240" w:lineRule="auto"/>
              <w:jc w:val="center"/>
              <w:rPr>
                <w:rFonts w:eastAsia="Times New Roman" w:cs="Times New Roman"/>
                <w:color w:val="000000"/>
                <w:sz w:val="16"/>
                <w:szCs w:val="16"/>
                <w:lang w:val="nl-NL" w:eastAsia="zh-CN"/>
              </w:rPr>
            </w:pPr>
          </w:p>
        </w:tc>
        <w:tc>
          <w:tcPr>
            <w:tcW w:w="300" w:type="dxa"/>
            <w:tcBorders>
              <w:top w:val="nil"/>
              <w:left w:val="nil"/>
              <w:bottom w:val="nil"/>
              <w:right w:val="nil"/>
            </w:tcBorders>
            <w:shd w:val="clear" w:color="auto" w:fill="auto"/>
            <w:noWrap/>
            <w:vAlign w:val="center"/>
            <w:hideMark/>
          </w:tcPr>
          <w:p w14:paraId="7907B1A9" w14:textId="77777777" w:rsidR="000F31A9" w:rsidRPr="005557B0" w:rsidRDefault="000F31A9" w:rsidP="009011BB">
            <w:pPr>
              <w:spacing w:line="240" w:lineRule="auto"/>
              <w:jc w:val="center"/>
              <w:rPr>
                <w:rFonts w:eastAsia="Times New Roman" w:cs="Times New Roman"/>
                <w:sz w:val="16"/>
                <w:szCs w:val="16"/>
                <w:lang w:val="nl-NL" w:eastAsia="zh-CN"/>
              </w:rPr>
            </w:pPr>
          </w:p>
        </w:tc>
      </w:tr>
      <w:tr w:rsidR="000F31A9" w:rsidRPr="005557B0" w14:paraId="1771870E" w14:textId="77777777" w:rsidTr="000F31A9">
        <w:trPr>
          <w:divId w:val="790055366"/>
          <w:trHeight w:val="225"/>
        </w:trPr>
        <w:tc>
          <w:tcPr>
            <w:tcW w:w="212" w:type="dxa"/>
            <w:tcBorders>
              <w:top w:val="nil"/>
              <w:left w:val="nil"/>
              <w:bottom w:val="nil"/>
              <w:right w:val="nil"/>
            </w:tcBorders>
            <w:shd w:val="clear" w:color="auto" w:fill="auto"/>
            <w:noWrap/>
            <w:vAlign w:val="center"/>
            <w:hideMark/>
          </w:tcPr>
          <w:p w14:paraId="696CBE1B" w14:textId="77777777" w:rsidR="000F31A9" w:rsidRPr="005557B0" w:rsidRDefault="000F31A9" w:rsidP="009011BB">
            <w:pPr>
              <w:spacing w:line="240" w:lineRule="auto"/>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21</w:t>
            </w:r>
          </w:p>
        </w:tc>
        <w:tc>
          <w:tcPr>
            <w:tcW w:w="1828" w:type="dxa"/>
            <w:tcBorders>
              <w:top w:val="nil"/>
              <w:left w:val="nil"/>
              <w:bottom w:val="nil"/>
              <w:right w:val="nil"/>
            </w:tcBorders>
            <w:shd w:val="clear" w:color="auto" w:fill="auto"/>
            <w:noWrap/>
            <w:vAlign w:val="center"/>
            <w:hideMark/>
          </w:tcPr>
          <w:p w14:paraId="0BC607E6" w14:textId="77777777" w:rsidR="000F31A9" w:rsidRPr="005557B0" w:rsidRDefault="000F31A9" w:rsidP="009011BB">
            <w:pPr>
              <w:spacing w:line="240" w:lineRule="auto"/>
              <w:rPr>
                <w:rFonts w:eastAsia="Times New Roman" w:cs="Times New Roman"/>
                <w:color w:val="000000"/>
                <w:sz w:val="16"/>
                <w:szCs w:val="16"/>
                <w:lang w:val="nl-NL" w:eastAsia="zh-CN"/>
              </w:rPr>
            </w:pPr>
            <w:proofErr w:type="spellStart"/>
            <w:r w:rsidRPr="005557B0">
              <w:rPr>
                <w:rFonts w:eastAsia="Times New Roman" w:cs="Times New Roman"/>
                <w:color w:val="000000"/>
                <w:sz w:val="16"/>
                <w:szCs w:val="16"/>
                <w:lang w:val="nl-NL" w:eastAsia="zh-CN"/>
              </w:rPr>
              <w:t>Trials</w:t>
            </w:r>
            <w:r w:rsidRPr="005557B0">
              <w:rPr>
                <w:rFonts w:eastAsia="Times New Roman" w:cs="Times New Roman"/>
                <w:color w:val="000000"/>
                <w:sz w:val="16"/>
                <w:szCs w:val="16"/>
                <w:vertAlign w:val="superscript"/>
                <w:lang w:val="nl-NL" w:eastAsia="zh-CN"/>
              </w:rPr>
              <w:t>k</w:t>
            </w:r>
            <w:proofErr w:type="spellEnd"/>
            <w:r w:rsidRPr="005557B0">
              <w:rPr>
                <w:rFonts w:eastAsia="Times New Roman" w:cs="Times New Roman"/>
                <w:color w:val="000000"/>
                <w:sz w:val="16"/>
                <w:szCs w:val="16"/>
                <w:lang w:val="nl-NL" w:eastAsia="zh-CN"/>
              </w:rPr>
              <w:t>-first</w:t>
            </w:r>
          </w:p>
        </w:tc>
        <w:tc>
          <w:tcPr>
            <w:tcW w:w="520" w:type="dxa"/>
            <w:tcBorders>
              <w:top w:val="nil"/>
              <w:left w:val="nil"/>
              <w:bottom w:val="nil"/>
              <w:right w:val="nil"/>
            </w:tcBorders>
            <w:shd w:val="clear" w:color="auto" w:fill="auto"/>
            <w:noWrap/>
            <w:vAlign w:val="center"/>
            <w:hideMark/>
          </w:tcPr>
          <w:p w14:paraId="4729C038" w14:textId="0AAABFA3"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–.04</w:t>
            </w:r>
          </w:p>
        </w:tc>
        <w:tc>
          <w:tcPr>
            <w:tcW w:w="520" w:type="dxa"/>
            <w:tcBorders>
              <w:top w:val="nil"/>
              <w:left w:val="nil"/>
              <w:bottom w:val="nil"/>
              <w:right w:val="nil"/>
            </w:tcBorders>
            <w:shd w:val="clear" w:color="auto" w:fill="auto"/>
            <w:noWrap/>
            <w:vAlign w:val="center"/>
            <w:hideMark/>
          </w:tcPr>
          <w:p w14:paraId="27C010FE" w14:textId="5386815E"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–.02</w:t>
            </w:r>
          </w:p>
        </w:tc>
        <w:tc>
          <w:tcPr>
            <w:tcW w:w="520" w:type="dxa"/>
            <w:tcBorders>
              <w:top w:val="nil"/>
              <w:left w:val="nil"/>
              <w:bottom w:val="nil"/>
              <w:right w:val="nil"/>
            </w:tcBorders>
            <w:shd w:val="clear" w:color="auto" w:fill="auto"/>
            <w:noWrap/>
            <w:vAlign w:val="center"/>
            <w:hideMark/>
          </w:tcPr>
          <w:p w14:paraId="0E58A24A" w14:textId="6A1DD2FB"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–.04</w:t>
            </w:r>
          </w:p>
        </w:tc>
        <w:tc>
          <w:tcPr>
            <w:tcW w:w="520" w:type="dxa"/>
            <w:tcBorders>
              <w:top w:val="nil"/>
              <w:left w:val="nil"/>
              <w:bottom w:val="nil"/>
              <w:right w:val="nil"/>
            </w:tcBorders>
            <w:shd w:val="clear" w:color="auto" w:fill="auto"/>
            <w:noWrap/>
            <w:vAlign w:val="center"/>
            <w:hideMark/>
          </w:tcPr>
          <w:p w14:paraId="7956A554" w14:textId="7777777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w:t>
            </w:r>
          </w:p>
        </w:tc>
        <w:tc>
          <w:tcPr>
            <w:tcW w:w="520" w:type="dxa"/>
            <w:tcBorders>
              <w:top w:val="nil"/>
              <w:left w:val="nil"/>
              <w:bottom w:val="nil"/>
              <w:right w:val="nil"/>
            </w:tcBorders>
            <w:shd w:val="clear" w:color="auto" w:fill="auto"/>
            <w:noWrap/>
            <w:vAlign w:val="center"/>
            <w:hideMark/>
          </w:tcPr>
          <w:p w14:paraId="0C118D6A" w14:textId="1533CD3D"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–.05</w:t>
            </w:r>
          </w:p>
        </w:tc>
        <w:tc>
          <w:tcPr>
            <w:tcW w:w="520" w:type="dxa"/>
            <w:tcBorders>
              <w:top w:val="nil"/>
              <w:left w:val="nil"/>
              <w:bottom w:val="nil"/>
              <w:right w:val="nil"/>
            </w:tcBorders>
            <w:shd w:val="clear" w:color="auto" w:fill="auto"/>
            <w:noWrap/>
            <w:vAlign w:val="center"/>
            <w:hideMark/>
          </w:tcPr>
          <w:p w14:paraId="186AE5C4" w14:textId="7F555FC5"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–.01</w:t>
            </w:r>
          </w:p>
        </w:tc>
        <w:tc>
          <w:tcPr>
            <w:tcW w:w="520" w:type="dxa"/>
            <w:tcBorders>
              <w:top w:val="nil"/>
              <w:left w:val="nil"/>
              <w:bottom w:val="nil"/>
              <w:right w:val="nil"/>
            </w:tcBorders>
            <w:shd w:val="clear" w:color="auto" w:fill="auto"/>
            <w:noWrap/>
            <w:vAlign w:val="center"/>
            <w:hideMark/>
          </w:tcPr>
          <w:p w14:paraId="57FD43E7" w14:textId="0947F4C4"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.02</w:t>
            </w:r>
          </w:p>
        </w:tc>
        <w:tc>
          <w:tcPr>
            <w:tcW w:w="520" w:type="dxa"/>
            <w:tcBorders>
              <w:top w:val="nil"/>
              <w:left w:val="nil"/>
              <w:bottom w:val="nil"/>
              <w:right w:val="nil"/>
            </w:tcBorders>
            <w:shd w:val="clear" w:color="auto" w:fill="auto"/>
            <w:noWrap/>
            <w:vAlign w:val="center"/>
            <w:hideMark/>
          </w:tcPr>
          <w:p w14:paraId="2A22DB7F" w14:textId="2885C1C5"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.04</w:t>
            </w:r>
          </w:p>
        </w:tc>
        <w:tc>
          <w:tcPr>
            <w:tcW w:w="520" w:type="dxa"/>
            <w:tcBorders>
              <w:top w:val="nil"/>
              <w:left w:val="nil"/>
              <w:bottom w:val="nil"/>
              <w:right w:val="nil"/>
            </w:tcBorders>
            <w:shd w:val="clear" w:color="auto" w:fill="auto"/>
            <w:noWrap/>
            <w:vAlign w:val="center"/>
            <w:hideMark/>
          </w:tcPr>
          <w:p w14:paraId="164B642A" w14:textId="2E676FBE"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.04</w:t>
            </w:r>
          </w:p>
        </w:tc>
        <w:tc>
          <w:tcPr>
            <w:tcW w:w="520" w:type="dxa"/>
            <w:tcBorders>
              <w:top w:val="nil"/>
              <w:left w:val="nil"/>
              <w:bottom w:val="nil"/>
              <w:right w:val="nil"/>
            </w:tcBorders>
            <w:shd w:val="clear" w:color="auto" w:fill="auto"/>
            <w:noWrap/>
            <w:vAlign w:val="center"/>
            <w:hideMark/>
          </w:tcPr>
          <w:p w14:paraId="654E6E9B" w14:textId="5136A94F"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–.06</w:t>
            </w:r>
          </w:p>
        </w:tc>
        <w:tc>
          <w:tcPr>
            <w:tcW w:w="520" w:type="dxa"/>
            <w:tcBorders>
              <w:top w:val="nil"/>
              <w:left w:val="nil"/>
              <w:bottom w:val="nil"/>
              <w:right w:val="nil"/>
            </w:tcBorders>
            <w:shd w:val="clear" w:color="auto" w:fill="auto"/>
            <w:noWrap/>
            <w:vAlign w:val="center"/>
            <w:hideMark/>
          </w:tcPr>
          <w:p w14:paraId="0CF617DD" w14:textId="390A1B02"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–.04</w:t>
            </w:r>
          </w:p>
        </w:tc>
        <w:tc>
          <w:tcPr>
            <w:tcW w:w="520" w:type="dxa"/>
            <w:tcBorders>
              <w:top w:val="nil"/>
              <w:left w:val="nil"/>
              <w:bottom w:val="nil"/>
              <w:right w:val="nil"/>
            </w:tcBorders>
            <w:shd w:val="clear" w:color="auto" w:fill="auto"/>
            <w:noWrap/>
            <w:vAlign w:val="center"/>
            <w:hideMark/>
          </w:tcPr>
          <w:p w14:paraId="57FE2DCF" w14:textId="53BAF75D"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–.04</w:t>
            </w:r>
          </w:p>
        </w:tc>
        <w:tc>
          <w:tcPr>
            <w:tcW w:w="520" w:type="dxa"/>
            <w:tcBorders>
              <w:top w:val="nil"/>
              <w:left w:val="nil"/>
              <w:bottom w:val="nil"/>
              <w:right w:val="nil"/>
            </w:tcBorders>
            <w:shd w:val="clear" w:color="auto" w:fill="auto"/>
            <w:noWrap/>
            <w:vAlign w:val="center"/>
            <w:hideMark/>
          </w:tcPr>
          <w:p w14:paraId="4D3044B3" w14:textId="46B08A3E"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–.03</w:t>
            </w:r>
          </w:p>
        </w:tc>
        <w:tc>
          <w:tcPr>
            <w:tcW w:w="520" w:type="dxa"/>
            <w:tcBorders>
              <w:top w:val="nil"/>
              <w:left w:val="nil"/>
              <w:bottom w:val="nil"/>
              <w:right w:val="nil"/>
            </w:tcBorders>
            <w:shd w:val="clear" w:color="auto" w:fill="auto"/>
            <w:noWrap/>
            <w:vAlign w:val="center"/>
            <w:hideMark/>
          </w:tcPr>
          <w:p w14:paraId="4FC87373" w14:textId="7DB45618"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–.04</w:t>
            </w:r>
          </w:p>
        </w:tc>
        <w:tc>
          <w:tcPr>
            <w:tcW w:w="520" w:type="dxa"/>
            <w:tcBorders>
              <w:top w:val="nil"/>
              <w:left w:val="nil"/>
              <w:bottom w:val="nil"/>
              <w:right w:val="nil"/>
            </w:tcBorders>
            <w:shd w:val="clear" w:color="auto" w:fill="auto"/>
            <w:noWrap/>
            <w:vAlign w:val="center"/>
            <w:hideMark/>
          </w:tcPr>
          <w:p w14:paraId="5801D63F" w14:textId="0A57D44D"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.06</w:t>
            </w:r>
          </w:p>
        </w:tc>
        <w:tc>
          <w:tcPr>
            <w:tcW w:w="520" w:type="dxa"/>
            <w:tcBorders>
              <w:top w:val="nil"/>
              <w:left w:val="nil"/>
              <w:bottom w:val="nil"/>
              <w:right w:val="nil"/>
            </w:tcBorders>
            <w:shd w:val="clear" w:color="auto" w:fill="auto"/>
            <w:noWrap/>
            <w:vAlign w:val="center"/>
            <w:hideMark/>
          </w:tcPr>
          <w:p w14:paraId="59851610" w14:textId="667851EE"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–.04</w:t>
            </w:r>
          </w:p>
        </w:tc>
        <w:tc>
          <w:tcPr>
            <w:tcW w:w="520" w:type="dxa"/>
            <w:tcBorders>
              <w:top w:val="nil"/>
              <w:left w:val="nil"/>
              <w:bottom w:val="nil"/>
              <w:right w:val="nil"/>
            </w:tcBorders>
            <w:shd w:val="clear" w:color="auto" w:fill="auto"/>
            <w:noWrap/>
            <w:vAlign w:val="center"/>
            <w:hideMark/>
          </w:tcPr>
          <w:p w14:paraId="61AC4238" w14:textId="30EC0E00"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.04</w:t>
            </w:r>
          </w:p>
        </w:tc>
        <w:tc>
          <w:tcPr>
            <w:tcW w:w="520" w:type="dxa"/>
            <w:tcBorders>
              <w:top w:val="nil"/>
              <w:left w:val="nil"/>
              <w:bottom w:val="nil"/>
              <w:right w:val="nil"/>
            </w:tcBorders>
            <w:shd w:val="clear" w:color="auto" w:fill="auto"/>
            <w:noWrap/>
            <w:vAlign w:val="center"/>
            <w:hideMark/>
          </w:tcPr>
          <w:p w14:paraId="28755974" w14:textId="6AE1D71C"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.03</w:t>
            </w:r>
          </w:p>
        </w:tc>
        <w:tc>
          <w:tcPr>
            <w:tcW w:w="520" w:type="dxa"/>
            <w:tcBorders>
              <w:top w:val="nil"/>
              <w:left w:val="nil"/>
              <w:bottom w:val="nil"/>
              <w:right w:val="nil"/>
            </w:tcBorders>
            <w:shd w:val="clear" w:color="auto" w:fill="auto"/>
            <w:noWrap/>
            <w:vAlign w:val="center"/>
            <w:hideMark/>
          </w:tcPr>
          <w:p w14:paraId="38F57B53" w14:textId="75064774"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–.03</w:t>
            </w:r>
          </w:p>
        </w:tc>
        <w:tc>
          <w:tcPr>
            <w:tcW w:w="520" w:type="dxa"/>
            <w:tcBorders>
              <w:top w:val="nil"/>
              <w:left w:val="nil"/>
              <w:bottom w:val="nil"/>
              <w:right w:val="nil"/>
            </w:tcBorders>
            <w:shd w:val="clear" w:color="auto" w:fill="auto"/>
            <w:noWrap/>
            <w:vAlign w:val="center"/>
            <w:hideMark/>
          </w:tcPr>
          <w:p w14:paraId="3C89043B" w14:textId="0CF017C4"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–.04</w:t>
            </w:r>
          </w:p>
        </w:tc>
        <w:tc>
          <w:tcPr>
            <w:tcW w:w="520" w:type="dxa"/>
            <w:tcBorders>
              <w:top w:val="nil"/>
              <w:left w:val="nil"/>
              <w:bottom w:val="nil"/>
              <w:right w:val="nil"/>
            </w:tcBorders>
            <w:shd w:val="clear" w:color="auto" w:fill="auto"/>
            <w:noWrap/>
            <w:vAlign w:val="center"/>
            <w:hideMark/>
          </w:tcPr>
          <w:p w14:paraId="6F74268B" w14:textId="71CC7FF5" w:rsidR="000F31A9" w:rsidRPr="005557B0" w:rsidRDefault="00B2001E"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w:t>
            </w:r>
          </w:p>
        </w:tc>
        <w:tc>
          <w:tcPr>
            <w:tcW w:w="300" w:type="dxa"/>
            <w:tcBorders>
              <w:top w:val="nil"/>
              <w:left w:val="nil"/>
              <w:bottom w:val="nil"/>
              <w:right w:val="nil"/>
            </w:tcBorders>
            <w:shd w:val="clear" w:color="auto" w:fill="auto"/>
            <w:noWrap/>
            <w:vAlign w:val="center"/>
            <w:hideMark/>
          </w:tcPr>
          <w:p w14:paraId="55F79DE7" w14:textId="77777777" w:rsidR="000F31A9" w:rsidRPr="005557B0" w:rsidRDefault="000F31A9" w:rsidP="009011BB">
            <w:pPr>
              <w:spacing w:line="240" w:lineRule="auto"/>
              <w:jc w:val="center"/>
              <w:rPr>
                <w:rFonts w:eastAsia="Times New Roman" w:cs="Times New Roman"/>
                <w:color w:val="000000"/>
                <w:sz w:val="16"/>
                <w:szCs w:val="16"/>
                <w:lang w:val="nl-NL" w:eastAsia="zh-CN"/>
              </w:rPr>
            </w:pPr>
          </w:p>
        </w:tc>
      </w:tr>
      <w:tr w:rsidR="000F31A9" w:rsidRPr="005557B0" w14:paraId="6AFEB89F" w14:textId="77777777" w:rsidTr="000F31A9">
        <w:trPr>
          <w:divId w:val="790055366"/>
          <w:trHeight w:val="225"/>
        </w:trPr>
        <w:tc>
          <w:tcPr>
            <w:tcW w:w="212" w:type="dxa"/>
            <w:tcBorders>
              <w:top w:val="nil"/>
              <w:left w:val="nil"/>
              <w:bottom w:val="single" w:sz="4" w:space="0" w:color="auto"/>
              <w:right w:val="nil"/>
            </w:tcBorders>
            <w:shd w:val="clear" w:color="auto" w:fill="auto"/>
            <w:noWrap/>
            <w:vAlign w:val="center"/>
            <w:hideMark/>
          </w:tcPr>
          <w:p w14:paraId="7956D948" w14:textId="77777777" w:rsidR="000F31A9" w:rsidRPr="005557B0" w:rsidRDefault="000F31A9" w:rsidP="009011BB">
            <w:pPr>
              <w:spacing w:line="240" w:lineRule="auto"/>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22</w:t>
            </w:r>
          </w:p>
        </w:tc>
        <w:tc>
          <w:tcPr>
            <w:tcW w:w="1828" w:type="dxa"/>
            <w:tcBorders>
              <w:top w:val="nil"/>
              <w:left w:val="nil"/>
              <w:bottom w:val="single" w:sz="4" w:space="0" w:color="auto"/>
              <w:right w:val="nil"/>
            </w:tcBorders>
            <w:shd w:val="clear" w:color="auto" w:fill="auto"/>
            <w:noWrap/>
            <w:vAlign w:val="center"/>
            <w:hideMark/>
          </w:tcPr>
          <w:p w14:paraId="13DA9E03" w14:textId="4D55DE54" w:rsidR="000F31A9" w:rsidRPr="005557B0" w:rsidRDefault="00D274A2" w:rsidP="009011BB">
            <w:pPr>
              <w:spacing w:line="240" w:lineRule="auto"/>
              <w:rPr>
                <w:rFonts w:eastAsia="Times New Roman" w:cs="Times New Roman"/>
                <w:color w:val="000000"/>
                <w:sz w:val="16"/>
                <w:szCs w:val="16"/>
                <w:lang w:val="nl-NL" w:eastAsia="zh-CN"/>
              </w:rPr>
            </w:pPr>
            <w:proofErr w:type="spellStart"/>
            <w:r w:rsidRPr="005557B0">
              <w:rPr>
                <w:rFonts w:eastAsia="Times New Roman" w:cs="Times New Roman"/>
                <w:color w:val="000000"/>
                <w:sz w:val="16"/>
                <w:szCs w:val="16"/>
                <w:lang w:val="nl-NL" w:eastAsia="zh-CN"/>
              </w:rPr>
              <w:t>Publication</w:t>
            </w:r>
            <w:proofErr w:type="spellEnd"/>
            <w:r w:rsidRPr="005557B0">
              <w:rPr>
                <w:rFonts w:eastAsia="Times New Roman" w:cs="Times New Roman"/>
                <w:color w:val="000000"/>
                <w:sz w:val="16"/>
                <w:szCs w:val="16"/>
                <w:lang w:val="nl-NL" w:eastAsia="zh-CN"/>
              </w:rPr>
              <w:t xml:space="preserve"> status</w:t>
            </w:r>
            <w:r w:rsidRPr="005557B0" w:rsidDel="00D274A2">
              <w:rPr>
                <w:rFonts w:eastAsia="Times New Roman" w:cs="Times New Roman"/>
                <w:color w:val="000000"/>
                <w:sz w:val="16"/>
                <w:szCs w:val="16"/>
                <w:lang w:val="nl-NL" w:eastAsia="zh-CN"/>
              </w:rPr>
              <w:t xml:space="preserve"> </w:t>
            </w:r>
            <w:r w:rsidR="000F31A9" w:rsidRPr="005557B0">
              <w:rPr>
                <w:rFonts w:eastAsia="Times New Roman" w:cs="Times New Roman"/>
                <w:color w:val="000000"/>
                <w:sz w:val="16"/>
                <w:szCs w:val="16"/>
                <w:vertAlign w:val="superscript"/>
                <w:lang w:val="nl-NL" w:eastAsia="zh-CN"/>
              </w:rPr>
              <w:t>a</w:t>
            </w:r>
            <w:r w:rsidR="000F31A9" w:rsidRPr="005557B0">
              <w:rPr>
                <w:rFonts w:eastAsia="Times New Roman" w:cs="Times New Roman"/>
                <w:color w:val="000000"/>
                <w:sz w:val="16"/>
                <w:szCs w:val="16"/>
                <w:lang w:val="nl-NL" w:eastAsia="zh-CN"/>
              </w:rPr>
              <w:t>-yes</w:t>
            </w:r>
          </w:p>
        </w:tc>
        <w:tc>
          <w:tcPr>
            <w:tcW w:w="520" w:type="dxa"/>
            <w:tcBorders>
              <w:top w:val="nil"/>
              <w:left w:val="nil"/>
              <w:bottom w:val="single" w:sz="4" w:space="0" w:color="auto"/>
              <w:right w:val="nil"/>
            </w:tcBorders>
            <w:shd w:val="clear" w:color="auto" w:fill="auto"/>
            <w:noWrap/>
            <w:vAlign w:val="center"/>
            <w:hideMark/>
          </w:tcPr>
          <w:p w14:paraId="44ECA07F" w14:textId="7777777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w:t>
            </w:r>
          </w:p>
        </w:tc>
        <w:tc>
          <w:tcPr>
            <w:tcW w:w="520" w:type="dxa"/>
            <w:tcBorders>
              <w:top w:val="nil"/>
              <w:left w:val="nil"/>
              <w:bottom w:val="single" w:sz="4" w:space="0" w:color="auto"/>
              <w:right w:val="nil"/>
            </w:tcBorders>
            <w:shd w:val="clear" w:color="auto" w:fill="auto"/>
            <w:noWrap/>
            <w:vAlign w:val="center"/>
            <w:hideMark/>
          </w:tcPr>
          <w:p w14:paraId="44D605F2" w14:textId="723F0DF6"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–.01</w:t>
            </w:r>
          </w:p>
        </w:tc>
        <w:tc>
          <w:tcPr>
            <w:tcW w:w="520" w:type="dxa"/>
            <w:tcBorders>
              <w:top w:val="nil"/>
              <w:left w:val="nil"/>
              <w:bottom w:val="single" w:sz="4" w:space="0" w:color="auto"/>
              <w:right w:val="nil"/>
            </w:tcBorders>
            <w:shd w:val="clear" w:color="auto" w:fill="auto"/>
            <w:noWrap/>
            <w:vAlign w:val="center"/>
            <w:hideMark/>
          </w:tcPr>
          <w:p w14:paraId="61AEFEA3" w14:textId="78078136"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–.03</w:t>
            </w:r>
          </w:p>
        </w:tc>
        <w:tc>
          <w:tcPr>
            <w:tcW w:w="520" w:type="dxa"/>
            <w:tcBorders>
              <w:top w:val="nil"/>
              <w:left w:val="nil"/>
              <w:bottom w:val="single" w:sz="4" w:space="0" w:color="auto"/>
              <w:right w:val="nil"/>
            </w:tcBorders>
            <w:shd w:val="clear" w:color="auto" w:fill="auto"/>
            <w:noWrap/>
            <w:vAlign w:val="center"/>
            <w:hideMark/>
          </w:tcPr>
          <w:p w14:paraId="116B985F" w14:textId="52F4F5B8"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.04</w:t>
            </w:r>
          </w:p>
        </w:tc>
        <w:tc>
          <w:tcPr>
            <w:tcW w:w="520" w:type="dxa"/>
            <w:tcBorders>
              <w:top w:val="nil"/>
              <w:left w:val="nil"/>
              <w:bottom w:val="single" w:sz="4" w:space="0" w:color="auto"/>
              <w:right w:val="nil"/>
            </w:tcBorders>
            <w:shd w:val="clear" w:color="auto" w:fill="auto"/>
            <w:noWrap/>
            <w:vAlign w:val="center"/>
            <w:hideMark/>
          </w:tcPr>
          <w:p w14:paraId="67C1303A" w14:textId="1A836C7D"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–.13</w:t>
            </w:r>
          </w:p>
        </w:tc>
        <w:tc>
          <w:tcPr>
            <w:tcW w:w="520" w:type="dxa"/>
            <w:tcBorders>
              <w:top w:val="nil"/>
              <w:left w:val="nil"/>
              <w:bottom w:val="single" w:sz="4" w:space="0" w:color="auto"/>
              <w:right w:val="nil"/>
            </w:tcBorders>
            <w:shd w:val="clear" w:color="auto" w:fill="auto"/>
            <w:noWrap/>
            <w:vAlign w:val="center"/>
            <w:hideMark/>
          </w:tcPr>
          <w:p w14:paraId="7964185A" w14:textId="7777777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w:t>
            </w:r>
          </w:p>
        </w:tc>
        <w:tc>
          <w:tcPr>
            <w:tcW w:w="520" w:type="dxa"/>
            <w:tcBorders>
              <w:top w:val="nil"/>
              <w:left w:val="nil"/>
              <w:bottom w:val="single" w:sz="4" w:space="0" w:color="auto"/>
              <w:right w:val="nil"/>
            </w:tcBorders>
            <w:shd w:val="clear" w:color="auto" w:fill="auto"/>
            <w:noWrap/>
            <w:vAlign w:val="center"/>
            <w:hideMark/>
          </w:tcPr>
          <w:p w14:paraId="10073B7F" w14:textId="3EE5A651"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–.01</w:t>
            </w:r>
          </w:p>
        </w:tc>
        <w:tc>
          <w:tcPr>
            <w:tcW w:w="520" w:type="dxa"/>
            <w:tcBorders>
              <w:top w:val="nil"/>
              <w:left w:val="nil"/>
              <w:bottom w:val="single" w:sz="4" w:space="0" w:color="auto"/>
              <w:right w:val="nil"/>
            </w:tcBorders>
            <w:shd w:val="clear" w:color="auto" w:fill="auto"/>
            <w:noWrap/>
            <w:vAlign w:val="center"/>
            <w:hideMark/>
          </w:tcPr>
          <w:p w14:paraId="008221ED" w14:textId="7777777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w:t>
            </w:r>
          </w:p>
        </w:tc>
        <w:tc>
          <w:tcPr>
            <w:tcW w:w="520" w:type="dxa"/>
            <w:tcBorders>
              <w:top w:val="nil"/>
              <w:left w:val="nil"/>
              <w:bottom w:val="single" w:sz="4" w:space="0" w:color="auto"/>
              <w:right w:val="nil"/>
            </w:tcBorders>
            <w:shd w:val="clear" w:color="auto" w:fill="auto"/>
            <w:noWrap/>
            <w:vAlign w:val="center"/>
            <w:hideMark/>
          </w:tcPr>
          <w:p w14:paraId="1B5C29B6" w14:textId="0B2A400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–.01</w:t>
            </w:r>
          </w:p>
        </w:tc>
        <w:tc>
          <w:tcPr>
            <w:tcW w:w="520" w:type="dxa"/>
            <w:tcBorders>
              <w:top w:val="nil"/>
              <w:left w:val="nil"/>
              <w:bottom w:val="single" w:sz="4" w:space="0" w:color="auto"/>
              <w:right w:val="nil"/>
            </w:tcBorders>
            <w:shd w:val="clear" w:color="auto" w:fill="auto"/>
            <w:noWrap/>
            <w:vAlign w:val="center"/>
            <w:hideMark/>
          </w:tcPr>
          <w:p w14:paraId="39B8EFD4" w14:textId="7777777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w:t>
            </w:r>
          </w:p>
        </w:tc>
        <w:tc>
          <w:tcPr>
            <w:tcW w:w="520" w:type="dxa"/>
            <w:tcBorders>
              <w:top w:val="nil"/>
              <w:left w:val="nil"/>
              <w:bottom w:val="single" w:sz="4" w:space="0" w:color="auto"/>
              <w:right w:val="nil"/>
            </w:tcBorders>
            <w:shd w:val="clear" w:color="auto" w:fill="auto"/>
            <w:noWrap/>
            <w:vAlign w:val="center"/>
            <w:hideMark/>
          </w:tcPr>
          <w:p w14:paraId="06D56CA7" w14:textId="6EE714C5"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.04</w:t>
            </w:r>
          </w:p>
        </w:tc>
        <w:tc>
          <w:tcPr>
            <w:tcW w:w="520" w:type="dxa"/>
            <w:tcBorders>
              <w:top w:val="nil"/>
              <w:left w:val="nil"/>
              <w:bottom w:val="single" w:sz="4" w:space="0" w:color="auto"/>
              <w:right w:val="nil"/>
            </w:tcBorders>
            <w:shd w:val="clear" w:color="auto" w:fill="auto"/>
            <w:noWrap/>
            <w:vAlign w:val="center"/>
            <w:hideMark/>
          </w:tcPr>
          <w:p w14:paraId="44B5E92E" w14:textId="3214CDAB"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.05</w:t>
            </w:r>
          </w:p>
        </w:tc>
        <w:tc>
          <w:tcPr>
            <w:tcW w:w="520" w:type="dxa"/>
            <w:tcBorders>
              <w:top w:val="nil"/>
              <w:left w:val="nil"/>
              <w:bottom w:val="single" w:sz="4" w:space="0" w:color="auto"/>
              <w:right w:val="nil"/>
            </w:tcBorders>
            <w:shd w:val="clear" w:color="auto" w:fill="auto"/>
            <w:noWrap/>
            <w:vAlign w:val="center"/>
            <w:hideMark/>
          </w:tcPr>
          <w:p w14:paraId="11BF717D" w14:textId="6322D596"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.09</w:t>
            </w:r>
          </w:p>
        </w:tc>
        <w:tc>
          <w:tcPr>
            <w:tcW w:w="520" w:type="dxa"/>
            <w:tcBorders>
              <w:top w:val="nil"/>
              <w:left w:val="nil"/>
              <w:bottom w:val="single" w:sz="4" w:space="0" w:color="auto"/>
              <w:right w:val="nil"/>
            </w:tcBorders>
            <w:shd w:val="clear" w:color="auto" w:fill="auto"/>
            <w:noWrap/>
            <w:vAlign w:val="center"/>
            <w:hideMark/>
          </w:tcPr>
          <w:p w14:paraId="787191D6" w14:textId="77777777"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w:t>
            </w:r>
          </w:p>
        </w:tc>
        <w:tc>
          <w:tcPr>
            <w:tcW w:w="520" w:type="dxa"/>
            <w:tcBorders>
              <w:top w:val="nil"/>
              <w:left w:val="nil"/>
              <w:bottom w:val="single" w:sz="4" w:space="0" w:color="auto"/>
              <w:right w:val="nil"/>
            </w:tcBorders>
            <w:shd w:val="clear" w:color="auto" w:fill="auto"/>
            <w:noWrap/>
            <w:vAlign w:val="center"/>
            <w:hideMark/>
          </w:tcPr>
          <w:p w14:paraId="37F4BF3F" w14:textId="4A68CBBC"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–.05</w:t>
            </w:r>
          </w:p>
        </w:tc>
        <w:tc>
          <w:tcPr>
            <w:tcW w:w="520" w:type="dxa"/>
            <w:tcBorders>
              <w:top w:val="nil"/>
              <w:left w:val="nil"/>
              <w:bottom w:val="single" w:sz="4" w:space="0" w:color="auto"/>
              <w:right w:val="nil"/>
            </w:tcBorders>
            <w:shd w:val="clear" w:color="auto" w:fill="auto"/>
            <w:noWrap/>
            <w:vAlign w:val="center"/>
            <w:hideMark/>
          </w:tcPr>
          <w:p w14:paraId="43599B25" w14:textId="315CC8E2"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–.01</w:t>
            </w:r>
          </w:p>
        </w:tc>
        <w:tc>
          <w:tcPr>
            <w:tcW w:w="520" w:type="dxa"/>
            <w:tcBorders>
              <w:top w:val="nil"/>
              <w:left w:val="nil"/>
              <w:bottom w:val="single" w:sz="4" w:space="0" w:color="auto"/>
              <w:right w:val="nil"/>
            </w:tcBorders>
            <w:shd w:val="clear" w:color="auto" w:fill="auto"/>
            <w:noWrap/>
            <w:vAlign w:val="center"/>
            <w:hideMark/>
          </w:tcPr>
          <w:p w14:paraId="5FA1AA50" w14:textId="4F935AEB"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.03</w:t>
            </w:r>
          </w:p>
        </w:tc>
        <w:tc>
          <w:tcPr>
            <w:tcW w:w="520" w:type="dxa"/>
            <w:tcBorders>
              <w:top w:val="nil"/>
              <w:left w:val="nil"/>
              <w:bottom w:val="single" w:sz="4" w:space="0" w:color="auto"/>
              <w:right w:val="nil"/>
            </w:tcBorders>
            <w:shd w:val="clear" w:color="auto" w:fill="auto"/>
            <w:noWrap/>
            <w:vAlign w:val="center"/>
            <w:hideMark/>
          </w:tcPr>
          <w:p w14:paraId="580FB107" w14:textId="6313DAE3"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–.04</w:t>
            </w:r>
          </w:p>
        </w:tc>
        <w:tc>
          <w:tcPr>
            <w:tcW w:w="520" w:type="dxa"/>
            <w:tcBorders>
              <w:top w:val="nil"/>
              <w:left w:val="nil"/>
              <w:bottom w:val="single" w:sz="4" w:space="0" w:color="auto"/>
              <w:right w:val="nil"/>
            </w:tcBorders>
            <w:shd w:val="clear" w:color="auto" w:fill="auto"/>
            <w:noWrap/>
            <w:vAlign w:val="center"/>
            <w:hideMark/>
          </w:tcPr>
          <w:p w14:paraId="6D073DF2" w14:textId="0BC1176D"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.02</w:t>
            </w:r>
          </w:p>
        </w:tc>
        <w:tc>
          <w:tcPr>
            <w:tcW w:w="520" w:type="dxa"/>
            <w:tcBorders>
              <w:top w:val="nil"/>
              <w:left w:val="nil"/>
              <w:bottom w:val="single" w:sz="4" w:space="0" w:color="auto"/>
              <w:right w:val="nil"/>
            </w:tcBorders>
            <w:shd w:val="clear" w:color="auto" w:fill="auto"/>
            <w:noWrap/>
            <w:vAlign w:val="center"/>
            <w:hideMark/>
          </w:tcPr>
          <w:p w14:paraId="49E0560A" w14:textId="09AC65BA"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–.01</w:t>
            </w:r>
          </w:p>
        </w:tc>
        <w:tc>
          <w:tcPr>
            <w:tcW w:w="520" w:type="dxa"/>
            <w:tcBorders>
              <w:top w:val="nil"/>
              <w:left w:val="nil"/>
              <w:bottom w:val="single" w:sz="4" w:space="0" w:color="auto"/>
              <w:right w:val="nil"/>
            </w:tcBorders>
            <w:shd w:val="clear" w:color="auto" w:fill="auto"/>
            <w:noWrap/>
            <w:vAlign w:val="center"/>
            <w:hideMark/>
          </w:tcPr>
          <w:p w14:paraId="3E51917A" w14:textId="35C73BBB" w:rsidR="000F31A9" w:rsidRPr="005557B0" w:rsidRDefault="000F31A9" w:rsidP="009011BB">
            <w:pPr>
              <w:spacing w:line="240" w:lineRule="auto"/>
              <w:jc w:val="center"/>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–.01</w:t>
            </w:r>
          </w:p>
        </w:tc>
        <w:tc>
          <w:tcPr>
            <w:tcW w:w="300" w:type="dxa"/>
            <w:tcBorders>
              <w:top w:val="nil"/>
              <w:left w:val="nil"/>
              <w:bottom w:val="single" w:sz="4" w:space="0" w:color="auto"/>
              <w:right w:val="nil"/>
            </w:tcBorders>
            <w:shd w:val="clear" w:color="auto" w:fill="auto"/>
            <w:noWrap/>
            <w:vAlign w:val="center"/>
            <w:hideMark/>
          </w:tcPr>
          <w:p w14:paraId="5A46D8F9" w14:textId="374B4063" w:rsidR="000F31A9" w:rsidRPr="005557B0" w:rsidRDefault="00B2001E" w:rsidP="009011BB">
            <w:pPr>
              <w:spacing w:line="240" w:lineRule="auto"/>
              <w:rPr>
                <w:rFonts w:eastAsia="Times New Roman" w:cs="Times New Roman"/>
                <w:color w:val="000000"/>
                <w:sz w:val="16"/>
                <w:szCs w:val="16"/>
                <w:lang w:val="nl-NL" w:eastAsia="zh-CN"/>
              </w:rPr>
            </w:pPr>
            <w:r w:rsidRPr="005557B0">
              <w:rPr>
                <w:rFonts w:eastAsia="Times New Roman" w:cs="Times New Roman"/>
                <w:color w:val="000000"/>
                <w:sz w:val="16"/>
                <w:szCs w:val="16"/>
                <w:lang w:val="nl-NL" w:eastAsia="zh-CN"/>
              </w:rPr>
              <w:t>-</w:t>
            </w:r>
          </w:p>
        </w:tc>
      </w:tr>
    </w:tbl>
    <w:p w14:paraId="0DAF6575" w14:textId="29A926EB" w:rsidR="009011BB" w:rsidRDefault="007E7454" w:rsidP="00CD0784">
      <w:pPr>
        <w:spacing w:line="240" w:lineRule="auto"/>
        <w:rPr>
          <w:rFonts w:eastAsia="Times New Roman" w:cs="Times New Roman"/>
          <w:color w:val="000000"/>
          <w:szCs w:val="22"/>
          <w:lang w:eastAsia="zh-CN"/>
        </w:rPr>
      </w:pPr>
      <w:r w:rsidRPr="007E7454">
        <w:rPr>
          <w:rFonts w:eastAsia="Times New Roman" w:cs="Times New Roman"/>
          <w:i/>
          <w:color w:val="000000"/>
          <w:szCs w:val="22"/>
          <w:lang w:eastAsia="zh-CN"/>
        </w:rPr>
        <w:t>Note.</w:t>
      </w:r>
      <w:r w:rsidRPr="007E7454">
        <w:rPr>
          <w:rFonts w:eastAsia="Times New Roman" w:cs="Times New Roman"/>
          <w:color w:val="000000"/>
          <w:szCs w:val="22"/>
          <w:lang w:eastAsia="zh-CN"/>
        </w:rPr>
        <w:t xml:space="preserve"> Only variables related to hypothesis testing were included here. K index, group size, age, gender and year of data collection are continuous variables, other study variables are dummy variables. </w:t>
      </w:r>
      <w:r w:rsidRPr="002E0C7A">
        <w:rPr>
          <w:rFonts w:eastAsia="Times New Roman" w:cs="Times New Roman"/>
          <w:color w:val="000000"/>
          <w:szCs w:val="22"/>
          <w:vertAlign w:val="superscript"/>
          <w:lang w:eastAsia="zh-CN"/>
        </w:rPr>
        <w:t>a</w:t>
      </w:r>
      <w:r w:rsidRPr="007E7454">
        <w:rPr>
          <w:rFonts w:eastAsia="Times New Roman" w:cs="Times New Roman"/>
          <w:color w:val="000000"/>
          <w:szCs w:val="22"/>
          <w:lang w:eastAsia="zh-CN"/>
        </w:rPr>
        <w:t xml:space="preserve"> The </w:t>
      </w:r>
      <w:r w:rsidR="00D274A2">
        <w:rPr>
          <w:rFonts w:eastAsia="Times New Roman" w:cs="Times New Roman"/>
          <w:color w:val="000000"/>
          <w:szCs w:val="22"/>
          <w:lang w:eastAsia="zh-CN"/>
        </w:rPr>
        <w:t>reference</w:t>
      </w:r>
      <w:r w:rsidRPr="007E7454">
        <w:rPr>
          <w:rFonts w:eastAsia="Times New Roman" w:cs="Times New Roman"/>
          <w:color w:val="000000"/>
          <w:szCs w:val="22"/>
          <w:lang w:eastAsia="zh-CN"/>
        </w:rPr>
        <w:t xml:space="preserve"> group for deception, discussion, knowledge of the end game, game incentive, show up fee, sanction, and </w:t>
      </w:r>
      <w:r w:rsidR="00D274A2" w:rsidRPr="00D274A2">
        <w:rPr>
          <w:rFonts w:eastAsia="Times New Roman" w:cs="Times New Roman"/>
          <w:color w:val="000000"/>
          <w:szCs w:val="22"/>
          <w:lang w:eastAsia="zh-CN"/>
        </w:rPr>
        <w:t>publication status</w:t>
      </w:r>
      <w:r w:rsidRPr="007E7454">
        <w:rPr>
          <w:rFonts w:eastAsia="Times New Roman" w:cs="Times New Roman"/>
          <w:color w:val="000000"/>
          <w:szCs w:val="22"/>
          <w:lang w:eastAsia="zh-CN"/>
        </w:rPr>
        <w:t xml:space="preserve"> was</w:t>
      </w:r>
      <w:r w:rsidR="00D274A2" w:rsidRPr="00D274A2">
        <w:rPr>
          <w:rFonts w:eastAsia="Times New Roman" w:cs="Times New Roman"/>
          <w:color w:val="000000"/>
          <w:szCs w:val="22"/>
          <w:lang w:eastAsia="zh-CN"/>
        </w:rPr>
        <w:t xml:space="preserve"> </w:t>
      </w:r>
      <w:r w:rsidR="00D274A2">
        <w:rPr>
          <w:rFonts w:eastAsia="Times New Roman" w:cs="Times New Roman"/>
          <w:color w:val="000000"/>
          <w:szCs w:val="22"/>
          <w:lang w:eastAsia="zh-CN"/>
        </w:rPr>
        <w:t>“</w:t>
      </w:r>
      <w:r w:rsidR="00E35931">
        <w:rPr>
          <w:rFonts w:eastAsia="Times New Roman" w:cs="Times New Roman"/>
          <w:color w:val="000000"/>
          <w:szCs w:val="22"/>
          <w:lang w:eastAsia="zh-CN"/>
        </w:rPr>
        <w:t>n</w:t>
      </w:r>
      <w:r w:rsidRPr="007E7454">
        <w:rPr>
          <w:rFonts w:eastAsia="Times New Roman" w:cs="Times New Roman"/>
          <w:color w:val="000000"/>
          <w:szCs w:val="22"/>
          <w:lang w:eastAsia="zh-CN"/>
        </w:rPr>
        <w:t>o</w:t>
      </w:r>
      <w:r w:rsidR="00D274A2">
        <w:rPr>
          <w:rFonts w:eastAsia="Times New Roman" w:cs="Times New Roman"/>
          <w:color w:val="000000"/>
          <w:szCs w:val="22"/>
          <w:lang w:eastAsia="zh-CN"/>
        </w:rPr>
        <w:t>”</w:t>
      </w:r>
      <w:r w:rsidRPr="007E7454">
        <w:rPr>
          <w:rFonts w:eastAsia="Times New Roman" w:cs="Times New Roman"/>
          <w:color w:val="000000"/>
          <w:szCs w:val="22"/>
          <w:lang w:eastAsia="zh-CN"/>
        </w:rPr>
        <w:t xml:space="preserve">, </w:t>
      </w:r>
      <w:r w:rsidRPr="002E0C7A">
        <w:rPr>
          <w:rFonts w:eastAsia="Times New Roman" w:cs="Times New Roman"/>
          <w:color w:val="000000"/>
          <w:szCs w:val="22"/>
          <w:vertAlign w:val="superscript"/>
          <w:lang w:eastAsia="zh-CN"/>
        </w:rPr>
        <w:t>b</w:t>
      </w:r>
      <w:r w:rsidRPr="007E7454">
        <w:rPr>
          <w:rFonts w:eastAsia="Times New Roman" w:cs="Times New Roman"/>
          <w:color w:val="000000"/>
          <w:szCs w:val="22"/>
          <w:lang w:eastAsia="zh-CN"/>
        </w:rPr>
        <w:t xml:space="preserve"> for </w:t>
      </w:r>
      <w:proofErr w:type="spellStart"/>
      <w:r w:rsidRPr="007E7454">
        <w:rPr>
          <w:rFonts w:eastAsia="Times New Roman" w:cs="Times New Roman"/>
          <w:color w:val="000000"/>
          <w:szCs w:val="22"/>
          <w:lang w:eastAsia="zh-CN"/>
        </w:rPr>
        <w:t>sequentiality</w:t>
      </w:r>
      <w:proofErr w:type="spellEnd"/>
      <w:r w:rsidRPr="007E7454">
        <w:rPr>
          <w:rFonts w:eastAsia="Times New Roman" w:cs="Times New Roman"/>
          <w:color w:val="000000"/>
          <w:szCs w:val="22"/>
          <w:lang w:eastAsia="zh-CN"/>
        </w:rPr>
        <w:t xml:space="preserve"> was </w:t>
      </w:r>
      <w:r w:rsidR="00D274A2">
        <w:rPr>
          <w:rFonts w:eastAsia="Times New Roman" w:cs="Times New Roman"/>
          <w:color w:val="000000"/>
          <w:szCs w:val="22"/>
          <w:lang w:eastAsia="zh-CN"/>
        </w:rPr>
        <w:t>“</w:t>
      </w:r>
      <w:r w:rsidRPr="007E7454">
        <w:rPr>
          <w:rFonts w:eastAsia="Times New Roman" w:cs="Times New Roman"/>
          <w:color w:val="000000"/>
          <w:szCs w:val="22"/>
          <w:lang w:eastAsia="zh-CN"/>
        </w:rPr>
        <w:t>sequential</w:t>
      </w:r>
      <w:r w:rsidR="00D274A2">
        <w:rPr>
          <w:rFonts w:eastAsia="Times New Roman" w:cs="Times New Roman"/>
          <w:color w:val="000000"/>
          <w:szCs w:val="22"/>
          <w:lang w:eastAsia="zh-CN"/>
        </w:rPr>
        <w:t>”</w:t>
      </w:r>
      <w:r w:rsidRPr="007E7454">
        <w:rPr>
          <w:rFonts w:eastAsia="Times New Roman" w:cs="Times New Roman"/>
          <w:color w:val="000000"/>
          <w:szCs w:val="22"/>
          <w:lang w:eastAsia="zh-CN"/>
        </w:rPr>
        <w:t xml:space="preserve">, </w:t>
      </w:r>
      <w:r w:rsidRPr="002E0C7A">
        <w:rPr>
          <w:rFonts w:eastAsia="Times New Roman" w:cs="Times New Roman"/>
          <w:color w:val="000000"/>
          <w:szCs w:val="22"/>
          <w:vertAlign w:val="superscript"/>
          <w:lang w:eastAsia="zh-CN"/>
        </w:rPr>
        <w:t>c</w:t>
      </w:r>
      <w:r w:rsidRPr="007E7454">
        <w:rPr>
          <w:rFonts w:eastAsia="Times New Roman" w:cs="Times New Roman"/>
          <w:color w:val="000000"/>
          <w:szCs w:val="22"/>
          <w:lang w:eastAsia="zh-CN"/>
        </w:rPr>
        <w:t xml:space="preserve"> for discussion was </w:t>
      </w:r>
      <w:r w:rsidR="00D274A2">
        <w:rPr>
          <w:rFonts w:eastAsia="Times New Roman" w:cs="Times New Roman"/>
          <w:color w:val="000000"/>
          <w:szCs w:val="22"/>
          <w:lang w:eastAsia="zh-CN"/>
        </w:rPr>
        <w:t>“</w:t>
      </w:r>
      <w:proofErr w:type="spellStart"/>
      <w:r w:rsidRPr="007E7454">
        <w:rPr>
          <w:rFonts w:eastAsia="Times New Roman" w:cs="Times New Roman"/>
          <w:color w:val="000000"/>
          <w:szCs w:val="22"/>
          <w:lang w:eastAsia="zh-CN"/>
        </w:rPr>
        <w:t>uni</w:t>
      </w:r>
      <w:proofErr w:type="spellEnd"/>
      <w:r w:rsidRPr="007E7454">
        <w:rPr>
          <w:rFonts w:eastAsia="Times New Roman" w:cs="Times New Roman"/>
          <w:color w:val="000000"/>
          <w:szCs w:val="22"/>
          <w:lang w:eastAsia="zh-CN"/>
        </w:rPr>
        <w:t>-directional</w:t>
      </w:r>
      <w:r w:rsidR="00D274A2">
        <w:rPr>
          <w:rFonts w:eastAsia="Times New Roman" w:cs="Times New Roman"/>
          <w:color w:val="000000"/>
          <w:szCs w:val="22"/>
          <w:lang w:eastAsia="zh-CN"/>
        </w:rPr>
        <w:t>”</w:t>
      </w:r>
      <w:r w:rsidRPr="007E7454">
        <w:rPr>
          <w:rFonts w:eastAsia="Times New Roman" w:cs="Times New Roman"/>
          <w:color w:val="000000"/>
          <w:szCs w:val="22"/>
          <w:lang w:eastAsia="zh-CN"/>
        </w:rPr>
        <w:t xml:space="preserve">, </w:t>
      </w:r>
      <w:r w:rsidRPr="002E0C7A">
        <w:rPr>
          <w:rFonts w:eastAsia="Times New Roman" w:cs="Times New Roman"/>
          <w:color w:val="000000"/>
          <w:szCs w:val="22"/>
          <w:vertAlign w:val="superscript"/>
          <w:lang w:eastAsia="zh-CN"/>
        </w:rPr>
        <w:t>d</w:t>
      </w:r>
      <w:r w:rsidRPr="007E7454">
        <w:rPr>
          <w:rFonts w:eastAsia="Times New Roman" w:cs="Times New Roman"/>
          <w:color w:val="000000"/>
          <w:szCs w:val="22"/>
          <w:lang w:eastAsia="zh-CN"/>
        </w:rPr>
        <w:t xml:space="preserve"> for game incentive was </w:t>
      </w:r>
      <w:r w:rsidR="00B64610">
        <w:rPr>
          <w:rFonts w:eastAsia="Times New Roman" w:cs="Times New Roman"/>
          <w:color w:val="000000"/>
          <w:szCs w:val="22"/>
          <w:lang w:eastAsia="zh-CN"/>
        </w:rPr>
        <w:t>“</w:t>
      </w:r>
      <w:r w:rsidRPr="007E7454">
        <w:rPr>
          <w:rFonts w:eastAsia="Times New Roman" w:cs="Times New Roman"/>
          <w:color w:val="000000"/>
          <w:szCs w:val="22"/>
          <w:lang w:eastAsia="zh-CN"/>
        </w:rPr>
        <w:t>lottery</w:t>
      </w:r>
      <w:r w:rsidR="00B64610">
        <w:rPr>
          <w:rFonts w:eastAsia="Times New Roman" w:cs="Times New Roman"/>
          <w:color w:val="000000"/>
          <w:szCs w:val="22"/>
          <w:lang w:eastAsia="zh-CN"/>
        </w:rPr>
        <w:t>”</w:t>
      </w:r>
      <w:r w:rsidRPr="007E7454">
        <w:rPr>
          <w:rFonts w:eastAsia="Times New Roman" w:cs="Times New Roman"/>
          <w:color w:val="000000"/>
          <w:szCs w:val="22"/>
          <w:lang w:eastAsia="zh-CN"/>
        </w:rPr>
        <w:t xml:space="preserve">, </w:t>
      </w:r>
      <w:r w:rsidRPr="002E0C7A">
        <w:rPr>
          <w:rFonts w:eastAsia="Times New Roman" w:cs="Times New Roman"/>
          <w:color w:val="000000"/>
          <w:szCs w:val="22"/>
          <w:vertAlign w:val="superscript"/>
          <w:lang w:eastAsia="zh-CN"/>
        </w:rPr>
        <w:t>e</w:t>
      </w:r>
      <w:r w:rsidRPr="007E7454">
        <w:rPr>
          <w:rFonts w:eastAsia="Times New Roman" w:cs="Times New Roman"/>
          <w:color w:val="000000"/>
          <w:szCs w:val="22"/>
          <w:lang w:eastAsia="zh-CN"/>
        </w:rPr>
        <w:t xml:space="preserve"> for game incentive was </w:t>
      </w:r>
      <w:r w:rsidR="00B64610">
        <w:rPr>
          <w:rFonts w:eastAsia="Times New Roman" w:cs="Times New Roman"/>
          <w:color w:val="000000"/>
          <w:szCs w:val="22"/>
          <w:lang w:eastAsia="zh-CN"/>
        </w:rPr>
        <w:t>“</w:t>
      </w:r>
      <w:r w:rsidRPr="007E7454">
        <w:rPr>
          <w:rFonts w:eastAsia="Times New Roman" w:cs="Times New Roman"/>
          <w:color w:val="000000"/>
          <w:szCs w:val="22"/>
          <w:lang w:eastAsia="zh-CN"/>
        </w:rPr>
        <w:t>non-monetary</w:t>
      </w:r>
      <w:r w:rsidR="00B64610">
        <w:rPr>
          <w:rFonts w:eastAsia="Times New Roman" w:cs="Times New Roman"/>
          <w:color w:val="000000"/>
          <w:szCs w:val="22"/>
          <w:lang w:eastAsia="zh-CN"/>
        </w:rPr>
        <w:t>”</w:t>
      </w:r>
      <w:r w:rsidRPr="007E7454">
        <w:rPr>
          <w:rFonts w:eastAsia="Times New Roman" w:cs="Times New Roman"/>
          <w:color w:val="000000"/>
          <w:szCs w:val="22"/>
          <w:lang w:eastAsia="zh-CN"/>
        </w:rPr>
        <w:t xml:space="preserve">, </w:t>
      </w:r>
      <w:r w:rsidRPr="002E0C7A">
        <w:rPr>
          <w:rFonts w:eastAsia="Times New Roman" w:cs="Times New Roman"/>
          <w:color w:val="000000"/>
          <w:szCs w:val="22"/>
          <w:vertAlign w:val="superscript"/>
          <w:lang w:eastAsia="zh-CN"/>
        </w:rPr>
        <w:t>f</w:t>
      </w:r>
      <w:r w:rsidRPr="007E7454">
        <w:rPr>
          <w:rFonts w:eastAsia="Times New Roman" w:cs="Times New Roman"/>
          <w:color w:val="000000"/>
          <w:szCs w:val="22"/>
          <w:lang w:eastAsia="zh-CN"/>
        </w:rPr>
        <w:t xml:space="preserve"> for </w:t>
      </w:r>
      <w:r w:rsidR="0009469B">
        <w:rPr>
          <w:rFonts w:eastAsia="Times New Roman" w:cs="Times New Roman"/>
          <w:color w:val="000000"/>
          <w:szCs w:val="22"/>
          <w:lang w:eastAsia="zh-CN"/>
        </w:rPr>
        <w:t>matching design</w:t>
      </w:r>
      <w:r w:rsidRPr="007E7454">
        <w:rPr>
          <w:rFonts w:eastAsia="Times New Roman" w:cs="Times New Roman"/>
          <w:color w:val="000000"/>
          <w:szCs w:val="22"/>
          <w:lang w:eastAsia="zh-CN"/>
        </w:rPr>
        <w:t xml:space="preserve"> was </w:t>
      </w:r>
      <w:r w:rsidR="00B64610">
        <w:rPr>
          <w:rFonts w:eastAsia="Times New Roman" w:cs="Times New Roman"/>
          <w:color w:val="000000"/>
          <w:szCs w:val="22"/>
          <w:lang w:eastAsia="zh-CN"/>
        </w:rPr>
        <w:t>“</w:t>
      </w:r>
      <w:r w:rsidR="0009469B">
        <w:rPr>
          <w:rFonts w:eastAsia="Times New Roman" w:cs="Times New Roman"/>
          <w:color w:val="000000"/>
          <w:szCs w:val="22"/>
          <w:lang w:eastAsia="zh-CN"/>
        </w:rPr>
        <w:t>stranger-matching</w:t>
      </w:r>
      <w:r w:rsidR="00B64610">
        <w:rPr>
          <w:rFonts w:eastAsia="Times New Roman" w:cs="Times New Roman"/>
          <w:color w:val="000000"/>
          <w:szCs w:val="22"/>
          <w:lang w:eastAsia="zh-CN"/>
        </w:rPr>
        <w:t>”</w:t>
      </w:r>
      <w:r w:rsidRPr="007E7454">
        <w:rPr>
          <w:rFonts w:eastAsia="Times New Roman" w:cs="Times New Roman"/>
          <w:color w:val="000000"/>
          <w:szCs w:val="22"/>
          <w:lang w:eastAsia="zh-CN"/>
        </w:rPr>
        <w:t xml:space="preserve">, </w:t>
      </w:r>
      <w:r w:rsidRPr="002E0C7A">
        <w:rPr>
          <w:rFonts w:eastAsia="Times New Roman" w:cs="Times New Roman"/>
          <w:color w:val="000000"/>
          <w:szCs w:val="22"/>
          <w:vertAlign w:val="superscript"/>
          <w:lang w:eastAsia="zh-CN"/>
        </w:rPr>
        <w:t>g</w:t>
      </w:r>
      <w:r w:rsidRPr="007E7454">
        <w:rPr>
          <w:rFonts w:eastAsia="Times New Roman" w:cs="Times New Roman"/>
          <w:color w:val="000000"/>
          <w:szCs w:val="22"/>
          <w:lang w:eastAsia="zh-CN"/>
        </w:rPr>
        <w:t xml:space="preserve"> for symmetry was </w:t>
      </w:r>
      <w:r w:rsidR="00B64610">
        <w:rPr>
          <w:rFonts w:eastAsia="Times New Roman" w:cs="Times New Roman"/>
          <w:color w:val="000000"/>
          <w:szCs w:val="22"/>
          <w:lang w:eastAsia="zh-CN"/>
        </w:rPr>
        <w:t>“</w:t>
      </w:r>
      <w:r w:rsidRPr="007E7454">
        <w:rPr>
          <w:rFonts w:eastAsia="Times New Roman" w:cs="Times New Roman"/>
          <w:color w:val="000000"/>
          <w:szCs w:val="22"/>
          <w:lang w:eastAsia="zh-CN"/>
        </w:rPr>
        <w:t>asymmetric</w:t>
      </w:r>
      <w:r w:rsidR="00B64610">
        <w:rPr>
          <w:rFonts w:eastAsia="Times New Roman" w:cs="Times New Roman"/>
          <w:color w:val="000000"/>
          <w:szCs w:val="22"/>
          <w:lang w:eastAsia="zh-CN"/>
        </w:rPr>
        <w:t>”</w:t>
      </w:r>
      <w:r w:rsidRPr="007E7454">
        <w:rPr>
          <w:rFonts w:eastAsia="Times New Roman" w:cs="Times New Roman"/>
          <w:color w:val="000000"/>
          <w:szCs w:val="22"/>
          <w:lang w:eastAsia="zh-CN"/>
        </w:rPr>
        <w:t xml:space="preserve">, </w:t>
      </w:r>
      <w:r w:rsidRPr="002E0C7A">
        <w:rPr>
          <w:rFonts w:eastAsia="Times New Roman" w:cs="Times New Roman"/>
          <w:color w:val="000000"/>
          <w:szCs w:val="22"/>
          <w:vertAlign w:val="superscript"/>
          <w:lang w:eastAsia="zh-CN"/>
        </w:rPr>
        <w:t>h</w:t>
      </w:r>
      <w:r w:rsidRPr="007E7454">
        <w:rPr>
          <w:rFonts w:eastAsia="Times New Roman" w:cs="Times New Roman"/>
          <w:color w:val="000000"/>
          <w:szCs w:val="22"/>
          <w:lang w:eastAsia="zh-CN"/>
        </w:rPr>
        <w:t xml:space="preserve"> for discipline was </w:t>
      </w:r>
      <w:r w:rsidR="00B64610">
        <w:rPr>
          <w:rFonts w:eastAsia="Times New Roman" w:cs="Times New Roman"/>
          <w:color w:val="000000"/>
          <w:szCs w:val="22"/>
          <w:lang w:eastAsia="zh-CN"/>
        </w:rPr>
        <w:t>“</w:t>
      </w:r>
      <w:r w:rsidRPr="007E7454">
        <w:rPr>
          <w:rFonts w:eastAsia="Times New Roman" w:cs="Times New Roman"/>
          <w:color w:val="000000"/>
          <w:szCs w:val="22"/>
          <w:lang w:eastAsia="zh-CN"/>
        </w:rPr>
        <w:t>economics</w:t>
      </w:r>
      <w:r w:rsidR="00B64610">
        <w:rPr>
          <w:rFonts w:eastAsia="Times New Roman" w:cs="Times New Roman"/>
          <w:color w:val="000000"/>
          <w:szCs w:val="22"/>
          <w:lang w:eastAsia="zh-CN"/>
        </w:rPr>
        <w:t>”</w:t>
      </w:r>
      <w:r w:rsidRPr="007E7454">
        <w:rPr>
          <w:rFonts w:eastAsia="Times New Roman" w:cs="Times New Roman"/>
          <w:color w:val="000000"/>
          <w:szCs w:val="22"/>
          <w:lang w:eastAsia="zh-CN"/>
        </w:rPr>
        <w:t xml:space="preserve">, </w:t>
      </w:r>
      <w:proofErr w:type="spellStart"/>
      <w:r w:rsidRPr="002E0C7A">
        <w:rPr>
          <w:rFonts w:eastAsia="Times New Roman" w:cs="Times New Roman"/>
          <w:color w:val="000000"/>
          <w:szCs w:val="22"/>
          <w:vertAlign w:val="superscript"/>
          <w:lang w:eastAsia="zh-CN"/>
        </w:rPr>
        <w:t>i</w:t>
      </w:r>
      <w:proofErr w:type="spellEnd"/>
      <w:r w:rsidRPr="007E7454">
        <w:rPr>
          <w:rFonts w:eastAsia="Times New Roman" w:cs="Times New Roman"/>
          <w:color w:val="000000"/>
          <w:szCs w:val="22"/>
          <w:lang w:eastAsia="zh-CN"/>
        </w:rPr>
        <w:t xml:space="preserve"> for choice type was </w:t>
      </w:r>
      <w:r w:rsidR="00B64610">
        <w:rPr>
          <w:rFonts w:eastAsia="Times New Roman" w:cs="Times New Roman"/>
          <w:color w:val="000000"/>
          <w:szCs w:val="22"/>
          <w:lang w:eastAsia="zh-CN"/>
        </w:rPr>
        <w:t>“</w:t>
      </w:r>
      <w:r w:rsidRPr="007E7454">
        <w:rPr>
          <w:rFonts w:eastAsia="Times New Roman" w:cs="Times New Roman"/>
          <w:color w:val="000000"/>
          <w:szCs w:val="22"/>
          <w:lang w:eastAsia="zh-CN"/>
        </w:rPr>
        <w:t>dichotomous</w:t>
      </w:r>
      <w:r w:rsidR="00B64610">
        <w:rPr>
          <w:rFonts w:eastAsia="Times New Roman" w:cs="Times New Roman"/>
          <w:color w:val="000000"/>
          <w:szCs w:val="22"/>
          <w:lang w:eastAsia="zh-CN"/>
        </w:rPr>
        <w:t>”</w:t>
      </w:r>
      <w:r w:rsidR="00F07994">
        <w:rPr>
          <w:rFonts w:eastAsia="Times New Roman" w:cs="Times New Roman"/>
          <w:color w:val="000000"/>
          <w:szCs w:val="22"/>
          <w:lang w:eastAsia="zh-CN"/>
        </w:rPr>
        <w:t xml:space="preserve"> </w:t>
      </w:r>
      <w:r w:rsidR="00F07994">
        <w:rPr>
          <w:rFonts w:eastAsia="Times New Roman" w:cs="Times New Roman"/>
          <w:color w:val="000000"/>
          <w:lang w:eastAsia="zh-CN"/>
        </w:rPr>
        <w:t>(vs. continuous)</w:t>
      </w:r>
      <w:r w:rsidRPr="007E7454">
        <w:rPr>
          <w:rFonts w:eastAsia="Times New Roman" w:cs="Times New Roman"/>
          <w:color w:val="000000"/>
          <w:szCs w:val="22"/>
          <w:lang w:eastAsia="zh-CN"/>
        </w:rPr>
        <w:t xml:space="preserve">, </w:t>
      </w:r>
      <w:r w:rsidRPr="002E0C7A">
        <w:rPr>
          <w:rFonts w:eastAsia="Times New Roman" w:cs="Times New Roman"/>
          <w:color w:val="000000"/>
          <w:szCs w:val="22"/>
          <w:vertAlign w:val="superscript"/>
          <w:lang w:eastAsia="zh-CN"/>
        </w:rPr>
        <w:t>j</w:t>
      </w:r>
      <w:r w:rsidRPr="007E7454">
        <w:rPr>
          <w:rFonts w:eastAsia="Times New Roman" w:cs="Times New Roman"/>
          <w:color w:val="000000"/>
          <w:szCs w:val="22"/>
          <w:lang w:eastAsia="zh-CN"/>
        </w:rPr>
        <w:t xml:space="preserve"> for experimental setting was </w:t>
      </w:r>
      <w:r w:rsidR="00B64610">
        <w:rPr>
          <w:rFonts w:eastAsia="Times New Roman" w:cs="Times New Roman"/>
          <w:color w:val="000000"/>
          <w:szCs w:val="22"/>
          <w:lang w:eastAsia="zh-CN"/>
        </w:rPr>
        <w:t>“</w:t>
      </w:r>
      <w:r w:rsidRPr="007E7454">
        <w:rPr>
          <w:rFonts w:eastAsia="Times New Roman" w:cs="Times New Roman"/>
          <w:color w:val="000000"/>
          <w:szCs w:val="22"/>
          <w:lang w:eastAsia="zh-CN"/>
        </w:rPr>
        <w:t>lab</w:t>
      </w:r>
      <w:r w:rsidR="00B64610">
        <w:rPr>
          <w:rFonts w:eastAsia="Times New Roman" w:cs="Times New Roman"/>
          <w:color w:val="000000"/>
          <w:szCs w:val="22"/>
          <w:lang w:eastAsia="zh-CN"/>
        </w:rPr>
        <w:t>”</w:t>
      </w:r>
      <w:r w:rsidRPr="007E7454">
        <w:rPr>
          <w:rFonts w:eastAsia="Times New Roman" w:cs="Times New Roman"/>
          <w:color w:val="000000"/>
          <w:szCs w:val="22"/>
          <w:lang w:eastAsia="zh-CN"/>
        </w:rPr>
        <w:t xml:space="preserve">, </w:t>
      </w:r>
      <w:r w:rsidRPr="002E0C7A">
        <w:rPr>
          <w:rFonts w:eastAsia="Times New Roman" w:cs="Times New Roman"/>
          <w:color w:val="000000"/>
          <w:szCs w:val="22"/>
          <w:vertAlign w:val="superscript"/>
          <w:lang w:eastAsia="zh-CN"/>
        </w:rPr>
        <w:t>k</w:t>
      </w:r>
      <w:r w:rsidR="002E0C7A">
        <w:rPr>
          <w:rFonts w:eastAsia="Times New Roman" w:cs="Times New Roman"/>
          <w:color w:val="000000"/>
          <w:szCs w:val="22"/>
          <w:lang w:eastAsia="zh-CN"/>
        </w:rPr>
        <w:t xml:space="preserve"> for </w:t>
      </w:r>
      <w:r w:rsidR="00BB0E0D">
        <w:rPr>
          <w:rFonts w:eastAsia="Times New Roman" w:cs="Times New Roman"/>
          <w:color w:val="000000"/>
          <w:szCs w:val="22"/>
          <w:lang w:eastAsia="zh-CN"/>
        </w:rPr>
        <w:t>t</w:t>
      </w:r>
      <w:r w:rsidRPr="007E7454">
        <w:rPr>
          <w:rFonts w:eastAsia="Times New Roman" w:cs="Times New Roman"/>
          <w:color w:val="000000"/>
          <w:szCs w:val="22"/>
          <w:lang w:eastAsia="zh-CN"/>
        </w:rPr>
        <w:t xml:space="preserve">rial of cooperation was </w:t>
      </w:r>
      <w:r w:rsidR="00B64610">
        <w:rPr>
          <w:rFonts w:eastAsia="Times New Roman" w:cs="Times New Roman"/>
          <w:color w:val="000000"/>
          <w:szCs w:val="22"/>
          <w:lang w:eastAsia="zh-CN"/>
        </w:rPr>
        <w:t>“</w:t>
      </w:r>
      <w:r w:rsidRPr="007E7454">
        <w:rPr>
          <w:rFonts w:eastAsia="Times New Roman" w:cs="Times New Roman"/>
          <w:color w:val="000000"/>
          <w:szCs w:val="22"/>
          <w:lang w:eastAsia="zh-CN"/>
        </w:rPr>
        <w:t>all</w:t>
      </w:r>
      <w:r w:rsidR="00B64610">
        <w:rPr>
          <w:rFonts w:eastAsia="Times New Roman" w:cs="Times New Roman"/>
          <w:color w:val="000000"/>
          <w:szCs w:val="22"/>
          <w:lang w:eastAsia="zh-CN"/>
        </w:rPr>
        <w:t>”</w:t>
      </w:r>
      <w:r w:rsidRPr="007E7454">
        <w:rPr>
          <w:rFonts w:eastAsia="Times New Roman" w:cs="Times New Roman"/>
          <w:color w:val="000000"/>
          <w:szCs w:val="22"/>
          <w:lang w:eastAsia="zh-CN"/>
        </w:rPr>
        <w:t>.</w:t>
      </w:r>
    </w:p>
    <w:p w14:paraId="796B5372" w14:textId="77777777" w:rsidR="009011BB" w:rsidRDefault="009011BB">
      <w:pPr>
        <w:spacing w:after="160" w:line="259" w:lineRule="auto"/>
        <w:rPr>
          <w:rFonts w:eastAsia="Times New Roman" w:cs="Times New Roman"/>
          <w:color w:val="000000"/>
          <w:szCs w:val="22"/>
          <w:lang w:eastAsia="zh-CN"/>
        </w:rPr>
        <w:sectPr w:rsidR="009011BB" w:rsidSect="00F63796">
          <w:pgSz w:w="15840" w:h="12240" w:orient="landscape"/>
          <w:pgMar w:top="1440" w:right="1440" w:bottom="1440" w:left="1440" w:header="708" w:footer="708" w:gutter="0"/>
          <w:cols w:space="708"/>
          <w:docGrid w:linePitch="326"/>
        </w:sectPr>
      </w:pPr>
    </w:p>
    <w:p w14:paraId="1864D40C" w14:textId="39D68484" w:rsidR="006C116A" w:rsidRDefault="00156901" w:rsidP="009011BB">
      <w:pPr>
        <w:pStyle w:val="Heading2"/>
      </w:pPr>
      <w:bookmarkStart w:id="19" w:name="_Toc169458479"/>
      <w:r>
        <w:rPr>
          <w:rFonts w:hint="eastAsia"/>
          <w:lang w:eastAsia="zh-CN"/>
        </w:rPr>
        <w:lastRenderedPageBreak/>
        <w:t>7</w:t>
      </w:r>
      <w:r w:rsidR="006C116A" w:rsidRPr="001E70A3">
        <w:t xml:space="preserve">.2 Variance </w:t>
      </w:r>
      <w:r w:rsidR="006C116A">
        <w:t>I</w:t>
      </w:r>
      <w:r w:rsidR="006C116A" w:rsidRPr="001E70A3">
        <w:t xml:space="preserve">nflation </w:t>
      </w:r>
      <w:r w:rsidR="006C116A">
        <w:t>F</w:t>
      </w:r>
      <w:r w:rsidR="006C116A" w:rsidRPr="001E70A3">
        <w:t>actors</w:t>
      </w:r>
      <w:bookmarkEnd w:id="19"/>
    </w:p>
    <w:p w14:paraId="1C38587D" w14:textId="3DCBD0B6" w:rsidR="00392A57" w:rsidRDefault="006C116A" w:rsidP="00CD0784">
      <w:pPr>
        <w:ind w:firstLine="709"/>
        <w:rPr>
          <w:rFonts w:eastAsia="Times New Roman" w:cs="Times New Roman"/>
          <w:b/>
          <w:bCs/>
          <w:color w:val="000000"/>
          <w:lang w:eastAsia="zh-CN"/>
        </w:rPr>
      </w:pPr>
      <w:r w:rsidRPr="007121C7">
        <w:rPr>
          <w:rFonts w:eastAsia="Times New Roman" w:cs="Times New Roman"/>
          <w:color w:val="000000"/>
          <w:lang w:eastAsia="zh-CN"/>
        </w:rPr>
        <w:t xml:space="preserve">To examine the multi-collinearity among the predictors prior to fitting the meta-regression model, we calculated the generalized variance inflation factors </w:t>
      </w:r>
      <w:r w:rsidRPr="00E742DF">
        <w:rPr>
          <w:rFonts w:eastAsia="Times New Roman" w:cs="Times New Roman"/>
          <w:noProof/>
          <w:color w:val="000000"/>
          <w:lang w:eastAsia="zh-CN"/>
        </w:rPr>
        <w:t>(</w:t>
      </w:r>
      <w:r w:rsidRPr="007121C7">
        <w:rPr>
          <w:rFonts w:eastAsia="Times New Roman" w:cs="Times New Roman"/>
          <w:noProof/>
          <w:color w:val="000000"/>
          <w:lang w:eastAsia="zh-CN"/>
        </w:rPr>
        <w:t xml:space="preserve">GVIF, </w:t>
      </w:r>
      <w:r w:rsidR="00E12E47" w:rsidRPr="00E12E47">
        <w:rPr>
          <w:rFonts w:cs="Times New Roman"/>
        </w:rPr>
        <w:t>Fox &amp; Monette, 1992)</w:t>
      </w:r>
      <w:r w:rsidRPr="007121C7">
        <w:rPr>
          <w:rFonts w:eastAsia="Times New Roman" w:cs="Times New Roman"/>
          <w:color w:val="000000"/>
          <w:lang w:eastAsia="zh-CN"/>
        </w:rPr>
        <w:t xml:space="preserve">. In our study, predictors consisted of continuous variables and categorical variables with two or more levels. As suggested by Fox and Monette, we computed </w:t>
      </w:r>
      <m:oMath>
        <m:sSup>
          <m:sSupPr>
            <m:ctrlPr>
              <w:rPr>
                <w:rFonts w:ascii="Cambria Math" w:eastAsia="Times New Roman" w:hAnsi="Cambria Math" w:cs="Times New Roman"/>
                <w:iCs/>
                <w:color w:val="000000"/>
                <w:lang w:eastAsia="zh-CN"/>
              </w:rPr>
            </m:ctrlPr>
          </m:sSupPr>
          <m:e>
            <m:r>
              <m:rPr>
                <m:sty m:val="p"/>
              </m:rPr>
              <w:rPr>
                <w:rFonts w:ascii="Cambria Math" w:eastAsia="Times New Roman" w:hAnsi="Cambria Math" w:cs="Times New Roman"/>
                <w:color w:val="000000"/>
                <w:lang w:eastAsia="zh-CN"/>
              </w:rPr>
              <m:t>GVIF</m:t>
            </m:r>
          </m:e>
          <m:sup>
            <m:r>
              <m:rPr>
                <m:sty m:val="p"/>
              </m:rPr>
              <w:rPr>
                <w:rFonts w:ascii="Cambria Math" w:eastAsia="Times New Roman" w:hAnsi="Cambria Math" w:cs="Times New Roman"/>
                <w:color w:val="000000"/>
                <w:lang w:eastAsia="zh-CN"/>
              </w:rPr>
              <m:t>1/(2×</m:t>
            </m:r>
            <m:r>
              <w:rPr>
                <w:rFonts w:ascii="Cambria Math" w:eastAsia="Times New Roman" w:hAnsi="Cambria Math" w:cs="Times New Roman"/>
                <w:color w:val="000000"/>
                <w:lang w:eastAsia="zh-CN"/>
              </w:rPr>
              <m:t>df</m:t>
            </m:r>
            <m:r>
              <m:rPr>
                <m:sty m:val="p"/>
              </m:rPr>
              <w:rPr>
                <w:rFonts w:ascii="Cambria Math" w:eastAsia="Times New Roman" w:hAnsi="Cambria Math" w:cs="Times New Roman"/>
                <w:color w:val="000000"/>
                <w:lang w:eastAsia="zh-CN"/>
              </w:rPr>
              <m:t>)</m:t>
            </m:r>
          </m:sup>
        </m:sSup>
      </m:oMath>
      <w:r w:rsidRPr="007121C7">
        <w:rPr>
          <w:rFonts w:eastAsia="Times New Roman" w:cs="Times New Roman"/>
          <w:color w:val="000000"/>
          <w:lang w:eastAsia="zh-CN"/>
        </w:rPr>
        <w:t xml:space="preserve"> to make GVIFs comparable across variables with a different number of parameters (e.g., a dummy-coded categorical variable could have multiple coefficients). Then we squared </w:t>
      </w:r>
      <m:oMath>
        <m:sSup>
          <m:sSupPr>
            <m:ctrlPr>
              <w:rPr>
                <w:rFonts w:ascii="Cambria Math" w:eastAsia="Times New Roman" w:hAnsi="Cambria Math" w:cs="Times New Roman"/>
                <w:iCs/>
                <w:color w:val="000000"/>
                <w:lang w:eastAsia="zh-CN"/>
              </w:rPr>
            </m:ctrlPr>
          </m:sSupPr>
          <m:e>
            <m:r>
              <m:rPr>
                <m:sty m:val="p"/>
              </m:rPr>
              <w:rPr>
                <w:rFonts w:ascii="Cambria Math" w:eastAsia="Times New Roman" w:hAnsi="Cambria Math" w:cs="Times New Roman"/>
                <w:color w:val="000000"/>
                <w:lang w:eastAsia="zh-CN"/>
              </w:rPr>
              <m:t>GVIF</m:t>
            </m:r>
          </m:e>
          <m:sup>
            <m:r>
              <m:rPr>
                <m:sty m:val="p"/>
              </m:rPr>
              <w:rPr>
                <w:rFonts w:ascii="Cambria Math" w:eastAsia="Times New Roman" w:hAnsi="Cambria Math" w:cs="Times New Roman"/>
                <w:color w:val="000000"/>
                <w:lang w:eastAsia="zh-CN"/>
              </w:rPr>
              <m:t>1/(2×</m:t>
            </m:r>
            <m:r>
              <w:rPr>
                <w:rFonts w:ascii="Cambria Math" w:eastAsia="Times New Roman" w:hAnsi="Cambria Math" w:cs="Times New Roman"/>
                <w:color w:val="000000"/>
                <w:lang w:eastAsia="zh-CN"/>
              </w:rPr>
              <m:t>df</m:t>
            </m:r>
            <m:r>
              <m:rPr>
                <m:sty m:val="p"/>
              </m:rPr>
              <w:rPr>
                <w:rFonts w:ascii="Cambria Math" w:eastAsia="Times New Roman" w:hAnsi="Cambria Math" w:cs="Times New Roman"/>
                <w:color w:val="000000"/>
                <w:lang w:eastAsia="zh-CN"/>
              </w:rPr>
              <m:t>)</m:t>
            </m:r>
          </m:sup>
        </m:sSup>
      </m:oMath>
      <w:r w:rsidRPr="007121C7">
        <w:rPr>
          <w:rFonts w:eastAsia="Times New Roman" w:cs="Times New Roman"/>
          <w:iCs/>
          <w:color w:val="000000"/>
          <w:lang w:eastAsia="zh-CN"/>
        </w:rPr>
        <w:t xml:space="preserve"> values and applied the rules of thumb for VIF values from past literature </w:t>
      </w:r>
      <w:r w:rsidRPr="004B365B">
        <w:rPr>
          <w:rFonts w:eastAsia="Times New Roman" w:cs="Times New Roman"/>
          <w:iCs/>
          <w:noProof/>
          <w:color w:val="000000"/>
          <w:lang w:eastAsia="zh-CN"/>
        </w:rPr>
        <w:t>(</w:t>
      </w:r>
      <w:r w:rsidRPr="007121C7">
        <w:rPr>
          <w:rFonts w:eastAsia="Times New Roman" w:cs="Times New Roman"/>
          <w:noProof/>
          <w:color w:val="000000"/>
          <w:lang w:eastAsia="zh-CN"/>
        </w:rPr>
        <w:t xml:space="preserve">i.e., VIF values </w:t>
      </w:r>
      <w:r w:rsidRPr="007121C7">
        <w:rPr>
          <w:rFonts w:eastAsia="Times New Roman" w:cs="Times New Roman"/>
          <w:iCs/>
          <w:noProof/>
          <w:color w:val="000000"/>
          <w:lang w:eastAsia="zh-CN"/>
        </w:rPr>
        <w:t>greater than 10 generally indicate the existence of  severe multi-collinearity,</w:t>
      </w:r>
      <w:r w:rsidRPr="007121C7">
        <w:rPr>
          <w:rFonts w:eastAsia="Times New Roman" w:cs="Times New Roman"/>
          <w:noProof/>
          <w:color w:val="000000"/>
          <w:lang w:eastAsia="zh-CN"/>
        </w:rPr>
        <w:t xml:space="preserve"> </w:t>
      </w:r>
      <w:r w:rsidR="00E12E47" w:rsidRPr="00E12E47">
        <w:rPr>
          <w:rFonts w:cs="Times New Roman"/>
        </w:rPr>
        <w:t>O’Brien, 2007)</w:t>
      </w:r>
      <w:r w:rsidRPr="007121C7">
        <w:rPr>
          <w:rFonts w:eastAsia="Times New Roman" w:cs="Times New Roman"/>
          <w:color w:val="000000"/>
          <w:lang w:eastAsia="zh-CN"/>
        </w:rPr>
        <w:t xml:space="preserve">. All squared </w:t>
      </w:r>
      <m:oMath>
        <m:sSup>
          <m:sSupPr>
            <m:ctrlPr>
              <w:rPr>
                <w:rFonts w:ascii="Cambria Math" w:eastAsia="Times New Roman" w:hAnsi="Cambria Math" w:cs="Times New Roman"/>
                <w:iCs/>
                <w:color w:val="000000"/>
                <w:lang w:eastAsia="zh-CN"/>
              </w:rPr>
            </m:ctrlPr>
          </m:sSupPr>
          <m:e>
            <m:r>
              <m:rPr>
                <m:sty m:val="p"/>
              </m:rPr>
              <w:rPr>
                <w:rFonts w:ascii="Cambria Math" w:eastAsia="Times New Roman" w:hAnsi="Cambria Math" w:cs="Times New Roman"/>
                <w:color w:val="000000"/>
                <w:lang w:eastAsia="zh-CN"/>
              </w:rPr>
              <m:t>GVIF</m:t>
            </m:r>
          </m:e>
          <m:sup>
            <m:r>
              <m:rPr>
                <m:sty m:val="p"/>
              </m:rPr>
              <w:rPr>
                <w:rFonts w:ascii="Cambria Math" w:eastAsia="Times New Roman" w:hAnsi="Cambria Math" w:cs="Times New Roman"/>
                <w:color w:val="000000"/>
                <w:lang w:eastAsia="zh-CN"/>
              </w:rPr>
              <m:t>1/(2×</m:t>
            </m:r>
            <m:r>
              <w:rPr>
                <w:rFonts w:ascii="Cambria Math" w:eastAsia="Times New Roman" w:hAnsi="Cambria Math" w:cs="Times New Roman"/>
                <w:color w:val="000000"/>
                <w:lang w:eastAsia="zh-CN"/>
              </w:rPr>
              <m:t>df</m:t>
            </m:r>
            <m:r>
              <m:rPr>
                <m:sty m:val="p"/>
              </m:rPr>
              <w:rPr>
                <w:rFonts w:ascii="Cambria Math" w:eastAsia="Times New Roman" w:hAnsi="Cambria Math" w:cs="Times New Roman"/>
                <w:color w:val="000000"/>
                <w:lang w:eastAsia="zh-CN"/>
              </w:rPr>
              <m:t>)</m:t>
            </m:r>
          </m:sup>
        </m:sSup>
      </m:oMath>
      <w:r w:rsidRPr="007121C7">
        <w:rPr>
          <w:rFonts w:eastAsia="Times New Roman" w:cs="Times New Roman"/>
          <w:iCs/>
          <w:color w:val="000000"/>
          <w:lang w:eastAsia="zh-CN"/>
        </w:rPr>
        <w:t xml:space="preserve"> </w:t>
      </w:r>
      <w:r w:rsidRPr="007121C7">
        <w:rPr>
          <w:rFonts w:eastAsia="Times New Roman" w:cs="Times New Roman"/>
          <w:color w:val="000000"/>
          <w:lang w:eastAsia="zh-CN"/>
        </w:rPr>
        <w:t>values fell below the cutoff of 10 (range 1.02</w:t>
      </w:r>
      <w:r>
        <w:rPr>
          <w:rFonts w:eastAsia="Times New Roman" w:cs="Times New Roman"/>
          <w:color w:val="000000"/>
          <w:lang w:eastAsia="zh-CN"/>
        </w:rPr>
        <w:t>~</w:t>
      </w:r>
      <w:r w:rsidRPr="007121C7">
        <w:rPr>
          <w:rFonts w:eastAsia="Times New Roman" w:cs="Times New Roman"/>
          <w:color w:val="000000"/>
          <w:lang w:eastAsia="zh-CN"/>
        </w:rPr>
        <w:t>6.76 see Table S</w:t>
      </w:r>
      <w:r w:rsidR="009011BB">
        <w:rPr>
          <w:rFonts w:eastAsia="Times New Roman" w:cs="Times New Roman"/>
          <w:color w:val="000000"/>
          <w:lang w:eastAsia="zh-CN"/>
        </w:rPr>
        <w:t>2</w:t>
      </w:r>
      <w:r w:rsidRPr="007121C7">
        <w:rPr>
          <w:rFonts w:eastAsia="Times New Roman" w:cs="Times New Roman"/>
          <w:color w:val="000000"/>
          <w:lang w:eastAsia="zh-CN"/>
        </w:rPr>
        <w:t>), suggesting that there is little overlap among predictors and we could include all of the predictors in the same meta-regression model.</w:t>
      </w:r>
      <w:r w:rsidR="009011BB">
        <w:rPr>
          <w:rFonts w:eastAsia="Times New Roman" w:cs="Times New Roman"/>
          <w:b/>
          <w:bCs/>
          <w:color w:val="000000"/>
          <w:lang w:eastAsia="zh-CN"/>
        </w:rPr>
        <w:br w:type="page"/>
      </w:r>
      <w:r w:rsidR="00E80154">
        <w:rPr>
          <w:rFonts w:eastAsia="Times New Roman" w:cs="Times New Roman"/>
          <w:b/>
          <w:bCs/>
          <w:color w:val="000000"/>
          <w:lang w:eastAsia="zh-CN"/>
        </w:rPr>
        <w:lastRenderedPageBreak/>
        <w:t xml:space="preserve">Table </w:t>
      </w:r>
      <w:r w:rsidR="00247A26">
        <w:rPr>
          <w:rFonts w:eastAsia="Times New Roman" w:cs="Times New Roman"/>
          <w:b/>
          <w:bCs/>
          <w:color w:val="000000"/>
          <w:lang w:eastAsia="zh-CN"/>
        </w:rPr>
        <w:t>S</w:t>
      </w:r>
      <w:r w:rsidR="009011BB">
        <w:rPr>
          <w:rFonts w:eastAsia="Times New Roman" w:cs="Times New Roman"/>
          <w:b/>
          <w:bCs/>
          <w:color w:val="000000"/>
          <w:lang w:eastAsia="zh-CN"/>
        </w:rPr>
        <w:t>2</w:t>
      </w:r>
    </w:p>
    <w:p w14:paraId="24CD66FF" w14:textId="2C6349DD" w:rsidR="000F31A9" w:rsidRPr="000F31A9" w:rsidRDefault="00392A57" w:rsidP="00B14319">
      <w:pPr>
        <w:rPr>
          <w:rFonts w:asciiTheme="minorHAnsi" w:eastAsiaTheme="minorEastAsia" w:hAnsiTheme="minorHAnsi" w:cstheme="minorBidi"/>
          <w:sz w:val="22"/>
          <w:szCs w:val="22"/>
          <w:lang w:eastAsia="zh-CN"/>
        </w:rPr>
      </w:pPr>
      <w:r>
        <w:rPr>
          <w:rFonts w:eastAsia="Times New Roman" w:cs="Times New Roman"/>
          <w:i/>
          <w:color w:val="000000"/>
          <w:lang w:eastAsia="zh-CN"/>
        </w:rPr>
        <w:t>Generalized Variance Inflation Factors of P</w:t>
      </w:r>
      <w:r w:rsidR="00A65163" w:rsidRPr="00392A57">
        <w:rPr>
          <w:rFonts w:eastAsia="Times New Roman" w:cs="Times New Roman"/>
          <w:i/>
          <w:color w:val="000000"/>
          <w:lang w:eastAsia="zh-CN"/>
        </w:rPr>
        <w:t>re</w:t>
      </w:r>
      <w:r>
        <w:rPr>
          <w:rFonts w:eastAsia="Times New Roman" w:cs="Times New Roman"/>
          <w:i/>
          <w:color w:val="000000"/>
          <w:lang w:eastAsia="zh-CN"/>
        </w:rPr>
        <w:t>dictor V</w:t>
      </w:r>
      <w:r w:rsidR="00A65163" w:rsidRPr="00392A57">
        <w:rPr>
          <w:rFonts w:eastAsia="Times New Roman" w:cs="Times New Roman"/>
          <w:i/>
          <w:color w:val="000000"/>
          <w:lang w:eastAsia="zh-CN"/>
        </w:rPr>
        <w:t>ariables</w:t>
      </w:r>
      <w:r w:rsidR="00C12950">
        <w:rPr>
          <w:rFonts w:eastAsia="Times New Roman" w:cs="Times New Roman"/>
          <w:i/>
          <w:color w:val="000000"/>
          <w:lang w:eastAsia="zh-CN"/>
        </w:rPr>
        <w:t xml:space="preserve"> </w:t>
      </w:r>
      <w:r w:rsidR="00C12950">
        <w:rPr>
          <w:rFonts w:eastAsia="Times New Roman" w:cs="Times New Roman"/>
          <w:i/>
          <w:iCs/>
          <w:color w:val="000000"/>
          <w:szCs w:val="22"/>
          <w:lang w:eastAsia="zh-CN"/>
        </w:rPr>
        <w:t>(Study 1)</w:t>
      </w:r>
    </w:p>
    <w:tbl>
      <w:tblPr>
        <w:tblW w:w="0" w:type="auto"/>
        <w:tblCellMar>
          <w:left w:w="70" w:type="dxa"/>
          <w:right w:w="70" w:type="dxa"/>
        </w:tblCellMar>
        <w:tblLook w:val="04A0" w:firstRow="1" w:lastRow="0" w:firstColumn="1" w:lastColumn="0" w:noHBand="0" w:noVBand="1"/>
      </w:tblPr>
      <w:tblGrid>
        <w:gridCol w:w="2853"/>
        <w:gridCol w:w="640"/>
        <w:gridCol w:w="352"/>
        <w:gridCol w:w="1590"/>
        <w:gridCol w:w="1939"/>
      </w:tblGrid>
      <w:tr w:rsidR="009011BB" w:rsidRPr="005557B0" w14:paraId="3F2889F8" w14:textId="77777777" w:rsidTr="009011BB">
        <w:trPr>
          <w:divId w:val="1249004605"/>
          <w:trHeight w:val="225"/>
        </w:trPr>
        <w:tc>
          <w:tcPr>
            <w:tcW w:w="0" w:type="auto"/>
            <w:tcBorders>
              <w:top w:val="single" w:sz="4" w:space="0" w:color="auto"/>
              <w:left w:val="nil"/>
              <w:bottom w:val="single" w:sz="4" w:space="0" w:color="000000"/>
              <w:right w:val="nil"/>
            </w:tcBorders>
            <w:shd w:val="clear" w:color="auto" w:fill="auto"/>
            <w:vAlign w:val="center"/>
            <w:hideMark/>
          </w:tcPr>
          <w:p w14:paraId="2C342001" w14:textId="3EF6CAEB" w:rsidR="009011BB" w:rsidRPr="005557B0" w:rsidRDefault="009011BB" w:rsidP="009011BB">
            <w:pPr>
              <w:spacing w:line="240" w:lineRule="auto"/>
              <w:jc w:val="center"/>
              <w:rPr>
                <w:rFonts w:eastAsia="Times New Roman" w:cs="Times New Roman"/>
                <w:b/>
                <w:bCs/>
                <w:color w:val="000000"/>
                <w:sz w:val="20"/>
                <w:szCs w:val="20"/>
                <w:lang w:val="nl-NL" w:eastAsia="zh-CN"/>
              </w:rPr>
            </w:pPr>
            <w:proofErr w:type="spellStart"/>
            <w:r w:rsidRPr="005557B0">
              <w:rPr>
                <w:rFonts w:eastAsia="Times New Roman" w:cs="Times New Roman"/>
                <w:b/>
                <w:bCs/>
                <w:color w:val="000000"/>
                <w:sz w:val="20"/>
                <w:szCs w:val="20"/>
                <w:lang w:val="nl-NL" w:eastAsia="zh-CN"/>
              </w:rPr>
              <w:t>Variable</w:t>
            </w:r>
            <w:proofErr w:type="spellEnd"/>
          </w:p>
        </w:tc>
        <w:tc>
          <w:tcPr>
            <w:tcW w:w="0" w:type="auto"/>
            <w:tcBorders>
              <w:top w:val="single" w:sz="4" w:space="0" w:color="auto"/>
              <w:left w:val="nil"/>
              <w:bottom w:val="single" w:sz="4" w:space="0" w:color="auto"/>
              <w:right w:val="nil"/>
            </w:tcBorders>
            <w:shd w:val="clear" w:color="auto" w:fill="auto"/>
            <w:noWrap/>
            <w:vAlign w:val="center"/>
            <w:hideMark/>
          </w:tcPr>
          <w:p w14:paraId="66BC9ABB" w14:textId="77777777" w:rsidR="009011BB" w:rsidRPr="005557B0" w:rsidRDefault="009011BB" w:rsidP="009011BB">
            <w:pPr>
              <w:spacing w:line="240" w:lineRule="auto"/>
              <w:jc w:val="center"/>
              <w:rPr>
                <w:rFonts w:eastAsia="Times New Roman" w:cs="Times New Roman"/>
                <w:b/>
                <w:bCs/>
                <w:color w:val="000000"/>
                <w:sz w:val="20"/>
                <w:szCs w:val="20"/>
                <w:lang w:val="nl-NL" w:eastAsia="zh-CN"/>
              </w:rPr>
            </w:pPr>
            <w:r w:rsidRPr="005557B0">
              <w:rPr>
                <w:rFonts w:eastAsia="Times New Roman" w:cs="Times New Roman"/>
                <w:b/>
                <w:bCs/>
                <w:color w:val="000000"/>
                <w:sz w:val="20"/>
                <w:szCs w:val="20"/>
                <w:lang w:val="nl-NL" w:eastAsia="zh-CN"/>
              </w:rPr>
              <w:t>GVIF</w:t>
            </w:r>
          </w:p>
        </w:tc>
        <w:tc>
          <w:tcPr>
            <w:tcW w:w="0" w:type="auto"/>
            <w:tcBorders>
              <w:top w:val="single" w:sz="4" w:space="0" w:color="auto"/>
              <w:left w:val="nil"/>
              <w:bottom w:val="single" w:sz="4" w:space="0" w:color="auto"/>
              <w:right w:val="nil"/>
            </w:tcBorders>
            <w:shd w:val="clear" w:color="auto" w:fill="auto"/>
            <w:noWrap/>
            <w:vAlign w:val="center"/>
            <w:hideMark/>
          </w:tcPr>
          <w:p w14:paraId="6C88E600" w14:textId="77777777" w:rsidR="009011BB" w:rsidRPr="005557B0" w:rsidRDefault="009011BB" w:rsidP="009011BB">
            <w:pPr>
              <w:spacing w:line="240" w:lineRule="auto"/>
              <w:jc w:val="center"/>
              <w:rPr>
                <w:rFonts w:eastAsia="Times New Roman" w:cs="Times New Roman"/>
                <w:b/>
                <w:bCs/>
                <w:color w:val="000000"/>
                <w:sz w:val="20"/>
                <w:szCs w:val="20"/>
                <w:lang w:val="nl-NL" w:eastAsia="zh-CN"/>
              </w:rPr>
            </w:pPr>
            <w:proofErr w:type="spellStart"/>
            <w:r w:rsidRPr="005557B0">
              <w:rPr>
                <w:rFonts w:eastAsia="Times New Roman" w:cs="Times New Roman"/>
                <w:b/>
                <w:bCs/>
                <w:color w:val="000000"/>
                <w:sz w:val="20"/>
                <w:szCs w:val="20"/>
                <w:lang w:val="nl-NL" w:eastAsia="zh-CN"/>
              </w:rPr>
              <w:t>Df</w:t>
            </w:r>
            <w:proofErr w:type="spellEnd"/>
          </w:p>
        </w:tc>
        <w:tc>
          <w:tcPr>
            <w:tcW w:w="0" w:type="auto"/>
            <w:tcBorders>
              <w:top w:val="single" w:sz="4" w:space="0" w:color="auto"/>
              <w:left w:val="nil"/>
              <w:bottom w:val="single" w:sz="4" w:space="0" w:color="auto"/>
              <w:right w:val="nil"/>
            </w:tcBorders>
            <w:shd w:val="clear" w:color="auto" w:fill="auto"/>
            <w:noWrap/>
            <w:vAlign w:val="center"/>
            <w:hideMark/>
          </w:tcPr>
          <w:p w14:paraId="5AEC87AF" w14:textId="77777777" w:rsidR="009011BB" w:rsidRPr="005557B0" w:rsidRDefault="009011BB" w:rsidP="009011BB">
            <w:pPr>
              <w:spacing w:line="240" w:lineRule="auto"/>
              <w:jc w:val="center"/>
              <w:rPr>
                <w:rFonts w:eastAsia="Times New Roman" w:cs="Times New Roman"/>
                <w:b/>
                <w:bCs/>
                <w:color w:val="000000"/>
                <w:sz w:val="20"/>
                <w:szCs w:val="20"/>
                <w:lang w:val="nl-NL" w:eastAsia="zh-CN"/>
              </w:rPr>
            </w:pPr>
            <w:r w:rsidRPr="005557B0">
              <w:rPr>
                <w:rFonts w:eastAsia="Times New Roman" w:cs="Times New Roman"/>
                <w:b/>
                <w:bCs/>
                <w:color w:val="000000"/>
                <w:sz w:val="20"/>
                <w:szCs w:val="20"/>
                <w:lang w:val="nl-NL" w:eastAsia="zh-CN"/>
              </w:rPr>
              <w:t>GVIF^(1/(2*</w:t>
            </w:r>
            <w:proofErr w:type="spellStart"/>
            <w:r w:rsidRPr="005557B0">
              <w:rPr>
                <w:rFonts w:eastAsia="Times New Roman" w:cs="Times New Roman"/>
                <w:b/>
                <w:bCs/>
                <w:color w:val="000000"/>
                <w:sz w:val="20"/>
                <w:szCs w:val="20"/>
                <w:lang w:val="nl-NL" w:eastAsia="zh-CN"/>
              </w:rPr>
              <w:t>Df</w:t>
            </w:r>
            <w:proofErr w:type="spellEnd"/>
            <w:r w:rsidRPr="005557B0">
              <w:rPr>
                <w:rFonts w:eastAsia="Times New Roman" w:cs="Times New Roman"/>
                <w:b/>
                <w:bCs/>
                <w:color w:val="000000"/>
                <w:sz w:val="20"/>
                <w:szCs w:val="20"/>
                <w:lang w:val="nl-NL" w:eastAsia="zh-CN"/>
              </w:rPr>
              <w:t>))</w:t>
            </w:r>
          </w:p>
        </w:tc>
        <w:tc>
          <w:tcPr>
            <w:tcW w:w="0" w:type="auto"/>
            <w:tcBorders>
              <w:top w:val="single" w:sz="4" w:space="0" w:color="auto"/>
              <w:left w:val="nil"/>
              <w:bottom w:val="single" w:sz="4" w:space="0" w:color="auto"/>
              <w:right w:val="nil"/>
            </w:tcBorders>
            <w:shd w:val="clear" w:color="auto" w:fill="auto"/>
            <w:noWrap/>
            <w:vAlign w:val="center"/>
            <w:hideMark/>
          </w:tcPr>
          <w:p w14:paraId="3F1E1DD0" w14:textId="77777777" w:rsidR="009011BB" w:rsidRPr="005557B0" w:rsidRDefault="009011BB" w:rsidP="009011BB">
            <w:pPr>
              <w:spacing w:line="240" w:lineRule="auto"/>
              <w:jc w:val="center"/>
              <w:rPr>
                <w:rFonts w:eastAsia="Times New Roman" w:cs="Times New Roman"/>
                <w:b/>
                <w:bCs/>
                <w:color w:val="000000"/>
                <w:sz w:val="20"/>
                <w:szCs w:val="20"/>
                <w:lang w:val="nl-NL" w:eastAsia="zh-CN"/>
              </w:rPr>
            </w:pPr>
            <w:r w:rsidRPr="005557B0">
              <w:rPr>
                <w:rFonts w:eastAsia="Times New Roman" w:cs="Times New Roman"/>
                <w:b/>
                <w:bCs/>
                <w:color w:val="000000"/>
                <w:sz w:val="20"/>
                <w:szCs w:val="20"/>
                <w:lang w:val="nl-NL" w:eastAsia="zh-CN"/>
              </w:rPr>
              <w:t>(GVIF^(1/(2*</w:t>
            </w:r>
            <w:proofErr w:type="spellStart"/>
            <w:r w:rsidRPr="005557B0">
              <w:rPr>
                <w:rFonts w:eastAsia="Times New Roman" w:cs="Times New Roman"/>
                <w:b/>
                <w:bCs/>
                <w:color w:val="000000"/>
                <w:sz w:val="20"/>
                <w:szCs w:val="20"/>
                <w:lang w:val="nl-NL" w:eastAsia="zh-CN"/>
              </w:rPr>
              <w:t>Df</w:t>
            </w:r>
            <w:proofErr w:type="spellEnd"/>
            <w:r w:rsidRPr="005557B0">
              <w:rPr>
                <w:rFonts w:eastAsia="Times New Roman" w:cs="Times New Roman"/>
                <w:b/>
                <w:bCs/>
                <w:color w:val="000000"/>
                <w:sz w:val="20"/>
                <w:szCs w:val="20"/>
                <w:lang w:val="nl-NL" w:eastAsia="zh-CN"/>
              </w:rPr>
              <w:t>)))^2</w:t>
            </w:r>
          </w:p>
        </w:tc>
      </w:tr>
      <w:tr w:rsidR="006C116A" w:rsidRPr="005557B0" w14:paraId="2B8F36A2" w14:textId="77777777" w:rsidTr="009011BB">
        <w:trPr>
          <w:divId w:val="1249004605"/>
          <w:trHeight w:val="225"/>
        </w:trPr>
        <w:tc>
          <w:tcPr>
            <w:tcW w:w="0" w:type="auto"/>
            <w:tcBorders>
              <w:top w:val="nil"/>
              <w:left w:val="nil"/>
              <w:bottom w:val="nil"/>
              <w:right w:val="nil"/>
            </w:tcBorders>
            <w:shd w:val="clear" w:color="auto" w:fill="auto"/>
            <w:noWrap/>
            <w:vAlign w:val="center"/>
            <w:hideMark/>
          </w:tcPr>
          <w:p w14:paraId="1141D287" w14:textId="77777777" w:rsidR="006C116A" w:rsidRPr="005557B0" w:rsidRDefault="006C116A" w:rsidP="009011BB">
            <w:pPr>
              <w:spacing w:line="240" w:lineRule="auto"/>
              <w:rPr>
                <w:rFonts w:eastAsia="Times New Roman" w:cs="Times New Roman"/>
                <w:i/>
                <w:iCs/>
                <w:color w:val="000000"/>
                <w:sz w:val="20"/>
                <w:szCs w:val="20"/>
                <w:lang w:val="nl-NL" w:eastAsia="zh-CN"/>
              </w:rPr>
            </w:pPr>
            <w:r w:rsidRPr="005557B0">
              <w:rPr>
                <w:rFonts w:eastAsia="Times New Roman" w:cs="Times New Roman"/>
                <w:i/>
                <w:iCs/>
                <w:color w:val="000000"/>
                <w:sz w:val="20"/>
                <w:szCs w:val="20"/>
                <w:lang w:val="nl-NL" w:eastAsia="zh-CN"/>
              </w:rPr>
              <w:t>Control variables</w:t>
            </w:r>
          </w:p>
        </w:tc>
        <w:tc>
          <w:tcPr>
            <w:tcW w:w="0" w:type="auto"/>
            <w:tcBorders>
              <w:top w:val="nil"/>
              <w:left w:val="nil"/>
              <w:bottom w:val="nil"/>
              <w:right w:val="nil"/>
            </w:tcBorders>
            <w:shd w:val="clear" w:color="auto" w:fill="auto"/>
            <w:noWrap/>
            <w:vAlign w:val="center"/>
            <w:hideMark/>
          </w:tcPr>
          <w:p w14:paraId="253639F2" w14:textId="77777777" w:rsidR="006C116A" w:rsidRPr="005557B0" w:rsidRDefault="006C116A" w:rsidP="009011BB">
            <w:pPr>
              <w:spacing w:line="240" w:lineRule="auto"/>
              <w:rPr>
                <w:rFonts w:eastAsia="Times New Roman" w:cs="Times New Roman"/>
                <w:i/>
                <w:iCs/>
                <w:color w:val="000000"/>
                <w:sz w:val="20"/>
                <w:szCs w:val="20"/>
                <w:lang w:val="nl-NL" w:eastAsia="zh-CN"/>
              </w:rPr>
            </w:pPr>
          </w:p>
        </w:tc>
        <w:tc>
          <w:tcPr>
            <w:tcW w:w="0" w:type="auto"/>
            <w:tcBorders>
              <w:top w:val="nil"/>
              <w:left w:val="nil"/>
              <w:bottom w:val="nil"/>
              <w:right w:val="nil"/>
            </w:tcBorders>
            <w:shd w:val="clear" w:color="auto" w:fill="auto"/>
            <w:noWrap/>
            <w:vAlign w:val="center"/>
            <w:hideMark/>
          </w:tcPr>
          <w:p w14:paraId="2C59B588" w14:textId="77777777" w:rsidR="006C116A" w:rsidRPr="005557B0" w:rsidRDefault="006C116A" w:rsidP="009011BB">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0895FA3A" w14:textId="77777777" w:rsidR="006C116A" w:rsidRPr="005557B0" w:rsidRDefault="006C116A" w:rsidP="009011BB">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7CAD320C" w14:textId="77777777" w:rsidR="006C116A" w:rsidRPr="005557B0" w:rsidRDefault="006C116A" w:rsidP="009011BB">
            <w:pPr>
              <w:spacing w:line="240" w:lineRule="auto"/>
              <w:jc w:val="center"/>
              <w:rPr>
                <w:rFonts w:eastAsia="Times New Roman" w:cs="Times New Roman"/>
                <w:sz w:val="20"/>
                <w:szCs w:val="20"/>
                <w:lang w:val="nl-NL" w:eastAsia="zh-CN"/>
              </w:rPr>
            </w:pPr>
          </w:p>
        </w:tc>
      </w:tr>
      <w:tr w:rsidR="006C116A" w:rsidRPr="005557B0" w14:paraId="2D6F7878" w14:textId="77777777" w:rsidTr="009011BB">
        <w:trPr>
          <w:divId w:val="1249004605"/>
          <w:trHeight w:val="225"/>
        </w:trPr>
        <w:tc>
          <w:tcPr>
            <w:tcW w:w="0" w:type="auto"/>
            <w:tcBorders>
              <w:top w:val="nil"/>
              <w:left w:val="nil"/>
              <w:bottom w:val="nil"/>
              <w:right w:val="nil"/>
            </w:tcBorders>
            <w:shd w:val="clear" w:color="auto" w:fill="auto"/>
            <w:noWrap/>
            <w:vAlign w:val="center"/>
            <w:hideMark/>
          </w:tcPr>
          <w:p w14:paraId="302FC164" w14:textId="77777777" w:rsidR="006C116A" w:rsidRPr="005557B0" w:rsidRDefault="006C116A" w:rsidP="009011BB">
            <w:pPr>
              <w:spacing w:line="240" w:lineRule="auto"/>
              <w:ind w:firstLineChars="200" w:firstLine="400"/>
              <w:rPr>
                <w:rFonts w:eastAsia="Times New Roman" w:cs="Times New Roman"/>
                <w:color w:val="000000"/>
                <w:sz w:val="20"/>
                <w:szCs w:val="20"/>
                <w:lang w:val="nl-NL" w:eastAsia="zh-CN"/>
              </w:rPr>
            </w:pPr>
            <w:proofErr w:type="spellStart"/>
            <w:r w:rsidRPr="005557B0">
              <w:rPr>
                <w:rFonts w:eastAsia="Times New Roman" w:cs="Times New Roman"/>
                <w:color w:val="000000"/>
                <w:sz w:val="20"/>
                <w:szCs w:val="20"/>
                <w:lang w:val="nl-NL" w:eastAsia="zh-CN"/>
              </w:rPr>
              <w:t>Choice</w:t>
            </w:r>
            <w:proofErr w:type="spellEnd"/>
            <w:r w:rsidRPr="005557B0">
              <w:rPr>
                <w:rFonts w:eastAsia="Times New Roman" w:cs="Times New Roman"/>
                <w:color w:val="000000"/>
                <w:sz w:val="20"/>
                <w:szCs w:val="20"/>
                <w:lang w:val="nl-NL" w:eastAsia="zh-CN"/>
              </w:rPr>
              <w:t xml:space="preserve"> type</w:t>
            </w:r>
          </w:p>
        </w:tc>
        <w:tc>
          <w:tcPr>
            <w:tcW w:w="0" w:type="auto"/>
            <w:tcBorders>
              <w:top w:val="nil"/>
              <w:left w:val="nil"/>
              <w:bottom w:val="nil"/>
              <w:right w:val="nil"/>
            </w:tcBorders>
            <w:shd w:val="clear" w:color="auto" w:fill="auto"/>
            <w:noWrap/>
            <w:vAlign w:val="center"/>
            <w:hideMark/>
          </w:tcPr>
          <w:p w14:paraId="331AD951"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1.54</w:t>
            </w:r>
          </w:p>
        </w:tc>
        <w:tc>
          <w:tcPr>
            <w:tcW w:w="0" w:type="auto"/>
            <w:tcBorders>
              <w:top w:val="nil"/>
              <w:left w:val="nil"/>
              <w:bottom w:val="nil"/>
              <w:right w:val="nil"/>
            </w:tcBorders>
            <w:shd w:val="clear" w:color="auto" w:fill="auto"/>
            <w:noWrap/>
            <w:vAlign w:val="center"/>
            <w:hideMark/>
          </w:tcPr>
          <w:p w14:paraId="280FD6EA"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w:t>
            </w:r>
          </w:p>
        </w:tc>
        <w:tc>
          <w:tcPr>
            <w:tcW w:w="0" w:type="auto"/>
            <w:tcBorders>
              <w:top w:val="nil"/>
              <w:left w:val="nil"/>
              <w:bottom w:val="nil"/>
              <w:right w:val="nil"/>
            </w:tcBorders>
            <w:shd w:val="clear" w:color="auto" w:fill="auto"/>
            <w:noWrap/>
            <w:vAlign w:val="center"/>
            <w:hideMark/>
          </w:tcPr>
          <w:p w14:paraId="02B4845C"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1.24</w:t>
            </w:r>
          </w:p>
        </w:tc>
        <w:tc>
          <w:tcPr>
            <w:tcW w:w="0" w:type="auto"/>
            <w:tcBorders>
              <w:top w:val="nil"/>
              <w:left w:val="nil"/>
              <w:bottom w:val="nil"/>
              <w:right w:val="nil"/>
            </w:tcBorders>
            <w:shd w:val="clear" w:color="auto" w:fill="auto"/>
            <w:noWrap/>
            <w:vAlign w:val="center"/>
            <w:hideMark/>
          </w:tcPr>
          <w:p w14:paraId="62467D7C"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1.54</w:t>
            </w:r>
          </w:p>
        </w:tc>
      </w:tr>
      <w:tr w:rsidR="006C116A" w:rsidRPr="005557B0" w14:paraId="03F562DD" w14:textId="77777777" w:rsidTr="009011BB">
        <w:trPr>
          <w:divId w:val="1249004605"/>
          <w:trHeight w:val="225"/>
        </w:trPr>
        <w:tc>
          <w:tcPr>
            <w:tcW w:w="0" w:type="auto"/>
            <w:tcBorders>
              <w:top w:val="nil"/>
              <w:left w:val="nil"/>
              <w:bottom w:val="nil"/>
              <w:right w:val="nil"/>
            </w:tcBorders>
            <w:shd w:val="clear" w:color="auto" w:fill="auto"/>
            <w:noWrap/>
            <w:vAlign w:val="center"/>
            <w:hideMark/>
          </w:tcPr>
          <w:p w14:paraId="286D4F03" w14:textId="77777777" w:rsidR="006C116A" w:rsidRPr="005557B0" w:rsidRDefault="006C116A" w:rsidP="009011BB">
            <w:pPr>
              <w:spacing w:line="240" w:lineRule="auto"/>
              <w:ind w:firstLineChars="200" w:firstLine="400"/>
              <w:rPr>
                <w:rFonts w:eastAsia="Times New Roman" w:cs="Times New Roman"/>
                <w:color w:val="000000"/>
                <w:sz w:val="20"/>
                <w:szCs w:val="20"/>
                <w:lang w:val="nl-NL" w:eastAsia="zh-CN"/>
              </w:rPr>
            </w:pPr>
            <w:proofErr w:type="spellStart"/>
            <w:r w:rsidRPr="005557B0">
              <w:rPr>
                <w:rFonts w:eastAsia="Times New Roman" w:cs="Times New Roman"/>
                <w:color w:val="000000"/>
                <w:sz w:val="20"/>
                <w:szCs w:val="20"/>
                <w:lang w:val="nl-NL" w:eastAsia="zh-CN"/>
              </w:rPr>
              <w:t>Experimental</w:t>
            </w:r>
            <w:proofErr w:type="spellEnd"/>
            <w:r w:rsidRPr="005557B0">
              <w:rPr>
                <w:rFonts w:eastAsia="Times New Roman" w:cs="Times New Roman"/>
                <w:color w:val="000000"/>
                <w:sz w:val="20"/>
                <w:szCs w:val="20"/>
                <w:lang w:val="nl-NL" w:eastAsia="zh-CN"/>
              </w:rPr>
              <w:t xml:space="preserve"> setting</w:t>
            </w:r>
          </w:p>
        </w:tc>
        <w:tc>
          <w:tcPr>
            <w:tcW w:w="0" w:type="auto"/>
            <w:tcBorders>
              <w:top w:val="nil"/>
              <w:left w:val="nil"/>
              <w:bottom w:val="nil"/>
              <w:right w:val="nil"/>
            </w:tcBorders>
            <w:shd w:val="clear" w:color="auto" w:fill="auto"/>
            <w:noWrap/>
            <w:vAlign w:val="center"/>
            <w:hideMark/>
          </w:tcPr>
          <w:p w14:paraId="047D0182"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1.63</w:t>
            </w:r>
          </w:p>
        </w:tc>
        <w:tc>
          <w:tcPr>
            <w:tcW w:w="0" w:type="auto"/>
            <w:tcBorders>
              <w:top w:val="nil"/>
              <w:left w:val="nil"/>
              <w:bottom w:val="nil"/>
              <w:right w:val="nil"/>
            </w:tcBorders>
            <w:shd w:val="clear" w:color="auto" w:fill="auto"/>
            <w:noWrap/>
            <w:vAlign w:val="center"/>
            <w:hideMark/>
          </w:tcPr>
          <w:p w14:paraId="4AAF7C6B"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2</w:t>
            </w:r>
          </w:p>
        </w:tc>
        <w:tc>
          <w:tcPr>
            <w:tcW w:w="0" w:type="auto"/>
            <w:tcBorders>
              <w:top w:val="nil"/>
              <w:left w:val="nil"/>
              <w:bottom w:val="nil"/>
              <w:right w:val="nil"/>
            </w:tcBorders>
            <w:shd w:val="clear" w:color="auto" w:fill="auto"/>
            <w:noWrap/>
            <w:vAlign w:val="center"/>
            <w:hideMark/>
          </w:tcPr>
          <w:p w14:paraId="4944E472"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1.13</w:t>
            </w:r>
          </w:p>
        </w:tc>
        <w:tc>
          <w:tcPr>
            <w:tcW w:w="0" w:type="auto"/>
            <w:tcBorders>
              <w:top w:val="nil"/>
              <w:left w:val="nil"/>
              <w:bottom w:val="nil"/>
              <w:right w:val="nil"/>
            </w:tcBorders>
            <w:shd w:val="clear" w:color="auto" w:fill="auto"/>
            <w:noWrap/>
            <w:vAlign w:val="center"/>
            <w:hideMark/>
          </w:tcPr>
          <w:p w14:paraId="72FCBF81"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1.28</w:t>
            </w:r>
          </w:p>
        </w:tc>
      </w:tr>
      <w:tr w:rsidR="006C116A" w:rsidRPr="005557B0" w14:paraId="3001EC44" w14:textId="77777777" w:rsidTr="009011BB">
        <w:trPr>
          <w:divId w:val="1249004605"/>
          <w:trHeight w:val="225"/>
        </w:trPr>
        <w:tc>
          <w:tcPr>
            <w:tcW w:w="0" w:type="auto"/>
            <w:tcBorders>
              <w:top w:val="nil"/>
              <w:left w:val="nil"/>
              <w:bottom w:val="nil"/>
              <w:right w:val="nil"/>
            </w:tcBorders>
            <w:shd w:val="clear" w:color="auto" w:fill="auto"/>
            <w:noWrap/>
            <w:vAlign w:val="center"/>
            <w:hideMark/>
          </w:tcPr>
          <w:p w14:paraId="77DE61DE" w14:textId="77777777" w:rsidR="006C116A" w:rsidRPr="005557B0" w:rsidRDefault="006C116A" w:rsidP="009011BB">
            <w:pPr>
              <w:spacing w:line="240" w:lineRule="auto"/>
              <w:ind w:firstLineChars="200" w:firstLine="400"/>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Trial of cooperation</w:t>
            </w:r>
          </w:p>
        </w:tc>
        <w:tc>
          <w:tcPr>
            <w:tcW w:w="0" w:type="auto"/>
            <w:tcBorders>
              <w:top w:val="nil"/>
              <w:left w:val="nil"/>
              <w:bottom w:val="nil"/>
              <w:right w:val="nil"/>
            </w:tcBorders>
            <w:shd w:val="clear" w:color="auto" w:fill="auto"/>
            <w:noWrap/>
            <w:vAlign w:val="center"/>
            <w:hideMark/>
          </w:tcPr>
          <w:p w14:paraId="295D7A96"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1.03</w:t>
            </w:r>
          </w:p>
        </w:tc>
        <w:tc>
          <w:tcPr>
            <w:tcW w:w="0" w:type="auto"/>
            <w:tcBorders>
              <w:top w:val="nil"/>
              <w:left w:val="nil"/>
              <w:bottom w:val="nil"/>
              <w:right w:val="nil"/>
            </w:tcBorders>
            <w:shd w:val="clear" w:color="auto" w:fill="auto"/>
            <w:noWrap/>
            <w:vAlign w:val="center"/>
            <w:hideMark/>
          </w:tcPr>
          <w:p w14:paraId="02348691"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w:t>
            </w:r>
          </w:p>
        </w:tc>
        <w:tc>
          <w:tcPr>
            <w:tcW w:w="0" w:type="auto"/>
            <w:tcBorders>
              <w:top w:val="nil"/>
              <w:left w:val="nil"/>
              <w:bottom w:val="nil"/>
              <w:right w:val="nil"/>
            </w:tcBorders>
            <w:shd w:val="clear" w:color="auto" w:fill="auto"/>
            <w:noWrap/>
            <w:vAlign w:val="center"/>
            <w:hideMark/>
          </w:tcPr>
          <w:p w14:paraId="341B1363"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1.02</w:t>
            </w:r>
          </w:p>
        </w:tc>
        <w:tc>
          <w:tcPr>
            <w:tcW w:w="0" w:type="auto"/>
            <w:tcBorders>
              <w:top w:val="nil"/>
              <w:left w:val="nil"/>
              <w:bottom w:val="nil"/>
              <w:right w:val="nil"/>
            </w:tcBorders>
            <w:shd w:val="clear" w:color="auto" w:fill="auto"/>
            <w:noWrap/>
            <w:vAlign w:val="center"/>
            <w:hideMark/>
          </w:tcPr>
          <w:p w14:paraId="0DC384FA"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1.04</w:t>
            </w:r>
          </w:p>
        </w:tc>
      </w:tr>
      <w:tr w:rsidR="006C116A" w:rsidRPr="005557B0" w14:paraId="5D8DD233" w14:textId="77777777" w:rsidTr="009011BB">
        <w:trPr>
          <w:divId w:val="1249004605"/>
          <w:trHeight w:val="225"/>
        </w:trPr>
        <w:tc>
          <w:tcPr>
            <w:tcW w:w="0" w:type="auto"/>
            <w:tcBorders>
              <w:top w:val="nil"/>
              <w:left w:val="nil"/>
              <w:bottom w:val="nil"/>
              <w:right w:val="nil"/>
            </w:tcBorders>
            <w:shd w:val="clear" w:color="auto" w:fill="auto"/>
            <w:noWrap/>
            <w:vAlign w:val="center"/>
            <w:hideMark/>
          </w:tcPr>
          <w:p w14:paraId="54D1B9E1" w14:textId="2F1D48D0" w:rsidR="006C116A" w:rsidRPr="005557B0" w:rsidRDefault="006C116A" w:rsidP="009011BB">
            <w:pPr>
              <w:spacing w:line="240" w:lineRule="auto"/>
              <w:ind w:firstLineChars="200" w:firstLine="400"/>
              <w:rPr>
                <w:rFonts w:eastAsia="Times New Roman" w:cs="Times New Roman"/>
                <w:color w:val="000000"/>
                <w:sz w:val="20"/>
                <w:szCs w:val="20"/>
                <w:lang w:val="nl-NL" w:eastAsia="zh-CN"/>
              </w:rPr>
            </w:pPr>
            <w:proofErr w:type="spellStart"/>
            <w:r w:rsidRPr="005557B0">
              <w:rPr>
                <w:rFonts w:eastAsia="Times New Roman" w:cs="Times New Roman"/>
                <w:color w:val="000000"/>
                <w:sz w:val="20"/>
                <w:szCs w:val="20"/>
                <w:lang w:val="nl-NL" w:eastAsia="zh-CN"/>
              </w:rPr>
              <w:t>Publication</w:t>
            </w:r>
            <w:proofErr w:type="spellEnd"/>
            <w:r w:rsidRPr="005557B0">
              <w:rPr>
                <w:rFonts w:eastAsia="Times New Roman" w:cs="Times New Roman"/>
                <w:color w:val="000000"/>
                <w:sz w:val="20"/>
                <w:szCs w:val="20"/>
                <w:lang w:val="nl-NL" w:eastAsia="zh-CN"/>
              </w:rPr>
              <w:t xml:space="preserve"> status</w:t>
            </w:r>
          </w:p>
        </w:tc>
        <w:tc>
          <w:tcPr>
            <w:tcW w:w="0" w:type="auto"/>
            <w:tcBorders>
              <w:top w:val="nil"/>
              <w:left w:val="nil"/>
              <w:bottom w:val="nil"/>
              <w:right w:val="nil"/>
            </w:tcBorders>
            <w:shd w:val="clear" w:color="auto" w:fill="auto"/>
            <w:noWrap/>
            <w:vAlign w:val="center"/>
            <w:hideMark/>
          </w:tcPr>
          <w:p w14:paraId="0CD4CA07"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1.04</w:t>
            </w:r>
          </w:p>
        </w:tc>
        <w:tc>
          <w:tcPr>
            <w:tcW w:w="0" w:type="auto"/>
            <w:tcBorders>
              <w:top w:val="nil"/>
              <w:left w:val="nil"/>
              <w:bottom w:val="nil"/>
              <w:right w:val="nil"/>
            </w:tcBorders>
            <w:shd w:val="clear" w:color="auto" w:fill="auto"/>
            <w:noWrap/>
            <w:vAlign w:val="center"/>
            <w:hideMark/>
          </w:tcPr>
          <w:p w14:paraId="5A57277D"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w:t>
            </w:r>
          </w:p>
        </w:tc>
        <w:tc>
          <w:tcPr>
            <w:tcW w:w="0" w:type="auto"/>
            <w:tcBorders>
              <w:top w:val="nil"/>
              <w:left w:val="nil"/>
              <w:bottom w:val="nil"/>
              <w:right w:val="nil"/>
            </w:tcBorders>
            <w:shd w:val="clear" w:color="auto" w:fill="auto"/>
            <w:noWrap/>
            <w:vAlign w:val="center"/>
            <w:hideMark/>
          </w:tcPr>
          <w:p w14:paraId="5C92C20C"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1.02</w:t>
            </w:r>
          </w:p>
        </w:tc>
        <w:tc>
          <w:tcPr>
            <w:tcW w:w="0" w:type="auto"/>
            <w:tcBorders>
              <w:top w:val="nil"/>
              <w:left w:val="nil"/>
              <w:bottom w:val="nil"/>
              <w:right w:val="nil"/>
            </w:tcBorders>
            <w:shd w:val="clear" w:color="auto" w:fill="auto"/>
            <w:noWrap/>
            <w:vAlign w:val="center"/>
            <w:hideMark/>
          </w:tcPr>
          <w:p w14:paraId="052B25D2"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1.04</w:t>
            </w:r>
          </w:p>
        </w:tc>
      </w:tr>
      <w:tr w:rsidR="006C116A" w:rsidRPr="005557B0" w14:paraId="0C4424A2" w14:textId="77777777" w:rsidTr="009011BB">
        <w:trPr>
          <w:divId w:val="1249004605"/>
          <w:trHeight w:val="225"/>
        </w:trPr>
        <w:tc>
          <w:tcPr>
            <w:tcW w:w="0" w:type="auto"/>
            <w:tcBorders>
              <w:top w:val="nil"/>
              <w:left w:val="nil"/>
              <w:bottom w:val="nil"/>
              <w:right w:val="nil"/>
            </w:tcBorders>
            <w:shd w:val="clear" w:color="auto" w:fill="auto"/>
            <w:noWrap/>
            <w:vAlign w:val="center"/>
            <w:hideMark/>
          </w:tcPr>
          <w:p w14:paraId="24C5E8D0" w14:textId="77777777" w:rsidR="006C116A" w:rsidRPr="005557B0" w:rsidRDefault="006C116A" w:rsidP="009011BB">
            <w:pPr>
              <w:spacing w:line="240" w:lineRule="auto"/>
              <w:ind w:firstLineChars="200" w:firstLine="400"/>
              <w:rPr>
                <w:rFonts w:eastAsia="Times New Roman" w:cs="Times New Roman"/>
                <w:color w:val="000000"/>
                <w:sz w:val="20"/>
                <w:szCs w:val="20"/>
                <w:lang w:val="nl-NL" w:eastAsia="zh-CN"/>
              </w:rPr>
            </w:pPr>
            <w:proofErr w:type="spellStart"/>
            <w:r w:rsidRPr="005557B0">
              <w:rPr>
                <w:rFonts w:eastAsia="Times New Roman" w:cs="Times New Roman"/>
                <w:color w:val="000000"/>
                <w:sz w:val="20"/>
                <w:szCs w:val="20"/>
                <w:lang w:val="nl-NL" w:eastAsia="zh-CN"/>
              </w:rPr>
              <w:t>Year</w:t>
            </w:r>
            <w:proofErr w:type="spellEnd"/>
            <w:r w:rsidRPr="005557B0">
              <w:rPr>
                <w:rFonts w:eastAsia="Times New Roman" w:cs="Times New Roman"/>
                <w:color w:val="000000"/>
                <w:sz w:val="20"/>
                <w:szCs w:val="20"/>
                <w:lang w:val="nl-NL" w:eastAsia="zh-CN"/>
              </w:rPr>
              <w:t xml:space="preserve"> of data </w:t>
            </w:r>
            <w:proofErr w:type="spellStart"/>
            <w:r w:rsidRPr="005557B0">
              <w:rPr>
                <w:rFonts w:eastAsia="Times New Roman" w:cs="Times New Roman"/>
                <w:color w:val="000000"/>
                <w:sz w:val="20"/>
                <w:szCs w:val="20"/>
                <w:lang w:val="nl-NL" w:eastAsia="zh-CN"/>
              </w:rPr>
              <w:t>collection</w:t>
            </w:r>
            <w:proofErr w:type="spellEnd"/>
          </w:p>
        </w:tc>
        <w:tc>
          <w:tcPr>
            <w:tcW w:w="0" w:type="auto"/>
            <w:tcBorders>
              <w:top w:val="nil"/>
              <w:left w:val="nil"/>
              <w:bottom w:val="nil"/>
              <w:right w:val="nil"/>
            </w:tcBorders>
            <w:shd w:val="clear" w:color="auto" w:fill="auto"/>
            <w:noWrap/>
            <w:vAlign w:val="center"/>
            <w:hideMark/>
          </w:tcPr>
          <w:p w14:paraId="578137D2"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1.73</w:t>
            </w:r>
          </w:p>
        </w:tc>
        <w:tc>
          <w:tcPr>
            <w:tcW w:w="0" w:type="auto"/>
            <w:tcBorders>
              <w:top w:val="nil"/>
              <w:left w:val="nil"/>
              <w:bottom w:val="nil"/>
              <w:right w:val="nil"/>
            </w:tcBorders>
            <w:shd w:val="clear" w:color="auto" w:fill="auto"/>
            <w:noWrap/>
            <w:vAlign w:val="center"/>
            <w:hideMark/>
          </w:tcPr>
          <w:p w14:paraId="13475F57"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w:t>
            </w:r>
          </w:p>
        </w:tc>
        <w:tc>
          <w:tcPr>
            <w:tcW w:w="0" w:type="auto"/>
            <w:tcBorders>
              <w:top w:val="nil"/>
              <w:left w:val="nil"/>
              <w:bottom w:val="nil"/>
              <w:right w:val="nil"/>
            </w:tcBorders>
            <w:shd w:val="clear" w:color="auto" w:fill="auto"/>
            <w:noWrap/>
            <w:vAlign w:val="center"/>
            <w:hideMark/>
          </w:tcPr>
          <w:p w14:paraId="34213D3C"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1.32</w:t>
            </w:r>
          </w:p>
        </w:tc>
        <w:tc>
          <w:tcPr>
            <w:tcW w:w="0" w:type="auto"/>
            <w:tcBorders>
              <w:top w:val="nil"/>
              <w:left w:val="nil"/>
              <w:bottom w:val="nil"/>
              <w:right w:val="nil"/>
            </w:tcBorders>
            <w:shd w:val="clear" w:color="auto" w:fill="auto"/>
            <w:noWrap/>
            <w:vAlign w:val="center"/>
            <w:hideMark/>
          </w:tcPr>
          <w:p w14:paraId="7A36FC36"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1.74</w:t>
            </w:r>
          </w:p>
        </w:tc>
      </w:tr>
      <w:tr w:rsidR="006C116A" w:rsidRPr="005557B0" w14:paraId="3D89E0ED" w14:textId="77777777" w:rsidTr="009011BB">
        <w:trPr>
          <w:divId w:val="1249004605"/>
          <w:trHeight w:val="225"/>
        </w:trPr>
        <w:tc>
          <w:tcPr>
            <w:tcW w:w="0" w:type="auto"/>
            <w:tcBorders>
              <w:top w:val="nil"/>
              <w:left w:val="nil"/>
              <w:bottom w:val="nil"/>
              <w:right w:val="nil"/>
            </w:tcBorders>
            <w:shd w:val="clear" w:color="auto" w:fill="auto"/>
            <w:noWrap/>
            <w:vAlign w:val="center"/>
            <w:hideMark/>
          </w:tcPr>
          <w:p w14:paraId="2D3E166C" w14:textId="77777777" w:rsidR="006C116A" w:rsidRPr="005557B0" w:rsidRDefault="006C116A" w:rsidP="009011BB">
            <w:pPr>
              <w:spacing w:line="240" w:lineRule="auto"/>
              <w:rPr>
                <w:rFonts w:eastAsia="Times New Roman" w:cs="Times New Roman"/>
                <w:i/>
                <w:iCs/>
                <w:color w:val="000000"/>
                <w:sz w:val="20"/>
                <w:szCs w:val="20"/>
                <w:lang w:val="nl-NL" w:eastAsia="zh-CN"/>
              </w:rPr>
            </w:pPr>
            <w:r w:rsidRPr="005557B0">
              <w:rPr>
                <w:rFonts w:eastAsia="Times New Roman" w:cs="Times New Roman"/>
                <w:i/>
                <w:iCs/>
                <w:color w:val="000000"/>
                <w:sz w:val="20"/>
                <w:szCs w:val="20"/>
                <w:lang w:val="nl-NL" w:eastAsia="zh-CN"/>
              </w:rPr>
              <w:t>Sample variables</w:t>
            </w:r>
          </w:p>
        </w:tc>
        <w:tc>
          <w:tcPr>
            <w:tcW w:w="0" w:type="auto"/>
            <w:tcBorders>
              <w:top w:val="nil"/>
              <w:left w:val="nil"/>
              <w:bottom w:val="nil"/>
              <w:right w:val="nil"/>
            </w:tcBorders>
            <w:shd w:val="clear" w:color="auto" w:fill="auto"/>
            <w:noWrap/>
            <w:vAlign w:val="center"/>
            <w:hideMark/>
          </w:tcPr>
          <w:p w14:paraId="41EEF038" w14:textId="77777777" w:rsidR="006C116A" w:rsidRPr="005557B0" w:rsidRDefault="006C116A" w:rsidP="009011BB">
            <w:pPr>
              <w:spacing w:line="240" w:lineRule="auto"/>
              <w:rPr>
                <w:rFonts w:eastAsia="Times New Roman" w:cs="Times New Roman"/>
                <w:i/>
                <w:iCs/>
                <w:color w:val="000000"/>
                <w:sz w:val="20"/>
                <w:szCs w:val="20"/>
                <w:lang w:val="nl-NL" w:eastAsia="zh-CN"/>
              </w:rPr>
            </w:pPr>
          </w:p>
        </w:tc>
        <w:tc>
          <w:tcPr>
            <w:tcW w:w="0" w:type="auto"/>
            <w:tcBorders>
              <w:top w:val="nil"/>
              <w:left w:val="nil"/>
              <w:bottom w:val="nil"/>
              <w:right w:val="nil"/>
            </w:tcBorders>
            <w:shd w:val="clear" w:color="auto" w:fill="auto"/>
            <w:noWrap/>
            <w:vAlign w:val="center"/>
            <w:hideMark/>
          </w:tcPr>
          <w:p w14:paraId="06827D06" w14:textId="77777777" w:rsidR="006C116A" w:rsidRPr="005557B0" w:rsidRDefault="006C116A" w:rsidP="009011BB">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5702F923" w14:textId="77777777" w:rsidR="006C116A" w:rsidRPr="005557B0" w:rsidRDefault="006C116A" w:rsidP="009011BB">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281CA921" w14:textId="77777777" w:rsidR="006C116A" w:rsidRPr="005557B0" w:rsidRDefault="006C116A" w:rsidP="009011BB">
            <w:pPr>
              <w:spacing w:line="240" w:lineRule="auto"/>
              <w:jc w:val="center"/>
              <w:rPr>
                <w:rFonts w:eastAsia="Times New Roman" w:cs="Times New Roman"/>
                <w:sz w:val="20"/>
                <w:szCs w:val="20"/>
                <w:lang w:val="nl-NL" w:eastAsia="zh-CN"/>
              </w:rPr>
            </w:pPr>
          </w:p>
        </w:tc>
      </w:tr>
      <w:tr w:rsidR="006C116A" w:rsidRPr="005557B0" w14:paraId="22528B53" w14:textId="77777777" w:rsidTr="009011BB">
        <w:trPr>
          <w:divId w:val="1249004605"/>
          <w:trHeight w:val="225"/>
        </w:trPr>
        <w:tc>
          <w:tcPr>
            <w:tcW w:w="0" w:type="auto"/>
            <w:tcBorders>
              <w:top w:val="nil"/>
              <w:left w:val="nil"/>
              <w:bottom w:val="nil"/>
              <w:right w:val="nil"/>
            </w:tcBorders>
            <w:shd w:val="clear" w:color="auto" w:fill="auto"/>
            <w:noWrap/>
            <w:vAlign w:val="center"/>
            <w:hideMark/>
          </w:tcPr>
          <w:p w14:paraId="6D86C427" w14:textId="77777777" w:rsidR="006C116A" w:rsidRPr="005557B0" w:rsidRDefault="006C116A" w:rsidP="009011BB">
            <w:pPr>
              <w:spacing w:line="240" w:lineRule="auto"/>
              <w:ind w:firstLineChars="200" w:firstLine="400"/>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Age (</w:t>
            </w:r>
            <w:proofErr w:type="spellStart"/>
            <w:r w:rsidRPr="005557B0">
              <w:rPr>
                <w:rFonts w:eastAsia="Times New Roman" w:cs="Times New Roman"/>
                <w:color w:val="000000"/>
                <w:sz w:val="20"/>
                <w:szCs w:val="20"/>
                <w:lang w:val="nl-NL" w:eastAsia="zh-CN"/>
              </w:rPr>
              <w:t>Mean</w:t>
            </w:r>
            <w:proofErr w:type="spellEnd"/>
            <w:r w:rsidRPr="005557B0">
              <w:rPr>
                <w:rFonts w:eastAsia="Times New Roman" w:cs="Times New Roman"/>
                <w:color w:val="000000"/>
                <w:sz w:val="20"/>
                <w:szCs w:val="20"/>
                <w:lang w:val="nl-NL" w:eastAsia="zh-CN"/>
              </w:rPr>
              <w:t>)</w:t>
            </w:r>
          </w:p>
        </w:tc>
        <w:tc>
          <w:tcPr>
            <w:tcW w:w="0" w:type="auto"/>
            <w:tcBorders>
              <w:top w:val="nil"/>
              <w:left w:val="nil"/>
              <w:bottom w:val="nil"/>
              <w:right w:val="nil"/>
            </w:tcBorders>
            <w:shd w:val="clear" w:color="auto" w:fill="auto"/>
            <w:noWrap/>
            <w:vAlign w:val="center"/>
            <w:hideMark/>
          </w:tcPr>
          <w:p w14:paraId="66200720"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3.38</w:t>
            </w:r>
          </w:p>
        </w:tc>
        <w:tc>
          <w:tcPr>
            <w:tcW w:w="0" w:type="auto"/>
            <w:tcBorders>
              <w:top w:val="nil"/>
              <w:left w:val="nil"/>
              <w:bottom w:val="nil"/>
              <w:right w:val="nil"/>
            </w:tcBorders>
            <w:shd w:val="clear" w:color="auto" w:fill="auto"/>
            <w:noWrap/>
            <w:vAlign w:val="center"/>
            <w:hideMark/>
          </w:tcPr>
          <w:p w14:paraId="75BE334F"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w:t>
            </w:r>
          </w:p>
        </w:tc>
        <w:tc>
          <w:tcPr>
            <w:tcW w:w="0" w:type="auto"/>
            <w:tcBorders>
              <w:top w:val="nil"/>
              <w:left w:val="nil"/>
              <w:bottom w:val="nil"/>
              <w:right w:val="nil"/>
            </w:tcBorders>
            <w:shd w:val="clear" w:color="auto" w:fill="auto"/>
            <w:noWrap/>
            <w:vAlign w:val="center"/>
            <w:hideMark/>
          </w:tcPr>
          <w:p w14:paraId="1CC351FE"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1.84</w:t>
            </w:r>
          </w:p>
        </w:tc>
        <w:tc>
          <w:tcPr>
            <w:tcW w:w="0" w:type="auto"/>
            <w:tcBorders>
              <w:top w:val="nil"/>
              <w:left w:val="nil"/>
              <w:bottom w:val="nil"/>
              <w:right w:val="nil"/>
            </w:tcBorders>
            <w:shd w:val="clear" w:color="auto" w:fill="auto"/>
            <w:noWrap/>
            <w:vAlign w:val="center"/>
            <w:hideMark/>
          </w:tcPr>
          <w:p w14:paraId="0C2D2D28"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3.39</w:t>
            </w:r>
          </w:p>
        </w:tc>
      </w:tr>
      <w:tr w:rsidR="006C116A" w:rsidRPr="005557B0" w14:paraId="1450EB00" w14:textId="77777777" w:rsidTr="009011BB">
        <w:trPr>
          <w:divId w:val="1249004605"/>
          <w:trHeight w:val="225"/>
        </w:trPr>
        <w:tc>
          <w:tcPr>
            <w:tcW w:w="0" w:type="auto"/>
            <w:tcBorders>
              <w:top w:val="nil"/>
              <w:left w:val="nil"/>
              <w:bottom w:val="nil"/>
              <w:right w:val="nil"/>
            </w:tcBorders>
            <w:shd w:val="clear" w:color="auto" w:fill="auto"/>
            <w:noWrap/>
            <w:vAlign w:val="center"/>
            <w:hideMark/>
          </w:tcPr>
          <w:p w14:paraId="53B7A387" w14:textId="77777777" w:rsidR="006C116A" w:rsidRPr="005557B0" w:rsidRDefault="006C116A" w:rsidP="009011BB">
            <w:pPr>
              <w:spacing w:line="240" w:lineRule="auto"/>
              <w:ind w:firstLineChars="200" w:firstLine="400"/>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Gender (Male %)</w:t>
            </w:r>
          </w:p>
        </w:tc>
        <w:tc>
          <w:tcPr>
            <w:tcW w:w="0" w:type="auto"/>
            <w:tcBorders>
              <w:top w:val="nil"/>
              <w:left w:val="nil"/>
              <w:bottom w:val="nil"/>
              <w:right w:val="nil"/>
            </w:tcBorders>
            <w:shd w:val="clear" w:color="auto" w:fill="auto"/>
            <w:noWrap/>
            <w:vAlign w:val="center"/>
            <w:hideMark/>
          </w:tcPr>
          <w:p w14:paraId="47094A9C"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4.99</w:t>
            </w:r>
          </w:p>
        </w:tc>
        <w:tc>
          <w:tcPr>
            <w:tcW w:w="0" w:type="auto"/>
            <w:tcBorders>
              <w:top w:val="nil"/>
              <w:left w:val="nil"/>
              <w:bottom w:val="nil"/>
              <w:right w:val="nil"/>
            </w:tcBorders>
            <w:shd w:val="clear" w:color="auto" w:fill="auto"/>
            <w:noWrap/>
            <w:vAlign w:val="center"/>
            <w:hideMark/>
          </w:tcPr>
          <w:p w14:paraId="4A8010F9"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3</w:t>
            </w:r>
          </w:p>
        </w:tc>
        <w:tc>
          <w:tcPr>
            <w:tcW w:w="0" w:type="auto"/>
            <w:tcBorders>
              <w:top w:val="nil"/>
              <w:left w:val="nil"/>
              <w:bottom w:val="nil"/>
              <w:right w:val="nil"/>
            </w:tcBorders>
            <w:shd w:val="clear" w:color="auto" w:fill="auto"/>
            <w:noWrap/>
            <w:vAlign w:val="center"/>
            <w:hideMark/>
          </w:tcPr>
          <w:p w14:paraId="2E17F32E"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1.31</w:t>
            </w:r>
          </w:p>
        </w:tc>
        <w:tc>
          <w:tcPr>
            <w:tcW w:w="0" w:type="auto"/>
            <w:tcBorders>
              <w:top w:val="nil"/>
              <w:left w:val="nil"/>
              <w:bottom w:val="nil"/>
              <w:right w:val="nil"/>
            </w:tcBorders>
            <w:shd w:val="clear" w:color="auto" w:fill="auto"/>
            <w:noWrap/>
            <w:vAlign w:val="center"/>
            <w:hideMark/>
          </w:tcPr>
          <w:p w14:paraId="67D8F391"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1.72</w:t>
            </w:r>
          </w:p>
        </w:tc>
      </w:tr>
      <w:tr w:rsidR="006C116A" w:rsidRPr="005557B0" w14:paraId="610C81D3" w14:textId="77777777" w:rsidTr="009011BB">
        <w:trPr>
          <w:divId w:val="1249004605"/>
          <w:trHeight w:val="225"/>
        </w:trPr>
        <w:tc>
          <w:tcPr>
            <w:tcW w:w="0" w:type="auto"/>
            <w:tcBorders>
              <w:top w:val="nil"/>
              <w:left w:val="nil"/>
              <w:bottom w:val="nil"/>
              <w:right w:val="nil"/>
            </w:tcBorders>
            <w:shd w:val="clear" w:color="auto" w:fill="auto"/>
            <w:noWrap/>
            <w:vAlign w:val="center"/>
            <w:hideMark/>
          </w:tcPr>
          <w:p w14:paraId="7F540971" w14:textId="77777777" w:rsidR="006C116A" w:rsidRPr="005557B0" w:rsidRDefault="006C116A" w:rsidP="009011BB">
            <w:pPr>
              <w:spacing w:line="240" w:lineRule="auto"/>
              <w:ind w:firstLineChars="200" w:firstLine="400"/>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Discipline</w:t>
            </w:r>
          </w:p>
        </w:tc>
        <w:tc>
          <w:tcPr>
            <w:tcW w:w="0" w:type="auto"/>
            <w:tcBorders>
              <w:top w:val="nil"/>
              <w:left w:val="nil"/>
              <w:bottom w:val="nil"/>
              <w:right w:val="nil"/>
            </w:tcBorders>
            <w:shd w:val="clear" w:color="auto" w:fill="auto"/>
            <w:noWrap/>
            <w:vAlign w:val="center"/>
            <w:hideMark/>
          </w:tcPr>
          <w:p w14:paraId="55FB4393"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1.25</w:t>
            </w:r>
          </w:p>
        </w:tc>
        <w:tc>
          <w:tcPr>
            <w:tcW w:w="0" w:type="auto"/>
            <w:tcBorders>
              <w:top w:val="nil"/>
              <w:left w:val="nil"/>
              <w:bottom w:val="nil"/>
              <w:right w:val="nil"/>
            </w:tcBorders>
            <w:shd w:val="clear" w:color="auto" w:fill="auto"/>
            <w:noWrap/>
            <w:vAlign w:val="center"/>
            <w:hideMark/>
          </w:tcPr>
          <w:p w14:paraId="235C48E1"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w:t>
            </w:r>
          </w:p>
        </w:tc>
        <w:tc>
          <w:tcPr>
            <w:tcW w:w="0" w:type="auto"/>
            <w:tcBorders>
              <w:top w:val="nil"/>
              <w:left w:val="nil"/>
              <w:bottom w:val="nil"/>
              <w:right w:val="nil"/>
            </w:tcBorders>
            <w:shd w:val="clear" w:color="auto" w:fill="auto"/>
            <w:noWrap/>
            <w:vAlign w:val="center"/>
            <w:hideMark/>
          </w:tcPr>
          <w:p w14:paraId="2664977D"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1.12</w:t>
            </w:r>
          </w:p>
        </w:tc>
        <w:tc>
          <w:tcPr>
            <w:tcW w:w="0" w:type="auto"/>
            <w:tcBorders>
              <w:top w:val="nil"/>
              <w:left w:val="nil"/>
              <w:bottom w:val="nil"/>
              <w:right w:val="nil"/>
            </w:tcBorders>
            <w:shd w:val="clear" w:color="auto" w:fill="auto"/>
            <w:noWrap/>
            <w:vAlign w:val="center"/>
            <w:hideMark/>
          </w:tcPr>
          <w:p w14:paraId="7C144F47"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1.25</w:t>
            </w:r>
          </w:p>
        </w:tc>
      </w:tr>
      <w:tr w:rsidR="006C116A" w:rsidRPr="005557B0" w14:paraId="3388C0B5" w14:textId="77777777" w:rsidTr="009011BB">
        <w:trPr>
          <w:divId w:val="1249004605"/>
          <w:trHeight w:val="225"/>
        </w:trPr>
        <w:tc>
          <w:tcPr>
            <w:tcW w:w="0" w:type="auto"/>
            <w:tcBorders>
              <w:top w:val="nil"/>
              <w:left w:val="nil"/>
              <w:bottom w:val="nil"/>
              <w:right w:val="nil"/>
            </w:tcBorders>
            <w:shd w:val="clear" w:color="auto" w:fill="auto"/>
            <w:noWrap/>
            <w:vAlign w:val="center"/>
            <w:hideMark/>
          </w:tcPr>
          <w:p w14:paraId="37DD6946" w14:textId="77777777" w:rsidR="006C116A" w:rsidRPr="005557B0" w:rsidRDefault="006C116A" w:rsidP="009011BB">
            <w:pPr>
              <w:spacing w:line="240" w:lineRule="auto"/>
              <w:rPr>
                <w:rFonts w:eastAsia="Times New Roman" w:cs="Times New Roman"/>
                <w:i/>
                <w:iCs/>
                <w:color w:val="000000"/>
                <w:sz w:val="20"/>
                <w:szCs w:val="20"/>
                <w:lang w:val="nl-NL" w:eastAsia="zh-CN"/>
              </w:rPr>
            </w:pPr>
            <w:proofErr w:type="spellStart"/>
            <w:r w:rsidRPr="005557B0">
              <w:rPr>
                <w:rFonts w:eastAsia="Times New Roman" w:cs="Times New Roman"/>
                <w:i/>
                <w:iCs/>
                <w:color w:val="000000"/>
                <w:sz w:val="20"/>
                <w:szCs w:val="20"/>
                <w:lang w:val="nl-NL" w:eastAsia="zh-CN"/>
              </w:rPr>
              <w:t>Structural</w:t>
            </w:r>
            <w:proofErr w:type="spellEnd"/>
            <w:r w:rsidRPr="005557B0">
              <w:rPr>
                <w:rFonts w:eastAsia="Times New Roman" w:cs="Times New Roman"/>
                <w:i/>
                <w:iCs/>
                <w:color w:val="000000"/>
                <w:sz w:val="20"/>
                <w:szCs w:val="20"/>
                <w:lang w:val="nl-NL" w:eastAsia="zh-CN"/>
              </w:rPr>
              <w:t xml:space="preserve"> variables</w:t>
            </w:r>
          </w:p>
        </w:tc>
        <w:tc>
          <w:tcPr>
            <w:tcW w:w="0" w:type="auto"/>
            <w:tcBorders>
              <w:top w:val="nil"/>
              <w:left w:val="nil"/>
              <w:bottom w:val="nil"/>
              <w:right w:val="nil"/>
            </w:tcBorders>
            <w:shd w:val="clear" w:color="auto" w:fill="auto"/>
            <w:noWrap/>
            <w:vAlign w:val="center"/>
            <w:hideMark/>
          </w:tcPr>
          <w:p w14:paraId="441C724E" w14:textId="77777777" w:rsidR="006C116A" w:rsidRPr="005557B0" w:rsidRDefault="006C116A" w:rsidP="009011BB">
            <w:pPr>
              <w:spacing w:line="240" w:lineRule="auto"/>
              <w:rPr>
                <w:rFonts w:eastAsia="Times New Roman" w:cs="Times New Roman"/>
                <w:i/>
                <w:iCs/>
                <w:color w:val="000000"/>
                <w:sz w:val="20"/>
                <w:szCs w:val="20"/>
                <w:lang w:val="nl-NL" w:eastAsia="zh-CN"/>
              </w:rPr>
            </w:pPr>
          </w:p>
        </w:tc>
        <w:tc>
          <w:tcPr>
            <w:tcW w:w="0" w:type="auto"/>
            <w:tcBorders>
              <w:top w:val="nil"/>
              <w:left w:val="nil"/>
              <w:bottom w:val="nil"/>
              <w:right w:val="nil"/>
            </w:tcBorders>
            <w:shd w:val="clear" w:color="auto" w:fill="auto"/>
            <w:noWrap/>
            <w:vAlign w:val="center"/>
            <w:hideMark/>
          </w:tcPr>
          <w:p w14:paraId="1259E5F1" w14:textId="77777777" w:rsidR="006C116A" w:rsidRPr="005557B0" w:rsidRDefault="006C116A" w:rsidP="009011BB">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1DD70C98" w14:textId="77777777" w:rsidR="006C116A" w:rsidRPr="005557B0" w:rsidRDefault="006C116A" w:rsidP="009011BB">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5E0AE5FA" w14:textId="77777777" w:rsidR="006C116A" w:rsidRPr="005557B0" w:rsidRDefault="006C116A" w:rsidP="009011BB">
            <w:pPr>
              <w:spacing w:line="240" w:lineRule="auto"/>
              <w:jc w:val="center"/>
              <w:rPr>
                <w:rFonts w:eastAsia="Times New Roman" w:cs="Times New Roman"/>
                <w:sz w:val="20"/>
                <w:szCs w:val="20"/>
                <w:lang w:val="nl-NL" w:eastAsia="zh-CN"/>
              </w:rPr>
            </w:pPr>
          </w:p>
        </w:tc>
      </w:tr>
      <w:tr w:rsidR="006C116A" w:rsidRPr="005557B0" w14:paraId="753B51EA" w14:textId="77777777" w:rsidTr="009011BB">
        <w:trPr>
          <w:divId w:val="1249004605"/>
          <w:trHeight w:val="225"/>
        </w:trPr>
        <w:tc>
          <w:tcPr>
            <w:tcW w:w="0" w:type="auto"/>
            <w:tcBorders>
              <w:top w:val="nil"/>
              <w:left w:val="nil"/>
              <w:bottom w:val="nil"/>
              <w:right w:val="nil"/>
            </w:tcBorders>
            <w:shd w:val="clear" w:color="auto" w:fill="auto"/>
            <w:noWrap/>
            <w:vAlign w:val="center"/>
            <w:hideMark/>
          </w:tcPr>
          <w:p w14:paraId="2055BF4A" w14:textId="77777777" w:rsidR="006C116A" w:rsidRPr="005557B0" w:rsidRDefault="006C116A" w:rsidP="009011BB">
            <w:pPr>
              <w:spacing w:line="240" w:lineRule="auto"/>
              <w:ind w:firstLineChars="200" w:firstLine="400"/>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K index</w:t>
            </w:r>
          </w:p>
        </w:tc>
        <w:tc>
          <w:tcPr>
            <w:tcW w:w="0" w:type="auto"/>
            <w:tcBorders>
              <w:top w:val="nil"/>
              <w:left w:val="nil"/>
              <w:bottom w:val="nil"/>
              <w:right w:val="nil"/>
            </w:tcBorders>
            <w:shd w:val="clear" w:color="auto" w:fill="auto"/>
            <w:noWrap/>
            <w:vAlign w:val="center"/>
            <w:hideMark/>
          </w:tcPr>
          <w:p w14:paraId="14984411"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1.06</w:t>
            </w:r>
          </w:p>
        </w:tc>
        <w:tc>
          <w:tcPr>
            <w:tcW w:w="0" w:type="auto"/>
            <w:tcBorders>
              <w:top w:val="nil"/>
              <w:left w:val="nil"/>
              <w:bottom w:val="nil"/>
              <w:right w:val="nil"/>
            </w:tcBorders>
            <w:shd w:val="clear" w:color="auto" w:fill="auto"/>
            <w:noWrap/>
            <w:vAlign w:val="center"/>
            <w:hideMark/>
          </w:tcPr>
          <w:p w14:paraId="3077ECE9"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w:t>
            </w:r>
          </w:p>
        </w:tc>
        <w:tc>
          <w:tcPr>
            <w:tcW w:w="0" w:type="auto"/>
            <w:tcBorders>
              <w:top w:val="nil"/>
              <w:left w:val="nil"/>
              <w:bottom w:val="nil"/>
              <w:right w:val="nil"/>
            </w:tcBorders>
            <w:shd w:val="clear" w:color="auto" w:fill="auto"/>
            <w:noWrap/>
            <w:vAlign w:val="center"/>
            <w:hideMark/>
          </w:tcPr>
          <w:p w14:paraId="03C86AFC"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1.03</w:t>
            </w:r>
          </w:p>
        </w:tc>
        <w:tc>
          <w:tcPr>
            <w:tcW w:w="0" w:type="auto"/>
            <w:tcBorders>
              <w:top w:val="nil"/>
              <w:left w:val="nil"/>
              <w:bottom w:val="nil"/>
              <w:right w:val="nil"/>
            </w:tcBorders>
            <w:shd w:val="clear" w:color="auto" w:fill="auto"/>
            <w:noWrap/>
            <w:vAlign w:val="center"/>
            <w:hideMark/>
          </w:tcPr>
          <w:p w14:paraId="3ABCEBD6"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1.06</w:t>
            </w:r>
          </w:p>
        </w:tc>
      </w:tr>
      <w:tr w:rsidR="006C116A" w:rsidRPr="005557B0" w14:paraId="6A9EC01A" w14:textId="77777777" w:rsidTr="009011BB">
        <w:trPr>
          <w:divId w:val="1249004605"/>
          <w:trHeight w:val="225"/>
        </w:trPr>
        <w:tc>
          <w:tcPr>
            <w:tcW w:w="0" w:type="auto"/>
            <w:tcBorders>
              <w:top w:val="nil"/>
              <w:left w:val="nil"/>
              <w:bottom w:val="nil"/>
              <w:right w:val="nil"/>
            </w:tcBorders>
            <w:shd w:val="clear" w:color="auto" w:fill="auto"/>
            <w:noWrap/>
            <w:vAlign w:val="center"/>
            <w:hideMark/>
          </w:tcPr>
          <w:p w14:paraId="7FC26ED9" w14:textId="77777777" w:rsidR="006C116A" w:rsidRPr="005557B0" w:rsidRDefault="006C116A" w:rsidP="009011BB">
            <w:pPr>
              <w:spacing w:line="240" w:lineRule="auto"/>
              <w:ind w:firstLineChars="200" w:firstLine="400"/>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 xml:space="preserve">Group </w:t>
            </w:r>
            <w:proofErr w:type="spellStart"/>
            <w:r w:rsidRPr="005557B0">
              <w:rPr>
                <w:rFonts w:eastAsia="Times New Roman" w:cs="Times New Roman"/>
                <w:color w:val="000000"/>
                <w:sz w:val="20"/>
                <w:szCs w:val="20"/>
                <w:lang w:val="nl-NL" w:eastAsia="zh-CN"/>
              </w:rPr>
              <w:t>size</w:t>
            </w:r>
            <w:proofErr w:type="spellEnd"/>
          </w:p>
        </w:tc>
        <w:tc>
          <w:tcPr>
            <w:tcW w:w="0" w:type="auto"/>
            <w:tcBorders>
              <w:top w:val="nil"/>
              <w:left w:val="nil"/>
              <w:bottom w:val="nil"/>
              <w:right w:val="nil"/>
            </w:tcBorders>
            <w:shd w:val="clear" w:color="auto" w:fill="auto"/>
            <w:noWrap/>
            <w:vAlign w:val="center"/>
            <w:hideMark/>
          </w:tcPr>
          <w:p w14:paraId="612369F3"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1.24</w:t>
            </w:r>
          </w:p>
        </w:tc>
        <w:tc>
          <w:tcPr>
            <w:tcW w:w="0" w:type="auto"/>
            <w:tcBorders>
              <w:top w:val="nil"/>
              <w:left w:val="nil"/>
              <w:bottom w:val="nil"/>
              <w:right w:val="nil"/>
            </w:tcBorders>
            <w:shd w:val="clear" w:color="auto" w:fill="auto"/>
            <w:noWrap/>
            <w:vAlign w:val="center"/>
            <w:hideMark/>
          </w:tcPr>
          <w:p w14:paraId="26A47781"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w:t>
            </w:r>
          </w:p>
        </w:tc>
        <w:tc>
          <w:tcPr>
            <w:tcW w:w="0" w:type="auto"/>
            <w:tcBorders>
              <w:top w:val="nil"/>
              <w:left w:val="nil"/>
              <w:bottom w:val="nil"/>
              <w:right w:val="nil"/>
            </w:tcBorders>
            <w:shd w:val="clear" w:color="auto" w:fill="auto"/>
            <w:noWrap/>
            <w:vAlign w:val="center"/>
            <w:hideMark/>
          </w:tcPr>
          <w:p w14:paraId="0E895CBE"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1.11</w:t>
            </w:r>
          </w:p>
        </w:tc>
        <w:tc>
          <w:tcPr>
            <w:tcW w:w="0" w:type="auto"/>
            <w:tcBorders>
              <w:top w:val="nil"/>
              <w:left w:val="nil"/>
              <w:bottom w:val="nil"/>
              <w:right w:val="nil"/>
            </w:tcBorders>
            <w:shd w:val="clear" w:color="auto" w:fill="auto"/>
            <w:noWrap/>
            <w:vAlign w:val="center"/>
            <w:hideMark/>
          </w:tcPr>
          <w:p w14:paraId="46B7A670"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1.23</w:t>
            </w:r>
          </w:p>
        </w:tc>
      </w:tr>
      <w:tr w:rsidR="006C116A" w:rsidRPr="005557B0" w14:paraId="3EE373FA" w14:textId="77777777" w:rsidTr="009011BB">
        <w:trPr>
          <w:divId w:val="1249004605"/>
          <w:trHeight w:val="225"/>
        </w:trPr>
        <w:tc>
          <w:tcPr>
            <w:tcW w:w="0" w:type="auto"/>
            <w:tcBorders>
              <w:top w:val="nil"/>
              <w:left w:val="nil"/>
              <w:bottom w:val="nil"/>
              <w:right w:val="nil"/>
            </w:tcBorders>
            <w:shd w:val="clear" w:color="auto" w:fill="auto"/>
            <w:noWrap/>
            <w:vAlign w:val="center"/>
            <w:hideMark/>
          </w:tcPr>
          <w:p w14:paraId="673C8979" w14:textId="77777777" w:rsidR="006C116A" w:rsidRPr="005557B0" w:rsidRDefault="006C116A" w:rsidP="009011BB">
            <w:pPr>
              <w:spacing w:line="240" w:lineRule="auto"/>
              <w:ind w:firstLineChars="200" w:firstLine="400"/>
              <w:rPr>
                <w:rFonts w:eastAsia="Times New Roman" w:cs="Times New Roman"/>
                <w:color w:val="000000"/>
                <w:sz w:val="20"/>
                <w:szCs w:val="20"/>
                <w:lang w:val="nl-NL" w:eastAsia="zh-CN"/>
              </w:rPr>
            </w:pPr>
            <w:proofErr w:type="spellStart"/>
            <w:r w:rsidRPr="005557B0">
              <w:rPr>
                <w:rFonts w:eastAsia="Times New Roman" w:cs="Times New Roman"/>
                <w:color w:val="000000"/>
                <w:sz w:val="20"/>
                <w:szCs w:val="20"/>
                <w:lang w:val="nl-NL" w:eastAsia="zh-CN"/>
              </w:rPr>
              <w:t>Sanction</w:t>
            </w:r>
            <w:proofErr w:type="spellEnd"/>
          </w:p>
        </w:tc>
        <w:tc>
          <w:tcPr>
            <w:tcW w:w="0" w:type="auto"/>
            <w:tcBorders>
              <w:top w:val="nil"/>
              <w:left w:val="nil"/>
              <w:bottom w:val="nil"/>
              <w:right w:val="nil"/>
            </w:tcBorders>
            <w:shd w:val="clear" w:color="auto" w:fill="auto"/>
            <w:noWrap/>
            <w:vAlign w:val="center"/>
            <w:hideMark/>
          </w:tcPr>
          <w:p w14:paraId="1872D39B"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1.09</w:t>
            </w:r>
          </w:p>
        </w:tc>
        <w:tc>
          <w:tcPr>
            <w:tcW w:w="0" w:type="auto"/>
            <w:tcBorders>
              <w:top w:val="nil"/>
              <w:left w:val="nil"/>
              <w:bottom w:val="nil"/>
              <w:right w:val="nil"/>
            </w:tcBorders>
            <w:shd w:val="clear" w:color="auto" w:fill="auto"/>
            <w:noWrap/>
            <w:vAlign w:val="center"/>
            <w:hideMark/>
          </w:tcPr>
          <w:p w14:paraId="082CA353"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2</w:t>
            </w:r>
          </w:p>
        </w:tc>
        <w:tc>
          <w:tcPr>
            <w:tcW w:w="0" w:type="auto"/>
            <w:tcBorders>
              <w:top w:val="nil"/>
              <w:left w:val="nil"/>
              <w:bottom w:val="nil"/>
              <w:right w:val="nil"/>
            </w:tcBorders>
            <w:shd w:val="clear" w:color="auto" w:fill="auto"/>
            <w:noWrap/>
            <w:vAlign w:val="center"/>
            <w:hideMark/>
          </w:tcPr>
          <w:p w14:paraId="33825B9A"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1.02</w:t>
            </w:r>
          </w:p>
        </w:tc>
        <w:tc>
          <w:tcPr>
            <w:tcW w:w="0" w:type="auto"/>
            <w:tcBorders>
              <w:top w:val="nil"/>
              <w:left w:val="nil"/>
              <w:bottom w:val="nil"/>
              <w:right w:val="nil"/>
            </w:tcBorders>
            <w:shd w:val="clear" w:color="auto" w:fill="auto"/>
            <w:noWrap/>
            <w:vAlign w:val="center"/>
            <w:hideMark/>
          </w:tcPr>
          <w:p w14:paraId="2B01027B"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1.04</w:t>
            </w:r>
          </w:p>
        </w:tc>
      </w:tr>
      <w:tr w:rsidR="006C116A" w:rsidRPr="005557B0" w14:paraId="1D64B17A" w14:textId="77777777" w:rsidTr="009011BB">
        <w:trPr>
          <w:divId w:val="1249004605"/>
          <w:trHeight w:val="225"/>
        </w:trPr>
        <w:tc>
          <w:tcPr>
            <w:tcW w:w="0" w:type="auto"/>
            <w:tcBorders>
              <w:top w:val="nil"/>
              <w:left w:val="nil"/>
              <w:bottom w:val="nil"/>
              <w:right w:val="nil"/>
            </w:tcBorders>
            <w:shd w:val="clear" w:color="auto" w:fill="auto"/>
            <w:noWrap/>
            <w:hideMark/>
          </w:tcPr>
          <w:p w14:paraId="36E513C4" w14:textId="0F93DCE6" w:rsidR="006C116A" w:rsidRPr="005557B0" w:rsidRDefault="005557B0" w:rsidP="009011BB">
            <w:pPr>
              <w:spacing w:line="240" w:lineRule="auto"/>
              <w:ind w:firstLineChars="200" w:firstLine="400"/>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Communication</w:t>
            </w:r>
          </w:p>
        </w:tc>
        <w:tc>
          <w:tcPr>
            <w:tcW w:w="0" w:type="auto"/>
            <w:tcBorders>
              <w:top w:val="nil"/>
              <w:left w:val="nil"/>
              <w:bottom w:val="nil"/>
              <w:right w:val="nil"/>
            </w:tcBorders>
            <w:shd w:val="clear" w:color="auto" w:fill="auto"/>
            <w:noWrap/>
            <w:vAlign w:val="center"/>
            <w:hideMark/>
          </w:tcPr>
          <w:p w14:paraId="0D3406CB"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1.08</w:t>
            </w:r>
          </w:p>
        </w:tc>
        <w:tc>
          <w:tcPr>
            <w:tcW w:w="0" w:type="auto"/>
            <w:tcBorders>
              <w:top w:val="nil"/>
              <w:left w:val="nil"/>
              <w:bottom w:val="nil"/>
              <w:right w:val="nil"/>
            </w:tcBorders>
            <w:shd w:val="clear" w:color="auto" w:fill="auto"/>
            <w:noWrap/>
            <w:vAlign w:val="center"/>
            <w:hideMark/>
          </w:tcPr>
          <w:p w14:paraId="1FF56341"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2</w:t>
            </w:r>
          </w:p>
        </w:tc>
        <w:tc>
          <w:tcPr>
            <w:tcW w:w="0" w:type="auto"/>
            <w:tcBorders>
              <w:top w:val="nil"/>
              <w:left w:val="nil"/>
              <w:bottom w:val="nil"/>
              <w:right w:val="nil"/>
            </w:tcBorders>
            <w:shd w:val="clear" w:color="auto" w:fill="auto"/>
            <w:noWrap/>
            <w:vAlign w:val="center"/>
            <w:hideMark/>
          </w:tcPr>
          <w:p w14:paraId="23ED6F5C"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1.02</w:t>
            </w:r>
          </w:p>
        </w:tc>
        <w:tc>
          <w:tcPr>
            <w:tcW w:w="0" w:type="auto"/>
            <w:tcBorders>
              <w:top w:val="nil"/>
              <w:left w:val="nil"/>
              <w:bottom w:val="nil"/>
              <w:right w:val="nil"/>
            </w:tcBorders>
            <w:shd w:val="clear" w:color="auto" w:fill="auto"/>
            <w:noWrap/>
            <w:vAlign w:val="center"/>
            <w:hideMark/>
          </w:tcPr>
          <w:p w14:paraId="66D5DF7B"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1.04</w:t>
            </w:r>
          </w:p>
        </w:tc>
      </w:tr>
      <w:tr w:rsidR="006C116A" w:rsidRPr="005557B0" w14:paraId="49F093F5" w14:textId="77777777" w:rsidTr="009011BB">
        <w:trPr>
          <w:divId w:val="1249004605"/>
          <w:trHeight w:val="225"/>
        </w:trPr>
        <w:tc>
          <w:tcPr>
            <w:tcW w:w="0" w:type="auto"/>
            <w:tcBorders>
              <w:top w:val="nil"/>
              <w:left w:val="nil"/>
              <w:bottom w:val="nil"/>
              <w:right w:val="nil"/>
            </w:tcBorders>
            <w:shd w:val="clear" w:color="auto" w:fill="auto"/>
            <w:noWrap/>
            <w:vAlign w:val="center"/>
            <w:hideMark/>
          </w:tcPr>
          <w:p w14:paraId="3AF955FC" w14:textId="6A968020" w:rsidR="006C116A" w:rsidRPr="005557B0" w:rsidRDefault="005D4016" w:rsidP="009011BB">
            <w:pPr>
              <w:spacing w:line="240" w:lineRule="auto"/>
              <w:ind w:firstLineChars="200" w:firstLine="400"/>
              <w:rPr>
                <w:rFonts w:eastAsia="Times New Roman" w:cs="Times New Roman"/>
                <w:color w:val="000000"/>
                <w:sz w:val="20"/>
                <w:szCs w:val="20"/>
                <w:lang w:val="nl-NL" w:eastAsia="zh-CN"/>
              </w:rPr>
            </w:pPr>
            <w:r>
              <w:rPr>
                <w:rFonts w:eastAsia="Times New Roman" w:cs="Times New Roman"/>
                <w:color w:val="000000"/>
                <w:sz w:val="20"/>
                <w:szCs w:val="20"/>
                <w:lang w:val="nl-NL" w:eastAsia="zh-CN"/>
              </w:rPr>
              <w:t>Matching design</w:t>
            </w:r>
          </w:p>
        </w:tc>
        <w:tc>
          <w:tcPr>
            <w:tcW w:w="0" w:type="auto"/>
            <w:tcBorders>
              <w:top w:val="nil"/>
              <w:left w:val="nil"/>
              <w:bottom w:val="nil"/>
              <w:right w:val="nil"/>
            </w:tcBorders>
            <w:shd w:val="clear" w:color="auto" w:fill="auto"/>
            <w:noWrap/>
            <w:vAlign w:val="center"/>
            <w:hideMark/>
          </w:tcPr>
          <w:p w14:paraId="0A647506"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1.23</w:t>
            </w:r>
          </w:p>
        </w:tc>
        <w:tc>
          <w:tcPr>
            <w:tcW w:w="0" w:type="auto"/>
            <w:tcBorders>
              <w:top w:val="nil"/>
              <w:left w:val="nil"/>
              <w:bottom w:val="nil"/>
              <w:right w:val="nil"/>
            </w:tcBorders>
            <w:shd w:val="clear" w:color="auto" w:fill="auto"/>
            <w:noWrap/>
            <w:vAlign w:val="center"/>
            <w:hideMark/>
          </w:tcPr>
          <w:p w14:paraId="4AEA1DCD"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2</w:t>
            </w:r>
          </w:p>
        </w:tc>
        <w:tc>
          <w:tcPr>
            <w:tcW w:w="0" w:type="auto"/>
            <w:tcBorders>
              <w:top w:val="nil"/>
              <w:left w:val="nil"/>
              <w:bottom w:val="nil"/>
              <w:right w:val="nil"/>
            </w:tcBorders>
            <w:shd w:val="clear" w:color="auto" w:fill="auto"/>
            <w:noWrap/>
            <w:vAlign w:val="center"/>
            <w:hideMark/>
          </w:tcPr>
          <w:p w14:paraId="12862B46"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1.05</w:t>
            </w:r>
          </w:p>
        </w:tc>
        <w:tc>
          <w:tcPr>
            <w:tcW w:w="0" w:type="auto"/>
            <w:tcBorders>
              <w:top w:val="nil"/>
              <w:left w:val="nil"/>
              <w:bottom w:val="nil"/>
              <w:right w:val="nil"/>
            </w:tcBorders>
            <w:shd w:val="clear" w:color="auto" w:fill="auto"/>
            <w:noWrap/>
            <w:vAlign w:val="center"/>
            <w:hideMark/>
          </w:tcPr>
          <w:p w14:paraId="4036E230"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1.10</w:t>
            </w:r>
          </w:p>
        </w:tc>
      </w:tr>
      <w:tr w:rsidR="006C116A" w:rsidRPr="005557B0" w14:paraId="3D03F2CE" w14:textId="77777777" w:rsidTr="009011BB">
        <w:trPr>
          <w:divId w:val="1249004605"/>
          <w:trHeight w:val="225"/>
        </w:trPr>
        <w:tc>
          <w:tcPr>
            <w:tcW w:w="0" w:type="auto"/>
            <w:tcBorders>
              <w:top w:val="nil"/>
              <w:left w:val="nil"/>
              <w:bottom w:val="nil"/>
              <w:right w:val="nil"/>
            </w:tcBorders>
            <w:shd w:val="clear" w:color="auto" w:fill="auto"/>
            <w:noWrap/>
            <w:hideMark/>
          </w:tcPr>
          <w:p w14:paraId="2D68FB97" w14:textId="77777777" w:rsidR="006C116A" w:rsidRPr="005557B0" w:rsidRDefault="006C116A" w:rsidP="009011BB">
            <w:pPr>
              <w:spacing w:line="240" w:lineRule="auto"/>
              <w:ind w:firstLineChars="200" w:firstLine="400"/>
              <w:rPr>
                <w:rFonts w:eastAsia="Times New Roman" w:cs="Times New Roman"/>
                <w:color w:val="000000"/>
                <w:sz w:val="20"/>
                <w:szCs w:val="20"/>
                <w:lang w:eastAsia="zh-CN"/>
              </w:rPr>
            </w:pPr>
            <w:r w:rsidRPr="005557B0">
              <w:rPr>
                <w:rFonts w:eastAsia="Times New Roman" w:cs="Times New Roman"/>
                <w:color w:val="000000"/>
                <w:sz w:val="20"/>
                <w:szCs w:val="20"/>
                <w:lang w:eastAsia="zh-CN"/>
              </w:rPr>
              <w:t xml:space="preserve">Knowledge of the end </w:t>
            </w:r>
            <w:proofErr w:type="spellStart"/>
            <w:r w:rsidRPr="005557B0">
              <w:rPr>
                <w:rFonts w:eastAsia="Times New Roman" w:cs="Times New Roman"/>
                <w:color w:val="000000"/>
                <w:sz w:val="20"/>
                <w:szCs w:val="20"/>
                <w:lang w:eastAsia="zh-CN"/>
              </w:rPr>
              <w:t>game</w:t>
            </w:r>
            <w:r w:rsidRPr="005557B0">
              <w:rPr>
                <w:rFonts w:eastAsia="Times New Roman" w:cs="Times New Roman"/>
                <w:color w:val="000000"/>
                <w:sz w:val="20"/>
                <w:szCs w:val="20"/>
                <w:vertAlign w:val="superscript"/>
                <w:lang w:eastAsia="zh-CN"/>
              </w:rPr>
              <w:t>a</w:t>
            </w:r>
            <w:proofErr w:type="spellEnd"/>
          </w:p>
        </w:tc>
        <w:tc>
          <w:tcPr>
            <w:tcW w:w="0" w:type="auto"/>
            <w:tcBorders>
              <w:top w:val="nil"/>
              <w:left w:val="nil"/>
              <w:bottom w:val="nil"/>
              <w:right w:val="nil"/>
            </w:tcBorders>
            <w:shd w:val="clear" w:color="auto" w:fill="auto"/>
            <w:noWrap/>
            <w:vAlign w:val="center"/>
            <w:hideMark/>
          </w:tcPr>
          <w:p w14:paraId="2F88A4AD"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1.40</w:t>
            </w:r>
          </w:p>
        </w:tc>
        <w:tc>
          <w:tcPr>
            <w:tcW w:w="0" w:type="auto"/>
            <w:tcBorders>
              <w:top w:val="nil"/>
              <w:left w:val="nil"/>
              <w:bottom w:val="nil"/>
              <w:right w:val="nil"/>
            </w:tcBorders>
            <w:shd w:val="clear" w:color="auto" w:fill="auto"/>
            <w:noWrap/>
            <w:vAlign w:val="center"/>
            <w:hideMark/>
          </w:tcPr>
          <w:p w14:paraId="28224C01"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2</w:t>
            </w:r>
          </w:p>
        </w:tc>
        <w:tc>
          <w:tcPr>
            <w:tcW w:w="0" w:type="auto"/>
            <w:tcBorders>
              <w:top w:val="nil"/>
              <w:left w:val="nil"/>
              <w:bottom w:val="nil"/>
              <w:right w:val="nil"/>
            </w:tcBorders>
            <w:shd w:val="clear" w:color="auto" w:fill="auto"/>
            <w:noWrap/>
            <w:vAlign w:val="center"/>
            <w:hideMark/>
          </w:tcPr>
          <w:p w14:paraId="46CA7CF5"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1.09</w:t>
            </w:r>
          </w:p>
        </w:tc>
        <w:tc>
          <w:tcPr>
            <w:tcW w:w="0" w:type="auto"/>
            <w:tcBorders>
              <w:top w:val="nil"/>
              <w:left w:val="nil"/>
              <w:bottom w:val="nil"/>
              <w:right w:val="nil"/>
            </w:tcBorders>
            <w:shd w:val="clear" w:color="auto" w:fill="auto"/>
            <w:noWrap/>
            <w:vAlign w:val="center"/>
            <w:hideMark/>
          </w:tcPr>
          <w:p w14:paraId="61289E7D"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1.19</w:t>
            </w:r>
          </w:p>
        </w:tc>
      </w:tr>
      <w:tr w:rsidR="006C116A" w:rsidRPr="005557B0" w14:paraId="078E387C" w14:textId="77777777" w:rsidTr="009011BB">
        <w:trPr>
          <w:divId w:val="1249004605"/>
          <w:trHeight w:val="225"/>
        </w:trPr>
        <w:tc>
          <w:tcPr>
            <w:tcW w:w="0" w:type="auto"/>
            <w:tcBorders>
              <w:top w:val="nil"/>
              <w:left w:val="nil"/>
              <w:bottom w:val="nil"/>
              <w:right w:val="nil"/>
            </w:tcBorders>
            <w:shd w:val="clear" w:color="auto" w:fill="auto"/>
            <w:noWrap/>
            <w:vAlign w:val="center"/>
            <w:hideMark/>
          </w:tcPr>
          <w:p w14:paraId="5B86ACF0" w14:textId="77777777" w:rsidR="006C116A" w:rsidRPr="005557B0" w:rsidRDefault="006C116A" w:rsidP="009011BB">
            <w:pPr>
              <w:spacing w:line="240" w:lineRule="auto"/>
              <w:ind w:firstLineChars="200" w:firstLine="400"/>
              <w:rPr>
                <w:rFonts w:eastAsia="Times New Roman" w:cs="Times New Roman"/>
                <w:color w:val="000000"/>
                <w:sz w:val="20"/>
                <w:szCs w:val="20"/>
                <w:lang w:val="nl-NL" w:eastAsia="zh-CN"/>
              </w:rPr>
            </w:pPr>
            <w:proofErr w:type="spellStart"/>
            <w:r w:rsidRPr="005557B0">
              <w:rPr>
                <w:rFonts w:eastAsia="Times New Roman" w:cs="Times New Roman"/>
                <w:color w:val="000000"/>
                <w:sz w:val="20"/>
                <w:szCs w:val="20"/>
                <w:lang w:val="nl-NL" w:eastAsia="zh-CN"/>
              </w:rPr>
              <w:t>Symmetry</w:t>
            </w:r>
            <w:proofErr w:type="spellEnd"/>
          </w:p>
        </w:tc>
        <w:tc>
          <w:tcPr>
            <w:tcW w:w="0" w:type="auto"/>
            <w:tcBorders>
              <w:top w:val="nil"/>
              <w:left w:val="nil"/>
              <w:bottom w:val="nil"/>
              <w:right w:val="nil"/>
            </w:tcBorders>
            <w:shd w:val="clear" w:color="auto" w:fill="auto"/>
            <w:noWrap/>
            <w:vAlign w:val="center"/>
            <w:hideMark/>
          </w:tcPr>
          <w:p w14:paraId="58A566CD"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1.05</w:t>
            </w:r>
          </w:p>
        </w:tc>
        <w:tc>
          <w:tcPr>
            <w:tcW w:w="0" w:type="auto"/>
            <w:tcBorders>
              <w:top w:val="nil"/>
              <w:left w:val="nil"/>
              <w:bottom w:val="nil"/>
              <w:right w:val="nil"/>
            </w:tcBorders>
            <w:shd w:val="clear" w:color="auto" w:fill="auto"/>
            <w:noWrap/>
            <w:vAlign w:val="center"/>
            <w:hideMark/>
          </w:tcPr>
          <w:p w14:paraId="5C65AABA"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2</w:t>
            </w:r>
          </w:p>
        </w:tc>
        <w:tc>
          <w:tcPr>
            <w:tcW w:w="0" w:type="auto"/>
            <w:tcBorders>
              <w:top w:val="nil"/>
              <w:left w:val="nil"/>
              <w:bottom w:val="nil"/>
              <w:right w:val="nil"/>
            </w:tcBorders>
            <w:shd w:val="clear" w:color="auto" w:fill="auto"/>
            <w:noWrap/>
            <w:vAlign w:val="center"/>
            <w:hideMark/>
          </w:tcPr>
          <w:p w14:paraId="43537CC2"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1.01</w:t>
            </w:r>
          </w:p>
        </w:tc>
        <w:tc>
          <w:tcPr>
            <w:tcW w:w="0" w:type="auto"/>
            <w:tcBorders>
              <w:top w:val="nil"/>
              <w:left w:val="nil"/>
              <w:bottom w:val="nil"/>
              <w:right w:val="nil"/>
            </w:tcBorders>
            <w:shd w:val="clear" w:color="auto" w:fill="auto"/>
            <w:noWrap/>
            <w:vAlign w:val="center"/>
            <w:hideMark/>
          </w:tcPr>
          <w:p w14:paraId="74E5FA7C"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1.02</w:t>
            </w:r>
          </w:p>
        </w:tc>
      </w:tr>
      <w:tr w:rsidR="006C116A" w:rsidRPr="005557B0" w14:paraId="318E4BA2" w14:textId="77777777" w:rsidTr="009011BB">
        <w:trPr>
          <w:divId w:val="1249004605"/>
          <w:trHeight w:val="225"/>
        </w:trPr>
        <w:tc>
          <w:tcPr>
            <w:tcW w:w="0" w:type="auto"/>
            <w:tcBorders>
              <w:top w:val="nil"/>
              <w:left w:val="nil"/>
              <w:bottom w:val="nil"/>
              <w:right w:val="nil"/>
            </w:tcBorders>
            <w:shd w:val="clear" w:color="auto" w:fill="auto"/>
            <w:noWrap/>
            <w:hideMark/>
          </w:tcPr>
          <w:p w14:paraId="7619B400" w14:textId="77777777" w:rsidR="006C116A" w:rsidRPr="005557B0" w:rsidRDefault="006C116A" w:rsidP="009011BB">
            <w:pPr>
              <w:spacing w:line="240" w:lineRule="auto"/>
              <w:ind w:firstLineChars="200" w:firstLine="400"/>
              <w:rPr>
                <w:rFonts w:eastAsia="Times New Roman" w:cs="Times New Roman"/>
                <w:color w:val="000000"/>
                <w:sz w:val="20"/>
                <w:szCs w:val="20"/>
                <w:lang w:val="nl-NL" w:eastAsia="zh-CN"/>
              </w:rPr>
            </w:pPr>
            <w:proofErr w:type="spellStart"/>
            <w:r w:rsidRPr="005557B0">
              <w:rPr>
                <w:rFonts w:eastAsia="Times New Roman" w:cs="Times New Roman"/>
                <w:color w:val="000000"/>
                <w:sz w:val="20"/>
                <w:szCs w:val="20"/>
                <w:lang w:val="nl-NL" w:eastAsia="zh-CN"/>
              </w:rPr>
              <w:t>Sequentiality</w:t>
            </w:r>
            <w:proofErr w:type="spellEnd"/>
          </w:p>
        </w:tc>
        <w:tc>
          <w:tcPr>
            <w:tcW w:w="0" w:type="auto"/>
            <w:tcBorders>
              <w:top w:val="nil"/>
              <w:left w:val="nil"/>
              <w:bottom w:val="nil"/>
              <w:right w:val="nil"/>
            </w:tcBorders>
            <w:shd w:val="clear" w:color="auto" w:fill="auto"/>
            <w:noWrap/>
            <w:vAlign w:val="center"/>
            <w:hideMark/>
          </w:tcPr>
          <w:p w14:paraId="531B64BA"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1.08</w:t>
            </w:r>
          </w:p>
        </w:tc>
        <w:tc>
          <w:tcPr>
            <w:tcW w:w="0" w:type="auto"/>
            <w:tcBorders>
              <w:top w:val="nil"/>
              <w:left w:val="nil"/>
              <w:bottom w:val="nil"/>
              <w:right w:val="nil"/>
            </w:tcBorders>
            <w:shd w:val="clear" w:color="auto" w:fill="auto"/>
            <w:noWrap/>
            <w:vAlign w:val="center"/>
            <w:hideMark/>
          </w:tcPr>
          <w:p w14:paraId="5CF40FCE"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2</w:t>
            </w:r>
          </w:p>
        </w:tc>
        <w:tc>
          <w:tcPr>
            <w:tcW w:w="0" w:type="auto"/>
            <w:tcBorders>
              <w:top w:val="nil"/>
              <w:left w:val="nil"/>
              <w:bottom w:val="nil"/>
              <w:right w:val="nil"/>
            </w:tcBorders>
            <w:shd w:val="clear" w:color="auto" w:fill="auto"/>
            <w:noWrap/>
            <w:vAlign w:val="center"/>
            <w:hideMark/>
          </w:tcPr>
          <w:p w14:paraId="1A0F42AE"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1.02</w:t>
            </w:r>
          </w:p>
        </w:tc>
        <w:tc>
          <w:tcPr>
            <w:tcW w:w="0" w:type="auto"/>
            <w:tcBorders>
              <w:top w:val="nil"/>
              <w:left w:val="nil"/>
              <w:bottom w:val="nil"/>
              <w:right w:val="nil"/>
            </w:tcBorders>
            <w:shd w:val="clear" w:color="auto" w:fill="auto"/>
            <w:noWrap/>
            <w:vAlign w:val="center"/>
            <w:hideMark/>
          </w:tcPr>
          <w:p w14:paraId="567DD5D1"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1.04</w:t>
            </w:r>
          </w:p>
        </w:tc>
      </w:tr>
      <w:tr w:rsidR="006C116A" w:rsidRPr="005557B0" w14:paraId="66CF42E7" w14:textId="77777777" w:rsidTr="005557B0">
        <w:trPr>
          <w:divId w:val="1249004605"/>
          <w:trHeight w:val="225"/>
        </w:trPr>
        <w:tc>
          <w:tcPr>
            <w:tcW w:w="0" w:type="auto"/>
            <w:tcBorders>
              <w:top w:val="nil"/>
              <w:left w:val="nil"/>
              <w:right w:val="nil"/>
            </w:tcBorders>
            <w:shd w:val="clear" w:color="auto" w:fill="auto"/>
            <w:noWrap/>
            <w:vAlign w:val="center"/>
            <w:hideMark/>
          </w:tcPr>
          <w:p w14:paraId="3AF864DC" w14:textId="77777777" w:rsidR="006C116A" w:rsidRPr="005557B0" w:rsidRDefault="006C116A" w:rsidP="009011BB">
            <w:pPr>
              <w:spacing w:line="240" w:lineRule="auto"/>
              <w:ind w:firstLineChars="200" w:firstLine="400"/>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Show up fee</w:t>
            </w:r>
          </w:p>
        </w:tc>
        <w:tc>
          <w:tcPr>
            <w:tcW w:w="0" w:type="auto"/>
            <w:tcBorders>
              <w:top w:val="nil"/>
              <w:left w:val="nil"/>
              <w:right w:val="nil"/>
            </w:tcBorders>
            <w:shd w:val="clear" w:color="auto" w:fill="auto"/>
            <w:noWrap/>
            <w:vAlign w:val="center"/>
            <w:hideMark/>
          </w:tcPr>
          <w:p w14:paraId="6642320C"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1.29</w:t>
            </w:r>
          </w:p>
        </w:tc>
        <w:tc>
          <w:tcPr>
            <w:tcW w:w="0" w:type="auto"/>
            <w:tcBorders>
              <w:top w:val="nil"/>
              <w:left w:val="nil"/>
              <w:right w:val="nil"/>
            </w:tcBorders>
            <w:shd w:val="clear" w:color="auto" w:fill="auto"/>
            <w:noWrap/>
            <w:vAlign w:val="center"/>
            <w:hideMark/>
          </w:tcPr>
          <w:p w14:paraId="1486E64E"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2</w:t>
            </w:r>
          </w:p>
        </w:tc>
        <w:tc>
          <w:tcPr>
            <w:tcW w:w="0" w:type="auto"/>
            <w:tcBorders>
              <w:top w:val="nil"/>
              <w:left w:val="nil"/>
              <w:right w:val="nil"/>
            </w:tcBorders>
            <w:shd w:val="clear" w:color="auto" w:fill="auto"/>
            <w:noWrap/>
            <w:vAlign w:val="center"/>
            <w:hideMark/>
          </w:tcPr>
          <w:p w14:paraId="163E000D"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1.07</w:t>
            </w:r>
          </w:p>
        </w:tc>
        <w:tc>
          <w:tcPr>
            <w:tcW w:w="0" w:type="auto"/>
            <w:tcBorders>
              <w:top w:val="nil"/>
              <w:left w:val="nil"/>
              <w:right w:val="nil"/>
            </w:tcBorders>
            <w:shd w:val="clear" w:color="auto" w:fill="auto"/>
            <w:noWrap/>
            <w:vAlign w:val="center"/>
            <w:hideMark/>
          </w:tcPr>
          <w:p w14:paraId="6394B1A9"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1.14</w:t>
            </w:r>
          </w:p>
        </w:tc>
      </w:tr>
      <w:tr w:rsidR="006C116A" w:rsidRPr="005557B0" w14:paraId="17EBE693" w14:textId="77777777" w:rsidTr="009011BB">
        <w:trPr>
          <w:divId w:val="1249004605"/>
          <w:trHeight w:val="225"/>
        </w:trPr>
        <w:tc>
          <w:tcPr>
            <w:tcW w:w="0" w:type="auto"/>
            <w:tcBorders>
              <w:top w:val="nil"/>
              <w:left w:val="nil"/>
              <w:bottom w:val="nil"/>
              <w:right w:val="nil"/>
            </w:tcBorders>
            <w:shd w:val="clear" w:color="auto" w:fill="auto"/>
            <w:noWrap/>
            <w:vAlign w:val="center"/>
            <w:hideMark/>
          </w:tcPr>
          <w:p w14:paraId="38468ADC" w14:textId="77777777" w:rsidR="006C116A" w:rsidRPr="005557B0" w:rsidRDefault="006C116A" w:rsidP="009011BB">
            <w:pPr>
              <w:spacing w:line="240" w:lineRule="auto"/>
              <w:ind w:firstLineChars="200" w:firstLine="400"/>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Game incentives</w:t>
            </w:r>
          </w:p>
        </w:tc>
        <w:tc>
          <w:tcPr>
            <w:tcW w:w="0" w:type="auto"/>
            <w:tcBorders>
              <w:top w:val="nil"/>
              <w:left w:val="nil"/>
              <w:bottom w:val="nil"/>
              <w:right w:val="nil"/>
            </w:tcBorders>
            <w:shd w:val="clear" w:color="auto" w:fill="auto"/>
            <w:noWrap/>
            <w:vAlign w:val="center"/>
            <w:hideMark/>
          </w:tcPr>
          <w:p w14:paraId="0549E5D4"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1.15</w:t>
            </w:r>
          </w:p>
        </w:tc>
        <w:tc>
          <w:tcPr>
            <w:tcW w:w="0" w:type="auto"/>
            <w:tcBorders>
              <w:top w:val="nil"/>
              <w:left w:val="nil"/>
              <w:bottom w:val="nil"/>
              <w:right w:val="nil"/>
            </w:tcBorders>
            <w:shd w:val="clear" w:color="auto" w:fill="auto"/>
            <w:noWrap/>
            <w:vAlign w:val="center"/>
            <w:hideMark/>
          </w:tcPr>
          <w:p w14:paraId="7F02A990"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2</w:t>
            </w:r>
          </w:p>
        </w:tc>
        <w:tc>
          <w:tcPr>
            <w:tcW w:w="0" w:type="auto"/>
            <w:tcBorders>
              <w:top w:val="nil"/>
              <w:left w:val="nil"/>
              <w:bottom w:val="nil"/>
              <w:right w:val="nil"/>
            </w:tcBorders>
            <w:shd w:val="clear" w:color="auto" w:fill="auto"/>
            <w:noWrap/>
            <w:vAlign w:val="center"/>
            <w:hideMark/>
          </w:tcPr>
          <w:p w14:paraId="242FF851"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1.04</w:t>
            </w:r>
          </w:p>
        </w:tc>
        <w:tc>
          <w:tcPr>
            <w:tcW w:w="0" w:type="auto"/>
            <w:tcBorders>
              <w:top w:val="nil"/>
              <w:left w:val="nil"/>
              <w:bottom w:val="nil"/>
              <w:right w:val="nil"/>
            </w:tcBorders>
            <w:shd w:val="clear" w:color="auto" w:fill="auto"/>
            <w:noWrap/>
            <w:vAlign w:val="center"/>
            <w:hideMark/>
          </w:tcPr>
          <w:p w14:paraId="5F5610C4"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1.08</w:t>
            </w:r>
          </w:p>
        </w:tc>
      </w:tr>
      <w:tr w:rsidR="006C116A" w:rsidRPr="005557B0" w14:paraId="6E92B586" w14:textId="77777777" w:rsidTr="005557B0">
        <w:trPr>
          <w:divId w:val="1249004605"/>
          <w:trHeight w:val="225"/>
        </w:trPr>
        <w:tc>
          <w:tcPr>
            <w:tcW w:w="0" w:type="auto"/>
            <w:tcBorders>
              <w:top w:val="nil"/>
              <w:left w:val="nil"/>
              <w:bottom w:val="single" w:sz="4" w:space="0" w:color="auto"/>
              <w:right w:val="nil"/>
            </w:tcBorders>
            <w:shd w:val="clear" w:color="auto" w:fill="auto"/>
            <w:noWrap/>
            <w:hideMark/>
          </w:tcPr>
          <w:p w14:paraId="4FF9529E" w14:textId="77777777" w:rsidR="006C116A" w:rsidRPr="005557B0" w:rsidRDefault="006C116A" w:rsidP="009011BB">
            <w:pPr>
              <w:spacing w:line="240" w:lineRule="auto"/>
              <w:ind w:firstLineChars="200" w:firstLine="400"/>
              <w:rPr>
                <w:rFonts w:eastAsia="Times New Roman" w:cs="Times New Roman"/>
                <w:color w:val="000000"/>
                <w:sz w:val="20"/>
                <w:szCs w:val="20"/>
                <w:lang w:val="nl-NL" w:eastAsia="zh-CN"/>
              </w:rPr>
            </w:pPr>
            <w:proofErr w:type="spellStart"/>
            <w:r w:rsidRPr="005557B0">
              <w:rPr>
                <w:rFonts w:eastAsia="Times New Roman" w:cs="Times New Roman"/>
                <w:color w:val="000000"/>
                <w:sz w:val="20"/>
                <w:szCs w:val="20"/>
                <w:lang w:val="nl-NL" w:eastAsia="zh-CN"/>
              </w:rPr>
              <w:t>Deception</w:t>
            </w:r>
            <w:proofErr w:type="spellEnd"/>
          </w:p>
        </w:tc>
        <w:tc>
          <w:tcPr>
            <w:tcW w:w="0" w:type="auto"/>
            <w:tcBorders>
              <w:top w:val="nil"/>
              <w:left w:val="nil"/>
              <w:bottom w:val="single" w:sz="4" w:space="0" w:color="auto"/>
              <w:right w:val="nil"/>
            </w:tcBorders>
            <w:shd w:val="clear" w:color="auto" w:fill="auto"/>
            <w:noWrap/>
            <w:vAlign w:val="center"/>
            <w:hideMark/>
          </w:tcPr>
          <w:p w14:paraId="2AE36099"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1.23</w:t>
            </w:r>
          </w:p>
        </w:tc>
        <w:tc>
          <w:tcPr>
            <w:tcW w:w="0" w:type="auto"/>
            <w:tcBorders>
              <w:top w:val="nil"/>
              <w:left w:val="nil"/>
              <w:bottom w:val="single" w:sz="4" w:space="0" w:color="auto"/>
              <w:right w:val="nil"/>
            </w:tcBorders>
            <w:shd w:val="clear" w:color="auto" w:fill="auto"/>
            <w:noWrap/>
            <w:vAlign w:val="center"/>
            <w:hideMark/>
          </w:tcPr>
          <w:p w14:paraId="6FFDA851"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2</w:t>
            </w:r>
          </w:p>
        </w:tc>
        <w:tc>
          <w:tcPr>
            <w:tcW w:w="0" w:type="auto"/>
            <w:tcBorders>
              <w:top w:val="nil"/>
              <w:left w:val="nil"/>
              <w:bottom w:val="single" w:sz="4" w:space="0" w:color="auto"/>
              <w:right w:val="nil"/>
            </w:tcBorders>
            <w:shd w:val="clear" w:color="auto" w:fill="auto"/>
            <w:noWrap/>
            <w:vAlign w:val="center"/>
            <w:hideMark/>
          </w:tcPr>
          <w:p w14:paraId="712F2A5A"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1.05</w:t>
            </w:r>
          </w:p>
        </w:tc>
        <w:tc>
          <w:tcPr>
            <w:tcW w:w="0" w:type="auto"/>
            <w:tcBorders>
              <w:top w:val="nil"/>
              <w:left w:val="nil"/>
              <w:bottom w:val="single" w:sz="4" w:space="0" w:color="auto"/>
              <w:right w:val="nil"/>
            </w:tcBorders>
            <w:shd w:val="clear" w:color="auto" w:fill="auto"/>
            <w:noWrap/>
            <w:vAlign w:val="center"/>
            <w:hideMark/>
          </w:tcPr>
          <w:p w14:paraId="3978B382" w14:textId="77777777" w:rsidR="006C116A" w:rsidRPr="005557B0" w:rsidRDefault="006C116A" w:rsidP="009011BB">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1.10</w:t>
            </w:r>
          </w:p>
        </w:tc>
      </w:tr>
    </w:tbl>
    <w:p w14:paraId="07E935B3" w14:textId="7648BA24" w:rsidR="006C116A" w:rsidRDefault="00AB1203" w:rsidP="00CD0784">
      <w:pPr>
        <w:spacing w:line="240" w:lineRule="auto"/>
        <w:rPr>
          <w:rFonts w:cs="Times New Roman"/>
        </w:rPr>
      </w:pPr>
      <w:r w:rsidRPr="00AB1203">
        <w:rPr>
          <w:rFonts w:cs="Times New Roman"/>
          <w:i/>
        </w:rPr>
        <w:t>Note.</w:t>
      </w:r>
      <w:r w:rsidRPr="00AB1203">
        <w:rPr>
          <w:rFonts w:cs="Times New Roman"/>
        </w:rPr>
        <w:t xml:space="preserve"> </w:t>
      </w:r>
      <w:r w:rsidRPr="00AB1203">
        <w:rPr>
          <w:rFonts w:cs="Times New Roman"/>
          <w:vertAlign w:val="superscript"/>
        </w:rPr>
        <w:t>a</w:t>
      </w:r>
      <w:r w:rsidR="004B031D">
        <w:rPr>
          <w:rFonts w:cs="Times New Roman"/>
        </w:rPr>
        <w:t xml:space="preserve"> T</w:t>
      </w:r>
      <w:r w:rsidRPr="00AB1203">
        <w:rPr>
          <w:rFonts w:cs="Times New Roman"/>
        </w:rPr>
        <w:t xml:space="preserve">he GVIF of knowledge of the end game was assessed separately by replacing </w:t>
      </w:r>
      <w:r w:rsidR="005D4016">
        <w:rPr>
          <w:rFonts w:cs="Times New Roman"/>
        </w:rPr>
        <w:t>matching design</w:t>
      </w:r>
      <w:r w:rsidRPr="00AB1203">
        <w:rPr>
          <w:rFonts w:cs="Times New Roman"/>
        </w:rPr>
        <w:t xml:space="preserve"> amo</w:t>
      </w:r>
      <w:r w:rsidR="00063F1D">
        <w:rPr>
          <w:rFonts w:cs="Times New Roman"/>
        </w:rPr>
        <w:t>ng all the predictor variables.</w:t>
      </w:r>
    </w:p>
    <w:p w14:paraId="0769E9FD" w14:textId="77777777" w:rsidR="006C116A" w:rsidRDefault="006C116A">
      <w:pPr>
        <w:spacing w:after="160" w:line="259" w:lineRule="auto"/>
        <w:rPr>
          <w:rFonts w:cs="Times New Roman"/>
        </w:rPr>
      </w:pPr>
      <w:r>
        <w:rPr>
          <w:rFonts w:cs="Times New Roman"/>
        </w:rPr>
        <w:br w:type="page"/>
      </w:r>
    </w:p>
    <w:p w14:paraId="45225FF2" w14:textId="1406B053" w:rsidR="002F6F89" w:rsidRDefault="00156901" w:rsidP="0008464C">
      <w:pPr>
        <w:pStyle w:val="Heading1"/>
      </w:pPr>
      <w:bookmarkStart w:id="20" w:name="_Toc61988287"/>
      <w:bookmarkStart w:id="21" w:name="_Toc169458480"/>
      <w:r>
        <w:rPr>
          <w:rFonts w:hint="eastAsia"/>
          <w:lang w:eastAsia="zh-CN"/>
        </w:rPr>
        <w:lastRenderedPageBreak/>
        <w:t>8</w:t>
      </w:r>
      <w:r w:rsidR="002F6F89">
        <w:t xml:space="preserve">. </w:t>
      </w:r>
      <w:r w:rsidR="0078447A">
        <w:t>Meta-Regression</w:t>
      </w:r>
      <w:r w:rsidR="00D5684B">
        <w:t xml:space="preserve"> Analyses</w:t>
      </w:r>
      <w:bookmarkEnd w:id="20"/>
      <w:bookmarkEnd w:id="21"/>
    </w:p>
    <w:p w14:paraId="52C7AF4A" w14:textId="2946C68A" w:rsidR="002F6F89" w:rsidRDefault="00156901" w:rsidP="0008464C">
      <w:pPr>
        <w:pStyle w:val="Heading2"/>
      </w:pPr>
      <w:bookmarkStart w:id="22" w:name="_Toc61988288"/>
      <w:bookmarkStart w:id="23" w:name="_Toc169458481"/>
      <w:r>
        <w:rPr>
          <w:rFonts w:hint="eastAsia"/>
          <w:lang w:eastAsia="zh-CN"/>
        </w:rPr>
        <w:t>8</w:t>
      </w:r>
      <w:r w:rsidR="001F4A30">
        <w:t>.1 M</w:t>
      </w:r>
      <w:r w:rsidR="002F6F89">
        <w:t>ixed-</w:t>
      </w:r>
      <w:r w:rsidR="003F618C">
        <w:t>E</w:t>
      </w:r>
      <w:r w:rsidR="002F6F89">
        <w:t>ffect</w:t>
      </w:r>
      <w:r w:rsidR="00F83039">
        <w:t>s</w:t>
      </w:r>
      <w:r w:rsidR="002F6F89">
        <w:t xml:space="preserve"> </w:t>
      </w:r>
      <w:r w:rsidR="00F83039">
        <w:t>M</w:t>
      </w:r>
      <w:r w:rsidR="002F6F89">
        <w:t>eta-</w:t>
      </w:r>
      <w:r w:rsidR="00F83039">
        <w:t>R</w:t>
      </w:r>
      <w:r w:rsidR="002F6F89">
        <w:t xml:space="preserve">egression </w:t>
      </w:r>
      <w:r w:rsidR="00F83039">
        <w:t>M</w:t>
      </w:r>
      <w:r w:rsidR="002F6F89">
        <w:t>odels</w:t>
      </w:r>
      <w:bookmarkEnd w:id="22"/>
      <w:bookmarkEnd w:id="23"/>
    </w:p>
    <w:p w14:paraId="09C68913" w14:textId="5FBAEC5F" w:rsidR="00BE3CF7" w:rsidRPr="00042903" w:rsidRDefault="00BE3CF7" w:rsidP="00BE3CF7">
      <w:pPr>
        <w:rPr>
          <w:rFonts w:eastAsiaTheme="minorEastAsia" w:cs="Times New Roman"/>
          <w:b/>
          <w:szCs w:val="22"/>
          <w:lang w:eastAsia="zh-CN"/>
        </w:rPr>
      </w:pPr>
      <w:r>
        <w:rPr>
          <w:rFonts w:eastAsiaTheme="minorEastAsia" w:cs="Times New Roman"/>
          <w:b/>
          <w:szCs w:val="22"/>
          <w:lang w:eastAsia="zh-CN"/>
        </w:rPr>
        <w:t xml:space="preserve">Table </w:t>
      </w:r>
      <w:r w:rsidR="00F83039">
        <w:rPr>
          <w:rFonts w:eastAsiaTheme="minorEastAsia" w:cs="Times New Roman"/>
          <w:b/>
          <w:szCs w:val="22"/>
          <w:lang w:eastAsia="zh-CN"/>
        </w:rPr>
        <w:t>S</w:t>
      </w:r>
      <w:r w:rsidR="005557B0">
        <w:rPr>
          <w:rFonts w:eastAsiaTheme="minorEastAsia" w:cs="Times New Roman"/>
          <w:b/>
          <w:szCs w:val="22"/>
          <w:lang w:eastAsia="zh-CN"/>
        </w:rPr>
        <w:t>3</w:t>
      </w:r>
    </w:p>
    <w:p w14:paraId="04EFFD8D" w14:textId="307A4CCC" w:rsidR="00091EC0" w:rsidRPr="00091EC0" w:rsidRDefault="00BE3CF7" w:rsidP="000418D8">
      <w:pPr>
        <w:rPr>
          <w:rFonts w:eastAsiaTheme="minorEastAsia" w:cs="Times New Roman"/>
          <w:i/>
          <w:szCs w:val="22"/>
          <w:lang w:eastAsia="zh-CN"/>
        </w:rPr>
      </w:pPr>
      <w:r w:rsidRPr="00BE3CF7">
        <w:rPr>
          <w:rFonts w:eastAsiaTheme="minorEastAsia" w:cs="Times New Roman"/>
          <w:i/>
          <w:szCs w:val="22"/>
          <w:lang w:eastAsia="zh-CN"/>
        </w:rPr>
        <w:t>Meta-Regression Results (</w:t>
      </w:r>
      <w:r>
        <w:rPr>
          <w:rFonts w:eastAsiaTheme="minorEastAsia" w:cs="Times New Roman"/>
          <w:i/>
          <w:szCs w:val="22"/>
          <w:lang w:eastAsia="zh-CN"/>
        </w:rPr>
        <w:t>Full table of</w:t>
      </w:r>
      <w:r w:rsidRPr="00BE3CF7">
        <w:rPr>
          <w:rFonts w:eastAsiaTheme="minorEastAsia" w:cs="Times New Roman"/>
          <w:i/>
          <w:szCs w:val="22"/>
          <w:lang w:eastAsia="zh-CN"/>
        </w:rPr>
        <w:t xml:space="preserve"> Model 1a</w:t>
      </w:r>
      <w:r w:rsidR="00C12950">
        <w:rPr>
          <w:rFonts w:eastAsiaTheme="minorEastAsia" w:cs="Times New Roman"/>
          <w:i/>
          <w:szCs w:val="22"/>
          <w:lang w:eastAsia="zh-CN"/>
        </w:rPr>
        <w:t>, Study 1</w:t>
      </w:r>
      <w:r w:rsidRPr="00BE3CF7">
        <w:rPr>
          <w:rFonts w:eastAsiaTheme="minorEastAsia" w:cs="Times New Roman"/>
          <w:i/>
          <w:szCs w:val="22"/>
          <w:lang w:eastAsia="zh-CN"/>
        </w:rPr>
        <w:t>)</w:t>
      </w:r>
    </w:p>
    <w:tbl>
      <w:tblPr>
        <w:tblW w:w="0" w:type="auto"/>
        <w:tblCellMar>
          <w:left w:w="70" w:type="dxa"/>
          <w:right w:w="70" w:type="dxa"/>
        </w:tblCellMar>
        <w:tblLook w:val="04A0" w:firstRow="1" w:lastRow="0" w:firstColumn="1" w:lastColumn="0" w:noHBand="0" w:noVBand="1"/>
      </w:tblPr>
      <w:tblGrid>
        <w:gridCol w:w="4439"/>
        <w:gridCol w:w="790"/>
        <w:gridCol w:w="590"/>
        <w:gridCol w:w="1474"/>
      </w:tblGrid>
      <w:tr w:rsidR="00091EC0" w:rsidRPr="005557B0" w14:paraId="665AA163" w14:textId="77777777" w:rsidTr="00D14C1C">
        <w:trPr>
          <w:trHeight w:val="225"/>
        </w:trPr>
        <w:tc>
          <w:tcPr>
            <w:tcW w:w="0" w:type="auto"/>
            <w:vMerge w:val="restart"/>
            <w:tcBorders>
              <w:top w:val="single" w:sz="4" w:space="0" w:color="auto"/>
              <w:left w:val="nil"/>
              <w:bottom w:val="single" w:sz="4" w:space="0" w:color="000000"/>
              <w:right w:val="nil"/>
            </w:tcBorders>
            <w:shd w:val="clear" w:color="auto" w:fill="auto"/>
            <w:noWrap/>
            <w:vAlign w:val="center"/>
            <w:hideMark/>
          </w:tcPr>
          <w:p w14:paraId="7EC048D8" w14:textId="13E2F57A" w:rsidR="00091EC0" w:rsidRPr="005557B0" w:rsidRDefault="00091EC0" w:rsidP="005557B0">
            <w:pPr>
              <w:spacing w:line="240" w:lineRule="auto"/>
              <w:jc w:val="center"/>
              <w:rPr>
                <w:rFonts w:eastAsia="Times New Roman" w:cs="Times New Roman"/>
                <w:b/>
                <w:bCs/>
                <w:color w:val="000000"/>
                <w:sz w:val="20"/>
                <w:szCs w:val="20"/>
                <w:lang w:val="nl-NL" w:eastAsia="zh-CN"/>
              </w:rPr>
            </w:pPr>
            <w:r w:rsidRPr="005557B0">
              <w:rPr>
                <w:rFonts w:eastAsia="Times New Roman" w:cs="Times New Roman"/>
                <w:b/>
                <w:bCs/>
                <w:color w:val="000000"/>
                <w:sz w:val="20"/>
                <w:szCs w:val="20"/>
                <w:lang w:val="nl-NL" w:eastAsia="zh-CN"/>
              </w:rPr>
              <w:t>Variables</w:t>
            </w:r>
          </w:p>
        </w:tc>
        <w:tc>
          <w:tcPr>
            <w:tcW w:w="0" w:type="auto"/>
            <w:gridSpan w:val="3"/>
            <w:tcBorders>
              <w:top w:val="single" w:sz="4" w:space="0" w:color="auto"/>
              <w:left w:val="nil"/>
              <w:bottom w:val="single" w:sz="4" w:space="0" w:color="auto"/>
              <w:right w:val="nil"/>
            </w:tcBorders>
            <w:shd w:val="clear" w:color="auto" w:fill="auto"/>
            <w:noWrap/>
            <w:vAlign w:val="center"/>
            <w:hideMark/>
          </w:tcPr>
          <w:p w14:paraId="31B776F0" w14:textId="77777777" w:rsidR="00091EC0" w:rsidRPr="005557B0" w:rsidRDefault="00091EC0" w:rsidP="005557B0">
            <w:pPr>
              <w:spacing w:line="240" w:lineRule="auto"/>
              <w:jc w:val="center"/>
              <w:rPr>
                <w:rFonts w:eastAsia="Times New Roman" w:cs="Times New Roman"/>
                <w:b/>
                <w:bCs/>
                <w:color w:val="000000"/>
                <w:sz w:val="20"/>
                <w:szCs w:val="20"/>
                <w:lang w:val="nl-NL" w:eastAsia="zh-CN"/>
              </w:rPr>
            </w:pPr>
            <w:r w:rsidRPr="005557B0">
              <w:rPr>
                <w:rFonts w:eastAsia="Times New Roman" w:cs="Times New Roman"/>
                <w:b/>
                <w:bCs/>
                <w:color w:val="000000"/>
                <w:sz w:val="20"/>
                <w:szCs w:val="20"/>
                <w:lang w:val="nl-NL" w:eastAsia="zh-CN"/>
              </w:rPr>
              <w:t>Model 1a</w:t>
            </w:r>
          </w:p>
        </w:tc>
      </w:tr>
      <w:tr w:rsidR="00091EC0" w:rsidRPr="005557B0" w14:paraId="7CED5153" w14:textId="77777777" w:rsidTr="00D14C1C">
        <w:trPr>
          <w:trHeight w:val="225"/>
        </w:trPr>
        <w:tc>
          <w:tcPr>
            <w:tcW w:w="0" w:type="auto"/>
            <w:vMerge/>
            <w:tcBorders>
              <w:top w:val="single" w:sz="4" w:space="0" w:color="auto"/>
              <w:left w:val="nil"/>
              <w:bottom w:val="single" w:sz="4" w:space="0" w:color="000000"/>
              <w:right w:val="nil"/>
            </w:tcBorders>
            <w:vAlign w:val="center"/>
            <w:hideMark/>
          </w:tcPr>
          <w:p w14:paraId="3DEE48C1" w14:textId="77777777" w:rsidR="00091EC0" w:rsidRPr="005557B0" w:rsidRDefault="00091EC0" w:rsidP="005557B0">
            <w:pPr>
              <w:spacing w:line="240" w:lineRule="auto"/>
              <w:rPr>
                <w:rFonts w:eastAsia="Times New Roman" w:cs="Times New Roman"/>
                <w:b/>
                <w:bCs/>
                <w:color w:val="000000"/>
                <w:sz w:val="20"/>
                <w:szCs w:val="20"/>
                <w:lang w:val="nl-NL" w:eastAsia="zh-CN"/>
              </w:rPr>
            </w:pPr>
          </w:p>
        </w:tc>
        <w:tc>
          <w:tcPr>
            <w:tcW w:w="0" w:type="auto"/>
            <w:tcBorders>
              <w:top w:val="nil"/>
              <w:left w:val="nil"/>
              <w:bottom w:val="single" w:sz="4" w:space="0" w:color="auto"/>
              <w:right w:val="nil"/>
            </w:tcBorders>
            <w:shd w:val="clear" w:color="auto" w:fill="auto"/>
            <w:noWrap/>
            <w:vAlign w:val="center"/>
            <w:hideMark/>
          </w:tcPr>
          <w:p w14:paraId="7969DC44" w14:textId="77777777" w:rsidR="00091EC0" w:rsidRPr="005557B0" w:rsidRDefault="00091EC0" w:rsidP="005557B0">
            <w:pPr>
              <w:spacing w:line="240" w:lineRule="auto"/>
              <w:jc w:val="center"/>
              <w:rPr>
                <w:rFonts w:eastAsia="Times New Roman" w:cs="Times New Roman"/>
                <w:b/>
                <w:bCs/>
                <w:i/>
                <w:iCs/>
                <w:color w:val="000000"/>
                <w:sz w:val="20"/>
                <w:szCs w:val="20"/>
                <w:lang w:val="nl-NL" w:eastAsia="zh-CN"/>
              </w:rPr>
            </w:pPr>
            <w:r w:rsidRPr="005557B0">
              <w:rPr>
                <w:rFonts w:eastAsia="Times New Roman" w:cs="Times New Roman"/>
                <w:b/>
                <w:bCs/>
                <w:i/>
                <w:iCs/>
                <w:color w:val="000000"/>
                <w:sz w:val="20"/>
                <w:szCs w:val="20"/>
                <w:lang w:val="nl-NL" w:eastAsia="zh-CN"/>
              </w:rPr>
              <w:t>b</w:t>
            </w:r>
          </w:p>
        </w:tc>
        <w:tc>
          <w:tcPr>
            <w:tcW w:w="0" w:type="auto"/>
            <w:tcBorders>
              <w:top w:val="nil"/>
              <w:left w:val="nil"/>
              <w:bottom w:val="single" w:sz="4" w:space="0" w:color="auto"/>
              <w:right w:val="nil"/>
            </w:tcBorders>
            <w:shd w:val="clear" w:color="auto" w:fill="auto"/>
            <w:noWrap/>
            <w:vAlign w:val="center"/>
            <w:hideMark/>
          </w:tcPr>
          <w:p w14:paraId="6D3419D5" w14:textId="77777777" w:rsidR="00091EC0" w:rsidRPr="005557B0" w:rsidRDefault="00091EC0" w:rsidP="005557B0">
            <w:pPr>
              <w:spacing w:line="240" w:lineRule="auto"/>
              <w:jc w:val="center"/>
              <w:rPr>
                <w:rFonts w:eastAsia="Times New Roman" w:cs="Times New Roman"/>
                <w:b/>
                <w:bCs/>
                <w:i/>
                <w:iCs/>
                <w:color w:val="000000"/>
                <w:sz w:val="20"/>
                <w:szCs w:val="20"/>
                <w:lang w:val="nl-NL" w:eastAsia="zh-CN"/>
              </w:rPr>
            </w:pPr>
            <w:r w:rsidRPr="005557B0">
              <w:rPr>
                <w:rFonts w:eastAsia="Times New Roman" w:cs="Times New Roman"/>
                <w:b/>
                <w:bCs/>
                <w:i/>
                <w:iCs/>
                <w:color w:val="000000"/>
                <w:sz w:val="20"/>
                <w:szCs w:val="20"/>
                <w:lang w:val="nl-NL" w:eastAsia="zh-CN"/>
              </w:rPr>
              <w:t>SE</w:t>
            </w:r>
          </w:p>
        </w:tc>
        <w:tc>
          <w:tcPr>
            <w:tcW w:w="0" w:type="auto"/>
            <w:tcBorders>
              <w:top w:val="nil"/>
              <w:left w:val="nil"/>
              <w:bottom w:val="single" w:sz="4" w:space="0" w:color="auto"/>
              <w:right w:val="nil"/>
            </w:tcBorders>
            <w:shd w:val="clear" w:color="auto" w:fill="auto"/>
            <w:noWrap/>
            <w:vAlign w:val="center"/>
            <w:hideMark/>
          </w:tcPr>
          <w:p w14:paraId="02CFE769" w14:textId="77777777" w:rsidR="00091EC0" w:rsidRPr="005557B0" w:rsidRDefault="00091EC0" w:rsidP="005557B0">
            <w:pPr>
              <w:spacing w:line="240" w:lineRule="auto"/>
              <w:jc w:val="center"/>
              <w:rPr>
                <w:rFonts w:eastAsia="Times New Roman" w:cs="Times New Roman"/>
                <w:b/>
                <w:bCs/>
                <w:color w:val="000000"/>
                <w:sz w:val="20"/>
                <w:szCs w:val="20"/>
                <w:lang w:val="nl-NL" w:eastAsia="zh-CN"/>
              </w:rPr>
            </w:pPr>
            <w:r w:rsidRPr="005557B0">
              <w:rPr>
                <w:rFonts w:eastAsia="Times New Roman" w:cs="Times New Roman"/>
                <w:b/>
                <w:bCs/>
                <w:color w:val="000000"/>
                <w:sz w:val="20"/>
                <w:szCs w:val="20"/>
                <w:lang w:val="nl-NL" w:eastAsia="zh-CN"/>
              </w:rPr>
              <w:t xml:space="preserve">95% </w:t>
            </w:r>
            <w:r w:rsidRPr="005557B0">
              <w:rPr>
                <w:rFonts w:eastAsia="Times New Roman" w:cs="Times New Roman"/>
                <w:b/>
                <w:bCs/>
                <w:i/>
                <w:iCs/>
                <w:color w:val="000000"/>
                <w:sz w:val="20"/>
                <w:szCs w:val="20"/>
                <w:lang w:val="nl-NL" w:eastAsia="zh-CN"/>
              </w:rPr>
              <w:t>CI</w:t>
            </w:r>
          </w:p>
        </w:tc>
      </w:tr>
      <w:tr w:rsidR="00091EC0" w:rsidRPr="005557B0" w14:paraId="30FFB442" w14:textId="77777777" w:rsidTr="00D14C1C">
        <w:trPr>
          <w:trHeight w:val="225"/>
        </w:trPr>
        <w:tc>
          <w:tcPr>
            <w:tcW w:w="0" w:type="auto"/>
            <w:tcBorders>
              <w:top w:val="nil"/>
              <w:left w:val="nil"/>
              <w:bottom w:val="nil"/>
              <w:right w:val="nil"/>
            </w:tcBorders>
            <w:shd w:val="clear" w:color="auto" w:fill="auto"/>
            <w:noWrap/>
            <w:vAlign w:val="center"/>
            <w:hideMark/>
          </w:tcPr>
          <w:p w14:paraId="3755E779" w14:textId="77777777" w:rsidR="00091EC0" w:rsidRPr="005557B0" w:rsidRDefault="00091EC0" w:rsidP="005557B0">
            <w:pPr>
              <w:spacing w:line="240" w:lineRule="auto"/>
              <w:rPr>
                <w:rFonts w:eastAsia="Times New Roman" w:cs="Times New Roman"/>
                <w:i/>
                <w:iCs/>
                <w:color w:val="000000"/>
                <w:sz w:val="20"/>
                <w:szCs w:val="20"/>
                <w:lang w:val="nl-NL" w:eastAsia="zh-CN"/>
              </w:rPr>
            </w:pPr>
            <w:r w:rsidRPr="005557B0">
              <w:rPr>
                <w:rFonts w:eastAsia="Times New Roman" w:cs="Times New Roman"/>
                <w:i/>
                <w:iCs/>
                <w:color w:val="000000"/>
                <w:sz w:val="20"/>
                <w:szCs w:val="20"/>
                <w:lang w:val="nl-NL" w:eastAsia="zh-CN"/>
              </w:rPr>
              <w:t>Control variables</w:t>
            </w:r>
          </w:p>
        </w:tc>
        <w:tc>
          <w:tcPr>
            <w:tcW w:w="0" w:type="auto"/>
            <w:tcBorders>
              <w:top w:val="nil"/>
              <w:left w:val="nil"/>
              <w:bottom w:val="nil"/>
              <w:right w:val="nil"/>
            </w:tcBorders>
            <w:shd w:val="clear" w:color="auto" w:fill="auto"/>
            <w:noWrap/>
            <w:vAlign w:val="center"/>
            <w:hideMark/>
          </w:tcPr>
          <w:p w14:paraId="759DE359" w14:textId="77777777" w:rsidR="00091EC0" w:rsidRPr="005557B0" w:rsidRDefault="00091EC0" w:rsidP="005557B0">
            <w:pPr>
              <w:spacing w:line="240" w:lineRule="auto"/>
              <w:rPr>
                <w:rFonts w:eastAsia="Times New Roman" w:cs="Times New Roman"/>
                <w:i/>
                <w:iCs/>
                <w:color w:val="000000"/>
                <w:sz w:val="20"/>
                <w:szCs w:val="20"/>
                <w:lang w:val="nl-NL" w:eastAsia="zh-CN"/>
              </w:rPr>
            </w:pPr>
          </w:p>
        </w:tc>
        <w:tc>
          <w:tcPr>
            <w:tcW w:w="0" w:type="auto"/>
            <w:tcBorders>
              <w:top w:val="nil"/>
              <w:left w:val="nil"/>
              <w:bottom w:val="nil"/>
              <w:right w:val="nil"/>
            </w:tcBorders>
            <w:shd w:val="clear" w:color="auto" w:fill="auto"/>
            <w:noWrap/>
            <w:vAlign w:val="center"/>
            <w:hideMark/>
          </w:tcPr>
          <w:p w14:paraId="4527B7BB" w14:textId="77777777" w:rsidR="00091EC0" w:rsidRPr="005557B0" w:rsidRDefault="00091EC0" w:rsidP="005557B0">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1FC05814" w14:textId="77777777" w:rsidR="00091EC0" w:rsidRPr="005557B0" w:rsidRDefault="00091EC0" w:rsidP="005557B0">
            <w:pPr>
              <w:spacing w:line="240" w:lineRule="auto"/>
              <w:jc w:val="center"/>
              <w:rPr>
                <w:rFonts w:eastAsia="Times New Roman" w:cs="Times New Roman"/>
                <w:sz w:val="20"/>
                <w:szCs w:val="20"/>
                <w:lang w:val="nl-NL" w:eastAsia="zh-CN"/>
              </w:rPr>
            </w:pPr>
          </w:p>
        </w:tc>
      </w:tr>
      <w:tr w:rsidR="00091EC0" w:rsidRPr="005557B0" w14:paraId="314FC006" w14:textId="77777777" w:rsidTr="00D14C1C">
        <w:trPr>
          <w:trHeight w:val="225"/>
        </w:trPr>
        <w:tc>
          <w:tcPr>
            <w:tcW w:w="0" w:type="auto"/>
            <w:tcBorders>
              <w:top w:val="nil"/>
              <w:left w:val="nil"/>
              <w:bottom w:val="nil"/>
              <w:right w:val="nil"/>
            </w:tcBorders>
            <w:shd w:val="clear" w:color="auto" w:fill="auto"/>
            <w:noWrap/>
            <w:vAlign w:val="bottom"/>
            <w:hideMark/>
          </w:tcPr>
          <w:p w14:paraId="5CB31C45" w14:textId="77777777" w:rsidR="00091EC0" w:rsidRPr="005557B0" w:rsidRDefault="00091EC0" w:rsidP="005557B0">
            <w:pPr>
              <w:spacing w:line="240" w:lineRule="auto"/>
              <w:ind w:firstLineChars="200" w:firstLine="400"/>
              <w:rPr>
                <w:rFonts w:eastAsia="Times New Roman" w:cs="Times New Roman"/>
                <w:color w:val="000000"/>
                <w:sz w:val="20"/>
                <w:szCs w:val="20"/>
                <w:lang w:val="nl-NL" w:eastAsia="zh-CN"/>
              </w:rPr>
            </w:pPr>
            <w:proofErr w:type="spellStart"/>
            <w:r w:rsidRPr="005557B0">
              <w:rPr>
                <w:rFonts w:eastAsia="Times New Roman" w:cs="Times New Roman"/>
                <w:color w:val="000000"/>
                <w:sz w:val="20"/>
                <w:szCs w:val="20"/>
                <w:lang w:val="nl-NL" w:eastAsia="zh-CN"/>
              </w:rPr>
              <w:t>Choice</w:t>
            </w:r>
            <w:proofErr w:type="spellEnd"/>
            <w:r w:rsidRPr="005557B0">
              <w:rPr>
                <w:rFonts w:eastAsia="Times New Roman" w:cs="Times New Roman"/>
                <w:color w:val="000000"/>
                <w:sz w:val="20"/>
                <w:szCs w:val="20"/>
                <w:lang w:val="nl-NL" w:eastAsia="zh-CN"/>
              </w:rPr>
              <w:t xml:space="preserve"> type-</w:t>
            </w:r>
            <w:proofErr w:type="spellStart"/>
            <w:r w:rsidRPr="005557B0">
              <w:rPr>
                <w:rFonts w:eastAsia="Times New Roman" w:cs="Times New Roman"/>
                <w:color w:val="000000"/>
                <w:sz w:val="20"/>
                <w:szCs w:val="20"/>
                <w:lang w:val="nl-NL" w:eastAsia="zh-CN"/>
              </w:rPr>
              <w:t>continuous</w:t>
            </w:r>
            <w:proofErr w:type="spellEnd"/>
          </w:p>
        </w:tc>
        <w:tc>
          <w:tcPr>
            <w:tcW w:w="0" w:type="auto"/>
            <w:tcBorders>
              <w:top w:val="nil"/>
              <w:left w:val="nil"/>
              <w:bottom w:val="nil"/>
              <w:right w:val="nil"/>
            </w:tcBorders>
            <w:shd w:val="clear" w:color="auto" w:fill="auto"/>
            <w:noWrap/>
            <w:vAlign w:val="center"/>
            <w:hideMark/>
          </w:tcPr>
          <w:p w14:paraId="5E506A2B"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0.118*</w:t>
            </w:r>
          </w:p>
        </w:tc>
        <w:tc>
          <w:tcPr>
            <w:tcW w:w="0" w:type="auto"/>
            <w:tcBorders>
              <w:top w:val="nil"/>
              <w:left w:val="nil"/>
              <w:bottom w:val="nil"/>
              <w:right w:val="nil"/>
            </w:tcBorders>
            <w:shd w:val="clear" w:color="auto" w:fill="auto"/>
            <w:noWrap/>
            <w:vAlign w:val="center"/>
            <w:hideMark/>
          </w:tcPr>
          <w:p w14:paraId="4E05CB10"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0.043</w:t>
            </w:r>
          </w:p>
        </w:tc>
        <w:tc>
          <w:tcPr>
            <w:tcW w:w="0" w:type="auto"/>
            <w:tcBorders>
              <w:top w:val="nil"/>
              <w:left w:val="nil"/>
              <w:bottom w:val="nil"/>
              <w:right w:val="nil"/>
            </w:tcBorders>
            <w:shd w:val="clear" w:color="auto" w:fill="auto"/>
            <w:noWrap/>
            <w:vAlign w:val="center"/>
            <w:hideMark/>
          </w:tcPr>
          <w:p w14:paraId="4F4BFDAD"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[0.034, 0.201]</w:t>
            </w:r>
          </w:p>
        </w:tc>
      </w:tr>
      <w:tr w:rsidR="00091EC0" w:rsidRPr="005557B0" w14:paraId="49DBD49F" w14:textId="77777777" w:rsidTr="00D14C1C">
        <w:trPr>
          <w:trHeight w:val="225"/>
        </w:trPr>
        <w:tc>
          <w:tcPr>
            <w:tcW w:w="0" w:type="auto"/>
            <w:tcBorders>
              <w:top w:val="nil"/>
              <w:left w:val="nil"/>
              <w:bottom w:val="nil"/>
              <w:right w:val="nil"/>
            </w:tcBorders>
            <w:shd w:val="clear" w:color="auto" w:fill="auto"/>
            <w:noWrap/>
            <w:vAlign w:val="bottom"/>
            <w:hideMark/>
          </w:tcPr>
          <w:p w14:paraId="5B86686A" w14:textId="77777777" w:rsidR="00091EC0" w:rsidRPr="005557B0" w:rsidRDefault="00091EC0" w:rsidP="005557B0">
            <w:pPr>
              <w:spacing w:line="240" w:lineRule="auto"/>
              <w:ind w:firstLineChars="200" w:firstLine="400"/>
              <w:rPr>
                <w:rFonts w:eastAsia="Times New Roman" w:cs="Times New Roman"/>
                <w:color w:val="000000"/>
                <w:sz w:val="20"/>
                <w:szCs w:val="20"/>
                <w:lang w:val="nl-NL" w:eastAsia="zh-CN"/>
              </w:rPr>
            </w:pPr>
            <w:proofErr w:type="spellStart"/>
            <w:r w:rsidRPr="005557B0">
              <w:rPr>
                <w:rFonts w:eastAsia="Times New Roman" w:cs="Times New Roman"/>
                <w:color w:val="000000"/>
                <w:sz w:val="20"/>
                <w:szCs w:val="20"/>
                <w:lang w:val="nl-NL" w:eastAsia="zh-CN"/>
              </w:rPr>
              <w:t>Experimental</w:t>
            </w:r>
            <w:proofErr w:type="spellEnd"/>
            <w:r w:rsidRPr="005557B0">
              <w:rPr>
                <w:rFonts w:eastAsia="Times New Roman" w:cs="Times New Roman"/>
                <w:color w:val="000000"/>
                <w:sz w:val="20"/>
                <w:szCs w:val="20"/>
                <w:lang w:val="nl-NL" w:eastAsia="zh-CN"/>
              </w:rPr>
              <w:t xml:space="preserve"> setting-online</w:t>
            </w:r>
          </w:p>
        </w:tc>
        <w:tc>
          <w:tcPr>
            <w:tcW w:w="0" w:type="auto"/>
            <w:tcBorders>
              <w:top w:val="nil"/>
              <w:left w:val="nil"/>
              <w:bottom w:val="nil"/>
              <w:right w:val="nil"/>
            </w:tcBorders>
            <w:shd w:val="clear" w:color="auto" w:fill="auto"/>
            <w:noWrap/>
            <w:vAlign w:val="center"/>
            <w:hideMark/>
          </w:tcPr>
          <w:p w14:paraId="4E609A3A"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0.140</w:t>
            </w:r>
          </w:p>
        </w:tc>
        <w:tc>
          <w:tcPr>
            <w:tcW w:w="0" w:type="auto"/>
            <w:tcBorders>
              <w:top w:val="nil"/>
              <w:left w:val="nil"/>
              <w:bottom w:val="nil"/>
              <w:right w:val="nil"/>
            </w:tcBorders>
            <w:shd w:val="clear" w:color="auto" w:fill="auto"/>
            <w:noWrap/>
            <w:vAlign w:val="center"/>
            <w:hideMark/>
          </w:tcPr>
          <w:p w14:paraId="6B09763D"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0.081</w:t>
            </w:r>
          </w:p>
        </w:tc>
        <w:tc>
          <w:tcPr>
            <w:tcW w:w="0" w:type="auto"/>
            <w:tcBorders>
              <w:top w:val="nil"/>
              <w:left w:val="nil"/>
              <w:bottom w:val="nil"/>
              <w:right w:val="nil"/>
            </w:tcBorders>
            <w:shd w:val="clear" w:color="auto" w:fill="auto"/>
            <w:noWrap/>
            <w:vAlign w:val="center"/>
            <w:hideMark/>
          </w:tcPr>
          <w:p w14:paraId="6509F3D3"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[–0.020, 0.299]</w:t>
            </w:r>
          </w:p>
        </w:tc>
      </w:tr>
      <w:tr w:rsidR="00091EC0" w:rsidRPr="005557B0" w14:paraId="04B67846" w14:textId="77777777" w:rsidTr="00D14C1C">
        <w:trPr>
          <w:trHeight w:val="225"/>
        </w:trPr>
        <w:tc>
          <w:tcPr>
            <w:tcW w:w="0" w:type="auto"/>
            <w:tcBorders>
              <w:top w:val="nil"/>
              <w:left w:val="nil"/>
              <w:bottom w:val="nil"/>
              <w:right w:val="nil"/>
            </w:tcBorders>
            <w:shd w:val="clear" w:color="auto" w:fill="auto"/>
            <w:noWrap/>
            <w:vAlign w:val="bottom"/>
            <w:hideMark/>
          </w:tcPr>
          <w:p w14:paraId="1178B1FB" w14:textId="77777777" w:rsidR="00091EC0" w:rsidRPr="005557B0" w:rsidRDefault="00091EC0" w:rsidP="005557B0">
            <w:pPr>
              <w:spacing w:line="240" w:lineRule="auto"/>
              <w:ind w:firstLineChars="200" w:firstLine="400"/>
              <w:rPr>
                <w:rFonts w:eastAsia="Times New Roman" w:cs="Times New Roman"/>
                <w:color w:val="000000"/>
                <w:sz w:val="20"/>
                <w:szCs w:val="20"/>
                <w:lang w:val="nl-NL" w:eastAsia="zh-CN"/>
              </w:rPr>
            </w:pPr>
            <w:proofErr w:type="spellStart"/>
            <w:r w:rsidRPr="005557B0">
              <w:rPr>
                <w:rFonts w:eastAsia="Times New Roman" w:cs="Times New Roman"/>
                <w:color w:val="000000"/>
                <w:sz w:val="20"/>
                <w:szCs w:val="20"/>
                <w:lang w:val="nl-NL" w:eastAsia="zh-CN"/>
              </w:rPr>
              <w:t>Experimental</w:t>
            </w:r>
            <w:proofErr w:type="spellEnd"/>
            <w:r w:rsidRPr="005557B0">
              <w:rPr>
                <w:rFonts w:eastAsia="Times New Roman" w:cs="Times New Roman"/>
                <w:color w:val="000000"/>
                <w:sz w:val="20"/>
                <w:szCs w:val="20"/>
                <w:lang w:val="nl-NL" w:eastAsia="zh-CN"/>
              </w:rPr>
              <w:t xml:space="preserve"> setting-</w:t>
            </w:r>
            <w:proofErr w:type="spellStart"/>
            <w:r w:rsidRPr="005557B0">
              <w:rPr>
                <w:rFonts w:eastAsia="Times New Roman" w:cs="Times New Roman"/>
                <w:color w:val="000000"/>
                <w:sz w:val="20"/>
                <w:szCs w:val="20"/>
                <w:lang w:val="nl-NL" w:eastAsia="zh-CN"/>
              </w:rPr>
              <w:t>other</w:t>
            </w:r>
            <w:proofErr w:type="spellEnd"/>
          </w:p>
        </w:tc>
        <w:tc>
          <w:tcPr>
            <w:tcW w:w="0" w:type="auto"/>
            <w:tcBorders>
              <w:top w:val="nil"/>
              <w:left w:val="nil"/>
              <w:bottom w:val="nil"/>
              <w:right w:val="nil"/>
            </w:tcBorders>
            <w:shd w:val="clear" w:color="auto" w:fill="auto"/>
            <w:noWrap/>
            <w:vAlign w:val="center"/>
            <w:hideMark/>
          </w:tcPr>
          <w:p w14:paraId="5E5091F8"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0.133</w:t>
            </w:r>
          </w:p>
        </w:tc>
        <w:tc>
          <w:tcPr>
            <w:tcW w:w="0" w:type="auto"/>
            <w:tcBorders>
              <w:top w:val="nil"/>
              <w:left w:val="nil"/>
              <w:bottom w:val="nil"/>
              <w:right w:val="nil"/>
            </w:tcBorders>
            <w:shd w:val="clear" w:color="auto" w:fill="auto"/>
            <w:noWrap/>
            <w:vAlign w:val="center"/>
            <w:hideMark/>
          </w:tcPr>
          <w:p w14:paraId="53FCC23E"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0.073</w:t>
            </w:r>
          </w:p>
        </w:tc>
        <w:tc>
          <w:tcPr>
            <w:tcW w:w="0" w:type="auto"/>
            <w:tcBorders>
              <w:top w:val="nil"/>
              <w:left w:val="nil"/>
              <w:bottom w:val="nil"/>
              <w:right w:val="nil"/>
            </w:tcBorders>
            <w:shd w:val="clear" w:color="auto" w:fill="auto"/>
            <w:noWrap/>
            <w:vAlign w:val="center"/>
            <w:hideMark/>
          </w:tcPr>
          <w:p w14:paraId="22B494A0"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[–0.010, 0.277]</w:t>
            </w:r>
          </w:p>
        </w:tc>
      </w:tr>
      <w:tr w:rsidR="00091EC0" w:rsidRPr="005557B0" w14:paraId="31E97B40" w14:textId="77777777" w:rsidTr="00D14C1C">
        <w:trPr>
          <w:trHeight w:val="225"/>
        </w:trPr>
        <w:tc>
          <w:tcPr>
            <w:tcW w:w="0" w:type="auto"/>
            <w:tcBorders>
              <w:top w:val="nil"/>
              <w:left w:val="nil"/>
              <w:bottom w:val="nil"/>
              <w:right w:val="nil"/>
            </w:tcBorders>
            <w:shd w:val="clear" w:color="auto" w:fill="auto"/>
            <w:noWrap/>
            <w:vAlign w:val="bottom"/>
            <w:hideMark/>
          </w:tcPr>
          <w:p w14:paraId="6730C71B" w14:textId="117F0E4F" w:rsidR="00091EC0" w:rsidRPr="005557B0" w:rsidRDefault="008E740D" w:rsidP="005557B0">
            <w:pPr>
              <w:spacing w:line="240" w:lineRule="auto"/>
              <w:ind w:firstLineChars="200" w:firstLine="400"/>
              <w:rPr>
                <w:rFonts w:eastAsia="Times New Roman" w:cs="Times New Roman"/>
                <w:color w:val="000000"/>
                <w:sz w:val="20"/>
                <w:szCs w:val="20"/>
                <w:lang w:val="nl-NL" w:eastAsia="zh-CN"/>
              </w:rPr>
            </w:pPr>
            <w:proofErr w:type="spellStart"/>
            <w:r w:rsidRPr="005557B0">
              <w:rPr>
                <w:rFonts w:eastAsia="Times New Roman" w:cs="Times New Roman"/>
                <w:color w:val="000000"/>
                <w:sz w:val="20"/>
                <w:szCs w:val="20"/>
                <w:lang w:val="nl-NL" w:eastAsia="zh-CN"/>
              </w:rPr>
              <w:t>Publication</w:t>
            </w:r>
            <w:proofErr w:type="spellEnd"/>
            <w:r w:rsidRPr="005557B0">
              <w:rPr>
                <w:rFonts w:eastAsia="Times New Roman" w:cs="Times New Roman"/>
                <w:color w:val="000000"/>
                <w:sz w:val="20"/>
                <w:szCs w:val="20"/>
                <w:lang w:val="nl-NL" w:eastAsia="zh-CN"/>
              </w:rPr>
              <w:t xml:space="preserve"> status</w:t>
            </w:r>
            <w:r w:rsidR="00091EC0" w:rsidRPr="005557B0">
              <w:rPr>
                <w:rFonts w:eastAsia="Times New Roman" w:cs="Times New Roman"/>
                <w:color w:val="000000"/>
                <w:sz w:val="20"/>
                <w:szCs w:val="20"/>
                <w:lang w:val="nl-NL" w:eastAsia="zh-CN"/>
              </w:rPr>
              <w:t>-yes</w:t>
            </w:r>
          </w:p>
        </w:tc>
        <w:tc>
          <w:tcPr>
            <w:tcW w:w="0" w:type="auto"/>
            <w:tcBorders>
              <w:top w:val="nil"/>
              <w:left w:val="nil"/>
              <w:bottom w:val="nil"/>
              <w:right w:val="nil"/>
            </w:tcBorders>
            <w:shd w:val="clear" w:color="auto" w:fill="auto"/>
            <w:noWrap/>
            <w:vAlign w:val="center"/>
            <w:hideMark/>
          </w:tcPr>
          <w:p w14:paraId="5553410E"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–0.047</w:t>
            </w:r>
          </w:p>
        </w:tc>
        <w:tc>
          <w:tcPr>
            <w:tcW w:w="0" w:type="auto"/>
            <w:tcBorders>
              <w:top w:val="nil"/>
              <w:left w:val="nil"/>
              <w:bottom w:val="nil"/>
              <w:right w:val="nil"/>
            </w:tcBorders>
            <w:shd w:val="clear" w:color="auto" w:fill="auto"/>
            <w:noWrap/>
            <w:vAlign w:val="center"/>
            <w:hideMark/>
          </w:tcPr>
          <w:p w14:paraId="75F3A5A7"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0.069</w:t>
            </w:r>
          </w:p>
        </w:tc>
        <w:tc>
          <w:tcPr>
            <w:tcW w:w="0" w:type="auto"/>
            <w:tcBorders>
              <w:top w:val="nil"/>
              <w:left w:val="nil"/>
              <w:bottom w:val="nil"/>
              <w:right w:val="nil"/>
            </w:tcBorders>
            <w:shd w:val="clear" w:color="auto" w:fill="auto"/>
            <w:noWrap/>
            <w:vAlign w:val="center"/>
            <w:hideMark/>
          </w:tcPr>
          <w:p w14:paraId="1F26E344"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[–0.182, 0.088]</w:t>
            </w:r>
          </w:p>
        </w:tc>
      </w:tr>
      <w:tr w:rsidR="00091EC0" w:rsidRPr="005557B0" w14:paraId="239702A0" w14:textId="77777777" w:rsidTr="00D14C1C">
        <w:trPr>
          <w:trHeight w:val="225"/>
        </w:trPr>
        <w:tc>
          <w:tcPr>
            <w:tcW w:w="0" w:type="auto"/>
            <w:tcBorders>
              <w:top w:val="nil"/>
              <w:left w:val="nil"/>
              <w:bottom w:val="nil"/>
              <w:right w:val="nil"/>
            </w:tcBorders>
            <w:shd w:val="clear" w:color="auto" w:fill="auto"/>
            <w:noWrap/>
            <w:vAlign w:val="bottom"/>
            <w:hideMark/>
          </w:tcPr>
          <w:p w14:paraId="652A0E08" w14:textId="77777777" w:rsidR="00091EC0" w:rsidRPr="005557B0" w:rsidRDefault="00091EC0" w:rsidP="005557B0">
            <w:pPr>
              <w:spacing w:line="240" w:lineRule="auto"/>
              <w:ind w:firstLineChars="200" w:firstLine="400"/>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Trial of cooperation-first</w:t>
            </w:r>
          </w:p>
        </w:tc>
        <w:tc>
          <w:tcPr>
            <w:tcW w:w="0" w:type="auto"/>
            <w:tcBorders>
              <w:top w:val="nil"/>
              <w:left w:val="nil"/>
              <w:bottom w:val="nil"/>
              <w:right w:val="nil"/>
            </w:tcBorders>
            <w:shd w:val="clear" w:color="auto" w:fill="auto"/>
            <w:noWrap/>
            <w:vAlign w:val="center"/>
            <w:hideMark/>
          </w:tcPr>
          <w:p w14:paraId="19692333"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0.054</w:t>
            </w:r>
          </w:p>
        </w:tc>
        <w:tc>
          <w:tcPr>
            <w:tcW w:w="0" w:type="auto"/>
            <w:tcBorders>
              <w:top w:val="nil"/>
              <w:left w:val="nil"/>
              <w:bottom w:val="nil"/>
              <w:right w:val="nil"/>
            </w:tcBorders>
            <w:shd w:val="clear" w:color="auto" w:fill="auto"/>
            <w:noWrap/>
            <w:vAlign w:val="center"/>
            <w:hideMark/>
          </w:tcPr>
          <w:p w14:paraId="71780A48"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0.110</w:t>
            </w:r>
          </w:p>
        </w:tc>
        <w:tc>
          <w:tcPr>
            <w:tcW w:w="0" w:type="auto"/>
            <w:tcBorders>
              <w:top w:val="nil"/>
              <w:left w:val="nil"/>
              <w:bottom w:val="nil"/>
              <w:right w:val="nil"/>
            </w:tcBorders>
            <w:shd w:val="clear" w:color="auto" w:fill="auto"/>
            <w:noWrap/>
            <w:vAlign w:val="center"/>
            <w:hideMark/>
          </w:tcPr>
          <w:p w14:paraId="252F532F"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[–0.161, 0.270]</w:t>
            </w:r>
          </w:p>
        </w:tc>
      </w:tr>
      <w:tr w:rsidR="00091EC0" w:rsidRPr="005557B0" w14:paraId="1CBBD622" w14:textId="77777777" w:rsidTr="00D14C1C">
        <w:trPr>
          <w:trHeight w:val="225"/>
        </w:trPr>
        <w:tc>
          <w:tcPr>
            <w:tcW w:w="0" w:type="auto"/>
            <w:tcBorders>
              <w:top w:val="nil"/>
              <w:left w:val="nil"/>
              <w:bottom w:val="nil"/>
              <w:right w:val="nil"/>
            </w:tcBorders>
            <w:shd w:val="clear" w:color="auto" w:fill="auto"/>
            <w:noWrap/>
            <w:vAlign w:val="bottom"/>
            <w:hideMark/>
          </w:tcPr>
          <w:p w14:paraId="734C71B7" w14:textId="77777777" w:rsidR="00091EC0" w:rsidRPr="005557B0" w:rsidRDefault="00091EC0" w:rsidP="005557B0">
            <w:pPr>
              <w:spacing w:line="240" w:lineRule="auto"/>
              <w:ind w:firstLineChars="200" w:firstLine="400"/>
              <w:rPr>
                <w:rFonts w:eastAsia="Times New Roman" w:cs="Times New Roman"/>
                <w:color w:val="000000"/>
                <w:sz w:val="20"/>
                <w:szCs w:val="20"/>
                <w:lang w:val="nl-NL" w:eastAsia="zh-CN"/>
              </w:rPr>
            </w:pPr>
            <w:proofErr w:type="spellStart"/>
            <w:r w:rsidRPr="005557B0">
              <w:rPr>
                <w:rFonts w:eastAsia="Times New Roman" w:cs="Times New Roman"/>
                <w:color w:val="000000"/>
                <w:sz w:val="20"/>
                <w:szCs w:val="20"/>
                <w:lang w:val="nl-NL" w:eastAsia="zh-CN"/>
              </w:rPr>
              <w:t>Year</w:t>
            </w:r>
            <w:proofErr w:type="spellEnd"/>
            <w:r w:rsidRPr="005557B0">
              <w:rPr>
                <w:rFonts w:eastAsia="Times New Roman" w:cs="Times New Roman"/>
                <w:color w:val="000000"/>
                <w:sz w:val="20"/>
                <w:szCs w:val="20"/>
                <w:lang w:val="nl-NL" w:eastAsia="zh-CN"/>
              </w:rPr>
              <w:t xml:space="preserve"> of data </w:t>
            </w:r>
            <w:proofErr w:type="spellStart"/>
            <w:r w:rsidRPr="005557B0">
              <w:rPr>
                <w:rFonts w:eastAsia="Times New Roman" w:cs="Times New Roman"/>
                <w:color w:val="000000"/>
                <w:sz w:val="20"/>
                <w:szCs w:val="20"/>
                <w:lang w:val="nl-NL" w:eastAsia="zh-CN"/>
              </w:rPr>
              <w:t>collection</w:t>
            </w:r>
            <w:proofErr w:type="spellEnd"/>
          </w:p>
        </w:tc>
        <w:tc>
          <w:tcPr>
            <w:tcW w:w="0" w:type="auto"/>
            <w:tcBorders>
              <w:top w:val="nil"/>
              <w:left w:val="nil"/>
              <w:bottom w:val="nil"/>
              <w:right w:val="nil"/>
            </w:tcBorders>
            <w:shd w:val="clear" w:color="auto" w:fill="auto"/>
            <w:noWrap/>
            <w:vAlign w:val="center"/>
            <w:hideMark/>
          </w:tcPr>
          <w:p w14:paraId="56B35F28"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0.005*</w:t>
            </w:r>
          </w:p>
        </w:tc>
        <w:tc>
          <w:tcPr>
            <w:tcW w:w="0" w:type="auto"/>
            <w:tcBorders>
              <w:top w:val="nil"/>
              <w:left w:val="nil"/>
              <w:bottom w:val="nil"/>
              <w:right w:val="nil"/>
            </w:tcBorders>
            <w:shd w:val="clear" w:color="auto" w:fill="auto"/>
            <w:noWrap/>
            <w:vAlign w:val="center"/>
            <w:hideMark/>
          </w:tcPr>
          <w:p w14:paraId="3A566E1A"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0.002</w:t>
            </w:r>
          </w:p>
        </w:tc>
        <w:tc>
          <w:tcPr>
            <w:tcW w:w="0" w:type="auto"/>
            <w:tcBorders>
              <w:top w:val="nil"/>
              <w:left w:val="nil"/>
              <w:bottom w:val="nil"/>
              <w:right w:val="nil"/>
            </w:tcBorders>
            <w:shd w:val="clear" w:color="auto" w:fill="auto"/>
            <w:noWrap/>
            <w:vAlign w:val="center"/>
            <w:hideMark/>
          </w:tcPr>
          <w:p w14:paraId="20CABCDB"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[0.002, 0.008]</w:t>
            </w:r>
          </w:p>
        </w:tc>
      </w:tr>
      <w:tr w:rsidR="00091EC0" w:rsidRPr="005557B0" w14:paraId="6B5025BC" w14:textId="77777777" w:rsidTr="00D14C1C">
        <w:trPr>
          <w:trHeight w:val="225"/>
        </w:trPr>
        <w:tc>
          <w:tcPr>
            <w:tcW w:w="0" w:type="auto"/>
            <w:tcBorders>
              <w:top w:val="nil"/>
              <w:left w:val="nil"/>
              <w:bottom w:val="nil"/>
              <w:right w:val="nil"/>
            </w:tcBorders>
            <w:shd w:val="clear" w:color="auto" w:fill="auto"/>
            <w:noWrap/>
            <w:vAlign w:val="bottom"/>
            <w:hideMark/>
          </w:tcPr>
          <w:p w14:paraId="6D128F25" w14:textId="77777777" w:rsidR="00091EC0" w:rsidRPr="005557B0" w:rsidRDefault="00091EC0" w:rsidP="005557B0">
            <w:pPr>
              <w:spacing w:line="240" w:lineRule="auto"/>
              <w:rPr>
                <w:rFonts w:eastAsia="Times New Roman" w:cs="Times New Roman"/>
                <w:i/>
                <w:iCs/>
                <w:color w:val="000000"/>
                <w:sz w:val="20"/>
                <w:szCs w:val="20"/>
                <w:lang w:val="nl-NL" w:eastAsia="zh-CN"/>
              </w:rPr>
            </w:pPr>
            <w:r w:rsidRPr="005557B0">
              <w:rPr>
                <w:rFonts w:eastAsia="Times New Roman" w:cs="Times New Roman"/>
                <w:i/>
                <w:iCs/>
                <w:color w:val="000000"/>
                <w:sz w:val="20"/>
                <w:szCs w:val="20"/>
                <w:lang w:val="nl-NL" w:eastAsia="zh-CN"/>
              </w:rPr>
              <w:t>Sample variables</w:t>
            </w:r>
          </w:p>
        </w:tc>
        <w:tc>
          <w:tcPr>
            <w:tcW w:w="0" w:type="auto"/>
            <w:tcBorders>
              <w:top w:val="nil"/>
              <w:left w:val="nil"/>
              <w:bottom w:val="nil"/>
              <w:right w:val="nil"/>
            </w:tcBorders>
            <w:shd w:val="clear" w:color="auto" w:fill="auto"/>
            <w:noWrap/>
            <w:vAlign w:val="center"/>
            <w:hideMark/>
          </w:tcPr>
          <w:p w14:paraId="7C0A7281" w14:textId="77777777" w:rsidR="00091EC0" w:rsidRPr="005557B0" w:rsidRDefault="00091EC0" w:rsidP="005557B0">
            <w:pPr>
              <w:spacing w:line="240" w:lineRule="auto"/>
              <w:rPr>
                <w:rFonts w:eastAsia="Times New Roman" w:cs="Times New Roman"/>
                <w:i/>
                <w:iCs/>
                <w:color w:val="000000"/>
                <w:sz w:val="20"/>
                <w:szCs w:val="20"/>
                <w:lang w:val="nl-NL" w:eastAsia="zh-CN"/>
              </w:rPr>
            </w:pPr>
          </w:p>
        </w:tc>
        <w:tc>
          <w:tcPr>
            <w:tcW w:w="0" w:type="auto"/>
            <w:tcBorders>
              <w:top w:val="nil"/>
              <w:left w:val="nil"/>
              <w:bottom w:val="nil"/>
              <w:right w:val="nil"/>
            </w:tcBorders>
            <w:shd w:val="clear" w:color="auto" w:fill="auto"/>
            <w:noWrap/>
            <w:vAlign w:val="center"/>
            <w:hideMark/>
          </w:tcPr>
          <w:p w14:paraId="37D7A6A4" w14:textId="77777777" w:rsidR="00091EC0" w:rsidRPr="005557B0" w:rsidRDefault="00091EC0" w:rsidP="005557B0">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6720AB15" w14:textId="77777777" w:rsidR="00091EC0" w:rsidRPr="005557B0" w:rsidRDefault="00091EC0" w:rsidP="005557B0">
            <w:pPr>
              <w:spacing w:line="240" w:lineRule="auto"/>
              <w:jc w:val="center"/>
              <w:rPr>
                <w:rFonts w:eastAsia="Times New Roman" w:cs="Times New Roman"/>
                <w:sz w:val="20"/>
                <w:szCs w:val="20"/>
                <w:lang w:val="nl-NL" w:eastAsia="zh-CN"/>
              </w:rPr>
            </w:pPr>
          </w:p>
        </w:tc>
      </w:tr>
      <w:tr w:rsidR="00091EC0" w:rsidRPr="005557B0" w14:paraId="1ACA5E1F" w14:textId="77777777" w:rsidTr="00D14C1C">
        <w:trPr>
          <w:trHeight w:val="225"/>
        </w:trPr>
        <w:tc>
          <w:tcPr>
            <w:tcW w:w="0" w:type="auto"/>
            <w:tcBorders>
              <w:top w:val="nil"/>
              <w:left w:val="nil"/>
              <w:bottom w:val="nil"/>
              <w:right w:val="nil"/>
            </w:tcBorders>
            <w:shd w:val="clear" w:color="auto" w:fill="auto"/>
            <w:noWrap/>
            <w:vAlign w:val="bottom"/>
            <w:hideMark/>
          </w:tcPr>
          <w:p w14:paraId="7CC486B8" w14:textId="77777777" w:rsidR="00091EC0" w:rsidRPr="005557B0" w:rsidRDefault="00091EC0" w:rsidP="005557B0">
            <w:pPr>
              <w:spacing w:line="240" w:lineRule="auto"/>
              <w:ind w:firstLineChars="200" w:firstLine="400"/>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Age (</w:t>
            </w:r>
            <w:proofErr w:type="spellStart"/>
            <w:r w:rsidRPr="005557B0">
              <w:rPr>
                <w:rFonts w:eastAsia="Times New Roman" w:cs="Times New Roman"/>
                <w:color w:val="000000"/>
                <w:sz w:val="20"/>
                <w:szCs w:val="20"/>
                <w:lang w:val="nl-NL" w:eastAsia="zh-CN"/>
              </w:rPr>
              <w:t>Mean</w:t>
            </w:r>
            <w:proofErr w:type="spellEnd"/>
            <w:r w:rsidRPr="005557B0">
              <w:rPr>
                <w:rFonts w:eastAsia="Times New Roman" w:cs="Times New Roman"/>
                <w:color w:val="000000"/>
                <w:sz w:val="20"/>
                <w:szCs w:val="20"/>
                <w:lang w:val="nl-NL" w:eastAsia="zh-CN"/>
              </w:rPr>
              <w:t>)</w:t>
            </w:r>
          </w:p>
        </w:tc>
        <w:tc>
          <w:tcPr>
            <w:tcW w:w="0" w:type="auto"/>
            <w:tcBorders>
              <w:top w:val="nil"/>
              <w:left w:val="nil"/>
              <w:bottom w:val="nil"/>
              <w:right w:val="nil"/>
            </w:tcBorders>
            <w:shd w:val="clear" w:color="auto" w:fill="auto"/>
            <w:noWrap/>
            <w:vAlign w:val="center"/>
            <w:hideMark/>
          </w:tcPr>
          <w:p w14:paraId="1A713091"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–0.005</w:t>
            </w:r>
          </w:p>
        </w:tc>
        <w:tc>
          <w:tcPr>
            <w:tcW w:w="0" w:type="auto"/>
            <w:tcBorders>
              <w:top w:val="nil"/>
              <w:left w:val="nil"/>
              <w:bottom w:val="nil"/>
              <w:right w:val="nil"/>
            </w:tcBorders>
            <w:shd w:val="clear" w:color="auto" w:fill="auto"/>
            <w:noWrap/>
            <w:vAlign w:val="center"/>
            <w:hideMark/>
          </w:tcPr>
          <w:p w14:paraId="0360D790"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0.003</w:t>
            </w:r>
          </w:p>
        </w:tc>
        <w:tc>
          <w:tcPr>
            <w:tcW w:w="0" w:type="auto"/>
            <w:tcBorders>
              <w:top w:val="nil"/>
              <w:left w:val="nil"/>
              <w:bottom w:val="nil"/>
              <w:right w:val="nil"/>
            </w:tcBorders>
            <w:shd w:val="clear" w:color="auto" w:fill="auto"/>
            <w:noWrap/>
            <w:vAlign w:val="center"/>
            <w:hideMark/>
          </w:tcPr>
          <w:p w14:paraId="353A5B39"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[–0.011, 0.002]</w:t>
            </w:r>
          </w:p>
        </w:tc>
      </w:tr>
      <w:tr w:rsidR="00091EC0" w:rsidRPr="005557B0" w14:paraId="0A8CFE60" w14:textId="77777777" w:rsidTr="00D14C1C">
        <w:trPr>
          <w:trHeight w:val="225"/>
        </w:trPr>
        <w:tc>
          <w:tcPr>
            <w:tcW w:w="0" w:type="auto"/>
            <w:tcBorders>
              <w:top w:val="nil"/>
              <w:left w:val="nil"/>
              <w:bottom w:val="nil"/>
              <w:right w:val="nil"/>
            </w:tcBorders>
            <w:shd w:val="clear" w:color="auto" w:fill="auto"/>
            <w:noWrap/>
            <w:vAlign w:val="bottom"/>
            <w:hideMark/>
          </w:tcPr>
          <w:p w14:paraId="60897884" w14:textId="77777777" w:rsidR="00091EC0" w:rsidRPr="005557B0" w:rsidRDefault="00091EC0" w:rsidP="005557B0">
            <w:pPr>
              <w:spacing w:line="240" w:lineRule="auto"/>
              <w:ind w:firstLineChars="200" w:firstLine="400"/>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Discipline-</w:t>
            </w:r>
            <w:proofErr w:type="spellStart"/>
            <w:r w:rsidRPr="005557B0">
              <w:rPr>
                <w:rFonts w:eastAsia="Times New Roman" w:cs="Times New Roman"/>
                <w:color w:val="000000"/>
                <w:sz w:val="20"/>
                <w:szCs w:val="20"/>
                <w:lang w:val="nl-NL" w:eastAsia="zh-CN"/>
              </w:rPr>
              <w:t>psychology</w:t>
            </w:r>
            <w:proofErr w:type="spellEnd"/>
          </w:p>
        </w:tc>
        <w:tc>
          <w:tcPr>
            <w:tcW w:w="0" w:type="auto"/>
            <w:tcBorders>
              <w:top w:val="nil"/>
              <w:left w:val="nil"/>
              <w:bottom w:val="nil"/>
              <w:right w:val="nil"/>
            </w:tcBorders>
            <w:shd w:val="clear" w:color="auto" w:fill="auto"/>
            <w:noWrap/>
            <w:vAlign w:val="center"/>
            <w:hideMark/>
          </w:tcPr>
          <w:p w14:paraId="14E15512"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0.089</w:t>
            </w:r>
          </w:p>
        </w:tc>
        <w:tc>
          <w:tcPr>
            <w:tcW w:w="0" w:type="auto"/>
            <w:tcBorders>
              <w:top w:val="nil"/>
              <w:left w:val="nil"/>
              <w:bottom w:val="nil"/>
              <w:right w:val="nil"/>
            </w:tcBorders>
            <w:shd w:val="clear" w:color="auto" w:fill="auto"/>
            <w:noWrap/>
            <w:vAlign w:val="center"/>
            <w:hideMark/>
          </w:tcPr>
          <w:p w14:paraId="23894358"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0.069</w:t>
            </w:r>
          </w:p>
        </w:tc>
        <w:tc>
          <w:tcPr>
            <w:tcW w:w="0" w:type="auto"/>
            <w:tcBorders>
              <w:top w:val="nil"/>
              <w:left w:val="nil"/>
              <w:bottom w:val="nil"/>
              <w:right w:val="nil"/>
            </w:tcBorders>
            <w:shd w:val="clear" w:color="auto" w:fill="auto"/>
            <w:noWrap/>
            <w:vAlign w:val="center"/>
            <w:hideMark/>
          </w:tcPr>
          <w:p w14:paraId="63E95C76"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[–0.046, 0.224]</w:t>
            </w:r>
          </w:p>
        </w:tc>
      </w:tr>
      <w:tr w:rsidR="00091EC0" w:rsidRPr="005557B0" w14:paraId="691D2380" w14:textId="77777777" w:rsidTr="00D14C1C">
        <w:trPr>
          <w:trHeight w:val="225"/>
        </w:trPr>
        <w:tc>
          <w:tcPr>
            <w:tcW w:w="0" w:type="auto"/>
            <w:tcBorders>
              <w:top w:val="nil"/>
              <w:left w:val="nil"/>
              <w:bottom w:val="nil"/>
              <w:right w:val="nil"/>
            </w:tcBorders>
            <w:shd w:val="clear" w:color="auto" w:fill="auto"/>
            <w:noWrap/>
            <w:vAlign w:val="bottom"/>
            <w:hideMark/>
          </w:tcPr>
          <w:p w14:paraId="5E0764BE" w14:textId="77777777" w:rsidR="00091EC0" w:rsidRPr="005557B0" w:rsidRDefault="00091EC0" w:rsidP="005557B0">
            <w:pPr>
              <w:spacing w:line="240" w:lineRule="auto"/>
              <w:ind w:firstLineChars="200" w:firstLine="400"/>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Discipline-</w:t>
            </w:r>
            <w:proofErr w:type="spellStart"/>
            <w:r w:rsidRPr="005557B0">
              <w:rPr>
                <w:rFonts w:eastAsia="Times New Roman" w:cs="Times New Roman"/>
                <w:color w:val="000000"/>
                <w:sz w:val="20"/>
                <w:szCs w:val="20"/>
                <w:lang w:val="nl-NL" w:eastAsia="zh-CN"/>
              </w:rPr>
              <w:t>other</w:t>
            </w:r>
            <w:proofErr w:type="spellEnd"/>
          </w:p>
        </w:tc>
        <w:tc>
          <w:tcPr>
            <w:tcW w:w="0" w:type="auto"/>
            <w:tcBorders>
              <w:top w:val="nil"/>
              <w:left w:val="nil"/>
              <w:bottom w:val="nil"/>
              <w:right w:val="nil"/>
            </w:tcBorders>
            <w:shd w:val="clear" w:color="auto" w:fill="auto"/>
            <w:noWrap/>
            <w:vAlign w:val="center"/>
            <w:hideMark/>
          </w:tcPr>
          <w:p w14:paraId="5CB0ABE2"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0.019</w:t>
            </w:r>
          </w:p>
        </w:tc>
        <w:tc>
          <w:tcPr>
            <w:tcW w:w="0" w:type="auto"/>
            <w:tcBorders>
              <w:top w:val="nil"/>
              <w:left w:val="nil"/>
              <w:bottom w:val="nil"/>
              <w:right w:val="nil"/>
            </w:tcBorders>
            <w:shd w:val="clear" w:color="auto" w:fill="auto"/>
            <w:noWrap/>
            <w:vAlign w:val="center"/>
            <w:hideMark/>
          </w:tcPr>
          <w:p w14:paraId="00BED54C"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0.059</w:t>
            </w:r>
          </w:p>
        </w:tc>
        <w:tc>
          <w:tcPr>
            <w:tcW w:w="0" w:type="auto"/>
            <w:tcBorders>
              <w:top w:val="nil"/>
              <w:left w:val="nil"/>
              <w:bottom w:val="nil"/>
              <w:right w:val="nil"/>
            </w:tcBorders>
            <w:shd w:val="clear" w:color="auto" w:fill="auto"/>
            <w:noWrap/>
            <w:vAlign w:val="center"/>
            <w:hideMark/>
          </w:tcPr>
          <w:p w14:paraId="34097012"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[–0.097, 0.136]</w:t>
            </w:r>
          </w:p>
        </w:tc>
      </w:tr>
      <w:tr w:rsidR="00091EC0" w:rsidRPr="005557B0" w14:paraId="23DE4CE9" w14:textId="77777777" w:rsidTr="00D14C1C">
        <w:trPr>
          <w:trHeight w:val="225"/>
        </w:trPr>
        <w:tc>
          <w:tcPr>
            <w:tcW w:w="0" w:type="auto"/>
            <w:tcBorders>
              <w:top w:val="nil"/>
              <w:left w:val="nil"/>
              <w:bottom w:val="nil"/>
              <w:right w:val="nil"/>
            </w:tcBorders>
            <w:shd w:val="clear" w:color="auto" w:fill="auto"/>
            <w:noWrap/>
            <w:vAlign w:val="bottom"/>
            <w:hideMark/>
          </w:tcPr>
          <w:p w14:paraId="1DE7DD5A" w14:textId="77777777" w:rsidR="00091EC0" w:rsidRPr="005557B0" w:rsidRDefault="00091EC0" w:rsidP="005557B0">
            <w:pPr>
              <w:spacing w:line="240" w:lineRule="auto"/>
              <w:ind w:firstLineChars="200" w:firstLine="400"/>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Discipline-non-student sample</w:t>
            </w:r>
          </w:p>
        </w:tc>
        <w:tc>
          <w:tcPr>
            <w:tcW w:w="0" w:type="auto"/>
            <w:tcBorders>
              <w:top w:val="nil"/>
              <w:left w:val="nil"/>
              <w:bottom w:val="nil"/>
              <w:right w:val="nil"/>
            </w:tcBorders>
            <w:shd w:val="clear" w:color="auto" w:fill="auto"/>
            <w:noWrap/>
            <w:vAlign w:val="center"/>
            <w:hideMark/>
          </w:tcPr>
          <w:p w14:paraId="63237A71"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0.077</w:t>
            </w:r>
          </w:p>
        </w:tc>
        <w:tc>
          <w:tcPr>
            <w:tcW w:w="0" w:type="auto"/>
            <w:tcBorders>
              <w:top w:val="nil"/>
              <w:left w:val="nil"/>
              <w:bottom w:val="nil"/>
              <w:right w:val="nil"/>
            </w:tcBorders>
            <w:shd w:val="clear" w:color="auto" w:fill="auto"/>
            <w:noWrap/>
            <w:vAlign w:val="center"/>
            <w:hideMark/>
          </w:tcPr>
          <w:p w14:paraId="631D3C75"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0.072</w:t>
            </w:r>
          </w:p>
        </w:tc>
        <w:tc>
          <w:tcPr>
            <w:tcW w:w="0" w:type="auto"/>
            <w:tcBorders>
              <w:top w:val="nil"/>
              <w:left w:val="nil"/>
              <w:bottom w:val="nil"/>
              <w:right w:val="nil"/>
            </w:tcBorders>
            <w:shd w:val="clear" w:color="auto" w:fill="auto"/>
            <w:noWrap/>
            <w:vAlign w:val="center"/>
            <w:hideMark/>
          </w:tcPr>
          <w:p w14:paraId="73A5348F"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[–0.064, 0.217]</w:t>
            </w:r>
          </w:p>
        </w:tc>
      </w:tr>
      <w:tr w:rsidR="00091EC0" w:rsidRPr="005557B0" w14:paraId="4EAF3307" w14:textId="77777777" w:rsidTr="00D14C1C">
        <w:trPr>
          <w:trHeight w:val="225"/>
        </w:trPr>
        <w:tc>
          <w:tcPr>
            <w:tcW w:w="0" w:type="auto"/>
            <w:tcBorders>
              <w:top w:val="nil"/>
              <w:left w:val="nil"/>
              <w:bottom w:val="nil"/>
              <w:right w:val="nil"/>
            </w:tcBorders>
            <w:shd w:val="clear" w:color="auto" w:fill="auto"/>
            <w:noWrap/>
            <w:vAlign w:val="center"/>
            <w:hideMark/>
          </w:tcPr>
          <w:p w14:paraId="22393CF8" w14:textId="77777777" w:rsidR="00091EC0" w:rsidRPr="005557B0" w:rsidRDefault="00091EC0" w:rsidP="005557B0">
            <w:pPr>
              <w:spacing w:line="240" w:lineRule="auto"/>
              <w:ind w:firstLineChars="200" w:firstLine="400"/>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Gender (Male %)</w:t>
            </w:r>
          </w:p>
        </w:tc>
        <w:tc>
          <w:tcPr>
            <w:tcW w:w="0" w:type="auto"/>
            <w:tcBorders>
              <w:top w:val="nil"/>
              <w:left w:val="nil"/>
              <w:bottom w:val="nil"/>
              <w:right w:val="nil"/>
            </w:tcBorders>
            <w:shd w:val="clear" w:color="auto" w:fill="auto"/>
            <w:noWrap/>
            <w:vAlign w:val="center"/>
            <w:hideMark/>
          </w:tcPr>
          <w:p w14:paraId="08E4C406"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–0.094</w:t>
            </w:r>
          </w:p>
        </w:tc>
        <w:tc>
          <w:tcPr>
            <w:tcW w:w="0" w:type="auto"/>
            <w:tcBorders>
              <w:top w:val="nil"/>
              <w:left w:val="nil"/>
              <w:bottom w:val="nil"/>
              <w:right w:val="nil"/>
            </w:tcBorders>
            <w:shd w:val="clear" w:color="auto" w:fill="auto"/>
            <w:noWrap/>
            <w:vAlign w:val="center"/>
            <w:hideMark/>
          </w:tcPr>
          <w:p w14:paraId="4B40CA0F"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0.065</w:t>
            </w:r>
          </w:p>
        </w:tc>
        <w:tc>
          <w:tcPr>
            <w:tcW w:w="0" w:type="auto"/>
            <w:tcBorders>
              <w:top w:val="nil"/>
              <w:left w:val="nil"/>
              <w:bottom w:val="nil"/>
              <w:right w:val="nil"/>
            </w:tcBorders>
            <w:shd w:val="clear" w:color="auto" w:fill="auto"/>
            <w:noWrap/>
            <w:vAlign w:val="center"/>
            <w:hideMark/>
          </w:tcPr>
          <w:p w14:paraId="0F947DEA"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[–0.222, 0.033]</w:t>
            </w:r>
          </w:p>
        </w:tc>
      </w:tr>
      <w:tr w:rsidR="00091EC0" w:rsidRPr="005557B0" w14:paraId="2EC777F4" w14:textId="77777777" w:rsidTr="00D14C1C">
        <w:trPr>
          <w:trHeight w:val="225"/>
        </w:trPr>
        <w:tc>
          <w:tcPr>
            <w:tcW w:w="0" w:type="auto"/>
            <w:tcBorders>
              <w:top w:val="nil"/>
              <w:left w:val="nil"/>
              <w:bottom w:val="nil"/>
              <w:right w:val="nil"/>
            </w:tcBorders>
            <w:shd w:val="clear" w:color="auto" w:fill="auto"/>
            <w:noWrap/>
            <w:vAlign w:val="center"/>
            <w:hideMark/>
          </w:tcPr>
          <w:p w14:paraId="32457626" w14:textId="77777777" w:rsidR="00091EC0" w:rsidRPr="005557B0" w:rsidRDefault="00091EC0" w:rsidP="005557B0">
            <w:pPr>
              <w:spacing w:line="240" w:lineRule="auto"/>
              <w:rPr>
                <w:rFonts w:eastAsia="Times New Roman" w:cs="Times New Roman"/>
                <w:i/>
                <w:iCs/>
                <w:color w:val="000000"/>
                <w:sz w:val="20"/>
                <w:szCs w:val="20"/>
                <w:lang w:val="nl-NL" w:eastAsia="zh-CN"/>
              </w:rPr>
            </w:pPr>
            <w:proofErr w:type="spellStart"/>
            <w:r w:rsidRPr="005557B0">
              <w:rPr>
                <w:rFonts w:eastAsia="Times New Roman" w:cs="Times New Roman"/>
                <w:i/>
                <w:iCs/>
                <w:color w:val="000000"/>
                <w:sz w:val="20"/>
                <w:szCs w:val="20"/>
                <w:lang w:val="nl-NL" w:eastAsia="zh-CN"/>
              </w:rPr>
              <w:t>Structural</w:t>
            </w:r>
            <w:proofErr w:type="spellEnd"/>
            <w:r w:rsidRPr="005557B0">
              <w:rPr>
                <w:rFonts w:eastAsia="Times New Roman" w:cs="Times New Roman"/>
                <w:i/>
                <w:iCs/>
                <w:color w:val="000000"/>
                <w:sz w:val="20"/>
                <w:szCs w:val="20"/>
                <w:lang w:val="nl-NL" w:eastAsia="zh-CN"/>
              </w:rPr>
              <w:t xml:space="preserve"> variables</w:t>
            </w:r>
          </w:p>
        </w:tc>
        <w:tc>
          <w:tcPr>
            <w:tcW w:w="0" w:type="auto"/>
            <w:tcBorders>
              <w:top w:val="nil"/>
              <w:left w:val="nil"/>
              <w:bottom w:val="nil"/>
              <w:right w:val="nil"/>
            </w:tcBorders>
            <w:shd w:val="clear" w:color="auto" w:fill="auto"/>
            <w:noWrap/>
            <w:vAlign w:val="center"/>
            <w:hideMark/>
          </w:tcPr>
          <w:p w14:paraId="2DD26B25" w14:textId="77777777" w:rsidR="00091EC0" w:rsidRPr="005557B0" w:rsidRDefault="00091EC0" w:rsidP="005557B0">
            <w:pPr>
              <w:spacing w:line="240" w:lineRule="auto"/>
              <w:rPr>
                <w:rFonts w:eastAsia="Times New Roman" w:cs="Times New Roman"/>
                <w:i/>
                <w:iCs/>
                <w:color w:val="000000"/>
                <w:sz w:val="20"/>
                <w:szCs w:val="20"/>
                <w:lang w:val="nl-NL" w:eastAsia="zh-CN"/>
              </w:rPr>
            </w:pPr>
          </w:p>
        </w:tc>
        <w:tc>
          <w:tcPr>
            <w:tcW w:w="0" w:type="auto"/>
            <w:tcBorders>
              <w:top w:val="nil"/>
              <w:left w:val="nil"/>
              <w:bottom w:val="nil"/>
              <w:right w:val="nil"/>
            </w:tcBorders>
            <w:shd w:val="clear" w:color="auto" w:fill="auto"/>
            <w:noWrap/>
            <w:vAlign w:val="center"/>
            <w:hideMark/>
          </w:tcPr>
          <w:p w14:paraId="7C652E06" w14:textId="77777777" w:rsidR="00091EC0" w:rsidRPr="005557B0" w:rsidRDefault="00091EC0" w:rsidP="005557B0">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50A3963D" w14:textId="77777777" w:rsidR="00091EC0" w:rsidRPr="005557B0" w:rsidRDefault="00091EC0" w:rsidP="005557B0">
            <w:pPr>
              <w:spacing w:line="240" w:lineRule="auto"/>
              <w:jc w:val="center"/>
              <w:rPr>
                <w:rFonts w:eastAsia="Times New Roman" w:cs="Times New Roman"/>
                <w:sz w:val="20"/>
                <w:szCs w:val="20"/>
                <w:lang w:val="nl-NL" w:eastAsia="zh-CN"/>
              </w:rPr>
            </w:pPr>
          </w:p>
        </w:tc>
      </w:tr>
      <w:tr w:rsidR="00091EC0" w:rsidRPr="005557B0" w14:paraId="2D87A40F" w14:textId="77777777" w:rsidTr="00D14C1C">
        <w:trPr>
          <w:trHeight w:val="225"/>
        </w:trPr>
        <w:tc>
          <w:tcPr>
            <w:tcW w:w="0" w:type="auto"/>
            <w:tcBorders>
              <w:top w:val="nil"/>
              <w:left w:val="nil"/>
              <w:bottom w:val="nil"/>
              <w:right w:val="nil"/>
            </w:tcBorders>
            <w:shd w:val="clear" w:color="auto" w:fill="auto"/>
            <w:noWrap/>
            <w:vAlign w:val="bottom"/>
            <w:hideMark/>
          </w:tcPr>
          <w:p w14:paraId="3551A4A8" w14:textId="77777777" w:rsidR="00091EC0" w:rsidRPr="005557B0" w:rsidRDefault="00091EC0" w:rsidP="005557B0">
            <w:pPr>
              <w:spacing w:line="240" w:lineRule="auto"/>
              <w:ind w:firstLineChars="200" w:firstLine="400"/>
              <w:rPr>
                <w:rFonts w:eastAsia="Times New Roman" w:cs="Times New Roman"/>
                <w:color w:val="000000"/>
                <w:sz w:val="20"/>
                <w:szCs w:val="20"/>
                <w:lang w:eastAsia="zh-CN"/>
              </w:rPr>
            </w:pPr>
            <w:r w:rsidRPr="005557B0">
              <w:rPr>
                <w:rFonts w:eastAsia="Times New Roman" w:cs="Times New Roman"/>
                <w:color w:val="000000"/>
                <w:sz w:val="20"/>
                <w:szCs w:val="20"/>
                <w:lang w:eastAsia="zh-CN"/>
              </w:rPr>
              <w:t>Conflict of interests (K index)</w:t>
            </w:r>
          </w:p>
        </w:tc>
        <w:tc>
          <w:tcPr>
            <w:tcW w:w="0" w:type="auto"/>
            <w:tcBorders>
              <w:top w:val="nil"/>
              <w:left w:val="nil"/>
              <w:bottom w:val="nil"/>
              <w:right w:val="nil"/>
            </w:tcBorders>
            <w:shd w:val="clear" w:color="auto" w:fill="auto"/>
            <w:noWrap/>
            <w:vAlign w:val="center"/>
            <w:hideMark/>
          </w:tcPr>
          <w:p w14:paraId="182692C8"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0.887*</w:t>
            </w:r>
          </w:p>
        </w:tc>
        <w:tc>
          <w:tcPr>
            <w:tcW w:w="0" w:type="auto"/>
            <w:tcBorders>
              <w:top w:val="nil"/>
              <w:left w:val="nil"/>
              <w:bottom w:val="nil"/>
              <w:right w:val="nil"/>
            </w:tcBorders>
            <w:shd w:val="clear" w:color="auto" w:fill="auto"/>
            <w:noWrap/>
            <w:vAlign w:val="center"/>
            <w:hideMark/>
          </w:tcPr>
          <w:p w14:paraId="1AD9BCA7"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0.091</w:t>
            </w:r>
          </w:p>
        </w:tc>
        <w:tc>
          <w:tcPr>
            <w:tcW w:w="0" w:type="auto"/>
            <w:tcBorders>
              <w:top w:val="nil"/>
              <w:left w:val="nil"/>
              <w:bottom w:val="nil"/>
              <w:right w:val="nil"/>
            </w:tcBorders>
            <w:shd w:val="clear" w:color="auto" w:fill="auto"/>
            <w:noWrap/>
            <w:vAlign w:val="center"/>
            <w:hideMark/>
          </w:tcPr>
          <w:p w14:paraId="2E271CC6"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[0.708, 1.065]</w:t>
            </w:r>
          </w:p>
        </w:tc>
      </w:tr>
      <w:tr w:rsidR="00091EC0" w:rsidRPr="005557B0" w14:paraId="42546081" w14:textId="77777777" w:rsidTr="00D14C1C">
        <w:trPr>
          <w:trHeight w:val="225"/>
        </w:trPr>
        <w:tc>
          <w:tcPr>
            <w:tcW w:w="0" w:type="auto"/>
            <w:tcBorders>
              <w:top w:val="nil"/>
              <w:left w:val="nil"/>
              <w:bottom w:val="nil"/>
              <w:right w:val="nil"/>
            </w:tcBorders>
            <w:shd w:val="clear" w:color="auto" w:fill="auto"/>
            <w:noWrap/>
            <w:vAlign w:val="bottom"/>
            <w:hideMark/>
          </w:tcPr>
          <w:p w14:paraId="47AD9BE8" w14:textId="77777777" w:rsidR="00091EC0" w:rsidRPr="005557B0" w:rsidRDefault="00091EC0" w:rsidP="005557B0">
            <w:pPr>
              <w:spacing w:line="240" w:lineRule="auto"/>
              <w:ind w:firstLineChars="200" w:firstLine="400"/>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 xml:space="preserve">Group </w:t>
            </w:r>
            <w:proofErr w:type="spellStart"/>
            <w:r w:rsidRPr="005557B0">
              <w:rPr>
                <w:rFonts w:eastAsia="Times New Roman" w:cs="Times New Roman"/>
                <w:color w:val="000000"/>
                <w:sz w:val="20"/>
                <w:szCs w:val="20"/>
                <w:lang w:val="nl-NL" w:eastAsia="zh-CN"/>
              </w:rPr>
              <w:t>size</w:t>
            </w:r>
            <w:proofErr w:type="spellEnd"/>
          </w:p>
        </w:tc>
        <w:tc>
          <w:tcPr>
            <w:tcW w:w="0" w:type="auto"/>
            <w:tcBorders>
              <w:top w:val="nil"/>
              <w:left w:val="nil"/>
              <w:bottom w:val="nil"/>
              <w:right w:val="nil"/>
            </w:tcBorders>
            <w:shd w:val="clear" w:color="auto" w:fill="auto"/>
            <w:noWrap/>
            <w:vAlign w:val="center"/>
            <w:hideMark/>
          </w:tcPr>
          <w:p w14:paraId="6A42DF8E"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–0.045</w:t>
            </w:r>
          </w:p>
        </w:tc>
        <w:tc>
          <w:tcPr>
            <w:tcW w:w="0" w:type="auto"/>
            <w:tcBorders>
              <w:top w:val="nil"/>
              <w:left w:val="nil"/>
              <w:bottom w:val="nil"/>
              <w:right w:val="nil"/>
            </w:tcBorders>
            <w:shd w:val="clear" w:color="auto" w:fill="auto"/>
            <w:noWrap/>
            <w:vAlign w:val="center"/>
            <w:hideMark/>
          </w:tcPr>
          <w:p w14:paraId="22874758"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0.032</w:t>
            </w:r>
          </w:p>
        </w:tc>
        <w:tc>
          <w:tcPr>
            <w:tcW w:w="0" w:type="auto"/>
            <w:tcBorders>
              <w:top w:val="nil"/>
              <w:left w:val="nil"/>
              <w:bottom w:val="nil"/>
              <w:right w:val="nil"/>
            </w:tcBorders>
            <w:shd w:val="clear" w:color="auto" w:fill="auto"/>
            <w:noWrap/>
            <w:vAlign w:val="center"/>
            <w:hideMark/>
          </w:tcPr>
          <w:p w14:paraId="3AC8BF01"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[–0.107, 0.017]</w:t>
            </w:r>
          </w:p>
        </w:tc>
      </w:tr>
      <w:tr w:rsidR="00091EC0" w:rsidRPr="005557B0" w14:paraId="314C9384" w14:textId="77777777" w:rsidTr="00D14C1C">
        <w:trPr>
          <w:trHeight w:val="225"/>
        </w:trPr>
        <w:tc>
          <w:tcPr>
            <w:tcW w:w="0" w:type="auto"/>
            <w:tcBorders>
              <w:top w:val="nil"/>
              <w:left w:val="nil"/>
              <w:bottom w:val="nil"/>
              <w:right w:val="nil"/>
            </w:tcBorders>
            <w:shd w:val="clear" w:color="auto" w:fill="auto"/>
            <w:noWrap/>
            <w:vAlign w:val="bottom"/>
            <w:hideMark/>
          </w:tcPr>
          <w:p w14:paraId="3A071838" w14:textId="77777777" w:rsidR="00091EC0" w:rsidRPr="005557B0" w:rsidRDefault="00091EC0" w:rsidP="005557B0">
            <w:pPr>
              <w:spacing w:line="240" w:lineRule="auto"/>
              <w:ind w:firstLineChars="200" w:firstLine="400"/>
              <w:rPr>
                <w:rFonts w:eastAsia="Times New Roman" w:cs="Times New Roman"/>
                <w:color w:val="000000"/>
                <w:sz w:val="20"/>
                <w:szCs w:val="20"/>
                <w:lang w:val="nl-NL" w:eastAsia="zh-CN"/>
              </w:rPr>
            </w:pPr>
            <w:proofErr w:type="spellStart"/>
            <w:r w:rsidRPr="005557B0">
              <w:rPr>
                <w:rFonts w:eastAsia="Times New Roman" w:cs="Times New Roman"/>
                <w:color w:val="000000"/>
                <w:sz w:val="20"/>
                <w:szCs w:val="20"/>
                <w:lang w:val="nl-NL" w:eastAsia="zh-CN"/>
              </w:rPr>
              <w:t>Sanction</w:t>
            </w:r>
            <w:proofErr w:type="spellEnd"/>
            <w:r w:rsidRPr="005557B0">
              <w:rPr>
                <w:rFonts w:eastAsia="Times New Roman" w:cs="Times New Roman"/>
                <w:color w:val="000000"/>
                <w:sz w:val="20"/>
                <w:szCs w:val="20"/>
                <w:lang w:val="nl-NL" w:eastAsia="zh-CN"/>
              </w:rPr>
              <w:t>-yes</w:t>
            </w:r>
          </w:p>
        </w:tc>
        <w:tc>
          <w:tcPr>
            <w:tcW w:w="0" w:type="auto"/>
            <w:tcBorders>
              <w:top w:val="nil"/>
              <w:left w:val="nil"/>
              <w:bottom w:val="nil"/>
              <w:right w:val="nil"/>
            </w:tcBorders>
            <w:shd w:val="clear" w:color="auto" w:fill="auto"/>
            <w:noWrap/>
            <w:vAlign w:val="center"/>
            <w:hideMark/>
          </w:tcPr>
          <w:p w14:paraId="3D38F0A3"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0.310*</w:t>
            </w:r>
          </w:p>
        </w:tc>
        <w:tc>
          <w:tcPr>
            <w:tcW w:w="0" w:type="auto"/>
            <w:tcBorders>
              <w:top w:val="nil"/>
              <w:left w:val="nil"/>
              <w:bottom w:val="nil"/>
              <w:right w:val="nil"/>
            </w:tcBorders>
            <w:shd w:val="clear" w:color="auto" w:fill="auto"/>
            <w:noWrap/>
            <w:vAlign w:val="center"/>
            <w:hideMark/>
          </w:tcPr>
          <w:p w14:paraId="4C748451"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0.078</w:t>
            </w:r>
          </w:p>
        </w:tc>
        <w:tc>
          <w:tcPr>
            <w:tcW w:w="0" w:type="auto"/>
            <w:tcBorders>
              <w:top w:val="nil"/>
              <w:left w:val="nil"/>
              <w:bottom w:val="nil"/>
              <w:right w:val="nil"/>
            </w:tcBorders>
            <w:shd w:val="clear" w:color="auto" w:fill="auto"/>
            <w:noWrap/>
            <w:vAlign w:val="center"/>
            <w:hideMark/>
          </w:tcPr>
          <w:p w14:paraId="2D04EEDE"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[0.156, 0.463]</w:t>
            </w:r>
          </w:p>
        </w:tc>
      </w:tr>
      <w:tr w:rsidR="00091EC0" w:rsidRPr="005557B0" w14:paraId="3B11D2F2" w14:textId="77777777" w:rsidTr="00D14C1C">
        <w:trPr>
          <w:trHeight w:val="225"/>
        </w:trPr>
        <w:tc>
          <w:tcPr>
            <w:tcW w:w="0" w:type="auto"/>
            <w:tcBorders>
              <w:top w:val="nil"/>
              <w:left w:val="nil"/>
              <w:bottom w:val="nil"/>
              <w:right w:val="nil"/>
            </w:tcBorders>
            <w:shd w:val="clear" w:color="auto" w:fill="auto"/>
            <w:noWrap/>
            <w:vAlign w:val="bottom"/>
            <w:hideMark/>
          </w:tcPr>
          <w:p w14:paraId="61C3F2C3" w14:textId="77777777" w:rsidR="00091EC0" w:rsidRPr="005557B0" w:rsidRDefault="00091EC0" w:rsidP="005557B0">
            <w:pPr>
              <w:spacing w:line="240" w:lineRule="auto"/>
              <w:ind w:firstLineChars="200" w:firstLine="400"/>
              <w:rPr>
                <w:rFonts w:eastAsia="Times New Roman" w:cs="Times New Roman"/>
                <w:color w:val="000000"/>
                <w:sz w:val="20"/>
                <w:szCs w:val="20"/>
                <w:lang w:val="nl-NL" w:eastAsia="zh-CN"/>
              </w:rPr>
            </w:pPr>
            <w:proofErr w:type="spellStart"/>
            <w:r w:rsidRPr="005557B0">
              <w:rPr>
                <w:rFonts w:eastAsia="Times New Roman" w:cs="Times New Roman"/>
                <w:color w:val="000000"/>
                <w:sz w:val="20"/>
                <w:szCs w:val="20"/>
                <w:lang w:val="nl-NL" w:eastAsia="zh-CN"/>
              </w:rPr>
              <w:t>Sanction</w:t>
            </w:r>
            <w:proofErr w:type="spellEnd"/>
            <w:r w:rsidRPr="005557B0">
              <w:rPr>
                <w:rFonts w:eastAsia="Times New Roman" w:cs="Times New Roman"/>
                <w:color w:val="000000"/>
                <w:sz w:val="20"/>
                <w:szCs w:val="20"/>
                <w:lang w:val="nl-NL" w:eastAsia="zh-CN"/>
              </w:rPr>
              <w:t>-mixed</w:t>
            </w:r>
          </w:p>
        </w:tc>
        <w:tc>
          <w:tcPr>
            <w:tcW w:w="0" w:type="auto"/>
            <w:tcBorders>
              <w:top w:val="nil"/>
              <w:left w:val="nil"/>
              <w:bottom w:val="nil"/>
              <w:right w:val="nil"/>
            </w:tcBorders>
            <w:shd w:val="clear" w:color="auto" w:fill="auto"/>
            <w:noWrap/>
            <w:vAlign w:val="center"/>
            <w:hideMark/>
          </w:tcPr>
          <w:p w14:paraId="35450B71"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0.330</w:t>
            </w:r>
          </w:p>
        </w:tc>
        <w:tc>
          <w:tcPr>
            <w:tcW w:w="0" w:type="auto"/>
            <w:tcBorders>
              <w:top w:val="nil"/>
              <w:left w:val="nil"/>
              <w:bottom w:val="nil"/>
              <w:right w:val="nil"/>
            </w:tcBorders>
            <w:shd w:val="clear" w:color="auto" w:fill="auto"/>
            <w:noWrap/>
            <w:vAlign w:val="center"/>
            <w:hideMark/>
          </w:tcPr>
          <w:p w14:paraId="34D4B768"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0.246</w:t>
            </w:r>
          </w:p>
        </w:tc>
        <w:tc>
          <w:tcPr>
            <w:tcW w:w="0" w:type="auto"/>
            <w:tcBorders>
              <w:top w:val="nil"/>
              <w:left w:val="nil"/>
              <w:bottom w:val="nil"/>
              <w:right w:val="nil"/>
            </w:tcBorders>
            <w:shd w:val="clear" w:color="auto" w:fill="auto"/>
            <w:noWrap/>
            <w:vAlign w:val="center"/>
            <w:hideMark/>
          </w:tcPr>
          <w:p w14:paraId="5F8CE3F3"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[–0.151, 0.812]</w:t>
            </w:r>
          </w:p>
        </w:tc>
      </w:tr>
      <w:tr w:rsidR="00091EC0" w:rsidRPr="005557B0" w14:paraId="4DA113C4" w14:textId="77777777" w:rsidTr="00D14C1C">
        <w:trPr>
          <w:trHeight w:val="225"/>
        </w:trPr>
        <w:tc>
          <w:tcPr>
            <w:tcW w:w="0" w:type="auto"/>
            <w:tcBorders>
              <w:top w:val="nil"/>
              <w:left w:val="nil"/>
              <w:bottom w:val="nil"/>
              <w:right w:val="nil"/>
            </w:tcBorders>
            <w:shd w:val="clear" w:color="auto" w:fill="auto"/>
            <w:noWrap/>
            <w:vAlign w:val="bottom"/>
            <w:hideMark/>
          </w:tcPr>
          <w:p w14:paraId="35D65672" w14:textId="16C27206" w:rsidR="00091EC0" w:rsidRPr="005557B0" w:rsidRDefault="005557B0" w:rsidP="005557B0">
            <w:pPr>
              <w:spacing w:line="240" w:lineRule="auto"/>
              <w:ind w:firstLineChars="200" w:firstLine="400"/>
              <w:rPr>
                <w:rFonts w:eastAsia="Times New Roman" w:cs="Times New Roman"/>
                <w:color w:val="000000"/>
                <w:sz w:val="20"/>
                <w:szCs w:val="20"/>
                <w:lang w:val="nl-NL" w:eastAsia="zh-CN"/>
              </w:rPr>
            </w:pPr>
            <w:r>
              <w:rPr>
                <w:rFonts w:eastAsia="Times New Roman" w:cs="Times New Roman"/>
                <w:color w:val="000000"/>
                <w:sz w:val="20"/>
                <w:szCs w:val="20"/>
                <w:lang w:val="nl-NL" w:eastAsia="zh-CN"/>
              </w:rPr>
              <w:t>Communication</w:t>
            </w:r>
            <w:r w:rsidR="00091EC0" w:rsidRPr="005557B0">
              <w:rPr>
                <w:rFonts w:eastAsia="Times New Roman" w:cs="Times New Roman"/>
                <w:color w:val="000000"/>
                <w:sz w:val="20"/>
                <w:szCs w:val="20"/>
                <w:lang w:val="nl-NL" w:eastAsia="zh-CN"/>
              </w:rPr>
              <w:t>-yes</w:t>
            </w:r>
          </w:p>
        </w:tc>
        <w:tc>
          <w:tcPr>
            <w:tcW w:w="0" w:type="auto"/>
            <w:tcBorders>
              <w:top w:val="nil"/>
              <w:left w:val="nil"/>
              <w:bottom w:val="nil"/>
              <w:right w:val="nil"/>
            </w:tcBorders>
            <w:shd w:val="clear" w:color="auto" w:fill="auto"/>
            <w:noWrap/>
            <w:vAlign w:val="center"/>
            <w:hideMark/>
          </w:tcPr>
          <w:p w14:paraId="7ABF26A8"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0.866*</w:t>
            </w:r>
          </w:p>
        </w:tc>
        <w:tc>
          <w:tcPr>
            <w:tcW w:w="0" w:type="auto"/>
            <w:tcBorders>
              <w:top w:val="nil"/>
              <w:left w:val="nil"/>
              <w:bottom w:val="nil"/>
              <w:right w:val="nil"/>
            </w:tcBorders>
            <w:shd w:val="clear" w:color="auto" w:fill="auto"/>
            <w:noWrap/>
            <w:vAlign w:val="center"/>
            <w:hideMark/>
          </w:tcPr>
          <w:p w14:paraId="123AF3AB"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0.143</w:t>
            </w:r>
          </w:p>
        </w:tc>
        <w:tc>
          <w:tcPr>
            <w:tcW w:w="0" w:type="auto"/>
            <w:tcBorders>
              <w:top w:val="nil"/>
              <w:left w:val="nil"/>
              <w:bottom w:val="nil"/>
              <w:right w:val="nil"/>
            </w:tcBorders>
            <w:shd w:val="clear" w:color="auto" w:fill="auto"/>
            <w:noWrap/>
            <w:vAlign w:val="center"/>
            <w:hideMark/>
          </w:tcPr>
          <w:p w14:paraId="7AA2ABAD"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[0.585, 1.147]</w:t>
            </w:r>
          </w:p>
        </w:tc>
      </w:tr>
      <w:tr w:rsidR="00091EC0" w:rsidRPr="005557B0" w14:paraId="2C8A4325" w14:textId="77777777" w:rsidTr="00D14C1C">
        <w:trPr>
          <w:trHeight w:val="225"/>
        </w:trPr>
        <w:tc>
          <w:tcPr>
            <w:tcW w:w="0" w:type="auto"/>
            <w:tcBorders>
              <w:top w:val="nil"/>
              <w:left w:val="nil"/>
              <w:bottom w:val="nil"/>
              <w:right w:val="nil"/>
            </w:tcBorders>
            <w:shd w:val="clear" w:color="auto" w:fill="auto"/>
            <w:noWrap/>
            <w:vAlign w:val="bottom"/>
            <w:hideMark/>
          </w:tcPr>
          <w:p w14:paraId="3780333A" w14:textId="11B326D8" w:rsidR="00091EC0" w:rsidRPr="005557B0" w:rsidRDefault="005557B0" w:rsidP="005557B0">
            <w:pPr>
              <w:spacing w:line="240" w:lineRule="auto"/>
              <w:ind w:firstLineChars="200" w:firstLine="400"/>
              <w:rPr>
                <w:rFonts w:eastAsia="Times New Roman" w:cs="Times New Roman"/>
                <w:color w:val="000000"/>
                <w:sz w:val="20"/>
                <w:szCs w:val="20"/>
                <w:lang w:val="nl-NL" w:eastAsia="zh-CN"/>
              </w:rPr>
            </w:pPr>
            <w:r>
              <w:rPr>
                <w:rFonts w:eastAsia="Times New Roman" w:cs="Times New Roman"/>
                <w:color w:val="000000"/>
                <w:sz w:val="20"/>
                <w:szCs w:val="20"/>
                <w:lang w:val="nl-NL" w:eastAsia="zh-CN"/>
              </w:rPr>
              <w:t>Communication</w:t>
            </w:r>
            <w:r w:rsidR="00091EC0" w:rsidRPr="005557B0">
              <w:rPr>
                <w:rFonts w:eastAsia="Times New Roman" w:cs="Times New Roman"/>
                <w:color w:val="000000"/>
                <w:sz w:val="20"/>
                <w:szCs w:val="20"/>
                <w:lang w:val="nl-NL" w:eastAsia="zh-CN"/>
              </w:rPr>
              <w:t>-mixed</w:t>
            </w:r>
          </w:p>
        </w:tc>
        <w:tc>
          <w:tcPr>
            <w:tcW w:w="0" w:type="auto"/>
            <w:tcBorders>
              <w:top w:val="nil"/>
              <w:left w:val="nil"/>
              <w:bottom w:val="nil"/>
              <w:right w:val="nil"/>
            </w:tcBorders>
            <w:shd w:val="clear" w:color="auto" w:fill="auto"/>
            <w:noWrap/>
            <w:vAlign w:val="center"/>
            <w:hideMark/>
          </w:tcPr>
          <w:p w14:paraId="4C39F68F"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0.335</w:t>
            </w:r>
          </w:p>
        </w:tc>
        <w:tc>
          <w:tcPr>
            <w:tcW w:w="0" w:type="auto"/>
            <w:tcBorders>
              <w:top w:val="nil"/>
              <w:left w:val="nil"/>
              <w:bottom w:val="nil"/>
              <w:right w:val="nil"/>
            </w:tcBorders>
            <w:shd w:val="clear" w:color="auto" w:fill="auto"/>
            <w:noWrap/>
            <w:vAlign w:val="center"/>
            <w:hideMark/>
          </w:tcPr>
          <w:p w14:paraId="66B4B885"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0.350</w:t>
            </w:r>
          </w:p>
        </w:tc>
        <w:tc>
          <w:tcPr>
            <w:tcW w:w="0" w:type="auto"/>
            <w:tcBorders>
              <w:top w:val="nil"/>
              <w:left w:val="nil"/>
              <w:bottom w:val="nil"/>
              <w:right w:val="nil"/>
            </w:tcBorders>
            <w:shd w:val="clear" w:color="auto" w:fill="auto"/>
            <w:noWrap/>
            <w:vAlign w:val="center"/>
            <w:hideMark/>
          </w:tcPr>
          <w:p w14:paraId="3E17A7B9"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[–0.352, 1.022]</w:t>
            </w:r>
          </w:p>
        </w:tc>
      </w:tr>
      <w:tr w:rsidR="00091EC0" w:rsidRPr="005557B0" w14:paraId="1239FBC1" w14:textId="77777777" w:rsidTr="00D14C1C">
        <w:trPr>
          <w:trHeight w:val="225"/>
        </w:trPr>
        <w:tc>
          <w:tcPr>
            <w:tcW w:w="0" w:type="auto"/>
            <w:tcBorders>
              <w:top w:val="nil"/>
              <w:left w:val="nil"/>
              <w:bottom w:val="nil"/>
              <w:right w:val="nil"/>
            </w:tcBorders>
            <w:shd w:val="clear" w:color="auto" w:fill="auto"/>
            <w:noWrap/>
            <w:vAlign w:val="bottom"/>
            <w:hideMark/>
          </w:tcPr>
          <w:p w14:paraId="4F3E9B3D" w14:textId="75A37B80" w:rsidR="00091EC0" w:rsidRPr="005557B0" w:rsidRDefault="005D4016" w:rsidP="005557B0">
            <w:pPr>
              <w:spacing w:line="240" w:lineRule="auto"/>
              <w:ind w:firstLineChars="200" w:firstLine="400"/>
              <w:rPr>
                <w:rFonts w:eastAsia="Times New Roman" w:cs="Times New Roman"/>
                <w:color w:val="000000"/>
                <w:sz w:val="20"/>
                <w:szCs w:val="20"/>
                <w:lang w:val="nl-NL" w:eastAsia="zh-CN"/>
              </w:rPr>
            </w:pPr>
            <w:r>
              <w:rPr>
                <w:rFonts w:eastAsia="Times New Roman" w:cs="Times New Roman"/>
                <w:color w:val="000000"/>
                <w:sz w:val="20"/>
                <w:szCs w:val="20"/>
                <w:lang w:val="nl-NL" w:eastAsia="zh-CN"/>
              </w:rPr>
              <w:t>Matching design</w:t>
            </w:r>
            <w:r w:rsidR="00091EC0" w:rsidRPr="005557B0">
              <w:rPr>
                <w:rFonts w:eastAsia="Times New Roman" w:cs="Times New Roman"/>
                <w:color w:val="000000"/>
                <w:sz w:val="20"/>
                <w:szCs w:val="20"/>
                <w:lang w:val="nl-NL" w:eastAsia="zh-CN"/>
              </w:rPr>
              <w:t>-</w:t>
            </w:r>
            <w:r>
              <w:rPr>
                <w:rFonts w:eastAsia="Times New Roman" w:cs="Times New Roman"/>
                <w:color w:val="000000"/>
                <w:sz w:val="20"/>
                <w:szCs w:val="20"/>
                <w:lang w:val="nl-NL" w:eastAsia="zh-CN"/>
              </w:rPr>
              <w:t>partner</w:t>
            </w:r>
          </w:p>
        </w:tc>
        <w:tc>
          <w:tcPr>
            <w:tcW w:w="0" w:type="auto"/>
            <w:tcBorders>
              <w:top w:val="nil"/>
              <w:left w:val="nil"/>
              <w:bottom w:val="nil"/>
              <w:right w:val="nil"/>
            </w:tcBorders>
            <w:shd w:val="clear" w:color="auto" w:fill="auto"/>
            <w:noWrap/>
            <w:vAlign w:val="center"/>
            <w:hideMark/>
          </w:tcPr>
          <w:p w14:paraId="2FD640DD"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–0.223</w:t>
            </w:r>
          </w:p>
        </w:tc>
        <w:tc>
          <w:tcPr>
            <w:tcW w:w="0" w:type="auto"/>
            <w:tcBorders>
              <w:top w:val="nil"/>
              <w:left w:val="nil"/>
              <w:bottom w:val="nil"/>
              <w:right w:val="nil"/>
            </w:tcBorders>
            <w:shd w:val="clear" w:color="auto" w:fill="auto"/>
            <w:noWrap/>
            <w:vAlign w:val="center"/>
            <w:hideMark/>
          </w:tcPr>
          <w:p w14:paraId="49831F9F"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0.116</w:t>
            </w:r>
          </w:p>
        </w:tc>
        <w:tc>
          <w:tcPr>
            <w:tcW w:w="0" w:type="auto"/>
            <w:tcBorders>
              <w:top w:val="nil"/>
              <w:left w:val="nil"/>
              <w:bottom w:val="nil"/>
              <w:right w:val="nil"/>
            </w:tcBorders>
            <w:shd w:val="clear" w:color="auto" w:fill="auto"/>
            <w:noWrap/>
            <w:vAlign w:val="center"/>
            <w:hideMark/>
          </w:tcPr>
          <w:p w14:paraId="4660FF96"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[–0.451, 0.004]</w:t>
            </w:r>
          </w:p>
        </w:tc>
      </w:tr>
      <w:tr w:rsidR="00091EC0" w:rsidRPr="005557B0" w14:paraId="2EFFC62D" w14:textId="77777777" w:rsidTr="00D14C1C">
        <w:trPr>
          <w:trHeight w:val="225"/>
        </w:trPr>
        <w:tc>
          <w:tcPr>
            <w:tcW w:w="0" w:type="auto"/>
            <w:tcBorders>
              <w:top w:val="nil"/>
              <w:left w:val="nil"/>
              <w:bottom w:val="nil"/>
              <w:right w:val="nil"/>
            </w:tcBorders>
            <w:shd w:val="clear" w:color="auto" w:fill="auto"/>
            <w:noWrap/>
            <w:vAlign w:val="bottom"/>
            <w:hideMark/>
          </w:tcPr>
          <w:p w14:paraId="557BE1EB" w14:textId="4CC386B2" w:rsidR="00091EC0" w:rsidRPr="005557B0" w:rsidRDefault="005D4016" w:rsidP="005557B0">
            <w:pPr>
              <w:spacing w:line="240" w:lineRule="auto"/>
              <w:ind w:firstLineChars="200" w:firstLine="400"/>
              <w:rPr>
                <w:rFonts w:eastAsia="Times New Roman" w:cs="Times New Roman"/>
                <w:color w:val="000000"/>
                <w:sz w:val="20"/>
                <w:szCs w:val="20"/>
                <w:lang w:val="nl-NL" w:eastAsia="zh-CN"/>
              </w:rPr>
            </w:pPr>
            <w:r>
              <w:rPr>
                <w:rFonts w:eastAsia="Times New Roman" w:cs="Times New Roman"/>
                <w:color w:val="000000"/>
                <w:sz w:val="20"/>
                <w:szCs w:val="20"/>
                <w:lang w:val="nl-NL" w:eastAsia="zh-CN"/>
              </w:rPr>
              <w:t>Matching design</w:t>
            </w:r>
            <w:r w:rsidR="00091EC0" w:rsidRPr="005557B0">
              <w:rPr>
                <w:rFonts w:eastAsia="Times New Roman" w:cs="Times New Roman"/>
                <w:color w:val="000000"/>
                <w:sz w:val="20"/>
                <w:szCs w:val="20"/>
                <w:lang w:val="nl-NL" w:eastAsia="zh-CN"/>
              </w:rPr>
              <w:t>-mixed</w:t>
            </w:r>
          </w:p>
        </w:tc>
        <w:tc>
          <w:tcPr>
            <w:tcW w:w="0" w:type="auto"/>
            <w:tcBorders>
              <w:top w:val="nil"/>
              <w:left w:val="nil"/>
              <w:bottom w:val="nil"/>
              <w:right w:val="nil"/>
            </w:tcBorders>
            <w:shd w:val="clear" w:color="auto" w:fill="auto"/>
            <w:noWrap/>
            <w:vAlign w:val="center"/>
            <w:hideMark/>
          </w:tcPr>
          <w:p w14:paraId="0C96E72A"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–0.024</w:t>
            </w:r>
          </w:p>
        </w:tc>
        <w:tc>
          <w:tcPr>
            <w:tcW w:w="0" w:type="auto"/>
            <w:tcBorders>
              <w:top w:val="nil"/>
              <w:left w:val="nil"/>
              <w:bottom w:val="nil"/>
              <w:right w:val="nil"/>
            </w:tcBorders>
            <w:shd w:val="clear" w:color="auto" w:fill="auto"/>
            <w:noWrap/>
            <w:vAlign w:val="center"/>
            <w:hideMark/>
          </w:tcPr>
          <w:p w14:paraId="142EF43A"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0.366</w:t>
            </w:r>
          </w:p>
        </w:tc>
        <w:tc>
          <w:tcPr>
            <w:tcW w:w="0" w:type="auto"/>
            <w:tcBorders>
              <w:top w:val="nil"/>
              <w:left w:val="nil"/>
              <w:bottom w:val="nil"/>
              <w:right w:val="nil"/>
            </w:tcBorders>
            <w:shd w:val="clear" w:color="auto" w:fill="auto"/>
            <w:noWrap/>
            <w:vAlign w:val="center"/>
            <w:hideMark/>
          </w:tcPr>
          <w:p w14:paraId="685C10DC"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[–0.742, 0.694]</w:t>
            </w:r>
          </w:p>
        </w:tc>
      </w:tr>
      <w:tr w:rsidR="00091EC0" w:rsidRPr="005557B0" w14:paraId="027CEF11" w14:textId="77777777" w:rsidTr="00D14C1C">
        <w:trPr>
          <w:trHeight w:val="225"/>
        </w:trPr>
        <w:tc>
          <w:tcPr>
            <w:tcW w:w="0" w:type="auto"/>
            <w:tcBorders>
              <w:top w:val="nil"/>
              <w:left w:val="nil"/>
              <w:bottom w:val="nil"/>
              <w:right w:val="nil"/>
            </w:tcBorders>
            <w:shd w:val="clear" w:color="auto" w:fill="auto"/>
            <w:noWrap/>
            <w:vAlign w:val="bottom"/>
            <w:hideMark/>
          </w:tcPr>
          <w:p w14:paraId="256288A9" w14:textId="77777777" w:rsidR="00091EC0" w:rsidRPr="005557B0" w:rsidRDefault="00091EC0" w:rsidP="005557B0">
            <w:pPr>
              <w:spacing w:line="240" w:lineRule="auto"/>
              <w:ind w:firstLineChars="200" w:firstLine="400"/>
              <w:rPr>
                <w:rFonts w:eastAsia="Times New Roman" w:cs="Times New Roman"/>
                <w:color w:val="000000"/>
                <w:sz w:val="20"/>
                <w:szCs w:val="20"/>
                <w:lang w:val="nl-NL" w:eastAsia="zh-CN"/>
              </w:rPr>
            </w:pPr>
            <w:proofErr w:type="spellStart"/>
            <w:r w:rsidRPr="005557B0">
              <w:rPr>
                <w:rFonts w:eastAsia="Times New Roman" w:cs="Times New Roman"/>
                <w:color w:val="000000"/>
                <w:sz w:val="20"/>
                <w:szCs w:val="20"/>
                <w:lang w:val="nl-NL" w:eastAsia="zh-CN"/>
              </w:rPr>
              <w:t>Symmetry-symmetric</w:t>
            </w:r>
            <w:proofErr w:type="spellEnd"/>
          </w:p>
        </w:tc>
        <w:tc>
          <w:tcPr>
            <w:tcW w:w="0" w:type="auto"/>
            <w:tcBorders>
              <w:top w:val="nil"/>
              <w:left w:val="nil"/>
              <w:bottom w:val="nil"/>
              <w:right w:val="nil"/>
            </w:tcBorders>
            <w:shd w:val="clear" w:color="auto" w:fill="auto"/>
            <w:noWrap/>
            <w:vAlign w:val="center"/>
            <w:hideMark/>
          </w:tcPr>
          <w:p w14:paraId="50218CD7"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0.047</w:t>
            </w:r>
          </w:p>
        </w:tc>
        <w:tc>
          <w:tcPr>
            <w:tcW w:w="0" w:type="auto"/>
            <w:tcBorders>
              <w:top w:val="nil"/>
              <w:left w:val="nil"/>
              <w:bottom w:val="nil"/>
              <w:right w:val="nil"/>
            </w:tcBorders>
            <w:shd w:val="clear" w:color="auto" w:fill="auto"/>
            <w:noWrap/>
            <w:vAlign w:val="center"/>
            <w:hideMark/>
          </w:tcPr>
          <w:p w14:paraId="3224FEF4"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0.073</w:t>
            </w:r>
          </w:p>
        </w:tc>
        <w:tc>
          <w:tcPr>
            <w:tcW w:w="0" w:type="auto"/>
            <w:tcBorders>
              <w:top w:val="nil"/>
              <w:left w:val="nil"/>
              <w:bottom w:val="nil"/>
              <w:right w:val="nil"/>
            </w:tcBorders>
            <w:shd w:val="clear" w:color="auto" w:fill="auto"/>
            <w:noWrap/>
            <w:vAlign w:val="center"/>
            <w:hideMark/>
          </w:tcPr>
          <w:p w14:paraId="5055B13A"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[–0.096, 0.190]</w:t>
            </w:r>
          </w:p>
        </w:tc>
      </w:tr>
      <w:tr w:rsidR="00091EC0" w:rsidRPr="005557B0" w14:paraId="64BCB23C" w14:textId="77777777" w:rsidTr="00D14C1C">
        <w:trPr>
          <w:trHeight w:val="225"/>
        </w:trPr>
        <w:tc>
          <w:tcPr>
            <w:tcW w:w="0" w:type="auto"/>
            <w:tcBorders>
              <w:top w:val="nil"/>
              <w:left w:val="nil"/>
              <w:bottom w:val="nil"/>
              <w:right w:val="nil"/>
            </w:tcBorders>
            <w:shd w:val="clear" w:color="auto" w:fill="auto"/>
            <w:noWrap/>
            <w:vAlign w:val="bottom"/>
            <w:hideMark/>
          </w:tcPr>
          <w:p w14:paraId="0DEC0F5C" w14:textId="77777777" w:rsidR="00091EC0" w:rsidRPr="005557B0" w:rsidRDefault="00091EC0" w:rsidP="005557B0">
            <w:pPr>
              <w:spacing w:line="240" w:lineRule="auto"/>
              <w:ind w:firstLineChars="200" w:firstLine="400"/>
              <w:rPr>
                <w:rFonts w:eastAsia="Times New Roman" w:cs="Times New Roman"/>
                <w:color w:val="000000"/>
                <w:sz w:val="20"/>
                <w:szCs w:val="20"/>
                <w:lang w:val="nl-NL" w:eastAsia="zh-CN"/>
              </w:rPr>
            </w:pPr>
            <w:proofErr w:type="spellStart"/>
            <w:r w:rsidRPr="005557B0">
              <w:rPr>
                <w:rFonts w:eastAsia="Times New Roman" w:cs="Times New Roman"/>
                <w:color w:val="000000"/>
                <w:sz w:val="20"/>
                <w:szCs w:val="20"/>
                <w:lang w:val="nl-NL" w:eastAsia="zh-CN"/>
              </w:rPr>
              <w:t>Symmetry</w:t>
            </w:r>
            <w:proofErr w:type="spellEnd"/>
            <w:r w:rsidRPr="005557B0">
              <w:rPr>
                <w:rFonts w:eastAsia="Times New Roman" w:cs="Times New Roman"/>
                <w:color w:val="000000"/>
                <w:sz w:val="20"/>
                <w:szCs w:val="20"/>
                <w:lang w:val="nl-NL" w:eastAsia="zh-CN"/>
              </w:rPr>
              <w:t>-mixed</w:t>
            </w:r>
          </w:p>
        </w:tc>
        <w:tc>
          <w:tcPr>
            <w:tcW w:w="0" w:type="auto"/>
            <w:tcBorders>
              <w:top w:val="nil"/>
              <w:left w:val="nil"/>
              <w:bottom w:val="nil"/>
              <w:right w:val="nil"/>
            </w:tcBorders>
            <w:shd w:val="clear" w:color="auto" w:fill="auto"/>
            <w:noWrap/>
            <w:vAlign w:val="center"/>
            <w:hideMark/>
          </w:tcPr>
          <w:p w14:paraId="3415E809"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–0.222</w:t>
            </w:r>
          </w:p>
        </w:tc>
        <w:tc>
          <w:tcPr>
            <w:tcW w:w="0" w:type="auto"/>
            <w:tcBorders>
              <w:top w:val="nil"/>
              <w:left w:val="nil"/>
              <w:bottom w:val="nil"/>
              <w:right w:val="nil"/>
            </w:tcBorders>
            <w:shd w:val="clear" w:color="auto" w:fill="auto"/>
            <w:noWrap/>
            <w:vAlign w:val="center"/>
            <w:hideMark/>
          </w:tcPr>
          <w:p w14:paraId="477360CF"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0.145</w:t>
            </w:r>
          </w:p>
        </w:tc>
        <w:tc>
          <w:tcPr>
            <w:tcW w:w="0" w:type="auto"/>
            <w:tcBorders>
              <w:top w:val="nil"/>
              <w:left w:val="nil"/>
              <w:bottom w:val="nil"/>
              <w:right w:val="nil"/>
            </w:tcBorders>
            <w:shd w:val="clear" w:color="auto" w:fill="auto"/>
            <w:noWrap/>
            <w:vAlign w:val="center"/>
            <w:hideMark/>
          </w:tcPr>
          <w:p w14:paraId="3055C03D"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[–0.507, 0.063]</w:t>
            </w:r>
          </w:p>
        </w:tc>
      </w:tr>
      <w:tr w:rsidR="00091EC0" w:rsidRPr="005557B0" w14:paraId="78E8D2B1" w14:textId="77777777" w:rsidTr="00D14C1C">
        <w:trPr>
          <w:trHeight w:val="225"/>
        </w:trPr>
        <w:tc>
          <w:tcPr>
            <w:tcW w:w="0" w:type="auto"/>
            <w:tcBorders>
              <w:top w:val="nil"/>
              <w:left w:val="nil"/>
              <w:bottom w:val="nil"/>
              <w:right w:val="nil"/>
            </w:tcBorders>
            <w:shd w:val="clear" w:color="auto" w:fill="auto"/>
            <w:noWrap/>
            <w:vAlign w:val="bottom"/>
            <w:hideMark/>
          </w:tcPr>
          <w:p w14:paraId="360E8BFA" w14:textId="77777777" w:rsidR="00091EC0" w:rsidRPr="005557B0" w:rsidRDefault="00091EC0" w:rsidP="005557B0">
            <w:pPr>
              <w:spacing w:line="240" w:lineRule="auto"/>
              <w:ind w:firstLineChars="200" w:firstLine="400"/>
              <w:rPr>
                <w:rFonts w:eastAsia="Times New Roman" w:cs="Times New Roman"/>
                <w:color w:val="000000"/>
                <w:sz w:val="20"/>
                <w:szCs w:val="20"/>
                <w:lang w:val="nl-NL" w:eastAsia="zh-CN"/>
              </w:rPr>
            </w:pPr>
            <w:proofErr w:type="spellStart"/>
            <w:r w:rsidRPr="005557B0">
              <w:rPr>
                <w:rFonts w:eastAsia="Times New Roman" w:cs="Times New Roman"/>
                <w:color w:val="000000"/>
                <w:sz w:val="20"/>
                <w:szCs w:val="20"/>
                <w:lang w:val="nl-NL" w:eastAsia="zh-CN"/>
              </w:rPr>
              <w:t>Sequentiality-simultaneous</w:t>
            </w:r>
            <w:proofErr w:type="spellEnd"/>
          </w:p>
        </w:tc>
        <w:tc>
          <w:tcPr>
            <w:tcW w:w="0" w:type="auto"/>
            <w:tcBorders>
              <w:top w:val="nil"/>
              <w:left w:val="nil"/>
              <w:bottom w:val="nil"/>
              <w:right w:val="nil"/>
            </w:tcBorders>
            <w:shd w:val="clear" w:color="auto" w:fill="auto"/>
            <w:noWrap/>
            <w:vAlign w:val="center"/>
            <w:hideMark/>
          </w:tcPr>
          <w:p w14:paraId="671CCA0A"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0.059</w:t>
            </w:r>
          </w:p>
        </w:tc>
        <w:tc>
          <w:tcPr>
            <w:tcW w:w="0" w:type="auto"/>
            <w:tcBorders>
              <w:top w:val="nil"/>
              <w:left w:val="nil"/>
              <w:bottom w:val="nil"/>
              <w:right w:val="nil"/>
            </w:tcBorders>
            <w:shd w:val="clear" w:color="auto" w:fill="auto"/>
            <w:noWrap/>
            <w:vAlign w:val="center"/>
            <w:hideMark/>
          </w:tcPr>
          <w:p w14:paraId="567FC1C4"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0.065</w:t>
            </w:r>
          </w:p>
        </w:tc>
        <w:tc>
          <w:tcPr>
            <w:tcW w:w="0" w:type="auto"/>
            <w:tcBorders>
              <w:top w:val="nil"/>
              <w:left w:val="nil"/>
              <w:bottom w:val="nil"/>
              <w:right w:val="nil"/>
            </w:tcBorders>
            <w:shd w:val="clear" w:color="auto" w:fill="auto"/>
            <w:noWrap/>
            <w:vAlign w:val="center"/>
            <w:hideMark/>
          </w:tcPr>
          <w:p w14:paraId="7E3957C3"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[–0.068, 0.187]</w:t>
            </w:r>
          </w:p>
        </w:tc>
      </w:tr>
      <w:tr w:rsidR="00091EC0" w:rsidRPr="005557B0" w14:paraId="25D6CA72" w14:textId="77777777" w:rsidTr="00D14C1C">
        <w:trPr>
          <w:trHeight w:val="225"/>
        </w:trPr>
        <w:tc>
          <w:tcPr>
            <w:tcW w:w="0" w:type="auto"/>
            <w:tcBorders>
              <w:top w:val="nil"/>
              <w:left w:val="nil"/>
              <w:bottom w:val="nil"/>
              <w:right w:val="nil"/>
            </w:tcBorders>
            <w:shd w:val="clear" w:color="auto" w:fill="auto"/>
            <w:noWrap/>
            <w:vAlign w:val="bottom"/>
            <w:hideMark/>
          </w:tcPr>
          <w:p w14:paraId="16E7BE13" w14:textId="77777777" w:rsidR="00091EC0" w:rsidRPr="005557B0" w:rsidRDefault="00091EC0" w:rsidP="005557B0">
            <w:pPr>
              <w:spacing w:line="240" w:lineRule="auto"/>
              <w:ind w:firstLineChars="200" w:firstLine="400"/>
              <w:rPr>
                <w:rFonts w:eastAsia="Times New Roman" w:cs="Times New Roman"/>
                <w:color w:val="000000"/>
                <w:sz w:val="20"/>
                <w:szCs w:val="20"/>
                <w:lang w:val="nl-NL" w:eastAsia="zh-CN"/>
              </w:rPr>
            </w:pPr>
            <w:proofErr w:type="spellStart"/>
            <w:r w:rsidRPr="005557B0">
              <w:rPr>
                <w:rFonts w:eastAsia="Times New Roman" w:cs="Times New Roman"/>
                <w:color w:val="000000"/>
                <w:sz w:val="20"/>
                <w:szCs w:val="20"/>
                <w:lang w:val="nl-NL" w:eastAsia="zh-CN"/>
              </w:rPr>
              <w:t>Sequentiality</w:t>
            </w:r>
            <w:proofErr w:type="spellEnd"/>
            <w:r w:rsidRPr="005557B0">
              <w:rPr>
                <w:rFonts w:eastAsia="Times New Roman" w:cs="Times New Roman"/>
                <w:color w:val="000000"/>
                <w:sz w:val="20"/>
                <w:szCs w:val="20"/>
                <w:lang w:val="nl-NL" w:eastAsia="zh-CN"/>
              </w:rPr>
              <w:t>-mixed</w:t>
            </w:r>
          </w:p>
        </w:tc>
        <w:tc>
          <w:tcPr>
            <w:tcW w:w="0" w:type="auto"/>
            <w:tcBorders>
              <w:top w:val="nil"/>
              <w:left w:val="nil"/>
              <w:bottom w:val="nil"/>
              <w:right w:val="nil"/>
            </w:tcBorders>
            <w:shd w:val="clear" w:color="auto" w:fill="auto"/>
            <w:noWrap/>
            <w:vAlign w:val="center"/>
            <w:hideMark/>
          </w:tcPr>
          <w:p w14:paraId="5373966C"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–0.026</w:t>
            </w:r>
          </w:p>
        </w:tc>
        <w:tc>
          <w:tcPr>
            <w:tcW w:w="0" w:type="auto"/>
            <w:tcBorders>
              <w:top w:val="nil"/>
              <w:left w:val="nil"/>
              <w:bottom w:val="nil"/>
              <w:right w:val="nil"/>
            </w:tcBorders>
            <w:shd w:val="clear" w:color="auto" w:fill="auto"/>
            <w:noWrap/>
            <w:vAlign w:val="center"/>
            <w:hideMark/>
          </w:tcPr>
          <w:p w14:paraId="145E9DEE"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0.136</w:t>
            </w:r>
          </w:p>
        </w:tc>
        <w:tc>
          <w:tcPr>
            <w:tcW w:w="0" w:type="auto"/>
            <w:tcBorders>
              <w:top w:val="nil"/>
              <w:left w:val="nil"/>
              <w:bottom w:val="nil"/>
              <w:right w:val="nil"/>
            </w:tcBorders>
            <w:shd w:val="clear" w:color="auto" w:fill="auto"/>
            <w:noWrap/>
            <w:vAlign w:val="center"/>
            <w:hideMark/>
          </w:tcPr>
          <w:p w14:paraId="0CDD6E22"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[–0.292, 0.240]</w:t>
            </w:r>
          </w:p>
        </w:tc>
      </w:tr>
      <w:tr w:rsidR="00091EC0" w:rsidRPr="005557B0" w14:paraId="338D2483" w14:textId="77777777" w:rsidTr="00D14C1C">
        <w:trPr>
          <w:trHeight w:val="225"/>
        </w:trPr>
        <w:tc>
          <w:tcPr>
            <w:tcW w:w="0" w:type="auto"/>
            <w:tcBorders>
              <w:top w:val="nil"/>
              <w:left w:val="nil"/>
              <w:bottom w:val="nil"/>
              <w:right w:val="nil"/>
            </w:tcBorders>
            <w:shd w:val="clear" w:color="auto" w:fill="auto"/>
            <w:noWrap/>
            <w:vAlign w:val="bottom"/>
            <w:hideMark/>
          </w:tcPr>
          <w:p w14:paraId="3C2144D1" w14:textId="77777777" w:rsidR="00091EC0" w:rsidRPr="005557B0" w:rsidRDefault="00091EC0" w:rsidP="005557B0">
            <w:pPr>
              <w:spacing w:line="240" w:lineRule="auto"/>
              <w:ind w:firstLineChars="200" w:firstLine="400"/>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Show up fee-yes</w:t>
            </w:r>
          </w:p>
        </w:tc>
        <w:tc>
          <w:tcPr>
            <w:tcW w:w="0" w:type="auto"/>
            <w:tcBorders>
              <w:top w:val="nil"/>
              <w:left w:val="nil"/>
              <w:bottom w:val="nil"/>
              <w:right w:val="nil"/>
            </w:tcBorders>
            <w:shd w:val="clear" w:color="auto" w:fill="auto"/>
            <w:noWrap/>
            <w:vAlign w:val="center"/>
            <w:hideMark/>
          </w:tcPr>
          <w:p w14:paraId="6359D1C0"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0.011</w:t>
            </w:r>
          </w:p>
        </w:tc>
        <w:tc>
          <w:tcPr>
            <w:tcW w:w="0" w:type="auto"/>
            <w:tcBorders>
              <w:top w:val="nil"/>
              <w:left w:val="nil"/>
              <w:bottom w:val="nil"/>
              <w:right w:val="nil"/>
            </w:tcBorders>
            <w:shd w:val="clear" w:color="auto" w:fill="auto"/>
            <w:noWrap/>
            <w:vAlign w:val="center"/>
            <w:hideMark/>
          </w:tcPr>
          <w:p w14:paraId="07D0AC10"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0.043</w:t>
            </w:r>
          </w:p>
        </w:tc>
        <w:tc>
          <w:tcPr>
            <w:tcW w:w="0" w:type="auto"/>
            <w:tcBorders>
              <w:top w:val="nil"/>
              <w:left w:val="nil"/>
              <w:bottom w:val="nil"/>
              <w:right w:val="nil"/>
            </w:tcBorders>
            <w:shd w:val="clear" w:color="auto" w:fill="auto"/>
            <w:noWrap/>
            <w:vAlign w:val="center"/>
            <w:hideMark/>
          </w:tcPr>
          <w:p w14:paraId="6B659835"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[–0.073, 0.094]</w:t>
            </w:r>
          </w:p>
        </w:tc>
      </w:tr>
      <w:tr w:rsidR="00091EC0" w:rsidRPr="005557B0" w14:paraId="0046D9DF" w14:textId="77777777" w:rsidTr="00D14C1C">
        <w:trPr>
          <w:trHeight w:val="225"/>
        </w:trPr>
        <w:tc>
          <w:tcPr>
            <w:tcW w:w="0" w:type="auto"/>
            <w:tcBorders>
              <w:top w:val="nil"/>
              <w:left w:val="nil"/>
              <w:bottom w:val="nil"/>
              <w:right w:val="nil"/>
            </w:tcBorders>
            <w:shd w:val="clear" w:color="auto" w:fill="auto"/>
            <w:noWrap/>
            <w:vAlign w:val="bottom"/>
            <w:hideMark/>
          </w:tcPr>
          <w:p w14:paraId="48BE87C9" w14:textId="77777777" w:rsidR="00091EC0" w:rsidRPr="005557B0" w:rsidRDefault="00091EC0" w:rsidP="005557B0">
            <w:pPr>
              <w:spacing w:line="240" w:lineRule="auto"/>
              <w:ind w:firstLineChars="200" w:firstLine="400"/>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Show up fee-mixed</w:t>
            </w:r>
          </w:p>
        </w:tc>
        <w:tc>
          <w:tcPr>
            <w:tcW w:w="0" w:type="auto"/>
            <w:tcBorders>
              <w:top w:val="nil"/>
              <w:left w:val="nil"/>
              <w:bottom w:val="nil"/>
              <w:right w:val="nil"/>
            </w:tcBorders>
            <w:shd w:val="clear" w:color="auto" w:fill="auto"/>
            <w:noWrap/>
            <w:vAlign w:val="center"/>
            <w:hideMark/>
          </w:tcPr>
          <w:p w14:paraId="506C0DD3"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0.019</w:t>
            </w:r>
          </w:p>
        </w:tc>
        <w:tc>
          <w:tcPr>
            <w:tcW w:w="0" w:type="auto"/>
            <w:tcBorders>
              <w:top w:val="nil"/>
              <w:left w:val="nil"/>
              <w:bottom w:val="nil"/>
              <w:right w:val="nil"/>
            </w:tcBorders>
            <w:shd w:val="clear" w:color="auto" w:fill="auto"/>
            <w:noWrap/>
            <w:vAlign w:val="center"/>
            <w:hideMark/>
          </w:tcPr>
          <w:p w14:paraId="5C5B2F64"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0.157</w:t>
            </w:r>
          </w:p>
        </w:tc>
        <w:tc>
          <w:tcPr>
            <w:tcW w:w="0" w:type="auto"/>
            <w:tcBorders>
              <w:top w:val="nil"/>
              <w:left w:val="nil"/>
              <w:bottom w:val="nil"/>
              <w:right w:val="nil"/>
            </w:tcBorders>
            <w:shd w:val="clear" w:color="auto" w:fill="auto"/>
            <w:noWrap/>
            <w:vAlign w:val="center"/>
            <w:hideMark/>
          </w:tcPr>
          <w:p w14:paraId="31360411"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[–0.290, 0.328]</w:t>
            </w:r>
          </w:p>
        </w:tc>
      </w:tr>
      <w:tr w:rsidR="00091EC0" w:rsidRPr="005557B0" w14:paraId="7DC99FE6" w14:textId="77777777" w:rsidTr="00D14C1C">
        <w:trPr>
          <w:trHeight w:val="225"/>
        </w:trPr>
        <w:tc>
          <w:tcPr>
            <w:tcW w:w="0" w:type="auto"/>
            <w:tcBorders>
              <w:top w:val="nil"/>
              <w:left w:val="nil"/>
              <w:bottom w:val="nil"/>
              <w:right w:val="nil"/>
            </w:tcBorders>
            <w:shd w:val="clear" w:color="auto" w:fill="auto"/>
            <w:noWrap/>
            <w:vAlign w:val="bottom"/>
            <w:hideMark/>
          </w:tcPr>
          <w:p w14:paraId="3920DD62" w14:textId="77777777" w:rsidR="00091EC0" w:rsidRPr="005557B0" w:rsidRDefault="00091EC0" w:rsidP="005557B0">
            <w:pPr>
              <w:spacing w:line="240" w:lineRule="auto"/>
              <w:ind w:firstLineChars="200" w:firstLine="400"/>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Game incentive-yes</w:t>
            </w:r>
          </w:p>
        </w:tc>
        <w:tc>
          <w:tcPr>
            <w:tcW w:w="0" w:type="auto"/>
            <w:tcBorders>
              <w:top w:val="nil"/>
              <w:left w:val="nil"/>
              <w:bottom w:val="nil"/>
              <w:right w:val="nil"/>
            </w:tcBorders>
            <w:shd w:val="clear" w:color="auto" w:fill="auto"/>
            <w:noWrap/>
            <w:vAlign w:val="center"/>
            <w:hideMark/>
          </w:tcPr>
          <w:p w14:paraId="3CD9DA3C"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–0.135</w:t>
            </w:r>
          </w:p>
        </w:tc>
        <w:tc>
          <w:tcPr>
            <w:tcW w:w="0" w:type="auto"/>
            <w:tcBorders>
              <w:top w:val="nil"/>
              <w:left w:val="nil"/>
              <w:bottom w:val="nil"/>
              <w:right w:val="nil"/>
            </w:tcBorders>
            <w:shd w:val="clear" w:color="auto" w:fill="auto"/>
            <w:noWrap/>
            <w:vAlign w:val="center"/>
            <w:hideMark/>
          </w:tcPr>
          <w:p w14:paraId="0C960BAA"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0.087</w:t>
            </w:r>
          </w:p>
        </w:tc>
        <w:tc>
          <w:tcPr>
            <w:tcW w:w="0" w:type="auto"/>
            <w:tcBorders>
              <w:top w:val="nil"/>
              <w:left w:val="nil"/>
              <w:bottom w:val="nil"/>
              <w:right w:val="nil"/>
            </w:tcBorders>
            <w:shd w:val="clear" w:color="auto" w:fill="auto"/>
            <w:noWrap/>
            <w:vAlign w:val="center"/>
            <w:hideMark/>
          </w:tcPr>
          <w:p w14:paraId="734A2064"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[–0.305, 0.036]</w:t>
            </w:r>
          </w:p>
        </w:tc>
      </w:tr>
      <w:tr w:rsidR="00091EC0" w:rsidRPr="005557B0" w14:paraId="09ABD1E8" w14:textId="77777777" w:rsidTr="00D14C1C">
        <w:trPr>
          <w:trHeight w:val="225"/>
        </w:trPr>
        <w:tc>
          <w:tcPr>
            <w:tcW w:w="0" w:type="auto"/>
            <w:tcBorders>
              <w:top w:val="nil"/>
              <w:left w:val="nil"/>
              <w:bottom w:val="nil"/>
              <w:right w:val="nil"/>
            </w:tcBorders>
            <w:shd w:val="clear" w:color="auto" w:fill="auto"/>
            <w:noWrap/>
            <w:vAlign w:val="bottom"/>
            <w:hideMark/>
          </w:tcPr>
          <w:p w14:paraId="3B083942" w14:textId="77777777" w:rsidR="00091EC0" w:rsidRPr="005557B0" w:rsidRDefault="00091EC0" w:rsidP="005557B0">
            <w:pPr>
              <w:spacing w:line="240" w:lineRule="auto"/>
              <w:ind w:firstLineChars="200" w:firstLine="400"/>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Game incentive-mixed</w:t>
            </w:r>
          </w:p>
        </w:tc>
        <w:tc>
          <w:tcPr>
            <w:tcW w:w="0" w:type="auto"/>
            <w:tcBorders>
              <w:top w:val="nil"/>
              <w:left w:val="nil"/>
              <w:bottom w:val="nil"/>
              <w:right w:val="nil"/>
            </w:tcBorders>
            <w:shd w:val="clear" w:color="auto" w:fill="auto"/>
            <w:noWrap/>
            <w:vAlign w:val="center"/>
            <w:hideMark/>
          </w:tcPr>
          <w:p w14:paraId="458978CF"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–0.223</w:t>
            </w:r>
          </w:p>
        </w:tc>
        <w:tc>
          <w:tcPr>
            <w:tcW w:w="0" w:type="auto"/>
            <w:tcBorders>
              <w:top w:val="nil"/>
              <w:left w:val="nil"/>
              <w:bottom w:val="nil"/>
              <w:right w:val="nil"/>
            </w:tcBorders>
            <w:shd w:val="clear" w:color="auto" w:fill="auto"/>
            <w:noWrap/>
            <w:vAlign w:val="center"/>
            <w:hideMark/>
          </w:tcPr>
          <w:p w14:paraId="45EC8340"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0.342</w:t>
            </w:r>
          </w:p>
        </w:tc>
        <w:tc>
          <w:tcPr>
            <w:tcW w:w="0" w:type="auto"/>
            <w:tcBorders>
              <w:top w:val="nil"/>
              <w:left w:val="nil"/>
              <w:bottom w:val="nil"/>
              <w:right w:val="nil"/>
            </w:tcBorders>
            <w:shd w:val="clear" w:color="auto" w:fill="auto"/>
            <w:noWrap/>
            <w:vAlign w:val="center"/>
            <w:hideMark/>
          </w:tcPr>
          <w:p w14:paraId="1D74173A"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[–0.894, 0.449]</w:t>
            </w:r>
          </w:p>
        </w:tc>
      </w:tr>
      <w:tr w:rsidR="00091EC0" w:rsidRPr="005557B0" w14:paraId="790D21B0" w14:textId="77777777" w:rsidTr="00D14C1C">
        <w:trPr>
          <w:trHeight w:val="225"/>
        </w:trPr>
        <w:tc>
          <w:tcPr>
            <w:tcW w:w="0" w:type="auto"/>
            <w:tcBorders>
              <w:top w:val="nil"/>
              <w:left w:val="nil"/>
              <w:bottom w:val="nil"/>
              <w:right w:val="nil"/>
            </w:tcBorders>
            <w:shd w:val="clear" w:color="auto" w:fill="auto"/>
            <w:noWrap/>
            <w:hideMark/>
          </w:tcPr>
          <w:p w14:paraId="1FA06FD9" w14:textId="77777777" w:rsidR="00091EC0" w:rsidRPr="005557B0" w:rsidRDefault="00091EC0" w:rsidP="005557B0">
            <w:pPr>
              <w:spacing w:line="240" w:lineRule="auto"/>
              <w:ind w:firstLineChars="200" w:firstLine="400"/>
              <w:rPr>
                <w:rFonts w:eastAsia="Times New Roman" w:cs="Times New Roman"/>
                <w:color w:val="000000"/>
                <w:sz w:val="20"/>
                <w:szCs w:val="20"/>
                <w:lang w:val="nl-NL" w:eastAsia="zh-CN"/>
              </w:rPr>
            </w:pPr>
            <w:proofErr w:type="spellStart"/>
            <w:r w:rsidRPr="005557B0">
              <w:rPr>
                <w:rFonts w:eastAsia="Times New Roman" w:cs="Times New Roman"/>
                <w:color w:val="000000"/>
                <w:sz w:val="20"/>
                <w:szCs w:val="20"/>
                <w:lang w:val="nl-NL" w:eastAsia="zh-CN"/>
              </w:rPr>
              <w:t>Deception</w:t>
            </w:r>
            <w:proofErr w:type="spellEnd"/>
            <w:r w:rsidRPr="005557B0">
              <w:rPr>
                <w:rFonts w:eastAsia="Times New Roman" w:cs="Times New Roman"/>
                <w:color w:val="000000"/>
                <w:sz w:val="20"/>
                <w:szCs w:val="20"/>
                <w:lang w:val="nl-NL" w:eastAsia="zh-CN"/>
              </w:rPr>
              <w:t>-yes</w:t>
            </w:r>
          </w:p>
        </w:tc>
        <w:tc>
          <w:tcPr>
            <w:tcW w:w="0" w:type="auto"/>
            <w:tcBorders>
              <w:top w:val="nil"/>
              <w:left w:val="nil"/>
              <w:bottom w:val="nil"/>
              <w:right w:val="nil"/>
            </w:tcBorders>
            <w:shd w:val="clear" w:color="auto" w:fill="auto"/>
            <w:noWrap/>
            <w:vAlign w:val="center"/>
            <w:hideMark/>
          </w:tcPr>
          <w:p w14:paraId="68EFA502"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0.135*</w:t>
            </w:r>
          </w:p>
        </w:tc>
        <w:tc>
          <w:tcPr>
            <w:tcW w:w="0" w:type="auto"/>
            <w:tcBorders>
              <w:top w:val="nil"/>
              <w:left w:val="nil"/>
              <w:bottom w:val="nil"/>
              <w:right w:val="nil"/>
            </w:tcBorders>
            <w:shd w:val="clear" w:color="auto" w:fill="auto"/>
            <w:noWrap/>
            <w:vAlign w:val="center"/>
            <w:hideMark/>
          </w:tcPr>
          <w:p w14:paraId="4C9A1B03"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0.042</w:t>
            </w:r>
          </w:p>
        </w:tc>
        <w:tc>
          <w:tcPr>
            <w:tcW w:w="0" w:type="auto"/>
            <w:tcBorders>
              <w:top w:val="nil"/>
              <w:left w:val="nil"/>
              <w:bottom w:val="nil"/>
              <w:right w:val="nil"/>
            </w:tcBorders>
            <w:shd w:val="clear" w:color="auto" w:fill="auto"/>
            <w:noWrap/>
            <w:vAlign w:val="center"/>
            <w:hideMark/>
          </w:tcPr>
          <w:p w14:paraId="4F0B2166"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[0.053, 0.217]</w:t>
            </w:r>
          </w:p>
        </w:tc>
      </w:tr>
      <w:tr w:rsidR="00091EC0" w:rsidRPr="005557B0" w14:paraId="34C38E2B" w14:textId="77777777" w:rsidTr="00D14C1C">
        <w:trPr>
          <w:trHeight w:val="225"/>
        </w:trPr>
        <w:tc>
          <w:tcPr>
            <w:tcW w:w="0" w:type="auto"/>
            <w:tcBorders>
              <w:top w:val="nil"/>
              <w:left w:val="nil"/>
              <w:bottom w:val="nil"/>
              <w:right w:val="nil"/>
            </w:tcBorders>
            <w:shd w:val="clear" w:color="auto" w:fill="auto"/>
            <w:noWrap/>
            <w:hideMark/>
          </w:tcPr>
          <w:p w14:paraId="07D262C3" w14:textId="77777777" w:rsidR="00091EC0" w:rsidRPr="005557B0" w:rsidRDefault="00091EC0" w:rsidP="005557B0">
            <w:pPr>
              <w:spacing w:line="240" w:lineRule="auto"/>
              <w:ind w:firstLineChars="200" w:firstLine="400"/>
              <w:rPr>
                <w:rFonts w:eastAsia="Times New Roman" w:cs="Times New Roman"/>
                <w:color w:val="000000"/>
                <w:sz w:val="20"/>
                <w:szCs w:val="20"/>
                <w:lang w:val="nl-NL" w:eastAsia="zh-CN"/>
              </w:rPr>
            </w:pPr>
            <w:proofErr w:type="spellStart"/>
            <w:r w:rsidRPr="005557B0">
              <w:rPr>
                <w:rFonts w:eastAsia="Times New Roman" w:cs="Times New Roman"/>
                <w:color w:val="000000"/>
                <w:sz w:val="20"/>
                <w:szCs w:val="20"/>
                <w:lang w:val="nl-NL" w:eastAsia="zh-CN"/>
              </w:rPr>
              <w:t>Deception</w:t>
            </w:r>
            <w:proofErr w:type="spellEnd"/>
            <w:r w:rsidRPr="005557B0">
              <w:rPr>
                <w:rFonts w:eastAsia="Times New Roman" w:cs="Times New Roman"/>
                <w:color w:val="000000"/>
                <w:sz w:val="20"/>
                <w:szCs w:val="20"/>
                <w:lang w:val="nl-NL" w:eastAsia="zh-CN"/>
              </w:rPr>
              <w:t>-mixed</w:t>
            </w:r>
          </w:p>
        </w:tc>
        <w:tc>
          <w:tcPr>
            <w:tcW w:w="0" w:type="auto"/>
            <w:tcBorders>
              <w:top w:val="nil"/>
              <w:left w:val="nil"/>
              <w:bottom w:val="nil"/>
              <w:right w:val="nil"/>
            </w:tcBorders>
            <w:shd w:val="clear" w:color="auto" w:fill="auto"/>
            <w:noWrap/>
            <w:vAlign w:val="center"/>
            <w:hideMark/>
          </w:tcPr>
          <w:p w14:paraId="2D239634"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0.084</w:t>
            </w:r>
          </w:p>
        </w:tc>
        <w:tc>
          <w:tcPr>
            <w:tcW w:w="0" w:type="auto"/>
            <w:tcBorders>
              <w:top w:val="nil"/>
              <w:left w:val="nil"/>
              <w:bottom w:val="nil"/>
              <w:right w:val="nil"/>
            </w:tcBorders>
            <w:shd w:val="clear" w:color="auto" w:fill="auto"/>
            <w:noWrap/>
            <w:vAlign w:val="center"/>
            <w:hideMark/>
          </w:tcPr>
          <w:p w14:paraId="494607AE"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0.214</w:t>
            </w:r>
          </w:p>
        </w:tc>
        <w:tc>
          <w:tcPr>
            <w:tcW w:w="0" w:type="auto"/>
            <w:tcBorders>
              <w:top w:val="nil"/>
              <w:left w:val="nil"/>
              <w:bottom w:val="nil"/>
              <w:right w:val="nil"/>
            </w:tcBorders>
            <w:shd w:val="clear" w:color="auto" w:fill="auto"/>
            <w:noWrap/>
            <w:vAlign w:val="center"/>
            <w:hideMark/>
          </w:tcPr>
          <w:p w14:paraId="1EA1804B"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[–0.336, 0.504]</w:t>
            </w:r>
          </w:p>
        </w:tc>
      </w:tr>
      <w:tr w:rsidR="00091EC0" w:rsidRPr="005557B0" w14:paraId="78CDE281" w14:textId="77777777" w:rsidTr="00D14C1C">
        <w:trPr>
          <w:trHeight w:val="225"/>
        </w:trPr>
        <w:tc>
          <w:tcPr>
            <w:tcW w:w="0" w:type="auto"/>
            <w:tcBorders>
              <w:top w:val="nil"/>
              <w:left w:val="nil"/>
              <w:bottom w:val="nil"/>
              <w:right w:val="nil"/>
            </w:tcBorders>
            <w:shd w:val="clear" w:color="auto" w:fill="auto"/>
            <w:noWrap/>
            <w:hideMark/>
          </w:tcPr>
          <w:p w14:paraId="4D31E80E" w14:textId="77777777" w:rsidR="00091EC0" w:rsidRPr="005557B0" w:rsidRDefault="00091EC0" w:rsidP="005557B0">
            <w:pPr>
              <w:spacing w:line="240" w:lineRule="auto"/>
              <w:rPr>
                <w:rFonts w:eastAsia="Times New Roman" w:cs="Times New Roman"/>
                <w:i/>
                <w:iCs/>
                <w:color w:val="000000"/>
                <w:sz w:val="20"/>
                <w:szCs w:val="20"/>
                <w:lang w:val="nl-NL" w:eastAsia="zh-CN"/>
              </w:rPr>
            </w:pPr>
            <w:proofErr w:type="spellStart"/>
            <w:r w:rsidRPr="005557B0">
              <w:rPr>
                <w:rFonts w:eastAsia="Times New Roman" w:cs="Times New Roman"/>
                <w:i/>
                <w:iCs/>
                <w:color w:val="000000"/>
                <w:sz w:val="20"/>
                <w:szCs w:val="20"/>
                <w:lang w:val="nl-NL" w:eastAsia="zh-CN"/>
              </w:rPr>
              <w:t>Interactions</w:t>
            </w:r>
            <w:proofErr w:type="spellEnd"/>
          </w:p>
        </w:tc>
        <w:tc>
          <w:tcPr>
            <w:tcW w:w="0" w:type="auto"/>
            <w:tcBorders>
              <w:top w:val="nil"/>
              <w:left w:val="nil"/>
              <w:bottom w:val="nil"/>
              <w:right w:val="nil"/>
            </w:tcBorders>
            <w:shd w:val="clear" w:color="auto" w:fill="auto"/>
            <w:noWrap/>
            <w:vAlign w:val="center"/>
            <w:hideMark/>
          </w:tcPr>
          <w:p w14:paraId="0EA03229" w14:textId="77777777" w:rsidR="00091EC0" w:rsidRPr="005557B0" w:rsidRDefault="00091EC0" w:rsidP="005557B0">
            <w:pPr>
              <w:spacing w:line="240" w:lineRule="auto"/>
              <w:rPr>
                <w:rFonts w:eastAsia="Times New Roman" w:cs="Times New Roman"/>
                <w:i/>
                <w:iCs/>
                <w:color w:val="000000"/>
                <w:sz w:val="20"/>
                <w:szCs w:val="20"/>
                <w:lang w:val="nl-NL" w:eastAsia="zh-CN"/>
              </w:rPr>
            </w:pPr>
          </w:p>
        </w:tc>
        <w:tc>
          <w:tcPr>
            <w:tcW w:w="0" w:type="auto"/>
            <w:tcBorders>
              <w:top w:val="nil"/>
              <w:left w:val="nil"/>
              <w:bottom w:val="nil"/>
              <w:right w:val="nil"/>
            </w:tcBorders>
            <w:shd w:val="clear" w:color="auto" w:fill="auto"/>
            <w:noWrap/>
            <w:vAlign w:val="center"/>
            <w:hideMark/>
          </w:tcPr>
          <w:p w14:paraId="32B116E7" w14:textId="77777777" w:rsidR="00091EC0" w:rsidRPr="005557B0" w:rsidRDefault="00091EC0" w:rsidP="005557B0">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4EC864BF" w14:textId="77777777" w:rsidR="00091EC0" w:rsidRPr="005557B0" w:rsidRDefault="00091EC0" w:rsidP="005557B0">
            <w:pPr>
              <w:spacing w:line="240" w:lineRule="auto"/>
              <w:jc w:val="center"/>
              <w:rPr>
                <w:rFonts w:eastAsia="Times New Roman" w:cs="Times New Roman"/>
                <w:sz w:val="20"/>
                <w:szCs w:val="20"/>
                <w:lang w:val="nl-NL" w:eastAsia="zh-CN"/>
              </w:rPr>
            </w:pPr>
          </w:p>
        </w:tc>
      </w:tr>
      <w:tr w:rsidR="00091EC0" w:rsidRPr="005557B0" w14:paraId="66106589" w14:textId="77777777" w:rsidTr="00D14C1C">
        <w:trPr>
          <w:trHeight w:val="225"/>
        </w:trPr>
        <w:tc>
          <w:tcPr>
            <w:tcW w:w="0" w:type="auto"/>
            <w:tcBorders>
              <w:top w:val="nil"/>
              <w:left w:val="nil"/>
              <w:bottom w:val="nil"/>
              <w:right w:val="nil"/>
            </w:tcBorders>
            <w:shd w:val="clear" w:color="auto" w:fill="auto"/>
            <w:noWrap/>
            <w:vAlign w:val="bottom"/>
            <w:hideMark/>
          </w:tcPr>
          <w:p w14:paraId="0D775704" w14:textId="07AA6DD0" w:rsidR="00091EC0" w:rsidRPr="005557B0" w:rsidRDefault="005D4016" w:rsidP="005557B0">
            <w:pPr>
              <w:spacing w:line="240" w:lineRule="auto"/>
              <w:ind w:firstLineChars="200" w:firstLine="400"/>
              <w:rPr>
                <w:rFonts w:eastAsia="Times New Roman" w:cs="Times New Roman"/>
                <w:color w:val="000000"/>
                <w:sz w:val="20"/>
                <w:szCs w:val="20"/>
                <w:lang w:eastAsia="zh-CN"/>
              </w:rPr>
            </w:pPr>
            <w:r w:rsidRPr="005D4016">
              <w:rPr>
                <w:rFonts w:eastAsia="Times New Roman" w:cs="Times New Roman"/>
                <w:color w:val="000000"/>
                <w:sz w:val="20"/>
                <w:szCs w:val="20"/>
                <w:lang w:val="en-GB" w:eastAsia="zh-CN"/>
              </w:rPr>
              <w:t>Matching design-partner</w:t>
            </w:r>
            <w:r w:rsidR="00091EC0" w:rsidRPr="005557B0">
              <w:rPr>
                <w:rFonts w:eastAsia="Times New Roman" w:cs="Times New Roman"/>
                <w:color w:val="000000"/>
                <w:sz w:val="20"/>
                <w:szCs w:val="20"/>
                <w:lang w:eastAsia="zh-CN"/>
              </w:rPr>
              <w:t>*Game incentive-yes</w:t>
            </w:r>
          </w:p>
        </w:tc>
        <w:tc>
          <w:tcPr>
            <w:tcW w:w="0" w:type="auto"/>
            <w:tcBorders>
              <w:top w:val="nil"/>
              <w:left w:val="nil"/>
              <w:bottom w:val="nil"/>
              <w:right w:val="nil"/>
            </w:tcBorders>
            <w:shd w:val="clear" w:color="auto" w:fill="auto"/>
            <w:noWrap/>
            <w:vAlign w:val="center"/>
            <w:hideMark/>
          </w:tcPr>
          <w:p w14:paraId="3651FA83"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0.237</w:t>
            </w:r>
          </w:p>
        </w:tc>
        <w:tc>
          <w:tcPr>
            <w:tcW w:w="0" w:type="auto"/>
            <w:tcBorders>
              <w:top w:val="nil"/>
              <w:left w:val="nil"/>
              <w:bottom w:val="nil"/>
              <w:right w:val="nil"/>
            </w:tcBorders>
            <w:shd w:val="clear" w:color="auto" w:fill="auto"/>
            <w:noWrap/>
            <w:vAlign w:val="center"/>
            <w:hideMark/>
          </w:tcPr>
          <w:p w14:paraId="02044710"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0.119</w:t>
            </w:r>
          </w:p>
        </w:tc>
        <w:tc>
          <w:tcPr>
            <w:tcW w:w="0" w:type="auto"/>
            <w:tcBorders>
              <w:top w:val="nil"/>
              <w:left w:val="nil"/>
              <w:bottom w:val="nil"/>
              <w:right w:val="nil"/>
            </w:tcBorders>
            <w:shd w:val="clear" w:color="auto" w:fill="auto"/>
            <w:noWrap/>
            <w:vAlign w:val="center"/>
            <w:hideMark/>
          </w:tcPr>
          <w:p w14:paraId="7926F19F"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[0.004, 0.470]</w:t>
            </w:r>
          </w:p>
        </w:tc>
      </w:tr>
      <w:tr w:rsidR="00091EC0" w:rsidRPr="005557B0" w14:paraId="3A7E2C9E" w14:textId="77777777" w:rsidTr="00D14C1C">
        <w:trPr>
          <w:trHeight w:val="225"/>
        </w:trPr>
        <w:tc>
          <w:tcPr>
            <w:tcW w:w="0" w:type="auto"/>
            <w:tcBorders>
              <w:top w:val="nil"/>
              <w:left w:val="nil"/>
              <w:bottom w:val="nil"/>
              <w:right w:val="nil"/>
            </w:tcBorders>
            <w:shd w:val="clear" w:color="auto" w:fill="auto"/>
            <w:noWrap/>
            <w:vAlign w:val="bottom"/>
            <w:hideMark/>
          </w:tcPr>
          <w:p w14:paraId="1E142498" w14:textId="00E3EEDA" w:rsidR="00091EC0" w:rsidRPr="005557B0" w:rsidRDefault="005D4016" w:rsidP="005557B0">
            <w:pPr>
              <w:spacing w:line="240" w:lineRule="auto"/>
              <w:ind w:firstLineChars="200" w:firstLine="400"/>
              <w:rPr>
                <w:rFonts w:eastAsia="Times New Roman" w:cs="Times New Roman"/>
                <w:color w:val="000000"/>
                <w:sz w:val="20"/>
                <w:szCs w:val="20"/>
                <w:lang w:eastAsia="zh-CN"/>
              </w:rPr>
            </w:pPr>
            <w:r w:rsidRPr="005D4016">
              <w:rPr>
                <w:rFonts w:eastAsia="Times New Roman" w:cs="Times New Roman"/>
                <w:color w:val="000000"/>
                <w:sz w:val="20"/>
                <w:szCs w:val="20"/>
                <w:lang w:val="en-GB" w:eastAsia="zh-CN"/>
              </w:rPr>
              <w:t>Matching design-mixed</w:t>
            </w:r>
            <w:r w:rsidR="00091EC0" w:rsidRPr="005557B0">
              <w:rPr>
                <w:rFonts w:eastAsia="Times New Roman" w:cs="Times New Roman"/>
                <w:color w:val="000000"/>
                <w:sz w:val="20"/>
                <w:szCs w:val="20"/>
                <w:lang w:eastAsia="zh-CN"/>
              </w:rPr>
              <w:t>*Game incentive-yes</w:t>
            </w:r>
          </w:p>
        </w:tc>
        <w:tc>
          <w:tcPr>
            <w:tcW w:w="0" w:type="auto"/>
            <w:tcBorders>
              <w:top w:val="nil"/>
              <w:left w:val="nil"/>
              <w:bottom w:val="nil"/>
              <w:right w:val="nil"/>
            </w:tcBorders>
            <w:shd w:val="clear" w:color="auto" w:fill="auto"/>
            <w:noWrap/>
            <w:vAlign w:val="center"/>
            <w:hideMark/>
          </w:tcPr>
          <w:p w14:paraId="05CC9D4F"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–0.022</w:t>
            </w:r>
          </w:p>
        </w:tc>
        <w:tc>
          <w:tcPr>
            <w:tcW w:w="0" w:type="auto"/>
            <w:tcBorders>
              <w:top w:val="nil"/>
              <w:left w:val="nil"/>
              <w:bottom w:val="nil"/>
              <w:right w:val="nil"/>
            </w:tcBorders>
            <w:shd w:val="clear" w:color="auto" w:fill="auto"/>
            <w:noWrap/>
            <w:vAlign w:val="center"/>
            <w:hideMark/>
          </w:tcPr>
          <w:p w14:paraId="15BB9B1F"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0.392</w:t>
            </w:r>
          </w:p>
        </w:tc>
        <w:tc>
          <w:tcPr>
            <w:tcW w:w="0" w:type="auto"/>
            <w:tcBorders>
              <w:top w:val="nil"/>
              <w:left w:val="nil"/>
              <w:bottom w:val="nil"/>
              <w:right w:val="nil"/>
            </w:tcBorders>
            <w:shd w:val="clear" w:color="auto" w:fill="auto"/>
            <w:noWrap/>
            <w:vAlign w:val="center"/>
            <w:hideMark/>
          </w:tcPr>
          <w:p w14:paraId="593AA94F"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[–0.791, 0.747]</w:t>
            </w:r>
          </w:p>
        </w:tc>
      </w:tr>
      <w:tr w:rsidR="00091EC0" w:rsidRPr="005557B0" w14:paraId="64BBBCF2" w14:textId="77777777" w:rsidTr="00D14C1C">
        <w:trPr>
          <w:trHeight w:val="225"/>
        </w:trPr>
        <w:tc>
          <w:tcPr>
            <w:tcW w:w="0" w:type="auto"/>
            <w:tcBorders>
              <w:top w:val="nil"/>
              <w:left w:val="nil"/>
              <w:bottom w:val="nil"/>
              <w:right w:val="nil"/>
            </w:tcBorders>
            <w:shd w:val="clear" w:color="auto" w:fill="auto"/>
            <w:noWrap/>
            <w:vAlign w:val="bottom"/>
            <w:hideMark/>
          </w:tcPr>
          <w:p w14:paraId="158278FA" w14:textId="7196DDD5" w:rsidR="00091EC0" w:rsidRPr="005557B0" w:rsidRDefault="005D4016" w:rsidP="005557B0">
            <w:pPr>
              <w:spacing w:line="240" w:lineRule="auto"/>
              <w:ind w:firstLineChars="200" w:firstLine="400"/>
              <w:rPr>
                <w:rFonts w:eastAsia="Times New Roman" w:cs="Times New Roman"/>
                <w:color w:val="000000"/>
                <w:sz w:val="20"/>
                <w:szCs w:val="20"/>
                <w:lang w:eastAsia="zh-CN"/>
              </w:rPr>
            </w:pPr>
            <w:r w:rsidRPr="005D4016">
              <w:rPr>
                <w:rFonts w:eastAsia="Times New Roman" w:cs="Times New Roman"/>
                <w:color w:val="000000"/>
                <w:sz w:val="20"/>
                <w:szCs w:val="20"/>
                <w:lang w:val="en-GB" w:eastAsia="zh-CN"/>
              </w:rPr>
              <w:t>Matching design-partner</w:t>
            </w:r>
            <w:r w:rsidR="00091EC0" w:rsidRPr="005557B0">
              <w:rPr>
                <w:rFonts w:eastAsia="Times New Roman" w:cs="Times New Roman"/>
                <w:color w:val="000000"/>
                <w:sz w:val="20"/>
                <w:szCs w:val="20"/>
                <w:lang w:eastAsia="zh-CN"/>
              </w:rPr>
              <w:t>*Game incentive-mixed</w:t>
            </w:r>
          </w:p>
        </w:tc>
        <w:tc>
          <w:tcPr>
            <w:tcW w:w="0" w:type="auto"/>
            <w:tcBorders>
              <w:top w:val="nil"/>
              <w:left w:val="nil"/>
              <w:bottom w:val="nil"/>
              <w:right w:val="nil"/>
            </w:tcBorders>
            <w:shd w:val="clear" w:color="auto" w:fill="auto"/>
            <w:noWrap/>
            <w:vAlign w:val="center"/>
            <w:hideMark/>
          </w:tcPr>
          <w:p w14:paraId="4967BE8D"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0.553</w:t>
            </w:r>
          </w:p>
        </w:tc>
        <w:tc>
          <w:tcPr>
            <w:tcW w:w="0" w:type="auto"/>
            <w:tcBorders>
              <w:top w:val="nil"/>
              <w:left w:val="nil"/>
              <w:bottom w:val="nil"/>
              <w:right w:val="nil"/>
            </w:tcBorders>
            <w:shd w:val="clear" w:color="auto" w:fill="auto"/>
            <w:noWrap/>
            <w:vAlign w:val="center"/>
            <w:hideMark/>
          </w:tcPr>
          <w:p w14:paraId="2C05F5C0"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0.590</w:t>
            </w:r>
          </w:p>
        </w:tc>
        <w:tc>
          <w:tcPr>
            <w:tcW w:w="0" w:type="auto"/>
            <w:tcBorders>
              <w:top w:val="nil"/>
              <w:left w:val="nil"/>
              <w:bottom w:val="nil"/>
              <w:right w:val="nil"/>
            </w:tcBorders>
            <w:shd w:val="clear" w:color="auto" w:fill="auto"/>
            <w:noWrap/>
            <w:vAlign w:val="center"/>
            <w:hideMark/>
          </w:tcPr>
          <w:p w14:paraId="7BB18802"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[–0.604, 1.711]</w:t>
            </w:r>
          </w:p>
        </w:tc>
      </w:tr>
      <w:tr w:rsidR="00091EC0" w:rsidRPr="005557B0" w14:paraId="2FC4E312" w14:textId="77777777" w:rsidTr="00D14C1C">
        <w:trPr>
          <w:trHeight w:val="225"/>
        </w:trPr>
        <w:tc>
          <w:tcPr>
            <w:tcW w:w="0" w:type="auto"/>
            <w:tcBorders>
              <w:top w:val="nil"/>
              <w:left w:val="nil"/>
              <w:bottom w:val="nil"/>
              <w:right w:val="nil"/>
            </w:tcBorders>
            <w:shd w:val="clear" w:color="auto" w:fill="auto"/>
            <w:noWrap/>
            <w:vAlign w:val="bottom"/>
            <w:hideMark/>
          </w:tcPr>
          <w:p w14:paraId="114C7273" w14:textId="03C74196" w:rsidR="00091EC0" w:rsidRPr="005557B0" w:rsidRDefault="005D4016" w:rsidP="005557B0">
            <w:pPr>
              <w:spacing w:line="240" w:lineRule="auto"/>
              <w:ind w:firstLineChars="200" w:firstLine="400"/>
              <w:rPr>
                <w:rFonts w:eastAsia="Times New Roman" w:cs="Times New Roman"/>
                <w:color w:val="000000"/>
                <w:sz w:val="20"/>
                <w:szCs w:val="20"/>
                <w:lang w:eastAsia="zh-CN"/>
              </w:rPr>
            </w:pPr>
            <w:r w:rsidRPr="005D4016">
              <w:rPr>
                <w:rFonts w:eastAsia="Times New Roman" w:cs="Times New Roman"/>
                <w:color w:val="000000"/>
                <w:sz w:val="20"/>
                <w:szCs w:val="20"/>
                <w:lang w:val="en-GB" w:eastAsia="zh-CN"/>
              </w:rPr>
              <w:t>Matching design-mixed</w:t>
            </w:r>
            <w:r w:rsidR="00091EC0" w:rsidRPr="005557B0">
              <w:rPr>
                <w:rFonts w:eastAsia="Times New Roman" w:cs="Times New Roman"/>
                <w:color w:val="000000"/>
                <w:sz w:val="20"/>
                <w:szCs w:val="20"/>
                <w:lang w:eastAsia="zh-CN"/>
              </w:rPr>
              <w:t>*Game incentive-mixed</w:t>
            </w:r>
          </w:p>
        </w:tc>
        <w:tc>
          <w:tcPr>
            <w:tcW w:w="0" w:type="auto"/>
            <w:tcBorders>
              <w:top w:val="nil"/>
              <w:left w:val="nil"/>
              <w:bottom w:val="nil"/>
              <w:right w:val="nil"/>
            </w:tcBorders>
            <w:shd w:val="clear" w:color="auto" w:fill="auto"/>
            <w:noWrap/>
            <w:vAlign w:val="center"/>
            <w:hideMark/>
          </w:tcPr>
          <w:p w14:paraId="3CCF53C9"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–0.032</w:t>
            </w:r>
          </w:p>
        </w:tc>
        <w:tc>
          <w:tcPr>
            <w:tcW w:w="0" w:type="auto"/>
            <w:tcBorders>
              <w:top w:val="nil"/>
              <w:left w:val="nil"/>
              <w:bottom w:val="nil"/>
              <w:right w:val="nil"/>
            </w:tcBorders>
            <w:shd w:val="clear" w:color="auto" w:fill="auto"/>
            <w:noWrap/>
            <w:vAlign w:val="center"/>
            <w:hideMark/>
          </w:tcPr>
          <w:p w14:paraId="78CE0DB9"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0.885</w:t>
            </w:r>
          </w:p>
        </w:tc>
        <w:tc>
          <w:tcPr>
            <w:tcW w:w="0" w:type="auto"/>
            <w:tcBorders>
              <w:top w:val="nil"/>
              <w:left w:val="nil"/>
              <w:bottom w:val="nil"/>
              <w:right w:val="nil"/>
            </w:tcBorders>
            <w:shd w:val="clear" w:color="auto" w:fill="auto"/>
            <w:noWrap/>
            <w:vAlign w:val="center"/>
            <w:hideMark/>
          </w:tcPr>
          <w:p w14:paraId="13F16BE5"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[–1.766, 1.703]</w:t>
            </w:r>
          </w:p>
        </w:tc>
      </w:tr>
      <w:tr w:rsidR="00091EC0" w:rsidRPr="005557B0" w14:paraId="13DC3711" w14:textId="77777777" w:rsidTr="00D14C1C">
        <w:trPr>
          <w:trHeight w:val="225"/>
        </w:trPr>
        <w:tc>
          <w:tcPr>
            <w:tcW w:w="0" w:type="auto"/>
            <w:tcBorders>
              <w:top w:val="nil"/>
              <w:left w:val="nil"/>
              <w:bottom w:val="nil"/>
              <w:right w:val="nil"/>
            </w:tcBorders>
            <w:shd w:val="clear" w:color="auto" w:fill="auto"/>
            <w:noWrap/>
            <w:vAlign w:val="bottom"/>
            <w:hideMark/>
          </w:tcPr>
          <w:p w14:paraId="2F47E9D4" w14:textId="07FBD5C5" w:rsidR="00091EC0" w:rsidRPr="005557B0" w:rsidRDefault="00091EC0" w:rsidP="005557B0">
            <w:pPr>
              <w:spacing w:line="240" w:lineRule="auto"/>
              <w:ind w:firstLineChars="200" w:firstLine="400"/>
              <w:rPr>
                <w:rFonts w:eastAsia="Times New Roman" w:cs="Times New Roman"/>
                <w:color w:val="000000"/>
                <w:sz w:val="20"/>
                <w:szCs w:val="20"/>
                <w:lang w:eastAsia="zh-CN"/>
              </w:rPr>
            </w:pPr>
            <w:r w:rsidRPr="005557B0">
              <w:rPr>
                <w:rFonts w:eastAsia="Times New Roman" w:cs="Times New Roman"/>
                <w:color w:val="000000"/>
                <w:sz w:val="20"/>
                <w:szCs w:val="20"/>
                <w:lang w:eastAsia="zh-CN"/>
              </w:rPr>
              <w:t>Sanction-yes*</w:t>
            </w:r>
            <w:r w:rsidR="005D4016" w:rsidRPr="005D4016">
              <w:rPr>
                <w:rFonts w:eastAsia="Times New Roman" w:cs="Times New Roman"/>
                <w:color w:val="000000"/>
                <w:sz w:val="20"/>
                <w:szCs w:val="20"/>
                <w:lang w:val="en-GB" w:eastAsia="zh-CN"/>
              </w:rPr>
              <w:t>Matching design-partner</w:t>
            </w:r>
          </w:p>
        </w:tc>
        <w:tc>
          <w:tcPr>
            <w:tcW w:w="0" w:type="auto"/>
            <w:tcBorders>
              <w:top w:val="nil"/>
              <w:left w:val="nil"/>
              <w:bottom w:val="nil"/>
              <w:right w:val="nil"/>
            </w:tcBorders>
            <w:shd w:val="clear" w:color="auto" w:fill="auto"/>
            <w:noWrap/>
            <w:vAlign w:val="center"/>
            <w:hideMark/>
          </w:tcPr>
          <w:p w14:paraId="74E23E02"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0.208*</w:t>
            </w:r>
          </w:p>
        </w:tc>
        <w:tc>
          <w:tcPr>
            <w:tcW w:w="0" w:type="auto"/>
            <w:tcBorders>
              <w:top w:val="nil"/>
              <w:left w:val="nil"/>
              <w:bottom w:val="nil"/>
              <w:right w:val="nil"/>
            </w:tcBorders>
            <w:shd w:val="clear" w:color="auto" w:fill="auto"/>
            <w:noWrap/>
            <w:vAlign w:val="center"/>
            <w:hideMark/>
          </w:tcPr>
          <w:p w14:paraId="2671C452"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0.093</w:t>
            </w:r>
          </w:p>
        </w:tc>
        <w:tc>
          <w:tcPr>
            <w:tcW w:w="0" w:type="auto"/>
            <w:tcBorders>
              <w:top w:val="nil"/>
              <w:left w:val="nil"/>
              <w:bottom w:val="nil"/>
              <w:right w:val="nil"/>
            </w:tcBorders>
            <w:shd w:val="clear" w:color="auto" w:fill="auto"/>
            <w:noWrap/>
            <w:vAlign w:val="center"/>
            <w:hideMark/>
          </w:tcPr>
          <w:p w14:paraId="75853F59"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[0.026, 0.390]</w:t>
            </w:r>
          </w:p>
        </w:tc>
      </w:tr>
      <w:tr w:rsidR="00091EC0" w:rsidRPr="005557B0" w14:paraId="1A215BF6" w14:textId="77777777" w:rsidTr="00D14C1C">
        <w:trPr>
          <w:trHeight w:val="225"/>
        </w:trPr>
        <w:tc>
          <w:tcPr>
            <w:tcW w:w="0" w:type="auto"/>
            <w:tcBorders>
              <w:top w:val="nil"/>
              <w:left w:val="nil"/>
              <w:bottom w:val="nil"/>
              <w:right w:val="nil"/>
            </w:tcBorders>
            <w:shd w:val="clear" w:color="auto" w:fill="auto"/>
            <w:noWrap/>
            <w:vAlign w:val="bottom"/>
            <w:hideMark/>
          </w:tcPr>
          <w:p w14:paraId="023932DD" w14:textId="50D455C7" w:rsidR="00091EC0" w:rsidRPr="005557B0" w:rsidRDefault="00091EC0" w:rsidP="005557B0">
            <w:pPr>
              <w:spacing w:line="240" w:lineRule="auto"/>
              <w:ind w:firstLineChars="200" w:firstLine="400"/>
              <w:rPr>
                <w:rFonts w:eastAsia="Times New Roman" w:cs="Times New Roman"/>
                <w:color w:val="000000"/>
                <w:sz w:val="20"/>
                <w:szCs w:val="20"/>
                <w:lang w:eastAsia="zh-CN"/>
              </w:rPr>
            </w:pPr>
            <w:r w:rsidRPr="005557B0">
              <w:rPr>
                <w:rFonts w:eastAsia="Times New Roman" w:cs="Times New Roman"/>
                <w:color w:val="000000"/>
                <w:sz w:val="20"/>
                <w:szCs w:val="20"/>
                <w:lang w:eastAsia="zh-CN"/>
              </w:rPr>
              <w:t>Sanction-mixed*</w:t>
            </w:r>
            <w:r w:rsidR="005D4016" w:rsidRPr="005D4016">
              <w:rPr>
                <w:rFonts w:eastAsia="Times New Roman" w:cs="Times New Roman"/>
                <w:color w:val="000000"/>
                <w:sz w:val="20"/>
                <w:szCs w:val="20"/>
                <w:lang w:val="en-GB" w:eastAsia="zh-CN"/>
              </w:rPr>
              <w:t>Matching design-partner</w:t>
            </w:r>
          </w:p>
        </w:tc>
        <w:tc>
          <w:tcPr>
            <w:tcW w:w="0" w:type="auto"/>
            <w:tcBorders>
              <w:top w:val="nil"/>
              <w:left w:val="nil"/>
              <w:bottom w:val="nil"/>
              <w:right w:val="nil"/>
            </w:tcBorders>
            <w:shd w:val="clear" w:color="auto" w:fill="auto"/>
            <w:noWrap/>
            <w:vAlign w:val="center"/>
            <w:hideMark/>
          </w:tcPr>
          <w:p w14:paraId="6760F7CA"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–0.178</w:t>
            </w:r>
          </w:p>
        </w:tc>
        <w:tc>
          <w:tcPr>
            <w:tcW w:w="0" w:type="auto"/>
            <w:tcBorders>
              <w:top w:val="nil"/>
              <w:left w:val="nil"/>
              <w:bottom w:val="nil"/>
              <w:right w:val="nil"/>
            </w:tcBorders>
            <w:shd w:val="clear" w:color="auto" w:fill="auto"/>
            <w:noWrap/>
            <w:vAlign w:val="center"/>
            <w:hideMark/>
          </w:tcPr>
          <w:p w14:paraId="0E0EE05F"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0.287</w:t>
            </w:r>
          </w:p>
        </w:tc>
        <w:tc>
          <w:tcPr>
            <w:tcW w:w="0" w:type="auto"/>
            <w:tcBorders>
              <w:top w:val="nil"/>
              <w:left w:val="nil"/>
              <w:bottom w:val="nil"/>
              <w:right w:val="nil"/>
            </w:tcBorders>
            <w:shd w:val="clear" w:color="auto" w:fill="auto"/>
            <w:noWrap/>
            <w:vAlign w:val="center"/>
            <w:hideMark/>
          </w:tcPr>
          <w:p w14:paraId="6BC25AC6"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[–0.740, 0.385]</w:t>
            </w:r>
          </w:p>
        </w:tc>
      </w:tr>
      <w:tr w:rsidR="00091EC0" w:rsidRPr="005557B0" w14:paraId="06292CF0" w14:textId="77777777" w:rsidTr="00D14C1C">
        <w:trPr>
          <w:trHeight w:val="225"/>
        </w:trPr>
        <w:tc>
          <w:tcPr>
            <w:tcW w:w="0" w:type="auto"/>
            <w:tcBorders>
              <w:top w:val="nil"/>
              <w:left w:val="nil"/>
              <w:bottom w:val="nil"/>
              <w:right w:val="nil"/>
            </w:tcBorders>
            <w:shd w:val="clear" w:color="auto" w:fill="auto"/>
            <w:noWrap/>
            <w:vAlign w:val="bottom"/>
            <w:hideMark/>
          </w:tcPr>
          <w:p w14:paraId="0CD1B3ED" w14:textId="0F3557B3" w:rsidR="00091EC0" w:rsidRPr="005557B0" w:rsidRDefault="00091EC0" w:rsidP="005557B0">
            <w:pPr>
              <w:spacing w:line="240" w:lineRule="auto"/>
              <w:ind w:firstLineChars="200" w:firstLine="400"/>
              <w:rPr>
                <w:rFonts w:eastAsia="Times New Roman" w:cs="Times New Roman"/>
                <w:color w:val="000000"/>
                <w:sz w:val="20"/>
                <w:szCs w:val="20"/>
                <w:lang w:eastAsia="zh-CN"/>
              </w:rPr>
            </w:pPr>
            <w:r w:rsidRPr="005557B0">
              <w:rPr>
                <w:rFonts w:eastAsia="Times New Roman" w:cs="Times New Roman"/>
                <w:color w:val="000000"/>
                <w:sz w:val="20"/>
                <w:szCs w:val="20"/>
                <w:lang w:eastAsia="zh-CN"/>
              </w:rPr>
              <w:t>Sanction-yes*</w:t>
            </w:r>
            <w:r w:rsidR="005D4016" w:rsidRPr="005D4016">
              <w:rPr>
                <w:rFonts w:eastAsia="Times New Roman" w:cs="Times New Roman"/>
                <w:color w:val="000000"/>
                <w:sz w:val="20"/>
                <w:szCs w:val="20"/>
                <w:lang w:val="en-GB" w:eastAsia="zh-CN"/>
              </w:rPr>
              <w:t>Matching design-mixed</w:t>
            </w:r>
          </w:p>
        </w:tc>
        <w:tc>
          <w:tcPr>
            <w:tcW w:w="0" w:type="auto"/>
            <w:tcBorders>
              <w:top w:val="nil"/>
              <w:left w:val="nil"/>
              <w:bottom w:val="nil"/>
              <w:right w:val="nil"/>
            </w:tcBorders>
            <w:shd w:val="clear" w:color="auto" w:fill="auto"/>
            <w:noWrap/>
            <w:vAlign w:val="center"/>
            <w:hideMark/>
          </w:tcPr>
          <w:p w14:paraId="63F0507B"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0.984*</w:t>
            </w:r>
          </w:p>
        </w:tc>
        <w:tc>
          <w:tcPr>
            <w:tcW w:w="0" w:type="auto"/>
            <w:tcBorders>
              <w:top w:val="nil"/>
              <w:left w:val="nil"/>
              <w:bottom w:val="nil"/>
              <w:right w:val="nil"/>
            </w:tcBorders>
            <w:shd w:val="clear" w:color="auto" w:fill="auto"/>
            <w:noWrap/>
            <w:vAlign w:val="center"/>
            <w:hideMark/>
          </w:tcPr>
          <w:p w14:paraId="154C602B"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0.463</w:t>
            </w:r>
          </w:p>
        </w:tc>
        <w:tc>
          <w:tcPr>
            <w:tcW w:w="0" w:type="auto"/>
            <w:tcBorders>
              <w:top w:val="nil"/>
              <w:left w:val="nil"/>
              <w:bottom w:val="nil"/>
              <w:right w:val="nil"/>
            </w:tcBorders>
            <w:shd w:val="clear" w:color="auto" w:fill="auto"/>
            <w:noWrap/>
            <w:vAlign w:val="center"/>
            <w:hideMark/>
          </w:tcPr>
          <w:p w14:paraId="2E121129"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[0.077, 1.891]</w:t>
            </w:r>
          </w:p>
        </w:tc>
      </w:tr>
      <w:tr w:rsidR="00091EC0" w:rsidRPr="005557B0" w14:paraId="380A1A72" w14:textId="77777777" w:rsidTr="00D14C1C">
        <w:trPr>
          <w:trHeight w:val="225"/>
        </w:trPr>
        <w:tc>
          <w:tcPr>
            <w:tcW w:w="0" w:type="auto"/>
            <w:tcBorders>
              <w:top w:val="nil"/>
              <w:left w:val="nil"/>
              <w:bottom w:val="nil"/>
              <w:right w:val="nil"/>
            </w:tcBorders>
            <w:shd w:val="clear" w:color="auto" w:fill="auto"/>
            <w:noWrap/>
            <w:vAlign w:val="bottom"/>
            <w:hideMark/>
          </w:tcPr>
          <w:p w14:paraId="74AD9AE6" w14:textId="30EB8ED4" w:rsidR="00091EC0" w:rsidRPr="005557B0" w:rsidRDefault="00091EC0" w:rsidP="005557B0">
            <w:pPr>
              <w:spacing w:line="240" w:lineRule="auto"/>
              <w:ind w:firstLineChars="200" w:firstLine="400"/>
              <w:rPr>
                <w:rFonts w:eastAsia="Times New Roman" w:cs="Times New Roman"/>
                <w:color w:val="000000"/>
                <w:sz w:val="20"/>
                <w:szCs w:val="20"/>
                <w:lang w:eastAsia="zh-CN"/>
              </w:rPr>
            </w:pPr>
            <w:r w:rsidRPr="005557B0">
              <w:rPr>
                <w:rFonts w:eastAsia="Times New Roman" w:cs="Times New Roman"/>
                <w:color w:val="000000"/>
                <w:sz w:val="20"/>
                <w:szCs w:val="20"/>
                <w:lang w:eastAsia="zh-CN"/>
              </w:rPr>
              <w:t>Sanction-mixed*</w:t>
            </w:r>
            <w:r w:rsidR="005D4016" w:rsidRPr="005D4016">
              <w:rPr>
                <w:rFonts w:eastAsia="Times New Roman" w:cs="Times New Roman"/>
                <w:color w:val="000000"/>
                <w:sz w:val="20"/>
                <w:szCs w:val="20"/>
                <w:lang w:val="en-GB" w:eastAsia="zh-CN"/>
              </w:rPr>
              <w:t>Matching design-mixed</w:t>
            </w:r>
          </w:p>
        </w:tc>
        <w:tc>
          <w:tcPr>
            <w:tcW w:w="0" w:type="auto"/>
            <w:tcBorders>
              <w:top w:val="nil"/>
              <w:left w:val="nil"/>
              <w:bottom w:val="nil"/>
              <w:right w:val="nil"/>
            </w:tcBorders>
            <w:shd w:val="clear" w:color="auto" w:fill="auto"/>
            <w:noWrap/>
            <w:vAlign w:val="center"/>
            <w:hideMark/>
          </w:tcPr>
          <w:p w14:paraId="431C4DBC"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0.829</w:t>
            </w:r>
          </w:p>
        </w:tc>
        <w:tc>
          <w:tcPr>
            <w:tcW w:w="0" w:type="auto"/>
            <w:tcBorders>
              <w:top w:val="nil"/>
              <w:left w:val="nil"/>
              <w:bottom w:val="nil"/>
              <w:right w:val="nil"/>
            </w:tcBorders>
            <w:shd w:val="clear" w:color="auto" w:fill="auto"/>
            <w:noWrap/>
            <w:vAlign w:val="center"/>
            <w:hideMark/>
          </w:tcPr>
          <w:p w14:paraId="2FDEF998"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0.764</w:t>
            </w:r>
          </w:p>
        </w:tc>
        <w:tc>
          <w:tcPr>
            <w:tcW w:w="0" w:type="auto"/>
            <w:tcBorders>
              <w:top w:val="nil"/>
              <w:left w:val="nil"/>
              <w:bottom w:val="nil"/>
              <w:right w:val="nil"/>
            </w:tcBorders>
            <w:shd w:val="clear" w:color="auto" w:fill="auto"/>
            <w:noWrap/>
            <w:vAlign w:val="center"/>
            <w:hideMark/>
          </w:tcPr>
          <w:p w14:paraId="1819FCF6"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[–0.670, 2.327]</w:t>
            </w:r>
          </w:p>
        </w:tc>
      </w:tr>
      <w:tr w:rsidR="00091EC0" w:rsidRPr="005557B0" w14:paraId="003555DD" w14:textId="77777777" w:rsidTr="00D14C1C">
        <w:trPr>
          <w:trHeight w:val="225"/>
        </w:trPr>
        <w:tc>
          <w:tcPr>
            <w:tcW w:w="0" w:type="auto"/>
            <w:tcBorders>
              <w:top w:val="nil"/>
              <w:left w:val="nil"/>
              <w:bottom w:val="nil"/>
              <w:right w:val="nil"/>
            </w:tcBorders>
            <w:shd w:val="clear" w:color="auto" w:fill="auto"/>
            <w:noWrap/>
            <w:vAlign w:val="bottom"/>
            <w:hideMark/>
          </w:tcPr>
          <w:p w14:paraId="76A56047" w14:textId="5CB6F837" w:rsidR="00091EC0" w:rsidRPr="005557B0" w:rsidRDefault="00091EC0" w:rsidP="005557B0">
            <w:pPr>
              <w:spacing w:line="240" w:lineRule="auto"/>
              <w:ind w:firstLineChars="200" w:firstLine="400"/>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K index*</w:t>
            </w:r>
            <w:r w:rsidR="005557B0">
              <w:rPr>
                <w:rFonts w:eastAsia="Times New Roman" w:cs="Times New Roman"/>
                <w:color w:val="000000"/>
                <w:sz w:val="20"/>
                <w:szCs w:val="20"/>
                <w:lang w:val="nl-NL" w:eastAsia="zh-CN"/>
              </w:rPr>
              <w:t>Communication</w:t>
            </w:r>
            <w:r w:rsidRPr="005557B0">
              <w:rPr>
                <w:rFonts w:eastAsia="Times New Roman" w:cs="Times New Roman"/>
                <w:color w:val="000000"/>
                <w:sz w:val="20"/>
                <w:szCs w:val="20"/>
                <w:lang w:val="nl-NL" w:eastAsia="zh-CN"/>
              </w:rPr>
              <w:t>-yes</w:t>
            </w:r>
          </w:p>
        </w:tc>
        <w:tc>
          <w:tcPr>
            <w:tcW w:w="0" w:type="auto"/>
            <w:tcBorders>
              <w:top w:val="nil"/>
              <w:left w:val="nil"/>
              <w:bottom w:val="nil"/>
              <w:right w:val="nil"/>
            </w:tcBorders>
            <w:shd w:val="clear" w:color="auto" w:fill="auto"/>
            <w:noWrap/>
            <w:vAlign w:val="center"/>
            <w:hideMark/>
          </w:tcPr>
          <w:p w14:paraId="416B6DF7"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–0.697*</w:t>
            </w:r>
          </w:p>
        </w:tc>
        <w:tc>
          <w:tcPr>
            <w:tcW w:w="0" w:type="auto"/>
            <w:tcBorders>
              <w:top w:val="nil"/>
              <w:left w:val="nil"/>
              <w:bottom w:val="nil"/>
              <w:right w:val="nil"/>
            </w:tcBorders>
            <w:shd w:val="clear" w:color="auto" w:fill="auto"/>
            <w:noWrap/>
            <w:vAlign w:val="center"/>
            <w:hideMark/>
          </w:tcPr>
          <w:p w14:paraId="51668568"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0.277</w:t>
            </w:r>
          </w:p>
        </w:tc>
        <w:tc>
          <w:tcPr>
            <w:tcW w:w="0" w:type="auto"/>
            <w:tcBorders>
              <w:top w:val="nil"/>
              <w:left w:val="nil"/>
              <w:bottom w:val="nil"/>
              <w:right w:val="nil"/>
            </w:tcBorders>
            <w:shd w:val="clear" w:color="auto" w:fill="auto"/>
            <w:noWrap/>
            <w:vAlign w:val="center"/>
            <w:hideMark/>
          </w:tcPr>
          <w:p w14:paraId="6518B71A"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[–1.241, –0.153]</w:t>
            </w:r>
          </w:p>
        </w:tc>
      </w:tr>
      <w:tr w:rsidR="00091EC0" w:rsidRPr="005557B0" w14:paraId="784D3CA8" w14:textId="77777777" w:rsidTr="00D14C1C">
        <w:trPr>
          <w:trHeight w:val="225"/>
        </w:trPr>
        <w:tc>
          <w:tcPr>
            <w:tcW w:w="0" w:type="auto"/>
            <w:tcBorders>
              <w:top w:val="nil"/>
              <w:left w:val="nil"/>
              <w:bottom w:val="nil"/>
              <w:right w:val="nil"/>
            </w:tcBorders>
            <w:shd w:val="clear" w:color="auto" w:fill="auto"/>
            <w:noWrap/>
            <w:vAlign w:val="bottom"/>
            <w:hideMark/>
          </w:tcPr>
          <w:p w14:paraId="192BA49A" w14:textId="1FD32809" w:rsidR="00091EC0" w:rsidRPr="005557B0" w:rsidRDefault="00091EC0" w:rsidP="005557B0">
            <w:pPr>
              <w:spacing w:line="240" w:lineRule="auto"/>
              <w:ind w:firstLineChars="200" w:firstLine="400"/>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K index*</w:t>
            </w:r>
            <w:r w:rsidR="005557B0">
              <w:rPr>
                <w:rFonts w:eastAsia="Times New Roman" w:cs="Times New Roman"/>
                <w:color w:val="000000"/>
                <w:sz w:val="20"/>
                <w:szCs w:val="20"/>
                <w:lang w:val="nl-NL" w:eastAsia="zh-CN"/>
              </w:rPr>
              <w:t>Communication</w:t>
            </w:r>
            <w:r w:rsidRPr="005557B0">
              <w:rPr>
                <w:rFonts w:eastAsia="Times New Roman" w:cs="Times New Roman"/>
                <w:color w:val="000000"/>
                <w:sz w:val="20"/>
                <w:szCs w:val="20"/>
                <w:lang w:val="nl-NL" w:eastAsia="zh-CN"/>
              </w:rPr>
              <w:t>-mixed</w:t>
            </w:r>
          </w:p>
        </w:tc>
        <w:tc>
          <w:tcPr>
            <w:tcW w:w="0" w:type="auto"/>
            <w:tcBorders>
              <w:top w:val="nil"/>
              <w:left w:val="nil"/>
              <w:bottom w:val="nil"/>
              <w:right w:val="nil"/>
            </w:tcBorders>
            <w:shd w:val="clear" w:color="auto" w:fill="auto"/>
            <w:noWrap/>
            <w:vAlign w:val="center"/>
            <w:hideMark/>
          </w:tcPr>
          <w:p w14:paraId="3A566CF5"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0.128</w:t>
            </w:r>
          </w:p>
        </w:tc>
        <w:tc>
          <w:tcPr>
            <w:tcW w:w="0" w:type="auto"/>
            <w:tcBorders>
              <w:top w:val="nil"/>
              <w:left w:val="nil"/>
              <w:bottom w:val="nil"/>
              <w:right w:val="nil"/>
            </w:tcBorders>
            <w:shd w:val="clear" w:color="auto" w:fill="auto"/>
            <w:noWrap/>
            <w:vAlign w:val="center"/>
            <w:hideMark/>
          </w:tcPr>
          <w:p w14:paraId="209EC004"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0.746</w:t>
            </w:r>
          </w:p>
        </w:tc>
        <w:tc>
          <w:tcPr>
            <w:tcW w:w="0" w:type="auto"/>
            <w:tcBorders>
              <w:top w:val="nil"/>
              <w:left w:val="nil"/>
              <w:bottom w:val="nil"/>
              <w:right w:val="nil"/>
            </w:tcBorders>
            <w:shd w:val="clear" w:color="auto" w:fill="auto"/>
            <w:noWrap/>
            <w:vAlign w:val="center"/>
            <w:hideMark/>
          </w:tcPr>
          <w:p w14:paraId="05390A4F"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[–1.335, 1.592]</w:t>
            </w:r>
          </w:p>
        </w:tc>
      </w:tr>
      <w:tr w:rsidR="00091EC0" w:rsidRPr="005557B0" w14:paraId="1B4F067D" w14:textId="77777777" w:rsidTr="00D14C1C">
        <w:trPr>
          <w:trHeight w:val="225"/>
        </w:trPr>
        <w:tc>
          <w:tcPr>
            <w:tcW w:w="0" w:type="auto"/>
            <w:tcBorders>
              <w:top w:val="nil"/>
              <w:left w:val="nil"/>
              <w:bottom w:val="nil"/>
              <w:right w:val="nil"/>
            </w:tcBorders>
            <w:shd w:val="clear" w:color="auto" w:fill="auto"/>
            <w:noWrap/>
            <w:vAlign w:val="bottom"/>
            <w:hideMark/>
          </w:tcPr>
          <w:p w14:paraId="461CEF91" w14:textId="77777777" w:rsidR="00091EC0" w:rsidRPr="005557B0" w:rsidRDefault="00091EC0" w:rsidP="005557B0">
            <w:pPr>
              <w:spacing w:line="240" w:lineRule="auto"/>
              <w:rPr>
                <w:rFonts w:eastAsia="Times New Roman" w:cs="Times New Roman"/>
                <w:i/>
                <w:iCs/>
                <w:color w:val="000000"/>
                <w:sz w:val="20"/>
                <w:szCs w:val="20"/>
                <w:lang w:val="nl-NL" w:eastAsia="zh-CN"/>
              </w:rPr>
            </w:pPr>
            <w:r w:rsidRPr="005557B0">
              <w:rPr>
                <w:rFonts w:eastAsia="Times New Roman" w:cs="Times New Roman"/>
                <w:i/>
                <w:iCs/>
                <w:color w:val="000000"/>
                <w:sz w:val="20"/>
                <w:szCs w:val="20"/>
                <w:lang w:val="nl-NL" w:eastAsia="zh-CN"/>
              </w:rPr>
              <w:t xml:space="preserve">Model </w:t>
            </w:r>
            <w:proofErr w:type="spellStart"/>
            <w:r w:rsidRPr="005557B0">
              <w:rPr>
                <w:rFonts w:eastAsia="Times New Roman" w:cs="Times New Roman"/>
                <w:i/>
                <w:iCs/>
                <w:color w:val="000000"/>
                <w:sz w:val="20"/>
                <w:szCs w:val="20"/>
                <w:lang w:val="nl-NL" w:eastAsia="zh-CN"/>
              </w:rPr>
              <w:t>statistics</w:t>
            </w:r>
            <w:proofErr w:type="spellEnd"/>
          </w:p>
        </w:tc>
        <w:tc>
          <w:tcPr>
            <w:tcW w:w="0" w:type="auto"/>
            <w:tcBorders>
              <w:top w:val="nil"/>
              <w:left w:val="nil"/>
              <w:bottom w:val="nil"/>
              <w:right w:val="nil"/>
            </w:tcBorders>
            <w:shd w:val="clear" w:color="auto" w:fill="auto"/>
            <w:noWrap/>
            <w:vAlign w:val="center"/>
            <w:hideMark/>
          </w:tcPr>
          <w:p w14:paraId="5F1F754D" w14:textId="77777777" w:rsidR="00091EC0" w:rsidRPr="005557B0" w:rsidRDefault="00091EC0" w:rsidP="005557B0">
            <w:pPr>
              <w:spacing w:line="240" w:lineRule="auto"/>
              <w:rPr>
                <w:rFonts w:eastAsia="Times New Roman" w:cs="Times New Roman"/>
                <w:i/>
                <w:iCs/>
                <w:color w:val="000000"/>
                <w:sz w:val="20"/>
                <w:szCs w:val="20"/>
                <w:lang w:val="nl-NL" w:eastAsia="zh-CN"/>
              </w:rPr>
            </w:pPr>
          </w:p>
        </w:tc>
        <w:tc>
          <w:tcPr>
            <w:tcW w:w="0" w:type="auto"/>
            <w:tcBorders>
              <w:top w:val="nil"/>
              <w:left w:val="nil"/>
              <w:bottom w:val="nil"/>
              <w:right w:val="nil"/>
            </w:tcBorders>
            <w:shd w:val="clear" w:color="auto" w:fill="auto"/>
            <w:noWrap/>
            <w:vAlign w:val="center"/>
            <w:hideMark/>
          </w:tcPr>
          <w:p w14:paraId="54E3ECD4" w14:textId="77777777" w:rsidR="00091EC0" w:rsidRPr="005557B0" w:rsidRDefault="00091EC0" w:rsidP="005557B0">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47016365" w14:textId="77777777" w:rsidR="00091EC0" w:rsidRPr="005557B0" w:rsidRDefault="00091EC0" w:rsidP="005557B0">
            <w:pPr>
              <w:spacing w:line="240" w:lineRule="auto"/>
              <w:jc w:val="center"/>
              <w:rPr>
                <w:rFonts w:eastAsia="Times New Roman" w:cs="Times New Roman"/>
                <w:sz w:val="20"/>
                <w:szCs w:val="20"/>
                <w:lang w:val="nl-NL" w:eastAsia="zh-CN"/>
              </w:rPr>
            </w:pPr>
          </w:p>
        </w:tc>
      </w:tr>
      <w:tr w:rsidR="00091EC0" w:rsidRPr="005557B0" w14:paraId="687D808E" w14:textId="77777777" w:rsidTr="00D14C1C">
        <w:trPr>
          <w:trHeight w:val="255"/>
        </w:trPr>
        <w:tc>
          <w:tcPr>
            <w:tcW w:w="0" w:type="auto"/>
            <w:tcBorders>
              <w:top w:val="nil"/>
              <w:left w:val="nil"/>
              <w:bottom w:val="nil"/>
              <w:right w:val="nil"/>
            </w:tcBorders>
            <w:shd w:val="clear" w:color="auto" w:fill="auto"/>
            <w:noWrap/>
            <w:vAlign w:val="bottom"/>
            <w:hideMark/>
          </w:tcPr>
          <w:p w14:paraId="41B8B95C" w14:textId="77777777" w:rsidR="00091EC0" w:rsidRPr="005557B0" w:rsidRDefault="00091EC0" w:rsidP="005557B0">
            <w:pPr>
              <w:spacing w:line="240" w:lineRule="auto"/>
              <w:ind w:firstLineChars="200" w:firstLine="400"/>
              <w:rPr>
                <w:rFonts w:eastAsia="Times New Roman" w:cs="Times New Roman"/>
                <w:color w:val="000000"/>
                <w:sz w:val="20"/>
                <w:szCs w:val="20"/>
                <w:lang w:val="nl-NL" w:eastAsia="zh-CN"/>
              </w:rPr>
            </w:pPr>
            <w:proofErr w:type="spellStart"/>
            <w:r w:rsidRPr="005557B0">
              <w:rPr>
                <w:rFonts w:eastAsia="Times New Roman" w:cs="Times New Roman"/>
                <w:i/>
                <w:iCs/>
                <w:color w:val="000000"/>
                <w:sz w:val="20"/>
                <w:szCs w:val="20"/>
                <w:lang w:val="nl-NL" w:eastAsia="zh-CN"/>
              </w:rPr>
              <w:lastRenderedPageBreak/>
              <w:t>Q</w:t>
            </w:r>
            <w:r w:rsidRPr="005557B0">
              <w:rPr>
                <w:rFonts w:eastAsia="Times New Roman" w:cs="Times New Roman"/>
                <w:color w:val="000000"/>
                <w:sz w:val="20"/>
                <w:szCs w:val="20"/>
                <w:vertAlign w:val="subscript"/>
                <w:lang w:val="nl-NL" w:eastAsia="zh-CN"/>
              </w:rPr>
              <w:t>residual</w:t>
            </w:r>
            <w:proofErr w:type="spellEnd"/>
            <w:r w:rsidRPr="005557B0">
              <w:rPr>
                <w:rFonts w:eastAsia="Times New Roman" w:cs="Times New Roman"/>
                <w:color w:val="000000"/>
                <w:sz w:val="20"/>
                <w:szCs w:val="20"/>
                <w:lang w:val="nl-NL" w:eastAsia="zh-CN"/>
              </w:rPr>
              <w:t>(</w:t>
            </w:r>
            <w:proofErr w:type="spellStart"/>
            <w:r w:rsidRPr="005557B0">
              <w:rPr>
                <w:rFonts w:eastAsia="Times New Roman" w:cs="Times New Roman"/>
                <w:i/>
                <w:iCs/>
                <w:color w:val="000000"/>
                <w:sz w:val="20"/>
                <w:szCs w:val="20"/>
                <w:lang w:val="nl-NL" w:eastAsia="zh-CN"/>
              </w:rPr>
              <w:t>df</w:t>
            </w:r>
            <w:proofErr w:type="spellEnd"/>
            <w:r w:rsidRPr="005557B0">
              <w:rPr>
                <w:rFonts w:eastAsia="Times New Roman" w:cs="Times New Roman"/>
                <w:color w:val="000000"/>
                <w:sz w:val="20"/>
                <w:szCs w:val="20"/>
                <w:lang w:val="nl-NL" w:eastAsia="zh-CN"/>
              </w:rPr>
              <w:t>)</w:t>
            </w:r>
          </w:p>
        </w:tc>
        <w:tc>
          <w:tcPr>
            <w:tcW w:w="0" w:type="auto"/>
            <w:gridSpan w:val="3"/>
            <w:tcBorders>
              <w:top w:val="nil"/>
              <w:left w:val="nil"/>
              <w:bottom w:val="nil"/>
              <w:right w:val="nil"/>
            </w:tcBorders>
            <w:shd w:val="clear" w:color="auto" w:fill="auto"/>
            <w:noWrap/>
            <w:vAlign w:val="center"/>
            <w:hideMark/>
          </w:tcPr>
          <w:p w14:paraId="66ABD0FE"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63361.1 (2301)*</w:t>
            </w:r>
          </w:p>
        </w:tc>
      </w:tr>
      <w:tr w:rsidR="00091EC0" w:rsidRPr="005557B0" w14:paraId="0591379C" w14:textId="77777777" w:rsidTr="00D14C1C">
        <w:trPr>
          <w:trHeight w:val="255"/>
        </w:trPr>
        <w:tc>
          <w:tcPr>
            <w:tcW w:w="0" w:type="auto"/>
            <w:tcBorders>
              <w:top w:val="nil"/>
              <w:left w:val="nil"/>
              <w:bottom w:val="nil"/>
              <w:right w:val="nil"/>
            </w:tcBorders>
            <w:shd w:val="clear" w:color="auto" w:fill="auto"/>
            <w:vAlign w:val="bottom"/>
            <w:hideMark/>
          </w:tcPr>
          <w:p w14:paraId="31B9B116" w14:textId="77777777" w:rsidR="00091EC0" w:rsidRPr="005557B0" w:rsidRDefault="00091EC0" w:rsidP="005557B0">
            <w:pPr>
              <w:spacing w:line="240" w:lineRule="auto"/>
              <w:ind w:firstLineChars="200" w:firstLine="400"/>
              <w:rPr>
                <w:rFonts w:eastAsia="Times New Roman" w:cs="Times New Roman"/>
                <w:color w:val="000000"/>
                <w:sz w:val="20"/>
                <w:szCs w:val="20"/>
                <w:lang w:val="nl-NL" w:eastAsia="zh-CN"/>
              </w:rPr>
            </w:pPr>
            <w:proofErr w:type="spellStart"/>
            <w:r w:rsidRPr="005557B0">
              <w:rPr>
                <w:rFonts w:eastAsia="Times New Roman" w:cs="Times New Roman"/>
                <w:i/>
                <w:iCs/>
                <w:color w:val="000000"/>
                <w:sz w:val="20"/>
                <w:szCs w:val="20"/>
                <w:lang w:val="nl-NL" w:eastAsia="zh-CN"/>
              </w:rPr>
              <w:t>F</w:t>
            </w:r>
            <w:r w:rsidRPr="005557B0">
              <w:rPr>
                <w:rFonts w:eastAsia="Times New Roman" w:cs="Times New Roman"/>
                <w:color w:val="000000"/>
                <w:sz w:val="20"/>
                <w:szCs w:val="20"/>
                <w:vertAlign w:val="subscript"/>
                <w:lang w:val="nl-NL" w:eastAsia="zh-CN"/>
              </w:rPr>
              <w:t>moderators</w:t>
            </w:r>
            <w:proofErr w:type="spellEnd"/>
            <w:r w:rsidRPr="005557B0">
              <w:rPr>
                <w:rFonts w:eastAsia="Times New Roman" w:cs="Times New Roman"/>
                <w:color w:val="000000"/>
                <w:sz w:val="20"/>
                <w:szCs w:val="20"/>
                <w:lang w:val="nl-NL" w:eastAsia="zh-CN"/>
              </w:rPr>
              <w:t>(</w:t>
            </w:r>
            <w:r w:rsidRPr="005557B0">
              <w:rPr>
                <w:rFonts w:eastAsia="Times New Roman" w:cs="Times New Roman"/>
                <w:i/>
                <w:iCs/>
                <w:color w:val="000000"/>
                <w:sz w:val="20"/>
                <w:szCs w:val="20"/>
                <w:lang w:val="nl-NL" w:eastAsia="zh-CN"/>
              </w:rPr>
              <w:t>df1</w:t>
            </w:r>
            <w:r w:rsidRPr="005557B0">
              <w:rPr>
                <w:rFonts w:eastAsia="Times New Roman" w:cs="Times New Roman"/>
                <w:color w:val="000000"/>
                <w:sz w:val="20"/>
                <w:szCs w:val="20"/>
                <w:lang w:val="nl-NL" w:eastAsia="zh-CN"/>
              </w:rPr>
              <w:t xml:space="preserve">, </w:t>
            </w:r>
            <w:r w:rsidRPr="005557B0">
              <w:rPr>
                <w:rFonts w:eastAsia="Times New Roman" w:cs="Times New Roman"/>
                <w:i/>
                <w:iCs/>
                <w:color w:val="000000"/>
                <w:sz w:val="20"/>
                <w:szCs w:val="20"/>
                <w:lang w:val="nl-NL" w:eastAsia="zh-CN"/>
              </w:rPr>
              <w:t>df2</w:t>
            </w:r>
            <w:r w:rsidRPr="005557B0">
              <w:rPr>
                <w:rFonts w:eastAsia="Times New Roman" w:cs="Times New Roman"/>
                <w:color w:val="000000"/>
                <w:sz w:val="20"/>
                <w:szCs w:val="20"/>
                <w:lang w:val="nl-NL" w:eastAsia="zh-CN"/>
              </w:rPr>
              <w:t>)</w:t>
            </w:r>
          </w:p>
        </w:tc>
        <w:tc>
          <w:tcPr>
            <w:tcW w:w="0" w:type="auto"/>
            <w:gridSpan w:val="3"/>
            <w:tcBorders>
              <w:top w:val="nil"/>
              <w:left w:val="nil"/>
              <w:bottom w:val="nil"/>
              <w:right w:val="nil"/>
            </w:tcBorders>
            <w:shd w:val="clear" w:color="auto" w:fill="auto"/>
            <w:vAlign w:val="center"/>
            <w:hideMark/>
          </w:tcPr>
          <w:p w14:paraId="3BCB693E"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10.24 (38, 2301)*</w:t>
            </w:r>
          </w:p>
        </w:tc>
      </w:tr>
      <w:tr w:rsidR="00091EC0" w:rsidRPr="005557B0" w14:paraId="3955125D" w14:textId="77777777" w:rsidTr="00D14C1C">
        <w:trPr>
          <w:trHeight w:val="225"/>
        </w:trPr>
        <w:tc>
          <w:tcPr>
            <w:tcW w:w="0" w:type="auto"/>
            <w:tcBorders>
              <w:top w:val="nil"/>
              <w:left w:val="nil"/>
              <w:bottom w:val="nil"/>
              <w:right w:val="nil"/>
            </w:tcBorders>
            <w:shd w:val="clear" w:color="auto" w:fill="auto"/>
            <w:vAlign w:val="bottom"/>
            <w:hideMark/>
          </w:tcPr>
          <w:p w14:paraId="2F0F051C" w14:textId="77777777" w:rsidR="00091EC0" w:rsidRPr="005557B0" w:rsidRDefault="00091EC0" w:rsidP="005557B0">
            <w:pPr>
              <w:spacing w:line="240" w:lineRule="auto"/>
              <w:ind w:firstLineChars="200" w:firstLine="400"/>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τ</w:t>
            </w:r>
            <w:r w:rsidRPr="005557B0">
              <w:rPr>
                <w:rFonts w:eastAsia="Times New Roman" w:cs="Times New Roman"/>
                <w:color w:val="000000"/>
                <w:sz w:val="20"/>
                <w:szCs w:val="20"/>
                <w:vertAlign w:val="superscript"/>
                <w:lang w:val="nl-NL" w:eastAsia="zh-CN"/>
              </w:rPr>
              <w:t>2</w:t>
            </w:r>
          </w:p>
        </w:tc>
        <w:tc>
          <w:tcPr>
            <w:tcW w:w="0" w:type="auto"/>
            <w:gridSpan w:val="3"/>
            <w:tcBorders>
              <w:top w:val="nil"/>
              <w:left w:val="nil"/>
              <w:bottom w:val="nil"/>
              <w:right w:val="nil"/>
            </w:tcBorders>
            <w:shd w:val="clear" w:color="auto" w:fill="auto"/>
            <w:vAlign w:val="center"/>
            <w:hideMark/>
          </w:tcPr>
          <w:p w14:paraId="6E43C7CE"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0.44</w:t>
            </w:r>
          </w:p>
        </w:tc>
      </w:tr>
      <w:tr w:rsidR="00091EC0" w:rsidRPr="005557B0" w14:paraId="7800479C" w14:textId="77777777" w:rsidTr="00D14C1C">
        <w:trPr>
          <w:trHeight w:val="225"/>
        </w:trPr>
        <w:tc>
          <w:tcPr>
            <w:tcW w:w="0" w:type="auto"/>
            <w:tcBorders>
              <w:top w:val="nil"/>
              <w:left w:val="nil"/>
              <w:bottom w:val="nil"/>
              <w:right w:val="nil"/>
            </w:tcBorders>
            <w:shd w:val="clear" w:color="auto" w:fill="auto"/>
            <w:vAlign w:val="bottom"/>
            <w:hideMark/>
          </w:tcPr>
          <w:p w14:paraId="0FAE3C40" w14:textId="77777777" w:rsidR="00091EC0" w:rsidRPr="005557B0" w:rsidRDefault="00091EC0" w:rsidP="005557B0">
            <w:pPr>
              <w:spacing w:line="240" w:lineRule="auto"/>
              <w:ind w:firstLineChars="200" w:firstLine="400"/>
              <w:rPr>
                <w:rFonts w:eastAsia="Times New Roman" w:cs="Times New Roman"/>
                <w:color w:val="000000"/>
                <w:sz w:val="20"/>
                <w:szCs w:val="20"/>
                <w:lang w:val="nl-NL" w:eastAsia="zh-CN"/>
              </w:rPr>
            </w:pPr>
            <w:r w:rsidRPr="005557B0">
              <w:rPr>
                <w:rFonts w:eastAsia="Times New Roman" w:cs="Times New Roman"/>
                <w:i/>
                <w:iCs/>
                <w:color w:val="000000"/>
                <w:sz w:val="20"/>
                <w:szCs w:val="20"/>
                <w:lang w:val="nl-NL" w:eastAsia="zh-CN"/>
              </w:rPr>
              <w:t>I</w:t>
            </w:r>
            <w:r w:rsidRPr="005557B0">
              <w:rPr>
                <w:rFonts w:eastAsia="Times New Roman" w:cs="Times New Roman"/>
                <w:i/>
                <w:iCs/>
                <w:color w:val="000000"/>
                <w:sz w:val="20"/>
                <w:szCs w:val="20"/>
                <w:vertAlign w:val="superscript"/>
                <w:lang w:val="nl-NL" w:eastAsia="zh-CN"/>
              </w:rPr>
              <w:t>2</w:t>
            </w:r>
            <w:r w:rsidRPr="005557B0">
              <w:rPr>
                <w:rFonts w:eastAsia="Times New Roman" w:cs="Times New Roman"/>
                <w:color w:val="000000"/>
                <w:sz w:val="20"/>
                <w:szCs w:val="20"/>
                <w:lang w:val="nl-NL" w:eastAsia="zh-CN"/>
              </w:rPr>
              <w:t xml:space="preserve">: </w:t>
            </w:r>
            <w:proofErr w:type="spellStart"/>
            <w:r w:rsidRPr="005557B0">
              <w:rPr>
                <w:rFonts w:eastAsia="Times New Roman" w:cs="Times New Roman"/>
                <w:color w:val="000000"/>
                <w:sz w:val="20"/>
                <w:szCs w:val="20"/>
                <w:lang w:val="nl-NL" w:eastAsia="zh-CN"/>
              </w:rPr>
              <w:t>between-study</w:t>
            </w:r>
            <w:proofErr w:type="spellEnd"/>
            <w:r w:rsidRPr="005557B0">
              <w:rPr>
                <w:rFonts w:eastAsia="Times New Roman" w:cs="Times New Roman"/>
                <w:color w:val="000000"/>
                <w:sz w:val="20"/>
                <w:szCs w:val="20"/>
                <w:lang w:val="nl-NL" w:eastAsia="zh-CN"/>
              </w:rPr>
              <w:t xml:space="preserve"> level (%)</w:t>
            </w:r>
          </w:p>
        </w:tc>
        <w:tc>
          <w:tcPr>
            <w:tcW w:w="0" w:type="auto"/>
            <w:gridSpan w:val="3"/>
            <w:tcBorders>
              <w:top w:val="nil"/>
              <w:left w:val="nil"/>
              <w:bottom w:val="nil"/>
              <w:right w:val="nil"/>
            </w:tcBorders>
            <w:shd w:val="clear" w:color="auto" w:fill="auto"/>
            <w:vAlign w:val="center"/>
            <w:hideMark/>
          </w:tcPr>
          <w:p w14:paraId="2A4A1B26"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53.62</w:t>
            </w:r>
          </w:p>
        </w:tc>
      </w:tr>
      <w:tr w:rsidR="00091EC0" w:rsidRPr="005557B0" w14:paraId="21475553" w14:textId="77777777" w:rsidTr="00D14C1C">
        <w:trPr>
          <w:trHeight w:val="225"/>
        </w:trPr>
        <w:tc>
          <w:tcPr>
            <w:tcW w:w="0" w:type="auto"/>
            <w:tcBorders>
              <w:top w:val="nil"/>
              <w:left w:val="nil"/>
              <w:bottom w:val="nil"/>
              <w:right w:val="nil"/>
            </w:tcBorders>
            <w:shd w:val="clear" w:color="auto" w:fill="auto"/>
            <w:vAlign w:val="bottom"/>
            <w:hideMark/>
          </w:tcPr>
          <w:p w14:paraId="3DC81E76" w14:textId="77777777" w:rsidR="00091EC0" w:rsidRPr="005557B0" w:rsidRDefault="00091EC0" w:rsidP="005557B0">
            <w:pPr>
              <w:spacing w:line="240" w:lineRule="auto"/>
              <w:ind w:firstLineChars="200" w:firstLine="400"/>
              <w:rPr>
                <w:rFonts w:eastAsia="Times New Roman" w:cs="Times New Roman"/>
                <w:color w:val="000000"/>
                <w:sz w:val="20"/>
                <w:szCs w:val="20"/>
                <w:lang w:val="nl-NL" w:eastAsia="zh-CN"/>
              </w:rPr>
            </w:pPr>
            <w:r w:rsidRPr="005557B0">
              <w:rPr>
                <w:rFonts w:eastAsia="Times New Roman" w:cs="Times New Roman"/>
                <w:i/>
                <w:iCs/>
                <w:color w:val="000000"/>
                <w:sz w:val="20"/>
                <w:szCs w:val="20"/>
                <w:lang w:val="nl-NL" w:eastAsia="zh-CN"/>
              </w:rPr>
              <w:t>I</w:t>
            </w:r>
            <w:r w:rsidRPr="005557B0">
              <w:rPr>
                <w:rFonts w:eastAsia="Times New Roman" w:cs="Times New Roman"/>
                <w:i/>
                <w:iCs/>
                <w:color w:val="000000"/>
                <w:sz w:val="20"/>
                <w:szCs w:val="20"/>
                <w:vertAlign w:val="superscript"/>
                <w:lang w:val="nl-NL" w:eastAsia="zh-CN"/>
              </w:rPr>
              <w:t>2</w:t>
            </w:r>
            <w:r w:rsidRPr="005557B0">
              <w:rPr>
                <w:rFonts w:eastAsia="Times New Roman" w:cs="Times New Roman"/>
                <w:color w:val="000000"/>
                <w:sz w:val="20"/>
                <w:szCs w:val="20"/>
                <w:lang w:val="nl-NL" w:eastAsia="zh-CN"/>
              </w:rPr>
              <w:t xml:space="preserve">: </w:t>
            </w:r>
            <w:proofErr w:type="spellStart"/>
            <w:r w:rsidRPr="005557B0">
              <w:rPr>
                <w:rFonts w:eastAsia="Times New Roman" w:cs="Times New Roman"/>
                <w:color w:val="000000"/>
                <w:sz w:val="20"/>
                <w:szCs w:val="20"/>
                <w:lang w:val="nl-NL" w:eastAsia="zh-CN"/>
              </w:rPr>
              <w:t>within-study</w:t>
            </w:r>
            <w:proofErr w:type="spellEnd"/>
            <w:r w:rsidRPr="005557B0">
              <w:rPr>
                <w:rFonts w:eastAsia="Times New Roman" w:cs="Times New Roman"/>
                <w:color w:val="000000"/>
                <w:sz w:val="20"/>
                <w:szCs w:val="20"/>
                <w:lang w:val="nl-NL" w:eastAsia="zh-CN"/>
              </w:rPr>
              <w:t xml:space="preserve"> level (%)</w:t>
            </w:r>
          </w:p>
        </w:tc>
        <w:tc>
          <w:tcPr>
            <w:tcW w:w="0" w:type="auto"/>
            <w:gridSpan w:val="3"/>
            <w:tcBorders>
              <w:top w:val="nil"/>
              <w:left w:val="nil"/>
              <w:bottom w:val="nil"/>
              <w:right w:val="nil"/>
            </w:tcBorders>
            <w:shd w:val="clear" w:color="auto" w:fill="auto"/>
            <w:vAlign w:val="center"/>
            <w:hideMark/>
          </w:tcPr>
          <w:p w14:paraId="41457932" w14:textId="77777777"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43.61</w:t>
            </w:r>
          </w:p>
        </w:tc>
      </w:tr>
      <w:tr w:rsidR="00091EC0" w:rsidRPr="005557B0" w14:paraId="22A44B21" w14:textId="77777777" w:rsidTr="00D14C1C">
        <w:trPr>
          <w:trHeight w:val="225"/>
        </w:trPr>
        <w:tc>
          <w:tcPr>
            <w:tcW w:w="0" w:type="auto"/>
            <w:tcBorders>
              <w:top w:val="nil"/>
              <w:left w:val="nil"/>
              <w:bottom w:val="single" w:sz="4" w:space="0" w:color="auto"/>
              <w:right w:val="nil"/>
            </w:tcBorders>
            <w:shd w:val="clear" w:color="auto" w:fill="auto"/>
            <w:vAlign w:val="bottom"/>
            <w:hideMark/>
          </w:tcPr>
          <w:p w14:paraId="48A102AE" w14:textId="294E75EA" w:rsidR="00091EC0" w:rsidRPr="005557B0" w:rsidRDefault="00091EC0" w:rsidP="005557B0">
            <w:pPr>
              <w:spacing w:line="240" w:lineRule="auto"/>
              <w:ind w:firstLineChars="200" w:firstLine="400"/>
              <w:rPr>
                <w:rFonts w:eastAsia="Times New Roman" w:cs="Times New Roman"/>
                <w:color w:val="000000"/>
                <w:sz w:val="20"/>
                <w:szCs w:val="20"/>
                <w:lang w:val="nl-NL" w:eastAsia="zh-CN"/>
              </w:rPr>
            </w:pPr>
            <w:r w:rsidRPr="005557B0">
              <w:rPr>
                <w:rFonts w:eastAsia="Times New Roman" w:cs="Times New Roman"/>
                <w:i/>
                <w:iCs/>
                <w:color w:val="000000"/>
                <w:sz w:val="20"/>
                <w:szCs w:val="20"/>
                <w:lang w:val="nl-NL" w:eastAsia="zh-CN"/>
              </w:rPr>
              <w:t>R</w:t>
            </w:r>
            <w:r w:rsidRPr="005557B0">
              <w:rPr>
                <w:rFonts w:eastAsia="Times New Roman" w:cs="Times New Roman"/>
                <w:i/>
                <w:iCs/>
                <w:color w:val="000000"/>
                <w:sz w:val="20"/>
                <w:szCs w:val="20"/>
                <w:vertAlign w:val="superscript"/>
                <w:lang w:val="nl-NL" w:eastAsia="zh-CN"/>
              </w:rPr>
              <w:t>2</w:t>
            </w:r>
          </w:p>
        </w:tc>
        <w:tc>
          <w:tcPr>
            <w:tcW w:w="0" w:type="auto"/>
            <w:gridSpan w:val="3"/>
            <w:tcBorders>
              <w:top w:val="nil"/>
              <w:left w:val="nil"/>
              <w:bottom w:val="single" w:sz="4" w:space="0" w:color="auto"/>
              <w:right w:val="nil"/>
            </w:tcBorders>
            <w:shd w:val="clear" w:color="auto" w:fill="auto"/>
            <w:vAlign w:val="center"/>
            <w:hideMark/>
          </w:tcPr>
          <w:p w14:paraId="63F0A985" w14:textId="5254AFC2" w:rsidR="00091EC0" w:rsidRPr="005557B0" w:rsidRDefault="00091EC0" w:rsidP="005557B0">
            <w:pPr>
              <w:spacing w:line="240" w:lineRule="auto"/>
              <w:jc w:val="center"/>
              <w:rPr>
                <w:rFonts w:eastAsia="Times New Roman" w:cs="Times New Roman"/>
                <w:color w:val="000000"/>
                <w:sz w:val="20"/>
                <w:szCs w:val="20"/>
                <w:lang w:val="nl-NL" w:eastAsia="zh-CN"/>
              </w:rPr>
            </w:pPr>
            <w:r w:rsidRPr="005557B0">
              <w:rPr>
                <w:rFonts w:eastAsia="Times New Roman" w:cs="Times New Roman"/>
                <w:color w:val="000000"/>
                <w:sz w:val="20"/>
                <w:szCs w:val="20"/>
                <w:lang w:val="nl-NL" w:eastAsia="zh-CN"/>
              </w:rPr>
              <w:t>.1252</w:t>
            </w:r>
          </w:p>
        </w:tc>
      </w:tr>
    </w:tbl>
    <w:p w14:paraId="14A6C3B2" w14:textId="633C96D0" w:rsidR="000418D8" w:rsidRPr="000418D8" w:rsidRDefault="000418D8" w:rsidP="00CD0784">
      <w:pPr>
        <w:spacing w:line="240" w:lineRule="auto"/>
        <w:rPr>
          <w:rFonts w:eastAsiaTheme="minorEastAsia" w:cs="Times New Roman"/>
          <w:szCs w:val="22"/>
          <w:lang w:eastAsia="zh-CN"/>
        </w:rPr>
      </w:pPr>
      <w:r w:rsidRPr="000418D8">
        <w:rPr>
          <w:rFonts w:eastAsiaTheme="minorEastAsia" w:cs="Times New Roman"/>
          <w:i/>
          <w:szCs w:val="22"/>
          <w:lang w:eastAsia="zh-CN"/>
        </w:rPr>
        <w:t>Note.</w:t>
      </w:r>
      <w:r w:rsidRPr="000418D8">
        <w:rPr>
          <w:rFonts w:eastAsiaTheme="minorEastAsia" w:cs="Times New Roman"/>
          <w:szCs w:val="22"/>
          <w:lang w:eastAsia="zh-CN"/>
        </w:rPr>
        <w:t xml:space="preserve"> K index, group size, age, gender and year of data collection are continuous variables, others are dummy variables. The </w:t>
      </w:r>
      <w:r w:rsidR="008E740D">
        <w:rPr>
          <w:rFonts w:eastAsiaTheme="minorEastAsia" w:cs="Times New Roman"/>
          <w:szCs w:val="22"/>
          <w:lang w:eastAsia="zh-CN"/>
        </w:rPr>
        <w:t>reference</w:t>
      </w:r>
      <w:r w:rsidRPr="000418D8">
        <w:rPr>
          <w:rFonts w:eastAsiaTheme="minorEastAsia" w:cs="Times New Roman"/>
          <w:szCs w:val="22"/>
          <w:lang w:eastAsia="zh-CN"/>
        </w:rPr>
        <w:t xml:space="preserve"> group for </w:t>
      </w:r>
      <w:r w:rsidR="008E740D">
        <w:rPr>
          <w:rFonts w:eastAsiaTheme="minorEastAsia" w:cs="Times New Roman"/>
          <w:szCs w:val="22"/>
          <w:lang w:eastAsia="zh-CN"/>
        </w:rPr>
        <w:t>p</w:t>
      </w:r>
      <w:r w:rsidR="008E740D" w:rsidRPr="008E740D">
        <w:rPr>
          <w:rFonts w:eastAsiaTheme="minorEastAsia" w:cs="Times New Roman"/>
          <w:szCs w:val="22"/>
          <w:lang w:eastAsia="zh-CN"/>
        </w:rPr>
        <w:t>ublication status</w:t>
      </w:r>
      <w:r w:rsidR="00D407F2">
        <w:rPr>
          <w:rFonts w:eastAsiaTheme="minorEastAsia" w:cs="Times New Roman"/>
          <w:szCs w:val="22"/>
          <w:lang w:eastAsia="zh-CN"/>
        </w:rPr>
        <w:t>,</w:t>
      </w:r>
      <w:r w:rsidRPr="000418D8">
        <w:rPr>
          <w:rFonts w:eastAsiaTheme="minorEastAsia" w:cs="Times New Roman"/>
          <w:szCs w:val="22"/>
          <w:lang w:eastAsia="zh-CN"/>
        </w:rPr>
        <w:t xml:space="preserve"> </w:t>
      </w:r>
      <w:r w:rsidR="00D407F2" w:rsidRPr="000418D8">
        <w:rPr>
          <w:rFonts w:eastAsiaTheme="minorEastAsia" w:cs="Times New Roman"/>
          <w:szCs w:val="22"/>
          <w:lang w:eastAsia="zh-CN"/>
        </w:rPr>
        <w:t>sanction,</w:t>
      </w:r>
      <w:r w:rsidR="00D407F2">
        <w:rPr>
          <w:rFonts w:eastAsiaTheme="minorEastAsia" w:cs="Times New Roman"/>
          <w:szCs w:val="22"/>
          <w:lang w:eastAsia="zh-CN"/>
        </w:rPr>
        <w:t xml:space="preserve"> </w:t>
      </w:r>
      <w:r w:rsidR="005557B0">
        <w:rPr>
          <w:rFonts w:eastAsiaTheme="minorEastAsia" w:cs="Times New Roman"/>
          <w:szCs w:val="22"/>
          <w:lang w:eastAsia="zh-CN"/>
        </w:rPr>
        <w:t>communication</w:t>
      </w:r>
      <w:r w:rsidRPr="000418D8">
        <w:rPr>
          <w:rFonts w:eastAsiaTheme="minorEastAsia" w:cs="Times New Roman"/>
          <w:szCs w:val="22"/>
          <w:lang w:eastAsia="zh-CN"/>
        </w:rPr>
        <w:t xml:space="preserve">, </w:t>
      </w:r>
      <w:r w:rsidR="00D407F2" w:rsidRPr="000418D8">
        <w:rPr>
          <w:rFonts w:eastAsiaTheme="minorEastAsia" w:cs="Times New Roman"/>
          <w:szCs w:val="22"/>
          <w:lang w:eastAsia="zh-CN"/>
        </w:rPr>
        <w:t xml:space="preserve">show up fee, </w:t>
      </w:r>
      <w:r w:rsidRPr="000418D8">
        <w:rPr>
          <w:rFonts w:eastAsiaTheme="minorEastAsia" w:cs="Times New Roman"/>
          <w:szCs w:val="22"/>
          <w:lang w:eastAsia="zh-CN"/>
        </w:rPr>
        <w:t xml:space="preserve">game incentive, and </w:t>
      </w:r>
      <w:r w:rsidR="00D407F2" w:rsidRPr="000418D8">
        <w:rPr>
          <w:rFonts w:eastAsiaTheme="minorEastAsia" w:cs="Times New Roman"/>
          <w:szCs w:val="22"/>
          <w:lang w:eastAsia="zh-CN"/>
        </w:rPr>
        <w:t xml:space="preserve">deception </w:t>
      </w:r>
      <w:r w:rsidRPr="000418D8">
        <w:rPr>
          <w:rFonts w:eastAsiaTheme="minorEastAsia" w:cs="Times New Roman"/>
          <w:szCs w:val="22"/>
          <w:lang w:eastAsia="zh-CN"/>
        </w:rPr>
        <w:t xml:space="preserve">was </w:t>
      </w:r>
      <w:r w:rsidR="008E740D">
        <w:rPr>
          <w:rFonts w:eastAsiaTheme="minorEastAsia" w:cs="Times New Roman"/>
          <w:szCs w:val="22"/>
          <w:lang w:eastAsia="zh-CN"/>
        </w:rPr>
        <w:t>“</w:t>
      </w:r>
      <w:r w:rsidR="00E35931">
        <w:rPr>
          <w:rFonts w:eastAsiaTheme="minorEastAsia" w:cs="Times New Roman"/>
          <w:szCs w:val="22"/>
          <w:lang w:eastAsia="zh-CN"/>
        </w:rPr>
        <w:t>n</w:t>
      </w:r>
      <w:r w:rsidRPr="000418D8">
        <w:rPr>
          <w:rFonts w:eastAsiaTheme="minorEastAsia" w:cs="Times New Roman"/>
          <w:szCs w:val="22"/>
          <w:lang w:eastAsia="zh-CN"/>
        </w:rPr>
        <w:t>o</w:t>
      </w:r>
      <w:r w:rsidR="008E740D">
        <w:rPr>
          <w:rFonts w:eastAsiaTheme="minorEastAsia" w:cs="Times New Roman"/>
          <w:szCs w:val="22"/>
          <w:lang w:eastAsia="zh-CN"/>
        </w:rPr>
        <w:t>”</w:t>
      </w:r>
      <w:r w:rsidRPr="000418D8">
        <w:rPr>
          <w:rFonts w:eastAsiaTheme="minorEastAsia" w:cs="Times New Roman"/>
          <w:szCs w:val="22"/>
          <w:lang w:eastAsia="zh-CN"/>
        </w:rPr>
        <w:t xml:space="preserve">, </w:t>
      </w:r>
      <w:r w:rsidR="00D407F2" w:rsidRPr="000418D8">
        <w:rPr>
          <w:rFonts w:eastAsiaTheme="minorEastAsia" w:cs="Times New Roman"/>
          <w:szCs w:val="22"/>
          <w:lang w:eastAsia="zh-CN"/>
        </w:rPr>
        <w:t xml:space="preserve">for choice type was </w:t>
      </w:r>
      <w:r w:rsidR="008E740D">
        <w:rPr>
          <w:rFonts w:eastAsiaTheme="minorEastAsia" w:cs="Times New Roman"/>
          <w:szCs w:val="22"/>
          <w:lang w:eastAsia="zh-CN"/>
        </w:rPr>
        <w:t>“</w:t>
      </w:r>
      <w:r w:rsidR="00D407F2" w:rsidRPr="000418D8">
        <w:rPr>
          <w:rFonts w:eastAsiaTheme="minorEastAsia" w:cs="Times New Roman"/>
          <w:szCs w:val="22"/>
          <w:lang w:eastAsia="zh-CN"/>
        </w:rPr>
        <w:t>dichotomous</w:t>
      </w:r>
      <w:r w:rsidR="008E740D">
        <w:rPr>
          <w:rFonts w:eastAsiaTheme="minorEastAsia" w:cs="Times New Roman"/>
          <w:szCs w:val="22"/>
          <w:lang w:eastAsia="zh-CN"/>
        </w:rPr>
        <w:t>”</w:t>
      </w:r>
      <w:r w:rsidR="00D407F2" w:rsidRPr="000418D8">
        <w:rPr>
          <w:rFonts w:eastAsiaTheme="minorEastAsia" w:cs="Times New Roman"/>
          <w:szCs w:val="22"/>
          <w:lang w:eastAsia="zh-CN"/>
        </w:rPr>
        <w:t>,</w:t>
      </w:r>
      <w:r w:rsidR="00D407F2">
        <w:rPr>
          <w:rFonts w:eastAsiaTheme="minorEastAsia" w:cs="Times New Roman"/>
          <w:szCs w:val="22"/>
          <w:lang w:eastAsia="zh-CN"/>
        </w:rPr>
        <w:t xml:space="preserve"> </w:t>
      </w:r>
      <w:r w:rsidR="00D407F2" w:rsidRPr="000418D8">
        <w:rPr>
          <w:rFonts w:eastAsiaTheme="minorEastAsia" w:cs="Times New Roman"/>
          <w:szCs w:val="22"/>
          <w:lang w:eastAsia="zh-CN"/>
        </w:rPr>
        <w:t xml:space="preserve">for experimental setting was </w:t>
      </w:r>
      <w:r w:rsidR="008E740D">
        <w:rPr>
          <w:rFonts w:eastAsiaTheme="minorEastAsia" w:cs="Times New Roman"/>
          <w:szCs w:val="22"/>
          <w:lang w:eastAsia="zh-CN"/>
        </w:rPr>
        <w:t>“</w:t>
      </w:r>
      <w:r w:rsidR="00D407F2" w:rsidRPr="000418D8">
        <w:rPr>
          <w:rFonts w:eastAsiaTheme="minorEastAsia" w:cs="Times New Roman"/>
          <w:szCs w:val="22"/>
          <w:lang w:eastAsia="zh-CN"/>
        </w:rPr>
        <w:t>lab</w:t>
      </w:r>
      <w:r w:rsidR="008E740D">
        <w:rPr>
          <w:rFonts w:eastAsiaTheme="minorEastAsia" w:cs="Times New Roman"/>
          <w:szCs w:val="22"/>
          <w:lang w:eastAsia="zh-CN"/>
        </w:rPr>
        <w:t>”</w:t>
      </w:r>
      <w:r w:rsidR="00D407F2" w:rsidRPr="000418D8">
        <w:rPr>
          <w:rFonts w:eastAsiaTheme="minorEastAsia" w:cs="Times New Roman"/>
          <w:szCs w:val="22"/>
          <w:lang w:eastAsia="zh-CN"/>
        </w:rPr>
        <w:t xml:space="preserve">, for trial of cooperation was </w:t>
      </w:r>
      <w:r w:rsidR="008E740D">
        <w:rPr>
          <w:rFonts w:eastAsiaTheme="minorEastAsia" w:cs="Times New Roman"/>
          <w:szCs w:val="22"/>
          <w:lang w:eastAsia="zh-CN"/>
        </w:rPr>
        <w:t>“</w:t>
      </w:r>
      <w:r w:rsidR="00D407F2" w:rsidRPr="000418D8">
        <w:rPr>
          <w:rFonts w:eastAsiaTheme="minorEastAsia" w:cs="Times New Roman"/>
          <w:szCs w:val="22"/>
          <w:lang w:eastAsia="zh-CN"/>
        </w:rPr>
        <w:t>all</w:t>
      </w:r>
      <w:r w:rsidR="008E740D">
        <w:rPr>
          <w:rFonts w:eastAsiaTheme="minorEastAsia" w:cs="Times New Roman"/>
          <w:szCs w:val="22"/>
          <w:lang w:eastAsia="zh-CN"/>
        </w:rPr>
        <w:t>”</w:t>
      </w:r>
      <w:r w:rsidR="00D407F2">
        <w:rPr>
          <w:rFonts w:eastAsiaTheme="minorEastAsia" w:cs="Times New Roman"/>
          <w:szCs w:val="22"/>
          <w:lang w:eastAsia="zh-CN"/>
        </w:rPr>
        <w:t>,</w:t>
      </w:r>
      <w:r w:rsidR="00D407F2" w:rsidRPr="000418D8">
        <w:rPr>
          <w:rFonts w:eastAsiaTheme="minorEastAsia" w:cs="Times New Roman"/>
          <w:szCs w:val="22"/>
          <w:lang w:eastAsia="zh-CN"/>
        </w:rPr>
        <w:t xml:space="preserve"> for discipline was </w:t>
      </w:r>
      <w:r w:rsidR="008E740D">
        <w:rPr>
          <w:rFonts w:eastAsiaTheme="minorEastAsia" w:cs="Times New Roman"/>
          <w:szCs w:val="22"/>
          <w:lang w:eastAsia="zh-CN"/>
        </w:rPr>
        <w:t>“</w:t>
      </w:r>
      <w:r w:rsidR="00D407F2" w:rsidRPr="000418D8">
        <w:rPr>
          <w:rFonts w:eastAsiaTheme="minorEastAsia" w:cs="Times New Roman"/>
          <w:szCs w:val="22"/>
          <w:lang w:eastAsia="zh-CN"/>
        </w:rPr>
        <w:t>economics</w:t>
      </w:r>
      <w:r w:rsidR="008E740D">
        <w:rPr>
          <w:rFonts w:eastAsiaTheme="minorEastAsia" w:cs="Times New Roman"/>
          <w:szCs w:val="22"/>
          <w:lang w:eastAsia="zh-CN"/>
        </w:rPr>
        <w:t>”</w:t>
      </w:r>
      <w:r w:rsidR="00D407F2" w:rsidRPr="000418D8">
        <w:rPr>
          <w:rFonts w:eastAsiaTheme="minorEastAsia" w:cs="Times New Roman"/>
          <w:szCs w:val="22"/>
          <w:lang w:eastAsia="zh-CN"/>
        </w:rPr>
        <w:t xml:space="preserve">, for </w:t>
      </w:r>
      <w:r w:rsidR="00DE09F6">
        <w:rPr>
          <w:rFonts w:eastAsiaTheme="minorEastAsia" w:cs="Times New Roman"/>
          <w:szCs w:val="22"/>
          <w:lang w:eastAsia="zh-CN"/>
        </w:rPr>
        <w:t>matching design</w:t>
      </w:r>
      <w:r w:rsidR="00D407F2" w:rsidRPr="000418D8">
        <w:rPr>
          <w:rFonts w:eastAsiaTheme="minorEastAsia" w:cs="Times New Roman"/>
          <w:szCs w:val="22"/>
          <w:lang w:eastAsia="zh-CN"/>
        </w:rPr>
        <w:t xml:space="preserve"> was </w:t>
      </w:r>
      <w:r w:rsidR="008E740D">
        <w:rPr>
          <w:rFonts w:eastAsiaTheme="minorEastAsia" w:cs="Times New Roman"/>
          <w:szCs w:val="22"/>
          <w:lang w:eastAsia="zh-CN"/>
        </w:rPr>
        <w:t>“</w:t>
      </w:r>
      <w:r w:rsidR="00DE09F6">
        <w:rPr>
          <w:rFonts w:eastAsiaTheme="minorEastAsia" w:cs="Times New Roman"/>
          <w:szCs w:val="22"/>
          <w:lang w:eastAsia="zh-CN"/>
        </w:rPr>
        <w:t>stranger-matching</w:t>
      </w:r>
      <w:r w:rsidR="008E740D">
        <w:rPr>
          <w:rFonts w:eastAsiaTheme="minorEastAsia" w:cs="Times New Roman"/>
          <w:szCs w:val="22"/>
          <w:lang w:eastAsia="zh-CN"/>
        </w:rPr>
        <w:t>”</w:t>
      </w:r>
      <w:r w:rsidR="00D407F2" w:rsidRPr="000418D8">
        <w:rPr>
          <w:rFonts w:eastAsiaTheme="minorEastAsia" w:cs="Times New Roman"/>
          <w:szCs w:val="22"/>
          <w:lang w:eastAsia="zh-CN"/>
        </w:rPr>
        <w:t xml:space="preserve">, for symmetry was </w:t>
      </w:r>
      <w:r w:rsidR="008E740D">
        <w:rPr>
          <w:rFonts w:eastAsiaTheme="minorEastAsia" w:cs="Times New Roman"/>
          <w:szCs w:val="22"/>
          <w:lang w:eastAsia="zh-CN"/>
        </w:rPr>
        <w:t>“</w:t>
      </w:r>
      <w:r w:rsidR="00D407F2" w:rsidRPr="000418D8">
        <w:rPr>
          <w:rFonts w:eastAsiaTheme="minorEastAsia" w:cs="Times New Roman"/>
          <w:szCs w:val="22"/>
          <w:lang w:eastAsia="zh-CN"/>
        </w:rPr>
        <w:t>asymmetric</w:t>
      </w:r>
      <w:r w:rsidR="008E740D">
        <w:rPr>
          <w:rFonts w:eastAsiaTheme="minorEastAsia" w:cs="Times New Roman"/>
          <w:szCs w:val="22"/>
          <w:lang w:eastAsia="zh-CN"/>
        </w:rPr>
        <w:t>”</w:t>
      </w:r>
      <w:r w:rsidR="00D407F2" w:rsidRPr="000418D8">
        <w:rPr>
          <w:rFonts w:eastAsiaTheme="minorEastAsia" w:cs="Times New Roman"/>
          <w:szCs w:val="22"/>
          <w:lang w:eastAsia="zh-CN"/>
        </w:rPr>
        <w:t xml:space="preserve">, </w:t>
      </w:r>
      <w:r w:rsidRPr="000418D8">
        <w:rPr>
          <w:rFonts w:eastAsiaTheme="minorEastAsia" w:cs="Times New Roman"/>
          <w:szCs w:val="22"/>
          <w:lang w:eastAsia="zh-CN"/>
        </w:rPr>
        <w:t xml:space="preserve">for </w:t>
      </w:r>
      <w:proofErr w:type="spellStart"/>
      <w:r w:rsidRPr="000418D8">
        <w:rPr>
          <w:rFonts w:eastAsiaTheme="minorEastAsia" w:cs="Times New Roman"/>
          <w:szCs w:val="22"/>
          <w:lang w:eastAsia="zh-CN"/>
        </w:rPr>
        <w:t>sequentiality</w:t>
      </w:r>
      <w:proofErr w:type="spellEnd"/>
      <w:r w:rsidRPr="000418D8">
        <w:rPr>
          <w:rFonts w:eastAsiaTheme="minorEastAsia" w:cs="Times New Roman"/>
          <w:szCs w:val="22"/>
          <w:lang w:eastAsia="zh-CN"/>
        </w:rPr>
        <w:t xml:space="preserve"> was </w:t>
      </w:r>
      <w:r w:rsidR="008E740D">
        <w:rPr>
          <w:rFonts w:eastAsiaTheme="minorEastAsia" w:cs="Times New Roman"/>
          <w:szCs w:val="22"/>
          <w:lang w:eastAsia="zh-CN"/>
        </w:rPr>
        <w:t>“</w:t>
      </w:r>
      <w:r w:rsidRPr="000418D8">
        <w:rPr>
          <w:rFonts w:eastAsiaTheme="minorEastAsia" w:cs="Times New Roman"/>
          <w:szCs w:val="22"/>
          <w:lang w:eastAsia="zh-CN"/>
        </w:rPr>
        <w:t>sequential</w:t>
      </w:r>
      <w:r w:rsidR="008E740D">
        <w:rPr>
          <w:rFonts w:eastAsiaTheme="minorEastAsia" w:cs="Times New Roman"/>
          <w:szCs w:val="22"/>
          <w:lang w:eastAsia="zh-CN"/>
        </w:rPr>
        <w:t>”</w:t>
      </w:r>
      <w:r w:rsidRPr="000418D8">
        <w:rPr>
          <w:rFonts w:eastAsiaTheme="minorEastAsia" w:cs="Times New Roman"/>
          <w:szCs w:val="22"/>
          <w:lang w:eastAsia="zh-CN"/>
        </w:rPr>
        <w:t>.</w:t>
      </w:r>
    </w:p>
    <w:p w14:paraId="5CAE4C6B" w14:textId="77777777" w:rsidR="000418D8" w:rsidRPr="00B707D2" w:rsidRDefault="000418D8" w:rsidP="00CD0784">
      <w:pPr>
        <w:spacing w:line="240" w:lineRule="auto"/>
        <w:rPr>
          <w:rFonts w:eastAsiaTheme="minorEastAsia" w:cstheme="minorBidi"/>
          <w:szCs w:val="22"/>
          <w:lang w:eastAsia="zh-CN"/>
        </w:rPr>
      </w:pPr>
      <w:r w:rsidRPr="00B707D2">
        <w:rPr>
          <w:rFonts w:eastAsiaTheme="minorEastAsia" w:cstheme="minorBidi"/>
          <w:szCs w:val="22"/>
          <w:lang w:eastAsia="zh-CN"/>
        </w:rPr>
        <w:t xml:space="preserve">* </w:t>
      </w:r>
      <w:r w:rsidRPr="00B707D2">
        <w:rPr>
          <w:rFonts w:eastAsiaTheme="minorEastAsia" w:cstheme="minorBidi"/>
          <w:i/>
          <w:szCs w:val="22"/>
          <w:lang w:eastAsia="zh-CN"/>
        </w:rPr>
        <w:t>p</w:t>
      </w:r>
      <w:r w:rsidRPr="00B707D2">
        <w:rPr>
          <w:rFonts w:eastAsiaTheme="minorEastAsia" w:cstheme="minorBidi"/>
          <w:szCs w:val="22"/>
          <w:lang w:eastAsia="zh-CN"/>
        </w:rPr>
        <w:t xml:space="preserve"> &lt; .05</w:t>
      </w:r>
    </w:p>
    <w:p w14:paraId="60CF794B" w14:textId="38E1CF04" w:rsidR="00BE3CF7" w:rsidRDefault="00BE3CF7" w:rsidP="004B79C8">
      <w:pPr>
        <w:rPr>
          <w:rFonts w:eastAsiaTheme="minorEastAsia" w:cs="Times New Roman"/>
          <w:b/>
          <w:szCs w:val="22"/>
          <w:lang w:eastAsia="zh-CN"/>
        </w:rPr>
        <w:sectPr w:rsidR="00BE3CF7" w:rsidSect="00F63796">
          <w:pgSz w:w="12240" w:h="15840"/>
          <w:pgMar w:top="1440" w:right="1440" w:bottom="1440" w:left="1440" w:header="708" w:footer="708" w:gutter="0"/>
          <w:cols w:space="708"/>
          <w:docGrid w:linePitch="326"/>
        </w:sectPr>
      </w:pPr>
    </w:p>
    <w:p w14:paraId="694D78B3" w14:textId="506682F1" w:rsidR="00D14C1C" w:rsidRPr="00D14C1C" w:rsidRDefault="00156901" w:rsidP="00D14C1C">
      <w:pPr>
        <w:pStyle w:val="Heading2"/>
      </w:pPr>
      <w:bookmarkStart w:id="24" w:name="_Toc169458482"/>
      <w:r>
        <w:rPr>
          <w:rFonts w:hint="eastAsia"/>
          <w:lang w:eastAsia="zh-CN"/>
        </w:rPr>
        <w:lastRenderedPageBreak/>
        <w:t>8</w:t>
      </w:r>
      <w:r w:rsidR="00D14C1C">
        <w:t xml:space="preserve">.2 </w:t>
      </w:r>
      <w:r w:rsidR="00D14C1C" w:rsidRPr="00D14C1C">
        <w:t>Models to Test Additional Hypotheses</w:t>
      </w:r>
      <w:bookmarkEnd w:id="24"/>
    </w:p>
    <w:p w14:paraId="519C84B2" w14:textId="2A03A7EA" w:rsidR="00042903" w:rsidRPr="00042903" w:rsidRDefault="00E80154" w:rsidP="004B79C8">
      <w:pPr>
        <w:rPr>
          <w:rFonts w:eastAsiaTheme="minorEastAsia" w:cs="Times New Roman"/>
          <w:b/>
          <w:szCs w:val="22"/>
          <w:lang w:eastAsia="zh-CN"/>
        </w:rPr>
      </w:pPr>
      <w:r>
        <w:rPr>
          <w:rFonts w:eastAsiaTheme="minorEastAsia" w:cs="Times New Roman"/>
          <w:b/>
          <w:szCs w:val="22"/>
          <w:lang w:eastAsia="zh-CN"/>
        </w:rPr>
        <w:t xml:space="preserve">Table </w:t>
      </w:r>
      <w:r w:rsidR="00F83039">
        <w:rPr>
          <w:rFonts w:eastAsiaTheme="minorEastAsia" w:cs="Times New Roman"/>
          <w:b/>
          <w:szCs w:val="22"/>
          <w:lang w:eastAsia="zh-CN"/>
        </w:rPr>
        <w:t>S</w:t>
      </w:r>
      <w:r w:rsidR="005557B0">
        <w:rPr>
          <w:rFonts w:eastAsiaTheme="minorEastAsia" w:cs="Times New Roman"/>
          <w:b/>
          <w:szCs w:val="22"/>
          <w:lang w:eastAsia="zh-CN"/>
        </w:rPr>
        <w:t>4</w:t>
      </w:r>
    </w:p>
    <w:p w14:paraId="2C47B2FC" w14:textId="391CE679" w:rsidR="00091EC0" w:rsidRPr="00091EC0" w:rsidRDefault="00495B40" w:rsidP="004B79C8">
      <w:pPr>
        <w:rPr>
          <w:rFonts w:eastAsiaTheme="minorEastAsia" w:cs="Times New Roman"/>
          <w:i/>
          <w:szCs w:val="22"/>
          <w:lang w:eastAsia="zh-CN"/>
        </w:rPr>
      </w:pPr>
      <w:r w:rsidRPr="00495B40">
        <w:rPr>
          <w:rFonts w:eastAsiaTheme="minorEastAsia" w:cs="Times New Roman"/>
          <w:i/>
          <w:szCs w:val="22"/>
          <w:lang w:eastAsia="zh-CN"/>
        </w:rPr>
        <w:t xml:space="preserve">Meta-Regression Results for </w:t>
      </w:r>
      <w:r w:rsidR="005557B0">
        <w:rPr>
          <w:rFonts w:eastAsiaTheme="minorEastAsia" w:cs="Times New Roman"/>
          <w:i/>
          <w:szCs w:val="22"/>
          <w:lang w:eastAsia="zh-CN"/>
        </w:rPr>
        <w:t xml:space="preserve">Additional Hypotheses </w:t>
      </w:r>
      <w:r>
        <w:rPr>
          <w:rFonts w:eastAsiaTheme="minorEastAsia" w:cs="Times New Roman"/>
          <w:i/>
          <w:szCs w:val="22"/>
          <w:lang w:eastAsia="zh-CN"/>
        </w:rPr>
        <w:t>(Model 1b</w:t>
      </w:r>
      <w:r w:rsidRPr="00495B40">
        <w:rPr>
          <w:rFonts w:eastAsiaTheme="minorEastAsia" w:cs="Times New Roman"/>
          <w:i/>
          <w:szCs w:val="22"/>
          <w:lang w:eastAsia="zh-CN"/>
        </w:rPr>
        <w:t>–</w:t>
      </w:r>
      <w:r>
        <w:rPr>
          <w:rFonts w:eastAsiaTheme="minorEastAsia" w:cs="Times New Roman"/>
          <w:i/>
          <w:szCs w:val="22"/>
          <w:lang w:eastAsia="zh-CN"/>
        </w:rPr>
        <w:t>1</w:t>
      </w:r>
      <w:r w:rsidR="00F30B53">
        <w:rPr>
          <w:rFonts w:eastAsiaTheme="minorEastAsia" w:cs="Times New Roman"/>
          <w:i/>
          <w:szCs w:val="22"/>
          <w:lang w:eastAsia="zh-CN"/>
        </w:rPr>
        <w:t>d</w:t>
      </w:r>
      <w:r w:rsidR="00C12950">
        <w:rPr>
          <w:rFonts w:eastAsiaTheme="minorEastAsia" w:cs="Times New Roman"/>
          <w:i/>
          <w:szCs w:val="22"/>
          <w:lang w:eastAsia="zh-CN"/>
        </w:rPr>
        <w:t>, Study 1</w:t>
      </w:r>
      <w:r w:rsidRPr="00495B40">
        <w:rPr>
          <w:rFonts w:eastAsiaTheme="minorEastAsia" w:cs="Times New Roman"/>
          <w:i/>
          <w:szCs w:val="22"/>
          <w:lang w:eastAsia="zh-CN"/>
        </w:rPr>
        <w:t>)</w:t>
      </w:r>
    </w:p>
    <w:tbl>
      <w:tblPr>
        <w:tblW w:w="0" w:type="auto"/>
        <w:tblLook w:val="04A0" w:firstRow="1" w:lastRow="0" w:firstColumn="1" w:lastColumn="0" w:noHBand="0" w:noVBand="1"/>
      </w:tblPr>
      <w:tblGrid>
        <w:gridCol w:w="4362"/>
        <w:gridCol w:w="656"/>
        <w:gridCol w:w="576"/>
        <w:gridCol w:w="1203"/>
        <w:gridCol w:w="736"/>
        <w:gridCol w:w="576"/>
        <w:gridCol w:w="1283"/>
        <w:gridCol w:w="736"/>
        <w:gridCol w:w="576"/>
        <w:gridCol w:w="1283"/>
      </w:tblGrid>
      <w:tr w:rsidR="00F30B53" w:rsidRPr="00F30B53" w14:paraId="0881E020" w14:textId="77777777" w:rsidTr="00F30B53">
        <w:trPr>
          <w:trHeight w:val="215"/>
        </w:trPr>
        <w:tc>
          <w:tcPr>
            <w:tcW w:w="0" w:type="auto"/>
            <w:vMerge w:val="restart"/>
            <w:tcBorders>
              <w:top w:val="single" w:sz="4" w:space="0" w:color="auto"/>
              <w:left w:val="nil"/>
              <w:bottom w:val="single" w:sz="4" w:space="0" w:color="000000"/>
              <w:right w:val="nil"/>
            </w:tcBorders>
            <w:shd w:val="clear" w:color="auto" w:fill="auto"/>
            <w:noWrap/>
            <w:vAlign w:val="center"/>
            <w:hideMark/>
          </w:tcPr>
          <w:p w14:paraId="71617192"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Variables</w:t>
            </w:r>
          </w:p>
        </w:tc>
        <w:tc>
          <w:tcPr>
            <w:tcW w:w="0" w:type="auto"/>
            <w:gridSpan w:val="3"/>
            <w:tcBorders>
              <w:top w:val="single" w:sz="4" w:space="0" w:color="auto"/>
              <w:left w:val="nil"/>
              <w:bottom w:val="single" w:sz="4" w:space="0" w:color="auto"/>
              <w:right w:val="nil"/>
            </w:tcBorders>
            <w:shd w:val="clear" w:color="auto" w:fill="auto"/>
            <w:noWrap/>
            <w:vAlign w:val="center"/>
            <w:hideMark/>
          </w:tcPr>
          <w:p w14:paraId="424EF1C3"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Model 1b</w:t>
            </w:r>
          </w:p>
        </w:tc>
        <w:tc>
          <w:tcPr>
            <w:tcW w:w="0" w:type="auto"/>
            <w:gridSpan w:val="3"/>
            <w:tcBorders>
              <w:top w:val="single" w:sz="4" w:space="0" w:color="auto"/>
              <w:left w:val="nil"/>
              <w:bottom w:val="single" w:sz="4" w:space="0" w:color="auto"/>
              <w:right w:val="nil"/>
            </w:tcBorders>
            <w:shd w:val="clear" w:color="auto" w:fill="auto"/>
            <w:noWrap/>
            <w:vAlign w:val="center"/>
            <w:hideMark/>
          </w:tcPr>
          <w:p w14:paraId="699DAC44"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Model 1c</w:t>
            </w:r>
          </w:p>
        </w:tc>
        <w:tc>
          <w:tcPr>
            <w:tcW w:w="0" w:type="auto"/>
            <w:gridSpan w:val="3"/>
            <w:tcBorders>
              <w:top w:val="single" w:sz="4" w:space="0" w:color="auto"/>
              <w:left w:val="nil"/>
              <w:bottom w:val="single" w:sz="4" w:space="0" w:color="auto"/>
              <w:right w:val="nil"/>
            </w:tcBorders>
            <w:shd w:val="clear" w:color="auto" w:fill="auto"/>
            <w:noWrap/>
            <w:vAlign w:val="center"/>
            <w:hideMark/>
          </w:tcPr>
          <w:p w14:paraId="60E69228"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Model 1d</w:t>
            </w:r>
          </w:p>
        </w:tc>
      </w:tr>
      <w:tr w:rsidR="00F30B53" w:rsidRPr="00F30B53" w14:paraId="7EC78901" w14:textId="77777777" w:rsidTr="00F30B53">
        <w:trPr>
          <w:trHeight w:val="215"/>
        </w:trPr>
        <w:tc>
          <w:tcPr>
            <w:tcW w:w="0" w:type="auto"/>
            <w:vMerge/>
            <w:tcBorders>
              <w:top w:val="single" w:sz="4" w:space="0" w:color="auto"/>
              <w:left w:val="nil"/>
              <w:bottom w:val="single" w:sz="4" w:space="0" w:color="000000"/>
              <w:right w:val="nil"/>
            </w:tcBorders>
            <w:vAlign w:val="center"/>
            <w:hideMark/>
          </w:tcPr>
          <w:p w14:paraId="797FEC0F" w14:textId="77777777" w:rsidR="00F30B53" w:rsidRPr="00F30B53" w:rsidRDefault="00F30B53" w:rsidP="00F30B53">
            <w:pPr>
              <w:spacing w:line="240" w:lineRule="auto"/>
              <w:rPr>
                <w:rFonts w:eastAsia="Times New Roman" w:cs="Times New Roman"/>
                <w:b/>
                <w:bCs/>
                <w:color w:val="000000"/>
                <w:sz w:val="16"/>
                <w:szCs w:val="16"/>
                <w:lang w:val="en-GB" w:eastAsia="zh-CN"/>
              </w:rPr>
            </w:pPr>
          </w:p>
        </w:tc>
        <w:tc>
          <w:tcPr>
            <w:tcW w:w="0" w:type="auto"/>
            <w:tcBorders>
              <w:top w:val="nil"/>
              <w:left w:val="nil"/>
              <w:bottom w:val="single" w:sz="4" w:space="0" w:color="auto"/>
              <w:right w:val="nil"/>
            </w:tcBorders>
            <w:shd w:val="clear" w:color="auto" w:fill="auto"/>
            <w:noWrap/>
            <w:vAlign w:val="center"/>
            <w:hideMark/>
          </w:tcPr>
          <w:p w14:paraId="3B9003BF" w14:textId="77777777" w:rsidR="00F30B53" w:rsidRPr="00F30B53" w:rsidRDefault="00F30B53" w:rsidP="00F30B53">
            <w:pPr>
              <w:spacing w:line="240" w:lineRule="auto"/>
              <w:jc w:val="center"/>
              <w:rPr>
                <w:rFonts w:eastAsia="Times New Roman" w:cs="Times New Roman"/>
                <w:b/>
                <w:bCs/>
                <w:i/>
                <w:iCs/>
                <w:color w:val="000000"/>
                <w:sz w:val="16"/>
                <w:szCs w:val="16"/>
                <w:lang w:val="en-GB" w:eastAsia="zh-CN"/>
              </w:rPr>
            </w:pPr>
            <w:r w:rsidRPr="00F30B53">
              <w:rPr>
                <w:rFonts w:eastAsia="Times New Roman" w:cs="Times New Roman"/>
                <w:b/>
                <w:bCs/>
                <w:i/>
                <w:iCs/>
                <w:color w:val="000000"/>
                <w:sz w:val="16"/>
                <w:szCs w:val="16"/>
                <w:lang w:val="en-GB" w:eastAsia="zh-CN"/>
              </w:rPr>
              <w:t>b</w:t>
            </w:r>
          </w:p>
        </w:tc>
        <w:tc>
          <w:tcPr>
            <w:tcW w:w="0" w:type="auto"/>
            <w:tcBorders>
              <w:top w:val="nil"/>
              <w:left w:val="nil"/>
              <w:bottom w:val="single" w:sz="4" w:space="0" w:color="auto"/>
              <w:right w:val="nil"/>
            </w:tcBorders>
            <w:shd w:val="clear" w:color="auto" w:fill="auto"/>
            <w:noWrap/>
            <w:vAlign w:val="center"/>
            <w:hideMark/>
          </w:tcPr>
          <w:p w14:paraId="1EEC7973" w14:textId="77777777" w:rsidR="00F30B53" w:rsidRPr="00F30B53" w:rsidRDefault="00F30B53" w:rsidP="00F30B53">
            <w:pPr>
              <w:spacing w:line="240" w:lineRule="auto"/>
              <w:jc w:val="center"/>
              <w:rPr>
                <w:rFonts w:eastAsia="Times New Roman" w:cs="Times New Roman"/>
                <w:b/>
                <w:bCs/>
                <w:i/>
                <w:iCs/>
                <w:color w:val="000000"/>
                <w:sz w:val="16"/>
                <w:szCs w:val="16"/>
                <w:lang w:val="en-GB" w:eastAsia="zh-CN"/>
              </w:rPr>
            </w:pPr>
            <w:r w:rsidRPr="00F30B53">
              <w:rPr>
                <w:rFonts w:eastAsia="Times New Roman" w:cs="Times New Roman"/>
                <w:b/>
                <w:bCs/>
                <w:i/>
                <w:iCs/>
                <w:color w:val="000000"/>
                <w:sz w:val="16"/>
                <w:szCs w:val="16"/>
                <w:lang w:val="en-GB" w:eastAsia="zh-CN"/>
              </w:rPr>
              <w:t>SE</w:t>
            </w:r>
          </w:p>
        </w:tc>
        <w:tc>
          <w:tcPr>
            <w:tcW w:w="0" w:type="auto"/>
            <w:tcBorders>
              <w:top w:val="nil"/>
              <w:left w:val="nil"/>
              <w:bottom w:val="single" w:sz="4" w:space="0" w:color="auto"/>
              <w:right w:val="nil"/>
            </w:tcBorders>
            <w:shd w:val="clear" w:color="auto" w:fill="auto"/>
            <w:noWrap/>
            <w:vAlign w:val="center"/>
            <w:hideMark/>
          </w:tcPr>
          <w:p w14:paraId="70FBFA0E"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95% CI</w:t>
            </w:r>
          </w:p>
        </w:tc>
        <w:tc>
          <w:tcPr>
            <w:tcW w:w="0" w:type="auto"/>
            <w:tcBorders>
              <w:top w:val="nil"/>
              <w:left w:val="nil"/>
              <w:bottom w:val="single" w:sz="4" w:space="0" w:color="auto"/>
              <w:right w:val="nil"/>
            </w:tcBorders>
            <w:shd w:val="clear" w:color="auto" w:fill="auto"/>
            <w:noWrap/>
            <w:vAlign w:val="center"/>
            <w:hideMark/>
          </w:tcPr>
          <w:p w14:paraId="0DB4DDA8" w14:textId="77777777" w:rsidR="00F30B53" w:rsidRPr="00F30B53" w:rsidRDefault="00F30B53" w:rsidP="00F30B53">
            <w:pPr>
              <w:spacing w:line="240" w:lineRule="auto"/>
              <w:jc w:val="center"/>
              <w:rPr>
                <w:rFonts w:eastAsia="Times New Roman" w:cs="Times New Roman"/>
                <w:b/>
                <w:bCs/>
                <w:i/>
                <w:iCs/>
                <w:color w:val="000000"/>
                <w:sz w:val="16"/>
                <w:szCs w:val="16"/>
                <w:lang w:val="en-GB" w:eastAsia="zh-CN"/>
              </w:rPr>
            </w:pPr>
            <w:r w:rsidRPr="00F30B53">
              <w:rPr>
                <w:rFonts w:eastAsia="Times New Roman" w:cs="Times New Roman"/>
                <w:b/>
                <w:bCs/>
                <w:i/>
                <w:iCs/>
                <w:color w:val="000000"/>
                <w:sz w:val="16"/>
                <w:szCs w:val="16"/>
                <w:lang w:val="en-GB" w:eastAsia="zh-CN"/>
              </w:rPr>
              <w:t>b</w:t>
            </w:r>
          </w:p>
        </w:tc>
        <w:tc>
          <w:tcPr>
            <w:tcW w:w="0" w:type="auto"/>
            <w:tcBorders>
              <w:top w:val="nil"/>
              <w:left w:val="nil"/>
              <w:bottom w:val="single" w:sz="4" w:space="0" w:color="auto"/>
              <w:right w:val="nil"/>
            </w:tcBorders>
            <w:shd w:val="clear" w:color="auto" w:fill="auto"/>
            <w:noWrap/>
            <w:vAlign w:val="center"/>
            <w:hideMark/>
          </w:tcPr>
          <w:p w14:paraId="6EA81F2A" w14:textId="77777777" w:rsidR="00F30B53" w:rsidRPr="00F30B53" w:rsidRDefault="00F30B53" w:rsidP="00F30B53">
            <w:pPr>
              <w:spacing w:line="240" w:lineRule="auto"/>
              <w:jc w:val="center"/>
              <w:rPr>
                <w:rFonts w:eastAsia="Times New Roman" w:cs="Times New Roman"/>
                <w:b/>
                <w:bCs/>
                <w:i/>
                <w:iCs/>
                <w:color w:val="000000"/>
                <w:sz w:val="16"/>
                <w:szCs w:val="16"/>
                <w:lang w:val="en-GB" w:eastAsia="zh-CN"/>
              </w:rPr>
            </w:pPr>
            <w:r w:rsidRPr="00F30B53">
              <w:rPr>
                <w:rFonts w:eastAsia="Times New Roman" w:cs="Times New Roman"/>
                <w:b/>
                <w:bCs/>
                <w:i/>
                <w:iCs/>
                <w:color w:val="000000"/>
                <w:sz w:val="16"/>
                <w:szCs w:val="16"/>
                <w:lang w:val="en-GB" w:eastAsia="zh-CN"/>
              </w:rPr>
              <w:t>SE</w:t>
            </w:r>
          </w:p>
        </w:tc>
        <w:tc>
          <w:tcPr>
            <w:tcW w:w="0" w:type="auto"/>
            <w:tcBorders>
              <w:top w:val="nil"/>
              <w:left w:val="nil"/>
              <w:bottom w:val="single" w:sz="4" w:space="0" w:color="auto"/>
              <w:right w:val="nil"/>
            </w:tcBorders>
            <w:shd w:val="clear" w:color="auto" w:fill="auto"/>
            <w:noWrap/>
            <w:vAlign w:val="center"/>
            <w:hideMark/>
          </w:tcPr>
          <w:p w14:paraId="42C083BF"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95% CI</w:t>
            </w:r>
          </w:p>
        </w:tc>
        <w:tc>
          <w:tcPr>
            <w:tcW w:w="0" w:type="auto"/>
            <w:tcBorders>
              <w:top w:val="nil"/>
              <w:left w:val="nil"/>
              <w:bottom w:val="single" w:sz="4" w:space="0" w:color="auto"/>
              <w:right w:val="nil"/>
            </w:tcBorders>
            <w:shd w:val="clear" w:color="auto" w:fill="auto"/>
            <w:noWrap/>
            <w:vAlign w:val="center"/>
            <w:hideMark/>
          </w:tcPr>
          <w:p w14:paraId="6E8B0908" w14:textId="77777777" w:rsidR="00F30B53" w:rsidRPr="00F30B53" w:rsidRDefault="00F30B53" w:rsidP="00F30B53">
            <w:pPr>
              <w:spacing w:line="240" w:lineRule="auto"/>
              <w:jc w:val="center"/>
              <w:rPr>
                <w:rFonts w:eastAsia="Times New Roman" w:cs="Times New Roman"/>
                <w:b/>
                <w:bCs/>
                <w:i/>
                <w:iCs/>
                <w:color w:val="000000"/>
                <w:sz w:val="16"/>
                <w:szCs w:val="16"/>
                <w:lang w:val="en-GB" w:eastAsia="zh-CN"/>
              </w:rPr>
            </w:pPr>
            <w:r w:rsidRPr="00F30B53">
              <w:rPr>
                <w:rFonts w:eastAsia="Times New Roman" w:cs="Times New Roman"/>
                <w:b/>
                <w:bCs/>
                <w:i/>
                <w:iCs/>
                <w:color w:val="000000"/>
                <w:sz w:val="16"/>
                <w:szCs w:val="16"/>
                <w:lang w:val="en-GB" w:eastAsia="zh-CN"/>
              </w:rPr>
              <w:t>b</w:t>
            </w:r>
          </w:p>
        </w:tc>
        <w:tc>
          <w:tcPr>
            <w:tcW w:w="0" w:type="auto"/>
            <w:tcBorders>
              <w:top w:val="nil"/>
              <w:left w:val="nil"/>
              <w:bottom w:val="single" w:sz="4" w:space="0" w:color="auto"/>
              <w:right w:val="nil"/>
            </w:tcBorders>
            <w:shd w:val="clear" w:color="auto" w:fill="auto"/>
            <w:noWrap/>
            <w:vAlign w:val="center"/>
            <w:hideMark/>
          </w:tcPr>
          <w:p w14:paraId="66E65F28" w14:textId="77777777" w:rsidR="00F30B53" w:rsidRPr="00F30B53" w:rsidRDefault="00F30B53" w:rsidP="00F30B53">
            <w:pPr>
              <w:spacing w:line="240" w:lineRule="auto"/>
              <w:jc w:val="center"/>
              <w:rPr>
                <w:rFonts w:eastAsia="Times New Roman" w:cs="Times New Roman"/>
                <w:b/>
                <w:bCs/>
                <w:i/>
                <w:iCs/>
                <w:color w:val="000000"/>
                <w:sz w:val="16"/>
                <w:szCs w:val="16"/>
                <w:lang w:val="en-GB" w:eastAsia="zh-CN"/>
              </w:rPr>
            </w:pPr>
            <w:r w:rsidRPr="00F30B53">
              <w:rPr>
                <w:rFonts w:eastAsia="Times New Roman" w:cs="Times New Roman"/>
                <w:b/>
                <w:bCs/>
                <w:i/>
                <w:iCs/>
                <w:color w:val="000000"/>
                <w:sz w:val="16"/>
                <w:szCs w:val="16"/>
                <w:lang w:val="en-GB" w:eastAsia="zh-CN"/>
              </w:rPr>
              <w:t>SE</w:t>
            </w:r>
          </w:p>
        </w:tc>
        <w:tc>
          <w:tcPr>
            <w:tcW w:w="0" w:type="auto"/>
            <w:tcBorders>
              <w:top w:val="nil"/>
              <w:left w:val="nil"/>
              <w:bottom w:val="single" w:sz="4" w:space="0" w:color="auto"/>
              <w:right w:val="nil"/>
            </w:tcBorders>
            <w:shd w:val="clear" w:color="auto" w:fill="auto"/>
            <w:noWrap/>
            <w:vAlign w:val="center"/>
            <w:hideMark/>
          </w:tcPr>
          <w:p w14:paraId="2EDD670F"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95% CI</w:t>
            </w:r>
          </w:p>
        </w:tc>
      </w:tr>
      <w:tr w:rsidR="00F30B53" w:rsidRPr="00F30B53" w14:paraId="5AF532CF" w14:textId="77777777" w:rsidTr="00F30B53">
        <w:trPr>
          <w:trHeight w:val="215"/>
        </w:trPr>
        <w:tc>
          <w:tcPr>
            <w:tcW w:w="0" w:type="auto"/>
            <w:tcBorders>
              <w:top w:val="nil"/>
              <w:left w:val="nil"/>
              <w:bottom w:val="nil"/>
              <w:right w:val="nil"/>
            </w:tcBorders>
            <w:shd w:val="clear" w:color="auto" w:fill="auto"/>
            <w:noWrap/>
            <w:vAlign w:val="center"/>
            <w:hideMark/>
          </w:tcPr>
          <w:p w14:paraId="47DFF468" w14:textId="77777777" w:rsidR="00F30B53" w:rsidRPr="00F30B53" w:rsidRDefault="00F30B53" w:rsidP="00F30B53">
            <w:pPr>
              <w:spacing w:line="240" w:lineRule="auto"/>
              <w:rPr>
                <w:rFonts w:eastAsia="Times New Roman" w:cs="Times New Roman"/>
                <w:i/>
                <w:iCs/>
                <w:color w:val="000000"/>
                <w:sz w:val="16"/>
                <w:szCs w:val="16"/>
                <w:lang w:val="en-GB" w:eastAsia="zh-CN"/>
              </w:rPr>
            </w:pPr>
            <w:r w:rsidRPr="00F30B53">
              <w:rPr>
                <w:rFonts w:eastAsia="Times New Roman" w:cs="Times New Roman"/>
                <w:i/>
                <w:iCs/>
                <w:color w:val="000000"/>
                <w:sz w:val="16"/>
                <w:szCs w:val="16"/>
                <w:lang w:val="en-GB" w:eastAsia="zh-CN"/>
              </w:rPr>
              <w:t>Control variables</w:t>
            </w:r>
          </w:p>
        </w:tc>
        <w:tc>
          <w:tcPr>
            <w:tcW w:w="0" w:type="auto"/>
            <w:tcBorders>
              <w:top w:val="nil"/>
              <w:left w:val="nil"/>
              <w:bottom w:val="nil"/>
              <w:right w:val="nil"/>
            </w:tcBorders>
            <w:shd w:val="clear" w:color="auto" w:fill="auto"/>
            <w:noWrap/>
            <w:vAlign w:val="center"/>
            <w:hideMark/>
          </w:tcPr>
          <w:p w14:paraId="75B01C29" w14:textId="77777777" w:rsidR="00F30B53" w:rsidRPr="00F30B53" w:rsidRDefault="00F30B53" w:rsidP="00F30B53">
            <w:pPr>
              <w:spacing w:line="240" w:lineRule="auto"/>
              <w:rPr>
                <w:rFonts w:eastAsia="Times New Roman" w:cs="Times New Roman"/>
                <w:i/>
                <w:iCs/>
                <w:color w:val="000000"/>
                <w:sz w:val="16"/>
                <w:szCs w:val="16"/>
                <w:lang w:val="en-GB" w:eastAsia="zh-CN"/>
              </w:rPr>
            </w:pPr>
          </w:p>
        </w:tc>
        <w:tc>
          <w:tcPr>
            <w:tcW w:w="0" w:type="auto"/>
            <w:tcBorders>
              <w:top w:val="nil"/>
              <w:left w:val="nil"/>
              <w:bottom w:val="nil"/>
              <w:right w:val="nil"/>
            </w:tcBorders>
            <w:shd w:val="clear" w:color="auto" w:fill="auto"/>
            <w:noWrap/>
            <w:vAlign w:val="center"/>
            <w:hideMark/>
          </w:tcPr>
          <w:p w14:paraId="00353DB2"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158C7F41"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49FA8CD2"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2BF942F1"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1489DDC3"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080D3CE3"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7EE58908"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46C6FD6E" w14:textId="77777777" w:rsidR="00F30B53" w:rsidRPr="00F30B53" w:rsidRDefault="00F30B53" w:rsidP="00F30B53">
            <w:pPr>
              <w:spacing w:line="240" w:lineRule="auto"/>
              <w:jc w:val="center"/>
              <w:rPr>
                <w:rFonts w:eastAsia="Times New Roman" w:cs="Times New Roman"/>
                <w:sz w:val="20"/>
                <w:szCs w:val="20"/>
                <w:lang w:val="en-GB" w:eastAsia="zh-CN"/>
              </w:rPr>
            </w:pPr>
          </w:p>
        </w:tc>
      </w:tr>
      <w:tr w:rsidR="00F30B53" w:rsidRPr="00F30B53" w14:paraId="52BE3AF5" w14:textId="77777777" w:rsidTr="00F30B53">
        <w:trPr>
          <w:trHeight w:val="215"/>
        </w:trPr>
        <w:tc>
          <w:tcPr>
            <w:tcW w:w="0" w:type="auto"/>
            <w:tcBorders>
              <w:top w:val="nil"/>
              <w:left w:val="nil"/>
              <w:bottom w:val="nil"/>
              <w:right w:val="nil"/>
            </w:tcBorders>
            <w:shd w:val="clear" w:color="auto" w:fill="auto"/>
            <w:noWrap/>
            <w:vAlign w:val="bottom"/>
            <w:hideMark/>
          </w:tcPr>
          <w:p w14:paraId="0BAB24D7"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Choice type-continuous</w:t>
            </w:r>
          </w:p>
        </w:tc>
        <w:tc>
          <w:tcPr>
            <w:tcW w:w="0" w:type="auto"/>
            <w:tcBorders>
              <w:top w:val="nil"/>
              <w:left w:val="nil"/>
              <w:bottom w:val="nil"/>
              <w:right w:val="nil"/>
            </w:tcBorders>
            <w:shd w:val="clear" w:color="auto" w:fill="auto"/>
            <w:noWrap/>
            <w:vAlign w:val="center"/>
            <w:hideMark/>
          </w:tcPr>
          <w:p w14:paraId="3FB1065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0.141*</w:t>
            </w:r>
          </w:p>
        </w:tc>
        <w:tc>
          <w:tcPr>
            <w:tcW w:w="0" w:type="auto"/>
            <w:tcBorders>
              <w:top w:val="nil"/>
              <w:left w:val="nil"/>
              <w:bottom w:val="nil"/>
              <w:right w:val="nil"/>
            </w:tcBorders>
            <w:shd w:val="clear" w:color="auto" w:fill="auto"/>
            <w:noWrap/>
            <w:vAlign w:val="center"/>
            <w:hideMark/>
          </w:tcPr>
          <w:p w14:paraId="054C7D2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0.043</w:t>
            </w:r>
          </w:p>
        </w:tc>
        <w:tc>
          <w:tcPr>
            <w:tcW w:w="0" w:type="auto"/>
            <w:tcBorders>
              <w:top w:val="nil"/>
              <w:left w:val="nil"/>
              <w:bottom w:val="nil"/>
              <w:right w:val="nil"/>
            </w:tcBorders>
            <w:shd w:val="clear" w:color="auto" w:fill="auto"/>
            <w:noWrap/>
            <w:vAlign w:val="center"/>
            <w:hideMark/>
          </w:tcPr>
          <w:p w14:paraId="626A740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[0.057, 0.225]</w:t>
            </w:r>
          </w:p>
        </w:tc>
        <w:tc>
          <w:tcPr>
            <w:tcW w:w="0" w:type="auto"/>
            <w:tcBorders>
              <w:top w:val="nil"/>
              <w:left w:val="nil"/>
              <w:bottom w:val="nil"/>
              <w:right w:val="nil"/>
            </w:tcBorders>
            <w:shd w:val="clear" w:color="auto" w:fill="auto"/>
            <w:noWrap/>
            <w:vAlign w:val="center"/>
            <w:hideMark/>
          </w:tcPr>
          <w:p w14:paraId="28F1D3C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0.117*</w:t>
            </w:r>
          </w:p>
        </w:tc>
        <w:tc>
          <w:tcPr>
            <w:tcW w:w="0" w:type="auto"/>
            <w:tcBorders>
              <w:top w:val="nil"/>
              <w:left w:val="nil"/>
              <w:bottom w:val="nil"/>
              <w:right w:val="nil"/>
            </w:tcBorders>
            <w:shd w:val="clear" w:color="auto" w:fill="auto"/>
            <w:noWrap/>
            <w:vAlign w:val="center"/>
            <w:hideMark/>
          </w:tcPr>
          <w:p w14:paraId="6055A18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0.043</w:t>
            </w:r>
          </w:p>
        </w:tc>
        <w:tc>
          <w:tcPr>
            <w:tcW w:w="0" w:type="auto"/>
            <w:tcBorders>
              <w:top w:val="nil"/>
              <w:left w:val="nil"/>
              <w:bottom w:val="nil"/>
              <w:right w:val="nil"/>
            </w:tcBorders>
            <w:shd w:val="clear" w:color="auto" w:fill="auto"/>
            <w:noWrap/>
            <w:vAlign w:val="center"/>
            <w:hideMark/>
          </w:tcPr>
          <w:p w14:paraId="5023838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[0.032, 0.201]</w:t>
            </w:r>
          </w:p>
        </w:tc>
        <w:tc>
          <w:tcPr>
            <w:tcW w:w="0" w:type="auto"/>
            <w:tcBorders>
              <w:top w:val="nil"/>
              <w:left w:val="nil"/>
              <w:bottom w:val="nil"/>
              <w:right w:val="nil"/>
            </w:tcBorders>
            <w:shd w:val="clear" w:color="auto" w:fill="auto"/>
            <w:noWrap/>
            <w:vAlign w:val="center"/>
            <w:hideMark/>
          </w:tcPr>
          <w:p w14:paraId="7D799BB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0.115*</w:t>
            </w:r>
          </w:p>
        </w:tc>
        <w:tc>
          <w:tcPr>
            <w:tcW w:w="0" w:type="auto"/>
            <w:tcBorders>
              <w:top w:val="nil"/>
              <w:left w:val="nil"/>
              <w:bottom w:val="nil"/>
              <w:right w:val="nil"/>
            </w:tcBorders>
            <w:shd w:val="clear" w:color="auto" w:fill="auto"/>
            <w:noWrap/>
            <w:vAlign w:val="center"/>
            <w:hideMark/>
          </w:tcPr>
          <w:p w14:paraId="3D56EAB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0.043</w:t>
            </w:r>
          </w:p>
        </w:tc>
        <w:tc>
          <w:tcPr>
            <w:tcW w:w="0" w:type="auto"/>
            <w:tcBorders>
              <w:top w:val="nil"/>
              <w:left w:val="nil"/>
              <w:bottom w:val="nil"/>
              <w:right w:val="nil"/>
            </w:tcBorders>
            <w:shd w:val="clear" w:color="auto" w:fill="auto"/>
            <w:noWrap/>
            <w:vAlign w:val="center"/>
            <w:hideMark/>
          </w:tcPr>
          <w:p w14:paraId="4A77031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[0.031, 0.199]</w:t>
            </w:r>
          </w:p>
        </w:tc>
      </w:tr>
      <w:tr w:rsidR="00F30B53" w:rsidRPr="00F30B53" w14:paraId="4826EC34" w14:textId="77777777" w:rsidTr="00F30B53">
        <w:trPr>
          <w:trHeight w:val="215"/>
        </w:trPr>
        <w:tc>
          <w:tcPr>
            <w:tcW w:w="0" w:type="auto"/>
            <w:tcBorders>
              <w:top w:val="nil"/>
              <w:left w:val="nil"/>
              <w:bottom w:val="nil"/>
              <w:right w:val="nil"/>
            </w:tcBorders>
            <w:shd w:val="clear" w:color="auto" w:fill="auto"/>
            <w:noWrap/>
            <w:vAlign w:val="bottom"/>
            <w:hideMark/>
          </w:tcPr>
          <w:p w14:paraId="66E8AC48"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Experimental setting-online</w:t>
            </w:r>
          </w:p>
        </w:tc>
        <w:tc>
          <w:tcPr>
            <w:tcW w:w="0" w:type="auto"/>
            <w:tcBorders>
              <w:top w:val="nil"/>
              <w:left w:val="nil"/>
              <w:bottom w:val="nil"/>
              <w:right w:val="nil"/>
            </w:tcBorders>
            <w:shd w:val="clear" w:color="auto" w:fill="auto"/>
            <w:noWrap/>
            <w:vAlign w:val="center"/>
            <w:hideMark/>
          </w:tcPr>
          <w:p w14:paraId="072639D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0.145</w:t>
            </w:r>
          </w:p>
        </w:tc>
        <w:tc>
          <w:tcPr>
            <w:tcW w:w="0" w:type="auto"/>
            <w:tcBorders>
              <w:top w:val="nil"/>
              <w:left w:val="nil"/>
              <w:bottom w:val="nil"/>
              <w:right w:val="nil"/>
            </w:tcBorders>
            <w:shd w:val="clear" w:color="auto" w:fill="auto"/>
            <w:noWrap/>
            <w:vAlign w:val="center"/>
            <w:hideMark/>
          </w:tcPr>
          <w:p w14:paraId="6085FEB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0.081</w:t>
            </w:r>
          </w:p>
        </w:tc>
        <w:tc>
          <w:tcPr>
            <w:tcW w:w="0" w:type="auto"/>
            <w:tcBorders>
              <w:top w:val="nil"/>
              <w:left w:val="nil"/>
              <w:bottom w:val="nil"/>
              <w:right w:val="nil"/>
            </w:tcBorders>
            <w:shd w:val="clear" w:color="auto" w:fill="auto"/>
            <w:noWrap/>
            <w:vAlign w:val="center"/>
            <w:hideMark/>
          </w:tcPr>
          <w:p w14:paraId="0F88A35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[–0.015, 0.304]</w:t>
            </w:r>
          </w:p>
        </w:tc>
        <w:tc>
          <w:tcPr>
            <w:tcW w:w="0" w:type="auto"/>
            <w:tcBorders>
              <w:top w:val="nil"/>
              <w:left w:val="nil"/>
              <w:bottom w:val="nil"/>
              <w:right w:val="nil"/>
            </w:tcBorders>
            <w:shd w:val="clear" w:color="auto" w:fill="auto"/>
            <w:noWrap/>
            <w:vAlign w:val="center"/>
            <w:hideMark/>
          </w:tcPr>
          <w:p w14:paraId="07F0298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0.155</w:t>
            </w:r>
          </w:p>
        </w:tc>
        <w:tc>
          <w:tcPr>
            <w:tcW w:w="0" w:type="auto"/>
            <w:tcBorders>
              <w:top w:val="nil"/>
              <w:left w:val="nil"/>
              <w:bottom w:val="nil"/>
              <w:right w:val="nil"/>
            </w:tcBorders>
            <w:shd w:val="clear" w:color="auto" w:fill="auto"/>
            <w:noWrap/>
            <w:vAlign w:val="center"/>
            <w:hideMark/>
          </w:tcPr>
          <w:p w14:paraId="2376453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0.084</w:t>
            </w:r>
          </w:p>
        </w:tc>
        <w:tc>
          <w:tcPr>
            <w:tcW w:w="0" w:type="auto"/>
            <w:tcBorders>
              <w:top w:val="nil"/>
              <w:left w:val="nil"/>
              <w:bottom w:val="nil"/>
              <w:right w:val="nil"/>
            </w:tcBorders>
            <w:shd w:val="clear" w:color="auto" w:fill="auto"/>
            <w:noWrap/>
            <w:vAlign w:val="center"/>
            <w:hideMark/>
          </w:tcPr>
          <w:p w14:paraId="0B4902C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[–0.010, 0.32]</w:t>
            </w:r>
          </w:p>
        </w:tc>
        <w:tc>
          <w:tcPr>
            <w:tcW w:w="0" w:type="auto"/>
            <w:tcBorders>
              <w:top w:val="nil"/>
              <w:left w:val="nil"/>
              <w:bottom w:val="nil"/>
              <w:right w:val="nil"/>
            </w:tcBorders>
            <w:shd w:val="clear" w:color="auto" w:fill="auto"/>
            <w:noWrap/>
            <w:vAlign w:val="center"/>
            <w:hideMark/>
          </w:tcPr>
          <w:p w14:paraId="0AFD4D7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0.154</w:t>
            </w:r>
          </w:p>
        </w:tc>
        <w:tc>
          <w:tcPr>
            <w:tcW w:w="0" w:type="auto"/>
            <w:tcBorders>
              <w:top w:val="nil"/>
              <w:left w:val="nil"/>
              <w:bottom w:val="nil"/>
              <w:right w:val="nil"/>
            </w:tcBorders>
            <w:shd w:val="clear" w:color="auto" w:fill="auto"/>
            <w:noWrap/>
            <w:vAlign w:val="center"/>
            <w:hideMark/>
          </w:tcPr>
          <w:p w14:paraId="329088C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0.082</w:t>
            </w:r>
          </w:p>
        </w:tc>
        <w:tc>
          <w:tcPr>
            <w:tcW w:w="0" w:type="auto"/>
            <w:tcBorders>
              <w:top w:val="nil"/>
              <w:left w:val="nil"/>
              <w:bottom w:val="nil"/>
              <w:right w:val="nil"/>
            </w:tcBorders>
            <w:shd w:val="clear" w:color="auto" w:fill="auto"/>
            <w:noWrap/>
            <w:vAlign w:val="center"/>
            <w:hideMark/>
          </w:tcPr>
          <w:p w14:paraId="6DDCBC0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[–0.006, 0.314]</w:t>
            </w:r>
          </w:p>
        </w:tc>
      </w:tr>
      <w:tr w:rsidR="00F30B53" w:rsidRPr="00F30B53" w14:paraId="086E0A46" w14:textId="77777777" w:rsidTr="00F30B53">
        <w:trPr>
          <w:trHeight w:val="215"/>
        </w:trPr>
        <w:tc>
          <w:tcPr>
            <w:tcW w:w="0" w:type="auto"/>
            <w:tcBorders>
              <w:top w:val="nil"/>
              <w:left w:val="nil"/>
              <w:bottom w:val="nil"/>
              <w:right w:val="nil"/>
            </w:tcBorders>
            <w:shd w:val="clear" w:color="auto" w:fill="auto"/>
            <w:noWrap/>
            <w:vAlign w:val="bottom"/>
            <w:hideMark/>
          </w:tcPr>
          <w:p w14:paraId="18406A9F"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Experimental setting-other</w:t>
            </w:r>
          </w:p>
        </w:tc>
        <w:tc>
          <w:tcPr>
            <w:tcW w:w="0" w:type="auto"/>
            <w:tcBorders>
              <w:top w:val="nil"/>
              <w:left w:val="nil"/>
              <w:bottom w:val="nil"/>
              <w:right w:val="nil"/>
            </w:tcBorders>
            <w:shd w:val="clear" w:color="auto" w:fill="auto"/>
            <w:noWrap/>
            <w:vAlign w:val="center"/>
            <w:hideMark/>
          </w:tcPr>
          <w:p w14:paraId="7A47268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0.145</w:t>
            </w:r>
          </w:p>
        </w:tc>
        <w:tc>
          <w:tcPr>
            <w:tcW w:w="0" w:type="auto"/>
            <w:tcBorders>
              <w:top w:val="nil"/>
              <w:left w:val="nil"/>
              <w:bottom w:val="nil"/>
              <w:right w:val="nil"/>
            </w:tcBorders>
            <w:shd w:val="clear" w:color="auto" w:fill="auto"/>
            <w:noWrap/>
            <w:vAlign w:val="center"/>
            <w:hideMark/>
          </w:tcPr>
          <w:p w14:paraId="169E284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0.073</w:t>
            </w:r>
          </w:p>
        </w:tc>
        <w:tc>
          <w:tcPr>
            <w:tcW w:w="0" w:type="auto"/>
            <w:tcBorders>
              <w:top w:val="nil"/>
              <w:left w:val="nil"/>
              <w:bottom w:val="nil"/>
              <w:right w:val="nil"/>
            </w:tcBorders>
            <w:shd w:val="clear" w:color="auto" w:fill="auto"/>
            <w:noWrap/>
            <w:vAlign w:val="center"/>
            <w:hideMark/>
          </w:tcPr>
          <w:p w14:paraId="4C7B921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[0.003, 0.288]</w:t>
            </w:r>
          </w:p>
        </w:tc>
        <w:tc>
          <w:tcPr>
            <w:tcW w:w="0" w:type="auto"/>
            <w:tcBorders>
              <w:top w:val="nil"/>
              <w:left w:val="nil"/>
              <w:bottom w:val="nil"/>
              <w:right w:val="nil"/>
            </w:tcBorders>
            <w:shd w:val="clear" w:color="auto" w:fill="auto"/>
            <w:noWrap/>
            <w:vAlign w:val="center"/>
            <w:hideMark/>
          </w:tcPr>
          <w:p w14:paraId="3BA070F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0.135</w:t>
            </w:r>
          </w:p>
        </w:tc>
        <w:tc>
          <w:tcPr>
            <w:tcW w:w="0" w:type="auto"/>
            <w:tcBorders>
              <w:top w:val="nil"/>
              <w:left w:val="nil"/>
              <w:bottom w:val="nil"/>
              <w:right w:val="nil"/>
            </w:tcBorders>
            <w:shd w:val="clear" w:color="auto" w:fill="auto"/>
            <w:noWrap/>
            <w:vAlign w:val="center"/>
            <w:hideMark/>
          </w:tcPr>
          <w:p w14:paraId="1519BFA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0.073</w:t>
            </w:r>
          </w:p>
        </w:tc>
        <w:tc>
          <w:tcPr>
            <w:tcW w:w="0" w:type="auto"/>
            <w:tcBorders>
              <w:top w:val="nil"/>
              <w:left w:val="nil"/>
              <w:bottom w:val="nil"/>
              <w:right w:val="nil"/>
            </w:tcBorders>
            <w:shd w:val="clear" w:color="auto" w:fill="auto"/>
            <w:noWrap/>
            <w:vAlign w:val="center"/>
            <w:hideMark/>
          </w:tcPr>
          <w:p w14:paraId="17DACF1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[–0.008, 0.278]</w:t>
            </w:r>
          </w:p>
        </w:tc>
        <w:tc>
          <w:tcPr>
            <w:tcW w:w="0" w:type="auto"/>
            <w:tcBorders>
              <w:top w:val="nil"/>
              <w:left w:val="nil"/>
              <w:bottom w:val="nil"/>
              <w:right w:val="nil"/>
            </w:tcBorders>
            <w:shd w:val="clear" w:color="auto" w:fill="auto"/>
            <w:noWrap/>
            <w:vAlign w:val="center"/>
            <w:hideMark/>
          </w:tcPr>
          <w:p w14:paraId="4047D2F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0.154</w:t>
            </w:r>
          </w:p>
        </w:tc>
        <w:tc>
          <w:tcPr>
            <w:tcW w:w="0" w:type="auto"/>
            <w:tcBorders>
              <w:top w:val="nil"/>
              <w:left w:val="nil"/>
              <w:bottom w:val="nil"/>
              <w:right w:val="nil"/>
            </w:tcBorders>
            <w:shd w:val="clear" w:color="auto" w:fill="auto"/>
            <w:noWrap/>
            <w:vAlign w:val="center"/>
            <w:hideMark/>
          </w:tcPr>
          <w:p w14:paraId="1E75224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0.074</w:t>
            </w:r>
          </w:p>
        </w:tc>
        <w:tc>
          <w:tcPr>
            <w:tcW w:w="0" w:type="auto"/>
            <w:tcBorders>
              <w:top w:val="nil"/>
              <w:left w:val="nil"/>
              <w:bottom w:val="nil"/>
              <w:right w:val="nil"/>
            </w:tcBorders>
            <w:shd w:val="clear" w:color="auto" w:fill="auto"/>
            <w:noWrap/>
            <w:vAlign w:val="center"/>
            <w:hideMark/>
          </w:tcPr>
          <w:p w14:paraId="0EAFC6E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[0.009, 0.299]</w:t>
            </w:r>
          </w:p>
        </w:tc>
      </w:tr>
      <w:tr w:rsidR="00F30B53" w:rsidRPr="00F30B53" w14:paraId="7A31CF8A" w14:textId="77777777" w:rsidTr="00F30B53">
        <w:trPr>
          <w:trHeight w:val="215"/>
        </w:trPr>
        <w:tc>
          <w:tcPr>
            <w:tcW w:w="0" w:type="auto"/>
            <w:tcBorders>
              <w:top w:val="nil"/>
              <w:left w:val="nil"/>
              <w:bottom w:val="nil"/>
              <w:right w:val="nil"/>
            </w:tcBorders>
            <w:shd w:val="clear" w:color="auto" w:fill="auto"/>
            <w:noWrap/>
            <w:vAlign w:val="bottom"/>
            <w:hideMark/>
          </w:tcPr>
          <w:p w14:paraId="008CD30F"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Published or not-yes</w:t>
            </w:r>
          </w:p>
        </w:tc>
        <w:tc>
          <w:tcPr>
            <w:tcW w:w="0" w:type="auto"/>
            <w:tcBorders>
              <w:top w:val="nil"/>
              <w:left w:val="nil"/>
              <w:bottom w:val="nil"/>
              <w:right w:val="nil"/>
            </w:tcBorders>
            <w:shd w:val="clear" w:color="auto" w:fill="auto"/>
            <w:noWrap/>
            <w:vAlign w:val="center"/>
            <w:hideMark/>
          </w:tcPr>
          <w:p w14:paraId="35899FB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–0.040</w:t>
            </w:r>
          </w:p>
        </w:tc>
        <w:tc>
          <w:tcPr>
            <w:tcW w:w="0" w:type="auto"/>
            <w:tcBorders>
              <w:top w:val="nil"/>
              <w:left w:val="nil"/>
              <w:bottom w:val="nil"/>
              <w:right w:val="nil"/>
            </w:tcBorders>
            <w:shd w:val="clear" w:color="auto" w:fill="auto"/>
            <w:noWrap/>
            <w:vAlign w:val="center"/>
            <w:hideMark/>
          </w:tcPr>
          <w:p w14:paraId="7BC040C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0.069</w:t>
            </w:r>
          </w:p>
        </w:tc>
        <w:tc>
          <w:tcPr>
            <w:tcW w:w="0" w:type="auto"/>
            <w:tcBorders>
              <w:top w:val="nil"/>
              <w:left w:val="nil"/>
              <w:bottom w:val="nil"/>
              <w:right w:val="nil"/>
            </w:tcBorders>
            <w:shd w:val="clear" w:color="auto" w:fill="auto"/>
            <w:noWrap/>
            <w:vAlign w:val="center"/>
            <w:hideMark/>
          </w:tcPr>
          <w:p w14:paraId="1983460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[–0.175, 0.094]</w:t>
            </w:r>
          </w:p>
        </w:tc>
        <w:tc>
          <w:tcPr>
            <w:tcW w:w="0" w:type="auto"/>
            <w:tcBorders>
              <w:top w:val="nil"/>
              <w:left w:val="nil"/>
              <w:bottom w:val="nil"/>
              <w:right w:val="nil"/>
            </w:tcBorders>
            <w:shd w:val="clear" w:color="auto" w:fill="auto"/>
            <w:noWrap/>
            <w:vAlign w:val="center"/>
            <w:hideMark/>
          </w:tcPr>
          <w:p w14:paraId="5C21512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–0.046</w:t>
            </w:r>
          </w:p>
        </w:tc>
        <w:tc>
          <w:tcPr>
            <w:tcW w:w="0" w:type="auto"/>
            <w:tcBorders>
              <w:top w:val="nil"/>
              <w:left w:val="nil"/>
              <w:bottom w:val="nil"/>
              <w:right w:val="nil"/>
            </w:tcBorders>
            <w:shd w:val="clear" w:color="auto" w:fill="auto"/>
            <w:noWrap/>
            <w:vAlign w:val="center"/>
            <w:hideMark/>
          </w:tcPr>
          <w:p w14:paraId="053244B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0.069</w:t>
            </w:r>
          </w:p>
        </w:tc>
        <w:tc>
          <w:tcPr>
            <w:tcW w:w="0" w:type="auto"/>
            <w:tcBorders>
              <w:top w:val="nil"/>
              <w:left w:val="nil"/>
              <w:bottom w:val="nil"/>
              <w:right w:val="nil"/>
            </w:tcBorders>
            <w:shd w:val="clear" w:color="auto" w:fill="auto"/>
            <w:noWrap/>
            <w:vAlign w:val="center"/>
            <w:hideMark/>
          </w:tcPr>
          <w:p w14:paraId="7483FA1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[–0.181, 0.089]</w:t>
            </w:r>
          </w:p>
        </w:tc>
        <w:tc>
          <w:tcPr>
            <w:tcW w:w="0" w:type="auto"/>
            <w:tcBorders>
              <w:top w:val="nil"/>
              <w:left w:val="nil"/>
              <w:bottom w:val="nil"/>
              <w:right w:val="nil"/>
            </w:tcBorders>
            <w:shd w:val="clear" w:color="auto" w:fill="auto"/>
            <w:noWrap/>
            <w:vAlign w:val="center"/>
            <w:hideMark/>
          </w:tcPr>
          <w:p w14:paraId="061F73F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–0.046</w:t>
            </w:r>
          </w:p>
        </w:tc>
        <w:tc>
          <w:tcPr>
            <w:tcW w:w="0" w:type="auto"/>
            <w:tcBorders>
              <w:top w:val="nil"/>
              <w:left w:val="nil"/>
              <w:bottom w:val="nil"/>
              <w:right w:val="nil"/>
            </w:tcBorders>
            <w:shd w:val="clear" w:color="auto" w:fill="auto"/>
            <w:noWrap/>
            <w:vAlign w:val="center"/>
            <w:hideMark/>
          </w:tcPr>
          <w:p w14:paraId="7FAFC7F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0.069</w:t>
            </w:r>
          </w:p>
        </w:tc>
        <w:tc>
          <w:tcPr>
            <w:tcW w:w="0" w:type="auto"/>
            <w:tcBorders>
              <w:top w:val="nil"/>
              <w:left w:val="nil"/>
              <w:bottom w:val="nil"/>
              <w:right w:val="nil"/>
            </w:tcBorders>
            <w:shd w:val="clear" w:color="auto" w:fill="auto"/>
            <w:noWrap/>
            <w:vAlign w:val="center"/>
            <w:hideMark/>
          </w:tcPr>
          <w:p w14:paraId="1597C37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[–0.182, 0.089]</w:t>
            </w:r>
          </w:p>
        </w:tc>
      </w:tr>
      <w:tr w:rsidR="00F30B53" w:rsidRPr="00F30B53" w14:paraId="7EAC3678" w14:textId="77777777" w:rsidTr="00F30B53">
        <w:trPr>
          <w:trHeight w:val="215"/>
        </w:trPr>
        <w:tc>
          <w:tcPr>
            <w:tcW w:w="0" w:type="auto"/>
            <w:tcBorders>
              <w:top w:val="nil"/>
              <w:left w:val="nil"/>
              <w:bottom w:val="nil"/>
              <w:right w:val="nil"/>
            </w:tcBorders>
            <w:shd w:val="clear" w:color="auto" w:fill="auto"/>
            <w:noWrap/>
            <w:vAlign w:val="bottom"/>
            <w:hideMark/>
          </w:tcPr>
          <w:p w14:paraId="63F3ED3F"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Trial of cooperation-first</w:t>
            </w:r>
          </w:p>
        </w:tc>
        <w:tc>
          <w:tcPr>
            <w:tcW w:w="0" w:type="auto"/>
            <w:tcBorders>
              <w:top w:val="nil"/>
              <w:left w:val="nil"/>
              <w:bottom w:val="nil"/>
              <w:right w:val="nil"/>
            </w:tcBorders>
            <w:shd w:val="clear" w:color="auto" w:fill="auto"/>
            <w:noWrap/>
            <w:vAlign w:val="center"/>
            <w:hideMark/>
          </w:tcPr>
          <w:p w14:paraId="1FE17D8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0.059</w:t>
            </w:r>
          </w:p>
        </w:tc>
        <w:tc>
          <w:tcPr>
            <w:tcW w:w="0" w:type="auto"/>
            <w:tcBorders>
              <w:top w:val="nil"/>
              <w:left w:val="nil"/>
              <w:bottom w:val="nil"/>
              <w:right w:val="nil"/>
            </w:tcBorders>
            <w:shd w:val="clear" w:color="auto" w:fill="auto"/>
            <w:noWrap/>
            <w:vAlign w:val="center"/>
            <w:hideMark/>
          </w:tcPr>
          <w:p w14:paraId="28987BC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0.109</w:t>
            </w:r>
          </w:p>
        </w:tc>
        <w:tc>
          <w:tcPr>
            <w:tcW w:w="0" w:type="auto"/>
            <w:tcBorders>
              <w:top w:val="nil"/>
              <w:left w:val="nil"/>
              <w:bottom w:val="nil"/>
              <w:right w:val="nil"/>
            </w:tcBorders>
            <w:shd w:val="clear" w:color="auto" w:fill="auto"/>
            <w:noWrap/>
            <w:vAlign w:val="center"/>
            <w:hideMark/>
          </w:tcPr>
          <w:p w14:paraId="7CD0764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[–0.156, 0.274]</w:t>
            </w:r>
          </w:p>
        </w:tc>
        <w:tc>
          <w:tcPr>
            <w:tcW w:w="0" w:type="auto"/>
            <w:tcBorders>
              <w:top w:val="nil"/>
              <w:left w:val="nil"/>
              <w:bottom w:val="nil"/>
              <w:right w:val="nil"/>
            </w:tcBorders>
            <w:shd w:val="clear" w:color="auto" w:fill="auto"/>
            <w:noWrap/>
            <w:vAlign w:val="center"/>
            <w:hideMark/>
          </w:tcPr>
          <w:p w14:paraId="645743F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0.064</w:t>
            </w:r>
          </w:p>
        </w:tc>
        <w:tc>
          <w:tcPr>
            <w:tcW w:w="0" w:type="auto"/>
            <w:tcBorders>
              <w:top w:val="nil"/>
              <w:left w:val="nil"/>
              <w:bottom w:val="nil"/>
              <w:right w:val="nil"/>
            </w:tcBorders>
            <w:shd w:val="clear" w:color="auto" w:fill="auto"/>
            <w:noWrap/>
            <w:vAlign w:val="center"/>
            <w:hideMark/>
          </w:tcPr>
          <w:p w14:paraId="02D7F67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0.110</w:t>
            </w:r>
          </w:p>
        </w:tc>
        <w:tc>
          <w:tcPr>
            <w:tcW w:w="0" w:type="auto"/>
            <w:tcBorders>
              <w:top w:val="nil"/>
              <w:left w:val="nil"/>
              <w:bottom w:val="nil"/>
              <w:right w:val="nil"/>
            </w:tcBorders>
            <w:shd w:val="clear" w:color="auto" w:fill="auto"/>
            <w:noWrap/>
            <w:vAlign w:val="center"/>
            <w:hideMark/>
          </w:tcPr>
          <w:p w14:paraId="3217C80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[–0.152, 0.280]</w:t>
            </w:r>
          </w:p>
        </w:tc>
        <w:tc>
          <w:tcPr>
            <w:tcW w:w="0" w:type="auto"/>
            <w:tcBorders>
              <w:top w:val="nil"/>
              <w:left w:val="nil"/>
              <w:bottom w:val="nil"/>
              <w:right w:val="nil"/>
            </w:tcBorders>
            <w:shd w:val="clear" w:color="auto" w:fill="auto"/>
            <w:noWrap/>
            <w:vAlign w:val="center"/>
            <w:hideMark/>
          </w:tcPr>
          <w:p w14:paraId="55611A8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0.039</w:t>
            </w:r>
          </w:p>
        </w:tc>
        <w:tc>
          <w:tcPr>
            <w:tcW w:w="0" w:type="auto"/>
            <w:tcBorders>
              <w:top w:val="nil"/>
              <w:left w:val="nil"/>
              <w:bottom w:val="nil"/>
              <w:right w:val="nil"/>
            </w:tcBorders>
            <w:shd w:val="clear" w:color="auto" w:fill="auto"/>
            <w:noWrap/>
            <w:vAlign w:val="center"/>
            <w:hideMark/>
          </w:tcPr>
          <w:p w14:paraId="0944363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0.110</w:t>
            </w:r>
          </w:p>
        </w:tc>
        <w:tc>
          <w:tcPr>
            <w:tcW w:w="0" w:type="auto"/>
            <w:tcBorders>
              <w:top w:val="nil"/>
              <w:left w:val="nil"/>
              <w:bottom w:val="nil"/>
              <w:right w:val="nil"/>
            </w:tcBorders>
            <w:shd w:val="clear" w:color="auto" w:fill="auto"/>
            <w:noWrap/>
            <w:vAlign w:val="center"/>
            <w:hideMark/>
          </w:tcPr>
          <w:p w14:paraId="18E0AF2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[–0.177, 0.256]</w:t>
            </w:r>
          </w:p>
        </w:tc>
      </w:tr>
      <w:tr w:rsidR="00F30B53" w:rsidRPr="00F30B53" w14:paraId="50CB0CEF" w14:textId="77777777" w:rsidTr="00F30B53">
        <w:trPr>
          <w:trHeight w:val="215"/>
        </w:trPr>
        <w:tc>
          <w:tcPr>
            <w:tcW w:w="0" w:type="auto"/>
            <w:tcBorders>
              <w:top w:val="nil"/>
              <w:left w:val="nil"/>
              <w:bottom w:val="nil"/>
              <w:right w:val="nil"/>
            </w:tcBorders>
            <w:shd w:val="clear" w:color="auto" w:fill="auto"/>
            <w:noWrap/>
            <w:vAlign w:val="bottom"/>
            <w:hideMark/>
          </w:tcPr>
          <w:p w14:paraId="2FB2887D"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Year of data collection</w:t>
            </w:r>
          </w:p>
        </w:tc>
        <w:tc>
          <w:tcPr>
            <w:tcW w:w="0" w:type="auto"/>
            <w:tcBorders>
              <w:top w:val="nil"/>
              <w:left w:val="nil"/>
              <w:bottom w:val="nil"/>
              <w:right w:val="nil"/>
            </w:tcBorders>
            <w:shd w:val="clear" w:color="auto" w:fill="auto"/>
            <w:noWrap/>
            <w:vAlign w:val="center"/>
            <w:hideMark/>
          </w:tcPr>
          <w:p w14:paraId="6F2AF6A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0.005*</w:t>
            </w:r>
          </w:p>
        </w:tc>
        <w:tc>
          <w:tcPr>
            <w:tcW w:w="0" w:type="auto"/>
            <w:tcBorders>
              <w:top w:val="nil"/>
              <w:left w:val="nil"/>
              <w:bottom w:val="nil"/>
              <w:right w:val="nil"/>
            </w:tcBorders>
            <w:shd w:val="clear" w:color="auto" w:fill="auto"/>
            <w:noWrap/>
            <w:vAlign w:val="center"/>
            <w:hideMark/>
          </w:tcPr>
          <w:p w14:paraId="5E455D4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0.002</w:t>
            </w:r>
          </w:p>
        </w:tc>
        <w:tc>
          <w:tcPr>
            <w:tcW w:w="0" w:type="auto"/>
            <w:tcBorders>
              <w:top w:val="nil"/>
              <w:left w:val="nil"/>
              <w:bottom w:val="nil"/>
              <w:right w:val="nil"/>
            </w:tcBorders>
            <w:shd w:val="clear" w:color="auto" w:fill="auto"/>
            <w:noWrap/>
            <w:vAlign w:val="center"/>
            <w:hideMark/>
          </w:tcPr>
          <w:p w14:paraId="26193DE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[0.002, 0.008]</w:t>
            </w:r>
          </w:p>
        </w:tc>
        <w:tc>
          <w:tcPr>
            <w:tcW w:w="0" w:type="auto"/>
            <w:tcBorders>
              <w:top w:val="nil"/>
              <w:left w:val="nil"/>
              <w:bottom w:val="nil"/>
              <w:right w:val="nil"/>
            </w:tcBorders>
            <w:shd w:val="clear" w:color="auto" w:fill="auto"/>
            <w:noWrap/>
            <w:vAlign w:val="center"/>
            <w:hideMark/>
          </w:tcPr>
          <w:p w14:paraId="31685BC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0.005*</w:t>
            </w:r>
          </w:p>
        </w:tc>
        <w:tc>
          <w:tcPr>
            <w:tcW w:w="0" w:type="auto"/>
            <w:tcBorders>
              <w:top w:val="nil"/>
              <w:left w:val="nil"/>
              <w:bottom w:val="nil"/>
              <w:right w:val="nil"/>
            </w:tcBorders>
            <w:shd w:val="clear" w:color="auto" w:fill="auto"/>
            <w:noWrap/>
            <w:vAlign w:val="center"/>
            <w:hideMark/>
          </w:tcPr>
          <w:p w14:paraId="0B949B4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0.002</w:t>
            </w:r>
          </w:p>
        </w:tc>
        <w:tc>
          <w:tcPr>
            <w:tcW w:w="0" w:type="auto"/>
            <w:tcBorders>
              <w:top w:val="nil"/>
              <w:left w:val="nil"/>
              <w:bottom w:val="nil"/>
              <w:right w:val="nil"/>
            </w:tcBorders>
            <w:shd w:val="clear" w:color="auto" w:fill="auto"/>
            <w:noWrap/>
            <w:vAlign w:val="center"/>
            <w:hideMark/>
          </w:tcPr>
          <w:p w14:paraId="5F1509E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[0.002, 0.008]</w:t>
            </w:r>
          </w:p>
        </w:tc>
        <w:tc>
          <w:tcPr>
            <w:tcW w:w="0" w:type="auto"/>
            <w:tcBorders>
              <w:top w:val="nil"/>
              <w:left w:val="nil"/>
              <w:bottom w:val="nil"/>
              <w:right w:val="nil"/>
            </w:tcBorders>
            <w:shd w:val="clear" w:color="auto" w:fill="auto"/>
            <w:noWrap/>
            <w:vAlign w:val="center"/>
            <w:hideMark/>
          </w:tcPr>
          <w:p w14:paraId="452964A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0.005*</w:t>
            </w:r>
          </w:p>
        </w:tc>
        <w:tc>
          <w:tcPr>
            <w:tcW w:w="0" w:type="auto"/>
            <w:tcBorders>
              <w:top w:val="nil"/>
              <w:left w:val="nil"/>
              <w:bottom w:val="nil"/>
              <w:right w:val="nil"/>
            </w:tcBorders>
            <w:shd w:val="clear" w:color="auto" w:fill="auto"/>
            <w:noWrap/>
            <w:vAlign w:val="center"/>
            <w:hideMark/>
          </w:tcPr>
          <w:p w14:paraId="6006C83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0.002</w:t>
            </w:r>
          </w:p>
        </w:tc>
        <w:tc>
          <w:tcPr>
            <w:tcW w:w="0" w:type="auto"/>
            <w:tcBorders>
              <w:top w:val="nil"/>
              <w:left w:val="nil"/>
              <w:bottom w:val="nil"/>
              <w:right w:val="nil"/>
            </w:tcBorders>
            <w:shd w:val="clear" w:color="auto" w:fill="auto"/>
            <w:noWrap/>
            <w:vAlign w:val="center"/>
            <w:hideMark/>
          </w:tcPr>
          <w:p w14:paraId="7F3C8BC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[0.002, 0.008]</w:t>
            </w:r>
          </w:p>
        </w:tc>
      </w:tr>
      <w:tr w:rsidR="00F30B53" w:rsidRPr="00F30B53" w14:paraId="67349246" w14:textId="77777777" w:rsidTr="00F30B53">
        <w:trPr>
          <w:trHeight w:val="215"/>
        </w:trPr>
        <w:tc>
          <w:tcPr>
            <w:tcW w:w="0" w:type="auto"/>
            <w:tcBorders>
              <w:top w:val="nil"/>
              <w:left w:val="nil"/>
              <w:bottom w:val="nil"/>
              <w:right w:val="nil"/>
            </w:tcBorders>
            <w:shd w:val="clear" w:color="auto" w:fill="auto"/>
            <w:noWrap/>
            <w:vAlign w:val="bottom"/>
            <w:hideMark/>
          </w:tcPr>
          <w:p w14:paraId="18BC1D25" w14:textId="77777777" w:rsidR="00F30B53" w:rsidRPr="00F30B53" w:rsidRDefault="00F30B53" w:rsidP="00F30B53">
            <w:pPr>
              <w:spacing w:line="240" w:lineRule="auto"/>
              <w:rPr>
                <w:rFonts w:eastAsia="Times New Roman" w:cs="Times New Roman"/>
                <w:i/>
                <w:iCs/>
                <w:color w:val="000000"/>
                <w:sz w:val="16"/>
                <w:szCs w:val="16"/>
                <w:lang w:val="en-GB" w:eastAsia="zh-CN"/>
              </w:rPr>
            </w:pPr>
            <w:r w:rsidRPr="00F30B53">
              <w:rPr>
                <w:rFonts w:eastAsia="Times New Roman" w:cs="Times New Roman"/>
                <w:i/>
                <w:iCs/>
                <w:color w:val="000000"/>
                <w:sz w:val="16"/>
                <w:szCs w:val="16"/>
                <w:lang w:val="en-GB" w:eastAsia="zh-CN"/>
              </w:rPr>
              <w:t>Sample variables</w:t>
            </w:r>
          </w:p>
        </w:tc>
        <w:tc>
          <w:tcPr>
            <w:tcW w:w="0" w:type="auto"/>
            <w:tcBorders>
              <w:top w:val="nil"/>
              <w:left w:val="nil"/>
              <w:bottom w:val="nil"/>
              <w:right w:val="nil"/>
            </w:tcBorders>
            <w:shd w:val="clear" w:color="auto" w:fill="auto"/>
            <w:noWrap/>
            <w:vAlign w:val="center"/>
            <w:hideMark/>
          </w:tcPr>
          <w:p w14:paraId="03B6D2A3" w14:textId="77777777" w:rsidR="00F30B53" w:rsidRPr="00F30B53" w:rsidRDefault="00F30B53" w:rsidP="00F30B53">
            <w:pPr>
              <w:spacing w:line="240" w:lineRule="auto"/>
              <w:rPr>
                <w:rFonts w:eastAsia="Times New Roman" w:cs="Times New Roman"/>
                <w:i/>
                <w:iCs/>
                <w:color w:val="000000"/>
                <w:sz w:val="16"/>
                <w:szCs w:val="16"/>
                <w:lang w:val="en-GB" w:eastAsia="zh-CN"/>
              </w:rPr>
            </w:pPr>
          </w:p>
        </w:tc>
        <w:tc>
          <w:tcPr>
            <w:tcW w:w="0" w:type="auto"/>
            <w:tcBorders>
              <w:top w:val="nil"/>
              <w:left w:val="nil"/>
              <w:bottom w:val="nil"/>
              <w:right w:val="nil"/>
            </w:tcBorders>
            <w:shd w:val="clear" w:color="auto" w:fill="auto"/>
            <w:noWrap/>
            <w:vAlign w:val="center"/>
            <w:hideMark/>
          </w:tcPr>
          <w:p w14:paraId="17BB618D"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0A9A29C1"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5740882F"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61B56051"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063CFD30"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6CC9D448"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15E1B0B1"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0E442463" w14:textId="77777777" w:rsidR="00F30B53" w:rsidRPr="00F30B53" w:rsidRDefault="00F30B53" w:rsidP="00F30B53">
            <w:pPr>
              <w:spacing w:line="240" w:lineRule="auto"/>
              <w:jc w:val="center"/>
              <w:rPr>
                <w:rFonts w:eastAsia="Times New Roman" w:cs="Times New Roman"/>
                <w:sz w:val="20"/>
                <w:szCs w:val="20"/>
                <w:lang w:val="en-GB" w:eastAsia="zh-CN"/>
              </w:rPr>
            </w:pPr>
          </w:p>
        </w:tc>
      </w:tr>
      <w:tr w:rsidR="00F30B53" w:rsidRPr="00F30B53" w14:paraId="798D335A" w14:textId="77777777" w:rsidTr="00F30B53">
        <w:trPr>
          <w:trHeight w:val="215"/>
        </w:trPr>
        <w:tc>
          <w:tcPr>
            <w:tcW w:w="0" w:type="auto"/>
            <w:tcBorders>
              <w:top w:val="nil"/>
              <w:left w:val="nil"/>
              <w:bottom w:val="nil"/>
              <w:right w:val="nil"/>
            </w:tcBorders>
            <w:shd w:val="clear" w:color="auto" w:fill="auto"/>
            <w:noWrap/>
            <w:vAlign w:val="bottom"/>
            <w:hideMark/>
          </w:tcPr>
          <w:p w14:paraId="66DC7CFD"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Age (Mean)</w:t>
            </w:r>
          </w:p>
        </w:tc>
        <w:tc>
          <w:tcPr>
            <w:tcW w:w="0" w:type="auto"/>
            <w:tcBorders>
              <w:top w:val="nil"/>
              <w:left w:val="nil"/>
              <w:bottom w:val="nil"/>
              <w:right w:val="nil"/>
            </w:tcBorders>
            <w:shd w:val="clear" w:color="auto" w:fill="auto"/>
            <w:noWrap/>
            <w:vAlign w:val="center"/>
            <w:hideMark/>
          </w:tcPr>
          <w:p w14:paraId="33B3F5E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–0.005</w:t>
            </w:r>
          </w:p>
        </w:tc>
        <w:tc>
          <w:tcPr>
            <w:tcW w:w="0" w:type="auto"/>
            <w:tcBorders>
              <w:top w:val="nil"/>
              <w:left w:val="nil"/>
              <w:bottom w:val="nil"/>
              <w:right w:val="nil"/>
            </w:tcBorders>
            <w:shd w:val="clear" w:color="auto" w:fill="auto"/>
            <w:noWrap/>
            <w:vAlign w:val="center"/>
            <w:hideMark/>
          </w:tcPr>
          <w:p w14:paraId="19ECE89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0.003</w:t>
            </w:r>
          </w:p>
        </w:tc>
        <w:tc>
          <w:tcPr>
            <w:tcW w:w="0" w:type="auto"/>
            <w:tcBorders>
              <w:top w:val="nil"/>
              <w:left w:val="nil"/>
              <w:bottom w:val="nil"/>
              <w:right w:val="nil"/>
            </w:tcBorders>
            <w:shd w:val="clear" w:color="auto" w:fill="auto"/>
            <w:noWrap/>
            <w:vAlign w:val="center"/>
            <w:hideMark/>
          </w:tcPr>
          <w:p w14:paraId="30A3F4F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[–0.012, 0.002]</w:t>
            </w:r>
          </w:p>
        </w:tc>
        <w:tc>
          <w:tcPr>
            <w:tcW w:w="0" w:type="auto"/>
            <w:tcBorders>
              <w:top w:val="nil"/>
              <w:left w:val="nil"/>
              <w:bottom w:val="nil"/>
              <w:right w:val="nil"/>
            </w:tcBorders>
            <w:shd w:val="clear" w:color="auto" w:fill="auto"/>
            <w:noWrap/>
            <w:vAlign w:val="center"/>
            <w:hideMark/>
          </w:tcPr>
          <w:p w14:paraId="1CF9C19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–0.006</w:t>
            </w:r>
          </w:p>
        </w:tc>
        <w:tc>
          <w:tcPr>
            <w:tcW w:w="0" w:type="auto"/>
            <w:tcBorders>
              <w:top w:val="nil"/>
              <w:left w:val="nil"/>
              <w:bottom w:val="nil"/>
              <w:right w:val="nil"/>
            </w:tcBorders>
            <w:shd w:val="clear" w:color="auto" w:fill="auto"/>
            <w:noWrap/>
            <w:vAlign w:val="center"/>
            <w:hideMark/>
          </w:tcPr>
          <w:p w14:paraId="3483614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0.004</w:t>
            </w:r>
          </w:p>
        </w:tc>
        <w:tc>
          <w:tcPr>
            <w:tcW w:w="0" w:type="auto"/>
            <w:tcBorders>
              <w:top w:val="nil"/>
              <w:left w:val="nil"/>
              <w:bottom w:val="nil"/>
              <w:right w:val="nil"/>
            </w:tcBorders>
            <w:shd w:val="clear" w:color="auto" w:fill="auto"/>
            <w:noWrap/>
            <w:vAlign w:val="center"/>
            <w:hideMark/>
          </w:tcPr>
          <w:p w14:paraId="2F37512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[–0.012, 0.001]</w:t>
            </w:r>
          </w:p>
        </w:tc>
        <w:tc>
          <w:tcPr>
            <w:tcW w:w="0" w:type="auto"/>
            <w:tcBorders>
              <w:top w:val="nil"/>
              <w:left w:val="nil"/>
              <w:bottom w:val="nil"/>
              <w:right w:val="nil"/>
            </w:tcBorders>
            <w:shd w:val="clear" w:color="auto" w:fill="auto"/>
            <w:noWrap/>
            <w:vAlign w:val="center"/>
            <w:hideMark/>
          </w:tcPr>
          <w:p w14:paraId="7830609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–0.007</w:t>
            </w:r>
          </w:p>
        </w:tc>
        <w:tc>
          <w:tcPr>
            <w:tcW w:w="0" w:type="auto"/>
            <w:tcBorders>
              <w:top w:val="nil"/>
              <w:left w:val="nil"/>
              <w:bottom w:val="nil"/>
              <w:right w:val="nil"/>
            </w:tcBorders>
            <w:shd w:val="clear" w:color="auto" w:fill="auto"/>
            <w:noWrap/>
            <w:vAlign w:val="center"/>
            <w:hideMark/>
          </w:tcPr>
          <w:p w14:paraId="72F74A0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0.004</w:t>
            </w:r>
          </w:p>
        </w:tc>
        <w:tc>
          <w:tcPr>
            <w:tcW w:w="0" w:type="auto"/>
            <w:tcBorders>
              <w:top w:val="nil"/>
              <w:left w:val="nil"/>
              <w:bottom w:val="nil"/>
              <w:right w:val="nil"/>
            </w:tcBorders>
            <w:shd w:val="clear" w:color="auto" w:fill="auto"/>
            <w:noWrap/>
            <w:vAlign w:val="center"/>
            <w:hideMark/>
          </w:tcPr>
          <w:p w14:paraId="13DF535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[–0.014, 0]</w:t>
            </w:r>
          </w:p>
        </w:tc>
      </w:tr>
      <w:tr w:rsidR="00F30B53" w:rsidRPr="00F30B53" w14:paraId="5AFE4634" w14:textId="77777777" w:rsidTr="00F30B53">
        <w:trPr>
          <w:trHeight w:val="215"/>
        </w:trPr>
        <w:tc>
          <w:tcPr>
            <w:tcW w:w="0" w:type="auto"/>
            <w:tcBorders>
              <w:top w:val="nil"/>
              <w:left w:val="nil"/>
              <w:bottom w:val="nil"/>
              <w:right w:val="nil"/>
            </w:tcBorders>
            <w:shd w:val="clear" w:color="auto" w:fill="auto"/>
            <w:noWrap/>
            <w:vAlign w:val="bottom"/>
            <w:hideMark/>
          </w:tcPr>
          <w:p w14:paraId="38F8027A"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Discipline-psychology</w:t>
            </w:r>
          </w:p>
        </w:tc>
        <w:tc>
          <w:tcPr>
            <w:tcW w:w="0" w:type="auto"/>
            <w:tcBorders>
              <w:top w:val="nil"/>
              <w:left w:val="nil"/>
              <w:bottom w:val="nil"/>
              <w:right w:val="nil"/>
            </w:tcBorders>
            <w:shd w:val="clear" w:color="auto" w:fill="auto"/>
            <w:noWrap/>
            <w:vAlign w:val="center"/>
            <w:hideMark/>
          </w:tcPr>
          <w:p w14:paraId="1D83C2B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0.110</w:t>
            </w:r>
          </w:p>
        </w:tc>
        <w:tc>
          <w:tcPr>
            <w:tcW w:w="0" w:type="auto"/>
            <w:tcBorders>
              <w:top w:val="nil"/>
              <w:left w:val="nil"/>
              <w:bottom w:val="nil"/>
              <w:right w:val="nil"/>
            </w:tcBorders>
            <w:shd w:val="clear" w:color="auto" w:fill="auto"/>
            <w:noWrap/>
            <w:vAlign w:val="center"/>
            <w:hideMark/>
          </w:tcPr>
          <w:p w14:paraId="62D08E8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0.068</w:t>
            </w:r>
          </w:p>
        </w:tc>
        <w:tc>
          <w:tcPr>
            <w:tcW w:w="0" w:type="auto"/>
            <w:tcBorders>
              <w:top w:val="nil"/>
              <w:left w:val="nil"/>
              <w:bottom w:val="nil"/>
              <w:right w:val="nil"/>
            </w:tcBorders>
            <w:shd w:val="clear" w:color="auto" w:fill="auto"/>
            <w:noWrap/>
            <w:vAlign w:val="center"/>
            <w:hideMark/>
          </w:tcPr>
          <w:p w14:paraId="75F90B3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[–0.024, 0.243]</w:t>
            </w:r>
          </w:p>
        </w:tc>
        <w:tc>
          <w:tcPr>
            <w:tcW w:w="0" w:type="auto"/>
            <w:tcBorders>
              <w:top w:val="nil"/>
              <w:left w:val="nil"/>
              <w:bottom w:val="nil"/>
              <w:right w:val="nil"/>
            </w:tcBorders>
            <w:shd w:val="clear" w:color="auto" w:fill="auto"/>
            <w:noWrap/>
            <w:vAlign w:val="center"/>
            <w:hideMark/>
          </w:tcPr>
          <w:p w14:paraId="6E310B7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0.079</w:t>
            </w:r>
          </w:p>
        </w:tc>
        <w:tc>
          <w:tcPr>
            <w:tcW w:w="0" w:type="auto"/>
            <w:tcBorders>
              <w:top w:val="nil"/>
              <w:left w:val="nil"/>
              <w:bottom w:val="nil"/>
              <w:right w:val="nil"/>
            </w:tcBorders>
            <w:shd w:val="clear" w:color="auto" w:fill="auto"/>
            <w:noWrap/>
            <w:vAlign w:val="center"/>
            <w:hideMark/>
          </w:tcPr>
          <w:p w14:paraId="6A9181B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0.068</w:t>
            </w:r>
          </w:p>
        </w:tc>
        <w:tc>
          <w:tcPr>
            <w:tcW w:w="0" w:type="auto"/>
            <w:tcBorders>
              <w:top w:val="nil"/>
              <w:left w:val="nil"/>
              <w:bottom w:val="nil"/>
              <w:right w:val="nil"/>
            </w:tcBorders>
            <w:shd w:val="clear" w:color="auto" w:fill="auto"/>
            <w:noWrap/>
            <w:vAlign w:val="center"/>
            <w:hideMark/>
          </w:tcPr>
          <w:p w14:paraId="6B2A06D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[–0.055, 0.213]</w:t>
            </w:r>
          </w:p>
        </w:tc>
        <w:tc>
          <w:tcPr>
            <w:tcW w:w="0" w:type="auto"/>
            <w:tcBorders>
              <w:top w:val="nil"/>
              <w:left w:val="nil"/>
              <w:bottom w:val="nil"/>
              <w:right w:val="nil"/>
            </w:tcBorders>
            <w:shd w:val="clear" w:color="auto" w:fill="auto"/>
            <w:noWrap/>
            <w:vAlign w:val="center"/>
            <w:hideMark/>
          </w:tcPr>
          <w:p w14:paraId="4655839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0.070</w:t>
            </w:r>
          </w:p>
        </w:tc>
        <w:tc>
          <w:tcPr>
            <w:tcW w:w="0" w:type="auto"/>
            <w:tcBorders>
              <w:top w:val="nil"/>
              <w:left w:val="nil"/>
              <w:bottom w:val="nil"/>
              <w:right w:val="nil"/>
            </w:tcBorders>
            <w:shd w:val="clear" w:color="auto" w:fill="auto"/>
            <w:noWrap/>
            <w:vAlign w:val="center"/>
            <w:hideMark/>
          </w:tcPr>
          <w:p w14:paraId="59A6A3F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0.068</w:t>
            </w:r>
          </w:p>
        </w:tc>
        <w:tc>
          <w:tcPr>
            <w:tcW w:w="0" w:type="auto"/>
            <w:tcBorders>
              <w:top w:val="nil"/>
              <w:left w:val="nil"/>
              <w:bottom w:val="nil"/>
              <w:right w:val="nil"/>
            </w:tcBorders>
            <w:shd w:val="clear" w:color="auto" w:fill="auto"/>
            <w:noWrap/>
            <w:vAlign w:val="center"/>
            <w:hideMark/>
          </w:tcPr>
          <w:p w14:paraId="68ECAEE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[–0.065, 0.204]</w:t>
            </w:r>
          </w:p>
        </w:tc>
      </w:tr>
      <w:tr w:rsidR="00F30B53" w:rsidRPr="00F30B53" w14:paraId="013DD384" w14:textId="77777777" w:rsidTr="00F30B53">
        <w:trPr>
          <w:trHeight w:val="215"/>
        </w:trPr>
        <w:tc>
          <w:tcPr>
            <w:tcW w:w="0" w:type="auto"/>
            <w:tcBorders>
              <w:top w:val="nil"/>
              <w:left w:val="nil"/>
              <w:bottom w:val="nil"/>
              <w:right w:val="nil"/>
            </w:tcBorders>
            <w:shd w:val="clear" w:color="auto" w:fill="auto"/>
            <w:noWrap/>
            <w:vAlign w:val="bottom"/>
            <w:hideMark/>
          </w:tcPr>
          <w:p w14:paraId="67D82FE0"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Discipline-other</w:t>
            </w:r>
          </w:p>
        </w:tc>
        <w:tc>
          <w:tcPr>
            <w:tcW w:w="0" w:type="auto"/>
            <w:tcBorders>
              <w:top w:val="nil"/>
              <w:left w:val="nil"/>
              <w:bottom w:val="nil"/>
              <w:right w:val="nil"/>
            </w:tcBorders>
            <w:shd w:val="clear" w:color="auto" w:fill="auto"/>
            <w:noWrap/>
            <w:vAlign w:val="center"/>
            <w:hideMark/>
          </w:tcPr>
          <w:p w14:paraId="6BB18F4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0.032</w:t>
            </w:r>
          </w:p>
        </w:tc>
        <w:tc>
          <w:tcPr>
            <w:tcW w:w="0" w:type="auto"/>
            <w:tcBorders>
              <w:top w:val="nil"/>
              <w:left w:val="nil"/>
              <w:bottom w:val="nil"/>
              <w:right w:val="nil"/>
            </w:tcBorders>
            <w:shd w:val="clear" w:color="auto" w:fill="auto"/>
            <w:noWrap/>
            <w:vAlign w:val="center"/>
            <w:hideMark/>
          </w:tcPr>
          <w:p w14:paraId="15D3382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0.059</w:t>
            </w:r>
          </w:p>
        </w:tc>
        <w:tc>
          <w:tcPr>
            <w:tcW w:w="0" w:type="auto"/>
            <w:tcBorders>
              <w:top w:val="nil"/>
              <w:left w:val="nil"/>
              <w:bottom w:val="nil"/>
              <w:right w:val="nil"/>
            </w:tcBorders>
            <w:shd w:val="clear" w:color="auto" w:fill="auto"/>
            <w:noWrap/>
            <w:vAlign w:val="center"/>
            <w:hideMark/>
          </w:tcPr>
          <w:p w14:paraId="631E904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[–0.084, 0.148]</w:t>
            </w:r>
          </w:p>
        </w:tc>
        <w:tc>
          <w:tcPr>
            <w:tcW w:w="0" w:type="auto"/>
            <w:tcBorders>
              <w:top w:val="nil"/>
              <w:left w:val="nil"/>
              <w:bottom w:val="nil"/>
              <w:right w:val="nil"/>
            </w:tcBorders>
            <w:shd w:val="clear" w:color="auto" w:fill="auto"/>
            <w:noWrap/>
            <w:vAlign w:val="center"/>
            <w:hideMark/>
          </w:tcPr>
          <w:p w14:paraId="2691D8A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–0.002</w:t>
            </w:r>
          </w:p>
        </w:tc>
        <w:tc>
          <w:tcPr>
            <w:tcW w:w="0" w:type="auto"/>
            <w:tcBorders>
              <w:top w:val="nil"/>
              <w:left w:val="nil"/>
              <w:bottom w:val="nil"/>
              <w:right w:val="nil"/>
            </w:tcBorders>
            <w:shd w:val="clear" w:color="auto" w:fill="auto"/>
            <w:noWrap/>
            <w:vAlign w:val="center"/>
            <w:hideMark/>
          </w:tcPr>
          <w:p w14:paraId="44311E8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0.059</w:t>
            </w:r>
          </w:p>
        </w:tc>
        <w:tc>
          <w:tcPr>
            <w:tcW w:w="0" w:type="auto"/>
            <w:tcBorders>
              <w:top w:val="nil"/>
              <w:left w:val="nil"/>
              <w:bottom w:val="nil"/>
              <w:right w:val="nil"/>
            </w:tcBorders>
            <w:shd w:val="clear" w:color="auto" w:fill="auto"/>
            <w:noWrap/>
            <w:vAlign w:val="center"/>
            <w:hideMark/>
          </w:tcPr>
          <w:p w14:paraId="2B6C690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[–0.118, 0.113]</w:t>
            </w:r>
          </w:p>
        </w:tc>
        <w:tc>
          <w:tcPr>
            <w:tcW w:w="0" w:type="auto"/>
            <w:tcBorders>
              <w:top w:val="nil"/>
              <w:left w:val="nil"/>
              <w:bottom w:val="nil"/>
              <w:right w:val="nil"/>
            </w:tcBorders>
            <w:shd w:val="clear" w:color="auto" w:fill="auto"/>
            <w:noWrap/>
            <w:vAlign w:val="center"/>
            <w:hideMark/>
          </w:tcPr>
          <w:p w14:paraId="7904DD9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0.018</w:t>
            </w:r>
          </w:p>
        </w:tc>
        <w:tc>
          <w:tcPr>
            <w:tcW w:w="0" w:type="auto"/>
            <w:tcBorders>
              <w:top w:val="nil"/>
              <w:left w:val="nil"/>
              <w:bottom w:val="nil"/>
              <w:right w:val="nil"/>
            </w:tcBorders>
            <w:shd w:val="clear" w:color="auto" w:fill="auto"/>
            <w:noWrap/>
            <w:vAlign w:val="center"/>
            <w:hideMark/>
          </w:tcPr>
          <w:p w14:paraId="4AB5093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0.059</w:t>
            </w:r>
          </w:p>
        </w:tc>
        <w:tc>
          <w:tcPr>
            <w:tcW w:w="0" w:type="auto"/>
            <w:tcBorders>
              <w:top w:val="nil"/>
              <w:left w:val="nil"/>
              <w:bottom w:val="nil"/>
              <w:right w:val="nil"/>
            </w:tcBorders>
            <w:shd w:val="clear" w:color="auto" w:fill="auto"/>
            <w:noWrap/>
            <w:vAlign w:val="center"/>
            <w:hideMark/>
          </w:tcPr>
          <w:p w14:paraId="1E2EB76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[–0.098, 0.134]</w:t>
            </w:r>
          </w:p>
        </w:tc>
      </w:tr>
      <w:tr w:rsidR="00F30B53" w:rsidRPr="00F30B53" w14:paraId="0FECF40F" w14:textId="77777777" w:rsidTr="00F30B53">
        <w:trPr>
          <w:trHeight w:val="215"/>
        </w:trPr>
        <w:tc>
          <w:tcPr>
            <w:tcW w:w="0" w:type="auto"/>
            <w:tcBorders>
              <w:top w:val="nil"/>
              <w:left w:val="nil"/>
              <w:bottom w:val="nil"/>
              <w:right w:val="nil"/>
            </w:tcBorders>
            <w:shd w:val="clear" w:color="auto" w:fill="auto"/>
            <w:noWrap/>
            <w:vAlign w:val="bottom"/>
            <w:hideMark/>
          </w:tcPr>
          <w:p w14:paraId="3BE8292C"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Discipline-non-student sample</w:t>
            </w:r>
          </w:p>
        </w:tc>
        <w:tc>
          <w:tcPr>
            <w:tcW w:w="0" w:type="auto"/>
            <w:tcBorders>
              <w:top w:val="nil"/>
              <w:left w:val="nil"/>
              <w:bottom w:val="nil"/>
              <w:right w:val="nil"/>
            </w:tcBorders>
            <w:shd w:val="clear" w:color="auto" w:fill="auto"/>
            <w:noWrap/>
            <w:vAlign w:val="center"/>
            <w:hideMark/>
          </w:tcPr>
          <w:p w14:paraId="54805BF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0.089</w:t>
            </w:r>
          </w:p>
        </w:tc>
        <w:tc>
          <w:tcPr>
            <w:tcW w:w="0" w:type="auto"/>
            <w:tcBorders>
              <w:top w:val="nil"/>
              <w:left w:val="nil"/>
              <w:bottom w:val="nil"/>
              <w:right w:val="nil"/>
            </w:tcBorders>
            <w:shd w:val="clear" w:color="auto" w:fill="auto"/>
            <w:noWrap/>
            <w:vAlign w:val="center"/>
            <w:hideMark/>
          </w:tcPr>
          <w:p w14:paraId="5B5610D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0.072</w:t>
            </w:r>
          </w:p>
        </w:tc>
        <w:tc>
          <w:tcPr>
            <w:tcW w:w="0" w:type="auto"/>
            <w:tcBorders>
              <w:top w:val="nil"/>
              <w:left w:val="nil"/>
              <w:bottom w:val="nil"/>
              <w:right w:val="nil"/>
            </w:tcBorders>
            <w:shd w:val="clear" w:color="auto" w:fill="auto"/>
            <w:noWrap/>
            <w:vAlign w:val="center"/>
            <w:hideMark/>
          </w:tcPr>
          <w:p w14:paraId="0FD1D63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[–0.052, 0.229]</w:t>
            </w:r>
          </w:p>
        </w:tc>
        <w:tc>
          <w:tcPr>
            <w:tcW w:w="0" w:type="auto"/>
            <w:tcBorders>
              <w:top w:val="nil"/>
              <w:left w:val="nil"/>
              <w:bottom w:val="nil"/>
              <w:right w:val="nil"/>
            </w:tcBorders>
            <w:shd w:val="clear" w:color="auto" w:fill="auto"/>
            <w:noWrap/>
            <w:vAlign w:val="center"/>
            <w:hideMark/>
          </w:tcPr>
          <w:p w14:paraId="0013ACF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0.073</w:t>
            </w:r>
          </w:p>
        </w:tc>
        <w:tc>
          <w:tcPr>
            <w:tcW w:w="0" w:type="auto"/>
            <w:tcBorders>
              <w:top w:val="nil"/>
              <w:left w:val="nil"/>
              <w:bottom w:val="nil"/>
              <w:right w:val="nil"/>
            </w:tcBorders>
            <w:shd w:val="clear" w:color="auto" w:fill="auto"/>
            <w:noWrap/>
            <w:vAlign w:val="center"/>
            <w:hideMark/>
          </w:tcPr>
          <w:p w14:paraId="0DE0117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0.072</w:t>
            </w:r>
          </w:p>
        </w:tc>
        <w:tc>
          <w:tcPr>
            <w:tcW w:w="0" w:type="auto"/>
            <w:tcBorders>
              <w:top w:val="nil"/>
              <w:left w:val="nil"/>
              <w:bottom w:val="nil"/>
              <w:right w:val="nil"/>
            </w:tcBorders>
            <w:shd w:val="clear" w:color="auto" w:fill="auto"/>
            <w:noWrap/>
            <w:vAlign w:val="center"/>
            <w:hideMark/>
          </w:tcPr>
          <w:p w14:paraId="680A0A5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[–0.068, 0.213]</w:t>
            </w:r>
          </w:p>
        </w:tc>
        <w:tc>
          <w:tcPr>
            <w:tcW w:w="0" w:type="auto"/>
            <w:tcBorders>
              <w:top w:val="nil"/>
              <w:left w:val="nil"/>
              <w:bottom w:val="nil"/>
              <w:right w:val="nil"/>
            </w:tcBorders>
            <w:shd w:val="clear" w:color="auto" w:fill="auto"/>
            <w:noWrap/>
            <w:vAlign w:val="center"/>
            <w:hideMark/>
          </w:tcPr>
          <w:p w14:paraId="643BC7D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0.079</w:t>
            </w:r>
          </w:p>
        </w:tc>
        <w:tc>
          <w:tcPr>
            <w:tcW w:w="0" w:type="auto"/>
            <w:tcBorders>
              <w:top w:val="nil"/>
              <w:left w:val="nil"/>
              <w:bottom w:val="nil"/>
              <w:right w:val="nil"/>
            </w:tcBorders>
            <w:shd w:val="clear" w:color="auto" w:fill="auto"/>
            <w:noWrap/>
            <w:vAlign w:val="center"/>
            <w:hideMark/>
          </w:tcPr>
          <w:p w14:paraId="646EBD7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0.072</w:t>
            </w:r>
          </w:p>
        </w:tc>
        <w:tc>
          <w:tcPr>
            <w:tcW w:w="0" w:type="auto"/>
            <w:tcBorders>
              <w:top w:val="nil"/>
              <w:left w:val="nil"/>
              <w:bottom w:val="nil"/>
              <w:right w:val="nil"/>
            </w:tcBorders>
            <w:shd w:val="clear" w:color="auto" w:fill="auto"/>
            <w:noWrap/>
            <w:vAlign w:val="center"/>
            <w:hideMark/>
          </w:tcPr>
          <w:p w14:paraId="0766DB0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[–0.062, 0.219]</w:t>
            </w:r>
          </w:p>
        </w:tc>
      </w:tr>
      <w:tr w:rsidR="00F30B53" w:rsidRPr="00F30B53" w14:paraId="21772EE9" w14:textId="77777777" w:rsidTr="00F30B53">
        <w:trPr>
          <w:trHeight w:val="215"/>
        </w:trPr>
        <w:tc>
          <w:tcPr>
            <w:tcW w:w="0" w:type="auto"/>
            <w:tcBorders>
              <w:top w:val="nil"/>
              <w:left w:val="nil"/>
              <w:bottom w:val="nil"/>
              <w:right w:val="nil"/>
            </w:tcBorders>
            <w:shd w:val="clear" w:color="auto" w:fill="auto"/>
            <w:noWrap/>
            <w:vAlign w:val="center"/>
            <w:hideMark/>
          </w:tcPr>
          <w:p w14:paraId="105BA17E"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Gender (Male %)</w:t>
            </w:r>
          </w:p>
        </w:tc>
        <w:tc>
          <w:tcPr>
            <w:tcW w:w="0" w:type="auto"/>
            <w:tcBorders>
              <w:top w:val="nil"/>
              <w:left w:val="nil"/>
              <w:bottom w:val="nil"/>
              <w:right w:val="nil"/>
            </w:tcBorders>
            <w:shd w:val="clear" w:color="auto" w:fill="auto"/>
            <w:noWrap/>
            <w:vAlign w:val="center"/>
            <w:hideMark/>
          </w:tcPr>
          <w:p w14:paraId="264F218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–0.086</w:t>
            </w:r>
          </w:p>
        </w:tc>
        <w:tc>
          <w:tcPr>
            <w:tcW w:w="0" w:type="auto"/>
            <w:tcBorders>
              <w:top w:val="nil"/>
              <w:left w:val="nil"/>
              <w:bottom w:val="nil"/>
              <w:right w:val="nil"/>
            </w:tcBorders>
            <w:shd w:val="clear" w:color="auto" w:fill="auto"/>
            <w:noWrap/>
            <w:vAlign w:val="center"/>
            <w:hideMark/>
          </w:tcPr>
          <w:p w14:paraId="44C6588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0.065</w:t>
            </w:r>
          </w:p>
        </w:tc>
        <w:tc>
          <w:tcPr>
            <w:tcW w:w="0" w:type="auto"/>
            <w:tcBorders>
              <w:top w:val="nil"/>
              <w:left w:val="nil"/>
              <w:bottom w:val="nil"/>
              <w:right w:val="nil"/>
            </w:tcBorders>
            <w:shd w:val="clear" w:color="auto" w:fill="auto"/>
            <w:noWrap/>
            <w:vAlign w:val="center"/>
            <w:hideMark/>
          </w:tcPr>
          <w:p w14:paraId="083F82D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[–0.213, 0.041]</w:t>
            </w:r>
          </w:p>
        </w:tc>
        <w:tc>
          <w:tcPr>
            <w:tcW w:w="0" w:type="auto"/>
            <w:tcBorders>
              <w:top w:val="nil"/>
              <w:left w:val="nil"/>
              <w:bottom w:val="nil"/>
              <w:right w:val="nil"/>
            </w:tcBorders>
            <w:shd w:val="clear" w:color="auto" w:fill="auto"/>
            <w:noWrap/>
            <w:vAlign w:val="center"/>
            <w:hideMark/>
          </w:tcPr>
          <w:p w14:paraId="078A803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–0.129</w:t>
            </w:r>
          </w:p>
        </w:tc>
        <w:tc>
          <w:tcPr>
            <w:tcW w:w="0" w:type="auto"/>
            <w:tcBorders>
              <w:top w:val="nil"/>
              <w:left w:val="nil"/>
              <w:bottom w:val="nil"/>
              <w:right w:val="nil"/>
            </w:tcBorders>
            <w:shd w:val="clear" w:color="auto" w:fill="auto"/>
            <w:noWrap/>
            <w:vAlign w:val="center"/>
            <w:hideMark/>
          </w:tcPr>
          <w:p w14:paraId="6765943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0.066</w:t>
            </w:r>
          </w:p>
        </w:tc>
        <w:tc>
          <w:tcPr>
            <w:tcW w:w="0" w:type="auto"/>
            <w:tcBorders>
              <w:top w:val="nil"/>
              <w:left w:val="nil"/>
              <w:bottom w:val="nil"/>
              <w:right w:val="nil"/>
            </w:tcBorders>
            <w:shd w:val="clear" w:color="auto" w:fill="auto"/>
            <w:noWrap/>
            <w:vAlign w:val="center"/>
            <w:hideMark/>
          </w:tcPr>
          <w:p w14:paraId="3EF42B2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[–0.258, –0.001]</w:t>
            </w:r>
          </w:p>
        </w:tc>
        <w:tc>
          <w:tcPr>
            <w:tcW w:w="0" w:type="auto"/>
            <w:tcBorders>
              <w:top w:val="nil"/>
              <w:left w:val="nil"/>
              <w:bottom w:val="nil"/>
              <w:right w:val="nil"/>
            </w:tcBorders>
            <w:shd w:val="clear" w:color="auto" w:fill="auto"/>
            <w:noWrap/>
            <w:vAlign w:val="center"/>
            <w:hideMark/>
          </w:tcPr>
          <w:p w14:paraId="3828F00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–0.080</w:t>
            </w:r>
          </w:p>
        </w:tc>
        <w:tc>
          <w:tcPr>
            <w:tcW w:w="0" w:type="auto"/>
            <w:tcBorders>
              <w:top w:val="nil"/>
              <w:left w:val="nil"/>
              <w:bottom w:val="nil"/>
              <w:right w:val="nil"/>
            </w:tcBorders>
            <w:shd w:val="clear" w:color="auto" w:fill="auto"/>
            <w:noWrap/>
            <w:vAlign w:val="center"/>
            <w:hideMark/>
          </w:tcPr>
          <w:p w14:paraId="158C38F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0.067</w:t>
            </w:r>
          </w:p>
        </w:tc>
        <w:tc>
          <w:tcPr>
            <w:tcW w:w="0" w:type="auto"/>
            <w:tcBorders>
              <w:top w:val="nil"/>
              <w:left w:val="nil"/>
              <w:bottom w:val="nil"/>
              <w:right w:val="nil"/>
            </w:tcBorders>
            <w:shd w:val="clear" w:color="auto" w:fill="auto"/>
            <w:noWrap/>
            <w:vAlign w:val="center"/>
            <w:hideMark/>
          </w:tcPr>
          <w:p w14:paraId="3F725D6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[–0.211, 0.051]</w:t>
            </w:r>
          </w:p>
        </w:tc>
      </w:tr>
      <w:tr w:rsidR="00F30B53" w:rsidRPr="00F30B53" w14:paraId="54FFC936" w14:textId="77777777" w:rsidTr="00F30B53">
        <w:trPr>
          <w:trHeight w:val="215"/>
        </w:trPr>
        <w:tc>
          <w:tcPr>
            <w:tcW w:w="0" w:type="auto"/>
            <w:tcBorders>
              <w:top w:val="nil"/>
              <w:left w:val="nil"/>
              <w:bottom w:val="nil"/>
              <w:right w:val="nil"/>
            </w:tcBorders>
            <w:shd w:val="clear" w:color="auto" w:fill="auto"/>
            <w:noWrap/>
            <w:vAlign w:val="center"/>
            <w:hideMark/>
          </w:tcPr>
          <w:p w14:paraId="744F7456" w14:textId="77777777" w:rsidR="00F30B53" w:rsidRPr="00F30B53" w:rsidRDefault="00F30B53" w:rsidP="00F30B53">
            <w:pPr>
              <w:spacing w:line="240" w:lineRule="auto"/>
              <w:rPr>
                <w:rFonts w:eastAsia="Times New Roman" w:cs="Times New Roman"/>
                <w:i/>
                <w:iCs/>
                <w:color w:val="000000"/>
                <w:sz w:val="16"/>
                <w:szCs w:val="16"/>
                <w:lang w:val="en-GB" w:eastAsia="zh-CN"/>
              </w:rPr>
            </w:pPr>
            <w:r w:rsidRPr="00F30B53">
              <w:rPr>
                <w:rFonts w:eastAsia="Times New Roman" w:cs="Times New Roman"/>
                <w:i/>
                <w:iCs/>
                <w:color w:val="000000"/>
                <w:sz w:val="16"/>
                <w:szCs w:val="16"/>
                <w:lang w:val="en-GB" w:eastAsia="zh-CN"/>
              </w:rPr>
              <w:t>Structural variables</w:t>
            </w:r>
          </w:p>
        </w:tc>
        <w:tc>
          <w:tcPr>
            <w:tcW w:w="0" w:type="auto"/>
            <w:tcBorders>
              <w:top w:val="nil"/>
              <w:left w:val="nil"/>
              <w:bottom w:val="nil"/>
              <w:right w:val="nil"/>
            </w:tcBorders>
            <w:shd w:val="clear" w:color="auto" w:fill="auto"/>
            <w:noWrap/>
            <w:vAlign w:val="center"/>
            <w:hideMark/>
          </w:tcPr>
          <w:p w14:paraId="272F0353" w14:textId="77777777" w:rsidR="00F30B53" w:rsidRPr="00F30B53" w:rsidRDefault="00F30B53" w:rsidP="00F30B53">
            <w:pPr>
              <w:spacing w:line="240" w:lineRule="auto"/>
              <w:rPr>
                <w:rFonts w:eastAsia="Times New Roman" w:cs="Times New Roman"/>
                <w:i/>
                <w:iCs/>
                <w:color w:val="000000"/>
                <w:sz w:val="16"/>
                <w:szCs w:val="16"/>
                <w:lang w:val="en-GB" w:eastAsia="zh-CN"/>
              </w:rPr>
            </w:pPr>
          </w:p>
        </w:tc>
        <w:tc>
          <w:tcPr>
            <w:tcW w:w="0" w:type="auto"/>
            <w:tcBorders>
              <w:top w:val="nil"/>
              <w:left w:val="nil"/>
              <w:bottom w:val="nil"/>
              <w:right w:val="nil"/>
            </w:tcBorders>
            <w:shd w:val="clear" w:color="auto" w:fill="auto"/>
            <w:noWrap/>
            <w:vAlign w:val="center"/>
            <w:hideMark/>
          </w:tcPr>
          <w:p w14:paraId="519F5933"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692DCF65"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1D7A35AD"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7469FB78"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20E131B1"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7A3C19F4"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6EBCB0DB"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57D9AE47" w14:textId="77777777" w:rsidR="00F30B53" w:rsidRPr="00F30B53" w:rsidRDefault="00F30B53" w:rsidP="00F30B53">
            <w:pPr>
              <w:spacing w:line="240" w:lineRule="auto"/>
              <w:jc w:val="center"/>
              <w:rPr>
                <w:rFonts w:eastAsia="Times New Roman" w:cs="Times New Roman"/>
                <w:sz w:val="20"/>
                <w:szCs w:val="20"/>
                <w:lang w:val="en-GB" w:eastAsia="zh-CN"/>
              </w:rPr>
            </w:pPr>
          </w:p>
        </w:tc>
      </w:tr>
      <w:tr w:rsidR="00F30B53" w:rsidRPr="00F30B53" w14:paraId="359D9375" w14:textId="77777777" w:rsidTr="00F30B53">
        <w:trPr>
          <w:trHeight w:val="215"/>
        </w:trPr>
        <w:tc>
          <w:tcPr>
            <w:tcW w:w="0" w:type="auto"/>
            <w:tcBorders>
              <w:top w:val="nil"/>
              <w:left w:val="nil"/>
              <w:bottom w:val="nil"/>
              <w:right w:val="nil"/>
            </w:tcBorders>
            <w:shd w:val="clear" w:color="auto" w:fill="auto"/>
            <w:noWrap/>
            <w:vAlign w:val="bottom"/>
            <w:hideMark/>
          </w:tcPr>
          <w:p w14:paraId="73D6FA46"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Conflict of interests (K index)</w:t>
            </w:r>
          </w:p>
        </w:tc>
        <w:tc>
          <w:tcPr>
            <w:tcW w:w="0" w:type="auto"/>
            <w:tcBorders>
              <w:top w:val="nil"/>
              <w:left w:val="nil"/>
              <w:bottom w:val="nil"/>
              <w:right w:val="nil"/>
            </w:tcBorders>
            <w:shd w:val="clear" w:color="auto" w:fill="auto"/>
            <w:noWrap/>
            <w:vAlign w:val="center"/>
            <w:hideMark/>
          </w:tcPr>
          <w:p w14:paraId="194C519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1.241*</w:t>
            </w:r>
          </w:p>
        </w:tc>
        <w:tc>
          <w:tcPr>
            <w:tcW w:w="0" w:type="auto"/>
            <w:tcBorders>
              <w:top w:val="nil"/>
              <w:left w:val="nil"/>
              <w:bottom w:val="nil"/>
              <w:right w:val="nil"/>
            </w:tcBorders>
            <w:shd w:val="clear" w:color="auto" w:fill="auto"/>
            <w:noWrap/>
            <w:vAlign w:val="center"/>
            <w:hideMark/>
          </w:tcPr>
          <w:p w14:paraId="1FE2883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0.496</w:t>
            </w:r>
          </w:p>
        </w:tc>
        <w:tc>
          <w:tcPr>
            <w:tcW w:w="0" w:type="auto"/>
            <w:tcBorders>
              <w:top w:val="nil"/>
              <w:left w:val="nil"/>
              <w:bottom w:val="nil"/>
              <w:right w:val="nil"/>
            </w:tcBorders>
            <w:shd w:val="clear" w:color="auto" w:fill="auto"/>
            <w:noWrap/>
            <w:vAlign w:val="center"/>
            <w:hideMark/>
          </w:tcPr>
          <w:p w14:paraId="50914E1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[0.270, 2.213]</w:t>
            </w:r>
          </w:p>
        </w:tc>
        <w:tc>
          <w:tcPr>
            <w:tcW w:w="0" w:type="auto"/>
            <w:tcBorders>
              <w:top w:val="nil"/>
              <w:left w:val="nil"/>
              <w:bottom w:val="nil"/>
              <w:right w:val="nil"/>
            </w:tcBorders>
            <w:shd w:val="clear" w:color="auto" w:fill="auto"/>
            <w:noWrap/>
            <w:vAlign w:val="center"/>
            <w:hideMark/>
          </w:tcPr>
          <w:p w14:paraId="716DE8E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0.877*</w:t>
            </w:r>
          </w:p>
        </w:tc>
        <w:tc>
          <w:tcPr>
            <w:tcW w:w="0" w:type="auto"/>
            <w:tcBorders>
              <w:top w:val="nil"/>
              <w:left w:val="nil"/>
              <w:bottom w:val="nil"/>
              <w:right w:val="nil"/>
            </w:tcBorders>
            <w:shd w:val="clear" w:color="auto" w:fill="auto"/>
            <w:noWrap/>
            <w:vAlign w:val="center"/>
            <w:hideMark/>
          </w:tcPr>
          <w:p w14:paraId="208DAFC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0.091</w:t>
            </w:r>
          </w:p>
        </w:tc>
        <w:tc>
          <w:tcPr>
            <w:tcW w:w="0" w:type="auto"/>
            <w:tcBorders>
              <w:top w:val="nil"/>
              <w:left w:val="nil"/>
              <w:bottom w:val="nil"/>
              <w:right w:val="nil"/>
            </w:tcBorders>
            <w:shd w:val="clear" w:color="auto" w:fill="auto"/>
            <w:noWrap/>
            <w:vAlign w:val="center"/>
            <w:hideMark/>
          </w:tcPr>
          <w:p w14:paraId="769C491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[0.698, 1.056]</w:t>
            </w:r>
          </w:p>
        </w:tc>
        <w:tc>
          <w:tcPr>
            <w:tcW w:w="0" w:type="auto"/>
            <w:tcBorders>
              <w:top w:val="nil"/>
              <w:left w:val="nil"/>
              <w:bottom w:val="nil"/>
              <w:right w:val="nil"/>
            </w:tcBorders>
            <w:shd w:val="clear" w:color="auto" w:fill="auto"/>
            <w:noWrap/>
            <w:vAlign w:val="center"/>
            <w:hideMark/>
          </w:tcPr>
          <w:p w14:paraId="64ABF5B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0.891*</w:t>
            </w:r>
          </w:p>
        </w:tc>
        <w:tc>
          <w:tcPr>
            <w:tcW w:w="0" w:type="auto"/>
            <w:tcBorders>
              <w:top w:val="nil"/>
              <w:left w:val="nil"/>
              <w:bottom w:val="nil"/>
              <w:right w:val="nil"/>
            </w:tcBorders>
            <w:shd w:val="clear" w:color="auto" w:fill="auto"/>
            <w:noWrap/>
            <w:vAlign w:val="center"/>
            <w:hideMark/>
          </w:tcPr>
          <w:p w14:paraId="33FED7C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0.091</w:t>
            </w:r>
          </w:p>
        </w:tc>
        <w:tc>
          <w:tcPr>
            <w:tcW w:w="0" w:type="auto"/>
            <w:tcBorders>
              <w:top w:val="nil"/>
              <w:left w:val="nil"/>
              <w:bottom w:val="nil"/>
              <w:right w:val="nil"/>
            </w:tcBorders>
            <w:shd w:val="clear" w:color="auto" w:fill="auto"/>
            <w:noWrap/>
            <w:vAlign w:val="center"/>
            <w:hideMark/>
          </w:tcPr>
          <w:p w14:paraId="52A8ED1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[0.713, 1.069]</w:t>
            </w:r>
          </w:p>
        </w:tc>
      </w:tr>
      <w:tr w:rsidR="00F30B53" w:rsidRPr="00F30B53" w14:paraId="2D5EA505" w14:textId="77777777" w:rsidTr="00F30B53">
        <w:trPr>
          <w:trHeight w:val="215"/>
        </w:trPr>
        <w:tc>
          <w:tcPr>
            <w:tcW w:w="0" w:type="auto"/>
            <w:tcBorders>
              <w:top w:val="nil"/>
              <w:left w:val="nil"/>
              <w:bottom w:val="nil"/>
              <w:right w:val="nil"/>
            </w:tcBorders>
            <w:shd w:val="clear" w:color="auto" w:fill="auto"/>
            <w:noWrap/>
            <w:vAlign w:val="bottom"/>
            <w:hideMark/>
          </w:tcPr>
          <w:p w14:paraId="792EB722"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Group size</w:t>
            </w:r>
          </w:p>
        </w:tc>
        <w:tc>
          <w:tcPr>
            <w:tcW w:w="0" w:type="auto"/>
            <w:tcBorders>
              <w:top w:val="nil"/>
              <w:left w:val="nil"/>
              <w:bottom w:val="nil"/>
              <w:right w:val="nil"/>
            </w:tcBorders>
            <w:shd w:val="clear" w:color="auto" w:fill="auto"/>
            <w:noWrap/>
            <w:vAlign w:val="center"/>
            <w:hideMark/>
          </w:tcPr>
          <w:p w14:paraId="1034861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–0.060</w:t>
            </w:r>
          </w:p>
        </w:tc>
        <w:tc>
          <w:tcPr>
            <w:tcW w:w="0" w:type="auto"/>
            <w:tcBorders>
              <w:top w:val="nil"/>
              <w:left w:val="nil"/>
              <w:bottom w:val="nil"/>
              <w:right w:val="nil"/>
            </w:tcBorders>
            <w:shd w:val="clear" w:color="auto" w:fill="auto"/>
            <w:noWrap/>
            <w:vAlign w:val="center"/>
            <w:hideMark/>
          </w:tcPr>
          <w:p w14:paraId="4A08179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0.032</w:t>
            </w:r>
          </w:p>
        </w:tc>
        <w:tc>
          <w:tcPr>
            <w:tcW w:w="0" w:type="auto"/>
            <w:tcBorders>
              <w:top w:val="nil"/>
              <w:left w:val="nil"/>
              <w:bottom w:val="nil"/>
              <w:right w:val="nil"/>
            </w:tcBorders>
            <w:shd w:val="clear" w:color="auto" w:fill="auto"/>
            <w:noWrap/>
            <w:vAlign w:val="center"/>
            <w:hideMark/>
          </w:tcPr>
          <w:p w14:paraId="337EA8E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[–0.123, 0.002]</w:t>
            </w:r>
          </w:p>
        </w:tc>
        <w:tc>
          <w:tcPr>
            <w:tcW w:w="0" w:type="auto"/>
            <w:tcBorders>
              <w:top w:val="nil"/>
              <w:left w:val="nil"/>
              <w:bottom w:val="nil"/>
              <w:right w:val="nil"/>
            </w:tcBorders>
            <w:shd w:val="clear" w:color="auto" w:fill="auto"/>
            <w:noWrap/>
            <w:vAlign w:val="center"/>
            <w:hideMark/>
          </w:tcPr>
          <w:p w14:paraId="1D2312C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–0.047</w:t>
            </w:r>
          </w:p>
        </w:tc>
        <w:tc>
          <w:tcPr>
            <w:tcW w:w="0" w:type="auto"/>
            <w:tcBorders>
              <w:top w:val="nil"/>
              <w:left w:val="nil"/>
              <w:bottom w:val="nil"/>
              <w:right w:val="nil"/>
            </w:tcBorders>
            <w:shd w:val="clear" w:color="auto" w:fill="auto"/>
            <w:noWrap/>
            <w:vAlign w:val="center"/>
            <w:hideMark/>
          </w:tcPr>
          <w:p w14:paraId="6593C96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0.032</w:t>
            </w:r>
          </w:p>
        </w:tc>
        <w:tc>
          <w:tcPr>
            <w:tcW w:w="0" w:type="auto"/>
            <w:tcBorders>
              <w:top w:val="nil"/>
              <w:left w:val="nil"/>
              <w:bottom w:val="nil"/>
              <w:right w:val="nil"/>
            </w:tcBorders>
            <w:shd w:val="clear" w:color="auto" w:fill="auto"/>
            <w:noWrap/>
            <w:vAlign w:val="center"/>
            <w:hideMark/>
          </w:tcPr>
          <w:p w14:paraId="71A2A3A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[–0.109, 0.015]</w:t>
            </w:r>
          </w:p>
        </w:tc>
        <w:tc>
          <w:tcPr>
            <w:tcW w:w="0" w:type="auto"/>
            <w:tcBorders>
              <w:top w:val="nil"/>
              <w:left w:val="nil"/>
              <w:bottom w:val="nil"/>
              <w:right w:val="nil"/>
            </w:tcBorders>
            <w:shd w:val="clear" w:color="auto" w:fill="auto"/>
            <w:noWrap/>
            <w:vAlign w:val="center"/>
            <w:hideMark/>
          </w:tcPr>
          <w:p w14:paraId="076DF83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–0.046</w:t>
            </w:r>
          </w:p>
        </w:tc>
        <w:tc>
          <w:tcPr>
            <w:tcW w:w="0" w:type="auto"/>
            <w:tcBorders>
              <w:top w:val="nil"/>
              <w:left w:val="nil"/>
              <w:bottom w:val="nil"/>
              <w:right w:val="nil"/>
            </w:tcBorders>
            <w:shd w:val="clear" w:color="auto" w:fill="auto"/>
            <w:noWrap/>
            <w:vAlign w:val="center"/>
            <w:hideMark/>
          </w:tcPr>
          <w:p w14:paraId="20D8443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0.032</w:t>
            </w:r>
          </w:p>
        </w:tc>
        <w:tc>
          <w:tcPr>
            <w:tcW w:w="0" w:type="auto"/>
            <w:tcBorders>
              <w:top w:val="nil"/>
              <w:left w:val="nil"/>
              <w:bottom w:val="nil"/>
              <w:right w:val="nil"/>
            </w:tcBorders>
            <w:shd w:val="clear" w:color="auto" w:fill="auto"/>
            <w:noWrap/>
            <w:vAlign w:val="center"/>
            <w:hideMark/>
          </w:tcPr>
          <w:p w14:paraId="23BD39C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[–0.108, 0.016]</w:t>
            </w:r>
          </w:p>
        </w:tc>
      </w:tr>
      <w:tr w:rsidR="00F30B53" w:rsidRPr="00F30B53" w14:paraId="6DA32D1D" w14:textId="77777777" w:rsidTr="00F30B53">
        <w:trPr>
          <w:trHeight w:val="215"/>
        </w:trPr>
        <w:tc>
          <w:tcPr>
            <w:tcW w:w="0" w:type="auto"/>
            <w:tcBorders>
              <w:top w:val="nil"/>
              <w:left w:val="nil"/>
              <w:bottom w:val="nil"/>
              <w:right w:val="nil"/>
            </w:tcBorders>
            <w:shd w:val="clear" w:color="auto" w:fill="auto"/>
            <w:noWrap/>
            <w:vAlign w:val="bottom"/>
            <w:hideMark/>
          </w:tcPr>
          <w:p w14:paraId="22ED71DB"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Sanction-yes</w:t>
            </w:r>
          </w:p>
        </w:tc>
        <w:tc>
          <w:tcPr>
            <w:tcW w:w="0" w:type="auto"/>
            <w:tcBorders>
              <w:top w:val="nil"/>
              <w:left w:val="nil"/>
              <w:bottom w:val="nil"/>
              <w:right w:val="nil"/>
            </w:tcBorders>
            <w:shd w:val="clear" w:color="auto" w:fill="auto"/>
            <w:noWrap/>
            <w:vAlign w:val="center"/>
            <w:hideMark/>
          </w:tcPr>
          <w:p w14:paraId="0A35AB8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0.316*</w:t>
            </w:r>
          </w:p>
        </w:tc>
        <w:tc>
          <w:tcPr>
            <w:tcW w:w="0" w:type="auto"/>
            <w:tcBorders>
              <w:top w:val="nil"/>
              <w:left w:val="nil"/>
              <w:bottom w:val="nil"/>
              <w:right w:val="nil"/>
            </w:tcBorders>
            <w:shd w:val="clear" w:color="auto" w:fill="auto"/>
            <w:noWrap/>
            <w:vAlign w:val="center"/>
            <w:hideMark/>
          </w:tcPr>
          <w:p w14:paraId="480188F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0.078</w:t>
            </w:r>
          </w:p>
        </w:tc>
        <w:tc>
          <w:tcPr>
            <w:tcW w:w="0" w:type="auto"/>
            <w:tcBorders>
              <w:top w:val="nil"/>
              <w:left w:val="nil"/>
              <w:bottom w:val="nil"/>
              <w:right w:val="nil"/>
            </w:tcBorders>
            <w:shd w:val="clear" w:color="auto" w:fill="auto"/>
            <w:noWrap/>
            <w:vAlign w:val="center"/>
            <w:hideMark/>
          </w:tcPr>
          <w:p w14:paraId="7DF07DC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[0.163, 0.469]</w:t>
            </w:r>
          </w:p>
        </w:tc>
        <w:tc>
          <w:tcPr>
            <w:tcW w:w="0" w:type="auto"/>
            <w:tcBorders>
              <w:top w:val="nil"/>
              <w:left w:val="nil"/>
              <w:bottom w:val="nil"/>
              <w:right w:val="nil"/>
            </w:tcBorders>
            <w:shd w:val="clear" w:color="auto" w:fill="auto"/>
            <w:noWrap/>
            <w:vAlign w:val="center"/>
            <w:hideMark/>
          </w:tcPr>
          <w:p w14:paraId="0E15A2B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0.306*</w:t>
            </w:r>
          </w:p>
        </w:tc>
        <w:tc>
          <w:tcPr>
            <w:tcW w:w="0" w:type="auto"/>
            <w:tcBorders>
              <w:top w:val="nil"/>
              <w:left w:val="nil"/>
              <w:bottom w:val="nil"/>
              <w:right w:val="nil"/>
            </w:tcBorders>
            <w:shd w:val="clear" w:color="auto" w:fill="auto"/>
            <w:noWrap/>
            <w:vAlign w:val="center"/>
            <w:hideMark/>
          </w:tcPr>
          <w:p w14:paraId="6F10308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0.079</w:t>
            </w:r>
          </w:p>
        </w:tc>
        <w:tc>
          <w:tcPr>
            <w:tcW w:w="0" w:type="auto"/>
            <w:tcBorders>
              <w:top w:val="nil"/>
              <w:left w:val="nil"/>
              <w:bottom w:val="nil"/>
              <w:right w:val="nil"/>
            </w:tcBorders>
            <w:shd w:val="clear" w:color="auto" w:fill="auto"/>
            <w:noWrap/>
            <w:vAlign w:val="center"/>
            <w:hideMark/>
          </w:tcPr>
          <w:p w14:paraId="5B219F8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[0.152, 0.460]</w:t>
            </w:r>
          </w:p>
        </w:tc>
        <w:tc>
          <w:tcPr>
            <w:tcW w:w="0" w:type="auto"/>
            <w:tcBorders>
              <w:top w:val="nil"/>
              <w:left w:val="nil"/>
              <w:bottom w:val="nil"/>
              <w:right w:val="nil"/>
            </w:tcBorders>
            <w:shd w:val="clear" w:color="auto" w:fill="auto"/>
            <w:noWrap/>
            <w:vAlign w:val="center"/>
            <w:hideMark/>
          </w:tcPr>
          <w:p w14:paraId="33F1CFC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0.307*</w:t>
            </w:r>
          </w:p>
        </w:tc>
        <w:tc>
          <w:tcPr>
            <w:tcW w:w="0" w:type="auto"/>
            <w:tcBorders>
              <w:top w:val="nil"/>
              <w:left w:val="nil"/>
              <w:bottom w:val="nil"/>
              <w:right w:val="nil"/>
            </w:tcBorders>
            <w:shd w:val="clear" w:color="auto" w:fill="auto"/>
            <w:noWrap/>
            <w:vAlign w:val="center"/>
            <w:hideMark/>
          </w:tcPr>
          <w:p w14:paraId="5EBD58B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0.078</w:t>
            </w:r>
          </w:p>
        </w:tc>
        <w:tc>
          <w:tcPr>
            <w:tcW w:w="0" w:type="auto"/>
            <w:tcBorders>
              <w:top w:val="nil"/>
              <w:left w:val="nil"/>
              <w:bottom w:val="nil"/>
              <w:right w:val="nil"/>
            </w:tcBorders>
            <w:shd w:val="clear" w:color="auto" w:fill="auto"/>
            <w:noWrap/>
            <w:vAlign w:val="center"/>
            <w:hideMark/>
          </w:tcPr>
          <w:p w14:paraId="21023B2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[0.153, 0.460]</w:t>
            </w:r>
          </w:p>
        </w:tc>
      </w:tr>
      <w:tr w:rsidR="00F30B53" w:rsidRPr="00F30B53" w14:paraId="62A3BB68" w14:textId="77777777" w:rsidTr="00F30B53">
        <w:trPr>
          <w:trHeight w:val="215"/>
        </w:trPr>
        <w:tc>
          <w:tcPr>
            <w:tcW w:w="0" w:type="auto"/>
            <w:tcBorders>
              <w:top w:val="nil"/>
              <w:left w:val="nil"/>
              <w:bottom w:val="nil"/>
              <w:right w:val="nil"/>
            </w:tcBorders>
            <w:shd w:val="clear" w:color="auto" w:fill="auto"/>
            <w:noWrap/>
            <w:vAlign w:val="bottom"/>
            <w:hideMark/>
          </w:tcPr>
          <w:p w14:paraId="2806A05B"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Sanction-mixed</w:t>
            </w:r>
          </w:p>
        </w:tc>
        <w:tc>
          <w:tcPr>
            <w:tcW w:w="0" w:type="auto"/>
            <w:tcBorders>
              <w:top w:val="nil"/>
              <w:left w:val="nil"/>
              <w:bottom w:val="nil"/>
              <w:right w:val="nil"/>
            </w:tcBorders>
            <w:shd w:val="clear" w:color="auto" w:fill="auto"/>
            <w:noWrap/>
            <w:vAlign w:val="center"/>
            <w:hideMark/>
          </w:tcPr>
          <w:p w14:paraId="21428F6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0.369</w:t>
            </w:r>
          </w:p>
        </w:tc>
        <w:tc>
          <w:tcPr>
            <w:tcW w:w="0" w:type="auto"/>
            <w:tcBorders>
              <w:top w:val="nil"/>
              <w:left w:val="nil"/>
              <w:bottom w:val="nil"/>
              <w:right w:val="nil"/>
            </w:tcBorders>
            <w:shd w:val="clear" w:color="auto" w:fill="auto"/>
            <w:noWrap/>
            <w:vAlign w:val="center"/>
            <w:hideMark/>
          </w:tcPr>
          <w:p w14:paraId="11848C8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0.245</w:t>
            </w:r>
          </w:p>
        </w:tc>
        <w:tc>
          <w:tcPr>
            <w:tcW w:w="0" w:type="auto"/>
            <w:tcBorders>
              <w:top w:val="nil"/>
              <w:left w:val="nil"/>
              <w:bottom w:val="nil"/>
              <w:right w:val="nil"/>
            </w:tcBorders>
            <w:shd w:val="clear" w:color="auto" w:fill="auto"/>
            <w:noWrap/>
            <w:vAlign w:val="center"/>
            <w:hideMark/>
          </w:tcPr>
          <w:p w14:paraId="250F172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[–0.111, 0.849]</w:t>
            </w:r>
          </w:p>
        </w:tc>
        <w:tc>
          <w:tcPr>
            <w:tcW w:w="0" w:type="auto"/>
            <w:tcBorders>
              <w:top w:val="nil"/>
              <w:left w:val="nil"/>
              <w:bottom w:val="nil"/>
              <w:right w:val="nil"/>
            </w:tcBorders>
            <w:shd w:val="clear" w:color="auto" w:fill="auto"/>
            <w:noWrap/>
            <w:vAlign w:val="center"/>
            <w:hideMark/>
          </w:tcPr>
          <w:p w14:paraId="4EF7979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0.340</w:t>
            </w:r>
          </w:p>
        </w:tc>
        <w:tc>
          <w:tcPr>
            <w:tcW w:w="0" w:type="auto"/>
            <w:tcBorders>
              <w:top w:val="nil"/>
              <w:left w:val="nil"/>
              <w:bottom w:val="nil"/>
              <w:right w:val="nil"/>
            </w:tcBorders>
            <w:shd w:val="clear" w:color="auto" w:fill="auto"/>
            <w:noWrap/>
            <w:vAlign w:val="center"/>
            <w:hideMark/>
          </w:tcPr>
          <w:p w14:paraId="0B7F820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0.246</w:t>
            </w:r>
          </w:p>
        </w:tc>
        <w:tc>
          <w:tcPr>
            <w:tcW w:w="0" w:type="auto"/>
            <w:tcBorders>
              <w:top w:val="nil"/>
              <w:left w:val="nil"/>
              <w:bottom w:val="nil"/>
              <w:right w:val="nil"/>
            </w:tcBorders>
            <w:shd w:val="clear" w:color="auto" w:fill="auto"/>
            <w:noWrap/>
            <w:vAlign w:val="center"/>
            <w:hideMark/>
          </w:tcPr>
          <w:p w14:paraId="35AD12C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[–0.143, 0.822]</w:t>
            </w:r>
          </w:p>
        </w:tc>
        <w:tc>
          <w:tcPr>
            <w:tcW w:w="0" w:type="auto"/>
            <w:tcBorders>
              <w:top w:val="nil"/>
              <w:left w:val="nil"/>
              <w:bottom w:val="nil"/>
              <w:right w:val="nil"/>
            </w:tcBorders>
            <w:shd w:val="clear" w:color="auto" w:fill="auto"/>
            <w:noWrap/>
            <w:vAlign w:val="center"/>
            <w:hideMark/>
          </w:tcPr>
          <w:p w14:paraId="4BB61EE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0.339</w:t>
            </w:r>
          </w:p>
        </w:tc>
        <w:tc>
          <w:tcPr>
            <w:tcW w:w="0" w:type="auto"/>
            <w:tcBorders>
              <w:top w:val="nil"/>
              <w:left w:val="nil"/>
              <w:bottom w:val="nil"/>
              <w:right w:val="nil"/>
            </w:tcBorders>
            <w:shd w:val="clear" w:color="auto" w:fill="auto"/>
            <w:noWrap/>
            <w:vAlign w:val="center"/>
            <w:hideMark/>
          </w:tcPr>
          <w:p w14:paraId="24CC701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0.246</w:t>
            </w:r>
          </w:p>
        </w:tc>
        <w:tc>
          <w:tcPr>
            <w:tcW w:w="0" w:type="auto"/>
            <w:tcBorders>
              <w:top w:val="nil"/>
              <w:left w:val="nil"/>
              <w:bottom w:val="nil"/>
              <w:right w:val="nil"/>
            </w:tcBorders>
            <w:shd w:val="clear" w:color="auto" w:fill="auto"/>
            <w:noWrap/>
            <w:vAlign w:val="center"/>
            <w:hideMark/>
          </w:tcPr>
          <w:p w14:paraId="51F5ED7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[–0.143, 0.821]</w:t>
            </w:r>
          </w:p>
        </w:tc>
      </w:tr>
      <w:tr w:rsidR="00F30B53" w:rsidRPr="00F30B53" w14:paraId="26BE0556" w14:textId="77777777" w:rsidTr="00F30B53">
        <w:trPr>
          <w:trHeight w:val="215"/>
        </w:trPr>
        <w:tc>
          <w:tcPr>
            <w:tcW w:w="0" w:type="auto"/>
            <w:tcBorders>
              <w:top w:val="nil"/>
              <w:left w:val="nil"/>
              <w:bottom w:val="nil"/>
              <w:right w:val="nil"/>
            </w:tcBorders>
            <w:shd w:val="clear" w:color="auto" w:fill="auto"/>
            <w:noWrap/>
            <w:vAlign w:val="bottom"/>
            <w:hideMark/>
          </w:tcPr>
          <w:p w14:paraId="3E596211"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Communication-yes</w:t>
            </w:r>
          </w:p>
        </w:tc>
        <w:tc>
          <w:tcPr>
            <w:tcW w:w="0" w:type="auto"/>
            <w:tcBorders>
              <w:top w:val="nil"/>
              <w:left w:val="nil"/>
              <w:bottom w:val="nil"/>
              <w:right w:val="nil"/>
            </w:tcBorders>
            <w:shd w:val="clear" w:color="auto" w:fill="auto"/>
            <w:noWrap/>
            <w:vAlign w:val="center"/>
            <w:hideMark/>
          </w:tcPr>
          <w:p w14:paraId="0614057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492341A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689BB60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38A33A7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0.865*</w:t>
            </w:r>
          </w:p>
        </w:tc>
        <w:tc>
          <w:tcPr>
            <w:tcW w:w="0" w:type="auto"/>
            <w:tcBorders>
              <w:top w:val="nil"/>
              <w:left w:val="nil"/>
              <w:bottom w:val="nil"/>
              <w:right w:val="nil"/>
            </w:tcBorders>
            <w:shd w:val="clear" w:color="auto" w:fill="auto"/>
            <w:noWrap/>
            <w:vAlign w:val="center"/>
            <w:hideMark/>
          </w:tcPr>
          <w:p w14:paraId="690757E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0.142</w:t>
            </w:r>
          </w:p>
        </w:tc>
        <w:tc>
          <w:tcPr>
            <w:tcW w:w="0" w:type="auto"/>
            <w:tcBorders>
              <w:top w:val="nil"/>
              <w:left w:val="nil"/>
              <w:bottom w:val="nil"/>
              <w:right w:val="nil"/>
            </w:tcBorders>
            <w:shd w:val="clear" w:color="auto" w:fill="auto"/>
            <w:noWrap/>
            <w:vAlign w:val="center"/>
            <w:hideMark/>
          </w:tcPr>
          <w:p w14:paraId="59C3FCE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[0.586, 1.144]</w:t>
            </w:r>
          </w:p>
        </w:tc>
        <w:tc>
          <w:tcPr>
            <w:tcW w:w="0" w:type="auto"/>
            <w:tcBorders>
              <w:top w:val="nil"/>
              <w:left w:val="nil"/>
              <w:bottom w:val="nil"/>
              <w:right w:val="nil"/>
            </w:tcBorders>
            <w:shd w:val="clear" w:color="auto" w:fill="auto"/>
            <w:noWrap/>
            <w:vAlign w:val="center"/>
            <w:hideMark/>
          </w:tcPr>
          <w:p w14:paraId="4EC913E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0.867*</w:t>
            </w:r>
          </w:p>
        </w:tc>
        <w:tc>
          <w:tcPr>
            <w:tcW w:w="0" w:type="auto"/>
            <w:tcBorders>
              <w:top w:val="nil"/>
              <w:left w:val="nil"/>
              <w:bottom w:val="nil"/>
              <w:right w:val="nil"/>
            </w:tcBorders>
            <w:shd w:val="clear" w:color="auto" w:fill="auto"/>
            <w:noWrap/>
            <w:vAlign w:val="center"/>
            <w:hideMark/>
          </w:tcPr>
          <w:p w14:paraId="130DB92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0.143</w:t>
            </w:r>
          </w:p>
        </w:tc>
        <w:tc>
          <w:tcPr>
            <w:tcW w:w="0" w:type="auto"/>
            <w:tcBorders>
              <w:top w:val="nil"/>
              <w:left w:val="nil"/>
              <w:bottom w:val="nil"/>
              <w:right w:val="nil"/>
            </w:tcBorders>
            <w:shd w:val="clear" w:color="auto" w:fill="auto"/>
            <w:noWrap/>
            <w:vAlign w:val="center"/>
            <w:hideMark/>
          </w:tcPr>
          <w:p w14:paraId="1083AE2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[0.587, 1.146]</w:t>
            </w:r>
          </w:p>
        </w:tc>
      </w:tr>
      <w:tr w:rsidR="00F30B53" w:rsidRPr="00F30B53" w14:paraId="4CBBB98A" w14:textId="77777777" w:rsidTr="00F30B53">
        <w:trPr>
          <w:trHeight w:val="215"/>
        </w:trPr>
        <w:tc>
          <w:tcPr>
            <w:tcW w:w="0" w:type="auto"/>
            <w:tcBorders>
              <w:top w:val="nil"/>
              <w:left w:val="nil"/>
              <w:bottom w:val="nil"/>
              <w:right w:val="nil"/>
            </w:tcBorders>
            <w:shd w:val="clear" w:color="auto" w:fill="auto"/>
            <w:noWrap/>
            <w:vAlign w:val="bottom"/>
            <w:hideMark/>
          </w:tcPr>
          <w:p w14:paraId="62DF79EC"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Communication-mixed</w:t>
            </w:r>
          </w:p>
        </w:tc>
        <w:tc>
          <w:tcPr>
            <w:tcW w:w="0" w:type="auto"/>
            <w:tcBorders>
              <w:top w:val="nil"/>
              <w:left w:val="nil"/>
              <w:bottom w:val="nil"/>
              <w:right w:val="nil"/>
            </w:tcBorders>
            <w:shd w:val="clear" w:color="auto" w:fill="auto"/>
            <w:noWrap/>
            <w:vAlign w:val="center"/>
            <w:hideMark/>
          </w:tcPr>
          <w:p w14:paraId="3255501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DEE57C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BAA237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91F729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0.426</w:t>
            </w:r>
          </w:p>
        </w:tc>
        <w:tc>
          <w:tcPr>
            <w:tcW w:w="0" w:type="auto"/>
            <w:tcBorders>
              <w:top w:val="nil"/>
              <w:left w:val="nil"/>
              <w:bottom w:val="nil"/>
              <w:right w:val="nil"/>
            </w:tcBorders>
            <w:shd w:val="clear" w:color="auto" w:fill="auto"/>
            <w:noWrap/>
            <w:vAlign w:val="center"/>
            <w:hideMark/>
          </w:tcPr>
          <w:p w14:paraId="667B9C9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0.348</w:t>
            </w:r>
          </w:p>
        </w:tc>
        <w:tc>
          <w:tcPr>
            <w:tcW w:w="0" w:type="auto"/>
            <w:tcBorders>
              <w:top w:val="nil"/>
              <w:left w:val="nil"/>
              <w:bottom w:val="nil"/>
              <w:right w:val="nil"/>
            </w:tcBorders>
            <w:shd w:val="clear" w:color="auto" w:fill="auto"/>
            <w:noWrap/>
            <w:vAlign w:val="center"/>
            <w:hideMark/>
          </w:tcPr>
          <w:p w14:paraId="2F340EC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[–0.257, 1.110]</w:t>
            </w:r>
          </w:p>
        </w:tc>
        <w:tc>
          <w:tcPr>
            <w:tcW w:w="0" w:type="auto"/>
            <w:tcBorders>
              <w:top w:val="nil"/>
              <w:left w:val="nil"/>
              <w:bottom w:val="nil"/>
              <w:right w:val="nil"/>
            </w:tcBorders>
            <w:shd w:val="clear" w:color="auto" w:fill="auto"/>
            <w:noWrap/>
            <w:vAlign w:val="center"/>
            <w:hideMark/>
          </w:tcPr>
          <w:p w14:paraId="7B269BC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0.520</w:t>
            </w:r>
          </w:p>
        </w:tc>
        <w:tc>
          <w:tcPr>
            <w:tcW w:w="0" w:type="auto"/>
            <w:tcBorders>
              <w:top w:val="nil"/>
              <w:left w:val="nil"/>
              <w:bottom w:val="nil"/>
              <w:right w:val="nil"/>
            </w:tcBorders>
            <w:shd w:val="clear" w:color="auto" w:fill="auto"/>
            <w:noWrap/>
            <w:vAlign w:val="center"/>
            <w:hideMark/>
          </w:tcPr>
          <w:p w14:paraId="1334600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0.352</w:t>
            </w:r>
          </w:p>
        </w:tc>
        <w:tc>
          <w:tcPr>
            <w:tcW w:w="0" w:type="auto"/>
            <w:tcBorders>
              <w:top w:val="nil"/>
              <w:left w:val="nil"/>
              <w:bottom w:val="nil"/>
              <w:right w:val="nil"/>
            </w:tcBorders>
            <w:shd w:val="clear" w:color="auto" w:fill="auto"/>
            <w:noWrap/>
            <w:vAlign w:val="center"/>
            <w:hideMark/>
          </w:tcPr>
          <w:p w14:paraId="5B54513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[–0.171, 1.210]</w:t>
            </w:r>
          </w:p>
        </w:tc>
      </w:tr>
      <w:tr w:rsidR="00F30B53" w:rsidRPr="00F30B53" w14:paraId="205CF644" w14:textId="77777777" w:rsidTr="00F30B53">
        <w:trPr>
          <w:trHeight w:val="215"/>
        </w:trPr>
        <w:tc>
          <w:tcPr>
            <w:tcW w:w="0" w:type="auto"/>
            <w:tcBorders>
              <w:top w:val="nil"/>
              <w:left w:val="nil"/>
              <w:bottom w:val="nil"/>
              <w:right w:val="nil"/>
            </w:tcBorders>
            <w:shd w:val="clear" w:color="auto" w:fill="auto"/>
            <w:noWrap/>
            <w:vAlign w:val="bottom"/>
            <w:hideMark/>
          </w:tcPr>
          <w:p w14:paraId="58C9BCD2"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Communication type-bidirectional</w:t>
            </w:r>
          </w:p>
        </w:tc>
        <w:tc>
          <w:tcPr>
            <w:tcW w:w="0" w:type="auto"/>
            <w:tcBorders>
              <w:top w:val="nil"/>
              <w:left w:val="nil"/>
              <w:bottom w:val="nil"/>
              <w:right w:val="nil"/>
            </w:tcBorders>
            <w:shd w:val="clear" w:color="auto" w:fill="auto"/>
            <w:noWrap/>
            <w:vAlign w:val="center"/>
            <w:hideMark/>
          </w:tcPr>
          <w:p w14:paraId="4E5DAE63"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1.165*</w:t>
            </w:r>
          </w:p>
        </w:tc>
        <w:tc>
          <w:tcPr>
            <w:tcW w:w="0" w:type="auto"/>
            <w:tcBorders>
              <w:top w:val="nil"/>
              <w:left w:val="nil"/>
              <w:bottom w:val="nil"/>
              <w:right w:val="nil"/>
            </w:tcBorders>
            <w:shd w:val="clear" w:color="auto" w:fill="auto"/>
            <w:noWrap/>
            <w:vAlign w:val="center"/>
            <w:hideMark/>
          </w:tcPr>
          <w:p w14:paraId="7AF7ED98"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0.337</w:t>
            </w:r>
          </w:p>
        </w:tc>
        <w:tc>
          <w:tcPr>
            <w:tcW w:w="0" w:type="auto"/>
            <w:tcBorders>
              <w:top w:val="nil"/>
              <w:left w:val="nil"/>
              <w:bottom w:val="nil"/>
              <w:right w:val="nil"/>
            </w:tcBorders>
            <w:shd w:val="clear" w:color="auto" w:fill="auto"/>
            <w:noWrap/>
            <w:vAlign w:val="center"/>
            <w:hideMark/>
          </w:tcPr>
          <w:p w14:paraId="1462D410"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[0.503, 1.826]</w:t>
            </w:r>
          </w:p>
        </w:tc>
        <w:tc>
          <w:tcPr>
            <w:tcW w:w="0" w:type="auto"/>
            <w:tcBorders>
              <w:top w:val="nil"/>
              <w:left w:val="nil"/>
              <w:bottom w:val="nil"/>
              <w:right w:val="nil"/>
            </w:tcBorders>
            <w:shd w:val="clear" w:color="auto" w:fill="auto"/>
            <w:noWrap/>
            <w:vAlign w:val="center"/>
            <w:hideMark/>
          </w:tcPr>
          <w:p w14:paraId="2E6E166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505DFD7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40D1200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31C6CB6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3275982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645B5F1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r>
      <w:tr w:rsidR="00F30B53" w:rsidRPr="00F30B53" w14:paraId="6206F032" w14:textId="77777777" w:rsidTr="00F30B53">
        <w:trPr>
          <w:trHeight w:val="215"/>
        </w:trPr>
        <w:tc>
          <w:tcPr>
            <w:tcW w:w="0" w:type="auto"/>
            <w:tcBorders>
              <w:top w:val="nil"/>
              <w:left w:val="nil"/>
              <w:bottom w:val="nil"/>
              <w:right w:val="nil"/>
            </w:tcBorders>
            <w:shd w:val="clear" w:color="auto" w:fill="auto"/>
            <w:noWrap/>
            <w:vAlign w:val="bottom"/>
            <w:hideMark/>
          </w:tcPr>
          <w:p w14:paraId="2960458D"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Communication type-no</w:t>
            </w:r>
          </w:p>
        </w:tc>
        <w:tc>
          <w:tcPr>
            <w:tcW w:w="0" w:type="auto"/>
            <w:tcBorders>
              <w:top w:val="nil"/>
              <w:left w:val="nil"/>
              <w:bottom w:val="nil"/>
              <w:right w:val="nil"/>
            </w:tcBorders>
            <w:shd w:val="clear" w:color="auto" w:fill="auto"/>
            <w:noWrap/>
            <w:vAlign w:val="center"/>
            <w:hideMark/>
          </w:tcPr>
          <w:p w14:paraId="6D590A9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0.155</w:t>
            </w:r>
          </w:p>
        </w:tc>
        <w:tc>
          <w:tcPr>
            <w:tcW w:w="0" w:type="auto"/>
            <w:tcBorders>
              <w:top w:val="nil"/>
              <w:left w:val="nil"/>
              <w:bottom w:val="nil"/>
              <w:right w:val="nil"/>
            </w:tcBorders>
            <w:shd w:val="clear" w:color="auto" w:fill="auto"/>
            <w:noWrap/>
            <w:vAlign w:val="center"/>
            <w:hideMark/>
          </w:tcPr>
          <w:p w14:paraId="0BF7161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0.300</w:t>
            </w:r>
          </w:p>
        </w:tc>
        <w:tc>
          <w:tcPr>
            <w:tcW w:w="0" w:type="auto"/>
            <w:tcBorders>
              <w:top w:val="nil"/>
              <w:left w:val="nil"/>
              <w:bottom w:val="nil"/>
              <w:right w:val="nil"/>
            </w:tcBorders>
            <w:shd w:val="clear" w:color="auto" w:fill="auto"/>
            <w:noWrap/>
            <w:vAlign w:val="center"/>
            <w:hideMark/>
          </w:tcPr>
          <w:p w14:paraId="21168FC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[–0.433, 0.743]</w:t>
            </w:r>
          </w:p>
        </w:tc>
        <w:tc>
          <w:tcPr>
            <w:tcW w:w="0" w:type="auto"/>
            <w:tcBorders>
              <w:top w:val="nil"/>
              <w:left w:val="nil"/>
              <w:bottom w:val="nil"/>
              <w:right w:val="nil"/>
            </w:tcBorders>
            <w:shd w:val="clear" w:color="auto" w:fill="auto"/>
            <w:noWrap/>
            <w:vAlign w:val="center"/>
            <w:hideMark/>
          </w:tcPr>
          <w:p w14:paraId="7996739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BDD982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F23462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2747C15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6D087F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8FCB70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r>
      <w:tr w:rsidR="00F30B53" w:rsidRPr="00F30B53" w14:paraId="6FEB9BA2" w14:textId="77777777" w:rsidTr="00F30B53">
        <w:trPr>
          <w:trHeight w:val="215"/>
        </w:trPr>
        <w:tc>
          <w:tcPr>
            <w:tcW w:w="0" w:type="auto"/>
            <w:tcBorders>
              <w:top w:val="nil"/>
              <w:left w:val="nil"/>
              <w:bottom w:val="nil"/>
              <w:right w:val="nil"/>
            </w:tcBorders>
            <w:shd w:val="clear" w:color="auto" w:fill="auto"/>
            <w:noWrap/>
            <w:vAlign w:val="bottom"/>
            <w:hideMark/>
          </w:tcPr>
          <w:p w14:paraId="3F3987C7"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Communication type-mixed</w:t>
            </w:r>
          </w:p>
        </w:tc>
        <w:tc>
          <w:tcPr>
            <w:tcW w:w="0" w:type="auto"/>
            <w:tcBorders>
              <w:top w:val="nil"/>
              <w:left w:val="nil"/>
              <w:bottom w:val="nil"/>
              <w:right w:val="nil"/>
            </w:tcBorders>
            <w:shd w:val="clear" w:color="auto" w:fill="auto"/>
            <w:noWrap/>
            <w:vAlign w:val="center"/>
            <w:hideMark/>
          </w:tcPr>
          <w:p w14:paraId="1D1AC06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0.585</w:t>
            </w:r>
          </w:p>
        </w:tc>
        <w:tc>
          <w:tcPr>
            <w:tcW w:w="0" w:type="auto"/>
            <w:tcBorders>
              <w:top w:val="nil"/>
              <w:left w:val="nil"/>
              <w:bottom w:val="nil"/>
              <w:right w:val="nil"/>
            </w:tcBorders>
            <w:shd w:val="clear" w:color="auto" w:fill="auto"/>
            <w:noWrap/>
            <w:vAlign w:val="center"/>
            <w:hideMark/>
          </w:tcPr>
          <w:p w14:paraId="2654D4F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0.460</w:t>
            </w:r>
          </w:p>
        </w:tc>
        <w:tc>
          <w:tcPr>
            <w:tcW w:w="0" w:type="auto"/>
            <w:tcBorders>
              <w:top w:val="nil"/>
              <w:left w:val="nil"/>
              <w:bottom w:val="nil"/>
              <w:right w:val="nil"/>
            </w:tcBorders>
            <w:shd w:val="clear" w:color="auto" w:fill="auto"/>
            <w:noWrap/>
            <w:vAlign w:val="center"/>
            <w:hideMark/>
          </w:tcPr>
          <w:p w14:paraId="1F7BBB0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[–0.318, 1.488]</w:t>
            </w:r>
          </w:p>
        </w:tc>
        <w:tc>
          <w:tcPr>
            <w:tcW w:w="0" w:type="auto"/>
            <w:tcBorders>
              <w:top w:val="nil"/>
              <w:left w:val="nil"/>
              <w:bottom w:val="nil"/>
              <w:right w:val="nil"/>
            </w:tcBorders>
            <w:shd w:val="clear" w:color="auto" w:fill="auto"/>
            <w:noWrap/>
            <w:vAlign w:val="center"/>
            <w:hideMark/>
          </w:tcPr>
          <w:p w14:paraId="68C2386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7DFAD13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A38DFE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2F19DD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5A42336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38BAC38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r>
      <w:tr w:rsidR="00F30B53" w:rsidRPr="00F30B53" w14:paraId="3683C48B" w14:textId="77777777" w:rsidTr="00F30B53">
        <w:trPr>
          <w:trHeight w:val="215"/>
        </w:trPr>
        <w:tc>
          <w:tcPr>
            <w:tcW w:w="0" w:type="auto"/>
            <w:tcBorders>
              <w:top w:val="nil"/>
              <w:left w:val="nil"/>
              <w:bottom w:val="nil"/>
              <w:right w:val="nil"/>
            </w:tcBorders>
            <w:shd w:val="clear" w:color="auto" w:fill="auto"/>
            <w:noWrap/>
            <w:vAlign w:val="bottom"/>
            <w:hideMark/>
          </w:tcPr>
          <w:p w14:paraId="3CBE7948" w14:textId="06771FA7" w:rsidR="00F30B53" w:rsidRPr="00F30B53" w:rsidRDefault="00627501" w:rsidP="00F30B53">
            <w:pPr>
              <w:spacing w:line="240" w:lineRule="auto"/>
              <w:ind w:firstLineChars="200" w:firstLine="320"/>
              <w:rPr>
                <w:rFonts w:eastAsia="Times New Roman" w:cs="Times New Roman"/>
                <w:color w:val="000000"/>
                <w:sz w:val="16"/>
                <w:szCs w:val="16"/>
                <w:lang w:val="en-GB" w:eastAsia="zh-CN"/>
              </w:rPr>
            </w:pPr>
            <w:r>
              <w:rPr>
                <w:rFonts w:eastAsia="Times New Roman" w:cs="Times New Roman"/>
                <w:color w:val="000000"/>
                <w:sz w:val="16"/>
                <w:szCs w:val="16"/>
                <w:lang w:val="en-GB" w:eastAsia="zh-CN"/>
              </w:rPr>
              <w:t>Matching design</w:t>
            </w:r>
            <w:r w:rsidR="00F30B53" w:rsidRPr="00F30B53">
              <w:rPr>
                <w:rFonts w:eastAsia="Times New Roman" w:cs="Times New Roman"/>
                <w:color w:val="000000"/>
                <w:sz w:val="16"/>
                <w:szCs w:val="16"/>
                <w:lang w:val="en-GB" w:eastAsia="zh-CN"/>
              </w:rPr>
              <w:t>-</w:t>
            </w:r>
            <w:r>
              <w:rPr>
                <w:rFonts w:eastAsia="Times New Roman" w:cs="Times New Roman"/>
                <w:color w:val="000000"/>
                <w:sz w:val="16"/>
                <w:szCs w:val="16"/>
                <w:lang w:val="en-GB" w:eastAsia="zh-CN"/>
              </w:rPr>
              <w:t>partner</w:t>
            </w:r>
          </w:p>
        </w:tc>
        <w:tc>
          <w:tcPr>
            <w:tcW w:w="0" w:type="auto"/>
            <w:tcBorders>
              <w:top w:val="nil"/>
              <w:left w:val="nil"/>
              <w:bottom w:val="nil"/>
              <w:right w:val="nil"/>
            </w:tcBorders>
            <w:shd w:val="clear" w:color="auto" w:fill="auto"/>
            <w:noWrap/>
            <w:vAlign w:val="center"/>
            <w:hideMark/>
          </w:tcPr>
          <w:p w14:paraId="723F9A7E" w14:textId="77777777" w:rsidR="00F30B53" w:rsidRPr="00F30B53" w:rsidRDefault="00F30B53" w:rsidP="00F30B53">
            <w:pPr>
              <w:spacing w:line="240" w:lineRule="auto"/>
              <w:jc w:val="center"/>
              <w:rPr>
                <w:rFonts w:eastAsia="Times New Roman" w:cs="Times New Roman"/>
                <w:sz w:val="16"/>
                <w:szCs w:val="16"/>
                <w:lang w:val="en-GB" w:eastAsia="zh-CN"/>
              </w:rPr>
            </w:pPr>
            <w:r w:rsidRPr="00F30B53">
              <w:rPr>
                <w:rFonts w:eastAsia="Times New Roman" w:cs="Times New Roman"/>
                <w:sz w:val="16"/>
                <w:szCs w:val="16"/>
                <w:lang w:val="en-GB" w:eastAsia="zh-CN"/>
              </w:rPr>
              <w:t>–0.221</w:t>
            </w:r>
          </w:p>
        </w:tc>
        <w:tc>
          <w:tcPr>
            <w:tcW w:w="0" w:type="auto"/>
            <w:tcBorders>
              <w:top w:val="nil"/>
              <w:left w:val="nil"/>
              <w:bottom w:val="nil"/>
              <w:right w:val="nil"/>
            </w:tcBorders>
            <w:shd w:val="clear" w:color="auto" w:fill="auto"/>
            <w:noWrap/>
            <w:vAlign w:val="center"/>
            <w:hideMark/>
          </w:tcPr>
          <w:p w14:paraId="0D16BDBA" w14:textId="77777777" w:rsidR="00F30B53" w:rsidRPr="00F30B53" w:rsidRDefault="00F30B53" w:rsidP="00F30B53">
            <w:pPr>
              <w:spacing w:line="240" w:lineRule="auto"/>
              <w:jc w:val="center"/>
              <w:rPr>
                <w:rFonts w:eastAsia="Times New Roman" w:cs="Times New Roman"/>
                <w:sz w:val="16"/>
                <w:szCs w:val="16"/>
                <w:lang w:val="en-GB" w:eastAsia="zh-CN"/>
              </w:rPr>
            </w:pPr>
            <w:r w:rsidRPr="00F30B53">
              <w:rPr>
                <w:rFonts w:eastAsia="Times New Roman" w:cs="Times New Roman"/>
                <w:sz w:val="16"/>
                <w:szCs w:val="16"/>
                <w:lang w:val="en-GB" w:eastAsia="zh-CN"/>
              </w:rPr>
              <w:t>0.116</w:t>
            </w:r>
          </w:p>
        </w:tc>
        <w:tc>
          <w:tcPr>
            <w:tcW w:w="0" w:type="auto"/>
            <w:tcBorders>
              <w:top w:val="nil"/>
              <w:left w:val="nil"/>
              <w:bottom w:val="nil"/>
              <w:right w:val="nil"/>
            </w:tcBorders>
            <w:shd w:val="clear" w:color="auto" w:fill="auto"/>
            <w:noWrap/>
            <w:vAlign w:val="center"/>
            <w:hideMark/>
          </w:tcPr>
          <w:p w14:paraId="3C79360D" w14:textId="77777777" w:rsidR="00F30B53" w:rsidRPr="00F30B53" w:rsidRDefault="00F30B53" w:rsidP="00F30B53">
            <w:pPr>
              <w:spacing w:line="240" w:lineRule="auto"/>
              <w:jc w:val="center"/>
              <w:rPr>
                <w:rFonts w:eastAsia="Times New Roman" w:cs="Times New Roman"/>
                <w:sz w:val="16"/>
                <w:szCs w:val="16"/>
                <w:lang w:val="en-GB" w:eastAsia="zh-CN"/>
              </w:rPr>
            </w:pPr>
            <w:r w:rsidRPr="00F30B53">
              <w:rPr>
                <w:rFonts w:eastAsia="Times New Roman" w:cs="Times New Roman"/>
                <w:sz w:val="16"/>
                <w:szCs w:val="16"/>
                <w:lang w:val="en-GB" w:eastAsia="zh-CN"/>
              </w:rPr>
              <w:t>[–0.448, 0.006]</w:t>
            </w:r>
          </w:p>
        </w:tc>
        <w:tc>
          <w:tcPr>
            <w:tcW w:w="0" w:type="auto"/>
            <w:tcBorders>
              <w:top w:val="nil"/>
              <w:left w:val="nil"/>
              <w:bottom w:val="nil"/>
              <w:right w:val="nil"/>
            </w:tcBorders>
            <w:shd w:val="clear" w:color="auto" w:fill="auto"/>
            <w:noWrap/>
            <w:vAlign w:val="center"/>
            <w:hideMark/>
          </w:tcPr>
          <w:p w14:paraId="111B746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–0.057</w:t>
            </w:r>
          </w:p>
        </w:tc>
        <w:tc>
          <w:tcPr>
            <w:tcW w:w="0" w:type="auto"/>
            <w:tcBorders>
              <w:top w:val="nil"/>
              <w:left w:val="nil"/>
              <w:bottom w:val="nil"/>
              <w:right w:val="nil"/>
            </w:tcBorders>
            <w:shd w:val="clear" w:color="auto" w:fill="auto"/>
            <w:noWrap/>
            <w:vAlign w:val="center"/>
            <w:hideMark/>
          </w:tcPr>
          <w:p w14:paraId="654C770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0.109</w:t>
            </w:r>
          </w:p>
        </w:tc>
        <w:tc>
          <w:tcPr>
            <w:tcW w:w="0" w:type="auto"/>
            <w:tcBorders>
              <w:top w:val="nil"/>
              <w:left w:val="nil"/>
              <w:bottom w:val="nil"/>
              <w:right w:val="nil"/>
            </w:tcBorders>
            <w:shd w:val="clear" w:color="auto" w:fill="auto"/>
            <w:noWrap/>
            <w:vAlign w:val="center"/>
            <w:hideMark/>
          </w:tcPr>
          <w:p w14:paraId="417FB79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[–0.271, 0.157]</w:t>
            </w:r>
          </w:p>
        </w:tc>
        <w:tc>
          <w:tcPr>
            <w:tcW w:w="0" w:type="auto"/>
            <w:tcBorders>
              <w:top w:val="nil"/>
              <w:left w:val="nil"/>
              <w:bottom w:val="nil"/>
              <w:right w:val="nil"/>
            </w:tcBorders>
            <w:shd w:val="clear" w:color="auto" w:fill="auto"/>
            <w:noWrap/>
            <w:vAlign w:val="center"/>
            <w:hideMark/>
          </w:tcPr>
          <w:p w14:paraId="5BB3DAF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0.051</w:t>
            </w:r>
          </w:p>
        </w:tc>
        <w:tc>
          <w:tcPr>
            <w:tcW w:w="0" w:type="auto"/>
            <w:tcBorders>
              <w:top w:val="nil"/>
              <w:left w:val="nil"/>
              <w:bottom w:val="nil"/>
              <w:right w:val="nil"/>
            </w:tcBorders>
            <w:shd w:val="clear" w:color="auto" w:fill="auto"/>
            <w:noWrap/>
            <w:vAlign w:val="center"/>
            <w:hideMark/>
          </w:tcPr>
          <w:p w14:paraId="1DE4739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0.192</w:t>
            </w:r>
          </w:p>
        </w:tc>
        <w:tc>
          <w:tcPr>
            <w:tcW w:w="0" w:type="auto"/>
            <w:tcBorders>
              <w:top w:val="nil"/>
              <w:left w:val="nil"/>
              <w:bottom w:val="nil"/>
              <w:right w:val="nil"/>
            </w:tcBorders>
            <w:shd w:val="clear" w:color="auto" w:fill="auto"/>
            <w:noWrap/>
            <w:vAlign w:val="center"/>
            <w:hideMark/>
          </w:tcPr>
          <w:p w14:paraId="6033990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[–0.326, 0.427]</w:t>
            </w:r>
          </w:p>
        </w:tc>
      </w:tr>
      <w:tr w:rsidR="00F30B53" w:rsidRPr="00F30B53" w14:paraId="04C944E0" w14:textId="77777777" w:rsidTr="00F30B53">
        <w:trPr>
          <w:trHeight w:val="215"/>
        </w:trPr>
        <w:tc>
          <w:tcPr>
            <w:tcW w:w="0" w:type="auto"/>
            <w:tcBorders>
              <w:top w:val="nil"/>
              <w:left w:val="nil"/>
              <w:bottom w:val="nil"/>
              <w:right w:val="nil"/>
            </w:tcBorders>
            <w:shd w:val="clear" w:color="auto" w:fill="auto"/>
            <w:noWrap/>
            <w:vAlign w:val="bottom"/>
            <w:hideMark/>
          </w:tcPr>
          <w:p w14:paraId="7817D824" w14:textId="0173301D" w:rsidR="00F30B53" w:rsidRPr="00F30B53" w:rsidRDefault="00627501" w:rsidP="00F30B53">
            <w:pPr>
              <w:spacing w:line="240" w:lineRule="auto"/>
              <w:ind w:firstLineChars="200" w:firstLine="320"/>
              <w:rPr>
                <w:rFonts w:eastAsia="Times New Roman" w:cs="Times New Roman"/>
                <w:color w:val="000000"/>
                <w:sz w:val="16"/>
                <w:szCs w:val="16"/>
                <w:lang w:val="en-GB" w:eastAsia="zh-CN"/>
              </w:rPr>
            </w:pPr>
            <w:r>
              <w:rPr>
                <w:rFonts w:eastAsia="Times New Roman" w:cs="Times New Roman"/>
                <w:color w:val="000000"/>
                <w:sz w:val="16"/>
                <w:szCs w:val="16"/>
                <w:lang w:val="en-GB" w:eastAsia="zh-CN"/>
              </w:rPr>
              <w:t>Matching design</w:t>
            </w:r>
            <w:r w:rsidR="00F30B53" w:rsidRPr="00F30B53">
              <w:rPr>
                <w:rFonts w:eastAsia="Times New Roman" w:cs="Times New Roman"/>
                <w:color w:val="000000"/>
                <w:sz w:val="16"/>
                <w:szCs w:val="16"/>
                <w:lang w:val="en-GB" w:eastAsia="zh-CN"/>
              </w:rPr>
              <w:t>-mixed</w:t>
            </w:r>
          </w:p>
        </w:tc>
        <w:tc>
          <w:tcPr>
            <w:tcW w:w="0" w:type="auto"/>
            <w:tcBorders>
              <w:top w:val="nil"/>
              <w:left w:val="nil"/>
              <w:bottom w:val="nil"/>
              <w:right w:val="nil"/>
            </w:tcBorders>
            <w:shd w:val="clear" w:color="auto" w:fill="auto"/>
            <w:noWrap/>
            <w:vAlign w:val="center"/>
            <w:hideMark/>
          </w:tcPr>
          <w:p w14:paraId="45CBE081" w14:textId="77777777" w:rsidR="00F30B53" w:rsidRPr="00F30B53" w:rsidRDefault="00F30B53" w:rsidP="00F30B53">
            <w:pPr>
              <w:spacing w:line="240" w:lineRule="auto"/>
              <w:jc w:val="center"/>
              <w:rPr>
                <w:rFonts w:eastAsia="Times New Roman" w:cs="Times New Roman"/>
                <w:sz w:val="16"/>
                <w:szCs w:val="16"/>
                <w:lang w:val="en-GB" w:eastAsia="zh-CN"/>
              </w:rPr>
            </w:pPr>
            <w:r w:rsidRPr="00F30B53">
              <w:rPr>
                <w:rFonts w:eastAsia="Times New Roman" w:cs="Times New Roman"/>
                <w:sz w:val="16"/>
                <w:szCs w:val="16"/>
                <w:lang w:val="en-GB" w:eastAsia="zh-CN"/>
              </w:rPr>
              <w:t>–0.007</w:t>
            </w:r>
          </w:p>
        </w:tc>
        <w:tc>
          <w:tcPr>
            <w:tcW w:w="0" w:type="auto"/>
            <w:tcBorders>
              <w:top w:val="nil"/>
              <w:left w:val="nil"/>
              <w:bottom w:val="nil"/>
              <w:right w:val="nil"/>
            </w:tcBorders>
            <w:shd w:val="clear" w:color="auto" w:fill="auto"/>
            <w:noWrap/>
            <w:vAlign w:val="center"/>
            <w:hideMark/>
          </w:tcPr>
          <w:p w14:paraId="39707F6B" w14:textId="77777777" w:rsidR="00F30B53" w:rsidRPr="00F30B53" w:rsidRDefault="00F30B53" w:rsidP="00F30B53">
            <w:pPr>
              <w:spacing w:line="240" w:lineRule="auto"/>
              <w:jc w:val="center"/>
              <w:rPr>
                <w:rFonts w:eastAsia="Times New Roman" w:cs="Times New Roman"/>
                <w:sz w:val="16"/>
                <w:szCs w:val="16"/>
                <w:lang w:val="en-GB" w:eastAsia="zh-CN"/>
              </w:rPr>
            </w:pPr>
            <w:r w:rsidRPr="00F30B53">
              <w:rPr>
                <w:rFonts w:eastAsia="Times New Roman" w:cs="Times New Roman"/>
                <w:sz w:val="16"/>
                <w:szCs w:val="16"/>
                <w:lang w:val="en-GB" w:eastAsia="zh-CN"/>
              </w:rPr>
              <w:t>0.338</w:t>
            </w:r>
          </w:p>
        </w:tc>
        <w:tc>
          <w:tcPr>
            <w:tcW w:w="0" w:type="auto"/>
            <w:tcBorders>
              <w:top w:val="nil"/>
              <w:left w:val="nil"/>
              <w:bottom w:val="nil"/>
              <w:right w:val="nil"/>
            </w:tcBorders>
            <w:shd w:val="clear" w:color="auto" w:fill="auto"/>
            <w:noWrap/>
            <w:vAlign w:val="center"/>
            <w:hideMark/>
          </w:tcPr>
          <w:p w14:paraId="2BD4FB72" w14:textId="77777777" w:rsidR="00F30B53" w:rsidRPr="00F30B53" w:rsidRDefault="00F30B53" w:rsidP="00F30B53">
            <w:pPr>
              <w:spacing w:line="240" w:lineRule="auto"/>
              <w:jc w:val="center"/>
              <w:rPr>
                <w:rFonts w:eastAsia="Times New Roman" w:cs="Times New Roman"/>
                <w:sz w:val="16"/>
                <w:szCs w:val="16"/>
                <w:lang w:val="en-GB" w:eastAsia="zh-CN"/>
              </w:rPr>
            </w:pPr>
            <w:r w:rsidRPr="00F30B53">
              <w:rPr>
                <w:rFonts w:eastAsia="Times New Roman" w:cs="Times New Roman"/>
                <w:sz w:val="16"/>
                <w:szCs w:val="16"/>
                <w:lang w:val="en-GB" w:eastAsia="zh-CN"/>
              </w:rPr>
              <w:t>[–0.671, 0.656]</w:t>
            </w:r>
          </w:p>
        </w:tc>
        <w:tc>
          <w:tcPr>
            <w:tcW w:w="0" w:type="auto"/>
            <w:tcBorders>
              <w:top w:val="nil"/>
              <w:left w:val="nil"/>
              <w:bottom w:val="nil"/>
              <w:right w:val="nil"/>
            </w:tcBorders>
            <w:shd w:val="clear" w:color="auto" w:fill="auto"/>
            <w:noWrap/>
            <w:vAlign w:val="center"/>
            <w:hideMark/>
          </w:tcPr>
          <w:p w14:paraId="24BF1A8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0.103</w:t>
            </w:r>
          </w:p>
        </w:tc>
        <w:tc>
          <w:tcPr>
            <w:tcW w:w="0" w:type="auto"/>
            <w:tcBorders>
              <w:top w:val="nil"/>
              <w:left w:val="nil"/>
              <w:bottom w:val="nil"/>
              <w:right w:val="nil"/>
            </w:tcBorders>
            <w:shd w:val="clear" w:color="auto" w:fill="auto"/>
            <w:noWrap/>
            <w:vAlign w:val="center"/>
            <w:hideMark/>
          </w:tcPr>
          <w:p w14:paraId="5268BBC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0.299</w:t>
            </w:r>
          </w:p>
        </w:tc>
        <w:tc>
          <w:tcPr>
            <w:tcW w:w="0" w:type="auto"/>
            <w:tcBorders>
              <w:top w:val="nil"/>
              <w:left w:val="nil"/>
              <w:bottom w:val="nil"/>
              <w:right w:val="nil"/>
            </w:tcBorders>
            <w:shd w:val="clear" w:color="auto" w:fill="auto"/>
            <w:noWrap/>
            <w:vAlign w:val="center"/>
            <w:hideMark/>
          </w:tcPr>
          <w:p w14:paraId="16F79C6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[–0.483, 0.690]</w:t>
            </w:r>
          </w:p>
        </w:tc>
        <w:tc>
          <w:tcPr>
            <w:tcW w:w="0" w:type="auto"/>
            <w:tcBorders>
              <w:top w:val="nil"/>
              <w:left w:val="nil"/>
              <w:bottom w:val="nil"/>
              <w:right w:val="nil"/>
            </w:tcBorders>
            <w:shd w:val="clear" w:color="auto" w:fill="auto"/>
            <w:noWrap/>
            <w:vAlign w:val="center"/>
            <w:hideMark/>
          </w:tcPr>
          <w:p w14:paraId="3436F0B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–0.411</w:t>
            </w:r>
          </w:p>
        </w:tc>
        <w:tc>
          <w:tcPr>
            <w:tcW w:w="0" w:type="auto"/>
            <w:tcBorders>
              <w:top w:val="nil"/>
              <w:left w:val="nil"/>
              <w:bottom w:val="nil"/>
              <w:right w:val="nil"/>
            </w:tcBorders>
            <w:shd w:val="clear" w:color="auto" w:fill="auto"/>
            <w:noWrap/>
            <w:vAlign w:val="center"/>
            <w:hideMark/>
          </w:tcPr>
          <w:p w14:paraId="3ABE185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0.314</w:t>
            </w:r>
          </w:p>
        </w:tc>
        <w:tc>
          <w:tcPr>
            <w:tcW w:w="0" w:type="auto"/>
            <w:tcBorders>
              <w:top w:val="nil"/>
              <w:left w:val="nil"/>
              <w:bottom w:val="nil"/>
              <w:right w:val="nil"/>
            </w:tcBorders>
            <w:shd w:val="clear" w:color="auto" w:fill="auto"/>
            <w:noWrap/>
            <w:vAlign w:val="center"/>
            <w:hideMark/>
          </w:tcPr>
          <w:p w14:paraId="29B7A1D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[–1.027, 0.206]</w:t>
            </w:r>
          </w:p>
        </w:tc>
      </w:tr>
      <w:tr w:rsidR="00F30B53" w:rsidRPr="00F30B53" w14:paraId="1FD690BB" w14:textId="77777777" w:rsidTr="00F30B53">
        <w:trPr>
          <w:trHeight w:val="215"/>
        </w:trPr>
        <w:tc>
          <w:tcPr>
            <w:tcW w:w="0" w:type="auto"/>
            <w:tcBorders>
              <w:top w:val="nil"/>
              <w:left w:val="nil"/>
              <w:bottom w:val="nil"/>
              <w:right w:val="nil"/>
            </w:tcBorders>
            <w:shd w:val="clear" w:color="auto" w:fill="auto"/>
            <w:noWrap/>
            <w:vAlign w:val="bottom"/>
            <w:hideMark/>
          </w:tcPr>
          <w:p w14:paraId="3863F195"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Symmetry-symmetric</w:t>
            </w:r>
          </w:p>
        </w:tc>
        <w:tc>
          <w:tcPr>
            <w:tcW w:w="0" w:type="auto"/>
            <w:tcBorders>
              <w:top w:val="nil"/>
              <w:left w:val="nil"/>
              <w:bottom w:val="nil"/>
              <w:right w:val="nil"/>
            </w:tcBorders>
            <w:shd w:val="clear" w:color="auto" w:fill="auto"/>
            <w:noWrap/>
            <w:vAlign w:val="center"/>
            <w:hideMark/>
          </w:tcPr>
          <w:p w14:paraId="6D37C16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0.049</w:t>
            </w:r>
          </w:p>
        </w:tc>
        <w:tc>
          <w:tcPr>
            <w:tcW w:w="0" w:type="auto"/>
            <w:tcBorders>
              <w:top w:val="nil"/>
              <w:left w:val="nil"/>
              <w:bottom w:val="nil"/>
              <w:right w:val="nil"/>
            </w:tcBorders>
            <w:shd w:val="clear" w:color="auto" w:fill="auto"/>
            <w:noWrap/>
            <w:vAlign w:val="center"/>
            <w:hideMark/>
          </w:tcPr>
          <w:p w14:paraId="0F03C2A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0.073</w:t>
            </w:r>
          </w:p>
        </w:tc>
        <w:tc>
          <w:tcPr>
            <w:tcW w:w="0" w:type="auto"/>
            <w:tcBorders>
              <w:top w:val="nil"/>
              <w:left w:val="nil"/>
              <w:bottom w:val="nil"/>
              <w:right w:val="nil"/>
            </w:tcBorders>
            <w:shd w:val="clear" w:color="auto" w:fill="auto"/>
            <w:noWrap/>
            <w:vAlign w:val="center"/>
            <w:hideMark/>
          </w:tcPr>
          <w:p w14:paraId="1E4F043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[–0.093, 0.191]</w:t>
            </w:r>
          </w:p>
        </w:tc>
        <w:tc>
          <w:tcPr>
            <w:tcW w:w="0" w:type="auto"/>
            <w:tcBorders>
              <w:top w:val="nil"/>
              <w:left w:val="nil"/>
              <w:bottom w:val="nil"/>
              <w:right w:val="nil"/>
            </w:tcBorders>
            <w:shd w:val="clear" w:color="auto" w:fill="auto"/>
            <w:noWrap/>
            <w:vAlign w:val="center"/>
            <w:hideMark/>
          </w:tcPr>
          <w:p w14:paraId="586093E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0.051</w:t>
            </w:r>
          </w:p>
        </w:tc>
        <w:tc>
          <w:tcPr>
            <w:tcW w:w="0" w:type="auto"/>
            <w:tcBorders>
              <w:top w:val="nil"/>
              <w:left w:val="nil"/>
              <w:bottom w:val="nil"/>
              <w:right w:val="nil"/>
            </w:tcBorders>
            <w:shd w:val="clear" w:color="auto" w:fill="auto"/>
            <w:noWrap/>
            <w:vAlign w:val="center"/>
            <w:hideMark/>
          </w:tcPr>
          <w:p w14:paraId="0C1614E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0.073</w:t>
            </w:r>
          </w:p>
        </w:tc>
        <w:tc>
          <w:tcPr>
            <w:tcW w:w="0" w:type="auto"/>
            <w:tcBorders>
              <w:top w:val="nil"/>
              <w:left w:val="nil"/>
              <w:bottom w:val="nil"/>
              <w:right w:val="nil"/>
            </w:tcBorders>
            <w:shd w:val="clear" w:color="auto" w:fill="auto"/>
            <w:noWrap/>
            <w:vAlign w:val="center"/>
            <w:hideMark/>
          </w:tcPr>
          <w:p w14:paraId="462CA68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[–0.092, 0.194]</w:t>
            </w:r>
          </w:p>
        </w:tc>
        <w:tc>
          <w:tcPr>
            <w:tcW w:w="0" w:type="auto"/>
            <w:tcBorders>
              <w:top w:val="nil"/>
              <w:left w:val="nil"/>
              <w:bottom w:val="nil"/>
              <w:right w:val="nil"/>
            </w:tcBorders>
            <w:shd w:val="clear" w:color="auto" w:fill="auto"/>
            <w:noWrap/>
            <w:vAlign w:val="center"/>
            <w:hideMark/>
          </w:tcPr>
          <w:p w14:paraId="39FE57C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0.047</w:t>
            </w:r>
          </w:p>
        </w:tc>
        <w:tc>
          <w:tcPr>
            <w:tcW w:w="0" w:type="auto"/>
            <w:tcBorders>
              <w:top w:val="nil"/>
              <w:left w:val="nil"/>
              <w:bottom w:val="nil"/>
              <w:right w:val="nil"/>
            </w:tcBorders>
            <w:shd w:val="clear" w:color="auto" w:fill="auto"/>
            <w:noWrap/>
            <w:vAlign w:val="center"/>
            <w:hideMark/>
          </w:tcPr>
          <w:p w14:paraId="6D79232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0.073</w:t>
            </w:r>
          </w:p>
        </w:tc>
        <w:tc>
          <w:tcPr>
            <w:tcW w:w="0" w:type="auto"/>
            <w:tcBorders>
              <w:top w:val="nil"/>
              <w:left w:val="nil"/>
              <w:bottom w:val="nil"/>
              <w:right w:val="nil"/>
            </w:tcBorders>
            <w:shd w:val="clear" w:color="auto" w:fill="auto"/>
            <w:noWrap/>
            <w:vAlign w:val="center"/>
            <w:hideMark/>
          </w:tcPr>
          <w:p w14:paraId="5B45CD0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[–0.096, 0.190]</w:t>
            </w:r>
          </w:p>
        </w:tc>
      </w:tr>
      <w:tr w:rsidR="00F30B53" w:rsidRPr="00F30B53" w14:paraId="02D2317E" w14:textId="77777777" w:rsidTr="00F30B53">
        <w:trPr>
          <w:trHeight w:val="215"/>
        </w:trPr>
        <w:tc>
          <w:tcPr>
            <w:tcW w:w="0" w:type="auto"/>
            <w:tcBorders>
              <w:top w:val="nil"/>
              <w:left w:val="nil"/>
              <w:bottom w:val="nil"/>
              <w:right w:val="nil"/>
            </w:tcBorders>
            <w:shd w:val="clear" w:color="auto" w:fill="auto"/>
            <w:noWrap/>
            <w:vAlign w:val="bottom"/>
            <w:hideMark/>
          </w:tcPr>
          <w:p w14:paraId="057B28F5"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Symmetry-mixed</w:t>
            </w:r>
          </w:p>
        </w:tc>
        <w:tc>
          <w:tcPr>
            <w:tcW w:w="0" w:type="auto"/>
            <w:tcBorders>
              <w:top w:val="nil"/>
              <w:left w:val="nil"/>
              <w:bottom w:val="nil"/>
              <w:right w:val="nil"/>
            </w:tcBorders>
            <w:shd w:val="clear" w:color="auto" w:fill="auto"/>
            <w:noWrap/>
            <w:vAlign w:val="center"/>
            <w:hideMark/>
          </w:tcPr>
          <w:p w14:paraId="60DEFC5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–0.229</w:t>
            </w:r>
          </w:p>
        </w:tc>
        <w:tc>
          <w:tcPr>
            <w:tcW w:w="0" w:type="auto"/>
            <w:tcBorders>
              <w:top w:val="nil"/>
              <w:left w:val="nil"/>
              <w:bottom w:val="nil"/>
              <w:right w:val="nil"/>
            </w:tcBorders>
            <w:shd w:val="clear" w:color="auto" w:fill="auto"/>
            <w:noWrap/>
            <w:vAlign w:val="center"/>
            <w:hideMark/>
          </w:tcPr>
          <w:p w14:paraId="6584994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0.144</w:t>
            </w:r>
          </w:p>
        </w:tc>
        <w:tc>
          <w:tcPr>
            <w:tcW w:w="0" w:type="auto"/>
            <w:tcBorders>
              <w:top w:val="nil"/>
              <w:left w:val="nil"/>
              <w:bottom w:val="nil"/>
              <w:right w:val="nil"/>
            </w:tcBorders>
            <w:shd w:val="clear" w:color="auto" w:fill="auto"/>
            <w:noWrap/>
            <w:vAlign w:val="center"/>
            <w:hideMark/>
          </w:tcPr>
          <w:p w14:paraId="2AF9580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[–0.512, 0.054]</w:t>
            </w:r>
          </w:p>
        </w:tc>
        <w:tc>
          <w:tcPr>
            <w:tcW w:w="0" w:type="auto"/>
            <w:tcBorders>
              <w:top w:val="nil"/>
              <w:left w:val="nil"/>
              <w:bottom w:val="nil"/>
              <w:right w:val="nil"/>
            </w:tcBorders>
            <w:shd w:val="clear" w:color="auto" w:fill="auto"/>
            <w:noWrap/>
            <w:vAlign w:val="center"/>
            <w:hideMark/>
          </w:tcPr>
          <w:p w14:paraId="3AB26AC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–0.218</w:t>
            </w:r>
          </w:p>
        </w:tc>
        <w:tc>
          <w:tcPr>
            <w:tcW w:w="0" w:type="auto"/>
            <w:tcBorders>
              <w:top w:val="nil"/>
              <w:left w:val="nil"/>
              <w:bottom w:val="nil"/>
              <w:right w:val="nil"/>
            </w:tcBorders>
            <w:shd w:val="clear" w:color="auto" w:fill="auto"/>
            <w:noWrap/>
            <w:vAlign w:val="center"/>
            <w:hideMark/>
          </w:tcPr>
          <w:p w14:paraId="69B6CED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0.145</w:t>
            </w:r>
          </w:p>
        </w:tc>
        <w:tc>
          <w:tcPr>
            <w:tcW w:w="0" w:type="auto"/>
            <w:tcBorders>
              <w:top w:val="nil"/>
              <w:left w:val="nil"/>
              <w:bottom w:val="nil"/>
              <w:right w:val="nil"/>
            </w:tcBorders>
            <w:shd w:val="clear" w:color="auto" w:fill="auto"/>
            <w:noWrap/>
            <w:vAlign w:val="center"/>
            <w:hideMark/>
          </w:tcPr>
          <w:p w14:paraId="2529448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[–0.503, 0.067]</w:t>
            </w:r>
          </w:p>
        </w:tc>
        <w:tc>
          <w:tcPr>
            <w:tcW w:w="0" w:type="auto"/>
            <w:tcBorders>
              <w:top w:val="nil"/>
              <w:left w:val="nil"/>
              <w:bottom w:val="nil"/>
              <w:right w:val="nil"/>
            </w:tcBorders>
            <w:shd w:val="clear" w:color="auto" w:fill="auto"/>
            <w:noWrap/>
            <w:vAlign w:val="center"/>
            <w:hideMark/>
          </w:tcPr>
          <w:p w14:paraId="3B36BAA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–0.222</w:t>
            </w:r>
          </w:p>
        </w:tc>
        <w:tc>
          <w:tcPr>
            <w:tcW w:w="0" w:type="auto"/>
            <w:tcBorders>
              <w:top w:val="nil"/>
              <w:left w:val="nil"/>
              <w:bottom w:val="nil"/>
              <w:right w:val="nil"/>
            </w:tcBorders>
            <w:shd w:val="clear" w:color="auto" w:fill="auto"/>
            <w:noWrap/>
            <w:vAlign w:val="center"/>
            <w:hideMark/>
          </w:tcPr>
          <w:p w14:paraId="3DA3305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0.145</w:t>
            </w:r>
          </w:p>
        </w:tc>
        <w:tc>
          <w:tcPr>
            <w:tcW w:w="0" w:type="auto"/>
            <w:tcBorders>
              <w:top w:val="nil"/>
              <w:left w:val="nil"/>
              <w:bottom w:val="nil"/>
              <w:right w:val="nil"/>
            </w:tcBorders>
            <w:shd w:val="clear" w:color="auto" w:fill="auto"/>
            <w:noWrap/>
            <w:vAlign w:val="center"/>
            <w:hideMark/>
          </w:tcPr>
          <w:p w14:paraId="3882891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[–0.506, 0.062]</w:t>
            </w:r>
          </w:p>
        </w:tc>
      </w:tr>
      <w:tr w:rsidR="00F30B53" w:rsidRPr="00F30B53" w14:paraId="4F3E2141" w14:textId="77777777" w:rsidTr="00F30B53">
        <w:trPr>
          <w:trHeight w:val="215"/>
        </w:trPr>
        <w:tc>
          <w:tcPr>
            <w:tcW w:w="0" w:type="auto"/>
            <w:tcBorders>
              <w:top w:val="nil"/>
              <w:left w:val="nil"/>
              <w:bottom w:val="nil"/>
              <w:right w:val="nil"/>
            </w:tcBorders>
            <w:shd w:val="clear" w:color="auto" w:fill="auto"/>
            <w:noWrap/>
            <w:vAlign w:val="bottom"/>
            <w:hideMark/>
          </w:tcPr>
          <w:p w14:paraId="54C16518"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proofErr w:type="spellStart"/>
            <w:r w:rsidRPr="00F30B53">
              <w:rPr>
                <w:rFonts w:eastAsia="Times New Roman" w:cs="Times New Roman"/>
                <w:color w:val="000000"/>
                <w:sz w:val="16"/>
                <w:szCs w:val="16"/>
                <w:lang w:val="en-GB" w:eastAsia="zh-CN"/>
              </w:rPr>
              <w:t>Sequentiality</w:t>
            </w:r>
            <w:proofErr w:type="spellEnd"/>
            <w:r w:rsidRPr="00F30B53">
              <w:rPr>
                <w:rFonts w:eastAsia="Times New Roman" w:cs="Times New Roman"/>
                <w:color w:val="000000"/>
                <w:sz w:val="16"/>
                <w:szCs w:val="16"/>
                <w:lang w:val="en-GB" w:eastAsia="zh-CN"/>
              </w:rPr>
              <w:t>-simultaneous</w:t>
            </w:r>
          </w:p>
        </w:tc>
        <w:tc>
          <w:tcPr>
            <w:tcW w:w="0" w:type="auto"/>
            <w:tcBorders>
              <w:top w:val="nil"/>
              <w:left w:val="nil"/>
              <w:bottom w:val="nil"/>
              <w:right w:val="nil"/>
            </w:tcBorders>
            <w:shd w:val="clear" w:color="auto" w:fill="auto"/>
            <w:noWrap/>
            <w:vAlign w:val="center"/>
            <w:hideMark/>
          </w:tcPr>
          <w:p w14:paraId="1A503E0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0.041</w:t>
            </w:r>
          </w:p>
        </w:tc>
        <w:tc>
          <w:tcPr>
            <w:tcW w:w="0" w:type="auto"/>
            <w:tcBorders>
              <w:top w:val="nil"/>
              <w:left w:val="nil"/>
              <w:bottom w:val="nil"/>
              <w:right w:val="nil"/>
            </w:tcBorders>
            <w:shd w:val="clear" w:color="auto" w:fill="auto"/>
            <w:noWrap/>
            <w:vAlign w:val="center"/>
            <w:hideMark/>
          </w:tcPr>
          <w:p w14:paraId="1367BFF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0.065</w:t>
            </w:r>
          </w:p>
        </w:tc>
        <w:tc>
          <w:tcPr>
            <w:tcW w:w="0" w:type="auto"/>
            <w:tcBorders>
              <w:top w:val="nil"/>
              <w:left w:val="nil"/>
              <w:bottom w:val="nil"/>
              <w:right w:val="nil"/>
            </w:tcBorders>
            <w:shd w:val="clear" w:color="auto" w:fill="auto"/>
            <w:noWrap/>
            <w:vAlign w:val="center"/>
            <w:hideMark/>
          </w:tcPr>
          <w:p w14:paraId="0E3C86D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[–0.086, 0.168]</w:t>
            </w:r>
          </w:p>
        </w:tc>
        <w:tc>
          <w:tcPr>
            <w:tcW w:w="0" w:type="auto"/>
            <w:tcBorders>
              <w:top w:val="nil"/>
              <w:left w:val="nil"/>
              <w:bottom w:val="nil"/>
              <w:right w:val="nil"/>
            </w:tcBorders>
            <w:shd w:val="clear" w:color="auto" w:fill="auto"/>
            <w:noWrap/>
            <w:vAlign w:val="center"/>
            <w:hideMark/>
          </w:tcPr>
          <w:p w14:paraId="430E396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0.070</w:t>
            </w:r>
          </w:p>
        </w:tc>
        <w:tc>
          <w:tcPr>
            <w:tcW w:w="0" w:type="auto"/>
            <w:tcBorders>
              <w:top w:val="nil"/>
              <w:left w:val="nil"/>
              <w:bottom w:val="nil"/>
              <w:right w:val="nil"/>
            </w:tcBorders>
            <w:shd w:val="clear" w:color="auto" w:fill="auto"/>
            <w:noWrap/>
            <w:vAlign w:val="center"/>
            <w:hideMark/>
          </w:tcPr>
          <w:p w14:paraId="13BD06F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0.065</w:t>
            </w:r>
          </w:p>
        </w:tc>
        <w:tc>
          <w:tcPr>
            <w:tcW w:w="0" w:type="auto"/>
            <w:tcBorders>
              <w:top w:val="nil"/>
              <w:left w:val="nil"/>
              <w:bottom w:val="nil"/>
              <w:right w:val="nil"/>
            </w:tcBorders>
            <w:shd w:val="clear" w:color="auto" w:fill="auto"/>
            <w:noWrap/>
            <w:vAlign w:val="center"/>
            <w:hideMark/>
          </w:tcPr>
          <w:p w14:paraId="55C06CA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[–0.058, 0.198]</w:t>
            </w:r>
          </w:p>
        </w:tc>
        <w:tc>
          <w:tcPr>
            <w:tcW w:w="0" w:type="auto"/>
            <w:tcBorders>
              <w:top w:val="nil"/>
              <w:left w:val="nil"/>
              <w:bottom w:val="nil"/>
              <w:right w:val="nil"/>
            </w:tcBorders>
            <w:shd w:val="clear" w:color="auto" w:fill="auto"/>
            <w:noWrap/>
            <w:vAlign w:val="center"/>
            <w:hideMark/>
          </w:tcPr>
          <w:p w14:paraId="5214E40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0.064</w:t>
            </w:r>
          </w:p>
        </w:tc>
        <w:tc>
          <w:tcPr>
            <w:tcW w:w="0" w:type="auto"/>
            <w:tcBorders>
              <w:top w:val="nil"/>
              <w:left w:val="nil"/>
              <w:bottom w:val="nil"/>
              <w:right w:val="nil"/>
            </w:tcBorders>
            <w:shd w:val="clear" w:color="auto" w:fill="auto"/>
            <w:noWrap/>
            <w:vAlign w:val="center"/>
            <w:hideMark/>
          </w:tcPr>
          <w:p w14:paraId="067C1A6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0.065</w:t>
            </w:r>
          </w:p>
        </w:tc>
        <w:tc>
          <w:tcPr>
            <w:tcW w:w="0" w:type="auto"/>
            <w:tcBorders>
              <w:top w:val="nil"/>
              <w:left w:val="nil"/>
              <w:bottom w:val="nil"/>
              <w:right w:val="nil"/>
            </w:tcBorders>
            <w:shd w:val="clear" w:color="auto" w:fill="auto"/>
            <w:noWrap/>
            <w:vAlign w:val="center"/>
            <w:hideMark/>
          </w:tcPr>
          <w:p w14:paraId="620E076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[–0.064, 0.191]</w:t>
            </w:r>
          </w:p>
        </w:tc>
      </w:tr>
      <w:tr w:rsidR="00F30B53" w:rsidRPr="00F30B53" w14:paraId="01AA0392" w14:textId="77777777" w:rsidTr="00F30B53">
        <w:trPr>
          <w:trHeight w:val="215"/>
        </w:trPr>
        <w:tc>
          <w:tcPr>
            <w:tcW w:w="0" w:type="auto"/>
            <w:tcBorders>
              <w:top w:val="nil"/>
              <w:left w:val="nil"/>
              <w:bottom w:val="nil"/>
              <w:right w:val="nil"/>
            </w:tcBorders>
            <w:shd w:val="clear" w:color="auto" w:fill="auto"/>
            <w:noWrap/>
            <w:vAlign w:val="bottom"/>
            <w:hideMark/>
          </w:tcPr>
          <w:p w14:paraId="1D8E8E9C"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proofErr w:type="spellStart"/>
            <w:r w:rsidRPr="00F30B53">
              <w:rPr>
                <w:rFonts w:eastAsia="Times New Roman" w:cs="Times New Roman"/>
                <w:color w:val="000000"/>
                <w:sz w:val="16"/>
                <w:szCs w:val="16"/>
                <w:lang w:val="en-GB" w:eastAsia="zh-CN"/>
              </w:rPr>
              <w:t>Sequentiality</w:t>
            </w:r>
            <w:proofErr w:type="spellEnd"/>
            <w:r w:rsidRPr="00F30B53">
              <w:rPr>
                <w:rFonts w:eastAsia="Times New Roman" w:cs="Times New Roman"/>
                <w:color w:val="000000"/>
                <w:sz w:val="16"/>
                <w:szCs w:val="16"/>
                <w:lang w:val="en-GB" w:eastAsia="zh-CN"/>
              </w:rPr>
              <w:t>-mixed</w:t>
            </w:r>
          </w:p>
        </w:tc>
        <w:tc>
          <w:tcPr>
            <w:tcW w:w="0" w:type="auto"/>
            <w:tcBorders>
              <w:top w:val="nil"/>
              <w:left w:val="nil"/>
              <w:bottom w:val="nil"/>
              <w:right w:val="nil"/>
            </w:tcBorders>
            <w:shd w:val="clear" w:color="auto" w:fill="auto"/>
            <w:noWrap/>
            <w:vAlign w:val="center"/>
            <w:hideMark/>
          </w:tcPr>
          <w:p w14:paraId="0101C1E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–0.038</w:t>
            </w:r>
          </w:p>
        </w:tc>
        <w:tc>
          <w:tcPr>
            <w:tcW w:w="0" w:type="auto"/>
            <w:tcBorders>
              <w:top w:val="nil"/>
              <w:left w:val="nil"/>
              <w:bottom w:val="nil"/>
              <w:right w:val="nil"/>
            </w:tcBorders>
            <w:shd w:val="clear" w:color="auto" w:fill="auto"/>
            <w:noWrap/>
            <w:vAlign w:val="center"/>
            <w:hideMark/>
          </w:tcPr>
          <w:p w14:paraId="3B787C7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0.135</w:t>
            </w:r>
          </w:p>
        </w:tc>
        <w:tc>
          <w:tcPr>
            <w:tcW w:w="0" w:type="auto"/>
            <w:tcBorders>
              <w:top w:val="nil"/>
              <w:left w:val="nil"/>
              <w:bottom w:val="nil"/>
              <w:right w:val="nil"/>
            </w:tcBorders>
            <w:shd w:val="clear" w:color="auto" w:fill="auto"/>
            <w:noWrap/>
            <w:vAlign w:val="center"/>
            <w:hideMark/>
          </w:tcPr>
          <w:p w14:paraId="184C520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[–0.303, 0.227]</w:t>
            </w:r>
          </w:p>
        </w:tc>
        <w:tc>
          <w:tcPr>
            <w:tcW w:w="0" w:type="auto"/>
            <w:tcBorders>
              <w:top w:val="nil"/>
              <w:left w:val="nil"/>
              <w:bottom w:val="nil"/>
              <w:right w:val="nil"/>
            </w:tcBorders>
            <w:shd w:val="clear" w:color="auto" w:fill="auto"/>
            <w:noWrap/>
            <w:vAlign w:val="center"/>
            <w:hideMark/>
          </w:tcPr>
          <w:p w14:paraId="42F49A1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–0.002</w:t>
            </w:r>
          </w:p>
        </w:tc>
        <w:tc>
          <w:tcPr>
            <w:tcW w:w="0" w:type="auto"/>
            <w:tcBorders>
              <w:top w:val="nil"/>
              <w:left w:val="nil"/>
              <w:bottom w:val="nil"/>
              <w:right w:val="nil"/>
            </w:tcBorders>
            <w:shd w:val="clear" w:color="auto" w:fill="auto"/>
            <w:noWrap/>
            <w:vAlign w:val="center"/>
            <w:hideMark/>
          </w:tcPr>
          <w:p w14:paraId="3CC7FDE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0.136</w:t>
            </w:r>
          </w:p>
        </w:tc>
        <w:tc>
          <w:tcPr>
            <w:tcW w:w="0" w:type="auto"/>
            <w:tcBorders>
              <w:top w:val="nil"/>
              <w:left w:val="nil"/>
              <w:bottom w:val="nil"/>
              <w:right w:val="nil"/>
            </w:tcBorders>
            <w:shd w:val="clear" w:color="auto" w:fill="auto"/>
            <w:noWrap/>
            <w:vAlign w:val="center"/>
            <w:hideMark/>
          </w:tcPr>
          <w:p w14:paraId="5F6484C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[–0.269, 0.265]</w:t>
            </w:r>
          </w:p>
        </w:tc>
        <w:tc>
          <w:tcPr>
            <w:tcW w:w="0" w:type="auto"/>
            <w:tcBorders>
              <w:top w:val="nil"/>
              <w:left w:val="nil"/>
              <w:bottom w:val="nil"/>
              <w:right w:val="nil"/>
            </w:tcBorders>
            <w:shd w:val="clear" w:color="auto" w:fill="auto"/>
            <w:noWrap/>
            <w:vAlign w:val="center"/>
            <w:hideMark/>
          </w:tcPr>
          <w:p w14:paraId="2E4765F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–0.028</w:t>
            </w:r>
          </w:p>
        </w:tc>
        <w:tc>
          <w:tcPr>
            <w:tcW w:w="0" w:type="auto"/>
            <w:tcBorders>
              <w:top w:val="nil"/>
              <w:left w:val="nil"/>
              <w:bottom w:val="nil"/>
              <w:right w:val="nil"/>
            </w:tcBorders>
            <w:shd w:val="clear" w:color="auto" w:fill="auto"/>
            <w:noWrap/>
            <w:vAlign w:val="center"/>
            <w:hideMark/>
          </w:tcPr>
          <w:p w14:paraId="041EB49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0.136</w:t>
            </w:r>
          </w:p>
        </w:tc>
        <w:tc>
          <w:tcPr>
            <w:tcW w:w="0" w:type="auto"/>
            <w:tcBorders>
              <w:top w:val="nil"/>
              <w:left w:val="nil"/>
              <w:bottom w:val="nil"/>
              <w:right w:val="nil"/>
            </w:tcBorders>
            <w:shd w:val="clear" w:color="auto" w:fill="auto"/>
            <w:noWrap/>
            <w:vAlign w:val="center"/>
            <w:hideMark/>
          </w:tcPr>
          <w:p w14:paraId="290360E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[–0.294, 0.239]</w:t>
            </w:r>
          </w:p>
        </w:tc>
      </w:tr>
      <w:tr w:rsidR="00F30B53" w:rsidRPr="00F30B53" w14:paraId="01CB1A0E" w14:textId="77777777" w:rsidTr="00F30B53">
        <w:trPr>
          <w:trHeight w:val="215"/>
        </w:trPr>
        <w:tc>
          <w:tcPr>
            <w:tcW w:w="0" w:type="auto"/>
            <w:tcBorders>
              <w:top w:val="nil"/>
              <w:left w:val="nil"/>
              <w:bottom w:val="nil"/>
              <w:right w:val="nil"/>
            </w:tcBorders>
            <w:shd w:val="clear" w:color="auto" w:fill="auto"/>
            <w:noWrap/>
            <w:vAlign w:val="bottom"/>
            <w:hideMark/>
          </w:tcPr>
          <w:p w14:paraId="7257B69A"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Show up fee-yes</w:t>
            </w:r>
          </w:p>
        </w:tc>
        <w:tc>
          <w:tcPr>
            <w:tcW w:w="0" w:type="auto"/>
            <w:tcBorders>
              <w:top w:val="nil"/>
              <w:left w:val="nil"/>
              <w:bottom w:val="nil"/>
              <w:right w:val="nil"/>
            </w:tcBorders>
            <w:shd w:val="clear" w:color="auto" w:fill="auto"/>
            <w:noWrap/>
            <w:vAlign w:val="center"/>
            <w:hideMark/>
          </w:tcPr>
          <w:p w14:paraId="2A05257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–0.006</w:t>
            </w:r>
          </w:p>
        </w:tc>
        <w:tc>
          <w:tcPr>
            <w:tcW w:w="0" w:type="auto"/>
            <w:tcBorders>
              <w:top w:val="nil"/>
              <w:left w:val="nil"/>
              <w:bottom w:val="nil"/>
              <w:right w:val="nil"/>
            </w:tcBorders>
            <w:shd w:val="clear" w:color="auto" w:fill="auto"/>
            <w:noWrap/>
            <w:vAlign w:val="center"/>
            <w:hideMark/>
          </w:tcPr>
          <w:p w14:paraId="227BEEE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0.042</w:t>
            </w:r>
          </w:p>
        </w:tc>
        <w:tc>
          <w:tcPr>
            <w:tcW w:w="0" w:type="auto"/>
            <w:tcBorders>
              <w:top w:val="nil"/>
              <w:left w:val="nil"/>
              <w:bottom w:val="nil"/>
              <w:right w:val="nil"/>
            </w:tcBorders>
            <w:shd w:val="clear" w:color="auto" w:fill="auto"/>
            <w:noWrap/>
            <w:vAlign w:val="center"/>
            <w:hideMark/>
          </w:tcPr>
          <w:p w14:paraId="0787BF4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[–0.089, 0.077]</w:t>
            </w:r>
          </w:p>
        </w:tc>
        <w:tc>
          <w:tcPr>
            <w:tcW w:w="0" w:type="auto"/>
            <w:tcBorders>
              <w:top w:val="nil"/>
              <w:left w:val="nil"/>
              <w:bottom w:val="nil"/>
              <w:right w:val="nil"/>
            </w:tcBorders>
            <w:shd w:val="clear" w:color="auto" w:fill="auto"/>
            <w:noWrap/>
            <w:vAlign w:val="center"/>
            <w:hideMark/>
          </w:tcPr>
          <w:p w14:paraId="7DC1A73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–0.003</w:t>
            </w:r>
          </w:p>
        </w:tc>
        <w:tc>
          <w:tcPr>
            <w:tcW w:w="0" w:type="auto"/>
            <w:tcBorders>
              <w:top w:val="nil"/>
              <w:left w:val="nil"/>
              <w:bottom w:val="nil"/>
              <w:right w:val="nil"/>
            </w:tcBorders>
            <w:shd w:val="clear" w:color="auto" w:fill="auto"/>
            <w:noWrap/>
            <w:vAlign w:val="center"/>
            <w:hideMark/>
          </w:tcPr>
          <w:p w14:paraId="09399B9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0.042</w:t>
            </w:r>
          </w:p>
        </w:tc>
        <w:tc>
          <w:tcPr>
            <w:tcW w:w="0" w:type="auto"/>
            <w:tcBorders>
              <w:top w:val="nil"/>
              <w:left w:val="nil"/>
              <w:bottom w:val="nil"/>
              <w:right w:val="nil"/>
            </w:tcBorders>
            <w:shd w:val="clear" w:color="auto" w:fill="auto"/>
            <w:noWrap/>
            <w:vAlign w:val="center"/>
            <w:hideMark/>
          </w:tcPr>
          <w:p w14:paraId="0212ADD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[–0.086, 0.080]</w:t>
            </w:r>
          </w:p>
        </w:tc>
        <w:tc>
          <w:tcPr>
            <w:tcW w:w="0" w:type="auto"/>
            <w:tcBorders>
              <w:top w:val="nil"/>
              <w:left w:val="nil"/>
              <w:bottom w:val="nil"/>
              <w:right w:val="nil"/>
            </w:tcBorders>
            <w:shd w:val="clear" w:color="auto" w:fill="auto"/>
            <w:noWrap/>
            <w:vAlign w:val="center"/>
            <w:hideMark/>
          </w:tcPr>
          <w:p w14:paraId="21A3337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0.005</w:t>
            </w:r>
          </w:p>
        </w:tc>
        <w:tc>
          <w:tcPr>
            <w:tcW w:w="0" w:type="auto"/>
            <w:tcBorders>
              <w:top w:val="nil"/>
              <w:left w:val="nil"/>
              <w:bottom w:val="nil"/>
              <w:right w:val="nil"/>
            </w:tcBorders>
            <w:shd w:val="clear" w:color="auto" w:fill="auto"/>
            <w:noWrap/>
            <w:vAlign w:val="center"/>
            <w:hideMark/>
          </w:tcPr>
          <w:p w14:paraId="0CF9745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0.042</w:t>
            </w:r>
          </w:p>
        </w:tc>
        <w:tc>
          <w:tcPr>
            <w:tcW w:w="0" w:type="auto"/>
            <w:tcBorders>
              <w:top w:val="nil"/>
              <w:left w:val="nil"/>
              <w:bottom w:val="nil"/>
              <w:right w:val="nil"/>
            </w:tcBorders>
            <w:shd w:val="clear" w:color="auto" w:fill="auto"/>
            <w:noWrap/>
            <w:vAlign w:val="center"/>
            <w:hideMark/>
          </w:tcPr>
          <w:p w14:paraId="58EFC7A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[–0.078, 0.088]</w:t>
            </w:r>
          </w:p>
        </w:tc>
      </w:tr>
      <w:tr w:rsidR="00F30B53" w:rsidRPr="00F30B53" w14:paraId="617CF426" w14:textId="77777777" w:rsidTr="00F30B53">
        <w:trPr>
          <w:trHeight w:val="215"/>
        </w:trPr>
        <w:tc>
          <w:tcPr>
            <w:tcW w:w="0" w:type="auto"/>
            <w:tcBorders>
              <w:top w:val="nil"/>
              <w:left w:val="nil"/>
              <w:bottom w:val="nil"/>
              <w:right w:val="nil"/>
            </w:tcBorders>
            <w:shd w:val="clear" w:color="auto" w:fill="auto"/>
            <w:noWrap/>
            <w:vAlign w:val="bottom"/>
            <w:hideMark/>
          </w:tcPr>
          <w:p w14:paraId="67B32A07"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Show up fee-mixed</w:t>
            </w:r>
          </w:p>
        </w:tc>
        <w:tc>
          <w:tcPr>
            <w:tcW w:w="0" w:type="auto"/>
            <w:tcBorders>
              <w:top w:val="nil"/>
              <w:left w:val="nil"/>
              <w:bottom w:val="nil"/>
              <w:right w:val="nil"/>
            </w:tcBorders>
            <w:shd w:val="clear" w:color="auto" w:fill="auto"/>
            <w:noWrap/>
            <w:vAlign w:val="center"/>
            <w:hideMark/>
          </w:tcPr>
          <w:p w14:paraId="5F604F6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0.020</w:t>
            </w:r>
          </w:p>
        </w:tc>
        <w:tc>
          <w:tcPr>
            <w:tcW w:w="0" w:type="auto"/>
            <w:tcBorders>
              <w:top w:val="nil"/>
              <w:left w:val="nil"/>
              <w:bottom w:val="nil"/>
              <w:right w:val="nil"/>
            </w:tcBorders>
            <w:shd w:val="clear" w:color="auto" w:fill="auto"/>
            <w:noWrap/>
            <w:vAlign w:val="center"/>
            <w:hideMark/>
          </w:tcPr>
          <w:p w14:paraId="0CD3BCE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0.159</w:t>
            </w:r>
          </w:p>
        </w:tc>
        <w:tc>
          <w:tcPr>
            <w:tcW w:w="0" w:type="auto"/>
            <w:tcBorders>
              <w:top w:val="nil"/>
              <w:left w:val="nil"/>
              <w:bottom w:val="nil"/>
              <w:right w:val="nil"/>
            </w:tcBorders>
            <w:shd w:val="clear" w:color="auto" w:fill="auto"/>
            <w:noWrap/>
            <w:vAlign w:val="center"/>
            <w:hideMark/>
          </w:tcPr>
          <w:p w14:paraId="3202952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[–0.292, 0.331]</w:t>
            </w:r>
          </w:p>
        </w:tc>
        <w:tc>
          <w:tcPr>
            <w:tcW w:w="0" w:type="auto"/>
            <w:tcBorders>
              <w:top w:val="nil"/>
              <w:left w:val="nil"/>
              <w:bottom w:val="nil"/>
              <w:right w:val="nil"/>
            </w:tcBorders>
            <w:shd w:val="clear" w:color="auto" w:fill="auto"/>
            <w:noWrap/>
            <w:vAlign w:val="center"/>
            <w:hideMark/>
          </w:tcPr>
          <w:p w14:paraId="2820CB9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0.060</w:t>
            </w:r>
          </w:p>
        </w:tc>
        <w:tc>
          <w:tcPr>
            <w:tcW w:w="0" w:type="auto"/>
            <w:tcBorders>
              <w:top w:val="nil"/>
              <w:left w:val="nil"/>
              <w:bottom w:val="nil"/>
              <w:right w:val="nil"/>
            </w:tcBorders>
            <w:shd w:val="clear" w:color="auto" w:fill="auto"/>
            <w:noWrap/>
            <w:vAlign w:val="center"/>
            <w:hideMark/>
          </w:tcPr>
          <w:p w14:paraId="0D2F323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0.153</w:t>
            </w:r>
          </w:p>
        </w:tc>
        <w:tc>
          <w:tcPr>
            <w:tcW w:w="0" w:type="auto"/>
            <w:tcBorders>
              <w:top w:val="nil"/>
              <w:left w:val="nil"/>
              <w:bottom w:val="nil"/>
              <w:right w:val="nil"/>
            </w:tcBorders>
            <w:shd w:val="clear" w:color="auto" w:fill="auto"/>
            <w:noWrap/>
            <w:vAlign w:val="center"/>
            <w:hideMark/>
          </w:tcPr>
          <w:p w14:paraId="66A5C04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[–0.241, 0.360]</w:t>
            </w:r>
          </w:p>
        </w:tc>
        <w:tc>
          <w:tcPr>
            <w:tcW w:w="0" w:type="auto"/>
            <w:tcBorders>
              <w:top w:val="nil"/>
              <w:left w:val="nil"/>
              <w:bottom w:val="nil"/>
              <w:right w:val="nil"/>
            </w:tcBorders>
            <w:shd w:val="clear" w:color="auto" w:fill="auto"/>
            <w:noWrap/>
            <w:vAlign w:val="center"/>
            <w:hideMark/>
          </w:tcPr>
          <w:p w14:paraId="7FCDE69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0.110</w:t>
            </w:r>
          </w:p>
        </w:tc>
        <w:tc>
          <w:tcPr>
            <w:tcW w:w="0" w:type="auto"/>
            <w:tcBorders>
              <w:top w:val="nil"/>
              <w:left w:val="nil"/>
              <w:bottom w:val="nil"/>
              <w:right w:val="nil"/>
            </w:tcBorders>
            <w:shd w:val="clear" w:color="auto" w:fill="auto"/>
            <w:noWrap/>
            <w:vAlign w:val="center"/>
            <w:hideMark/>
          </w:tcPr>
          <w:p w14:paraId="191317C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0.152</w:t>
            </w:r>
          </w:p>
        </w:tc>
        <w:tc>
          <w:tcPr>
            <w:tcW w:w="0" w:type="auto"/>
            <w:tcBorders>
              <w:top w:val="nil"/>
              <w:left w:val="nil"/>
              <w:bottom w:val="nil"/>
              <w:right w:val="nil"/>
            </w:tcBorders>
            <w:shd w:val="clear" w:color="auto" w:fill="auto"/>
            <w:noWrap/>
            <w:vAlign w:val="center"/>
            <w:hideMark/>
          </w:tcPr>
          <w:p w14:paraId="0C84E61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[–0.188, 0.408]</w:t>
            </w:r>
          </w:p>
        </w:tc>
      </w:tr>
      <w:tr w:rsidR="00F30B53" w:rsidRPr="00F30B53" w14:paraId="3992FF75" w14:textId="77777777" w:rsidTr="00F30B53">
        <w:trPr>
          <w:trHeight w:val="215"/>
        </w:trPr>
        <w:tc>
          <w:tcPr>
            <w:tcW w:w="0" w:type="auto"/>
            <w:tcBorders>
              <w:top w:val="nil"/>
              <w:left w:val="nil"/>
              <w:bottom w:val="nil"/>
              <w:right w:val="nil"/>
            </w:tcBorders>
            <w:shd w:val="clear" w:color="auto" w:fill="auto"/>
            <w:noWrap/>
            <w:vAlign w:val="bottom"/>
            <w:hideMark/>
          </w:tcPr>
          <w:p w14:paraId="11AF3B30"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Game incentive-yes</w:t>
            </w:r>
          </w:p>
        </w:tc>
        <w:tc>
          <w:tcPr>
            <w:tcW w:w="0" w:type="auto"/>
            <w:tcBorders>
              <w:top w:val="nil"/>
              <w:left w:val="nil"/>
              <w:bottom w:val="nil"/>
              <w:right w:val="nil"/>
            </w:tcBorders>
            <w:shd w:val="clear" w:color="auto" w:fill="auto"/>
            <w:noWrap/>
            <w:vAlign w:val="center"/>
            <w:hideMark/>
          </w:tcPr>
          <w:p w14:paraId="0A7E4AB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–0.133</w:t>
            </w:r>
          </w:p>
        </w:tc>
        <w:tc>
          <w:tcPr>
            <w:tcW w:w="0" w:type="auto"/>
            <w:tcBorders>
              <w:top w:val="nil"/>
              <w:left w:val="nil"/>
              <w:bottom w:val="nil"/>
              <w:right w:val="nil"/>
            </w:tcBorders>
            <w:shd w:val="clear" w:color="auto" w:fill="auto"/>
            <w:noWrap/>
            <w:vAlign w:val="center"/>
            <w:hideMark/>
          </w:tcPr>
          <w:p w14:paraId="2A04799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0.086</w:t>
            </w:r>
          </w:p>
        </w:tc>
        <w:tc>
          <w:tcPr>
            <w:tcW w:w="0" w:type="auto"/>
            <w:tcBorders>
              <w:top w:val="nil"/>
              <w:left w:val="nil"/>
              <w:bottom w:val="nil"/>
              <w:right w:val="nil"/>
            </w:tcBorders>
            <w:shd w:val="clear" w:color="auto" w:fill="auto"/>
            <w:noWrap/>
            <w:vAlign w:val="center"/>
            <w:hideMark/>
          </w:tcPr>
          <w:p w14:paraId="08B9510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[–0.302, 0.036]</w:t>
            </w:r>
          </w:p>
        </w:tc>
        <w:tc>
          <w:tcPr>
            <w:tcW w:w="0" w:type="auto"/>
            <w:tcBorders>
              <w:top w:val="nil"/>
              <w:left w:val="nil"/>
              <w:bottom w:val="nil"/>
              <w:right w:val="nil"/>
            </w:tcBorders>
            <w:shd w:val="clear" w:color="auto" w:fill="auto"/>
            <w:noWrap/>
            <w:vAlign w:val="center"/>
            <w:hideMark/>
          </w:tcPr>
          <w:p w14:paraId="4867263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38327C5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3D9572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43F1071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0AA301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6C02917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r>
      <w:tr w:rsidR="00F30B53" w:rsidRPr="00F30B53" w14:paraId="0B2168EE" w14:textId="77777777" w:rsidTr="00F30B53">
        <w:trPr>
          <w:trHeight w:val="215"/>
        </w:trPr>
        <w:tc>
          <w:tcPr>
            <w:tcW w:w="0" w:type="auto"/>
            <w:tcBorders>
              <w:top w:val="nil"/>
              <w:left w:val="nil"/>
              <w:bottom w:val="nil"/>
              <w:right w:val="nil"/>
            </w:tcBorders>
            <w:shd w:val="clear" w:color="auto" w:fill="auto"/>
            <w:noWrap/>
            <w:vAlign w:val="bottom"/>
            <w:hideMark/>
          </w:tcPr>
          <w:p w14:paraId="575F1022"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Game incentive-mixed</w:t>
            </w:r>
          </w:p>
        </w:tc>
        <w:tc>
          <w:tcPr>
            <w:tcW w:w="0" w:type="auto"/>
            <w:tcBorders>
              <w:top w:val="nil"/>
              <w:left w:val="nil"/>
              <w:bottom w:val="nil"/>
              <w:right w:val="nil"/>
            </w:tcBorders>
            <w:shd w:val="clear" w:color="auto" w:fill="auto"/>
            <w:noWrap/>
            <w:vAlign w:val="center"/>
            <w:hideMark/>
          </w:tcPr>
          <w:p w14:paraId="74FAC00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–0.278</w:t>
            </w:r>
          </w:p>
        </w:tc>
        <w:tc>
          <w:tcPr>
            <w:tcW w:w="0" w:type="auto"/>
            <w:tcBorders>
              <w:top w:val="nil"/>
              <w:left w:val="nil"/>
              <w:bottom w:val="nil"/>
              <w:right w:val="nil"/>
            </w:tcBorders>
            <w:shd w:val="clear" w:color="auto" w:fill="auto"/>
            <w:noWrap/>
            <w:vAlign w:val="center"/>
            <w:hideMark/>
          </w:tcPr>
          <w:p w14:paraId="52A5473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0.352</w:t>
            </w:r>
          </w:p>
        </w:tc>
        <w:tc>
          <w:tcPr>
            <w:tcW w:w="0" w:type="auto"/>
            <w:tcBorders>
              <w:top w:val="nil"/>
              <w:left w:val="nil"/>
              <w:bottom w:val="nil"/>
              <w:right w:val="nil"/>
            </w:tcBorders>
            <w:shd w:val="clear" w:color="auto" w:fill="auto"/>
            <w:noWrap/>
            <w:vAlign w:val="center"/>
            <w:hideMark/>
          </w:tcPr>
          <w:p w14:paraId="29AA339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[–0.968, 0.413]</w:t>
            </w:r>
          </w:p>
        </w:tc>
        <w:tc>
          <w:tcPr>
            <w:tcW w:w="0" w:type="auto"/>
            <w:tcBorders>
              <w:top w:val="nil"/>
              <w:left w:val="nil"/>
              <w:bottom w:val="nil"/>
              <w:right w:val="nil"/>
            </w:tcBorders>
            <w:shd w:val="clear" w:color="auto" w:fill="auto"/>
            <w:noWrap/>
            <w:vAlign w:val="center"/>
            <w:hideMark/>
          </w:tcPr>
          <w:p w14:paraId="018A188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29DC93E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E22744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5AD3ED6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F4822B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5D68737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r>
      <w:tr w:rsidR="00F30B53" w:rsidRPr="00F30B53" w14:paraId="4C6A45E6" w14:textId="77777777" w:rsidTr="00F30B53">
        <w:trPr>
          <w:trHeight w:val="215"/>
        </w:trPr>
        <w:tc>
          <w:tcPr>
            <w:tcW w:w="0" w:type="auto"/>
            <w:tcBorders>
              <w:top w:val="nil"/>
              <w:left w:val="nil"/>
              <w:bottom w:val="nil"/>
              <w:right w:val="nil"/>
            </w:tcBorders>
            <w:shd w:val="clear" w:color="auto" w:fill="auto"/>
            <w:noWrap/>
            <w:vAlign w:val="bottom"/>
            <w:hideMark/>
          </w:tcPr>
          <w:p w14:paraId="1BC332C0"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lastRenderedPageBreak/>
              <w:t>Game incentive type Ⅰ-non lottery</w:t>
            </w:r>
          </w:p>
        </w:tc>
        <w:tc>
          <w:tcPr>
            <w:tcW w:w="0" w:type="auto"/>
            <w:tcBorders>
              <w:top w:val="nil"/>
              <w:left w:val="nil"/>
              <w:bottom w:val="nil"/>
              <w:right w:val="nil"/>
            </w:tcBorders>
            <w:shd w:val="clear" w:color="auto" w:fill="auto"/>
            <w:noWrap/>
            <w:vAlign w:val="center"/>
            <w:hideMark/>
          </w:tcPr>
          <w:p w14:paraId="2A7EC3B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5C28419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F6A0BF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7259B3BB"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0.023</w:t>
            </w:r>
          </w:p>
        </w:tc>
        <w:tc>
          <w:tcPr>
            <w:tcW w:w="0" w:type="auto"/>
            <w:tcBorders>
              <w:top w:val="nil"/>
              <w:left w:val="nil"/>
              <w:bottom w:val="nil"/>
              <w:right w:val="nil"/>
            </w:tcBorders>
            <w:shd w:val="clear" w:color="auto" w:fill="auto"/>
            <w:noWrap/>
            <w:vAlign w:val="center"/>
            <w:hideMark/>
          </w:tcPr>
          <w:p w14:paraId="76510531"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0.091</w:t>
            </w:r>
          </w:p>
        </w:tc>
        <w:tc>
          <w:tcPr>
            <w:tcW w:w="0" w:type="auto"/>
            <w:tcBorders>
              <w:top w:val="nil"/>
              <w:left w:val="nil"/>
              <w:bottom w:val="nil"/>
              <w:right w:val="nil"/>
            </w:tcBorders>
            <w:shd w:val="clear" w:color="auto" w:fill="auto"/>
            <w:noWrap/>
            <w:vAlign w:val="center"/>
            <w:hideMark/>
          </w:tcPr>
          <w:p w14:paraId="1D41172C"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[–0.156, 0.202]</w:t>
            </w:r>
          </w:p>
        </w:tc>
        <w:tc>
          <w:tcPr>
            <w:tcW w:w="0" w:type="auto"/>
            <w:tcBorders>
              <w:top w:val="nil"/>
              <w:left w:val="nil"/>
              <w:bottom w:val="nil"/>
              <w:right w:val="nil"/>
            </w:tcBorders>
            <w:shd w:val="clear" w:color="auto" w:fill="auto"/>
            <w:noWrap/>
            <w:vAlign w:val="center"/>
            <w:hideMark/>
          </w:tcPr>
          <w:p w14:paraId="6522BBE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08EE98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5A2AA4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r>
      <w:tr w:rsidR="00F30B53" w:rsidRPr="00F30B53" w14:paraId="2DB12296" w14:textId="77777777" w:rsidTr="00F30B53">
        <w:trPr>
          <w:trHeight w:val="215"/>
        </w:trPr>
        <w:tc>
          <w:tcPr>
            <w:tcW w:w="0" w:type="auto"/>
            <w:tcBorders>
              <w:top w:val="nil"/>
              <w:left w:val="nil"/>
              <w:bottom w:val="nil"/>
              <w:right w:val="nil"/>
            </w:tcBorders>
            <w:shd w:val="clear" w:color="auto" w:fill="auto"/>
            <w:noWrap/>
            <w:vAlign w:val="bottom"/>
            <w:hideMark/>
          </w:tcPr>
          <w:p w14:paraId="24085611"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Game incentive type Ⅰ-no</w:t>
            </w:r>
          </w:p>
        </w:tc>
        <w:tc>
          <w:tcPr>
            <w:tcW w:w="0" w:type="auto"/>
            <w:tcBorders>
              <w:top w:val="nil"/>
              <w:left w:val="nil"/>
              <w:bottom w:val="nil"/>
              <w:right w:val="nil"/>
            </w:tcBorders>
            <w:shd w:val="clear" w:color="auto" w:fill="auto"/>
            <w:noWrap/>
            <w:vAlign w:val="center"/>
            <w:hideMark/>
          </w:tcPr>
          <w:p w14:paraId="6EDA85A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5046D38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482CC25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78298D6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0.133</w:t>
            </w:r>
          </w:p>
        </w:tc>
        <w:tc>
          <w:tcPr>
            <w:tcW w:w="0" w:type="auto"/>
            <w:tcBorders>
              <w:top w:val="nil"/>
              <w:left w:val="nil"/>
              <w:bottom w:val="nil"/>
              <w:right w:val="nil"/>
            </w:tcBorders>
            <w:shd w:val="clear" w:color="auto" w:fill="auto"/>
            <w:noWrap/>
            <w:vAlign w:val="center"/>
            <w:hideMark/>
          </w:tcPr>
          <w:p w14:paraId="6D23836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0.116</w:t>
            </w:r>
          </w:p>
        </w:tc>
        <w:tc>
          <w:tcPr>
            <w:tcW w:w="0" w:type="auto"/>
            <w:tcBorders>
              <w:top w:val="nil"/>
              <w:left w:val="nil"/>
              <w:bottom w:val="nil"/>
              <w:right w:val="nil"/>
            </w:tcBorders>
            <w:shd w:val="clear" w:color="auto" w:fill="auto"/>
            <w:noWrap/>
            <w:vAlign w:val="center"/>
            <w:hideMark/>
          </w:tcPr>
          <w:p w14:paraId="067533E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[–0.095, 0.362]</w:t>
            </w:r>
          </w:p>
        </w:tc>
        <w:tc>
          <w:tcPr>
            <w:tcW w:w="0" w:type="auto"/>
            <w:tcBorders>
              <w:top w:val="nil"/>
              <w:left w:val="nil"/>
              <w:bottom w:val="nil"/>
              <w:right w:val="nil"/>
            </w:tcBorders>
            <w:shd w:val="clear" w:color="auto" w:fill="auto"/>
            <w:noWrap/>
            <w:vAlign w:val="center"/>
            <w:hideMark/>
          </w:tcPr>
          <w:p w14:paraId="5954056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75FD88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303391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r>
      <w:tr w:rsidR="00F30B53" w:rsidRPr="00F30B53" w14:paraId="4A8D1798" w14:textId="77777777" w:rsidTr="00F30B53">
        <w:trPr>
          <w:trHeight w:val="215"/>
        </w:trPr>
        <w:tc>
          <w:tcPr>
            <w:tcW w:w="0" w:type="auto"/>
            <w:tcBorders>
              <w:top w:val="nil"/>
              <w:left w:val="nil"/>
              <w:bottom w:val="nil"/>
              <w:right w:val="nil"/>
            </w:tcBorders>
            <w:shd w:val="clear" w:color="auto" w:fill="auto"/>
            <w:noWrap/>
            <w:vAlign w:val="bottom"/>
            <w:hideMark/>
          </w:tcPr>
          <w:p w14:paraId="7F888D10"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Game incentive type Ⅰ-mixed</w:t>
            </w:r>
          </w:p>
        </w:tc>
        <w:tc>
          <w:tcPr>
            <w:tcW w:w="0" w:type="auto"/>
            <w:tcBorders>
              <w:top w:val="nil"/>
              <w:left w:val="nil"/>
              <w:bottom w:val="nil"/>
              <w:right w:val="nil"/>
            </w:tcBorders>
            <w:shd w:val="clear" w:color="auto" w:fill="auto"/>
            <w:noWrap/>
            <w:vAlign w:val="center"/>
            <w:hideMark/>
          </w:tcPr>
          <w:p w14:paraId="349894F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5C97FF8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4E32CD8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E03E56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–0.006</w:t>
            </w:r>
          </w:p>
        </w:tc>
        <w:tc>
          <w:tcPr>
            <w:tcW w:w="0" w:type="auto"/>
            <w:tcBorders>
              <w:top w:val="nil"/>
              <w:left w:val="nil"/>
              <w:bottom w:val="nil"/>
              <w:right w:val="nil"/>
            </w:tcBorders>
            <w:shd w:val="clear" w:color="auto" w:fill="auto"/>
            <w:noWrap/>
            <w:vAlign w:val="center"/>
            <w:hideMark/>
          </w:tcPr>
          <w:p w14:paraId="468451B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0.305</w:t>
            </w:r>
          </w:p>
        </w:tc>
        <w:tc>
          <w:tcPr>
            <w:tcW w:w="0" w:type="auto"/>
            <w:tcBorders>
              <w:top w:val="nil"/>
              <w:left w:val="nil"/>
              <w:bottom w:val="nil"/>
              <w:right w:val="nil"/>
            </w:tcBorders>
            <w:shd w:val="clear" w:color="auto" w:fill="auto"/>
            <w:noWrap/>
            <w:vAlign w:val="center"/>
            <w:hideMark/>
          </w:tcPr>
          <w:p w14:paraId="5D3FED9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[–0.604, 0.592]</w:t>
            </w:r>
          </w:p>
        </w:tc>
        <w:tc>
          <w:tcPr>
            <w:tcW w:w="0" w:type="auto"/>
            <w:tcBorders>
              <w:top w:val="nil"/>
              <w:left w:val="nil"/>
              <w:bottom w:val="nil"/>
              <w:right w:val="nil"/>
            </w:tcBorders>
            <w:shd w:val="clear" w:color="auto" w:fill="auto"/>
            <w:noWrap/>
            <w:vAlign w:val="center"/>
            <w:hideMark/>
          </w:tcPr>
          <w:p w14:paraId="788B7DD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A67B13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7058A0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r>
      <w:tr w:rsidR="00F30B53" w:rsidRPr="00F30B53" w14:paraId="70CC6AEB" w14:textId="77777777" w:rsidTr="00F30B53">
        <w:trPr>
          <w:trHeight w:val="215"/>
        </w:trPr>
        <w:tc>
          <w:tcPr>
            <w:tcW w:w="0" w:type="auto"/>
            <w:tcBorders>
              <w:top w:val="nil"/>
              <w:left w:val="nil"/>
              <w:bottom w:val="nil"/>
              <w:right w:val="nil"/>
            </w:tcBorders>
            <w:shd w:val="clear" w:color="auto" w:fill="auto"/>
            <w:noWrap/>
            <w:vAlign w:val="bottom"/>
            <w:hideMark/>
          </w:tcPr>
          <w:p w14:paraId="21CEEF06"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Game incentive type Ⅱ-monetary</w:t>
            </w:r>
          </w:p>
        </w:tc>
        <w:tc>
          <w:tcPr>
            <w:tcW w:w="0" w:type="auto"/>
            <w:tcBorders>
              <w:top w:val="nil"/>
              <w:left w:val="nil"/>
              <w:bottom w:val="nil"/>
              <w:right w:val="nil"/>
            </w:tcBorders>
            <w:shd w:val="clear" w:color="auto" w:fill="auto"/>
            <w:noWrap/>
            <w:vAlign w:val="center"/>
            <w:hideMark/>
          </w:tcPr>
          <w:p w14:paraId="1AB473A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7C48EA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6AA25C9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71C7BDB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6C6D92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65863AD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698BF304"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–0.040</w:t>
            </w:r>
          </w:p>
        </w:tc>
        <w:tc>
          <w:tcPr>
            <w:tcW w:w="0" w:type="auto"/>
            <w:tcBorders>
              <w:top w:val="nil"/>
              <w:left w:val="nil"/>
              <w:bottom w:val="nil"/>
              <w:right w:val="nil"/>
            </w:tcBorders>
            <w:shd w:val="clear" w:color="auto" w:fill="auto"/>
            <w:noWrap/>
            <w:vAlign w:val="center"/>
            <w:hideMark/>
          </w:tcPr>
          <w:p w14:paraId="38F6C109"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0.177</w:t>
            </w:r>
          </w:p>
        </w:tc>
        <w:tc>
          <w:tcPr>
            <w:tcW w:w="0" w:type="auto"/>
            <w:tcBorders>
              <w:top w:val="nil"/>
              <w:left w:val="nil"/>
              <w:bottom w:val="nil"/>
              <w:right w:val="nil"/>
            </w:tcBorders>
            <w:shd w:val="clear" w:color="auto" w:fill="auto"/>
            <w:noWrap/>
            <w:vAlign w:val="center"/>
            <w:hideMark/>
          </w:tcPr>
          <w:p w14:paraId="6D585547"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[–0.387, 0.306]</w:t>
            </w:r>
          </w:p>
        </w:tc>
      </w:tr>
      <w:tr w:rsidR="00F30B53" w:rsidRPr="00F30B53" w14:paraId="348D8CBA" w14:textId="77777777" w:rsidTr="00F30B53">
        <w:trPr>
          <w:trHeight w:val="215"/>
        </w:trPr>
        <w:tc>
          <w:tcPr>
            <w:tcW w:w="0" w:type="auto"/>
            <w:tcBorders>
              <w:top w:val="nil"/>
              <w:left w:val="nil"/>
              <w:bottom w:val="nil"/>
              <w:right w:val="nil"/>
            </w:tcBorders>
            <w:shd w:val="clear" w:color="auto" w:fill="auto"/>
            <w:noWrap/>
            <w:vAlign w:val="bottom"/>
            <w:hideMark/>
          </w:tcPr>
          <w:p w14:paraId="6D2EA963"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Game incentive type Ⅱ-no</w:t>
            </w:r>
          </w:p>
        </w:tc>
        <w:tc>
          <w:tcPr>
            <w:tcW w:w="0" w:type="auto"/>
            <w:tcBorders>
              <w:top w:val="nil"/>
              <w:left w:val="nil"/>
              <w:bottom w:val="nil"/>
              <w:right w:val="nil"/>
            </w:tcBorders>
            <w:shd w:val="clear" w:color="auto" w:fill="auto"/>
            <w:noWrap/>
            <w:vAlign w:val="center"/>
            <w:hideMark/>
          </w:tcPr>
          <w:p w14:paraId="32252A1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56CC4FD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7720516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2DE0F71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2A7469F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4F11706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6B11490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0.106</w:t>
            </w:r>
          </w:p>
        </w:tc>
        <w:tc>
          <w:tcPr>
            <w:tcW w:w="0" w:type="auto"/>
            <w:tcBorders>
              <w:top w:val="nil"/>
              <w:left w:val="nil"/>
              <w:bottom w:val="nil"/>
              <w:right w:val="nil"/>
            </w:tcBorders>
            <w:shd w:val="clear" w:color="auto" w:fill="auto"/>
            <w:noWrap/>
            <w:vAlign w:val="center"/>
            <w:hideMark/>
          </w:tcPr>
          <w:p w14:paraId="112B5AD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0.191</w:t>
            </w:r>
          </w:p>
        </w:tc>
        <w:tc>
          <w:tcPr>
            <w:tcW w:w="0" w:type="auto"/>
            <w:tcBorders>
              <w:top w:val="nil"/>
              <w:left w:val="nil"/>
              <w:bottom w:val="nil"/>
              <w:right w:val="nil"/>
            </w:tcBorders>
            <w:shd w:val="clear" w:color="auto" w:fill="auto"/>
            <w:noWrap/>
            <w:vAlign w:val="center"/>
            <w:hideMark/>
          </w:tcPr>
          <w:p w14:paraId="47481D0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[–0.269, 0.481]</w:t>
            </w:r>
          </w:p>
        </w:tc>
      </w:tr>
      <w:tr w:rsidR="00F30B53" w:rsidRPr="00F30B53" w14:paraId="6B60F1C7" w14:textId="77777777" w:rsidTr="00F30B53">
        <w:trPr>
          <w:trHeight w:val="215"/>
        </w:trPr>
        <w:tc>
          <w:tcPr>
            <w:tcW w:w="0" w:type="auto"/>
            <w:tcBorders>
              <w:top w:val="nil"/>
              <w:left w:val="nil"/>
              <w:bottom w:val="nil"/>
              <w:right w:val="nil"/>
            </w:tcBorders>
            <w:shd w:val="clear" w:color="auto" w:fill="auto"/>
            <w:noWrap/>
            <w:vAlign w:val="bottom"/>
            <w:hideMark/>
          </w:tcPr>
          <w:p w14:paraId="355C7B7C"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Game incentive type Ⅱ-mixed</w:t>
            </w:r>
          </w:p>
        </w:tc>
        <w:tc>
          <w:tcPr>
            <w:tcW w:w="0" w:type="auto"/>
            <w:tcBorders>
              <w:top w:val="nil"/>
              <w:left w:val="nil"/>
              <w:bottom w:val="nil"/>
              <w:right w:val="nil"/>
            </w:tcBorders>
            <w:shd w:val="clear" w:color="auto" w:fill="auto"/>
            <w:noWrap/>
            <w:vAlign w:val="center"/>
            <w:hideMark/>
          </w:tcPr>
          <w:p w14:paraId="37FA1B9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100432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521CC87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354472C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DF2F59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CC43A1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5EF41EA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–0.141</w:t>
            </w:r>
          </w:p>
        </w:tc>
        <w:tc>
          <w:tcPr>
            <w:tcW w:w="0" w:type="auto"/>
            <w:tcBorders>
              <w:top w:val="nil"/>
              <w:left w:val="nil"/>
              <w:bottom w:val="nil"/>
              <w:right w:val="nil"/>
            </w:tcBorders>
            <w:shd w:val="clear" w:color="auto" w:fill="auto"/>
            <w:noWrap/>
            <w:vAlign w:val="center"/>
            <w:hideMark/>
          </w:tcPr>
          <w:p w14:paraId="5647BD6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0.376</w:t>
            </w:r>
          </w:p>
        </w:tc>
        <w:tc>
          <w:tcPr>
            <w:tcW w:w="0" w:type="auto"/>
            <w:tcBorders>
              <w:top w:val="nil"/>
              <w:left w:val="nil"/>
              <w:bottom w:val="nil"/>
              <w:right w:val="nil"/>
            </w:tcBorders>
            <w:shd w:val="clear" w:color="auto" w:fill="auto"/>
            <w:noWrap/>
            <w:vAlign w:val="center"/>
            <w:hideMark/>
          </w:tcPr>
          <w:p w14:paraId="193A447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[–0.879, 0.598]</w:t>
            </w:r>
          </w:p>
        </w:tc>
      </w:tr>
      <w:tr w:rsidR="00F30B53" w:rsidRPr="00F30B53" w14:paraId="29BEB25A" w14:textId="77777777" w:rsidTr="00F30B53">
        <w:trPr>
          <w:trHeight w:val="215"/>
        </w:trPr>
        <w:tc>
          <w:tcPr>
            <w:tcW w:w="0" w:type="auto"/>
            <w:tcBorders>
              <w:top w:val="nil"/>
              <w:left w:val="nil"/>
              <w:bottom w:val="nil"/>
              <w:right w:val="nil"/>
            </w:tcBorders>
            <w:shd w:val="clear" w:color="auto" w:fill="auto"/>
            <w:noWrap/>
            <w:hideMark/>
          </w:tcPr>
          <w:p w14:paraId="01283EC1"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Deception-yes</w:t>
            </w:r>
          </w:p>
        </w:tc>
        <w:tc>
          <w:tcPr>
            <w:tcW w:w="0" w:type="auto"/>
            <w:tcBorders>
              <w:top w:val="nil"/>
              <w:left w:val="nil"/>
              <w:bottom w:val="nil"/>
              <w:right w:val="nil"/>
            </w:tcBorders>
            <w:shd w:val="clear" w:color="auto" w:fill="auto"/>
            <w:noWrap/>
            <w:vAlign w:val="center"/>
            <w:hideMark/>
          </w:tcPr>
          <w:p w14:paraId="7FFC357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0.153*</w:t>
            </w:r>
          </w:p>
        </w:tc>
        <w:tc>
          <w:tcPr>
            <w:tcW w:w="0" w:type="auto"/>
            <w:tcBorders>
              <w:top w:val="nil"/>
              <w:left w:val="nil"/>
              <w:bottom w:val="nil"/>
              <w:right w:val="nil"/>
            </w:tcBorders>
            <w:shd w:val="clear" w:color="auto" w:fill="auto"/>
            <w:noWrap/>
            <w:vAlign w:val="center"/>
            <w:hideMark/>
          </w:tcPr>
          <w:p w14:paraId="099C481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0.042</w:t>
            </w:r>
          </w:p>
        </w:tc>
        <w:tc>
          <w:tcPr>
            <w:tcW w:w="0" w:type="auto"/>
            <w:tcBorders>
              <w:top w:val="nil"/>
              <w:left w:val="nil"/>
              <w:bottom w:val="nil"/>
              <w:right w:val="nil"/>
            </w:tcBorders>
            <w:shd w:val="clear" w:color="auto" w:fill="auto"/>
            <w:noWrap/>
            <w:vAlign w:val="center"/>
            <w:hideMark/>
          </w:tcPr>
          <w:p w14:paraId="4B8747C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[0.071, 0.235]</w:t>
            </w:r>
          </w:p>
        </w:tc>
        <w:tc>
          <w:tcPr>
            <w:tcW w:w="0" w:type="auto"/>
            <w:tcBorders>
              <w:top w:val="nil"/>
              <w:left w:val="nil"/>
              <w:bottom w:val="nil"/>
              <w:right w:val="nil"/>
            </w:tcBorders>
            <w:shd w:val="clear" w:color="auto" w:fill="auto"/>
            <w:noWrap/>
            <w:vAlign w:val="center"/>
            <w:hideMark/>
          </w:tcPr>
          <w:p w14:paraId="1FDA069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0.147*</w:t>
            </w:r>
          </w:p>
        </w:tc>
        <w:tc>
          <w:tcPr>
            <w:tcW w:w="0" w:type="auto"/>
            <w:tcBorders>
              <w:top w:val="nil"/>
              <w:left w:val="nil"/>
              <w:bottom w:val="nil"/>
              <w:right w:val="nil"/>
            </w:tcBorders>
            <w:shd w:val="clear" w:color="auto" w:fill="auto"/>
            <w:noWrap/>
            <w:vAlign w:val="center"/>
            <w:hideMark/>
          </w:tcPr>
          <w:p w14:paraId="0A3CCD5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0.043</w:t>
            </w:r>
          </w:p>
        </w:tc>
        <w:tc>
          <w:tcPr>
            <w:tcW w:w="0" w:type="auto"/>
            <w:tcBorders>
              <w:top w:val="nil"/>
              <w:left w:val="nil"/>
              <w:bottom w:val="nil"/>
              <w:right w:val="nil"/>
            </w:tcBorders>
            <w:shd w:val="clear" w:color="auto" w:fill="auto"/>
            <w:noWrap/>
            <w:vAlign w:val="center"/>
            <w:hideMark/>
          </w:tcPr>
          <w:p w14:paraId="599F4D3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[0.063, 0.230]</w:t>
            </w:r>
          </w:p>
        </w:tc>
        <w:tc>
          <w:tcPr>
            <w:tcW w:w="0" w:type="auto"/>
            <w:tcBorders>
              <w:top w:val="nil"/>
              <w:left w:val="nil"/>
              <w:bottom w:val="nil"/>
              <w:right w:val="nil"/>
            </w:tcBorders>
            <w:shd w:val="clear" w:color="auto" w:fill="auto"/>
            <w:noWrap/>
            <w:vAlign w:val="center"/>
            <w:hideMark/>
          </w:tcPr>
          <w:p w14:paraId="4F61139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0.135*</w:t>
            </w:r>
          </w:p>
        </w:tc>
        <w:tc>
          <w:tcPr>
            <w:tcW w:w="0" w:type="auto"/>
            <w:tcBorders>
              <w:top w:val="nil"/>
              <w:left w:val="nil"/>
              <w:bottom w:val="nil"/>
              <w:right w:val="nil"/>
            </w:tcBorders>
            <w:shd w:val="clear" w:color="auto" w:fill="auto"/>
            <w:noWrap/>
            <w:vAlign w:val="center"/>
            <w:hideMark/>
          </w:tcPr>
          <w:p w14:paraId="5A384F1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0.042</w:t>
            </w:r>
          </w:p>
        </w:tc>
        <w:tc>
          <w:tcPr>
            <w:tcW w:w="0" w:type="auto"/>
            <w:tcBorders>
              <w:top w:val="nil"/>
              <w:left w:val="nil"/>
              <w:bottom w:val="nil"/>
              <w:right w:val="nil"/>
            </w:tcBorders>
            <w:shd w:val="clear" w:color="auto" w:fill="auto"/>
            <w:noWrap/>
            <w:vAlign w:val="center"/>
            <w:hideMark/>
          </w:tcPr>
          <w:p w14:paraId="3D3EB55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[0.053, 0.217]</w:t>
            </w:r>
          </w:p>
        </w:tc>
      </w:tr>
      <w:tr w:rsidR="00F30B53" w:rsidRPr="00F30B53" w14:paraId="79F1DDBB" w14:textId="77777777" w:rsidTr="00F30B53">
        <w:trPr>
          <w:trHeight w:val="215"/>
        </w:trPr>
        <w:tc>
          <w:tcPr>
            <w:tcW w:w="0" w:type="auto"/>
            <w:tcBorders>
              <w:top w:val="nil"/>
              <w:left w:val="nil"/>
              <w:bottom w:val="nil"/>
              <w:right w:val="nil"/>
            </w:tcBorders>
            <w:shd w:val="clear" w:color="auto" w:fill="auto"/>
            <w:noWrap/>
            <w:hideMark/>
          </w:tcPr>
          <w:p w14:paraId="13CCFCF1"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Deception-mixed</w:t>
            </w:r>
          </w:p>
        </w:tc>
        <w:tc>
          <w:tcPr>
            <w:tcW w:w="0" w:type="auto"/>
            <w:tcBorders>
              <w:top w:val="nil"/>
              <w:left w:val="nil"/>
              <w:bottom w:val="nil"/>
              <w:right w:val="nil"/>
            </w:tcBorders>
            <w:shd w:val="clear" w:color="auto" w:fill="auto"/>
            <w:noWrap/>
            <w:vAlign w:val="center"/>
            <w:hideMark/>
          </w:tcPr>
          <w:p w14:paraId="3A105FA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0.070</w:t>
            </w:r>
          </w:p>
        </w:tc>
        <w:tc>
          <w:tcPr>
            <w:tcW w:w="0" w:type="auto"/>
            <w:tcBorders>
              <w:top w:val="nil"/>
              <w:left w:val="nil"/>
              <w:bottom w:val="nil"/>
              <w:right w:val="nil"/>
            </w:tcBorders>
            <w:shd w:val="clear" w:color="auto" w:fill="auto"/>
            <w:noWrap/>
            <w:vAlign w:val="center"/>
            <w:hideMark/>
          </w:tcPr>
          <w:p w14:paraId="213242B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0.212</w:t>
            </w:r>
          </w:p>
        </w:tc>
        <w:tc>
          <w:tcPr>
            <w:tcW w:w="0" w:type="auto"/>
            <w:tcBorders>
              <w:top w:val="nil"/>
              <w:left w:val="nil"/>
              <w:bottom w:val="nil"/>
              <w:right w:val="nil"/>
            </w:tcBorders>
            <w:shd w:val="clear" w:color="auto" w:fill="auto"/>
            <w:noWrap/>
            <w:vAlign w:val="center"/>
            <w:hideMark/>
          </w:tcPr>
          <w:p w14:paraId="20353C8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[–0.346, 0.486]</w:t>
            </w:r>
          </w:p>
        </w:tc>
        <w:tc>
          <w:tcPr>
            <w:tcW w:w="0" w:type="auto"/>
            <w:tcBorders>
              <w:top w:val="nil"/>
              <w:left w:val="nil"/>
              <w:bottom w:val="nil"/>
              <w:right w:val="nil"/>
            </w:tcBorders>
            <w:shd w:val="clear" w:color="auto" w:fill="auto"/>
            <w:noWrap/>
            <w:vAlign w:val="center"/>
            <w:hideMark/>
          </w:tcPr>
          <w:p w14:paraId="35607BD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0.092</w:t>
            </w:r>
          </w:p>
        </w:tc>
        <w:tc>
          <w:tcPr>
            <w:tcW w:w="0" w:type="auto"/>
            <w:tcBorders>
              <w:top w:val="nil"/>
              <w:left w:val="nil"/>
              <w:bottom w:val="nil"/>
              <w:right w:val="nil"/>
            </w:tcBorders>
            <w:shd w:val="clear" w:color="auto" w:fill="auto"/>
            <w:noWrap/>
            <w:vAlign w:val="center"/>
            <w:hideMark/>
          </w:tcPr>
          <w:p w14:paraId="517B845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0.213</w:t>
            </w:r>
          </w:p>
        </w:tc>
        <w:tc>
          <w:tcPr>
            <w:tcW w:w="0" w:type="auto"/>
            <w:tcBorders>
              <w:top w:val="nil"/>
              <w:left w:val="nil"/>
              <w:bottom w:val="nil"/>
              <w:right w:val="nil"/>
            </w:tcBorders>
            <w:shd w:val="clear" w:color="auto" w:fill="auto"/>
            <w:noWrap/>
            <w:vAlign w:val="center"/>
            <w:hideMark/>
          </w:tcPr>
          <w:p w14:paraId="0A905E3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[–0.326, 0.511]</w:t>
            </w:r>
          </w:p>
        </w:tc>
        <w:tc>
          <w:tcPr>
            <w:tcW w:w="0" w:type="auto"/>
            <w:tcBorders>
              <w:top w:val="nil"/>
              <w:left w:val="nil"/>
              <w:bottom w:val="nil"/>
              <w:right w:val="nil"/>
            </w:tcBorders>
            <w:shd w:val="clear" w:color="auto" w:fill="auto"/>
            <w:noWrap/>
            <w:vAlign w:val="center"/>
            <w:hideMark/>
          </w:tcPr>
          <w:p w14:paraId="5F7B135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0.109</w:t>
            </w:r>
          </w:p>
        </w:tc>
        <w:tc>
          <w:tcPr>
            <w:tcW w:w="0" w:type="auto"/>
            <w:tcBorders>
              <w:top w:val="nil"/>
              <w:left w:val="nil"/>
              <w:bottom w:val="nil"/>
              <w:right w:val="nil"/>
            </w:tcBorders>
            <w:shd w:val="clear" w:color="auto" w:fill="auto"/>
            <w:noWrap/>
            <w:vAlign w:val="center"/>
            <w:hideMark/>
          </w:tcPr>
          <w:p w14:paraId="0FA19C4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0.213</w:t>
            </w:r>
          </w:p>
        </w:tc>
        <w:tc>
          <w:tcPr>
            <w:tcW w:w="0" w:type="auto"/>
            <w:tcBorders>
              <w:top w:val="nil"/>
              <w:left w:val="nil"/>
              <w:bottom w:val="nil"/>
              <w:right w:val="nil"/>
            </w:tcBorders>
            <w:shd w:val="clear" w:color="auto" w:fill="auto"/>
            <w:noWrap/>
            <w:vAlign w:val="center"/>
            <w:hideMark/>
          </w:tcPr>
          <w:p w14:paraId="45F598C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[–0.309, 0.527]</w:t>
            </w:r>
          </w:p>
        </w:tc>
      </w:tr>
      <w:tr w:rsidR="00F30B53" w:rsidRPr="00F30B53" w14:paraId="1610FEC8" w14:textId="77777777" w:rsidTr="00F30B53">
        <w:trPr>
          <w:trHeight w:val="215"/>
        </w:trPr>
        <w:tc>
          <w:tcPr>
            <w:tcW w:w="0" w:type="auto"/>
            <w:tcBorders>
              <w:top w:val="nil"/>
              <w:left w:val="nil"/>
              <w:bottom w:val="nil"/>
              <w:right w:val="nil"/>
            </w:tcBorders>
            <w:shd w:val="clear" w:color="auto" w:fill="auto"/>
            <w:noWrap/>
            <w:hideMark/>
          </w:tcPr>
          <w:p w14:paraId="4ED442EC" w14:textId="77777777" w:rsidR="00F30B53" w:rsidRPr="00F30B53" w:rsidRDefault="00F30B53" w:rsidP="00F30B53">
            <w:pPr>
              <w:spacing w:line="240" w:lineRule="auto"/>
              <w:rPr>
                <w:rFonts w:eastAsia="Times New Roman" w:cs="Times New Roman"/>
                <w:i/>
                <w:iCs/>
                <w:color w:val="000000"/>
                <w:sz w:val="16"/>
                <w:szCs w:val="16"/>
                <w:lang w:val="en-GB" w:eastAsia="zh-CN"/>
              </w:rPr>
            </w:pPr>
            <w:r w:rsidRPr="00F30B53">
              <w:rPr>
                <w:rFonts w:eastAsia="Times New Roman" w:cs="Times New Roman"/>
                <w:i/>
                <w:iCs/>
                <w:color w:val="000000"/>
                <w:sz w:val="16"/>
                <w:szCs w:val="16"/>
                <w:lang w:val="en-GB" w:eastAsia="zh-CN"/>
              </w:rPr>
              <w:t>Interactions</w:t>
            </w:r>
          </w:p>
        </w:tc>
        <w:tc>
          <w:tcPr>
            <w:tcW w:w="0" w:type="auto"/>
            <w:tcBorders>
              <w:top w:val="nil"/>
              <w:left w:val="nil"/>
              <w:bottom w:val="nil"/>
              <w:right w:val="nil"/>
            </w:tcBorders>
            <w:shd w:val="clear" w:color="auto" w:fill="auto"/>
            <w:noWrap/>
            <w:vAlign w:val="center"/>
            <w:hideMark/>
          </w:tcPr>
          <w:p w14:paraId="40183878" w14:textId="77777777" w:rsidR="00F30B53" w:rsidRPr="00F30B53" w:rsidRDefault="00F30B53" w:rsidP="00F30B53">
            <w:pPr>
              <w:spacing w:line="240" w:lineRule="auto"/>
              <w:rPr>
                <w:rFonts w:eastAsia="Times New Roman" w:cs="Times New Roman"/>
                <w:i/>
                <w:iCs/>
                <w:color w:val="000000"/>
                <w:sz w:val="16"/>
                <w:szCs w:val="16"/>
                <w:lang w:val="en-GB" w:eastAsia="zh-CN"/>
              </w:rPr>
            </w:pPr>
          </w:p>
        </w:tc>
        <w:tc>
          <w:tcPr>
            <w:tcW w:w="0" w:type="auto"/>
            <w:tcBorders>
              <w:top w:val="nil"/>
              <w:left w:val="nil"/>
              <w:bottom w:val="nil"/>
              <w:right w:val="nil"/>
            </w:tcBorders>
            <w:shd w:val="clear" w:color="auto" w:fill="auto"/>
            <w:noWrap/>
            <w:vAlign w:val="center"/>
            <w:hideMark/>
          </w:tcPr>
          <w:p w14:paraId="7C3B1A2C"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02680E3D"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6CF6DE33"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55B73287"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701A5A74"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3E0D062F"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14B2FE3C"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31D01060" w14:textId="77777777" w:rsidR="00F30B53" w:rsidRPr="00F30B53" w:rsidRDefault="00F30B53" w:rsidP="00F30B53">
            <w:pPr>
              <w:spacing w:line="240" w:lineRule="auto"/>
              <w:jc w:val="center"/>
              <w:rPr>
                <w:rFonts w:eastAsia="Times New Roman" w:cs="Times New Roman"/>
                <w:sz w:val="20"/>
                <w:szCs w:val="20"/>
                <w:lang w:val="en-GB" w:eastAsia="zh-CN"/>
              </w:rPr>
            </w:pPr>
          </w:p>
        </w:tc>
      </w:tr>
      <w:tr w:rsidR="00F30B53" w:rsidRPr="00F30B53" w14:paraId="2B5A39CA" w14:textId="77777777" w:rsidTr="00F30B53">
        <w:trPr>
          <w:trHeight w:val="217"/>
        </w:trPr>
        <w:tc>
          <w:tcPr>
            <w:tcW w:w="0" w:type="auto"/>
            <w:tcBorders>
              <w:top w:val="nil"/>
              <w:left w:val="nil"/>
              <w:bottom w:val="nil"/>
              <w:right w:val="nil"/>
            </w:tcBorders>
            <w:shd w:val="clear" w:color="auto" w:fill="auto"/>
            <w:vAlign w:val="bottom"/>
            <w:hideMark/>
          </w:tcPr>
          <w:p w14:paraId="250AF235" w14:textId="181D9B00" w:rsidR="00F30B53" w:rsidRPr="00F30B53" w:rsidRDefault="00627501" w:rsidP="00F30B53">
            <w:pPr>
              <w:spacing w:line="240" w:lineRule="auto"/>
              <w:ind w:firstLineChars="200" w:firstLine="320"/>
              <w:rPr>
                <w:rFonts w:eastAsia="Times New Roman" w:cs="Times New Roman"/>
                <w:color w:val="000000"/>
                <w:sz w:val="16"/>
                <w:szCs w:val="16"/>
                <w:lang w:val="en-GB" w:eastAsia="zh-CN"/>
              </w:rPr>
            </w:pPr>
            <w:r>
              <w:rPr>
                <w:rFonts w:eastAsia="Times New Roman" w:cs="Times New Roman"/>
                <w:color w:val="000000"/>
                <w:sz w:val="16"/>
                <w:szCs w:val="16"/>
                <w:lang w:val="en-GB" w:eastAsia="zh-CN"/>
              </w:rPr>
              <w:t>Matching design</w:t>
            </w:r>
            <w:r w:rsidRPr="00F30B53">
              <w:rPr>
                <w:rFonts w:eastAsia="Times New Roman" w:cs="Times New Roman"/>
                <w:color w:val="000000"/>
                <w:sz w:val="16"/>
                <w:szCs w:val="16"/>
                <w:lang w:val="en-GB" w:eastAsia="zh-CN"/>
              </w:rPr>
              <w:t>-</w:t>
            </w:r>
            <w:r>
              <w:rPr>
                <w:rFonts w:eastAsia="Times New Roman" w:cs="Times New Roman"/>
                <w:color w:val="000000"/>
                <w:sz w:val="16"/>
                <w:szCs w:val="16"/>
                <w:lang w:val="en-GB" w:eastAsia="zh-CN"/>
              </w:rPr>
              <w:t>partner</w:t>
            </w:r>
            <w:r w:rsidR="00F30B53" w:rsidRPr="00F30B53">
              <w:rPr>
                <w:rFonts w:eastAsia="Times New Roman" w:cs="Times New Roman"/>
                <w:color w:val="000000"/>
                <w:sz w:val="16"/>
                <w:szCs w:val="16"/>
                <w:lang w:val="en-GB" w:eastAsia="zh-CN"/>
              </w:rPr>
              <w:t>*Game incentive-yes</w:t>
            </w:r>
          </w:p>
        </w:tc>
        <w:tc>
          <w:tcPr>
            <w:tcW w:w="0" w:type="auto"/>
            <w:tcBorders>
              <w:top w:val="nil"/>
              <w:left w:val="nil"/>
              <w:bottom w:val="nil"/>
              <w:right w:val="nil"/>
            </w:tcBorders>
            <w:shd w:val="clear" w:color="auto" w:fill="auto"/>
            <w:noWrap/>
            <w:vAlign w:val="center"/>
            <w:hideMark/>
          </w:tcPr>
          <w:p w14:paraId="2FFAB3E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0.233</w:t>
            </w:r>
          </w:p>
        </w:tc>
        <w:tc>
          <w:tcPr>
            <w:tcW w:w="0" w:type="auto"/>
            <w:tcBorders>
              <w:top w:val="nil"/>
              <w:left w:val="nil"/>
              <w:bottom w:val="nil"/>
              <w:right w:val="nil"/>
            </w:tcBorders>
            <w:shd w:val="clear" w:color="auto" w:fill="auto"/>
            <w:noWrap/>
            <w:vAlign w:val="center"/>
            <w:hideMark/>
          </w:tcPr>
          <w:p w14:paraId="3FD42D7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0.119</w:t>
            </w:r>
          </w:p>
        </w:tc>
        <w:tc>
          <w:tcPr>
            <w:tcW w:w="0" w:type="auto"/>
            <w:tcBorders>
              <w:top w:val="nil"/>
              <w:left w:val="nil"/>
              <w:bottom w:val="nil"/>
              <w:right w:val="nil"/>
            </w:tcBorders>
            <w:shd w:val="clear" w:color="auto" w:fill="auto"/>
            <w:noWrap/>
            <w:vAlign w:val="center"/>
            <w:hideMark/>
          </w:tcPr>
          <w:p w14:paraId="49E0D67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 0.466]</w:t>
            </w:r>
          </w:p>
        </w:tc>
        <w:tc>
          <w:tcPr>
            <w:tcW w:w="0" w:type="auto"/>
            <w:tcBorders>
              <w:top w:val="nil"/>
              <w:left w:val="nil"/>
              <w:bottom w:val="nil"/>
              <w:right w:val="nil"/>
            </w:tcBorders>
            <w:shd w:val="clear" w:color="auto" w:fill="auto"/>
            <w:noWrap/>
            <w:vAlign w:val="center"/>
            <w:hideMark/>
          </w:tcPr>
          <w:p w14:paraId="519081D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2FD1596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D5F0DB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29E351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5A68A19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7B0C8BC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r>
      <w:tr w:rsidR="00F30B53" w:rsidRPr="00F30B53" w14:paraId="0C6DA7AC" w14:textId="77777777" w:rsidTr="00F30B53">
        <w:trPr>
          <w:trHeight w:val="217"/>
        </w:trPr>
        <w:tc>
          <w:tcPr>
            <w:tcW w:w="0" w:type="auto"/>
            <w:tcBorders>
              <w:top w:val="nil"/>
              <w:left w:val="nil"/>
              <w:bottom w:val="nil"/>
              <w:right w:val="nil"/>
            </w:tcBorders>
            <w:shd w:val="clear" w:color="auto" w:fill="auto"/>
            <w:vAlign w:val="bottom"/>
            <w:hideMark/>
          </w:tcPr>
          <w:p w14:paraId="3F67C9BB" w14:textId="33B86157" w:rsidR="00F30B53" w:rsidRPr="00F30B53" w:rsidRDefault="00627501" w:rsidP="00F30B53">
            <w:pPr>
              <w:spacing w:line="240" w:lineRule="auto"/>
              <w:ind w:firstLineChars="200" w:firstLine="320"/>
              <w:rPr>
                <w:rFonts w:eastAsia="Times New Roman" w:cs="Times New Roman"/>
                <w:color w:val="000000"/>
                <w:sz w:val="16"/>
                <w:szCs w:val="16"/>
                <w:lang w:val="en-GB" w:eastAsia="zh-CN"/>
              </w:rPr>
            </w:pPr>
            <w:r>
              <w:rPr>
                <w:rFonts w:eastAsia="Times New Roman" w:cs="Times New Roman"/>
                <w:color w:val="000000"/>
                <w:sz w:val="16"/>
                <w:szCs w:val="16"/>
                <w:lang w:val="en-GB" w:eastAsia="zh-CN"/>
              </w:rPr>
              <w:t>Matching design</w:t>
            </w:r>
            <w:r w:rsidRPr="00F30B53">
              <w:rPr>
                <w:rFonts w:eastAsia="Times New Roman" w:cs="Times New Roman"/>
                <w:color w:val="000000"/>
                <w:sz w:val="16"/>
                <w:szCs w:val="16"/>
                <w:lang w:val="en-GB" w:eastAsia="zh-CN"/>
              </w:rPr>
              <w:t>-mixed</w:t>
            </w:r>
            <w:r w:rsidR="00F30B53" w:rsidRPr="00F30B53">
              <w:rPr>
                <w:rFonts w:eastAsia="Times New Roman" w:cs="Times New Roman"/>
                <w:color w:val="000000"/>
                <w:sz w:val="16"/>
                <w:szCs w:val="16"/>
                <w:lang w:val="en-GB" w:eastAsia="zh-CN"/>
              </w:rPr>
              <w:t>*Game incentive-yes</w:t>
            </w:r>
          </w:p>
        </w:tc>
        <w:tc>
          <w:tcPr>
            <w:tcW w:w="0" w:type="auto"/>
            <w:tcBorders>
              <w:top w:val="nil"/>
              <w:left w:val="nil"/>
              <w:bottom w:val="nil"/>
              <w:right w:val="nil"/>
            </w:tcBorders>
            <w:shd w:val="clear" w:color="auto" w:fill="auto"/>
            <w:noWrap/>
            <w:vAlign w:val="center"/>
            <w:hideMark/>
          </w:tcPr>
          <w:p w14:paraId="0BB2F27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–0.059</w:t>
            </w:r>
          </w:p>
        </w:tc>
        <w:tc>
          <w:tcPr>
            <w:tcW w:w="0" w:type="auto"/>
            <w:tcBorders>
              <w:top w:val="nil"/>
              <w:left w:val="nil"/>
              <w:bottom w:val="nil"/>
              <w:right w:val="nil"/>
            </w:tcBorders>
            <w:shd w:val="clear" w:color="auto" w:fill="auto"/>
            <w:noWrap/>
            <w:vAlign w:val="center"/>
            <w:hideMark/>
          </w:tcPr>
          <w:p w14:paraId="6B0D59E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0.368</w:t>
            </w:r>
          </w:p>
        </w:tc>
        <w:tc>
          <w:tcPr>
            <w:tcW w:w="0" w:type="auto"/>
            <w:tcBorders>
              <w:top w:val="nil"/>
              <w:left w:val="nil"/>
              <w:bottom w:val="nil"/>
              <w:right w:val="nil"/>
            </w:tcBorders>
            <w:shd w:val="clear" w:color="auto" w:fill="auto"/>
            <w:noWrap/>
            <w:vAlign w:val="center"/>
            <w:hideMark/>
          </w:tcPr>
          <w:p w14:paraId="7A400C5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[–0.780, 0.662]</w:t>
            </w:r>
          </w:p>
        </w:tc>
        <w:tc>
          <w:tcPr>
            <w:tcW w:w="0" w:type="auto"/>
            <w:tcBorders>
              <w:top w:val="nil"/>
              <w:left w:val="nil"/>
              <w:bottom w:val="nil"/>
              <w:right w:val="nil"/>
            </w:tcBorders>
            <w:shd w:val="clear" w:color="auto" w:fill="auto"/>
            <w:noWrap/>
            <w:vAlign w:val="center"/>
            <w:hideMark/>
          </w:tcPr>
          <w:p w14:paraId="0625B89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7026B2F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7ABDC1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372605E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48BCB88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AFFA51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r>
      <w:tr w:rsidR="00F30B53" w:rsidRPr="00F30B53" w14:paraId="6BB80D85" w14:textId="77777777" w:rsidTr="00F30B53">
        <w:trPr>
          <w:trHeight w:val="217"/>
        </w:trPr>
        <w:tc>
          <w:tcPr>
            <w:tcW w:w="0" w:type="auto"/>
            <w:tcBorders>
              <w:top w:val="nil"/>
              <w:left w:val="nil"/>
              <w:bottom w:val="nil"/>
              <w:right w:val="nil"/>
            </w:tcBorders>
            <w:shd w:val="clear" w:color="auto" w:fill="auto"/>
            <w:vAlign w:val="bottom"/>
            <w:hideMark/>
          </w:tcPr>
          <w:p w14:paraId="65C62110" w14:textId="1F350A4A" w:rsidR="00F30B53" w:rsidRPr="00F30B53" w:rsidRDefault="00627501" w:rsidP="00F30B53">
            <w:pPr>
              <w:spacing w:line="240" w:lineRule="auto"/>
              <w:ind w:firstLineChars="200" w:firstLine="320"/>
              <w:rPr>
                <w:rFonts w:eastAsia="Times New Roman" w:cs="Times New Roman"/>
                <w:color w:val="000000"/>
                <w:sz w:val="16"/>
                <w:szCs w:val="16"/>
                <w:lang w:val="en-GB" w:eastAsia="zh-CN"/>
              </w:rPr>
            </w:pPr>
            <w:r>
              <w:rPr>
                <w:rFonts w:eastAsia="Times New Roman" w:cs="Times New Roman"/>
                <w:color w:val="000000"/>
                <w:sz w:val="16"/>
                <w:szCs w:val="16"/>
                <w:lang w:val="en-GB" w:eastAsia="zh-CN"/>
              </w:rPr>
              <w:t>Matching design</w:t>
            </w:r>
            <w:r w:rsidRPr="00F30B53">
              <w:rPr>
                <w:rFonts w:eastAsia="Times New Roman" w:cs="Times New Roman"/>
                <w:color w:val="000000"/>
                <w:sz w:val="16"/>
                <w:szCs w:val="16"/>
                <w:lang w:val="en-GB" w:eastAsia="zh-CN"/>
              </w:rPr>
              <w:t>-</w:t>
            </w:r>
            <w:r>
              <w:rPr>
                <w:rFonts w:eastAsia="Times New Roman" w:cs="Times New Roman"/>
                <w:color w:val="000000"/>
                <w:sz w:val="16"/>
                <w:szCs w:val="16"/>
                <w:lang w:val="en-GB" w:eastAsia="zh-CN"/>
              </w:rPr>
              <w:t>partner</w:t>
            </w:r>
            <w:r w:rsidR="00F30B53" w:rsidRPr="00F30B53">
              <w:rPr>
                <w:rFonts w:eastAsia="Times New Roman" w:cs="Times New Roman"/>
                <w:color w:val="000000"/>
                <w:sz w:val="16"/>
                <w:szCs w:val="16"/>
                <w:lang w:val="en-GB" w:eastAsia="zh-CN"/>
              </w:rPr>
              <w:t>*Game incentive-mixed</w:t>
            </w:r>
          </w:p>
        </w:tc>
        <w:tc>
          <w:tcPr>
            <w:tcW w:w="0" w:type="auto"/>
            <w:tcBorders>
              <w:top w:val="nil"/>
              <w:left w:val="nil"/>
              <w:bottom w:val="nil"/>
              <w:right w:val="nil"/>
            </w:tcBorders>
            <w:shd w:val="clear" w:color="auto" w:fill="auto"/>
            <w:noWrap/>
            <w:vAlign w:val="center"/>
            <w:hideMark/>
          </w:tcPr>
          <w:p w14:paraId="7CEF49C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0.576</w:t>
            </w:r>
          </w:p>
        </w:tc>
        <w:tc>
          <w:tcPr>
            <w:tcW w:w="0" w:type="auto"/>
            <w:tcBorders>
              <w:top w:val="nil"/>
              <w:left w:val="nil"/>
              <w:bottom w:val="nil"/>
              <w:right w:val="nil"/>
            </w:tcBorders>
            <w:shd w:val="clear" w:color="auto" w:fill="auto"/>
            <w:noWrap/>
            <w:vAlign w:val="center"/>
            <w:hideMark/>
          </w:tcPr>
          <w:p w14:paraId="02EDADB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0.622</w:t>
            </w:r>
          </w:p>
        </w:tc>
        <w:tc>
          <w:tcPr>
            <w:tcW w:w="0" w:type="auto"/>
            <w:tcBorders>
              <w:top w:val="nil"/>
              <w:left w:val="nil"/>
              <w:bottom w:val="nil"/>
              <w:right w:val="nil"/>
            </w:tcBorders>
            <w:shd w:val="clear" w:color="auto" w:fill="auto"/>
            <w:noWrap/>
            <w:vAlign w:val="center"/>
            <w:hideMark/>
          </w:tcPr>
          <w:p w14:paraId="732DD9E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[–0.644, 1.797]</w:t>
            </w:r>
          </w:p>
        </w:tc>
        <w:tc>
          <w:tcPr>
            <w:tcW w:w="0" w:type="auto"/>
            <w:tcBorders>
              <w:top w:val="nil"/>
              <w:left w:val="nil"/>
              <w:bottom w:val="nil"/>
              <w:right w:val="nil"/>
            </w:tcBorders>
            <w:shd w:val="clear" w:color="auto" w:fill="auto"/>
            <w:noWrap/>
            <w:vAlign w:val="center"/>
            <w:hideMark/>
          </w:tcPr>
          <w:p w14:paraId="410E963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67A5BE9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5C8D249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2DC23D4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FB5A70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46D4C5E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r>
      <w:tr w:rsidR="00F30B53" w:rsidRPr="00F30B53" w14:paraId="78704C8B" w14:textId="77777777" w:rsidTr="00F30B53">
        <w:trPr>
          <w:trHeight w:val="217"/>
        </w:trPr>
        <w:tc>
          <w:tcPr>
            <w:tcW w:w="0" w:type="auto"/>
            <w:tcBorders>
              <w:top w:val="nil"/>
              <w:left w:val="nil"/>
              <w:bottom w:val="nil"/>
              <w:right w:val="nil"/>
            </w:tcBorders>
            <w:shd w:val="clear" w:color="auto" w:fill="auto"/>
            <w:vAlign w:val="bottom"/>
            <w:hideMark/>
          </w:tcPr>
          <w:p w14:paraId="0EEB9DC8" w14:textId="020D9724" w:rsidR="00F30B53" w:rsidRPr="00F30B53" w:rsidRDefault="00627501" w:rsidP="00F30B53">
            <w:pPr>
              <w:spacing w:line="240" w:lineRule="auto"/>
              <w:ind w:firstLineChars="200" w:firstLine="320"/>
              <w:rPr>
                <w:rFonts w:eastAsia="Times New Roman" w:cs="Times New Roman"/>
                <w:color w:val="000000"/>
                <w:sz w:val="16"/>
                <w:szCs w:val="16"/>
                <w:lang w:val="en-GB" w:eastAsia="zh-CN"/>
              </w:rPr>
            </w:pPr>
            <w:r>
              <w:rPr>
                <w:rFonts w:eastAsia="Times New Roman" w:cs="Times New Roman"/>
                <w:color w:val="000000"/>
                <w:sz w:val="16"/>
                <w:szCs w:val="16"/>
                <w:lang w:val="en-GB" w:eastAsia="zh-CN"/>
              </w:rPr>
              <w:t>Matching design</w:t>
            </w:r>
            <w:r w:rsidRPr="00F30B53">
              <w:rPr>
                <w:rFonts w:eastAsia="Times New Roman" w:cs="Times New Roman"/>
                <w:color w:val="000000"/>
                <w:sz w:val="16"/>
                <w:szCs w:val="16"/>
                <w:lang w:val="en-GB" w:eastAsia="zh-CN"/>
              </w:rPr>
              <w:t>-mixed</w:t>
            </w:r>
            <w:r w:rsidR="00F30B53" w:rsidRPr="00F30B53">
              <w:rPr>
                <w:rFonts w:eastAsia="Times New Roman" w:cs="Times New Roman"/>
                <w:color w:val="000000"/>
                <w:sz w:val="16"/>
                <w:szCs w:val="16"/>
                <w:lang w:val="en-GB" w:eastAsia="zh-CN"/>
              </w:rPr>
              <w:t>*Game incentive-mixed</w:t>
            </w:r>
          </w:p>
        </w:tc>
        <w:tc>
          <w:tcPr>
            <w:tcW w:w="0" w:type="auto"/>
            <w:tcBorders>
              <w:top w:val="nil"/>
              <w:left w:val="nil"/>
              <w:bottom w:val="nil"/>
              <w:right w:val="nil"/>
            </w:tcBorders>
            <w:shd w:val="clear" w:color="auto" w:fill="auto"/>
            <w:noWrap/>
            <w:vAlign w:val="center"/>
            <w:hideMark/>
          </w:tcPr>
          <w:p w14:paraId="0010BBE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–0.433</w:t>
            </w:r>
          </w:p>
        </w:tc>
        <w:tc>
          <w:tcPr>
            <w:tcW w:w="0" w:type="auto"/>
            <w:tcBorders>
              <w:top w:val="nil"/>
              <w:left w:val="nil"/>
              <w:bottom w:val="nil"/>
              <w:right w:val="nil"/>
            </w:tcBorders>
            <w:shd w:val="clear" w:color="auto" w:fill="auto"/>
            <w:noWrap/>
            <w:vAlign w:val="center"/>
            <w:hideMark/>
          </w:tcPr>
          <w:p w14:paraId="1D045F6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0.836</w:t>
            </w:r>
          </w:p>
        </w:tc>
        <w:tc>
          <w:tcPr>
            <w:tcW w:w="0" w:type="auto"/>
            <w:tcBorders>
              <w:top w:val="nil"/>
              <w:left w:val="nil"/>
              <w:bottom w:val="nil"/>
              <w:right w:val="nil"/>
            </w:tcBorders>
            <w:shd w:val="clear" w:color="auto" w:fill="auto"/>
            <w:noWrap/>
            <w:vAlign w:val="center"/>
            <w:hideMark/>
          </w:tcPr>
          <w:p w14:paraId="4BCC18B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[–2.073, 1.207]</w:t>
            </w:r>
          </w:p>
        </w:tc>
        <w:tc>
          <w:tcPr>
            <w:tcW w:w="0" w:type="auto"/>
            <w:tcBorders>
              <w:top w:val="nil"/>
              <w:left w:val="nil"/>
              <w:bottom w:val="nil"/>
              <w:right w:val="nil"/>
            </w:tcBorders>
            <w:shd w:val="clear" w:color="auto" w:fill="auto"/>
            <w:noWrap/>
            <w:vAlign w:val="center"/>
            <w:hideMark/>
          </w:tcPr>
          <w:p w14:paraId="6FDD952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22AFBD2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4AF76B3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0D9CB3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E56D95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34DC09C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r>
      <w:tr w:rsidR="00F30B53" w:rsidRPr="00F30B53" w14:paraId="44C03348" w14:textId="77777777" w:rsidTr="00F30B53">
        <w:trPr>
          <w:trHeight w:val="217"/>
        </w:trPr>
        <w:tc>
          <w:tcPr>
            <w:tcW w:w="0" w:type="auto"/>
            <w:tcBorders>
              <w:top w:val="nil"/>
              <w:left w:val="nil"/>
              <w:bottom w:val="nil"/>
              <w:right w:val="nil"/>
            </w:tcBorders>
            <w:shd w:val="clear" w:color="auto" w:fill="auto"/>
            <w:vAlign w:val="bottom"/>
            <w:hideMark/>
          </w:tcPr>
          <w:p w14:paraId="07355940" w14:textId="31163979" w:rsidR="00F30B53" w:rsidRPr="00F30B53" w:rsidRDefault="00627501" w:rsidP="00F30B53">
            <w:pPr>
              <w:spacing w:line="240" w:lineRule="auto"/>
              <w:ind w:firstLineChars="200" w:firstLine="320"/>
              <w:rPr>
                <w:rFonts w:eastAsia="Times New Roman" w:cs="Times New Roman"/>
                <w:color w:val="000000"/>
                <w:sz w:val="16"/>
                <w:szCs w:val="16"/>
                <w:lang w:val="en-GB" w:eastAsia="zh-CN"/>
              </w:rPr>
            </w:pPr>
            <w:r>
              <w:rPr>
                <w:rFonts w:eastAsia="Times New Roman" w:cs="Times New Roman"/>
                <w:color w:val="000000"/>
                <w:sz w:val="16"/>
                <w:szCs w:val="16"/>
                <w:lang w:val="en-GB" w:eastAsia="zh-CN"/>
              </w:rPr>
              <w:t>Matching design</w:t>
            </w:r>
            <w:r w:rsidRPr="00F30B53">
              <w:rPr>
                <w:rFonts w:eastAsia="Times New Roman" w:cs="Times New Roman"/>
                <w:color w:val="000000"/>
                <w:sz w:val="16"/>
                <w:szCs w:val="16"/>
                <w:lang w:val="en-GB" w:eastAsia="zh-CN"/>
              </w:rPr>
              <w:t>-</w:t>
            </w:r>
            <w:r>
              <w:rPr>
                <w:rFonts w:eastAsia="Times New Roman" w:cs="Times New Roman"/>
                <w:color w:val="000000"/>
                <w:sz w:val="16"/>
                <w:szCs w:val="16"/>
                <w:lang w:val="en-GB" w:eastAsia="zh-CN"/>
              </w:rPr>
              <w:t>partner</w:t>
            </w:r>
            <w:r w:rsidR="00F30B53" w:rsidRPr="00F30B53">
              <w:rPr>
                <w:rFonts w:eastAsia="Times New Roman" w:cs="Times New Roman"/>
                <w:color w:val="000000"/>
                <w:sz w:val="16"/>
                <w:szCs w:val="16"/>
                <w:lang w:val="en-GB" w:eastAsia="zh-CN"/>
              </w:rPr>
              <w:t>*Game incentive type Ⅰ-non lottery</w:t>
            </w:r>
          </w:p>
        </w:tc>
        <w:tc>
          <w:tcPr>
            <w:tcW w:w="0" w:type="auto"/>
            <w:tcBorders>
              <w:top w:val="nil"/>
              <w:left w:val="nil"/>
              <w:bottom w:val="nil"/>
              <w:right w:val="nil"/>
            </w:tcBorders>
            <w:shd w:val="clear" w:color="auto" w:fill="auto"/>
            <w:noWrap/>
            <w:vAlign w:val="center"/>
            <w:hideMark/>
          </w:tcPr>
          <w:p w14:paraId="24AD9D5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3379786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560C0B6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271EA3B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0.082</w:t>
            </w:r>
          </w:p>
        </w:tc>
        <w:tc>
          <w:tcPr>
            <w:tcW w:w="0" w:type="auto"/>
            <w:tcBorders>
              <w:top w:val="nil"/>
              <w:left w:val="nil"/>
              <w:bottom w:val="nil"/>
              <w:right w:val="nil"/>
            </w:tcBorders>
            <w:shd w:val="clear" w:color="auto" w:fill="auto"/>
            <w:noWrap/>
            <w:vAlign w:val="center"/>
            <w:hideMark/>
          </w:tcPr>
          <w:p w14:paraId="5D7C9FB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0.114</w:t>
            </w:r>
          </w:p>
        </w:tc>
        <w:tc>
          <w:tcPr>
            <w:tcW w:w="0" w:type="auto"/>
            <w:tcBorders>
              <w:top w:val="nil"/>
              <w:left w:val="nil"/>
              <w:bottom w:val="nil"/>
              <w:right w:val="nil"/>
            </w:tcBorders>
            <w:shd w:val="clear" w:color="auto" w:fill="auto"/>
            <w:noWrap/>
            <w:vAlign w:val="center"/>
            <w:hideMark/>
          </w:tcPr>
          <w:p w14:paraId="11090F3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[–0.142, 0.306]</w:t>
            </w:r>
          </w:p>
        </w:tc>
        <w:tc>
          <w:tcPr>
            <w:tcW w:w="0" w:type="auto"/>
            <w:tcBorders>
              <w:top w:val="nil"/>
              <w:left w:val="nil"/>
              <w:bottom w:val="nil"/>
              <w:right w:val="nil"/>
            </w:tcBorders>
            <w:shd w:val="clear" w:color="auto" w:fill="auto"/>
            <w:noWrap/>
            <w:vAlign w:val="center"/>
            <w:hideMark/>
          </w:tcPr>
          <w:p w14:paraId="2398BC7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3583102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00E6EE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r>
      <w:tr w:rsidR="00F30B53" w:rsidRPr="00F30B53" w14:paraId="55D364A3" w14:textId="77777777" w:rsidTr="00F30B53">
        <w:trPr>
          <w:trHeight w:val="217"/>
        </w:trPr>
        <w:tc>
          <w:tcPr>
            <w:tcW w:w="0" w:type="auto"/>
            <w:tcBorders>
              <w:top w:val="nil"/>
              <w:left w:val="nil"/>
              <w:bottom w:val="nil"/>
              <w:right w:val="nil"/>
            </w:tcBorders>
            <w:shd w:val="clear" w:color="auto" w:fill="auto"/>
            <w:vAlign w:val="bottom"/>
            <w:hideMark/>
          </w:tcPr>
          <w:p w14:paraId="1C7C3BEF" w14:textId="36C682CC" w:rsidR="00F30B53" w:rsidRPr="00F30B53" w:rsidRDefault="00627501" w:rsidP="00F30B53">
            <w:pPr>
              <w:spacing w:line="240" w:lineRule="auto"/>
              <w:ind w:firstLineChars="200" w:firstLine="320"/>
              <w:rPr>
                <w:rFonts w:eastAsia="Times New Roman" w:cs="Times New Roman"/>
                <w:color w:val="000000"/>
                <w:sz w:val="16"/>
                <w:szCs w:val="16"/>
                <w:lang w:val="en-GB" w:eastAsia="zh-CN"/>
              </w:rPr>
            </w:pPr>
            <w:r>
              <w:rPr>
                <w:rFonts w:eastAsia="Times New Roman" w:cs="Times New Roman"/>
                <w:color w:val="000000"/>
                <w:sz w:val="16"/>
                <w:szCs w:val="16"/>
                <w:lang w:val="en-GB" w:eastAsia="zh-CN"/>
              </w:rPr>
              <w:t>Matching design</w:t>
            </w:r>
            <w:r w:rsidRPr="00F30B53">
              <w:rPr>
                <w:rFonts w:eastAsia="Times New Roman" w:cs="Times New Roman"/>
                <w:color w:val="000000"/>
                <w:sz w:val="16"/>
                <w:szCs w:val="16"/>
                <w:lang w:val="en-GB" w:eastAsia="zh-CN"/>
              </w:rPr>
              <w:t>-mixed</w:t>
            </w:r>
            <w:r w:rsidR="00F30B53" w:rsidRPr="00F30B53">
              <w:rPr>
                <w:rFonts w:eastAsia="Times New Roman" w:cs="Times New Roman"/>
                <w:color w:val="000000"/>
                <w:sz w:val="16"/>
                <w:szCs w:val="16"/>
                <w:lang w:val="en-GB" w:eastAsia="zh-CN"/>
              </w:rPr>
              <w:t>*Game incentive type Ⅰ-non lottery</w:t>
            </w:r>
          </w:p>
        </w:tc>
        <w:tc>
          <w:tcPr>
            <w:tcW w:w="0" w:type="auto"/>
            <w:tcBorders>
              <w:top w:val="nil"/>
              <w:left w:val="nil"/>
              <w:bottom w:val="nil"/>
              <w:right w:val="nil"/>
            </w:tcBorders>
            <w:shd w:val="clear" w:color="auto" w:fill="auto"/>
            <w:noWrap/>
            <w:vAlign w:val="center"/>
            <w:hideMark/>
          </w:tcPr>
          <w:p w14:paraId="6513FAB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4A8635D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9CC608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509F282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–0.221</w:t>
            </w:r>
          </w:p>
        </w:tc>
        <w:tc>
          <w:tcPr>
            <w:tcW w:w="0" w:type="auto"/>
            <w:tcBorders>
              <w:top w:val="nil"/>
              <w:left w:val="nil"/>
              <w:bottom w:val="nil"/>
              <w:right w:val="nil"/>
            </w:tcBorders>
            <w:shd w:val="clear" w:color="auto" w:fill="auto"/>
            <w:noWrap/>
            <w:vAlign w:val="center"/>
            <w:hideMark/>
          </w:tcPr>
          <w:p w14:paraId="04D5351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0.357</w:t>
            </w:r>
          </w:p>
        </w:tc>
        <w:tc>
          <w:tcPr>
            <w:tcW w:w="0" w:type="auto"/>
            <w:tcBorders>
              <w:top w:val="nil"/>
              <w:left w:val="nil"/>
              <w:bottom w:val="nil"/>
              <w:right w:val="nil"/>
            </w:tcBorders>
            <w:shd w:val="clear" w:color="auto" w:fill="auto"/>
            <w:noWrap/>
            <w:vAlign w:val="center"/>
            <w:hideMark/>
          </w:tcPr>
          <w:p w14:paraId="02629F0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[–0.922, 0.479]</w:t>
            </w:r>
          </w:p>
        </w:tc>
        <w:tc>
          <w:tcPr>
            <w:tcW w:w="0" w:type="auto"/>
            <w:tcBorders>
              <w:top w:val="nil"/>
              <w:left w:val="nil"/>
              <w:bottom w:val="nil"/>
              <w:right w:val="nil"/>
            </w:tcBorders>
            <w:shd w:val="clear" w:color="auto" w:fill="auto"/>
            <w:noWrap/>
            <w:vAlign w:val="center"/>
            <w:hideMark/>
          </w:tcPr>
          <w:p w14:paraId="1C7BAA0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4F37C51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2991B4D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r>
      <w:tr w:rsidR="00F30B53" w:rsidRPr="00F30B53" w14:paraId="070EE53F" w14:textId="77777777" w:rsidTr="00F30B53">
        <w:trPr>
          <w:trHeight w:val="217"/>
        </w:trPr>
        <w:tc>
          <w:tcPr>
            <w:tcW w:w="0" w:type="auto"/>
            <w:tcBorders>
              <w:top w:val="nil"/>
              <w:left w:val="nil"/>
              <w:bottom w:val="nil"/>
              <w:right w:val="nil"/>
            </w:tcBorders>
            <w:shd w:val="clear" w:color="auto" w:fill="auto"/>
            <w:vAlign w:val="bottom"/>
            <w:hideMark/>
          </w:tcPr>
          <w:p w14:paraId="29C89476" w14:textId="567AE8A7" w:rsidR="00F30B53" w:rsidRPr="00F30B53" w:rsidRDefault="00627501" w:rsidP="00F30B53">
            <w:pPr>
              <w:spacing w:line="240" w:lineRule="auto"/>
              <w:ind w:firstLineChars="200" w:firstLine="320"/>
              <w:rPr>
                <w:rFonts w:eastAsia="Times New Roman" w:cs="Times New Roman"/>
                <w:color w:val="000000"/>
                <w:sz w:val="16"/>
                <w:szCs w:val="16"/>
                <w:lang w:val="en-GB" w:eastAsia="zh-CN"/>
              </w:rPr>
            </w:pPr>
            <w:r>
              <w:rPr>
                <w:rFonts w:eastAsia="Times New Roman" w:cs="Times New Roman"/>
                <w:color w:val="000000"/>
                <w:sz w:val="16"/>
                <w:szCs w:val="16"/>
                <w:lang w:val="en-GB" w:eastAsia="zh-CN"/>
              </w:rPr>
              <w:t>Matching design</w:t>
            </w:r>
            <w:r w:rsidRPr="00F30B53">
              <w:rPr>
                <w:rFonts w:eastAsia="Times New Roman" w:cs="Times New Roman"/>
                <w:color w:val="000000"/>
                <w:sz w:val="16"/>
                <w:szCs w:val="16"/>
                <w:lang w:val="en-GB" w:eastAsia="zh-CN"/>
              </w:rPr>
              <w:t>-</w:t>
            </w:r>
            <w:r>
              <w:rPr>
                <w:rFonts w:eastAsia="Times New Roman" w:cs="Times New Roman"/>
                <w:color w:val="000000"/>
                <w:sz w:val="16"/>
                <w:szCs w:val="16"/>
                <w:lang w:val="en-GB" w:eastAsia="zh-CN"/>
              </w:rPr>
              <w:t>partner</w:t>
            </w:r>
            <w:r w:rsidR="00F30B53" w:rsidRPr="00F30B53">
              <w:rPr>
                <w:rFonts w:eastAsia="Times New Roman" w:cs="Times New Roman"/>
                <w:color w:val="000000"/>
                <w:sz w:val="16"/>
                <w:szCs w:val="16"/>
                <w:lang w:val="en-GB" w:eastAsia="zh-CN"/>
              </w:rPr>
              <w:t>*Game incentive type Ⅰ-no</w:t>
            </w:r>
          </w:p>
        </w:tc>
        <w:tc>
          <w:tcPr>
            <w:tcW w:w="0" w:type="auto"/>
            <w:tcBorders>
              <w:top w:val="nil"/>
              <w:left w:val="nil"/>
              <w:bottom w:val="nil"/>
              <w:right w:val="nil"/>
            </w:tcBorders>
            <w:shd w:val="clear" w:color="auto" w:fill="auto"/>
            <w:noWrap/>
            <w:vAlign w:val="center"/>
            <w:hideMark/>
          </w:tcPr>
          <w:p w14:paraId="0EF4452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4C0D3A7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3289A10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64F37EA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–0.145</w:t>
            </w:r>
          </w:p>
        </w:tc>
        <w:tc>
          <w:tcPr>
            <w:tcW w:w="0" w:type="auto"/>
            <w:tcBorders>
              <w:top w:val="nil"/>
              <w:left w:val="nil"/>
              <w:bottom w:val="nil"/>
              <w:right w:val="nil"/>
            </w:tcBorders>
            <w:shd w:val="clear" w:color="auto" w:fill="auto"/>
            <w:noWrap/>
            <w:vAlign w:val="center"/>
            <w:hideMark/>
          </w:tcPr>
          <w:p w14:paraId="6C4EC93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0.155</w:t>
            </w:r>
          </w:p>
        </w:tc>
        <w:tc>
          <w:tcPr>
            <w:tcW w:w="0" w:type="auto"/>
            <w:tcBorders>
              <w:top w:val="nil"/>
              <w:left w:val="nil"/>
              <w:bottom w:val="nil"/>
              <w:right w:val="nil"/>
            </w:tcBorders>
            <w:shd w:val="clear" w:color="auto" w:fill="auto"/>
            <w:noWrap/>
            <w:vAlign w:val="center"/>
            <w:hideMark/>
          </w:tcPr>
          <w:p w14:paraId="25897F0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[–0.449, 0.160]</w:t>
            </w:r>
          </w:p>
        </w:tc>
        <w:tc>
          <w:tcPr>
            <w:tcW w:w="0" w:type="auto"/>
            <w:tcBorders>
              <w:top w:val="nil"/>
              <w:left w:val="nil"/>
              <w:bottom w:val="nil"/>
              <w:right w:val="nil"/>
            </w:tcBorders>
            <w:shd w:val="clear" w:color="auto" w:fill="auto"/>
            <w:noWrap/>
            <w:vAlign w:val="center"/>
            <w:hideMark/>
          </w:tcPr>
          <w:p w14:paraId="26DAC66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31F9F9E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5DF47A9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r>
      <w:tr w:rsidR="00F30B53" w:rsidRPr="00F30B53" w14:paraId="42F6BDB0" w14:textId="77777777" w:rsidTr="00F30B53">
        <w:trPr>
          <w:trHeight w:val="217"/>
        </w:trPr>
        <w:tc>
          <w:tcPr>
            <w:tcW w:w="0" w:type="auto"/>
            <w:tcBorders>
              <w:top w:val="nil"/>
              <w:left w:val="nil"/>
              <w:bottom w:val="nil"/>
              <w:right w:val="nil"/>
            </w:tcBorders>
            <w:shd w:val="clear" w:color="auto" w:fill="auto"/>
            <w:vAlign w:val="bottom"/>
            <w:hideMark/>
          </w:tcPr>
          <w:p w14:paraId="617D49D2" w14:textId="5210E781" w:rsidR="00F30B53" w:rsidRPr="00F30B53" w:rsidRDefault="00627501" w:rsidP="00F30B53">
            <w:pPr>
              <w:spacing w:line="240" w:lineRule="auto"/>
              <w:ind w:firstLineChars="200" w:firstLine="320"/>
              <w:rPr>
                <w:rFonts w:eastAsia="Times New Roman" w:cs="Times New Roman"/>
                <w:color w:val="000000"/>
                <w:sz w:val="16"/>
                <w:szCs w:val="16"/>
                <w:lang w:val="en-GB" w:eastAsia="zh-CN"/>
              </w:rPr>
            </w:pPr>
            <w:r>
              <w:rPr>
                <w:rFonts w:eastAsia="Times New Roman" w:cs="Times New Roman"/>
                <w:color w:val="000000"/>
                <w:sz w:val="16"/>
                <w:szCs w:val="16"/>
                <w:lang w:val="en-GB" w:eastAsia="zh-CN"/>
              </w:rPr>
              <w:t>Matching design</w:t>
            </w:r>
            <w:r w:rsidRPr="00F30B53">
              <w:rPr>
                <w:rFonts w:eastAsia="Times New Roman" w:cs="Times New Roman"/>
                <w:color w:val="000000"/>
                <w:sz w:val="16"/>
                <w:szCs w:val="16"/>
                <w:lang w:val="en-GB" w:eastAsia="zh-CN"/>
              </w:rPr>
              <w:t>-mixed</w:t>
            </w:r>
            <w:r w:rsidR="00F30B53" w:rsidRPr="00F30B53">
              <w:rPr>
                <w:rFonts w:eastAsia="Times New Roman" w:cs="Times New Roman"/>
                <w:color w:val="000000"/>
                <w:sz w:val="16"/>
                <w:szCs w:val="16"/>
                <w:lang w:val="en-GB" w:eastAsia="zh-CN"/>
              </w:rPr>
              <w:t>*Game incentive type Ⅰ-no</w:t>
            </w:r>
          </w:p>
        </w:tc>
        <w:tc>
          <w:tcPr>
            <w:tcW w:w="0" w:type="auto"/>
            <w:tcBorders>
              <w:top w:val="nil"/>
              <w:left w:val="nil"/>
              <w:bottom w:val="nil"/>
              <w:right w:val="nil"/>
            </w:tcBorders>
            <w:shd w:val="clear" w:color="auto" w:fill="auto"/>
            <w:noWrap/>
            <w:vAlign w:val="center"/>
            <w:hideMark/>
          </w:tcPr>
          <w:p w14:paraId="1E85F66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44988B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640F4F3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3A5DDBC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–0.117</w:t>
            </w:r>
          </w:p>
        </w:tc>
        <w:tc>
          <w:tcPr>
            <w:tcW w:w="0" w:type="auto"/>
            <w:tcBorders>
              <w:top w:val="nil"/>
              <w:left w:val="nil"/>
              <w:bottom w:val="nil"/>
              <w:right w:val="nil"/>
            </w:tcBorders>
            <w:shd w:val="clear" w:color="auto" w:fill="auto"/>
            <w:noWrap/>
            <w:vAlign w:val="center"/>
            <w:hideMark/>
          </w:tcPr>
          <w:p w14:paraId="3DC6088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0.464</w:t>
            </w:r>
          </w:p>
        </w:tc>
        <w:tc>
          <w:tcPr>
            <w:tcW w:w="0" w:type="auto"/>
            <w:tcBorders>
              <w:top w:val="nil"/>
              <w:left w:val="nil"/>
              <w:bottom w:val="nil"/>
              <w:right w:val="nil"/>
            </w:tcBorders>
            <w:shd w:val="clear" w:color="auto" w:fill="auto"/>
            <w:noWrap/>
            <w:vAlign w:val="center"/>
            <w:hideMark/>
          </w:tcPr>
          <w:p w14:paraId="7141568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[–1.028, 0.794]</w:t>
            </w:r>
          </w:p>
        </w:tc>
        <w:tc>
          <w:tcPr>
            <w:tcW w:w="0" w:type="auto"/>
            <w:tcBorders>
              <w:top w:val="nil"/>
              <w:left w:val="nil"/>
              <w:bottom w:val="nil"/>
              <w:right w:val="nil"/>
            </w:tcBorders>
            <w:shd w:val="clear" w:color="auto" w:fill="auto"/>
            <w:noWrap/>
            <w:vAlign w:val="center"/>
            <w:hideMark/>
          </w:tcPr>
          <w:p w14:paraId="72A1DAE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4656AF3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68BF9B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r>
      <w:tr w:rsidR="00F30B53" w:rsidRPr="00F30B53" w14:paraId="11CB411F" w14:textId="77777777" w:rsidTr="00F30B53">
        <w:trPr>
          <w:trHeight w:val="217"/>
        </w:trPr>
        <w:tc>
          <w:tcPr>
            <w:tcW w:w="0" w:type="auto"/>
            <w:tcBorders>
              <w:top w:val="nil"/>
              <w:left w:val="nil"/>
              <w:bottom w:val="nil"/>
              <w:right w:val="nil"/>
            </w:tcBorders>
            <w:shd w:val="clear" w:color="auto" w:fill="auto"/>
            <w:vAlign w:val="bottom"/>
            <w:hideMark/>
          </w:tcPr>
          <w:p w14:paraId="0ED7E03B" w14:textId="597EF0E7" w:rsidR="00F30B53" w:rsidRPr="00F30B53" w:rsidRDefault="00627501" w:rsidP="00F30B53">
            <w:pPr>
              <w:spacing w:line="240" w:lineRule="auto"/>
              <w:ind w:firstLineChars="200" w:firstLine="320"/>
              <w:rPr>
                <w:rFonts w:eastAsia="Times New Roman" w:cs="Times New Roman"/>
                <w:color w:val="000000"/>
                <w:sz w:val="16"/>
                <w:szCs w:val="16"/>
                <w:lang w:val="en-GB" w:eastAsia="zh-CN"/>
              </w:rPr>
            </w:pPr>
            <w:r>
              <w:rPr>
                <w:rFonts w:eastAsia="Times New Roman" w:cs="Times New Roman"/>
                <w:color w:val="000000"/>
                <w:sz w:val="16"/>
                <w:szCs w:val="16"/>
                <w:lang w:val="en-GB" w:eastAsia="zh-CN"/>
              </w:rPr>
              <w:t>Matching design</w:t>
            </w:r>
            <w:r w:rsidRPr="00F30B53">
              <w:rPr>
                <w:rFonts w:eastAsia="Times New Roman" w:cs="Times New Roman"/>
                <w:color w:val="000000"/>
                <w:sz w:val="16"/>
                <w:szCs w:val="16"/>
                <w:lang w:val="en-GB" w:eastAsia="zh-CN"/>
              </w:rPr>
              <w:t>-</w:t>
            </w:r>
            <w:r>
              <w:rPr>
                <w:rFonts w:eastAsia="Times New Roman" w:cs="Times New Roman"/>
                <w:color w:val="000000"/>
                <w:sz w:val="16"/>
                <w:szCs w:val="16"/>
                <w:lang w:val="en-GB" w:eastAsia="zh-CN"/>
              </w:rPr>
              <w:t>partner</w:t>
            </w:r>
            <w:r w:rsidR="00F30B53" w:rsidRPr="00F30B53">
              <w:rPr>
                <w:rFonts w:eastAsia="Times New Roman" w:cs="Times New Roman"/>
                <w:color w:val="000000"/>
                <w:sz w:val="16"/>
                <w:szCs w:val="16"/>
                <w:lang w:val="en-GB" w:eastAsia="zh-CN"/>
              </w:rPr>
              <w:t>*Game incentive type Ⅰ-mixed</w:t>
            </w:r>
          </w:p>
        </w:tc>
        <w:tc>
          <w:tcPr>
            <w:tcW w:w="0" w:type="auto"/>
            <w:tcBorders>
              <w:top w:val="nil"/>
              <w:left w:val="nil"/>
              <w:bottom w:val="nil"/>
              <w:right w:val="nil"/>
            </w:tcBorders>
            <w:shd w:val="clear" w:color="auto" w:fill="auto"/>
            <w:noWrap/>
            <w:vAlign w:val="center"/>
            <w:hideMark/>
          </w:tcPr>
          <w:p w14:paraId="0AC2025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4FE175D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7727A9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DD5E99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0.113</w:t>
            </w:r>
          </w:p>
        </w:tc>
        <w:tc>
          <w:tcPr>
            <w:tcW w:w="0" w:type="auto"/>
            <w:tcBorders>
              <w:top w:val="nil"/>
              <w:left w:val="nil"/>
              <w:bottom w:val="nil"/>
              <w:right w:val="nil"/>
            </w:tcBorders>
            <w:shd w:val="clear" w:color="auto" w:fill="auto"/>
            <w:noWrap/>
            <w:vAlign w:val="center"/>
            <w:hideMark/>
          </w:tcPr>
          <w:p w14:paraId="3270286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0.405</w:t>
            </w:r>
          </w:p>
        </w:tc>
        <w:tc>
          <w:tcPr>
            <w:tcW w:w="0" w:type="auto"/>
            <w:tcBorders>
              <w:top w:val="nil"/>
              <w:left w:val="nil"/>
              <w:bottom w:val="nil"/>
              <w:right w:val="nil"/>
            </w:tcBorders>
            <w:shd w:val="clear" w:color="auto" w:fill="auto"/>
            <w:noWrap/>
            <w:vAlign w:val="center"/>
            <w:hideMark/>
          </w:tcPr>
          <w:p w14:paraId="13CB586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[–0.681, 0.907]</w:t>
            </w:r>
          </w:p>
        </w:tc>
        <w:tc>
          <w:tcPr>
            <w:tcW w:w="0" w:type="auto"/>
            <w:tcBorders>
              <w:top w:val="nil"/>
              <w:left w:val="nil"/>
              <w:bottom w:val="nil"/>
              <w:right w:val="nil"/>
            </w:tcBorders>
            <w:shd w:val="clear" w:color="auto" w:fill="auto"/>
            <w:noWrap/>
            <w:vAlign w:val="center"/>
            <w:hideMark/>
          </w:tcPr>
          <w:p w14:paraId="7B0C395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F00C67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7BCA0FC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r>
      <w:tr w:rsidR="00F30B53" w:rsidRPr="00F30B53" w14:paraId="52D01A67" w14:textId="77777777" w:rsidTr="00F30B53">
        <w:trPr>
          <w:trHeight w:val="217"/>
        </w:trPr>
        <w:tc>
          <w:tcPr>
            <w:tcW w:w="0" w:type="auto"/>
            <w:tcBorders>
              <w:top w:val="nil"/>
              <w:left w:val="nil"/>
              <w:bottom w:val="nil"/>
              <w:right w:val="nil"/>
            </w:tcBorders>
            <w:shd w:val="clear" w:color="auto" w:fill="auto"/>
            <w:vAlign w:val="bottom"/>
            <w:hideMark/>
          </w:tcPr>
          <w:p w14:paraId="3D8E0C37" w14:textId="406E3E7A" w:rsidR="00F30B53" w:rsidRPr="00F30B53" w:rsidRDefault="00627501" w:rsidP="00F30B53">
            <w:pPr>
              <w:spacing w:line="240" w:lineRule="auto"/>
              <w:ind w:firstLineChars="200" w:firstLine="320"/>
              <w:rPr>
                <w:rFonts w:eastAsia="Times New Roman" w:cs="Times New Roman"/>
                <w:color w:val="000000"/>
                <w:sz w:val="16"/>
                <w:szCs w:val="16"/>
                <w:lang w:val="en-GB" w:eastAsia="zh-CN"/>
              </w:rPr>
            </w:pPr>
            <w:r>
              <w:rPr>
                <w:rFonts w:eastAsia="Times New Roman" w:cs="Times New Roman"/>
                <w:color w:val="000000"/>
                <w:sz w:val="16"/>
                <w:szCs w:val="16"/>
                <w:lang w:val="en-GB" w:eastAsia="zh-CN"/>
              </w:rPr>
              <w:t>Matching design</w:t>
            </w:r>
            <w:r w:rsidRPr="00F30B53">
              <w:rPr>
                <w:rFonts w:eastAsia="Times New Roman" w:cs="Times New Roman"/>
                <w:color w:val="000000"/>
                <w:sz w:val="16"/>
                <w:szCs w:val="16"/>
                <w:lang w:val="en-GB" w:eastAsia="zh-CN"/>
              </w:rPr>
              <w:t>-mixed</w:t>
            </w:r>
            <w:r w:rsidR="00F30B53" w:rsidRPr="00F30B53">
              <w:rPr>
                <w:rFonts w:eastAsia="Times New Roman" w:cs="Times New Roman"/>
                <w:color w:val="000000"/>
                <w:sz w:val="16"/>
                <w:szCs w:val="16"/>
                <w:lang w:val="en-GB" w:eastAsia="zh-CN"/>
              </w:rPr>
              <w:t>*Game incentive type Ⅰ-mixed</w:t>
            </w:r>
          </w:p>
        </w:tc>
        <w:tc>
          <w:tcPr>
            <w:tcW w:w="0" w:type="auto"/>
            <w:tcBorders>
              <w:top w:val="nil"/>
              <w:left w:val="nil"/>
              <w:bottom w:val="nil"/>
              <w:right w:val="nil"/>
            </w:tcBorders>
            <w:shd w:val="clear" w:color="auto" w:fill="auto"/>
            <w:noWrap/>
            <w:vAlign w:val="center"/>
            <w:hideMark/>
          </w:tcPr>
          <w:p w14:paraId="0D777E8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3C3E1E7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3623AD1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1B55BB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0.621</w:t>
            </w:r>
          </w:p>
        </w:tc>
        <w:tc>
          <w:tcPr>
            <w:tcW w:w="0" w:type="auto"/>
            <w:tcBorders>
              <w:top w:val="nil"/>
              <w:left w:val="nil"/>
              <w:bottom w:val="nil"/>
              <w:right w:val="nil"/>
            </w:tcBorders>
            <w:shd w:val="clear" w:color="auto" w:fill="auto"/>
            <w:noWrap/>
            <w:vAlign w:val="center"/>
            <w:hideMark/>
          </w:tcPr>
          <w:p w14:paraId="758BA8E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0.851</w:t>
            </w:r>
          </w:p>
        </w:tc>
        <w:tc>
          <w:tcPr>
            <w:tcW w:w="0" w:type="auto"/>
            <w:tcBorders>
              <w:top w:val="nil"/>
              <w:left w:val="nil"/>
              <w:bottom w:val="nil"/>
              <w:right w:val="nil"/>
            </w:tcBorders>
            <w:shd w:val="clear" w:color="auto" w:fill="auto"/>
            <w:noWrap/>
            <w:vAlign w:val="center"/>
            <w:hideMark/>
          </w:tcPr>
          <w:p w14:paraId="09DBC60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[–1.048, 2.291]</w:t>
            </w:r>
          </w:p>
        </w:tc>
        <w:tc>
          <w:tcPr>
            <w:tcW w:w="0" w:type="auto"/>
            <w:tcBorders>
              <w:top w:val="nil"/>
              <w:left w:val="nil"/>
              <w:bottom w:val="nil"/>
              <w:right w:val="nil"/>
            </w:tcBorders>
            <w:shd w:val="clear" w:color="auto" w:fill="auto"/>
            <w:noWrap/>
            <w:vAlign w:val="center"/>
            <w:hideMark/>
          </w:tcPr>
          <w:p w14:paraId="4F494DE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4A3EF38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6C10927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r>
      <w:tr w:rsidR="00F30B53" w:rsidRPr="00F30B53" w14:paraId="4997FF47" w14:textId="77777777" w:rsidTr="00F30B53">
        <w:trPr>
          <w:trHeight w:val="217"/>
        </w:trPr>
        <w:tc>
          <w:tcPr>
            <w:tcW w:w="0" w:type="auto"/>
            <w:tcBorders>
              <w:top w:val="nil"/>
              <w:left w:val="nil"/>
              <w:bottom w:val="nil"/>
              <w:right w:val="nil"/>
            </w:tcBorders>
            <w:shd w:val="clear" w:color="auto" w:fill="auto"/>
            <w:vAlign w:val="bottom"/>
            <w:hideMark/>
          </w:tcPr>
          <w:p w14:paraId="1491B15F" w14:textId="4A7A87A9" w:rsidR="00F30B53" w:rsidRPr="00F30B53" w:rsidRDefault="00627501" w:rsidP="00F30B53">
            <w:pPr>
              <w:spacing w:line="240" w:lineRule="auto"/>
              <w:ind w:firstLineChars="200" w:firstLine="320"/>
              <w:rPr>
                <w:rFonts w:eastAsia="Times New Roman" w:cs="Times New Roman"/>
                <w:color w:val="000000"/>
                <w:sz w:val="16"/>
                <w:szCs w:val="16"/>
                <w:lang w:val="en-GB" w:eastAsia="zh-CN"/>
              </w:rPr>
            </w:pPr>
            <w:r>
              <w:rPr>
                <w:rFonts w:eastAsia="Times New Roman" w:cs="Times New Roman"/>
                <w:color w:val="000000"/>
                <w:sz w:val="16"/>
                <w:szCs w:val="16"/>
                <w:lang w:val="en-GB" w:eastAsia="zh-CN"/>
              </w:rPr>
              <w:t>Matching design</w:t>
            </w:r>
            <w:r w:rsidRPr="00F30B53">
              <w:rPr>
                <w:rFonts w:eastAsia="Times New Roman" w:cs="Times New Roman"/>
                <w:color w:val="000000"/>
                <w:sz w:val="16"/>
                <w:szCs w:val="16"/>
                <w:lang w:val="en-GB" w:eastAsia="zh-CN"/>
              </w:rPr>
              <w:t>-</w:t>
            </w:r>
            <w:r>
              <w:rPr>
                <w:rFonts w:eastAsia="Times New Roman" w:cs="Times New Roman"/>
                <w:color w:val="000000"/>
                <w:sz w:val="16"/>
                <w:szCs w:val="16"/>
                <w:lang w:val="en-GB" w:eastAsia="zh-CN"/>
              </w:rPr>
              <w:t>partner</w:t>
            </w:r>
            <w:r w:rsidR="00F30B53" w:rsidRPr="00F30B53">
              <w:rPr>
                <w:rFonts w:eastAsia="Times New Roman" w:cs="Times New Roman"/>
                <w:color w:val="000000"/>
                <w:sz w:val="16"/>
                <w:szCs w:val="16"/>
                <w:lang w:val="en-GB" w:eastAsia="zh-CN"/>
              </w:rPr>
              <w:t>*Game incentive type Ⅱ-monetary</w:t>
            </w:r>
          </w:p>
        </w:tc>
        <w:tc>
          <w:tcPr>
            <w:tcW w:w="0" w:type="auto"/>
            <w:tcBorders>
              <w:top w:val="nil"/>
              <w:left w:val="nil"/>
              <w:bottom w:val="nil"/>
              <w:right w:val="nil"/>
            </w:tcBorders>
            <w:shd w:val="clear" w:color="auto" w:fill="auto"/>
            <w:noWrap/>
            <w:vAlign w:val="center"/>
            <w:hideMark/>
          </w:tcPr>
          <w:p w14:paraId="344E35B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376FB42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535E192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5BF6B0D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21EC497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0CADD4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198BDF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–0.043</w:t>
            </w:r>
          </w:p>
        </w:tc>
        <w:tc>
          <w:tcPr>
            <w:tcW w:w="0" w:type="auto"/>
            <w:tcBorders>
              <w:top w:val="nil"/>
              <w:left w:val="nil"/>
              <w:bottom w:val="nil"/>
              <w:right w:val="nil"/>
            </w:tcBorders>
            <w:shd w:val="clear" w:color="auto" w:fill="auto"/>
            <w:noWrap/>
            <w:vAlign w:val="center"/>
            <w:hideMark/>
          </w:tcPr>
          <w:p w14:paraId="5BBCBB9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0.194</w:t>
            </w:r>
          </w:p>
        </w:tc>
        <w:tc>
          <w:tcPr>
            <w:tcW w:w="0" w:type="auto"/>
            <w:tcBorders>
              <w:top w:val="nil"/>
              <w:left w:val="nil"/>
              <w:bottom w:val="nil"/>
              <w:right w:val="nil"/>
            </w:tcBorders>
            <w:shd w:val="clear" w:color="auto" w:fill="auto"/>
            <w:noWrap/>
            <w:vAlign w:val="center"/>
            <w:hideMark/>
          </w:tcPr>
          <w:p w14:paraId="727690A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[–0.424, 0.337]</w:t>
            </w:r>
          </w:p>
        </w:tc>
      </w:tr>
      <w:tr w:rsidR="00F30B53" w:rsidRPr="00F30B53" w14:paraId="3D878743" w14:textId="77777777" w:rsidTr="00F30B53">
        <w:trPr>
          <w:trHeight w:val="217"/>
        </w:trPr>
        <w:tc>
          <w:tcPr>
            <w:tcW w:w="0" w:type="auto"/>
            <w:tcBorders>
              <w:top w:val="nil"/>
              <w:left w:val="nil"/>
              <w:bottom w:val="nil"/>
              <w:right w:val="nil"/>
            </w:tcBorders>
            <w:shd w:val="clear" w:color="auto" w:fill="auto"/>
            <w:vAlign w:val="bottom"/>
            <w:hideMark/>
          </w:tcPr>
          <w:p w14:paraId="67293203" w14:textId="0873AD9A" w:rsidR="00F30B53" w:rsidRPr="00F30B53" w:rsidRDefault="00627501" w:rsidP="00F30B53">
            <w:pPr>
              <w:spacing w:line="240" w:lineRule="auto"/>
              <w:ind w:firstLineChars="200" w:firstLine="320"/>
              <w:rPr>
                <w:rFonts w:eastAsia="Times New Roman" w:cs="Times New Roman"/>
                <w:color w:val="000000"/>
                <w:sz w:val="16"/>
                <w:szCs w:val="16"/>
                <w:lang w:val="en-GB" w:eastAsia="zh-CN"/>
              </w:rPr>
            </w:pPr>
            <w:r>
              <w:rPr>
                <w:rFonts w:eastAsia="Times New Roman" w:cs="Times New Roman"/>
                <w:color w:val="000000"/>
                <w:sz w:val="16"/>
                <w:szCs w:val="16"/>
                <w:lang w:val="en-GB" w:eastAsia="zh-CN"/>
              </w:rPr>
              <w:t>Matching design</w:t>
            </w:r>
            <w:r w:rsidRPr="00F30B53">
              <w:rPr>
                <w:rFonts w:eastAsia="Times New Roman" w:cs="Times New Roman"/>
                <w:color w:val="000000"/>
                <w:sz w:val="16"/>
                <w:szCs w:val="16"/>
                <w:lang w:val="en-GB" w:eastAsia="zh-CN"/>
              </w:rPr>
              <w:t>-mixed</w:t>
            </w:r>
            <w:r w:rsidR="00F30B53" w:rsidRPr="00F30B53">
              <w:rPr>
                <w:rFonts w:eastAsia="Times New Roman" w:cs="Times New Roman"/>
                <w:color w:val="000000"/>
                <w:sz w:val="16"/>
                <w:szCs w:val="16"/>
                <w:lang w:val="en-GB" w:eastAsia="zh-CN"/>
              </w:rPr>
              <w:t>*Game incentive type Ⅱ-monetary</w:t>
            </w:r>
          </w:p>
        </w:tc>
        <w:tc>
          <w:tcPr>
            <w:tcW w:w="0" w:type="auto"/>
            <w:tcBorders>
              <w:top w:val="nil"/>
              <w:left w:val="nil"/>
              <w:bottom w:val="nil"/>
              <w:right w:val="nil"/>
            </w:tcBorders>
            <w:shd w:val="clear" w:color="auto" w:fill="auto"/>
            <w:noWrap/>
            <w:vAlign w:val="center"/>
            <w:hideMark/>
          </w:tcPr>
          <w:p w14:paraId="32709A8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24E4BCB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76281DC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7C0C4E8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7F2EC55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4055DBD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38DFD8B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0.548</w:t>
            </w:r>
          </w:p>
        </w:tc>
        <w:tc>
          <w:tcPr>
            <w:tcW w:w="0" w:type="auto"/>
            <w:tcBorders>
              <w:top w:val="nil"/>
              <w:left w:val="nil"/>
              <w:bottom w:val="nil"/>
              <w:right w:val="nil"/>
            </w:tcBorders>
            <w:shd w:val="clear" w:color="auto" w:fill="auto"/>
            <w:noWrap/>
            <w:vAlign w:val="center"/>
            <w:hideMark/>
          </w:tcPr>
          <w:p w14:paraId="7E88D55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0.376</w:t>
            </w:r>
          </w:p>
        </w:tc>
        <w:tc>
          <w:tcPr>
            <w:tcW w:w="0" w:type="auto"/>
            <w:tcBorders>
              <w:top w:val="nil"/>
              <w:left w:val="nil"/>
              <w:bottom w:val="nil"/>
              <w:right w:val="nil"/>
            </w:tcBorders>
            <w:shd w:val="clear" w:color="auto" w:fill="auto"/>
            <w:noWrap/>
            <w:vAlign w:val="center"/>
            <w:hideMark/>
          </w:tcPr>
          <w:p w14:paraId="626E538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[–0.190, 1.285]</w:t>
            </w:r>
          </w:p>
        </w:tc>
      </w:tr>
      <w:tr w:rsidR="00F30B53" w:rsidRPr="00F30B53" w14:paraId="3E7B0DD9" w14:textId="77777777" w:rsidTr="00F30B53">
        <w:trPr>
          <w:trHeight w:val="217"/>
        </w:trPr>
        <w:tc>
          <w:tcPr>
            <w:tcW w:w="0" w:type="auto"/>
            <w:tcBorders>
              <w:top w:val="nil"/>
              <w:left w:val="nil"/>
              <w:bottom w:val="nil"/>
              <w:right w:val="nil"/>
            </w:tcBorders>
            <w:shd w:val="clear" w:color="auto" w:fill="auto"/>
            <w:vAlign w:val="bottom"/>
            <w:hideMark/>
          </w:tcPr>
          <w:p w14:paraId="135CDCAD" w14:textId="7A15A7D4" w:rsidR="00F30B53" w:rsidRPr="00F30B53" w:rsidRDefault="00627501" w:rsidP="00F30B53">
            <w:pPr>
              <w:spacing w:line="240" w:lineRule="auto"/>
              <w:ind w:firstLineChars="200" w:firstLine="320"/>
              <w:rPr>
                <w:rFonts w:eastAsia="Times New Roman" w:cs="Times New Roman"/>
                <w:color w:val="000000"/>
                <w:sz w:val="16"/>
                <w:szCs w:val="16"/>
                <w:lang w:val="en-GB" w:eastAsia="zh-CN"/>
              </w:rPr>
            </w:pPr>
            <w:r>
              <w:rPr>
                <w:rFonts w:eastAsia="Times New Roman" w:cs="Times New Roman"/>
                <w:color w:val="000000"/>
                <w:sz w:val="16"/>
                <w:szCs w:val="16"/>
                <w:lang w:val="en-GB" w:eastAsia="zh-CN"/>
              </w:rPr>
              <w:t>Matching design</w:t>
            </w:r>
            <w:r w:rsidRPr="00F30B53">
              <w:rPr>
                <w:rFonts w:eastAsia="Times New Roman" w:cs="Times New Roman"/>
                <w:color w:val="000000"/>
                <w:sz w:val="16"/>
                <w:szCs w:val="16"/>
                <w:lang w:val="en-GB" w:eastAsia="zh-CN"/>
              </w:rPr>
              <w:t>-</w:t>
            </w:r>
            <w:r>
              <w:rPr>
                <w:rFonts w:eastAsia="Times New Roman" w:cs="Times New Roman"/>
                <w:color w:val="000000"/>
                <w:sz w:val="16"/>
                <w:szCs w:val="16"/>
                <w:lang w:val="en-GB" w:eastAsia="zh-CN"/>
              </w:rPr>
              <w:t>partner</w:t>
            </w:r>
            <w:r w:rsidR="00F30B53" w:rsidRPr="00F30B53">
              <w:rPr>
                <w:rFonts w:eastAsia="Times New Roman" w:cs="Times New Roman"/>
                <w:color w:val="000000"/>
                <w:sz w:val="16"/>
                <w:szCs w:val="16"/>
                <w:lang w:val="en-GB" w:eastAsia="zh-CN"/>
              </w:rPr>
              <w:t>*Game incentive type Ⅱ-no</w:t>
            </w:r>
          </w:p>
        </w:tc>
        <w:tc>
          <w:tcPr>
            <w:tcW w:w="0" w:type="auto"/>
            <w:tcBorders>
              <w:top w:val="nil"/>
              <w:left w:val="nil"/>
              <w:bottom w:val="nil"/>
              <w:right w:val="nil"/>
            </w:tcBorders>
            <w:shd w:val="clear" w:color="auto" w:fill="auto"/>
            <w:noWrap/>
            <w:vAlign w:val="center"/>
            <w:hideMark/>
          </w:tcPr>
          <w:p w14:paraId="6C8A895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9C3230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6E22759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3B0508D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4B3170A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42BABDB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10DA8B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–0.299</w:t>
            </w:r>
          </w:p>
        </w:tc>
        <w:tc>
          <w:tcPr>
            <w:tcW w:w="0" w:type="auto"/>
            <w:tcBorders>
              <w:top w:val="nil"/>
              <w:left w:val="nil"/>
              <w:bottom w:val="nil"/>
              <w:right w:val="nil"/>
            </w:tcBorders>
            <w:shd w:val="clear" w:color="auto" w:fill="auto"/>
            <w:noWrap/>
            <w:vAlign w:val="center"/>
            <w:hideMark/>
          </w:tcPr>
          <w:p w14:paraId="540D6E8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0.221</w:t>
            </w:r>
          </w:p>
        </w:tc>
        <w:tc>
          <w:tcPr>
            <w:tcW w:w="0" w:type="auto"/>
            <w:tcBorders>
              <w:top w:val="nil"/>
              <w:left w:val="nil"/>
              <w:bottom w:val="nil"/>
              <w:right w:val="nil"/>
            </w:tcBorders>
            <w:shd w:val="clear" w:color="auto" w:fill="auto"/>
            <w:noWrap/>
            <w:vAlign w:val="center"/>
            <w:hideMark/>
          </w:tcPr>
          <w:p w14:paraId="225553C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[–0.733, 0.134]</w:t>
            </w:r>
          </w:p>
        </w:tc>
      </w:tr>
      <w:tr w:rsidR="00F30B53" w:rsidRPr="00F30B53" w14:paraId="7031E42F" w14:textId="77777777" w:rsidTr="00F30B53">
        <w:trPr>
          <w:trHeight w:val="217"/>
        </w:trPr>
        <w:tc>
          <w:tcPr>
            <w:tcW w:w="0" w:type="auto"/>
            <w:tcBorders>
              <w:top w:val="nil"/>
              <w:left w:val="nil"/>
              <w:bottom w:val="nil"/>
              <w:right w:val="nil"/>
            </w:tcBorders>
            <w:shd w:val="clear" w:color="auto" w:fill="auto"/>
            <w:vAlign w:val="bottom"/>
            <w:hideMark/>
          </w:tcPr>
          <w:p w14:paraId="11CF058B" w14:textId="0801A097" w:rsidR="00F30B53" w:rsidRPr="00F30B53" w:rsidRDefault="00627501" w:rsidP="00F30B53">
            <w:pPr>
              <w:spacing w:line="240" w:lineRule="auto"/>
              <w:ind w:firstLineChars="200" w:firstLine="320"/>
              <w:rPr>
                <w:rFonts w:eastAsia="Times New Roman" w:cs="Times New Roman"/>
                <w:color w:val="000000"/>
                <w:sz w:val="16"/>
                <w:szCs w:val="16"/>
                <w:lang w:val="en-GB" w:eastAsia="zh-CN"/>
              </w:rPr>
            </w:pPr>
            <w:r>
              <w:rPr>
                <w:rFonts w:eastAsia="Times New Roman" w:cs="Times New Roman"/>
                <w:color w:val="000000"/>
                <w:sz w:val="16"/>
                <w:szCs w:val="16"/>
                <w:lang w:val="en-GB" w:eastAsia="zh-CN"/>
              </w:rPr>
              <w:t>Matching design</w:t>
            </w:r>
            <w:r w:rsidRPr="00F30B53">
              <w:rPr>
                <w:rFonts w:eastAsia="Times New Roman" w:cs="Times New Roman"/>
                <w:color w:val="000000"/>
                <w:sz w:val="16"/>
                <w:szCs w:val="16"/>
                <w:lang w:val="en-GB" w:eastAsia="zh-CN"/>
              </w:rPr>
              <w:t>-mixed</w:t>
            </w:r>
            <w:r w:rsidR="00F30B53" w:rsidRPr="00F30B53">
              <w:rPr>
                <w:rFonts w:eastAsia="Times New Roman" w:cs="Times New Roman"/>
                <w:color w:val="000000"/>
                <w:sz w:val="16"/>
                <w:szCs w:val="16"/>
                <w:lang w:val="en-GB" w:eastAsia="zh-CN"/>
              </w:rPr>
              <w:t>*Game incentive type Ⅱ-no</w:t>
            </w:r>
          </w:p>
        </w:tc>
        <w:tc>
          <w:tcPr>
            <w:tcW w:w="0" w:type="auto"/>
            <w:tcBorders>
              <w:top w:val="nil"/>
              <w:left w:val="nil"/>
              <w:bottom w:val="nil"/>
              <w:right w:val="nil"/>
            </w:tcBorders>
            <w:shd w:val="clear" w:color="auto" w:fill="auto"/>
            <w:noWrap/>
            <w:vAlign w:val="center"/>
            <w:hideMark/>
          </w:tcPr>
          <w:p w14:paraId="4E14527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7CAC056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6E5740E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24613EF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41B9AFB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B96265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A48C56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0.414</w:t>
            </w:r>
          </w:p>
        </w:tc>
        <w:tc>
          <w:tcPr>
            <w:tcW w:w="0" w:type="auto"/>
            <w:tcBorders>
              <w:top w:val="nil"/>
              <w:left w:val="nil"/>
              <w:bottom w:val="nil"/>
              <w:right w:val="nil"/>
            </w:tcBorders>
            <w:shd w:val="clear" w:color="auto" w:fill="auto"/>
            <w:noWrap/>
            <w:vAlign w:val="center"/>
            <w:hideMark/>
          </w:tcPr>
          <w:p w14:paraId="74CA8B7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0.476</w:t>
            </w:r>
          </w:p>
        </w:tc>
        <w:tc>
          <w:tcPr>
            <w:tcW w:w="0" w:type="auto"/>
            <w:tcBorders>
              <w:top w:val="nil"/>
              <w:left w:val="nil"/>
              <w:bottom w:val="nil"/>
              <w:right w:val="nil"/>
            </w:tcBorders>
            <w:shd w:val="clear" w:color="auto" w:fill="auto"/>
            <w:noWrap/>
            <w:vAlign w:val="center"/>
            <w:hideMark/>
          </w:tcPr>
          <w:p w14:paraId="195515C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[–0.520, 1.348]</w:t>
            </w:r>
          </w:p>
        </w:tc>
      </w:tr>
      <w:tr w:rsidR="00F30B53" w:rsidRPr="00F30B53" w14:paraId="7644CBBC" w14:textId="77777777" w:rsidTr="00F30B53">
        <w:trPr>
          <w:trHeight w:val="217"/>
        </w:trPr>
        <w:tc>
          <w:tcPr>
            <w:tcW w:w="0" w:type="auto"/>
            <w:tcBorders>
              <w:top w:val="nil"/>
              <w:left w:val="nil"/>
              <w:bottom w:val="nil"/>
              <w:right w:val="nil"/>
            </w:tcBorders>
            <w:shd w:val="clear" w:color="auto" w:fill="auto"/>
            <w:vAlign w:val="bottom"/>
            <w:hideMark/>
          </w:tcPr>
          <w:p w14:paraId="450BDE4D" w14:textId="3C0636FE" w:rsidR="00F30B53" w:rsidRPr="00F30B53" w:rsidRDefault="00627501" w:rsidP="00F30B53">
            <w:pPr>
              <w:spacing w:line="240" w:lineRule="auto"/>
              <w:ind w:firstLineChars="200" w:firstLine="320"/>
              <w:rPr>
                <w:rFonts w:eastAsia="Times New Roman" w:cs="Times New Roman"/>
                <w:color w:val="000000"/>
                <w:sz w:val="16"/>
                <w:szCs w:val="16"/>
                <w:lang w:val="en-GB" w:eastAsia="zh-CN"/>
              </w:rPr>
            </w:pPr>
            <w:r>
              <w:rPr>
                <w:rFonts w:eastAsia="Times New Roman" w:cs="Times New Roman"/>
                <w:color w:val="000000"/>
                <w:sz w:val="16"/>
                <w:szCs w:val="16"/>
                <w:lang w:val="en-GB" w:eastAsia="zh-CN"/>
              </w:rPr>
              <w:t>Matching design</w:t>
            </w:r>
            <w:r w:rsidRPr="00F30B53">
              <w:rPr>
                <w:rFonts w:eastAsia="Times New Roman" w:cs="Times New Roman"/>
                <w:color w:val="000000"/>
                <w:sz w:val="16"/>
                <w:szCs w:val="16"/>
                <w:lang w:val="en-GB" w:eastAsia="zh-CN"/>
              </w:rPr>
              <w:t>-</w:t>
            </w:r>
            <w:r>
              <w:rPr>
                <w:rFonts w:eastAsia="Times New Roman" w:cs="Times New Roman"/>
                <w:color w:val="000000"/>
                <w:sz w:val="16"/>
                <w:szCs w:val="16"/>
                <w:lang w:val="en-GB" w:eastAsia="zh-CN"/>
              </w:rPr>
              <w:t>partner</w:t>
            </w:r>
            <w:r w:rsidR="00F30B53" w:rsidRPr="00F30B53">
              <w:rPr>
                <w:rFonts w:eastAsia="Times New Roman" w:cs="Times New Roman"/>
                <w:color w:val="000000"/>
                <w:sz w:val="16"/>
                <w:szCs w:val="16"/>
                <w:lang w:val="en-GB" w:eastAsia="zh-CN"/>
              </w:rPr>
              <w:t>*Game incentive type Ⅱ-mixed</w:t>
            </w:r>
          </w:p>
        </w:tc>
        <w:tc>
          <w:tcPr>
            <w:tcW w:w="0" w:type="auto"/>
            <w:tcBorders>
              <w:top w:val="nil"/>
              <w:left w:val="nil"/>
              <w:bottom w:val="nil"/>
              <w:right w:val="nil"/>
            </w:tcBorders>
            <w:shd w:val="clear" w:color="auto" w:fill="auto"/>
            <w:noWrap/>
            <w:vAlign w:val="center"/>
            <w:hideMark/>
          </w:tcPr>
          <w:p w14:paraId="735C1A4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2F69A5C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309D14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2AAE990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730EA7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7AA0016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6762469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0.151</w:t>
            </w:r>
          </w:p>
        </w:tc>
        <w:tc>
          <w:tcPr>
            <w:tcW w:w="0" w:type="auto"/>
            <w:tcBorders>
              <w:top w:val="nil"/>
              <w:left w:val="nil"/>
              <w:bottom w:val="nil"/>
              <w:right w:val="nil"/>
            </w:tcBorders>
            <w:shd w:val="clear" w:color="auto" w:fill="auto"/>
            <w:noWrap/>
            <w:vAlign w:val="center"/>
            <w:hideMark/>
          </w:tcPr>
          <w:p w14:paraId="403A48F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0.476</w:t>
            </w:r>
          </w:p>
        </w:tc>
        <w:tc>
          <w:tcPr>
            <w:tcW w:w="0" w:type="auto"/>
            <w:tcBorders>
              <w:top w:val="nil"/>
              <w:left w:val="nil"/>
              <w:bottom w:val="nil"/>
              <w:right w:val="nil"/>
            </w:tcBorders>
            <w:shd w:val="clear" w:color="auto" w:fill="auto"/>
            <w:noWrap/>
            <w:vAlign w:val="center"/>
            <w:hideMark/>
          </w:tcPr>
          <w:p w14:paraId="170D5A1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[–0.783, 1.085]</w:t>
            </w:r>
          </w:p>
        </w:tc>
      </w:tr>
      <w:tr w:rsidR="00F30B53" w:rsidRPr="00F30B53" w14:paraId="7D23256F" w14:textId="77777777" w:rsidTr="00F30B53">
        <w:trPr>
          <w:trHeight w:val="217"/>
        </w:trPr>
        <w:tc>
          <w:tcPr>
            <w:tcW w:w="0" w:type="auto"/>
            <w:tcBorders>
              <w:top w:val="nil"/>
              <w:left w:val="nil"/>
              <w:bottom w:val="nil"/>
              <w:right w:val="nil"/>
            </w:tcBorders>
            <w:shd w:val="clear" w:color="auto" w:fill="auto"/>
            <w:vAlign w:val="bottom"/>
            <w:hideMark/>
          </w:tcPr>
          <w:p w14:paraId="4848E6C7" w14:textId="1EA9D90B" w:rsidR="00F30B53" w:rsidRPr="00F30B53" w:rsidRDefault="00627501" w:rsidP="00F30B53">
            <w:pPr>
              <w:spacing w:line="240" w:lineRule="auto"/>
              <w:ind w:firstLineChars="200" w:firstLine="320"/>
              <w:rPr>
                <w:rFonts w:eastAsia="Times New Roman" w:cs="Times New Roman"/>
                <w:color w:val="000000"/>
                <w:sz w:val="16"/>
                <w:szCs w:val="16"/>
                <w:lang w:val="en-GB" w:eastAsia="zh-CN"/>
              </w:rPr>
            </w:pPr>
            <w:r>
              <w:rPr>
                <w:rFonts w:eastAsia="Times New Roman" w:cs="Times New Roman"/>
                <w:color w:val="000000"/>
                <w:sz w:val="16"/>
                <w:szCs w:val="16"/>
                <w:lang w:val="en-GB" w:eastAsia="zh-CN"/>
              </w:rPr>
              <w:t>Matching design</w:t>
            </w:r>
            <w:r w:rsidRPr="00F30B53">
              <w:rPr>
                <w:rFonts w:eastAsia="Times New Roman" w:cs="Times New Roman"/>
                <w:color w:val="000000"/>
                <w:sz w:val="16"/>
                <w:szCs w:val="16"/>
                <w:lang w:val="en-GB" w:eastAsia="zh-CN"/>
              </w:rPr>
              <w:t>-mixed</w:t>
            </w:r>
            <w:r w:rsidR="00F30B53" w:rsidRPr="00F30B53">
              <w:rPr>
                <w:rFonts w:eastAsia="Times New Roman" w:cs="Times New Roman"/>
                <w:color w:val="000000"/>
                <w:sz w:val="16"/>
                <w:szCs w:val="16"/>
                <w:lang w:val="en-GB" w:eastAsia="zh-CN"/>
              </w:rPr>
              <w:t>*Game incentive type Ⅱ-mixed</w:t>
            </w:r>
          </w:p>
        </w:tc>
        <w:tc>
          <w:tcPr>
            <w:tcW w:w="0" w:type="auto"/>
            <w:tcBorders>
              <w:top w:val="nil"/>
              <w:left w:val="nil"/>
              <w:bottom w:val="nil"/>
              <w:right w:val="nil"/>
            </w:tcBorders>
            <w:shd w:val="clear" w:color="auto" w:fill="auto"/>
            <w:noWrap/>
            <w:vAlign w:val="center"/>
            <w:hideMark/>
          </w:tcPr>
          <w:p w14:paraId="2FCA475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7E1EE54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24E185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908120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5A8634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77F53EE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67ADD4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0.709</w:t>
            </w:r>
          </w:p>
        </w:tc>
        <w:tc>
          <w:tcPr>
            <w:tcW w:w="0" w:type="auto"/>
            <w:tcBorders>
              <w:top w:val="nil"/>
              <w:left w:val="nil"/>
              <w:bottom w:val="nil"/>
              <w:right w:val="nil"/>
            </w:tcBorders>
            <w:shd w:val="clear" w:color="auto" w:fill="auto"/>
            <w:noWrap/>
            <w:vAlign w:val="center"/>
            <w:hideMark/>
          </w:tcPr>
          <w:p w14:paraId="0287B54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0.800</w:t>
            </w:r>
          </w:p>
        </w:tc>
        <w:tc>
          <w:tcPr>
            <w:tcW w:w="0" w:type="auto"/>
            <w:tcBorders>
              <w:top w:val="nil"/>
              <w:left w:val="nil"/>
              <w:bottom w:val="nil"/>
              <w:right w:val="nil"/>
            </w:tcBorders>
            <w:shd w:val="clear" w:color="auto" w:fill="auto"/>
            <w:noWrap/>
            <w:vAlign w:val="center"/>
            <w:hideMark/>
          </w:tcPr>
          <w:p w14:paraId="2B41248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[–0.860, 2.278]</w:t>
            </w:r>
          </w:p>
        </w:tc>
      </w:tr>
      <w:tr w:rsidR="00F30B53" w:rsidRPr="00F30B53" w14:paraId="5D17189E" w14:textId="77777777" w:rsidTr="00F30B53">
        <w:trPr>
          <w:trHeight w:val="217"/>
        </w:trPr>
        <w:tc>
          <w:tcPr>
            <w:tcW w:w="0" w:type="auto"/>
            <w:tcBorders>
              <w:top w:val="nil"/>
              <w:left w:val="nil"/>
              <w:bottom w:val="nil"/>
              <w:right w:val="nil"/>
            </w:tcBorders>
            <w:shd w:val="clear" w:color="auto" w:fill="auto"/>
            <w:vAlign w:val="bottom"/>
            <w:hideMark/>
          </w:tcPr>
          <w:p w14:paraId="486014BA" w14:textId="2632C401"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Sanction-yes*</w:t>
            </w:r>
            <w:r w:rsidR="00627501">
              <w:rPr>
                <w:rFonts w:eastAsia="Times New Roman" w:cs="Times New Roman"/>
                <w:color w:val="000000"/>
                <w:sz w:val="16"/>
                <w:szCs w:val="16"/>
                <w:lang w:val="en-GB" w:eastAsia="zh-CN"/>
              </w:rPr>
              <w:t>Matching design</w:t>
            </w:r>
            <w:r w:rsidR="00627501" w:rsidRPr="00F30B53">
              <w:rPr>
                <w:rFonts w:eastAsia="Times New Roman" w:cs="Times New Roman"/>
                <w:color w:val="000000"/>
                <w:sz w:val="16"/>
                <w:szCs w:val="16"/>
                <w:lang w:val="en-GB" w:eastAsia="zh-CN"/>
              </w:rPr>
              <w:t>-</w:t>
            </w:r>
            <w:r w:rsidR="00627501">
              <w:rPr>
                <w:rFonts w:eastAsia="Times New Roman" w:cs="Times New Roman"/>
                <w:color w:val="000000"/>
                <w:sz w:val="16"/>
                <w:szCs w:val="16"/>
                <w:lang w:val="en-GB" w:eastAsia="zh-CN"/>
              </w:rPr>
              <w:t>partner</w:t>
            </w:r>
          </w:p>
        </w:tc>
        <w:tc>
          <w:tcPr>
            <w:tcW w:w="0" w:type="auto"/>
            <w:tcBorders>
              <w:top w:val="nil"/>
              <w:left w:val="nil"/>
              <w:bottom w:val="nil"/>
              <w:right w:val="nil"/>
            </w:tcBorders>
            <w:shd w:val="clear" w:color="auto" w:fill="auto"/>
            <w:noWrap/>
            <w:vAlign w:val="center"/>
            <w:hideMark/>
          </w:tcPr>
          <w:p w14:paraId="2907F1B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0.206*</w:t>
            </w:r>
          </w:p>
        </w:tc>
        <w:tc>
          <w:tcPr>
            <w:tcW w:w="0" w:type="auto"/>
            <w:tcBorders>
              <w:top w:val="nil"/>
              <w:left w:val="nil"/>
              <w:bottom w:val="nil"/>
              <w:right w:val="nil"/>
            </w:tcBorders>
            <w:shd w:val="clear" w:color="auto" w:fill="auto"/>
            <w:noWrap/>
            <w:vAlign w:val="center"/>
            <w:hideMark/>
          </w:tcPr>
          <w:p w14:paraId="30D10AF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0.092</w:t>
            </w:r>
          </w:p>
        </w:tc>
        <w:tc>
          <w:tcPr>
            <w:tcW w:w="0" w:type="auto"/>
            <w:tcBorders>
              <w:top w:val="nil"/>
              <w:left w:val="nil"/>
              <w:bottom w:val="nil"/>
              <w:right w:val="nil"/>
            </w:tcBorders>
            <w:shd w:val="clear" w:color="auto" w:fill="auto"/>
            <w:noWrap/>
            <w:vAlign w:val="center"/>
            <w:hideMark/>
          </w:tcPr>
          <w:p w14:paraId="5E9F825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[0.025, 0.387]</w:t>
            </w:r>
          </w:p>
        </w:tc>
        <w:tc>
          <w:tcPr>
            <w:tcW w:w="0" w:type="auto"/>
            <w:tcBorders>
              <w:top w:val="nil"/>
              <w:left w:val="nil"/>
              <w:bottom w:val="nil"/>
              <w:right w:val="nil"/>
            </w:tcBorders>
            <w:shd w:val="clear" w:color="auto" w:fill="auto"/>
            <w:noWrap/>
            <w:vAlign w:val="center"/>
            <w:hideMark/>
          </w:tcPr>
          <w:p w14:paraId="2859570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0.211*</w:t>
            </w:r>
          </w:p>
        </w:tc>
        <w:tc>
          <w:tcPr>
            <w:tcW w:w="0" w:type="auto"/>
            <w:tcBorders>
              <w:top w:val="nil"/>
              <w:left w:val="nil"/>
              <w:bottom w:val="nil"/>
              <w:right w:val="nil"/>
            </w:tcBorders>
            <w:shd w:val="clear" w:color="auto" w:fill="auto"/>
            <w:noWrap/>
            <w:vAlign w:val="center"/>
            <w:hideMark/>
          </w:tcPr>
          <w:p w14:paraId="066C32D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0.093</w:t>
            </w:r>
          </w:p>
        </w:tc>
        <w:tc>
          <w:tcPr>
            <w:tcW w:w="0" w:type="auto"/>
            <w:tcBorders>
              <w:top w:val="nil"/>
              <w:left w:val="nil"/>
              <w:bottom w:val="nil"/>
              <w:right w:val="nil"/>
            </w:tcBorders>
            <w:shd w:val="clear" w:color="auto" w:fill="auto"/>
            <w:noWrap/>
            <w:vAlign w:val="center"/>
            <w:hideMark/>
          </w:tcPr>
          <w:p w14:paraId="7FE7E5C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[0.028, 0.393]</w:t>
            </w:r>
          </w:p>
        </w:tc>
        <w:tc>
          <w:tcPr>
            <w:tcW w:w="0" w:type="auto"/>
            <w:tcBorders>
              <w:top w:val="nil"/>
              <w:left w:val="nil"/>
              <w:bottom w:val="nil"/>
              <w:right w:val="nil"/>
            </w:tcBorders>
            <w:shd w:val="clear" w:color="auto" w:fill="auto"/>
            <w:noWrap/>
            <w:vAlign w:val="center"/>
            <w:hideMark/>
          </w:tcPr>
          <w:p w14:paraId="7E67FF6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0.208*</w:t>
            </w:r>
          </w:p>
        </w:tc>
        <w:tc>
          <w:tcPr>
            <w:tcW w:w="0" w:type="auto"/>
            <w:tcBorders>
              <w:top w:val="nil"/>
              <w:left w:val="nil"/>
              <w:bottom w:val="nil"/>
              <w:right w:val="nil"/>
            </w:tcBorders>
            <w:shd w:val="clear" w:color="auto" w:fill="auto"/>
            <w:noWrap/>
            <w:vAlign w:val="center"/>
            <w:hideMark/>
          </w:tcPr>
          <w:p w14:paraId="76BDFE1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0.093</w:t>
            </w:r>
          </w:p>
        </w:tc>
        <w:tc>
          <w:tcPr>
            <w:tcW w:w="0" w:type="auto"/>
            <w:tcBorders>
              <w:top w:val="nil"/>
              <w:left w:val="nil"/>
              <w:bottom w:val="nil"/>
              <w:right w:val="nil"/>
            </w:tcBorders>
            <w:shd w:val="clear" w:color="auto" w:fill="auto"/>
            <w:noWrap/>
            <w:vAlign w:val="center"/>
            <w:hideMark/>
          </w:tcPr>
          <w:p w14:paraId="71C992F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[0.026, 0.390]</w:t>
            </w:r>
          </w:p>
        </w:tc>
      </w:tr>
      <w:tr w:rsidR="00F30B53" w:rsidRPr="00F30B53" w14:paraId="758C0874" w14:textId="77777777" w:rsidTr="00F30B53">
        <w:trPr>
          <w:trHeight w:val="217"/>
        </w:trPr>
        <w:tc>
          <w:tcPr>
            <w:tcW w:w="0" w:type="auto"/>
            <w:tcBorders>
              <w:top w:val="nil"/>
              <w:left w:val="nil"/>
              <w:bottom w:val="nil"/>
              <w:right w:val="nil"/>
            </w:tcBorders>
            <w:shd w:val="clear" w:color="auto" w:fill="auto"/>
            <w:vAlign w:val="bottom"/>
            <w:hideMark/>
          </w:tcPr>
          <w:p w14:paraId="5A1842FC" w14:textId="0A5E2F1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Sanction-mixed*</w:t>
            </w:r>
            <w:r w:rsidR="00627501">
              <w:rPr>
                <w:rFonts w:eastAsia="Times New Roman" w:cs="Times New Roman"/>
                <w:color w:val="000000"/>
                <w:sz w:val="16"/>
                <w:szCs w:val="16"/>
                <w:lang w:val="en-GB" w:eastAsia="zh-CN"/>
              </w:rPr>
              <w:t>Matching design</w:t>
            </w:r>
            <w:r w:rsidR="00627501" w:rsidRPr="00F30B53">
              <w:rPr>
                <w:rFonts w:eastAsia="Times New Roman" w:cs="Times New Roman"/>
                <w:color w:val="000000"/>
                <w:sz w:val="16"/>
                <w:szCs w:val="16"/>
                <w:lang w:val="en-GB" w:eastAsia="zh-CN"/>
              </w:rPr>
              <w:t>-</w:t>
            </w:r>
            <w:r w:rsidR="00627501">
              <w:rPr>
                <w:rFonts w:eastAsia="Times New Roman" w:cs="Times New Roman"/>
                <w:color w:val="000000"/>
                <w:sz w:val="16"/>
                <w:szCs w:val="16"/>
                <w:lang w:val="en-GB" w:eastAsia="zh-CN"/>
              </w:rPr>
              <w:t>partner</w:t>
            </w:r>
          </w:p>
        </w:tc>
        <w:tc>
          <w:tcPr>
            <w:tcW w:w="0" w:type="auto"/>
            <w:tcBorders>
              <w:top w:val="nil"/>
              <w:left w:val="nil"/>
              <w:bottom w:val="nil"/>
              <w:right w:val="nil"/>
            </w:tcBorders>
            <w:shd w:val="clear" w:color="auto" w:fill="auto"/>
            <w:noWrap/>
            <w:vAlign w:val="center"/>
            <w:hideMark/>
          </w:tcPr>
          <w:p w14:paraId="6FCE925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–0.205</w:t>
            </w:r>
          </w:p>
        </w:tc>
        <w:tc>
          <w:tcPr>
            <w:tcW w:w="0" w:type="auto"/>
            <w:tcBorders>
              <w:top w:val="nil"/>
              <w:left w:val="nil"/>
              <w:bottom w:val="nil"/>
              <w:right w:val="nil"/>
            </w:tcBorders>
            <w:shd w:val="clear" w:color="auto" w:fill="auto"/>
            <w:noWrap/>
            <w:vAlign w:val="center"/>
            <w:hideMark/>
          </w:tcPr>
          <w:p w14:paraId="62D1EB4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0.286</w:t>
            </w:r>
          </w:p>
        </w:tc>
        <w:tc>
          <w:tcPr>
            <w:tcW w:w="0" w:type="auto"/>
            <w:tcBorders>
              <w:top w:val="nil"/>
              <w:left w:val="nil"/>
              <w:bottom w:val="nil"/>
              <w:right w:val="nil"/>
            </w:tcBorders>
            <w:shd w:val="clear" w:color="auto" w:fill="auto"/>
            <w:noWrap/>
            <w:vAlign w:val="center"/>
            <w:hideMark/>
          </w:tcPr>
          <w:p w14:paraId="2A3CCA0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[–0.765, 0.356]</w:t>
            </w:r>
          </w:p>
        </w:tc>
        <w:tc>
          <w:tcPr>
            <w:tcW w:w="0" w:type="auto"/>
            <w:tcBorders>
              <w:top w:val="nil"/>
              <w:left w:val="nil"/>
              <w:bottom w:val="nil"/>
              <w:right w:val="nil"/>
            </w:tcBorders>
            <w:shd w:val="clear" w:color="auto" w:fill="auto"/>
            <w:noWrap/>
            <w:vAlign w:val="center"/>
            <w:hideMark/>
          </w:tcPr>
          <w:p w14:paraId="791E6AD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–0.186</w:t>
            </w:r>
          </w:p>
        </w:tc>
        <w:tc>
          <w:tcPr>
            <w:tcW w:w="0" w:type="auto"/>
            <w:tcBorders>
              <w:top w:val="nil"/>
              <w:left w:val="nil"/>
              <w:bottom w:val="nil"/>
              <w:right w:val="nil"/>
            </w:tcBorders>
            <w:shd w:val="clear" w:color="auto" w:fill="auto"/>
            <w:noWrap/>
            <w:vAlign w:val="center"/>
            <w:hideMark/>
          </w:tcPr>
          <w:p w14:paraId="1EF4C7B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0.287</w:t>
            </w:r>
          </w:p>
        </w:tc>
        <w:tc>
          <w:tcPr>
            <w:tcW w:w="0" w:type="auto"/>
            <w:tcBorders>
              <w:top w:val="nil"/>
              <w:left w:val="nil"/>
              <w:bottom w:val="nil"/>
              <w:right w:val="nil"/>
            </w:tcBorders>
            <w:shd w:val="clear" w:color="auto" w:fill="auto"/>
            <w:noWrap/>
            <w:vAlign w:val="center"/>
            <w:hideMark/>
          </w:tcPr>
          <w:p w14:paraId="2F9D9D3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[–0.749, 0.377]</w:t>
            </w:r>
          </w:p>
        </w:tc>
        <w:tc>
          <w:tcPr>
            <w:tcW w:w="0" w:type="auto"/>
            <w:tcBorders>
              <w:top w:val="nil"/>
              <w:left w:val="nil"/>
              <w:bottom w:val="nil"/>
              <w:right w:val="nil"/>
            </w:tcBorders>
            <w:shd w:val="clear" w:color="auto" w:fill="auto"/>
            <w:noWrap/>
            <w:vAlign w:val="center"/>
            <w:hideMark/>
          </w:tcPr>
          <w:p w14:paraId="4CA4ADC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–0.178</w:t>
            </w:r>
          </w:p>
        </w:tc>
        <w:tc>
          <w:tcPr>
            <w:tcW w:w="0" w:type="auto"/>
            <w:tcBorders>
              <w:top w:val="nil"/>
              <w:left w:val="nil"/>
              <w:bottom w:val="nil"/>
              <w:right w:val="nil"/>
            </w:tcBorders>
            <w:shd w:val="clear" w:color="auto" w:fill="auto"/>
            <w:noWrap/>
            <w:vAlign w:val="center"/>
            <w:hideMark/>
          </w:tcPr>
          <w:p w14:paraId="64AC907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0.287</w:t>
            </w:r>
          </w:p>
        </w:tc>
        <w:tc>
          <w:tcPr>
            <w:tcW w:w="0" w:type="auto"/>
            <w:tcBorders>
              <w:top w:val="nil"/>
              <w:left w:val="nil"/>
              <w:bottom w:val="nil"/>
              <w:right w:val="nil"/>
            </w:tcBorders>
            <w:shd w:val="clear" w:color="auto" w:fill="auto"/>
            <w:noWrap/>
            <w:vAlign w:val="center"/>
            <w:hideMark/>
          </w:tcPr>
          <w:p w14:paraId="4B2F6D9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[–0.740, 0.385]</w:t>
            </w:r>
          </w:p>
        </w:tc>
      </w:tr>
      <w:tr w:rsidR="00F30B53" w:rsidRPr="00F30B53" w14:paraId="5B7E3CF7" w14:textId="77777777" w:rsidTr="00F30B53">
        <w:trPr>
          <w:trHeight w:val="217"/>
        </w:trPr>
        <w:tc>
          <w:tcPr>
            <w:tcW w:w="0" w:type="auto"/>
            <w:tcBorders>
              <w:top w:val="nil"/>
              <w:left w:val="nil"/>
              <w:bottom w:val="nil"/>
              <w:right w:val="nil"/>
            </w:tcBorders>
            <w:shd w:val="clear" w:color="auto" w:fill="auto"/>
            <w:vAlign w:val="bottom"/>
            <w:hideMark/>
          </w:tcPr>
          <w:p w14:paraId="182D38BD" w14:textId="5581A958"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Sanction-yes*</w:t>
            </w:r>
            <w:r w:rsidR="00627501">
              <w:rPr>
                <w:rFonts w:eastAsia="Times New Roman" w:cs="Times New Roman"/>
                <w:color w:val="000000"/>
                <w:sz w:val="16"/>
                <w:szCs w:val="16"/>
                <w:lang w:val="en-GB" w:eastAsia="zh-CN"/>
              </w:rPr>
              <w:t>Matching design</w:t>
            </w:r>
            <w:r w:rsidR="00627501" w:rsidRPr="00F30B53">
              <w:rPr>
                <w:rFonts w:eastAsia="Times New Roman" w:cs="Times New Roman"/>
                <w:color w:val="000000"/>
                <w:sz w:val="16"/>
                <w:szCs w:val="16"/>
                <w:lang w:val="en-GB" w:eastAsia="zh-CN"/>
              </w:rPr>
              <w:t>-mixed</w:t>
            </w:r>
          </w:p>
        </w:tc>
        <w:tc>
          <w:tcPr>
            <w:tcW w:w="0" w:type="auto"/>
            <w:tcBorders>
              <w:top w:val="nil"/>
              <w:left w:val="nil"/>
              <w:bottom w:val="nil"/>
              <w:right w:val="nil"/>
            </w:tcBorders>
            <w:shd w:val="clear" w:color="auto" w:fill="auto"/>
            <w:noWrap/>
            <w:vAlign w:val="center"/>
            <w:hideMark/>
          </w:tcPr>
          <w:p w14:paraId="19E6620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1.023*</w:t>
            </w:r>
          </w:p>
        </w:tc>
        <w:tc>
          <w:tcPr>
            <w:tcW w:w="0" w:type="auto"/>
            <w:tcBorders>
              <w:top w:val="nil"/>
              <w:left w:val="nil"/>
              <w:bottom w:val="nil"/>
              <w:right w:val="nil"/>
            </w:tcBorders>
            <w:shd w:val="clear" w:color="auto" w:fill="auto"/>
            <w:noWrap/>
            <w:vAlign w:val="center"/>
            <w:hideMark/>
          </w:tcPr>
          <w:p w14:paraId="364BAFA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0.459</w:t>
            </w:r>
          </w:p>
        </w:tc>
        <w:tc>
          <w:tcPr>
            <w:tcW w:w="0" w:type="auto"/>
            <w:tcBorders>
              <w:top w:val="nil"/>
              <w:left w:val="nil"/>
              <w:bottom w:val="nil"/>
              <w:right w:val="nil"/>
            </w:tcBorders>
            <w:shd w:val="clear" w:color="auto" w:fill="auto"/>
            <w:noWrap/>
            <w:vAlign w:val="center"/>
            <w:hideMark/>
          </w:tcPr>
          <w:p w14:paraId="109ECFA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[0.122, 1.924]</w:t>
            </w:r>
          </w:p>
        </w:tc>
        <w:tc>
          <w:tcPr>
            <w:tcW w:w="0" w:type="auto"/>
            <w:tcBorders>
              <w:top w:val="nil"/>
              <w:left w:val="nil"/>
              <w:bottom w:val="nil"/>
              <w:right w:val="nil"/>
            </w:tcBorders>
            <w:shd w:val="clear" w:color="auto" w:fill="auto"/>
            <w:noWrap/>
            <w:vAlign w:val="center"/>
            <w:hideMark/>
          </w:tcPr>
          <w:p w14:paraId="3791B4D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1.051*</w:t>
            </w:r>
          </w:p>
        </w:tc>
        <w:tc>
          <w:tcPr>
            <w:tcW w:w="0" w:type="auto"/>
            <w:tcBorders>
              <w:top w:val="nil"/>
              <w:left w:val="nil"/>
              <w:bottom w:val="nil"/>
              <w:right w:val="nil"/>
            </w:tcBorders>
            <w:shd w:val="clear" w:color="auto" w:fill="auto"/>
            <w:noWrap/>
            <w:vAlign w:val="center"/>
            <w:hideMark/>
          </w:tcPr>
          <w:p w14:paraId="6BD2FD7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0.469</w:t>
            </w:r>
          </w:p>
        </w:tc>
        <w:tc>
          <w:tcPr>
            <w:tcW w:w="0" w:type="auto"/>
            <w:tcBorders>
              <w:top w:val="nil"/>
              <w:left w:val="nil"/>
              <w:bottom w:val="nil"/>
              <w:right w:val="nil"/>
            </w:tcBorders>
            <w:shd w:val="clear" w:color="auto" w:fill="auto"/>
            <w:noWrap/>
            <w:vAlign w:val="center"/>
            <w:hideMark/>
          </w:tcPr>
          <w:p w14:paraId="1852668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[0.131, 1.972]</w:t>
            </w:r>
          </w:p>
        </w:tc>
        <w:tc>
          <w:tcPr>
            <w:tcW w:w="0" w:type="auto"/>
            <w:tcBorders>
              <w:top w:val="nil"/>
              <w:left w:val="nil"/>
              <w:bottom w:val="nil"/>
              <w:right w:val="nil"/>
            </w:tcBorders>
            <w:shd w:val="clear" w:color="auto" w:fill="auto"/>
            <w:noWrap/>
            <w:vAlign w:val="center"/>
            <w:hideMark/>
          </w:tcPr>
          <w:p w14:paraId="2C34B1D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0.868</w:t>
            </w:r>
          </w:p>
        </w:tc>
        <w:tc>
          <w:tcPr>
            <w:tcW w:w="0" w:type="auto"/>
            <w:tcBorders>
              <w:top w:val="nil"/>
              <w:left w:val="nil"/>
              <w:bottom w:val="nil"/>
              <w:right w:val="nil"/>
            </w:tcBorders>
            <w:shd w:val="clear" w:color="auto" w:fill="auto"/>
            <w:noWrap/>
            <w:vAlign w:val="center"/>
            <w:hideMark/>
          </w:tcPr>
          <w:p w14:paraId="7C97930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0.471</w:t>
            </w:r>
          </w:p>
        </w:tc>
        <w:tc>
          <w:tcPr>
            <w:tcW w:w="0" w:type="auto"/>
            <w:tcBorders>
              <w:top w:val="nil"/>
              <w:left w:val="nil"/>
              <w:bottom w:val="nil"/>
              <w:right w:val="nil"/>
            </w:tcBorders>
            <w:shd w:val="clear" w:color="auto" w:fill="auto"/>
            <w:noWrap/>
            <w:vAlign w:val="center"/>
            <w:hideMark/>
          </w:tcPr>
          <w:p w14:paraId="5DF001B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[–0.056, 1.791]</w:t>
            </w:r>
          </w:p>
        </w:tc>
      </w:tr>
      <w:tr w:rsidR="00F30B53" w:rsidRPr="00F30B53" w14:paraId="70099D4B" w14:textId="77777777" w:rsidTr="00F30B53">
        <w:trPr>
          <w:trHeight w:val="217"/>
        </w:trPr>
        <w:tc>
          <w:tcPr>
            <w:tcW w:w="0" w:type="auto"/>
            <w:tcBorders>
              <w:top w:val="nil"/>
              <w:left w:val="nil"/>
              <w:bottom w:val="nil"/>
              <w:right w:val="nil"/>
            </w:tcBorders>
            <w:shd w:val="clear" w:color="auto" w:fill="auto"/>
            <w:vAlign w:val="bottom"/>
            <w:hideMark/>
          </w:tcPr>
          <w:p w14:paraId="14F5C31F" w14:textId="38D49670"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Sanction-mixed*</w:t>
            </w:r>
            <w:r w:rsidR="00627501">
              <w:rPr>
                <w:rFonts w:eastAsia="Times New Roman" w:cs="Times New Roman"/>
                <w:color w:val="000000"/>
                <w:sz w:val="16"/>
                <w:szCs w:val="16"/>
                <w:lang w:val="en-GB" w:eastAsia="zh-CN"/>
              </w:rPr>
              <w:t>Matching design</w:t>
            </w:r>
            <w:r w:rsidR="00627501" w:rsidRPr="00F30B53">
              <w:rPr>
                <w:rFonts w:eastAsia="Times New Roman" w:cs="Times New Roman"/>
                <w:color w:val="000000"/>
                <w:sz w:val="16"/>
                <w:szCs w:val="16"/>
                <w:lang w:val="en-GB" w:eastAsia="zh-CN"/>
              </w:rPr>
              <w:t>-mixed</w:t>
            </w:r>
          </w:p>
        </w:tc>
        <w:tc>
          <w:tcPr>
            <w:tcW w:w="0" w:type="auto"/>
            <w:tcBorders>
              <w:top w:val="nil"/>
              <w:left w:val="nil"/>
              <w:bottom w:val="nil"/>
              <w:right w:val="nil"/>
            </w:tcBorders>
            <w:shd w:val="clear" w:color="auto" w:fill="auto"/>
            <w:noWrap/>
            <w:vAlign w:val="center"/>
            <w:hideMark/>
          </w:tcPr>
          <w:p w14:paraId="334B4B9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0.845</w:t>
            </w:r>
          </w:p>
        </w:tc>
        <w:tc>
          <w:tcPr>
            <w:tcW w:w="0" w:type="auto"/>
            <w:tcBorders>
              <w:top w:val="nil"/>
              <w:left w:val="nil"/>
              <w:bottom w:val="nil"/>
              <w:right w:val="nil"/>
            </w:tcBorders>
            <w:shd w:val="clear" w:color="auto" w:fill="auto"/>
            <w:noWrap/>
            <w:vAlign w:val="center"/>
            <w:hideMark/>
          </w:tcPr>
          <w:p w14:paraId="6AA0873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0.762</w:t>
            </w:r>
          </w:p>
        </w:tc>
        <w:tc>
          <w:tcPr>
            <w:tcW w:w="0" w:type="auto"/>
            <w:tcBorders>
              <w:top w:val="nil"/>
              <w:left w:val="nil"/>
              <w:bottom w:val="nil"/>
              <w:right w:val="nil"/>
            </w:tcBorders>
            <w:shd w:val="clear" w:color="auto" w:fill="auto"/>
            <w:noWrap/>
            <w:vAlign w:val="center"/>
            <w:hideMark/>
          </w:tcPr>
          <w:p w14:paraId="2B70709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[–0.649, 2.339]</w:t>
            </w:r>
          </w:p>
        </w:tc>
        <w:tc>
          <w:tcPr>
            <w:tcW w:w="0" w:type="auto"/>
            <w:tcBorders>
              <w:top w:val="nil"/>
              <w:left w:val="nil"/>
              <w:bottom w:val="nil"/>
              <w:right w:val="nil"/>
            </w:tcBorders>
            <w:shd w:val="clear" w:color="auto" w:fill="auto"/>
            <w:noWrap/>
            <w:vAlign w:val="center"/>
            <w:hideMark/>
          </w:tcPr>
          <w:p w14:paraId="139C5DB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0.919</w:t>
            </w:r>
          </w:p>
        </w:tc>
        <w:tc>
          <w:tcPr>
            <w:tcW w:w="0" w:type="auto"/>
            <w:tcBorders>
              <w:top w:val="nil"/>
              <w:left w:val="nil"/>
              <w:bottom w:val="nil"/>
              <w:right w:val="nil"/>
            </w:tcBorders>
            <w:shd w:val="clear" w:color="auto" w:fill="auto"/>
            <w:noWrap/>
            <w:vAlign w:val="center"/>
            <w:hideMark/>
          </w:tcPr>
          <w:p w14:paraId="70C4484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0.773</w:t>
            </w:r>
          </w:p>
        </w:tc>
        <w:tc>
          <w:tcPr>
            <w:tcW w:w="0" w:type="auto"/>
            <w:tcBorders>
              <w:top w:val="nil"/>
              <w:left w:val="nil"/>
              <w:bottom w:val="nil"/>
              <w:right w:val="nil"/>
            </w:tcBorders>
            <w:shd w:val="clear" w:color="auto" w:fill="auto"/>
            <w:noWrap/>
            <w:vAlign w:val="center"/>
            <w:hideMark/>
          </w:tcPr>
          <w:p w14:paraId="35152C2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[–0.596, 2.434]</w:t>
            </w:r>
          </w:p>
        </w:tc>
        <w:tc>
          <w:tcPr>
            <w:tcW w:w="0" w:type="auto"/>
            <w:tcBorders>
              <w:top w:val="nil"/>
              <w:left w:val="nil"/>
              <w:bottom w:val="nil"/>
              <w:right w:val="nil"/>
            </w:tcBorders>
            <w:shd w:val="clear" w:color="auto" w:fill="auto"/>
            <w:noWrap/>
            <w:vAlign w:val="center"/>
            <w:hideMark/>
          </w:tcPr>
          <w:p w14:paraId="084C7B5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0.659</w:t>
            </w:r>
          </w:p>
        </w:tc>
        <w:tc>
          <w:tcPr>
            <w:tcW w:w="0" w:type="auto"/>
            <w:tcBorders>
              <w:top w:val="nil"/>
              <w:left w:val="nil"/>
              <w:bottom w:val="nil"/>
              <w:right w:val="nil"/>
            </w:tcBorders>
            <w:shd w:val="clear" w:color="auto" w:fill="auto"/>
            <w:noWrap/>
            <w:vAlign w:val="center"/>
            <w:hideMark/>
          </w:tcPr>
          <w:p w14:paraId="7923720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0.775</w:t>
            </w:r>
          </w:p>
        </w:tc>
        <w:tc>
          <w:tcPr>
            <w:tcW w:w="0" w:type="auto"/>
            <w:tcBorders>
              <w:top w:val="nil"/>
              <w:left w:val="nil"/>
              <w:bottom w:val="nil"/>
              <w:right w:val="nil"/>
            </w:tcBorders>
            <w:shd w:val="clear" w:color="auto" w:fill="auto"/>
            <w:noWrap/>
            <w:vAlign w:val="center"/>
            <w:hideMark/>
          </w:tcPr>
          <w:p w14:paraId="5FDB02D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[–0.860, 2.179]</w:t>
            </w:r>
          </w:p>
        </w:tc>
      </w:tr>
      <w:tr w:rsidR="00F30B53" w:rsidRPr="00F30B53" w14:paraId="0F9C23C7" w14:textId="77777777" w:rsidTr="00F30B53">
        <w:trPr>
          <w:trHeight w:val="215"/>
        </w:trPr>
        <w:tc>
          <w:tcPr>
            <w:tcW w:w="0" w:type="auto"/>
            <w:tcBorders>
              <w:top w:val="nil"/>
              <w:left w:val="nil"/>
              <w:bottom w:val="nil"/>
              <w:right w:val="nil"/>
            </w:tcBorders>
            <w:shd w:val="clear" w:color="auto" w:fill="auto"/>
            <w:noWrap/>
            <w:vAlign w:val="bottom"/>
            <w:hideMark/>
          </w:tcPr>
          <w:p w14:paraId="3BE42B40"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K index*Communication-yes</w:t>
            </w:r>
          </w:p>
        </w:tc>
        <w:tc>
          <w:tcPr>
            <w:tcW w:w="0" w:type="auto"/>
            <w:tcBorders>
              <w:top w:val="nil"/>
              <w:left w:val="nil"/>
              <w:bottom w:val="nil"/>
              <w:right w:val="nil"/>
            </w:tcBorders>
            <w:shd w:val="clear" w:color="auto" w:fill="auto"/>
            <w:noWrap/>
            <w:vAlign w:val="center"/>
            <w:hideMark/>
          </w:tcPr>
          <w:p w14:paraId="3B5C0A6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55079DD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203FBA3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47D8B4A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–0.694*</w:t>
            </w:r>
          </w:p>
        </w:tc>
        <w:tc>
          <w:tcPr>
            <w:tcW w:w="0" w:type="auto"/>
            <w:tcBorders>
              <w:top w:val="nil"/>
              <w:left w:val="nil"/>
              <w:bottom w:val="nil"/>
              <w:right w:val="nil"/>
            </w:tcBorders>
            <w:shd w:val="clear" w:color="auto" w:fill="auto"/>
            <w:noWrap/>
            <w:vAlign w:val="center"/>
            <w:hideMark/>
          </w:tcPr>
          <w:p w14:paraId="5F96C26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0.276</w:t>
            </w:r>
          </w:p>
        </w:tc>
        <w:tc>
          <w:tcPr>
            <w:tcW w:w="0" w:type="auto"/>
            <w:tcBorders>
              <w:top w:val="nil"/>
              <w:left w:val="nil"/>
              <w:bottom w:val="nil"/>
              <w:right w:val="nil"/>
            </w:tcBorders>
            <w:shd w:val="clear" w:color="auto" w:fill="auto"/>
            <w:noWrap/>
            <w:vAlign w:val="center"/>
            <w:hideMark/>
          </w:tcPr>
          <w:p w14:paraId="35ADE16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[–1.235, –0.152]</w:t>
            </w:r>
          </w:p>
        </w:tc>
        <w:tc>
          <w:tcPr>
            <w:tcW w:w="0" w:type="auto"/>
            <w:tcBorders>
              <w:top w:val="nil"/>
              <w:left w:val="nil"/>
              <w:bottom w:val="nil"/>
              <w:right w:val="nil"/>
            </w:tcBorders>
            <w:shd w:val="clear" w:color="auto" w:fill="auto"/>
            <w:noWrap/>
            <w:vAlign w:val="center"/>
            <w:hideMark/>
          </w:tcPr>
          <w:p w14:paraId="6AAD3EC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–0.687*</w:t>
            </w:r>
          </w:p>
        </w:tc>
        <w:tc>
          <w:tcPr>
            <w:tcW w:w="0" w:type="auto"/>
            <w:tcBorders>
              <w:top w:val="nil"/>
              <w:left w:val="nil"/>
              <w:bottom w:val="nil"/>
              <w:right w:val="nil"/>
            </w:tcBorders>
            <w:shd w:val="clear" w:color="auto" w:fill="auto"/>
            <w:noWrap/>
            <w:vAlign w:val="center"/>
            <w:hideMark/>
          </w:tcPr>
          <w:p w14:paraId="134D422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0.277</w:t>
            </w:r>
          </w:p>
        </w:tc>
        <w:tc>
          <w:tcPr>
            <w:tcW w:w="0" w:type="auto"/>
            <w:tcBorders>
              <w:top w:val="nil"/>
              <w:left w:val="nil"/>
              <w:bottom w:val="nil"/>
              <w:right w:val="nil"/>
            </w:tcBorders>
            <w:shd w:val="clear" w:color="auto" w:fill="auto"/>
            <w:noWrap/>
            <w:vAlign w:val="center"/>
            <w:hideMark/>
          </w:tcPr>
          <w:p w14:paraId="15EF124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[–1.230, –0.144]</w:t>
            </w:r>
          </w:p>
        </w:tc>
      </w:tr>
      <w:tr w:rsidR="00F30B53" w:rsidRPr="00F30B53" w14:paraId="209D223F" w14:textId="77777777" w:rsidTr="00F30B53">
        <w:trPr>
          <w:trHeight w:val="215"/>
        </w:trPr>
        <w:tc>
          <w:tcPr>
            <w:tcW w:w="0" w:type="auto"/>
            <w:tcBorders>
              <w:top w:val="nil"/>
              <w:left w:val="nil"/>
              <w:bottom w:val="nil"/>
              <w:right w:val="nil"/>
            </w:tcBorders>
            <w:shd w:val="clear" w:color="auto" w:fill="auto"/>
            <w:noWrap/>
            <w:vAlign w:val="bottom"/>
            <w:hideMark/>
          </w:tcPr>
          <w:p w14:paraId="74154CCD"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K index*Communication-mixed</w:t>
            </w:r>
          </w:p>
        </w:tc>
        <w:tc>
          <w:tcPr>
            <w:tcW w:w="0" w:type="auto"/>
            <w:tcBorders>
              <w:top w:val="nil"/>
              <w:left w:val="nil"/>
              <w:bottom w:val="nil"/>
              <w:right w:val="nil"/>
            </w:tcBorders>
            <w:shd w:val="clear" w:color="auto" w:fill="auto"/>
            <w:noWrap/>
            <w:vAlign w:val="center"/>
            <w:hideMark/>
          </w:tcPr>
          <w:p w14:paraId="7030478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736392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463B5EE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6EB5175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–0.086</w:t>
            </w:r>
          </w:p>
        </w:tc>
        <w:tc>
          <w:tcPr>
            <w:tcW w:w="0" w:type="auto"/>
            <w:tcBorders>
              <w:top w:val="nil"/>
              <w:left w:val="nil"/>
              <w:bottom w:val="nil"/>
              <w:right w:val="nil"/>
            </w:tcBorders>
            <w:shd w:val="clear" w:color="auto" w:fill="auto"/>
            <w:noWrap/>
            <w:vAlign w:val="center"/>
            <w:hideMark/>
          </w:tcPr>
          <w:p w14:paraId="344E3B4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0.751</w:t>
            </w:r>
          </w:p>
        </w:tc>
        <w:tc>
          <w:tcPr>
            <w:tcW w:w="0" w:type="auto"/>
            <w:tcBorders>
              <w:top w:val="nil"/>
              <w:left w:val="nil"/>
              <w:bottom w:val="nil"/>
              <w:right w:val="nil"/>
            </w:tcBorders>
            <w:shd w:val="clear" w:color="auto" w:fill="auto"/>
            <w:noWrap/>
            <w:vAlign w:val="center"/>
            <w:hideMark/>
          </w:tcPr>
          <w:p w14:paraId="3843F8D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[–1.558, 1.386]</w:t>
            </w:r>
          </w:p>
        </w:tc>
        <w:tc>
          <w:tcPr>
            <w:tcW w:w="0" w:type="auto"/>
            <w:tcBorders>
              <w:top w:val="nil"/>
              <w:left w:val="nil"/>
              <w:bottom w:val="nil"/>
              <w:right w:val="nil"/>
            </w:tcBorders>
            <w:shd w:val="clear" w:color="auto" w:fill="auto"/>
            <w:noWrap/>
            <w:vAlign w:val="center"/>
            <w:hideMark/>
          </w:tcPr>
          <w:p w14:paraId="22AD395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–0.289</w:t>
            </w:r>
          </w:p>
        </w:tc>
        <w:tc>
          <w:tcPr>
            <w:tcW w:w="0" w:type="auto"/>
            <w:tcBorders>
              <w:top w:val="nil"/>
              <w:left w:val="nil"/>
              <w:bottom w:val="nil"/>
              <w:right w:val="nil"/>
            </w:tcBorders>
            <w:shd w:val="clear" w:color="auto" w:fill="auto"/>
            <w:noWrap/>
            <w:vAlign w:val="center"/>
            <w:hideMark/>
          </w:tcPr>
          <w:p w14:paraId="6A7DF9D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0.740</w:t>
            </w:r>
          </w:p>
        </w:tc>
        <w:tc>
          <w:tcPr>
            <w:tcW w:w="0" w:type="auto"/>
            <w:tcBorders>
              <w:top w:val="nil"/>
              <w:left w:val="nil"/>
              <w:bottom w:val="nil"/>
              <w:right w:val="nil"/>
            </w:tcBorders>
            <w:shd w:val="clear" w:color="auto" w:fill="auto"/>
            <w:noWrap/>
            <w:vAlign w:val="center"/>
            <w:hideMark/>
          </w:tcPr>
          <w:p w14:paraId="7DE6F6F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[–1.741, 1.163]</w:t>
            </w:r>
          </w:p>
        </w:tc>
      </w:tr>
      <w:tr w:rsidR="00F30B53" w:rsidRPr="00F30B53" w14:paraId="3014A139" w14:textId="77777777" w:rsidTr="00F30B53">
        <w:trPr>
          <w:trHeight w:val="215"/>
        </w:trPr>
        <w:tc>
          <w:tcPr>
            <w:tcW w:w="0" w:type="auto"/>
            <w:tcBorders>
              <w:top w:val="nil"/>
              <w:left w:val="nil"/>
              <w:bottom w:val="nil"/>
              <w:right w:val="nil"/>
            </w:tcBorders>
            <w:shd w:val="clear" w:color="auto" w:fill="auto"/>
            <w:noWrap/>
            <w:vAlign w:val="bottom"/>
            <w:hideMark/>
          </w:tcPr>
          <w:p w14:paraId="47378D7F"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K index*Communication type-bidirectional</w:t>
            </w:r>
          </w:p>
        </w:tc>
        <w:tc>
          <w:tcPr>
            <w:tcW w:w="0" w:type="auto"/>
            <w:tcBorders>
              <w:top w:val="nil"/>
              <w:left w:val="nil"/>
              <w:bottom w:val="nil"/>
              <w:right w:val="nil"/>
            </w:tcBorders>
            <w:shd w:val="clear" w:color="auto" w:fill="auto"/>
            <w:noWrap/>
            <w:vAlign w:val="center"/>
            <w:hideMark/>
          </w:tcPr>
          <w:p w14:paraId="393C2D5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–1.023</w:t>
            </w:r>
          </w:p>
        </w:tc>
        <w:tc>
          <w:tcPr>
            <w:tcW w:w="0" w:type="auto"/>
            <w:tcBorders>
              <w:top w:val="nil"/>
              <w:left w:val="nil"/>
              <w:bottom w:val="nil"/>
              <w:right w:val="nil"/>
            </w:tcBorders>
            <w:shd w:val="clear" w:color="auto" w:fill="auto"/>
            <w:noWrap/>
            <w:vAlign w:val="center"/>
            <w:hideMark/>
          </w:tcPr>
          <w:p w14:paraId="54A3FAC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0.592</w:t>
            </w:r>
          </w:p>
        </w:tc>
        <w:tc>
          <w:tcPr>
            <w:tcW w:w="0" w:type="auto"/>
            <w:tcBorders>
              <w:top w:val="nil"/>
              <w:left w:val="nil"/>
              <w:bottom w:val="nil"/>
              <w:right w:val="nil"/>
            </w:tcBorders>
            <w:shd w:val="clear" w:color="auto" w:fill="auto"/>
            <w:noWrap/>
            <w:vAlign w:val="center"/>
            <w:hideMark/>
          </w:tcPr>
          <w:p w14:paraId="31D9A46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[–2.184, 0.138]</w:t>
            </w:r>
          </w:p>
        </w:tc>
        <w:tc>
          <w:tcPr>
            <w:tcW w:w="0" w:type="auto"/>
            <w:tcBorders>
              <w:top w:val="nil"/>
              <w:left w:val="nil"/>
              <w:bottom w:val="nil"/>
              <w:right w:val="nil"/>
            </w:tcBorders>
            <w:shd w:val="clear" w:color="auto" w:fill="auto"/>
            <w:noWrap/>
            <w:vAlign w:val="center"/>
            <w:hideMark/>
          </w:tcPr>
          <w:p w14:paraId="0583D42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2D6F083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79A8E8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F5AB08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7532081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B6C981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r>
      <w:tr w:rsidR="00F30B53" w:rsidRPr="00F30B53" w14:paraId="6FF8D777" w14:textId="77777777" w:rsidTr="00F30B53">
        <w:trPr>
          <w:trHeight w:val="215"/>
        </w:trPr>
        <w:tc>
          <w:tcPr>
            <w:tcW w:w="0" w:type="auto"/>
            <w:tcBorders>
              <w:top w:val="nil"/>
              <w:left w:val="nil"/>
              <w:bottom w:val="nil"/>
              <w:right w:val="nil"/>
            </w:tcBorders>
            <w:shd w:val="clear" w:color="auto" w:fill="auto"/>
            <w:noWrap/>
            <w:vAlign w:val="bottom"/>
            <w:hideMark/>
          </w:tcPr>
          <w:p w14:paraId="2279D7E2"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K index*Communication type-no</w:t>
            </w:r>
          </w:p>
        </w:tc>
        <w:tc>
          <w:tcPr>
            <w:tcW w:w="0" w:type="auto"/>
            <w:tcBorders>
              <w:top w:val="nil"/>
              <w:left w:val="nil"/>
              <w:bottom w:val="nil"/>
              <w:right w:val="nil"/>
            </w:tcBorders>
            <w:shd w:val="clear" w:color="auto" w:fill="auto"/>
            <w:noWrap/>
            <w:vAlign w:val="center"/>
            <w:hideMark/>
          </w:tcPr>
          <w:p w14:paraId="375BBA3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–0.334</w:t>
            </w:r>
          </w:p>
        </w:tc>
        <w:tc>
          <w:tcPr>
            <w:tcW w:w="0" w:type="auto"/>
            <w:tcBorders>
              <w:top w:val="nil"/>
              <w:left w:val="nil"/>
              <w:bottom w:val="nil"/>
              <w:right w:val="nil"/>
            </w:tcBorders>
            <w:shd w:val="clear" w:color="auto" w:fill="auto"/>
            <w:noWrap/>
            <w:vAlign w:val="center"/>
            <w:hideMark/>
          </w:tcPr>
          <w:p w14:paraId="5503A3E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0.497</w:t>
            </w:r>
          </w:p>
        </w:tc>
        <w:tc>
          <w:tcPr>
            <w:tcW w:w="0" w:type="auto"/>
            <w:tcBorders>
              <w:top w:val="nil"/>
              <w:left w:val="nil"/>
              <w:bottom w:val="nil"/>
              <w:right w:val="nil"/>
            </w:tcBorders>
            <w:shd w:val="clear" w:color="auto" w:fill="auto"/>
            <w:noWrap/>
            <w:vAlign w:val="center"/>
            <w:hideMark/>
          </w:tcPr>
          <w:p w14:paraId="07B3992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[–1.309, 0.641]</w:t>
            </w:r>
          </w:p>
        </w:tc>
        <w:tc>
          <w:tcPr>
            <w:tcW w:w="0" w:type="auto"/>
            <w:tcBorders>
              <w:top w:val="nil"/>
              <w:left w:val="nil"/>
              <w:bottom w:val="nil"/>
              <w:right w:val="nil"/>
            </w:tcBorders>
            <w:shd w:val="clear" w:color="auto" w:fill="auto"/>
            <w:noWrap/>
            <w:vAlign w:val="center"/>
            <w:hideMark/>
          </w:tcPr>
          <w:p w14:paraId="10083F6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2774DCA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4942FAF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29A3BED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9DBF18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55CE8CB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r>
      <w:tr w:rsidR="00F30B53" w:rsidRPr="00F30B53" w14:paraId="290EF316" w14:textId="77777777" w:rsidTr="00F30B53">
        <w:trPr>
          <w:trHeight w:val="215"/>
        </w:trPr>
        <w:tc>
          <w:tcPr>
            <w:tcW w:w="0" w:type="auto"/>
            <w:tcBorders>
              <w:top w:val="nil"/>
              <w:left w:val="nil"/>
              <w:bottom w:val="nil"/>
              <w:right w:val="nil"/>
            </w:tcBorders>
            <w:shd w:val="clear" w:color="auto" w:fill="auto"/>
            <w:noWrap/>
            <w:vAlign w:val="bottom"/>
            <w:hideMark/>
          </w:tcPr>
          <w:p w14:paraId="386ED6A9"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K index*Communication type-mixed</w:t>
            </w:r>
          </w:p>
        </w:tc>
        <w:tc>
          <w:tcPr>
            <w:tcW w:w="0" w:type="auto"/>
            <w:tcBorders>
              <w:top w:val="nil"/>
              <w:left w:val="nil"/>
              <w:bottom w:val="nil"/>
              <w:right w:val="nil"/>
            </w:tcBorders>
            <w:shd w:val="clear" w:color="auto" w:fill="auto"/>
            <w:noWrap/>
            <w:vAlign w:val="center"/>
            <w:hideMark/>
          </w:tcPr>
          <w:p w14:paraId="0F2DD09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–0.415</w:t>
            </w:r>
          </w:p>
        </w:tc>
        <w:tc>
          <w:tcPr>
            <w:tcW w:w="0" w:type="auto"/>
            <w:tcBorders>
              <w:top w:val="nil"/>
              <w:left w:val="nil"/>
              <w:bottom w:val="nil"/>
              <w:right w:val="nil"/>
            </w:tcBorders>
            <w:shd w:val="clear" w:color="auto" w:fill="auto"/>
            <w:noWrap/>
            <w:vAlign w:val="center"/>
            <w:hideMark/>
          </w:tcPr>
          <w:p w14:paraId="6BA6DC8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0.887</w:t>
            </w:r>
          </w:p>
        </w:tc>
        <w:tc>
          <w:tcPr>
            <w:tcW w:w="0" w:type="auto"/>
            <w:tcBorders>
              <w:top w:val="nil"/>
              <w:left w:val="nil"/>
              <w:bottom w:val="nil"/>
              <w:right w:val="nil"/>
            </w:tcBorders>
            <w:shd w:val="clear" w:color="auto" w:fill="auto"/>
            <w:noWrap/>
            <w:vAlign w:val="center"/>
            <w:hideMark/>
          </w:tcPr>
          <w:p w14:paraId="7B6649E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[–2.154, 1.325]</w:t>
            </w:r>
          </w:p>
        </w:tc>
        <w:tc>
          <w:tcPr>
            <w:tcW w:w="0" w:type="auto"/>
            <w:tcBorders>
              <w:top w:val="nil"/>
              <w:left w:val="nil"/>
              <w:bottom w:val="nil"/>
              <w:right w:val="nil"/>
            </w:tcBorders>
            <w:shd w:val="clear" w:color="auto" w:fill="auto"/>
            <w:noWrap/>
            <w:vAlign w:val="center"/>
            <w:hideMark/>
          </w:tcPr>
          <w:p w14:paraId="1E2E2BA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6C4DDF4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27B0AA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4553443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266CAC4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3219F66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r>
      <w:tr w:rsidR="00F30B53" w:rsidRPr="00F30B53" w14:paraId="5F21C0C7" w14:textId="77777777" w:rsidTr="00F30B53">
        <w:trPr>
          <w:trHeight w:val="215"/>
        </w:trPr>
        <w:tc>
          <w:tcPr>
            <w:tcW w:w="0" w:type="auto"/>
            <w:tcBorders>
              <w:top w:val="nil"/>
              <w:left w:val="nil"/>
              <w:bottom w:val="nil"/>
              <w:right w:val="nil"/>
            </w:tcBorders>
            <w:shd w:val="clear" w:color="auto" w:fill="auto"/>
            <w:noWrap/>
            <w:vAlign w:val="bottom"/>
            <w:hideMark/>
          </w:tcPr>
          <w:p w14:paraId="3D905DC5" w14:textId="77777777" w:rsidR="00F30B53" w:rsidRPr="00F30B53" w:rsidRDefault="00F30B53" w:rsidP="00F30B53">
            <w:pPr>
              <w:spacing w:line="240" w:lineRule="auto"/>
              <w:rPr>
                <w:rFonts w:eastAsia="Times New Roman" w:cs="Times New Roman"/>
                <w:i/>
                <w:iCs/>
                <w:color w:val="000000"/>
                <w:sz w:val="16"/>
                <w:szCs w:val="16"/>
                <w:lang w:val="en-GB" w:eastAsia="zh-CN"/>
              </w:rPr>
            </w:pPr>
            <w:r w:rsidRPr="00F30B53">
              <w:rPr>
                <w:rFonts w:eastAsia="Times New Roman" w:cs="Times New Roman"/>
                <w:i/>
                <w:iCs/>
                <w:color w:val="000000"/>
                <w:sz w:val="16"/>
                <w:szCs w:val="16"/>
                <w:lang w:val="en-GB" w:eastAsia="zh-CN"/>
              </w:rPr>
              <w:t>Model statistics</w:t>
            </w:r>
          </w:p>
        </w:tc>
        <w:tc>
          <w:tcPr>
            <w:tcW w:w="0" w:type="auto"/>
            <w:tcBorders>
              <w:top w:val="nil"/>
              <w:left w:val="nil"/>
              <w:bottom w:val="nil"/>
              <w:right w:val="nil"/>
            </w:tcBorders>
            <w:shd w:val="clear" w:color="auto" w:fill="auto"/>
            <w:noWrap/>
            <w:vAlign w:val="center"/>
            <w:hideMark/>
          </w:tcPr>
          <w:p w14:paraId="666A330B" w14:textId="77777777" w:rsidR="00F30B53" w:rsidRPr="00F30B53" w:rsidRDefault="00F30B53" w:rsidP="00F30B53">
            <w:pPr>
              <w:spacing w:line="240" w:lineRule="auto"/>
              <w:rPr>
                <w:rFonts w:eastAsia="Times New Roman" w:cs="Times New Roman"/>
                <w:i/>
                <w:iCs/>
                <w:color w:val="000000"/>
                <w:sz w:val="16"/>
                <w:szCs w:val="16"/>
                <w:lang w:val="en-GB" w:eastAsia="zh-CN"/>
              </w:rPr>
            </w:pPr>
          </w:p>
        </w:tc>
        <w:tc>
          <w:tcPr>
            <w:tcW w:w="0" w:type="auto"/>
            <w:tcBorders>
              <w:top w:val="nil"/>
              <w:left w:val="nil"/>
              <w:bottom w:val="nil"/>
              <w:right w:val="nil"/>
            </w:tcBorders>
            <w:shd w:val="clear" w:color="auto" w:fill="auto"/>
            <w:noWrap/>
            <w:vAlign w:val="center"/>
            <w:hideMark/>
          </w:tcPr>
          <w:p w14:paraId="13351D18"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77A9CB00"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47DDC26D"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21789A27"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2ABE99BE"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6D1CE41D"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0868216D"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1DD713DD" w14:textId="77777777" w:rsidR="00F30B53" w:rsidRPr="00F30B53" w:rsidRDefault="00F30B53" w:rsidP="00F30B53">
            <w:pPr>
              <w:spacing w:line="240" w:lineRule="auto"/>
              <w:jc w:val="center"/>
              <w:rPr>
                <w:rFonts w:eastAsia="Times New Roman" w:cs="Times New Roman"/>
                <w:sz w:val="20"/>
                <w:szCs w:val="20"/>
                <w:lang w:val="en-GB" w:eastAsia="zh-CN"/>
              </w:rPr>
            </w:pPr>
          </w:p>
        </w:tc>
      </w:tr>
      <w:tr w:rsidR="00F30B53" w:rsidRPr="00F30B53" w14:paraId="0D8B2C86" w14:textId="77777777" w:rsidTr="00F30B53">
        <w:trPr>
          <w:trHeight w:val="245"/>
        </w:trPr>
        <w:tc>
          <w:tcPr>
            <w:tcW w:w="0" w:type="auto"/>
            <w:tcBorders>
              <w:top w:val="nil"/>
              <w:left w:val="nil"/>
              <w:bottom w:val="nil"/>
              <w:right w:val="nil"/>
            </w:tcBorders>
            <w:shd w:val="clear" w:color="auto" w:fill="auto"/>
            <w:noWrap/>
            <w:vAlign w:val="bottom"/>
            <w:hideMark/>
          </w:tcPr>
          <w:p w14:paraId="2CED74AD"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proofErr w:type="spellStart"/>
            <w:r w:rsidRPr="00F30B53">
              <w:rPr>
                <w:rFonts w:eastAsia="Times New Roman" w:cs="Times New Roman"/>
                <w:i/>
                <w:iCs/>
                <w:color w:val="000000"/>
                <w:sz w:val="16"/>
                <w:szCs w:val="16"/>
                <w:lang w:val="en-GB" w:eastAsia="zh-CN"/>
              </w:rPr>
              <w:t>Q</w:t>
            </w:r>
            <w:r w:rsidRPr="00F30B53">
              <w:rPr>
                <w:rFonts w:eastAsia="Times New Roman" w:cs="Times New Roman"/>
                <w:color w:val="000000"/>
                <w:sz w:val="16"/>
                <w:szCs w:val="16"/>
                <w:vertAlign w:val="subscript"/>
                <w:lang w:val="en-GB" w:eastAsia="zh-CN"/>
              </w:rPr>
              <w:t>residual</w:t>
            </w:r>
            <w:proofErr w:type="spellEnd"/>
            <w:r w:rsidRPr="00F30B53">
              <w:rPr>
                <w:rFonts w:eastAsia="Times New Roman" w:cs="Times New Roman"/>
                <w:color w:val="000000"/>
                <w:sz w:val="16"/>
                <w:szCs w:val="16"/>
                <w:lang w:val="en-GB" w:eastAsia="zh-CN"/>
              </w:rPr>
              <w:t>(</w:t>
            </w:r>
            <w:proofErr w:type="spellStart"/>
            <w:r w:rsidRPr="00F30B53">
              <w:rPr>
                <w:rFonts w:eastAsia="Times New Roman" w:cs="Times New Roman"/>
                <w:i/>
                <w:iCs/>
                <w:color w:val="000000"/>
                <w:sz w:val="16"/>
                <w:szCs w:val="16"/>
                <w:lang w:val="en-GB" w:eastAsia="zh-CN"/>
              </w:rPr>
              <w:t>df</w:t>
            </w:r>
            <w:proofErr w:type="spellEnd"/>
            <w:r w:rsidRPr="00F30B53">
              <w:rPr>
                <w:rFonts w:eastAsia="Times New Roman" w:cs="Times New Roman"/>
                <w:color w:val="000000"/>
                <w:sz w:val="16"/>
                <w:szCs w:val="16"/>
                <w:lang w:val="en-GB" w:eastAsia="zh-CN"/>
              </w:rPr>
              <w:t>)</w:t>
            </w:r>
          </w:p>
        </w:tc>
        <w:tc>
          <w:tcPr>
            <w:tcW w:w="0" w:type="auto"/>
            <w:gridSpan w:val="3"/>
            <w:tcBorders>
              <w:top w:val="nil"/>
              <w:left w:val="nil"/>
              <w:bottom w:val="nil"/>
              <w:right w:val="nil"/>
            </w:tcBorders>
            <w:shd w:val="clear" w:color="auto" w:fill="auto"/>
            <w:noWrap/>
            <w:vAlign w:val="center"/>
            <w:hideMark/>
          </w:tcPr>
          <w:p w14:paraId="2CA1D74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64151.25 (2299)*</w:t>
            </w:r>
          </w:p>
        </w:tc>
        <w:tc>
          <w:tcPr>
            <w:tcW w:w="0" w:type="auto"/>
            <w:gridSpan w:val="3"/>
            <w:tcBorders>
              <w:top w:val="nil"/>
              <w:left w:val="nil"/>
              <w:bottom w:val="nil"/>
              <w:right w:val="nil"/>
            </w:tcBorders>
            <w:shd w:val="clear" w:color="auto" w:fill="auto"/>
            <w:noWrap/>
            <w:vAlign w:val="center"/>
            <w:hideMark/>
          </w:tcPr>
          <w:p w14:paraId="57CCB51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63481.32 (2298)*</w:t>
            </w:r>
          </w:p>
        </w:tc>
        <w:tc>
          <w:tcPr>
            <w:tcW w:w="0" w:type="auto"/>
            <w:gridSpan w:val="3"/>
            <w:tcBorders>
              <w:top w:val="nil"/>
              <w:left w:val="nil"/>
              <w:bottom w:val="nil"/>
              <w:right w:val="nil"/>
            </w:tcBorders>
            <w:shd w:val="clear" w:color="auto" w:fill="auto"/>
            <w:noWrap/>
            <w:vAlign w:val="center"/>
            <w:hideMark/>
          </w:tcPr>
          <w:p w14:paraId="634C9F6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63116.35 (2298)*</w:t>
            </w:r>
          </w:p>
        </w:tc>
      </w:tr>
      <w:tr w:rsidR="00F30B53" w:rsidRPr="00F30B53" w14:paraId="5F175F79" w14:textId="77777777" w:rsidTr="00F30B53">
        <w:trPr>
          <w:trHeight w:val="245"/>
        </w:trPr>
        <w:tc>
          <w:tcPr>
            <w:tcW w:w="0" w:type="auto"/>
            <w:tcBorders>
              <w:top w:val="nil"/>
              <w:left w:val="nil"/>
              <w:bottom w:val="nil"/>
              <w:right w:val="nil"/>
            </w:tcBorders>
            <w:shd w:val="clear" w:color="auto" w:fill="auto"/>
            <w:noWrap/>
            <w:vAlign w:val="bottom"/>
            <w:hideMark/>
          </w:tcPr>
          <w:p w14:paraId="2F37D3D1"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proofErr w:type="spellStart"/>
            <w:r w:rsidRPr="00F30B53">
              <w:rPr>
                <w:rFonts w:eastAsia="Times New Roman" w:cs="Times New Roman"/>
                <w:i/>
                <w:iCs/>
                <w:color w:val="000000"/>
                <w:sz w:val="16"/>
                <w:szCs w:val="16"/>
                <w:lang w:val="en-GB" w:eastAsia="zh-CN"/>
              </w:rPr>
              <w:t>F</w:t>
            </w:r>
            <w:r w:rsidRPr="00F30B53">
              <w:rPr>
                <w:rFonts w:eastAsia="Times New Roman" w:cs="Times New Roman"/>
                <w:color w:val="000000"/>
                <w:sz w:val="16"/>
                <w:szCs w:val="16"/>
                <w:vertAlign w:val="subscript"/>
                <w:lang w:val="en-GB" w:eastAsia="zh-CN"/>
              </w:rPr>
              <w:t>moderators</w:t>
            </w:r>
            <w:proofErr w:type="spellEnd"/>
            <w:r w:rsidRPr="00F30B53">
              <w:rPr>
                <w:rFonts w:eastAsia="Times New Roman" w:cs="Times New Roman"/>
                <w:color w:val="000000"/>
                <w:sz w:val="16"/>
                <w:szCs w:val="16"/>
                <w:lang w:val="en-GB" w:eastAsia="zh-CN"/>
              </w:rPr>
              <w:t>(</w:t>
            </w:r>
            <w:r w:rsidRPr="00F30B53">
              <w:rPr>
                <w:rFonts w:eastAsia="Times New Roman" w:cs="Times New Roman"/>
                <w:i/>
                <w:iCs/>
                <w:color w:val="000000"/>
                <w:sz w:val="16"/>
                <w:szCs w:val="16"/>
                <w:lang w:val="en-GB" w:eastAsia="zh-CN"/>
              </w:rPr>
              <w:t>df1</w:t>
            </w:r>
            <w:r w:rsidRPr="00F30B53">
              <w:rPr>
                <w:rFonts w:eastAsia="Times New Roman" w:cs="Times New Roman"/>
                <w:color w:val="000000"/>
                <w:sz w:val="16"/>
                <w:szCs w:val="16"/>
                <w:lang w:val="en-GB" w:eastAsia="zh-CN"/>
              </w:rPr>
              <w:t xml:space="preserve">, </w:t>
            </w:r>
            <w:r w:rsidRPr="00F30B53">
              <w:rPr>
                <w:rFonts w:eastAsia="Times New Roman" w:cs="Times New Roman"/>
                <w:i/>
                <w:iCs/>
                <w:color w:val="000000"/>
                <w:sz w:val="16"/>
                <w:szCs w:val="16"/>
                <w:lang w:val="en-GB" w:eastAsia="zh-CN"/>
              </w:rPr>
              <w:t>df2</w:t>
            </w:r>
            <w:r w:rsidRPr="00F30B53">
              <w:rPr>
                <w:rFonts w:eastAsia="Times New Roman" w:cs="Times New Roman"/>
                <w:color w:val="000000"/>
                <w:sz w:val="16"/>
                <w:szCs w:val="16"/>
                <w:lang w:val="en-GB" w:eastAsia="zh-CN"/>
              </w:rPr>
              <w:t>)</w:t>
            </w:r>
          </w:p>
        </w:tc>
        <w:tc>
          <w:tcPr>
            <w:tcW w:w="0" w:type="auto"/>
            <w:gridSpan w:val="3"/>
            <w:tcBorders>
              <w:top w:val="nil"/>
              <w:left w:val="nil"/>
              <w:bottom w:val="nil"/>
              <w:right w:val="nil"/>
            </w:tcBorders>
            <w:shd w:val="clear" w:color="auto" w:fill="auto"/>
            <w:noWrap/>
            <w:vAlign w:val="center"/>
            <w:hideMark/>
          </w:tcPr>
          <w:p w14:paraId="0BC5C92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10.6 (40, 2299)*</w:t>
            </w:r>
          </w:p>
        </w:tc>
        <w:tc>
          <w:tcPr>
            <w:tcW w:w="0" w:type="auto"/>
            <w:gridSpan w:val="3"/>
            <w:tcBorders>
              <w:top w:val="nil"/>
              <w:left w:val="nil"/>
              <w:bottom w:val="nil"/>
              <w:right w:val="nil"/>
            </w:tcBorders>
            <w:shd w:val="clear" w:color="auto" w:fill="auto"/>
            <w:noWrap/>
            <w:vAlign w:val="center"/>
            <w:hideMark/>
          </w:tcPr>
          <w:p w14:paraId="3DC38B6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9.51 (41, 2298)*</w:t>
            </w:r>
          </w:p>
        </w:tc>
        <w:tc>
          <w:tcPr>
            <w:tcW w:w="0" w:type="auto"/>
            <w:gridSpan w:val="3"/>
            <w:tcBorders>
              <w:top w:val="nil"/>
              <w:left w:val="nil"/>
              <w:bottom w:val="nil"/>
              <w:right w:val="nil"/>
            </w:tcBorders>
            <w:shd w:val="clear" w:color="auto" w:fill="auto"/>
            <w:noWrap/>
            <w:vAlign w:val="center"/>
            <w:hideMark/>
          </w:tcPr>
          <w:p w14:paraId="11C8CAC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9.59 (41, 2298)*</w:t>
            </w:r>
          </w:p>
        </w:tc>
      </w:tr>
      <w:tr w:rsidR="00F30B53" w:rsidRPr="00F30B53" w14:paraId="12FACB92" w14:textId="77777777" w:rsidTr="00F30B53">
        <w:trPr>
          <w:trHeight w:val="245"/>
        </w:trPr>
        <w:tc>
          <w:tcPr>
            <w:tcW w:w="0" w:type="auto"/>
            <w:tcBorders>
              <w:top w:val="nil"/>
              <w:left w:val="nil"/>
              <w:bottom w:val="nil"/>
              <w:right w:val="nil"/>
            </w:tcBorders>
            <w:shd w:val="clear" w:color="auto" w:fill="auto"/>
            <w:noWrap/>
            <w:vAlign w:val="bottom"/>
            <w:hideMark/>
          </w:tcPr>
          <w:p w14:paraId="1EB68D7C"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τ</w:t>
            </w:r>
            <w:r w:rsidRPr="00F30B53">
              <w:rPr>
                <w:rFonts w:eastAsia="Times New Roman" w:cs="Times New Roman"/>
                <w:color w:val="000000"/>
                <w:sz w:val="16"/>
                <w:szCs w:val="16"/>
                <w:vertAlign w:val="superscript"/>
                <w:lang w:val="en-GB" w:eastAsia="zh-CN"/>
              </w:rPr>
              <w:t>2</w:t>
            </w:r>
          </w:p>
        </w:tc>
        <w:tc>
          <w:tcPr>
            <w:tcW w:w="0" w:type="auto"/>
            <w:gridSpan w:val="3"/>
            <w:tcBorders>
              <w:top w:val="nil"/>
              <w:left w:val="nil"/>
              <w:bottom w:val="nil"/>
              <w:right w:val="nil"/>
            </w:tcBorders>
            <w:shd w:val="clear" w:color="auto" w:fill="auto"/>
            <w:noWrap/>
            <w:vAlign w:val="center"/>
            <w:hideMark/>
          </w:tcPr>
          <w:p w14:paraId="5C5E906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0.44</w:t>
            </w:r>
          </w:p>
        </w:tc>
        <w:tc>
          <w:tcPr>
            <w:tcW w:w="0" w:type="auto"/>
            <w:gridSpan w:val="3"/>
            <w:tcBorders>
              <w:top w:val="nil"/>
              <w:left w:val="nil"/>
              <w:bottom w:val="nil"/>
              <w:right w:val="nil"/>
            </w:tcBorders>
            <w:shd w:val="clear" w:color="auto" w:fill="auto"/>
            <w:noWrap/>
            <w:vAlign w:val="center"/>
            <w:hideMark/>
          </w:tcPr>
          <w:p w14:paraId="32D7C99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0.44</w:t>
            </w:r>
          </w:p>
        </w:tc>
        <w:tc>
          <w:tcPr>
            <w:tcW w:w="0" w:type="auto"/>
            <w:gridSpan w:val="3"/>
            <w:tcBorders>
              <w:top w:val="nil"/>
              <w:left w:val="nil"/>
              <w:bottom w:val="nil"/>
              <w:right w:val="nil"/>
            </w:tcBorders>
            <w:shd w:val="clear" w:color="auto" w:fill="auto"/>
            <w:noWrap/>
            <w:vAlign w:val="center"/>
            <w:hideMark/>
          </w:tcPr>
          <w:p w14:paraId="1B5E7D5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0.44</w:t>
            </w:r>
          </w:p>
        </w:tc>
      </w:tr>
      <w:tr w:rsidR="00F30B53" w:rsidRPr="00F30B53" w14:paraId="748FEB76" w14:textId="77777777" w:rsidTr="00F30B53">
        <w:trPr>
          <w:trHeight w:val="240"/>
        </w:trPr>
        <w:tc>
          <w:tcPr>
            <w:tcW w:w="0" w:type="auto"/>
            <w:tcBorders>
              <w:top w:val="nil"/>
              <w:left w:val="nil"/>
              <w:bottom w:val="nil"/>
              <w:right w:val="nil"/>
            </w:tcBorders>
            <w:shd w:val="clear" w:color="auto" w:fill="auto"/>
            <w:noWrap/>
            <w:vAlign w:val="bottom"/>
            <w:hideMark/>
          </w:tcPr>
          <w:p w14:paraId="3A606187"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i/>
                <w:iCs/>
                <w:color w:val="000000"/>
                <w:sz w:val="16"/>
                <w:szCs w:val="16"/>
                <w:lang w:val="en-GB" w:eastAsia="zh-CN"/>
              </w:rPr>
              <w:t>I</w:t>
            </w:r>
            <w:r w:rsidRPr="00F30B53">
              <w:rPr>
                <w:rFonts w:eastAsia="Times New Roman" w:cs="Times New Roman"/>
                <w:i/>
                <w:iCs/>
                <w:color w:val="000000"/>
                <w:sz w:val="16"/>
                <w:szCs w:val="16"/>
                <w:vertAlign w:val="superscript"/>
                <w:lang w:val="en-GB" w:eastAsia="zh-CN"/>
              </w:rPr>
              <w:t>2</w:t>
            </w:r>
            <w:r w:rsidRPr="00F30B53">
              <w:rPr>
                <w:rFonts w:eastAsia="Times New Roman" w:cs="Times New Roman"/>
                <w:color w:val="000000"/>
                <w:sz w:val="16"/>
                <w:szCs w:val="16"/>
                <w:lang w:val="en-GB" w:eastAsia="zh-CN"/>
              </w:rPr>
              <w:t>: between-study level (%)</w:t>
            </w:r>
          </w:p>
        </w:tc>
        <w:tc>
          <w:tcPr>
            <w:tcW w:w="0" w:type="auto"/>
            <w:gridSpan w:val="3"/>
            <w:tcBorders>
              <w:top w:val="nil"/>
              <w:left w:val="nil"/>
              <w:bottom w:val="nil"/>
              <w:right w:val="nil"/>
            </w:tcBorders>
            <w:shd w:val="clear" w:color="auto" w:fill="auto"/>
            <w:noWrap/>
            <w:vAlign w:val="center"/>
            <w:hideMark/>
          </w:tcPr>
          <w:p w14:paraId="1E8A487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54.24</w:t>
            </w:r>
          </w:p>
        </w:tc>
        <w:tc>
          <w:tcPr>
            <w:tcW w:w="0" w:type="auto"/>
            <w:gridSpan w:val="3"/>
            <w:tcBorders>
              <w:top w:val="nil"/>
              <w:left w:val="nil"/>
              <w:bottom w:val="nil"/>
              <w:right w:val="nil"/>
            </w:tcBorders>
            <w:shd w:val="clear" w:color="auto" w:fill="auto"/>
            <w:noWrap/>
            <w:vAlign w:val="center"/>
            <w:hideMark/>
          </w:tcPr>
          <w:p w14:paraId="3A09ED1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53.51</w:t>
            </w:r>
          </w:p>
        </w:tc>
        <w:tc>
          <w:tcPr>
            <w:tcW w:w="0" w:type="auto"/>
            <w:gridSpan w:val="3"/>
            <w:tcBorders>
              <w:top w:val="nil"/>
              <w:left w:val="nil"/>
              <w:bottom w:val="nil"/>
              <w:right w:val="nil"/>
            </w:tcBorders>
            <w:shd w:val="clear" w:color="auto" w:fill="auto"/>
            <w:noWrap/>
            <w:vAlign w:val="center"/>
            <w:hideMark/>
          </w:tcPr>
          <w:p w14:paraId="29D8931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53.51</w:t>
            </w:r>
          </w:p>
        </w:tc>
      </w:tr>
      <w:tr w:rsidR="00F30B53" w:rsidRPr="00F30B53" w14:paraId="3344293C" w14:textId="77777777" w:rsidTr="00F30B53">
        <w:trPr>
          <w:trHeight w:val="240"/>
        </w:trPr>
        <w:tc>
          <w:tcPr>
            <w:tcW w:w="0" w:type="auto"/>
            <w:tcBorders>
              <w:top w:val="nil"/>
              <w:left w:val="nil"/>
              <w:bottom w:val="nil"/>
              <w:right w:val="nil"/>
            </w:tcBorders>
            <w:shd w:val="clear" w:color="auto" w:fill="auto"/>
            <w:noWrap/>
            <w:vAlign w:val="bottom"/>
            <w:hideMark/>
          </w:tcPr>
          <w:p w14:paraId="504915B6"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i/>
                <w:iCs/>
                <w:color w:val="000000"/>
                <w:sz w:val="16"/>
                <w:szCs w:val="16"/>
                <w:lang w:val="en-GB" w:eastAsia="zh-CN"/>
              </w:rPr>
              <w:t>I</w:t>
            </w:r>
            <w:r w:rsidRPr="00F30B53">
              <w:rPr>
                <w:rFonts w:eastAsia="Times New Roman" w:cs="Times New Roman"/>
                <w:i/>
                <w:iCs/>
                <w:color w:val="000000"/>
                <w:sz w:val="16"/>
                <w:szCs w:val="16"/>
                <w:vertAlign w:val="superscript"/>
                <w:lang w:val="en-GB" w:eastAsia="zh-CN"/>
              </w:rPr>
              <w:t>2</w:t>
            </w:r>
            <w:r w:rsidRPr="00F30B53">
              <w:rPr>
                <w:rFonts w:eastAsia="Times New Roman" w:cs="Times New Roman"/>
                <w:color w:val="000000"/>
                <w:sz w:val="16"/>
                <w:szCs w:val="16"/>
                <w:lang w:val="en-GB" w:eastAsia="zh-CN"/>
              </w:rPr>
              <w:t>: within-study level (%)</w:t>
            </w:r>
          </w:p>
        </w:tc>
        <w:tc>
          <w:tcPr>
            <w:tcW w:w="0" w:type="auto"/>
            <w:gridSpan w:val="3"/>
            <w:tcBorders>
              <w:top w:val="nil"/>
              <w:left w:val="nil"/>
              <w:bottom w:val="nil"/>
              <w:right w:val="nil"/>
            </w:tcBorders>
            <w:shd w:val="clear" w:color="auto" w:fill="auto"/>
            <w:noWrap/>
            <w:vAlign w:val="center"/>
            <w:hideMark/>
          </w:tcPr>
          <w:p w14:paraId="1ED2CD1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42.98</w:t>
            </w:r>
          </w:p>
        </w:tc>
        <w:tc>
          <w:tcPr>
            <w:tcW w:w="0" w:type="auto"/>
            <w:gridSpan w:val="3"/>
            <w:tcBorders>
              <w:top w:val="nil"/>
              <w:left w:val="nil"/>
              <w:bottom w:val="nil"/>
              <w:right w:val="nil"/>
            </w:tcBorders>
            <w:shd w:val="clear" w:color="auto" w:fill="auto"/>
            <w:noWrap/>
            <w:vAlign w:val="center"/>
            <w:hideMark/>
          </w:tcPr>
          <w:p w14:paraId="1812F3B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43.71</w:t>
            </w:r>
          </w:p>
        </w:tc>
        <w:tc>
          <w:tcPr>
            <w:tcW w:w="0" w:type="auto"/>
            <w:gridSpan w:val="3"/>
            <w:tcBorders>
              <w:top w:val="nil"/>
              <w:left w:val="nil"/>
              <w:bottom w:val="nil"/>
              <w:right w:val="nil"/>
            </w:tcBorders>
            <w:shd w:val="clear" w:color="auto" w:fill="auto"/>
            <w:noWrap/>
            <w:vAlign w:val="center"/>
            <w:hideMark/>
          </w:tcPr>
          <w:p w14:paraId="2A1CF08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43.7</w:t>
            </w:r>
          </w:p>
        </w:tc>
      </w:tr>
      <w:tr w:rsidR="00F30B53" w:rsidRPr="00F30B53" w14:paraId="4E5B41C1" w14:textId="77777777" w:rsidTr="00F30B53">
        <w:trPr>
          <w:trHeight w:val="240"/>
        </w:trPr>
        <w:tc>
          <w:tcPr>
            <w:tcW w:w="0" w:type="auto"/>
            <w:tcBorders>
              <w:top w:val="nil"/>
              <w:left w:val="nil"/>
              <w:bottom w:val="single" w:sz="4" w:space="0" w:color="auto"/>
              <w:right w:val="nil"/>
            </w:tcBorders>
            <w:shd w:val="clear" w:color="auto" w:fill="auto"/>
            <w:noWrap/>
            <w:vAlign w:val="bottom"/>
            <w:hideMark/>
          </w:tcPr>
          <w:p w14:paraId="58EEB37E"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 xml:space="preserve">pseudo </w:t>
            </w:r>
            <w:r w:rsidRPr="00F30B53">
              <w:rPr>
                <w:rFonts w:eastAsia="Times New Roman" w:cs="Times New Roman"/>
                <w:i/>
                <w:iCs/>
                <w:color w:val="000000"/>
                <w:sz w:val="16"/>
                <w:szCs w:val="16"/>
                <w:lang w:val="en-GB" w:eastAsia="zh-CN"/>
              </w:rPr>
              <w:t>R</w:t>
            </w:r>
            <w:r w:rsidRPr="00F30B53">
              <w:rPr>
                <w:rFonts w:eastAsia="Times New Roman" w:cs="Times New Roman"/>
                <w:i/>
                <w:iCs/>
                <w:color w:val="000000"/>
                <w:sz w:val="16"/>
                <w:szCs w:val="16"/>
                <w:vertAlign w:val="superscript"/>
                <w:lang w:val="en-GB" w:eastAsia="zh-CN"/>
              </w:rPr>
              <w:t>2</w:t>
            </w:r>
          </w:p>
        </w:tc>
        <w:tc>
          <w:tcPr>
            <w:tcW w:w="0" w:type="auto"/>
            <w:gridSpan w:val="3"/>
            <w:tcBorders>
              <w:top w:val="nil"/>
              <w:left w:val="nil"/>
              <w:bottom w:val="single" w:sz="4" w:space="0" w:color="auto"/>
              <w:right w:val="nil"/>
            </w:tcBorders>
            <w:shd w:val="clear" w:color="auto" w:fill="auto"/>
            <w:noWrap/>
            <w:vAlign w:val="center"/>
            <w:hideMark/>
          </w:tcPr>
          <w:p w14:paraId="5868DAA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0.1252</w:t>
            </w:r>
          </w:p>
        </w:tc>
        <w:tc>
          <w:tcPr>
            <w:tcW w:w="0" w:type="auto"/>
            <w:gridSpan w:val="3"/>
            <w:tcBorders>
              <w:top w:val="nil"/>
              <w:left w:val="nil"/>
              <w:bottom w:val="single" w:sz="4" w:space="0" w:color="auto"/>
              <w:right w:val="nil"/>
            </w:tcBorders>
            <w:shd w:val="clear" w:color="auto" w:fill="auto"/>
            <w:noWrap/>
            <w:vAlign w:val="center"/>
            <w:hideMark/>
          </w:tcPr>
          <w:p w14:paraId="4999893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0.1252</w:t>
            </w:r>
          </w:p>
        </w:tc>
        <w:tc>
          <w:tcPr>
            <w:tcW w:w="0" w:type="auto"/>
            <w:gridSpan w:val="3"/>
            <w:tcBorders>
              <w:top w:val="nil"/>
              <w:left w:val="nil"/>
              <w:bottom w:val="single" w:sz="4" w:space="0" w:color="auto"/>
              <w:right w:val="nil"/>
            </w:tcBorders>
            <w:shd w:val="clear" w:color="auto" w:fill="auto"/>
            <w:noWrap/>
            <w:vAlign w:val="center"/>
            <w:hideMark/>
          </w:tcPr>
          <w:p w14:paraId="22310A0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0.1252</w:t>
            </w:r>
          </w:p>
        </w:tc>
      </w:tr>
    </w:tbl>
    <w:p w14:paraId="5C60EE22" w14:textId="0F70025C" w:rsidR="006E5BA3" w:rsidRDefault="00C52423" w:rsidP="00CD0784">
      <w:pPr>
        <w:spacing w:line="240" w:lineRule="auto"/>
        <w:rPr>
          <w:rFonts w:eastAsiaTheme="minorEastAsia" w:cs="Times New Roman"/>
          <w:szCs w:val="22"/>
          <w:lang w:eastAsia="zh-CN"/>
        </w:rPr>
      </w:pPr>
      <w:r w:rsidRPr="000418D8">
        <w:rPr>
          <w:rFonts w:eastAsiaTheme="minorEastAsia" w:cs="Times New Roman"/>
          <w:i/>
          <w:szCs w:val="22"/>
          <w:lang w:eastAsia="zh-CN"/>
        </w:rPr>
        <w:lastRenderedPageBreak/>
        <w:t>Note.</w:t>
      </w:r>
      <w:r w:rsidRPr="000418D8">
        <w:rPr>
          <w:rFonts w:eastAsiaTheme="minorEastAsia" w:cs="Times New Roman"/>
          <w:szCs w:val="22"/>
          <w:lang w:eastAsia="zh-CN"/>
        </w:rPr>
        <w:t xml:space="preserve"> K index, group size, age, gender and year of data collection are continuous variables, others are dummy variables. </w:t>
      </w:r>
      <w:r w:rsidR="006E5BA3" w:rsidRPr="000418D8">
        <w:rPr>
          <w:rFonts w:eastAsiaTheme="minorEastAsia" w:cs="Times New Roman"/>
          <w:szCs w:val="22"/>
          <w:lang w:eastAsia="zh-CN"/>
        </w:rPr>
        <w:t xml:space="preserve">The </w:t>
      </w:r>
      <w:r w:rsidR="008E740D">
        <w:rPr>
          <w:rFonts w:eastAsiaTheme="minorEastAsia" w:cs="Times New Roman"/>
          <w:szCs w:val="22"/>
          <w:lang w:eastAsia="zh-CN"/>
        </w:rPr>
        <w:t>reference</w:t>
      </w:r>
      <w:r w:rsidR="008E740D" w:rsidRPr="000418D8">
        <w:rPr>
          <w:rFonts w:eastAsiaTheme="minorEastAsia" w:cs="Times New Roman"/>
          <w:szCs w:val="22"/>
          <w:lang w:eastAsia="zh-CN"/>
        </w:rPr>
        <w:t xml:space="preserve"> </w:t>
      </w:r>
      <w:r w:rsidR="006E5BA3" w:rsidRPr="000418D8">
        <w:rPr>
          <w:rFonts w:eastAsiaTheme="minorEastAsia" w:cs="Times New Roman"/>
          <w:szCs w:val="22"/>
          <w:lang w:eastAsia="zh-CN"/>
        </w:rPr>
        <w:t xml:space="preserve">group for </w:t>
      </w:r>
      <w:r w:rsidR="008E740D">
        <w:rPr>
          <w:rFonts w:eastAsiaTheme="minorEastAsia" w:cs="Times New Roman"/>
          <w:szCs w:val="22"/>
          <w:lang w:eastAsia="zh-CN"/>
        </w:rPr>
        <w:t>p</w:t>
      </w:r>
      <w:r w:rsidR="008E740D" w:rsidRPr="008E740D">
        <w:rPr>
          <w:rFonts w:eastAsiaTheme="minorEastAsia" w:cs="Times New Roman"/>
          <w:szCs w:val="22"/>
          <w:lang w:eastAsia="zh-CN"/>
        </w:rPr>
        <w:t>ublication status</w:t>
      </w:r>
      <w:r w:rsidR="006E5BA3">
        <w:rPr>
          <w:rFonts w:eastAsiaTheme="minorEastAsia" w:cs="Times New Roman"/>
          <w:szCs w:val="22"/>
          <w:lang w:eastAsia="zh-CN"/>
        </w:rPr>
        <w:t>,</w:t>
      </w:r>
      <w:r w:rsidR="006E5BA3" w:rsidRPr="000418D8">
        <w:rPr>
          <w:rFonts w:eastAsiaTheme="minorEastAsia" w:cs="Times New Roman"/>
          <w:szCs w:val="22"/>
          <w:lang w:eastAsia="zh-CN"/>
        </w:rPr>
        <w:t xml:space="preserve"> sanction,</w:t>
      </w:r>
      <w:r w:rsidR="006E5BA3">
        <w:rPr>
          <w:rFonts w:eastAsiaTheme="minorEastAsia" w:cs="Times New Roman"/>
          <w:szCs w:val="22"/>
          <w:lang w:eastAsia="zh-CN"/>
        </w:rPr>
        <w:t xml:space="preserve"> </w:t>
      </w:r>
      <w:r w:rsidR="00E12E47">
        <w:rPr>
          <w:rFonts w:eastAsiaTheme="minorEastAsia" w:cs="Times New Roman"/>
          <w:szCs w:val="22"/>
          <w:lang w:eastAsia="zh-CN"/>
        </w:rPr>
        <w:t>communication</w:t>
      </w:r>
      <w:r w:rsidR="006E5BA3" w:rsidRPr="000418D8">
        <w:rPr>
          <w:rFonts w:eastAsiaTheme="minorEastAsia" w:cs="Times New Roman"/>
          <w:szCs w:val="22"/>
          <w:lang w:eastAsia="zh-CN"/>
        </w:rPr>
        <w:t xml:space="preserve">, show up fee, game incentive, and deception was </w:t>
      </w:r>
      <w:r w:rsidR="00B3655A">
        <w:rPr>
          <w:rFonts w:eastAsiaTheme="minorEastAsia" w:cs="Times New Roman"/>
          <w:szCs w:val="22"/>
          <w:lang w:eastAsia="zh-CN"/>
        </w:rPr>
        <w:t>“</w:t>
      </w:r>
      <w:r w:rsidR="00E35931">
        <w:rPr>
          <w:rFonts w:eastAsiaTheme="minorEastAsia" w:cs="Times New Roman"/>
          <w:szCs w:val="22"/>
          <w:lang w:eastAsia="zh-CN"/>
        </w:rPr>
        <w:t>n</w:t>
      </w:r>
      <w:r w:rsidR="006E5BA3" w:rsidRPr="000418D8">
        <w:rPr>
          <w:rFonts w:eastAsiaTheme="minorEastAsia" w:cs="Times New Roman"/>
          <w:szCs w:val="22"/>
          <w:lang w:eastAsia="zh-CN"/>
        </w:rPr>
        <w:t>o</w:t>
      </w:r>
      <w:r w:rsidR="00B3655A">
        <w:rPr>
          <w:rFonts w:eastAsiaTheme="minorEastAsia" w:cs="Times New Roman"/>
          <w:szCs w:val="22"/>
          <w:lang w:eastAsia="zh-CN"/>
        </w:rPr>
        <w:t>”</w:t>
      </w:r>
      <w:r w:rsidR="006E5BA3" w:rsidRPr="000418D8">
        <w:rPr>
          <w:rFonts w:eastAsiaTheme="minorEastAsia" w:cs="Times New Roman"/>
          <w:szCs w:val="22"/>
          <w:lang w:eastAsia="zh-CN"/>
        </w:rPr>
        <w:t xml:space="preserve">, for choice type was </w:t>
      </w:r>
      <w:r w:rsidR="00B3655A">
        <w:rPr>
          <w:rFonts w:eastAsiaTheme="minorEastAsia" w:cs="Times New Roman"/>
          <w:szCs w:val="22"/>
          <w:lang w:eastAsia="zh-CN"/>
        </w:rPr>
        <w:t>“</w:t>
      </w:r>
      <w:r w:rsidR="006E5BA3" w:rsidRPr="000418D8">
        <w:rPr>
          <w:rFonts w:eastAsiaTheme="minorEastAsia" w:cs="Times New Roman"/>
          <w:szCs w:val="22"/>
          <w:lang w:eastAsia="zh-CN"/>
        </w:rPr>
        <w:t>dichotomous</w:t>
      </w:r>
      <w:r w:rsidR="00B3655A">
        <w:rPr>
          <w:rFonts w:eastAsiaTheme="minorEastAsia" w:cs="Times New Roman"/>
          <w:szCs w:val="22"/>
          <w:lang w:eastAsia="zh-CN"/>
        </w:rPr>
        <w:t>”</w:t>
      </w:r>
      <w:r w:rsidR="006E5BA3" w:rsidRPr="000418D8">
        <w:rPr>
          <w:rFonts w:eastAsiaTheme="minorEastAsia" w:cs="Times New Roman"/>
          <w:szCs w:val="22"/>
          <w:lang w:eastAsia="zh-CN"/>
        </w:rPr>
        <w:t>,</w:t>
      </w:r>
      <w:r w:rsidR="006E5BA3">
        <w:rPr>
          <w:rFonts w:eastAsiaTheme="minorEastAsia" w:cs="Times New Roman"/>
          <w:szCs w:val="22"/>
          <w:lang w:eastAsia="zh-CN"/>
        </w:rPr>
        <w:t xml:space="preserve"> </w:t>
      </w:r>
      <w:r w:rsidR="006E5BA3" w:rsidRPr="000418D8">
        <w:rPr>
          <w:rFonts w:eastAsiaTheme="minorEastAsia" w:cs="Times New Roman"/>
          <w:szCs w:val="22"/>
          <w:lang w:eastAsia="zh-CN"/>
        </w:rPr>
        <w:t xml:space="preserve">for experimental setting was </w:t>
      </w:r>
      <w:r w:rsidR="00B3655A">
        <w:rPr>
          <w:rFonts w:eastAsiaTheme="minorEastAsia" w:cs="Times New Roman"/>
          <w:szCs w:val="22"/>
          <w:lang w:eastAsia="zh-CN"/>
        </w:rPr>
        <w:t>“</w:t>
      </w:r>
      <w:r w:rsidR="006E5BA3" w:rsidRPr="000418D8">
        <w:rPr>
          <w:rFonts w:eastAsiaTheme="minorEastAsia" w:cs="Times New Roman"/>
          <w:szCs w:val="22"/>
          <w:lang w:eastAsia="zh-CN"/>
        </w:rPr>
        <w:t>lab</w:t>
      </w:r>
      <w:r w:rsidR="00B3655A">
        <w:rPr>
          <w:rFonts w:eastAsiaTheme="minorEastAsia" w:cs="Times New Roman"/>
          <w:szCs w:val="22"/>
          <w:lang w:eastAsia="zh-CN"/>
        </w:rPr>
        <w:t>”</w:t>
      </w:r>
      <w:r w:rsidR="006E5BA3" w:rsidRPr="000418D8">
        <w:rPr>
          <w:rFonts w:eastAsiaTheme="minorEastAsia" w:cs="Times New Roman"/>
          <w:szCs w:val="22"/>
          <w:lang w:eastAsia="zh-CN"/>
        </w:rPr>
        <w:t xml:space="preserve">, for trial of cooperation was </w:t>
      </w:r>
      <w:r w:rsidR="00B3655A">
        <w:rPr>
          <w:rFonts w:eastAsiaTheme="minorEastAsia" w:cs="Times New Roman"/>
          <w:szCs w:val="22"/>
          <w:lang w:eastAsia="zh-CN"/>
        </w:rPr>
        <w:t>“</w:t>
      </w:r>
      <w:r w:rsidR="006E5BA3" w:rsidRPr="000418D8">
        <w:rPr>
          <w:rFonts w:eastAsiaTheme="minorEastAsia" w:cs="Times New Roman"/>
          <w:szCs w:val="22"/>
          <w:lang w:eastAsia="zh-CN"/>
        </w:rPr>
        <w:t>all</w:t>
      </w:r>
      <w:r w:rsidR="00B3655A">
        <w:rPr>
          <w:rFonts w:eastAsiaTheme="minorEastAsia" w:cs="Times New Roman"/>
          <w:szCs w:val="22"/>
          <w:lang w:eastAsia="zh-CN"/>
        </w:rPr>
        <w:t>”</w:t>
      </w:r>
      <w:r w:rsidR="006E5BA3">
        <w:rPr>
          <w:rFonts w:eastAsiaTheme="minorEastAsia" w:cs="Times New Roman"/>
          <w:szCs w:val="22"/>
          <w:lang w:eastAsia="zh-CN"/>
        </w:rPr>
        <w:t>,</w:t>
      </w:r>
      <w:r w:rsidR="006E5BA3" w:rsidRPr="000418D8">
        <w:rPr>
          <w:rFonts w:eastAsiaTheme="minorEastAsia" w:cs="Times New Roman"/>
          <w:szCs w:val="22"/>
          <w:lang w:eastAsia="zh-CN"/>
        </w:rPr>
        <w:t xml:space="preserve"> for discipline was </w:t>
      </w:r>
      <w:r w:rsidR="00B3655A">
        <w:rPr>
          <w:rFonts w:eastAsiaTheme="minorEastAsia" w:cs="Times New Roman"/>
          <w:szCs w:val="22"/>
          <w:lang w:eastAsia="zh-CN"/>
        </w:rPr>
        <w:t>“</w:t>
      </w:r>
      <w:r w:rsidR="006E5BA3" w:rsidRPr="000418D8">
        <w:rPr>
          <w:rFonts w:eastAsiaTheme="minorEastAsia" w:cs="Times New Roman"/>
          <w:szCs w:val="22"/>
          <w:lang w:eastAsia="zh-CN"/>
        </w:rPr>
        <w:t>economics</w:t>
      </w:r>
      <w:r w:rsidR="00B3655A">
        <w:rPr>
          <w:rFonts w:eastAsiaTheme="minorEastAsia" w:cs="Times New Roman"/>
          <w:szCs w:val="22"/>
          <w:lang w:eastAsia="zh-CN"/>
        </w:rPr>
        <w:t>”</w:t>
      </w:r>
      <w:r w:rsidR="006E5BA3" w:rsidRPr="000418D8">
        <w:rPr>
          <w:rFonts w:eastAsiaTheme="minorEastAsia" w:cs="Times New Roman"/>
          <w:szCs w:val="22"/>
          <w:lang w:eastAsia="zh-CN"/>
        </w:rPr>
        <w:t xml:space="preserve">, for </w:t>
      </w:r>
      <w:r w:rsidR="00E12E47">
        <w:rPr>
          <w:rFonts w:eastAsiaTheme="minorEastAsia" w:cs="Times New Roman"/>
          <w:szCs w:val="22"/>
          <w:lang w:eastAsia="zh-CN"/>
        </w:rPr>
        <w:t>communication</w:t>
      </w:r>
      <w:r w:rsidR="006E5BA3" w:rsidRPr="000418D8">
        <w:rPr>
          <w:rFonts w:eastAsiaTheme="minorEastAsia" w:cs="Times New Roman"/>
          <w:szCs w:val="22"/>
          <w:lang w:eastAsia="zh-CN"/>
        </w:rPr>
        <w:t xml:space="preserve"> </w:t>
      </w:r>
      <w:r w:rsidR="006E5BA3">
        <w:rPr>
          <w:rFonts w:eastAsiaTheme="minorEastAsia" w:cs="Times New Roman"/>
          <w:szCs w:val="22"/>
          <w:lang w:eastAsia="zh-CN"/>
        </w:rPr>
        <w:t xml:space="preserve">type </w:t>
      </w:r>
      <w:r w:rsidR="006E5BA3" w:rsidRPr="000418D8">
        <w:rPr>
          <w:rFonts w:eastAsiaTheme="minorEastAsia" w:cs="Times New Roman"/>
          <w:szCs w:val="22"/>
          <w:lang w:eastAsia="zh-CN"/>
        </w:rPr>
        <w:t xml:space="preserve">was </w:t>
      </w:r>
      <w:r w:rsidR="00B3655A">
        <w:rPr>
          <w:rFonts w:eastAsiaTheme="minorEastAsia" w:cs="Times New Roman"/>
          <w:szCs w:val="22"/>
          <w:lang w:eastAsia="zh-CN"/>
        </w:rPr>
        <w:t>“</w:t>
      </w:r>
      <w:proofErr w:type="spellStart"/>
      <w:r w:rsidR="006E5BA3" w:rsidRPr="000418D8">
        <w:rPr>
          <w:rFonts w:eastAsiaTheme="minorEastAsia" w:cs="Times New Roman"/>
          <w:szCs w:val="22"/>
          <w:lang w:eastAsia="zh-CN"/>
        </w:rPr>
        <w:t>uni</w:t>
      </w:r>
      <w:proofErr w:type="spellEnd"/>
      <w:r w:rsidR="006E5BA3" w:rsidRPr="000418D8">
        <w:rPr>
          <w:rFonts w:eastAsiaTheme="minorEastAsia" w:cs="Times New Roman"/>
          <w:szCs w:val="22"/>
          <w:lang w:eastAsia="zh-CN"/>
        </w:rPr>
        <w:t>-directional</w:t>
      </w:r>
      <w:r w:rsidR="00B3655A">
        <w:rPr>
          <w:rFonts w:eastAsiaTheme="minorEastAsia" w:cs="Times New Roman"/>
          <w:szCs w:val="22"/>
          <w:lang w:eastAsia="zh-CN"/>
        </w:rPr>
        <w:t>”</w:t>
      </w:r>
      <w:r w:rsidR="006E5BA3" w:rsidRPr="000418D8">
        <w:rPr>
          <w:rFonts w:eastAsiaTheme="minorEastAsia" w:cs="Times New Roman"/>
          <w:szCs w:val="22"/>
          <w:lang w:eastAsia="zh-CN"/>
        </w:rPr>
        <w:t xml:space="preserve">, for </w:t>
      </w:r>
      <w:r w:rsidR="007D6FA6">
        <w:rPr>
          <w:rFonts w:eastAsiaTheme="minorEastAsia" w:cs="Times New Roman"/>
          <w:szCs w:val="22"/>
          <w:lang w:eastAsia="zh-CN"/>
        </w:rPr>
        <w:t>matching design</w:t>
      </w:r>
      <w:r w:rsidR="006E5BA3" w:rsidRPr="000418D8">
        <w:rPr>
          <w:rFonts w:eastAsiaTheme="minorEastAsia" w:cs="Times New Roman"/>
          <w:szCs w:val="22"/>
          <w:lang w:eastAsia="zh-CN"/>
        </w:rPr>
        <w:t xml:space="preserve"> was </w:t>
      </w:r>
      <w:r w:rsidR="00B3655A">
        <w:rPr>
          <w:rFonts w:eastAsiaTheme="minorEastAsia" w:cs="Times New Roman"/>
          <w:szCs w:val="22"/>
          <w:lang w:eastAsia="zh-CN"/>
        </w:rPr>
        <w:t>“</w:t>
      </w:r>
      <w:r w:rsidR="007D6FA6">
        <w:rPr>
          <w:rFonts w:eastAsiaTheme="minorEastAsia" w:cs="Times New Roman"/>
          <w:szCs w:val="22"/>
          <w:lang w:eastAsia="zh-CN"/>
        </w:rPr>
        <w:t>stranger-matching</w:t>
      </w:r>
      <w:r w:rsidR="00B3655A">
        <w:rPr>
          <w:rFonts w:eastAsiaTheme="minorEastAsia" w:cs="Times New Roman"/>
          <w:szCs w:val="22"/>
          <w:lang w:eastAsia="zh-CN"/>
        </w:rPr>
        <w:t>”</w:t>
      </w:r>
      <w:r w:rsidR="006E5BA3" w:rsidRPr="000418D8">
        <w:rPr>
          <w:rFonts w:eastAsiaTheme="minorEastAsia" w:cs="Times New Roman"/>
          <w:szCs w:val="22"/>
          <w:lang w:eastAsia="zh-CN"/>
        </w:rPr>
        <w:t xml:space="preserve">, for symmetry was </w:t>
      </w:r>
      <w:r w:rsidR="00B3655A">
        <w:rPr>
          <w:rFonts w:eastAsiaTheme="minorEastAsia" w:cs="Times New Roman"/>
          <w:szCs w:val="22"/>
          <w:lang w:eastAsia="zh-CN"/>
        </w:rPr>
        <w:t>“</w:t>
      </w:r>
      <w:r w:rsidR="006E5BA3" w:rsidRPr="000418D8">
        <w:rPr>
          <w:rFonts w:eastAsiaTheme="minorEastAsia" w:cs="Times New Roman"/>
          <w:szCs w:val="22"/>
          <w:lang w:eastAsia="zh-CN"/>
        </w:rPr>
        <w:t>asymmetric</w:t>
      </w:r>
      <w:r w:rsidR="00B3655A">
        <w:rPr>
          <w:rFonts w:eastAsiaTheme="minorEastAsia" w:cs="Times New Roman"/>
          <w:szCs w:val="22"/>
          <w:lang w:eastAsia="zh-CN"/>
        </w:rPr>
        <w:t>”</w:t>
      </w:r>
      <w:r w:rsidR="006E5BA3" w:rsidRPr="000418D8">
        <w:rPr>
          <w:rFonts w:eastAsiaTheme="minorEastAsia" w:cs="Times New Roman"/>
          <w:szCs w:val="22"/>
          <w:lang w:eastAsia="zh-CN"/>
        </w:rPr>
        <w:t xml:space="preserve">, for </w:t>
      </w:r>
      <w:proofErr w:type="spellStart"/>
      <w:r w:rsidR="006E5BA3" w:rsidRPr="000418D8">
        <w:rPr>
          <w:rFonts w:eastAsiaTheme="minorEastAsia" w:cs="Times New Roman"/>
          <w:szCs w:val="22"/>
          <w:lang w:eastAsia="zh-CN"/>
        </w:rPr>
        <w:t>sequentiality</w:t>
      </w:r>
      <w:proofErr w:type="spellEnd"/>
      <w:r w:rsidR="006E5BA3" w:rsidRPr="000418D8">
        <w:rPr>
          <w:rFonts w:eastAsiaTheme="minorEastAsia" w:cs="Times New Roman"/>
          <w:szCs w:val="22"/>
          <w:lang w:eastAsia="zh-CN"/>
        </w:rPr>
        <w:t xml:space="preserve"> was </w:t>
      </w:r>
      <w:r w:rsidR="00B3655A">
        <w:rPr>
          <w:rFonts w:eastAsiaTheme="minorEastAsia" w:cs="Times New Roman"/>
          <w:szCs w:val="22"/>
          <w:lang w:eastAsia="zh-CN"/>
        </w:rPr>
        <w:t>“</w:t>
      </w:r>
      <w:r w:rsidR="006E5BA3" w:rsidRPr="000418D8">
        <w:rPr>
          <w:rFonts w:eastAsiaTheme="minorEastAsia" w:cs="Times New Roman"/>
          <w:szCs w:val="22"/>
          <w:lang w:eastAsia="zh-CN"/>
        </w:rPr>
        <w:t>sequential</w:t>
      </w:r>
      <w:r w:rsidR="00B3655A">
        <w:rPr>
          <w:rFonts w:eastAsiaTheme="minorEastAsia" w:cs="Times New Roman"/>
          <w:szCs w:val="22"/>
          <w:lang w:eastAsia="zh-CN"/>
        </w:rPr>
        <w:t>”</w:t>
      </w:r>
      <w:r w:rsidR="006E5BA3">
        <w:rPr>
          <w:rFonts w:eastAsiaTheme="minorEastAsia" w:cs="Times New Roman"/>
          <w:szCs w:val="22"/>
          <w:lang w:eastAsia="zh-CN"/>
        </w:rPr>
        <w:t>,</w:t>
      </w:r>
      <w:r w:rsidR="006E5BA3" w:rsidRPr="006E5BA3">
        <w:rPr>
          <w:rFonts w:eastAsiaTheme="minorEastAsia" w:cs="Times New Roman"/>
          <w:szCs w:val="22"/>
          <w:lang w:eastAsia="zh-CN"/>
        </w:rPr>
        <w:t xml:space="preserve"> </w:t>
      </w:r>
      <w:r w:rsidR="006E5BA3">
        <w:rPr>
          <w:rFonts w:eastAsiaTheme="minorEastAsia" w:cs="Times New Roman"/>
          <w:szCs w:val="22"/>
          <w:lang w:eastAsia="zh-CN"/>
        </w:rPr>
        <w:t xml:space="preserve">for </w:t>
      </w:r>
      <w:r w:rsidR="006E5BA3">
        <w:rPr>
          <w:rFonts w:eastAsiaTheme="minorEastAsia" w:cs="Times New Roman" w:hint="eastAsia"/>
          <w:szCs w:val="22"/>
          <w:lang w:eastAsia="zh-CN"/>
        </w:rPr>
        <w:t>g</w:t>
      </w:r>
      <w:r w:rsidR="006E5BA3" w:rsidRPr="00801467">
        <w:rPr>
          <w:rFonts w:eastAsiaTheme="minorEastAsia" w:cs="Times New Roman" w:hint="eastAsia"/>
          <w:szCs w:val="22"/>
          <w:lang w:eastAsia="zh-CN"/>
        </w:rPr>
        <w:t xml:space="preserve">ame incentive type </w:t>
      </w:r>
      <w:r w:rsidR="006E5BA3">
        <w:rPr>
          <w:rFonts w:eastAsiaTheme="minorEastAsia" w:cs="Times New Roman"/>
          <w:szCs w:val="22"/>
          <w:lang w:eastAsia="zh-CN"/>
        </w:rPr>
        <w:t>Ⅰ</w:t>
      </w:r>
      <w:r w:rsidR="006E5BA3">
        <w:rPr>
          <w:rFonts w:eastAsiaTheme="minorEastAsia" w:cs="Times New Roman" w:hint="eastAsia"/>
          <w:szCs w:val="22"/>
          <w:lang w:eastAsia="zh-CN"/>
        </w:rPr>
        <w:t xml:space="preserve"> was </w:t>
      </w:r>
      <w:r w:rsidR="00B3655A">
        <w:rPr>
          <w:rFonts w:eastAsiaTheme="minorEastAsia" w:cs="Times New Roman"/>
          <w:szCs w:val="22"/>
          <w:lang w:eastAsia="zh-CN"/>
        </w:rPr>
        <w:t>“</w:t>
      </w:r>
      <w:r w:rsidR="006E5BA3" w:rsidRPr="00801467">
        <w:rPr>
          <w:rFonts w:eastAsiaTheme="minorEastAsia" w:cs="Times New Roman" w:hint="eastAsia"/>
          <w:szCs w:val="22"/>
          <w:lang w:eastAsia="zh-CN"/>
        </w:rPr>
        <w:t>lottery</w:t>
      </w:r>
      <w:r w:rsidR="00B3655A">
        <w:rPr>
          <w:rFonts w:eastAsiaTheme="minorEastAsia" w:cs="Times New Roman"/>
          <w:szCs w:val="22"/>
          <w:lang w:eastAsia="zh-CN"/>
        </w:rPr>
        <w:t>”</w:t>
      </w:r>
      <w:r w:rsidR="006E5BA3">
        <w:rPr>
          <w:rFonts w:eastAsiaTheme="minorEastAsia" w:cs="Times New Roman"/>
          <w:szCs w:val="22"/>
          <w:lang w:eastAsia="zh-CN"/>
        </w:rPr>
        <w:t xml:space="preserve">, for </w:t>
      </w:r>
      <w:r w:rsidR="006E5BA3">
        <w:rPr>
          <w:rFonts w:eastAsiaTheme="minorEastAsia" w:cs="Times New Roman" w:hint="eastAsia"/>
          <w:szCs w:val="22"/>
          <w:lang w:eastAsia="zh-CN"/>
        </w:rPr>
        <w:t>g</w:t>
      </w:r>
      <w:r w:rsidR="006E5BA3" w:rsidRPr="00801467">
        <w:rPr>
          <w:rFonts w:eastAsiaTheme="minorEastAsia" w:cs="Times New Roman" w:hint="eastAsia"/>
          <w:szCs w:val="22"/>
          <w:lang w:eastAsia="zh-CN"/>
        </w:rPr>
        <w:t xml:space="preserve">ame incentive type </w:t>
      </w:r>
      <w:r w:rsidR="006E5BA3">
        <w:rPr>
          <w:rFonts w:eastAsiaTheme="minorEastAsia" w:cs="Times New Roman"/>
          <w:szCs w:val="22"/>
          <w:lang w:eastAsia="zh-CN"/>
        </w:rPr>
        <w:t>Ⅱ</w:t>
      </w:r>
      <w:r w:rsidR="006E5BA3">
        <w:rPr>
          <w:rFonts w:eastAsiaTheme="minorEastAsia" w:cs="Times New Roman" w:hint="eastAsia"/>
          <w:szCs w:val="22"/>
          <w:lang w:eastAsia="zh-CN"/>
        </w:rPr>
        <w:t xml:space="preserve"> was </w:t>
      </w:r>
      <w:r w:rsidR="00B3655A">
        <w:rPr>
          <w:rFonts w:eastAsiaTheme="minorEastAsia" w:cs="Times New Roman"/>
          <w:szCs w:val="22"/>
          <w:lang w:eastAsia="zh-CN"/>
        </w:rPr>
        <w:t>“</w:t>
      </w:r>
      <w:r w:rsidR="006E5BA3">
        <w:rPr>
          <w:rFonts w:eastAsiaTheme="minorEastAsia" w:cs="Times New Roman" w:hint="eastAsia"/>
          <w:szCs w:val="22"/>
          <w:lang w:eastAsia="zh-CN"/>
        </w:rPr>
        <w:t>non-monetary</w:t>
      </w:r>
      <w:r w:rsidR="00B3655A">
        <w:rPr>
          <w:rFonts w:eastAsiaTheme="minorEastAsia" w:cs="Times New Roman"/>
          <w:szCs w:val="22"/>
          <w:lang w:eastAsia="zh-CN"/>
        </w:rPr>
        <w:t>”</w:t>
      </w:r>
      <w:r w:rsidR="006E5BA3">
        <w:rPr>
          <w:rFonts w:eastAsiaTheme="minorEastAsia" w:cs="Times New Roman"/>
          <w:szCs w:val="22"/>
          <w:lang w:eastAsia="zh-CN"/>
        </w:rPr>
        <w:t>.</w:t>
      </w:r>
    </w:p>
    <w:p w14:paraId="34714636" w14:textId="77777777" w:rsidR="009A5221" w:rsidRPr="009A5221" w:rsidRDefault="009A5221" w:rsidP="00CD0784">
      <w:pPr>
        <w:spacing w:line="240" w:lineRule="auto"/>
        <w:rPr>
          <w:rFonts w:cs="Times New Roman"/>
        </w:rPr>
        <w:sectPr w:rsidR="009A5221" w:rsidRPr="009A5221" w:rsidSect="00F63796">
          <w:pgSz w:w="15840" w:h="12240" w:orient="landscape"/>
          <w:pgMar w:top="1440" w:right="1440" w:bottom="1440" w:left="1440" w:header="708" w:footer="708" w:gutter="0"/>
          <w:cols w:space="708"/>
          <w:docGrid w:linePitch="326"/>
        </w:sectPr>
      </w:pPr>
      <w:r w:rsidRPr="00785660">
        <w:rPr>
          <w:rFonts w:cs="Times New Roman"/>
        </w:rPr>
        <w:t xml:space="preserve">* </w:t>
      </w:r>
      <w:r w:rsidRPr="00B14319">
        <w:rPr>
          <w:rFonts w:cs="Times New Roman"/>
          <w:i/>
        </w:rPr>
        <w:t>p</w:t>
      </w:r>
      <w:r w:rsidRPr="00785660">
        <w:rPr>
          <w:rFonts w:cs="Times New Roman"/>
        </w:rPr>
        <w:t xml:space="preserve"> &lt; .05</w:t>
      </w:r>
    </w:p>
    <w:p w14:paraId="777EF067" w14:textId="0F66FF96" w:rsidR="00055BBD" w:rsidRPr="005D361B" w:rsidRDefault="00156901" w:rsidP="005D361B">
      <w:pPr>
        <w:pStyle w:val="Heading2"/>
      </w:pPr>
      <w:bookmarkStart w:id="25" w:name="_Toc61988289"/>
      <w:bookmarkStart w:id="26" w:name="_Toc169458483"/>
      <w:r>
        <w:rPr>
          <w:rFonts w:hint="eastAsia"/>
          <w:lang w:eastAsia="zh-CN"/>
        </w:rPr>
        <w:lastRenderedPageBreak/>
        <w:t>8</w:t>
      </w:r>
      <w:r w:rsidR="002F6F89">
        <w:t>.</w:t>
      </w:r>
      <w:r w:rsidR="00D14C1C">
        <w:t>3</w:t>
      </w:r>
      <w:r w:rsidR="002F6F89">
        <w:t xml:space="preserve"> </w:t>
      </w:r>
      <w:r w:rsidR="002F6F89" w:rsidRPr="002F6F89">
        <w:t xml:space="preserve">Predictive </w:t>
      </w:r>
      <w:r w:rsidR="00F83039">
        <w:t>P</w:t>
      </w:r>
      <w:r w:rsidR="002F6F89" w:rsidRPr="002F6F89">
        <w:t xml:space="preserve">ower of </w:t>
      </w:r>
      <w:r w:rsidR="00F83039">
        <w:t>V</w:t>
      </w:r>
      <w:r w:rsidR="002F6F89" w:rsidRPr="002F6F89">
        <w:t>ariables</w:t>
      </w:r>
      <w:bookmarkEnd w:id="25"/>
      <w:bookmarkEnd w:id="26"/>
    </w:p>
    <w:p w14:paraId="5BD9A251" w14:textId="4665B1DB" w:rsidR="005D361B" w:rsidRPr="005D361B" w:rsidRDefault="00E80154" w:rsidP="005D361B">
      <w:pPr>
        <w:rPr>
          <w:rFonts w:cs="Times New Roman"/>
          <w:b/>
        </w:rPr>
      </w:pPr>
      <w:r>
        <w:rPr>
          <w:rFonts w:cs="Times New Roman"/>
          <w:b/>
        </w:rPr>
        <w:t xml:space="preserve">Table </w:t>
      </w:r>
      <w:r w:rsidR="00F83039">
        <w:rPr>
          <w:rFonts w:cs="Times New Roman"/>
          <w:b/>
        </w:rPr>
        <w:t>S</w:t>
      </w:r>
      <w:r w:rsidR="00F30B53">
        <w:rPr>
          <w:rFonts w:cs="Times New Roman"/>
          <w:b/>
        </w:rPr>
        <w:t>5</w:t>
      </w:r>
    </w:p>
    <w:p w14:paraId="7B84487E" w14:textId="2FB86495" w:rsidR="00E34DC9" w:rsidRPr="00E34DC9" w:rsidRDefault="005D361B" w:rsidP="005B2BAA">
      <w:pPr>
        <w:rPr>
          <w:rFonts w:cs="Times New Roman"/>
          <w:i/>
        </w:rPr>
      </w:pPr>
      <w:r>
        <w:rPr>
          <w:rFonts w:cs="Times New Roman"/>
          <w:i/>
        </w:rPr>
        <w:t>Predictive Power of Variables in M</w:t>
      </w:r>
      <w:r w:rsidRPr="005D361B">
        <w:rPr>
          <w:rFonts w:cs="Times New Roman"/>
          <w:i/>
        </w:rPr>
        <w:t>eta-</w:t>
      </w:r>
      <w:r w:rsidR="0019186B">
        <w:rPr>
          <w:rFonts w:cs="Times New Roman"/>
          <w:i/>
        </w:rPr>
        <w:t>R</w:t>
      </w:r>
      <w:r w:rsidRPr="005D361B">
        <w:rPr>
          <w:rFonts w:cs="Times New Roman"/>
          <w:i/>
        </w:rPr>
        <w:t>egression</w:t>
      </w:r>
      <w:r w:rsidR="00E34DC9">
        <w:rPr>
          <w:rFonts w:cs="Times New Roman"/>
          <w:i/>
        </w:rPr>
        <w:t xml:space="preserve"> (Model 2a-2c</w:t>
      </w:r>
      <w:r w:rsidR="00C12950">
        <w:rPr>
          <w:rFonts w:cs="Times New Roman"/>
          <w:i/>
        </w:rPr>
        <w:t xml:space="preserve">, </w:t>
      </w:r>
      <w:r w:rsidR="00C12950">
        <w:rPr>
          <w:rFonts w:eastAsiaTheme="minorEastAsia" w:cs="Times New Roman"/>
          <w:i/>
          <w:szCs w:val="22"/>
          <w:lang w:eastAsia="zh-CN"/>
        </w:rPr>
        <w:t>Study 1</w:t>
      </w:r>
      <w:r w:rsidR="00E34DC9">
        <w:rPr>
          <w:rFonts w:cs="Times New Roman"/>
          <w:i/>
        </w:rPr>
        <w:t>)</w:t>
      </w:r>
    </w:p>
    <w:tbl>
      <w:tblPr>
        <w:tblW w:w="0" w:type="auto"/>
        <w:tblCellMar>
          <w:left w:w="70" w:type="dxa"/>
          <w:right w:w="70" w:type="dxa"/>
        </w:tblCellMar>
        <w:tblLook w:val="04A0" w:firstRow="1" w:lastRow="0" w:firstColumn="1" w:lastColumn="0" w:noHBand="0" w:noVBand="1"/>
      </w:tblPr>
      <w:tblGrid>
        <w:gridCol w:w="2420"/>
        <w:gridCol w:w="580"/>
        <w:gridCol w:w="500"/>
        <w:gridCol w:w="1127"/>
        <w:gridCol w:w="580"/>
        <w:gridCol w:w="500"/>
        <w:gridCol w:w="1207"/>
        <w:gridCol w:w="580"/>
        <w:gridCol w:w="500"/>
        <w:gridCol w:w="1207"/>
      </w:tblGrid>
      <w:tr w:rsidR="00991E14" w:rsidRPr="00991E14" w14:paraId="3A3B0C0C" w14:textId="77777777" w:rsidTr="00D14C1C">
        <w:trPr>
          <w:trHeight w:val="225"/>
        </w:trPr>
        <w:tc>
          <w:tcPr>
            <w:tcW w:w="0" w:type="auto"/>
            <w:vMerge w:val="restart"/>
            <w:tcBorders>
              <w:top w:val="single" w:sz="4" w:space="0" w:color="auto"/>
              <w:left w:val="nil"/>
              <w:bottom w:val="single" w:sz="4" w:space="0" w:color="000000"/>
              <w:right w:val="nil"/>
            </w:tcBorders>
            <w:shd w:val="clear" w:color="auto" w:fill="auto"/>
            <w:noWrap/>
            <w:vAlign w:val="center"/>
            <w:hideMark/>
          </w:tcPr>
          <w:p w14:paraId="313CEE2C" w14:textId="77777777" w:rsidR="00991E14" w:rsidRPr="00991E14" w:rsidRDefault="00991E14" w:rsidP="00B707D2">
            <w:pPr>
              <w:spacing w:line="240" w:lineRule="auto"/>
              <w:jc w:val="center"/>
              <w:rPr>
                <w:rFonts w:eastAsia="Times New Roman" w:cs="Times New Roman"/>
                <w:b/>
                <w:bCs/>
                <w:color w:val="000000"/>
                <w:sz w:val="16"/>
                <w:szCs w:val="16"/>
                <w:lang w:val="nl-NL" w:eastAsia="zh-CN"/>
              </w:rPr>
            </w:pPr>
            <w:r w:rsidRPr="00991E14">
              <w:rPr>
                <w:rFonts w:eastAsia="Times New Roman" w:cs="Times New Roman"/>
                <w:b/>
                <w:bCs/>
                <w:color w:val="000000"/>
                <w:sz w:val="16"/>
                <w:szCs w:val="16"/>
                <w:lang w:val="nl-NL" w:eastAsia="zh-CN"/>
              </w:rPr>
              <w:t>Variables</w:t>
            </w:r>
          </w:p>
        </w:tc>
        <w:tc>
          <w:tcPr>
            <w:tcW w:w="0" w:type="auto"/>
            <w:gridSpan w:val="3"/>
            <w:tcBorders>
              <w:top w:val="single" w:sz="4" w:space="0" w:color="auto"/>
              <w:left w:val="nil"/>
              <w:bottom w:val="single" w:sz="4" w:space="0" w:color="auto"/>
              <w:right w:val="nil"/>
            </w:tcBorders>
            <w:shd w:val="clear" w:color="auto" w:fill="auto"/>
            <w:noWrap/>
            <w:vAlign w:val="center"/>
            <w:hideMark/>
          </w:tcPr>
          <w:p w14:paraId="0989CAC1" w14:textId="77777777" w:rsidR="00991E14" w:rsidRPr="00991E14" w:rsidRDefault="00991E14" w:rsidP="00B707D2">
            <w:pPr>
              <w:spacing w:line="240" w:lineRule="auto"/>
              <w:jc w:val="center"/>
              <w:rPr>
                <w:rFonts w:eastAsia="Times New Roman" w:cs="Times New Roman"/>
                <w:b/>
                <w:bCs/>
                <w:color w:val="000000"/>
                <w:sz w:val="16"/>
                <w:szCs w:val="16"/>
                <w:lang w:val="nl-NL" w:eastAsia="zh-CN"/>
              </w:rPr>
            </w:pPr>
            <w:r w:rsidRPr="00991E14">
              <w:rPr>
                <w:rFonts w:eastAsia="Times New Roman" w:cs="Times New Roman"/>
                <w:b/>
                <w:bCs/>
                <w:color w:val="000000"/>
                <w:sz w:val="16"/>
                <w:szCs w:val="16"/>
                <w:lang w:val="nl-NL" w:eastAsia="zh-CN"/>
              </w:rPr>
              <w:t>Model 2a</w:t>
            </w:r>
          </w:p>
        </w:tc>
        <w:tc>
          <w:tcPr>
            <w:tcW w:w="0" w:type="auto"/>
            <w:gridSpan w:val="3"/>
            <w:tcBorders>
              <w:top w:val="single" w:sz="4" w:space="0" w:color="auto"/>
              <w:left w:val="nil"/>
              <w:bottom w:val="single" w:sz="4" w:space="0" w:color="auto"/>
              <w:right w:val="nil"/>
            </w:tcBorders>
            <w:shd w:val="clear" w:color="auto" w:fill="auto"/>
            <w:noWrap/>
            <w:vAlign w:val="center"/>
            <w:hideMark/>
          </w:tcPr>
          <w:p w14:paraId="06340D82" w14:textId="77777777" w:rsidR="00991E14" w:rsidRPr="00991E14" w:rsidRDefault="00991E14" w:rsidP="00B707D2">
            <w:pPr>
              <w:spacing w:line="240" w:lineRule="auto"/>
              <w:jc w:val="center"/>
              <w:rPr>
                <w:rFonts w:eastAsia="Times New Roman" w:cs="Times New Roman"/>
                <w:b/>
                <w:bCs/>
                <w:color w:val="000000"/>
                <w:sz w:val="16"/>
                <w:szCs w:val="16"/>
                <w:lang w:val="nl-NL" w:eastAsia="zh-CN"/>
              </w:rPr>
            </w:pPr>
            <w:r w:rsidRPr="00991E14">
              <w:rPr>
                <w:rFonts w:eastAsia="Times New Roman" w:cs="Times New Roman"/>
                <w:b/>
                <w:bCs/>
                <w:color w:val="000000"/>
                <w:sz w:val="16"/>
                <w:szCs w:val="16"/>
                <w:lang w:val="nl-NL" w:eastAsia="zh-CN"/>
              </w:rPr>
              <w:t>Model 2b</w:t>
            </w:r>
          </w:p>
        </w:tc>
        <w:tc>
          <w:tcPr>
            <w:tcW w:w="0" w:type="auto"/>
            <w:gridSpan w:val="3"/>
            <w:tcBorders>
              <w:top w:val="single" w:sz="4" w:space="0" w:color="auto"/>
              <w:left w:val="nil"/>
              <w:bottom w:val="single" w:sz="4" w:space="0" w:color="auto"/>
              <w:right w:val="nil"/>
            </w:tcBorders>
            <w:shd w:val="clear" w:color="auto" w:fill="auto"/>
            <w:noWrap/>
            <w:vAlign w:val="center"/>
            <w:hideMark/>
          </w:tcPr>
          <w:p w14:paraId="15F6DAF8" w14:textId="77777777" w:rsidR="00991E14" w:rsidRPr="00991E14" w:rsidRDefault="00991E14" w:rsidP="00B707D2">
            <w:pPr>
              <w:spacing w:line="240" w:lineRule="auto"/>
              <w:jc w:val="center"/>
              <w:rPr>
                <w:rFonts w:eastAsia="Times New Roman" w:cs="Times New Roman"/>
                <w:b/>
                <w:bCs/>
                <w:color w:val="000000"/>
                <w:sz w:val="16"/>
                <w:szCs w:val="16"/>
                <w:lang w:val="nl-NL" w:eastAsia="zh-CN"/>
              </w:rPr>
            </w:pPr>
            <w:r w:rsidRPr="00991E14">
              <w:rPr>
                <w:rFonts w:eastAsia="Times New Roman" w:cs="Times New Roman"/>
                <w:b/>
                <w:bCs/>
                <w:color w:val="000000"/>
                <w:sz w:val="16"/>
                <w:szCs w:val="16"/>
                <w:lang w:val="nl-NL" w:eastAsia="zh-CN"/>
              </w:rPr>
              <w:t>Model 2c</w:t>
            </w:r>
          </w:p>
        </w:tc>
      </w:tr>
      <w:tr w:rsidR="00991E14" w:rsidRPr="00991E14" w14:paraId="028D5568" w14:textId="77777777" w:rsidTr="00D14C1C">
        <w:trPr>
          <w:trHeight w:val="225"/>
        </w:trPr>
        <w:tc>
          <w:tcPr>
            <w:tcW w:w="0" w:type="auto"/>
            <w:vMerge/>
            <w:tcBorders>
              <w:top w:val="single" w:sz="4" w:space="0" w:color="auto"/>
              <w:left w:val="nil"/>
              <w:bottom w:val="single" w:sz="4" w:space="0" w:color="000000"/>
              <w:right w:val="nil"/>
            </w:tcBorders>
            <w:vAlign w:val="center"/>
            <w:hideMark/>
          </w:tcPr>
          <w:p w14:paraId="064A0BCB" w14:textId="77777777" w:rsidR="00991E14" w:rsidRPr="00991E14" w:rsidRDefault="00991E14" w:rsidP="00B707D2">
            <w:pPr>
              <w:spacing w:line="240" w:lineRule="auto"/>
              <w:rPr>
                <w:rFonts w:eastAsia="Times New Roman" w:cs="Times New Roman"/>
                <w:b/>
                <w:bCs/>
                <w:color w:val="000000"/>
                <w:sz w:val="16"/>
                <w:szCs w:val="16"/>
                <w:lang w:val="nl-NL" w:eastAsia="zh-CN"/>
              </w:rPr>
            </w:pPr>
          </w:p>
        </w:tc>
        <w:tc>
          <w:tcPr>
            <w:tcW w:w="0" w:type="auto"/>
            <w:tcBorders>
              <w:top w:val="nil"/>
              <w:left w:val="nil"/>
              <w:bottom w:val="single" w:sz="4" w:space="0" w:color="auto"/>
              <w:right w:val="nil"/>
            </w:tcBorders>
            <w:shd w:val="clear" w:color="auto" w:fill="auto"/>
            <w:noWrap/>
            <w:vAlign w:val="center"/>
            <w:hideMark/>
          </w:tcPr>
          <w:p w14:paraId="61B31FA5" w14:textId="77777777" w:rsidR="00991E14" w:rsidRPr="00991E14" w:rsidRDefault="00991E14" w:rsidP="00B707D2">
            <w:pPr>
              <w:spacing w:line="240" w:lineRule="auto"/>
              <w:jc w:val="center"/>
              <w:rPr>
                <w:rFonts w:eastAsia="Times New Roman" w:cs="Times New Roman"/>
                <w:b/>
                <w:bCs/>
                <w:i/>
                <w:iCs/>
                <w:color w:val="000000"/>
                <w:sz w:val="16"/>
                <w:szCs w:val="16"/>
                <w:lang w:val="nl-NL" w:eastAsia="zh-CN"/>
              </w:rPr>
            </w:pPr>
            <w:r w:rsidRPr="00991E14">
              <w:rPr>
                <w:rFonts w:eastAsia="Times New Roman" w:cs="Times New Roman"/>
                <w:b/>
                <w:bCs/>
                <w:i/>
                <w:iCs/>
                <w:color w:val="000000"/>
                <w:sz w:val="16"/>
                <w:szCs w:val="16"/>
                <w:lang w:val="nl-NL" w:eastAsia="zh-CN"/>
              </w:rPr>
              <w:t>b</w:t>
            </w:r>
          </w:p>
        </w:tc>
        <w:tc>
          <w:tcPr>
            <w:tcW w:w="0" w:type="auto"/>
            <w:tcBorders>
              <w:top w:val="nil"/>
              <w:left w:val="nil"/>
              <w:bottom w:val="single" w:sz="4" w:space="0" w:color="auto"/>
              <w:right w:val="nil"/>
            </w:tcBorders>
            <w:shd w:val="clear" w:color="auto" w:fill="auto"/>
            <w:noWrap/>
            <w:vAlign w:val="center"/>
            <w:hideMark/>
          </w:tcPr>
          <w:p w14:paraId="2FD1DFEC" w14:textId="77777777" w:rsidR="00991E14" w:rsidRPr="00991E14" w:rsidRDefault="00991E14" w:rsidP="00B707D2">
            <w:pPr>
              <w:spacing w:line="240" w:lineRule="auto"/>
              <w:jc w:val="center"/>
              <w:rPr>
                <w:rFonts w:eastAsia="Times New Roman" w:cs="Times New Roman"/>
                <w:b/>
                <w:bCs/>
                <w:i/>
                <w:iCs/>
                <w:color w:val="000000"/>
                <w:sz w:val="16"/>
                <w:szCs w:val="16"/>
                <w:lang w:val="nl-NL" w:eastAsia="zh-CN"/>
              </w:rPr>
            </w:pPr>
            <w:r w:rsidRPr="00991E14">
              <w:rPr>
                <w:rFonts w:eastAsia="Times New Roman" w:cs="Times New Roman"/>
                <w:b/>
                <w:bCs/>
                <w:i/>
                <w:iCs/>
                <w:color w:val="000000"/>
                <w:sz w:val="16"/>
                <w:szCs w:val="16"/>
                <w:lang w:val="nl-NL" w:eastAsia="zh-CN"/>
              </w:rPr>
              <w:t>SE</w:t>
            </w:r>
          </w:p>
        </w:tc>
        <w:tc>
          <w:tcPr>
            <w:tcW w:w="0" w:type="auto"/>
            <w:tcBorders>
              <w:top w:val="nil"/>
              <w:left w:val="nil"/>
              <w:bottom w:val="single" w:sz="4" w:space="0" w:color="auto"/>
              <w:right w:val="nil"/>
            </w:tcBorders>
            <w:shd w:val="clear" w:color="auto" w:fill="auto"/>
            <w:noWrap/>
            <w:vAlign w:val="center"/>
            <w:hideMark/>
          </w:tcPr>
          <w:p w14:paraId="2188388D" w14:textId="77777777" w:rsidR="00991E14" w:rsidRPr="00991E14" w:rsidRDefault="00991E14" w:rsidP="00B707D2">
            <w:pPr>
              <w:spacing w:line="240" w:lineRule="auto"/>
              <w:jc w:val="center"/>
              <w:rPr>
                <w:rFonts w:eastAsia="Times New Roman" w:cs="Times New Roman"/>
                <w:b/>
                <w:bCs/>
                <w:color w:val="000000"/>
                <w:sz w:val="16"/>
                <w:szCs w:val="16"/>
                <w:lang w:val="nl-NL" w:eastAsia="zh-CN"/>
              </w:rPr>
            </w:pPr>
            <w:r w:rsidRPr="00991E14">
              <w:rPr>
                <w:rFonts w:eastAsia="Times New Roman" w:cs="Times New Roman"/>
                <w:b/>
                <w:bCs/>
                <w:color w:val="000000"/>
                <w:sz w:val="16"/>
                <w:szCs w:val="16"/>
                <w:lang w:val="nl-NL" w:eastAsia="zh-CN"/>
              </w:rPr>
              <w:t xml:space="preserve">95% </w:t>
            </w:r>
            <w:r w:rsidRPr="00686A07">
              <w:rPr>
                <w:rFonts w:eastAsia="Times New Roman" w:cs="Times New Roman"/>
                <w:b/>
                <w:bCs/>
                <w:i/>
                <w:iCs/>
                <w:color w:val="000000"/>
                <w:sz w:val="16"/>
                <w:szCs w:val="16"/>
                <w:lang w:val="nl-NL" w:eastAsia="zh-CN"/>
              </w:rPr>
              <w:t>CI</w:t>
            </w:r>
          </w:p>
        </w:tc>
        <w:tc>
          <w:tcPr>
            <w:tcW w:w="0" w:type="auto"/>
            <w:tcBorders>
              <w:top w:val="nil"/>
              <w:left w:val="nil"/>
              <w:bottom w:val="single" w:sz="4" w:space="0" w:color="auto"/>
              <w:right w:val="nil"/>
            </w:tcBorders>
            <w:shd w:val="clear" w:color="auto" w:fill="auto"/>
            <w:noWrap/>
            <w:vAlign w:val="center"/>
            <w:hideMark/>
          </w:tcPr>
          <w:p w14:paraId="01EE4E92" w14:textId="77777777" w:rsidR="00991E14" w:rsidRPr="00991E14" w:rsidRDefault="00991E14" w:rsidP="00B707D2">
            <w:pPr>
              <w:spacing w:line="240" w:lineRule="auto"/>
              <w:jc w:val="center"/>
              <w:rPr>
                <w:rFonts w:eastAsia="Times New Roman" w:cs="Times New Roman"/>
                <w:b/>
                <w:bCs/>
                <w:i/>
                <w:iCs/>
                <w:color w:val="000000"/>
                <w:sz w:val="16"/>
                <w:szCs w:val="16"/>
                <w:lang w:val="nl-NL" w:eastAsia="zh-CN"/>
              </w:rPr>
            </w:pPr>
            <w:r w:rsidRPr="00991E14">
              <w:rPr>
                <w:rFonts w:eastAsia="Times New Roman" w:cs="Times New Roman"/>
                <w:b/>
                <w:bCs/>
                <w:i/>
                <w:iCs/>
                <w:color w:val="000000"/>
                <w:sz w:val="16"/>
                <w:szCs w:val="16"/>
                <w:lang w:val="nl-NL" w:eastAsia="zh-CN"/>
              </w:rPr>
              <w:t>b</w:t>
            </w:r>
          </w:p>
        </w:tc>
        <w:tc>
          <w:tcPr>
            <w:tcW w:w="0" w:type="auto"/>
            <w:tcBorders>
              <w:top w:val="nil"/>
              <w:left w:val="nil"/>
              <w:bottom w:val="single" w:sz="4" w:space="0" w:color="auto"/>
              <w:right w:val="nil"/>
            </w:tcBorders>
            <w:shd w:val="clear" w:color="auto" w:fill="auto"/>
            <w:noWrap/>
            <w:vAlign w:val="center"/>
            <w:hideMark/>
          </w:tcPr>
          <w:p w14:paraId="2E48E63F" w14:textId="77777777" w:rsidR="00991E14" w:rsidRPr="00991E14" w:rsidRDefault="00991E14" w:rsidP="00B707D2">
            <w:pPr>
              <w:spacing w:line="240" w:lineRule="auto"/>
              <w:jc w:val="center"/>
              <w:rPr>
                <w:rFonts w:eastAsia="Times New Roman" w:cs="Times New Roman"/>
                <w:b/>
                <w:bCs/>
                <w:i/>
                <w:iCs/>
                <w:color w:val="000000"/>
                <w:sz w:val="16"/>
                <w:szCs w:val="16"/>
                <w:lang w:val="nl-NL" w:eastAsia="zh-CN"/>
              </w:rPr>
            </w:pPr>
            <w:r w:rsidRPr="00991E14">
              <w:rPr>
                <w:rFonts w:eastAsia="Times New Roman" w:cs="Times New Roman"/>
                <w:b/>
                <w:bCs/>
                <w:i/>
                <w:iCs/>
                <w:color w:val="000000"/>
                <w:sz w:val="16"/>
                <w:szCs w:val="16"/>
                <w:lang w:val="nl-NL" w:eastAsia="zh-CN"/>
              </w:rPr>
              <w:t>SE</w:t>
            </w:r>
          </w:p>
        </w:tc>
        <w:tc>
          <w:tcPr>
            <w:tcW w:w="0" w:type="auto"/>
            <w:tcBorders>
              <w:top w:val="nil"/>
              <w:left w:val="nil"/>
              <w:bottom w:val="single" w:sz="4" w:space="0" w:color="auto"/>
              <w:right w:val="nil"/>
            </w:tcBorders>
            <w:shd w:val="clear" w:color="auto" w:fill="auto"/>
            <w:noWrap/>
            <w:vAlign w:val="center"/>
            <w:hideMark/>
          </w:tcPr>
          <w:p w14:paraId="3DB5C300" w14:textId="77777777" w:rsidR="00991E14" w:rsidRPr="00991E14" w:rsidRDefault="00991E14" w:rsidP="00B707D2">
            <w:pPr>
              <w:spacing w:line="240" w:lineRule="auto"/>
              <w:jc w:val="center"/>
              <w:rPr>
                <w:rFonts w:eastAsia="Times New Roman" w:cs="Times New Roman"/>
                <w:b/>
                <w:bCs/>
                <w:color w:val="000000"/>
                <w:sz w:val="16"/>
                <w:szCs w:val="16"/>
                <w:lang w:val="nl-NL" w:eastAsia="zh-CN"/>
              </w:rPr>
            </w:pPr>
            <w:r w:rsidRPr="00991E14">
              <w:rPr>
                <w:rFonts w:eastAsia="Times New Roman" w:cs="Times New Roman"/>
                <w:b/>
                <w:bCs/>
                <w:color w:val="000000"/>
                <w:sz w:val="16"/>
                <w:szCs w:val="16"/>
                <w:lang w:val="nl-NL" w:eastAsia="zh-CN"/>
              </w:rPr>
              <w:t xml:space="preserve">95% </w:t>
            </w:r>
            <w:r w:rsidRPr="00686A07">
              <w:rPr>
                <w:rFonts w:eastAsia="Times New Roman" w:cs="Times New Roman"/>
                <w:b/>
                <w:bCs/>
                <w:i/>
                <w:iCs/>
                <w:color w:val="000000"/>
                <w:sz w:val="16"/>
                <w:szCs w:val="16"/>
                <w:lang w:val="nl-NL" w:eastAsia="zh-CN"/>
              </w:rPr>
              <w:t>CI</w:t>
            </w:r>
          </w:p>
        </w:tc>
        <w:tc>
          <w:tcPr>
            <w:tcW w:w="0" w:type="auto"/>
            <w:tcBorders>
              <w:top w:val="nil"/>
              <w:left w:val="nil"/>
              <w:bottom w:val="single" w:sz="4" w:space="0" w:color="auto"/>
              <w:right w:val="nil"/>
            </w:tcBorders>
            <w:shd w:val="clear" w:color="auto" w:fill="auto"/>
            <w:noWrap/>
            <w:vAlign w:val="center"/>
            <w:hideMark/>
          </w:tcPr>
          <w:p w14:paraId="0106A5C1" w14:textId="77777777" w:rsidR="00991E14" w:rsidRPr="00991E14" w:rsidRDefault="00991E14" w:rsidP="00B707D2">
            <w:pPr>
              <w:spacing w:line="240" w:lineRule="auto"/>
              <w:jc w:val="center"/>
              <w:rPr>
                <w:rFonts w:eastAsia="Times New Roman" w:cs="Times New Roman"/>
                <w:b/>
                <w:bCs/>
                <w:i/>
                <w:iCs/>
                <w:color w:val="000000"/>
                <w:sz w:val="16"/>
                <w:szCs w:val="16"/>
                <w:lang w:val="nl-NL" w:eastAsia="zh-CN"/>
              </w:rPr>
            </w:pPr>
            <w:r w:rsidRPr="00991E14">
              <w:rPr>
                <w:rFonts w:eastAsia="Times New Roman" w:cs="Times New Roman"/>
                <w:b/>
                <w:bCs/>
                <w:i/>
                <w:iCs/>
                <w:color w:val="000000"/>
                <w:sz w:val="16"/>
                <w:szCs w:val="16"/>
                <w:lang w:val="nl-NL" w:eastAsia="zh-CN"/>
              </w:rPr>
              <w:t>b</w:t>
            </w:r>
          </w:p>
        </w:tc>
        <w:tc>
          <w:tcPr>
            <w:tcW w:w="0" w:type="auto"/>
            <w:tcBorders>
              <w:top w:val="nil"/>
              <w:left w:val="nil"/>
              <w:bottom w:val="single" w:sz="4" w:space="0" w:color="auto"/>
              <w:right w:val="nil"/>
            </w:tcBorders>
            <w:shd w:val="clear" w:color="auto" w:fill="auto"/>
            <w:noWrap/>
            <w:vAlign w:val="center"/>
            <w:hideMark/>
          </w:tcPr>
          <w:p w14:paraId="77118CEA" w14:textId="77777777" w:rsidR="00991E14" w:rsidRPr="00991E14" w:rsidRDefault="00991E14" w:rsidP="00B707D2">
            <w:pPr>
              <w:spacing w:line="240" w:lineRule="auto"/>
              <w:jc w:val="center"/>
              <w:rPr>
                <w:rFonts w:eastAsia="Times New Roman" w:cs="Times New Roman"/>
                <w:b/>
                <w:bCs/>
                <w:i/>
                <w:iCs/>
                <w:color w:val="000000"/>
                <w:sz w:val="16"/>
                <w:szCs w:val="16"/>
                <w:lang w:val="nl-NL" w:eastAsia="zh-CN"/>
              </w:rPr>
            </w:pPr>
            <w:r w:rsidRPr="00991E14">
              <w:rPr>
                <w:rFonts w:eastAsia="Times New Roman" w:cs="Times New Roman"/>
                <w:b/>
                <w:bCs/>
                <w:i/>
                <w:iCs/>
                <w:color w:val="000000"/>
                <w:sz w:val="16"/>
                <w:szCs w:val="16"/>
                <w:lang w:val="nl-NL" w:eastAsia="zh-CN"/>
              </w:rPr>
              <w:t>SE</w:t>
            </w:r>
          </w:p>
        </w:tc>
        <w:tc>
          <w:tcPr>
            <w:tcW w:w="0" w:type="auto"/>
            <w:tcBorders>
              <w:top w:val="nil"/>
              <w:left w:val="nil"/>
              <w:bottom w:val="single" w:sz="4" w:space="0" w:color="auto"/>
              <w:right w:val="nil"/>
            </w:tcBorders>
            <w:shd w:val="clear" w:color="auto" w:fill="auto"/>
            <w:noWrap/>
            <w:vAlign w:val="center"/>
            <w:hideMark/>
          </w:tcPr>
          <w:p w14:paraId="7757E8DD" w14:textId="77777777" w:rsidR="00991E14" w:rsidRPr="00991E14" w:rsidRDefault="00991E14" w:rsidP="00B707D2">
            <w:pPr>
              <w:spacing w:line="240" w:lineRule="auto"/>
              <w:jc w:val="center"/>
              <w:rPr>
                <w:rFonts w:eastAsia="Times New Roman" w:cs="Times New Roman"/>
                <w:b/>
                <w:bCs/>
                <w:color w:val="000000"/>
                <w:sz w:val="16"/>
                <w:szCs w:val="16"/>
                <w:lang w:val="nl-NL" w:eastAsia="zh-CN"/>
              </w:rPr>
            </w:pPr>
            <w:r w:rsidRPr="00991E14">
              <w:rPr>
                <w:rFonts w:eastAsia="Times New Roman" w:cs="Times New Roman"/>
                <w:b/>
                <w:bCs/>
                <w:color w:val="000000"/>
                <w:sz w:val="16"/>
                <w:szCs w:val="16"/>
                <w:lang w:val="nl-NL" w:eastAsia="zh-CN"/>
              </w:rPr>
              <w:t xml:space="preserve">95% </w:t>
            </w:r>
            <w:r w:rsidRPr="00686A07">
              <w:rPr>
                <w:rFonts w:eastAsia="Times New Roman" w:cs="Times New Roman"/>
                <w:b/>
                <w:bCs/>
                <w:i/>
                <w:iCs/>
                <w:color w:val="000000"/>
                <w:sz w:val="16"/>
                <w:szCs w:val="16"/>
                <w:lang w:val="nl-NL" w:eastAsia="zh-CN"/>
              </w:rPr>
              <w:t>CI</w:t>
            </w:r>
          </w:p>
        </w:tc>
      </w:tr>
      <w:tr w:rsidR="00991E14" w:rsidRPr="00991E14" w14:paraId="5FA0BBE4" w14:textId="77777777" w:rsidTr="00D14C1C">
        <w:trPr>
          <w:trHeight w:val="225"/>
        </w:trPr>
        <w:tc>
          <w:tcPr>
            <w:tcW w:w="0" w:type="auto"/>
            <w:tcBorders>
              <w:top w:val="nil"/>
              <w:left w:val="nil"/>
              <w:bottom w:val="nil"/>
              <w:right w:val="nil"/>
            </w:tcBorders>
            <w:shd w:val="clear" w:color="auto" w:fill="auto"/>
            <w:noWrap/>
            <w:vAlign w:val="center"/>
            <w:hideMark/>
          </w:tcPr>
          <w:p w14:paraId="031238A6" w14:textId="77777777" w:rsidR="00991E14" w:rsidRPr="00991E14" w:rsidRDefault="00991E14" w:rsidP="00B707D2">
            <w:pPr>
              <w:spacing w:line="240" w:lineRule="auto"/>
              <w:rPr>
                <w:rFonts w:eastAsia="Times New Roman" w:cs="Times New Roman"/>
                <w:i/>
                <w:iCs/>
                <w:color w:val="000000"/>
                <w:sz w:val="16"/>
                <w:szCs w:val="16"/>
                <w:lang w:val="nl-NL" w:eastAsia="zh-CN"/>
              </w:rPr>
            </w:pPr>
            <w:r w:rsidRPr="00991E14">
              <w:rPr>
                <w:rFonts w:eastAsia="Times New Roman" w:cs="Times New Roman"/>
                <w:i/>
                <w:iCs/>
                <w:color w:val="000000"/>
                <w:sz w:val="16"/>
                <w:szCs w:val="16"/>
                <w:lang w:val="nl-NL" w:eastAsia="zh-CN"/>
              </w:rPr>
              <w:t>Control variables</w:t>
            </w:r>
          </w:p>
        </w:tc>
        <w:tc>
          <w:tcPr>
            <w:tcW w:w="0" w:type="auto"/>
            <w:tcBorders>
              <w:top w:val="nil"/>
              <w:left w:val="nil"/>
              <w:bottom w:val="nil"/>
              <w:right w:val="nil"/>
            </w:tcBorders>
            <w:shd w:val="clear" w:color="auto" w:fill="auto"/>
            <w:noWrap/>
            <w:vAlign w:val="center"/>
            <w:hideMark/>
          </w:tcPr>
          <w:p w14:paraId="6D13DED1" w14:textId="77777777" w:rsidR="00991E14" w:rsidRPr="00991E14" w:rsidRDefault="00991E14" w:rsidP="00B707D2">
            <w:pPr>
              <w:spacing w:line="240" w:lineRule="auto"/>
              <w:rPr>
                <w:rFonts w:eastAsia="Times New Roman" w:cs="Times New Roman"/>
                <w:i/>
                <w:iCs/>
                <w:color w:val="000000"/>
                <w:sz w:val="16"/>
                <w:szCs w:val="16"/>
                <w:lang w:val="nl-NL" w:eastAsia="zh-CN"/>
              </w:rPr>
            </w:pPr>
          </w:p>
        </w:tc>
        <w:tc>
          <w:tcPr>
            <w:tcW w:w="0" w:type="auto"/>
            <w:tcBorders>
              <w:top w:val="nil"/>
              <w:left w:val="nil"/>
              <w:bottom w:val="nil"/>
              <w:right w:val="nil"/>
            </w:tcBorders>
            <w:shd w:val="clear" w:color="auto" w:fill="auto"/>
            <w:noWrap/>
            <w:vAlign w:val="center"/>
            <w:hideMark/>
          </w:tcPr>
          <w:p w14:paraId="2E57F6B4"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7FA01042"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3A9CAF02"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27F2C375"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27413047"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0AE5E64B"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30C07E33"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63B631C8" w14:textId="77777777" w:rsidR="00991E14" w:rsidRPr="00991E14" w:rsidRDefault="00991E14" w:rsidP="00B707D2">
            <w:pPr>
              <w:spacing w:line="240" w:lineRule="auto"/>
              <w:jc w:val="center"/>
              <w:rPr>
                <w:rFonts w:eastAsia="Times New Roman" w:cs="Times New Roman"/>
                <w:sz w:val="20"/>
                <w:szCs w:val="20"/>
                <w:lang w:val="nl-NL" w:eastAsia="zh-CN"/>
              </w:rPr>
            </w:pPr>
          </w:p>
        </w:tc>
      </w:tr>
      <w:tr w:rsidR="00991E14" w:rsidRPr="00991E14" w14:paraId="260E0143" w14:textId="77777777" w:rsidTr="00D14C1C">
        <w:trPr>
          <w:trHeight w:val="225"/>
        </w:trPr>
        <w:tc>
          <w:tcPr>
            <w:tcW w:w="0" w:type="auto"/>
            <w:tcBorders>
              <w:top w:val="nil"/>
              <w:left w:val="nil"/>
              <w:bottom w:val="nil"/>
              <w:right w:val="nil"/>
            </w:tcBorders>
            <w:shd w:val="clear" w:color="auto" w:fill="auto"/>
            <w:noWrap/>
            <w:vAlign w:val="bottom"/>
            <w:hideMark/>
          </w:tcPr>
          <w:p w14:paraId="34550BCC" w14:textId="77777777"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proofErr w:type="spellStart"/>
            <w:r w:rsidRPr="00991E14">
              <w:rPr>
                <w:rFonts w:eastAsia="Times New Roman" w:cs="Times New Roman"/>
                <w:color w:val="000000"/>
                <w:sz w:val="16"/>
                <w:szCs w:val="16"/>
                <w:lang w:val="nl-NL" w:eastAsia="zh-CN"/>
              </w:rPr>
              <w:t>Choice</w:t>
            </w:r>
            <w:proofErr w:type="spellEnd"/>
            <w:r w:rsidRPr="00991E14">
              <w:rPr>
                <w:rFonts w:eastAsia="Times New Roman" w:cs="Times New Roman"/>
                <w:color w:val="000000"/>
                <w:sz w:val="16"/>
                <w:szCs w:val="16"/>
                <w:lang w:val="nl-NL" w:eastAsia="zh-CN"/>
              </w:rPr>
              <w:t xml:space="preserve"> type</w:t>
            </w:r>
          </w:p>
        </w:tc>
        <w:tc>
          <w:tcPr>
            <w:tcW w:w="0" w:type="auto"/>
            <w:tcBorders>
              <w:top w:val="nil"/>
              <w:left w:val="nil"/>
              <w:bottom w:val="nil"/>
              <w:right w:val="nil"/>
            </w:tcBorders>
            <w:shd w:val="clear" w:color="auto" w:fill="auto"/>
            <w:noWrap/>
            <w:vAlign w:val="center"/>
            <w:hideMark/>
          </w:tcPr>
          <w:p w14:paraId="3DB24F27"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0.090*</w:t>
            </w:r>
          </w:p>
        </w:tc>
        <w:tc>
          <w:tcPr>
            <w:tcW w:w="0" w:type="auto"/>
            <w:tcBorders>
              <w:top w:val="nil"/>
              <w:left w:val="nil"/>
              <w:bottom w:val="nil"/>
              <w:right w:val="nil"/>
            </w:tcBorders>
            <w:shd w:val="clear" w:color="auto" w:fill="auto"/>
            <w:noWrap/>
            <w:vAlign w:val="center"/>
            <w:hideMark/>
          </w:tcPr>
          <w:p w14:paraId="7C934DED"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0.039</w:t>
            </w:r>
          </w:p>
        </w:tc>
        <w:tc>
          <w:tcPr>
            <w:tcW w:w="0" w:type="auto"/>
            <w:tcBorders>
              <w:top w:val="nil"/>
              <w:left w:val="nil"/>
              <w:bottom w:val="nil"/>
              <w:right w:val="nil"/>
            </w:tcBorders>
            <w:shd w:val="clear" w:color="auto" w:fill="auto"/>
            <w:noWrap/>
            <w:vAlign w:val="center"/>
            <w:hideMark/>
          </w:tcPr>
          <w:p w14:paraId="3A21773B"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[0.013, 0.168]</w:t>
            </w:r>
          </w:p>
        </w:tc>
        <w:tc>
          <w:tcPr>
            <w:tcW w:w="0" w:type="auto"/>
            <w:tcBorders>
              <w:top w:val="nil"/>
              <w:left w:val="nil"/>
              <w:bottom w:val="nil"/>
              <w:right w:val="nil"/>
            </w:tcBorders>
            <w:shd w:val="clear" w:color="auto" w:fill="auto"/>
            <w:noWrap/>
            <w:vAlign w:val="center"/>
            <w:hideMark/>
          </w:tcPr>
          <w:p w14:paraId="30E7EF45"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0.124*</w:t>
            </w:r>
          </w:p>
        </w:tc>
        <w:tc>
          <w:tcPr>
            <w:tcW w:w="0" w:type="auto"/>
            <w:tcBorders>
              <w:top w:val="nil"/>
              <w:left w:val="nil"/>
              <w:bottom w:val="nil"/>
              <w:right w:val="nil"/>
            </w:tcBorders>
            <w:shd w:val="clear" w:color="auto" w:fill="auto"/>
            <w:noWrap/>
            <w:vAlign w:val="center"/>
            <w:hideMark/>
          </w:tcPr>
          <w:p w14:paraId="4CD305EE"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0.040</w:t>
            </w:r>
          </w:p>
        </w:tc>
        <w:tc>
          <w:tcPr>
            <w:tcW w:w="0" w:type="auto"/>
            <w:tcBorders>
              <w:top w:val="nil"/>
              <w:left w:val="nil"/>
              <w:bottom w:val="nil"/>
              <w:right w:val="nil"/>
            </w:tcBorders>
            <w:shd w:val="clear" w:color="auto" w:fill="auto"/>
            <w:noWrap/>
            <w:vAlign w:val="center"/>
            <w:hideMark/>
          </w:tcPr>
          <w:p w14:paraId="56974976"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[0.045, 0.203]</w:t>
            </w:r>
          </w:p>
        </w:tc>
        <w:tc>
          <w:tcPr>
            <w:tcW w:w="0" w:type="auto"/>
            <w:tcBorders>
              <w:top w:val="nil"/>
              <w:left w:val="nil"/>
              <w:bottom w:val="nil"/>
              <w:right w:val="nil"/>
            </w:tcBorders>
            <w:shd w:val="clear" w:color="auto" w:fill="auto"/>
            <w:noWrap/>
            <w:vAlign w:val="center"/>
            <w:hideMark/>
          </w:tcPr>
          <w:p w14:paraId="04EA1115"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0.111*</w:t>
            </w:r>
          </w:p>
        </w:tc>
        <w:tc>
          <w:tcPr>
            <w:tcW w:w="0" w:type="auto"/>
            <w:tcBorders>
              <w:top w:val="nil"/>
              <w:left w:val="nil"/>
              <w:bottom w:val="nil"/>
              <w:right w:val="nil"/>
            </w:tcBorders>
            <w:shd w:val="clear" w:color="auto" w:fill="auto"/>
            <w:noWrap/>
            <w:vAlign w:val="center"/>
            <w:hideMark/>
          </w:tcPr>
          <w:p w14:paraId="229E049C"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0.040</w:t>
            </w:r>
          </w:p>
        </w:tc>
        <w:tc>
          <w:tcPr>
            <w:tcW w:w="0" w:type="auto"/>
            <w:tcBorders>
              <w:top w:val="nil"/>
              <w:left w:val="nil"/>
              <w:bottom w:val="nil"/>
              <w:right w:val="nil"/>
            </w:tcBorders>
            <w:shd w:val="clear" w:color="auto" w:fill="auto"/>
            <w:noWrap/>
            <w:vAlign w:val="center"/>
            <w:hideMark/>
          </w:tcPr>
          <w:p w14:paraId="23238E12"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[0.032, 0.190]</w:t>
            </w:r>
          </w:p>
        </w:tc>
      </w:tr>
      <w:tr w:rsidR="00991E14" w:rsidRPr="00991E14" w14:paraId="71E01644" w14:textId="77777777" w:rsidTr="00D14C1C">
        <w:trPr>
          <w:trHeight w:val="225"/>
        </w:trPr>
        <w:tc>
          <w:tcPr>
            <w:tcW w:w="0" w:type="auto"/>
            <w:tcBorders>
              <w:top w:val="nil"/>
              <w:left w:val="nil"/>
              <w:bottom w:val="nil"/>
              <w:right w:val="nil"/>
            </w:tcBorders>
            <w:shd w:val="clear" w:color="auto" w:fill="auto"/>
            <w:noWrap/>
            <w:vAlign w:val="bottom"/>
            <w:hideMark/>
          </w:tcPr>
          <w:p w14:paraId="02532E14" w14:textId="77777777"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proofErr w:type="spellStart"/>
            <w:r w:rsidRPr="00991E14">
              <w:rPr>
                <w:rFonts w:eastAsia="Times New Roman" w:cs="Times New Roman"/>
                <w:color w:val="000000"/>
                <w:sz w:val="16"/>
                <w:szCs w:val="16"/>
                <w:lang w:val="nl-NL" w:eastAsia="zh-CN"/>
              </w:rPr>
              <w:t>Experimental</w:t>
            </w:r>
            <w:proofErr w:type="spellEnd"/>
            <w:r w:rsidRPr="00991E14">
              <w:rPr>
                <w:rFonts w:eastAsia="Times New Roman" w:cs="Times New Roman"/>
                <w:color w:val="000000"/>
                <w:sz w:val="16"/>
                <w:szCs w:val="16"/>
                <w:lang w:val="nl-NL" w:eastAsia="zh-CN"/>
              </w:rPr>
              <w:t xml:space="preserve"> setting-online</w:t>
            </w:r>
          </w:p>
        </w:tc>
        <w:tc>
          <w:tcPr>
            <w:tcW w:w="0" w:type="auto"/>
            <w:tcBorders>
              <w:top w:val="nil"/>
              <w:left w:val="nil"/>
              <w:bottom w:val="nil"/>
              <w:right w:val="nil"/>
            </w:tcBorders>
            <w:shd w:val="clear" w:color="auto" w:fill="auto"/>
            <w:noWrap/>
            <w:vAlign w:val="center"/>
            <w:hideMark/>
          </w:tcPr>
          <w:p w14:paraId="4C1B545C"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0.094</w:t>
            </w:r>
          </w:p>
        </w:tc>
        <w:tc>
          <w:tcPr>
            <w:tcW w:w="0" w:type="auto"/>
            <w:tcBorders>
              <w:top w:val="nil"/>
              <w:left w:val="nil"/>
              <w:bottom w:val="nil"/>
              <w:right w:val="nil"/>
            </w:tcBorders>
            <w:shd w:val="clear" w:color="auto" w:fill="auto"/>
            <w:noWrap/>
            <w:vAlign w:val="center"/>
            <w:hideMark/>
          </w:tcPr>
          <w:p w14:paraId="4F8035E0"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0.078</w:t>
            </w:r>
          </w:p>
        </w:tc>
        <w:tc>
          <w:tcPr>
            <w:tcW w:w="0" w:type="auto"/>
            <w:tcBorders>
              <w:top w:val="nil"/>
              <w:left w:val="nil"/>
              <w:bottom w:val="nil"/>
              <w:right w:val="nil"/>
            </w:tcBorders>
            <w:shd w:val="clear" w:color="auto" w:fill="auto"/>
            <w:noWrap/>
            <w:vAlign w:val="center"/>
            <w:hideMark/>
          </w:tcPr>
          <w:p w14:paraId="049FA4CD"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[–0.059, 0.247]</w:t>
            </w:r>
          </w:p>
        </w:tc>
        <w:tc>
          <w:tcPr>
            <w:tcW w:w="0" w:type="auto"/>
            <w:tcBorders>
              <w:top w:val="nil"/>
              <w:left w:val="nil"/>
              <w:bottom w:val="nil"/>
              <w:right w:val="nil"/>
            </w:tcBorders>
            <w:shd w:val="clear" w:color="auto" w:fill="auto"/>
            <w:noWrap/>
            <w:vAlign w:val="center"/>
            <w:hideMark/>
          </w:tcPr>
          <w:p w14:paraId="7B81F874"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0.113</w:t>
            </w:r>
          </w:p>
        </w:tc>
        <w:tc>
          <w:tcPr>
            <w:tcW w:w="0" w:type="auto"/>
            <w:tcBorders>
              <w:top w:val="nil"/>
              <w:left w:val="nil"/>
              <w:bottom w:val="nil"/>
              <w:right w:val="nil"/>
            </w:tcBorders>
            <w:shd w:val="clear" w:color="auto" w:fill="auto"/>
            <w:noWrap/>
            <w:vAlign w:val="center"/>
            <w:hideMark/>
          </w:tcPr>
          <w:p w14:paraId="44256BE2"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0.084</w:t>
            </w:r>
          </w:p>
        </w:tc>
        <w:tc>
          <w:tcPr>
            <w:tcW w:w="0" w:type="auto"/>
            <w:tcBorders>
              <w:top w:val="nil"/>
              <w:left w:val="nil"/>
              <w:bottom w:val="nil"/>
              <w:right w:val="nil"/>
            </w:tcBorders>
            <w:shd w:val="clear" w:color="auto" w:fill="auto"/>
            <w:noWrap/>
            <w:vAlign w:val="center"/>
            <w:hideMark/>
          </w:tcPr>
          <w:p w14:paraId="6AA88CC0"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[–0.051, 0.277]</w:t>
            </w:r>
          </w:p>
        </w:tc>
        <w:tc>
          <w:tcPr>
            <w:tcW w:w="0" w:type="auto"/>
            <w:tcBorders>
              <w:top w:val="nil"/>
              <w:left w:val="nil"/>
              <w:bottom w:val="nil"/>
              <w:right w:val="nil"/>
            </w:tcBorders>
            <w:shd w:val="clear" w:color="auto" w:fill="auto"/>
            <w:noWrap/>
            <w:vAlign w:val="center"/>
            <w:hideMark/>
          </w:tcPr>
          <w:p w14:paraId="5F2C7ECF"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0.135</w:t>
            </w:r>
          </w:p>
        </w:tc>
        <w:tc>
          <w:tcPr>
            <w:tcW w:w="0" w:type="auto"/>
            <w:tcBorders>
              <w:top w:val="nil"/>
              <w:left w:val="nil"/>
              <w:bottom w:val="nil"/>
              <w:right w:val="nil"/>
            </w:tcBorders>
            <w:shd w:val="clear" w:color="auto" w:fill="auto"/>
            <w:noWrap/>
            <w:vAlign w:val="center"/>
            <w:hideMark/>
          </w:tcPr>
          <w:p w14:paraId="4909BBF7"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0.083</w:t>
            </w:r>
          </w:p>
        </w:tc>
        <w:tc>
          <w:tcPr>
            <w:tcW w:w="0" w:type="auto"/>
            <w:tcBorders>
              <w:top w:val="nil"/>
              <w:left w:val="nil"/>
              <w:bottom w:val="nil"/>
              <w:right w:val="nil"/>
            </w:tcBorders>
            <w:shd w:val="clear" w:color="auto" w:fill="auto"/>
            <w:noWrap/>
            <w:vAlign w:val="center"/>
            <w:hideMark/>
          </w:tcPr>
          <w:p w14:paraId="157CDABC"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[–0.028, 0.298]</w:t>
            </w:r>
          </w:p>
        </w:tc>
      </w:tr>
      <w:tr w:rsidR="00991E14" w:rsidRPr="00991E14" w14:paraId="60645F07" w14:textId="77777777" w:rsidTr="00D14C1C">
        <w:trPr>
          <w:trHeight w:val="225"/>
        </w:trPr>
        <w:tc>
          <w:tcPr>
            <w:tcW w:w="0" w:type="auto"/>
            <w:tcBorders>
              <w:top w:val="nil"/>
              <w:left w:val="nil"/>
              <w:bottom w:val="nil"/>
              <w:right w:val="nil"/>
            </w:tcBorders>
            <w:shd w:val="clear" w:color="auto" w:fill="auto"/>
            <w:noWrap/>
            <w:vAlign w:val="bottom"/>
            <w:hideMark/>
          </w:tcPr>
          <w:p w14:paraId="3CC322D8" w14:textId="77777777"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proofErr w:type="spellStart"/>
            <w:r w:rsidRPr="00991E14">
              <w:rPr>
                <w:rFonts w:eastAsia="Times New Roman" w:cs="Times New Roman"/>
                <w:color w:val="000000"/>
                <w:sz w:val="16"/>
                <w:szCs w:val="16"/>
                <w:lang w:val="nl-NL" w:eastAsia="zh-CN"/>
              </w:rPr>
              <w:t>Experimental</w:t>
            </w:r>
            <w:proofErr w:type="spellEnd"/>
            <w:r w:rsidRPr="00991E14">
              <w:rPr>
                <w:rFonts w:eastAsia="Times New Roman" w:cs="Times New Roman"/>
                <w:color w:val="000000"/>
                <w:sz w:val="16"/>
                <w:szCs w:val="16"/>
                <w:lang w:val="nl-NL" w:eastAsia="zh-CN"/>
              </w:rPr>
              <w:t xml:space="preserve"> setting-</w:t>
            </w:r>
            <w:proofErr w:type="spellStart"/>
            <w:r w:rsidRPr="00991E14">
              <w:rPr>
                <w:rFonts w:eastAsia="Times New Roman" w:cs="Times New Roman"/>
                <w:color w:val="000000"/>
                <w:sz w:val="16"/>
                <w:szCs w:val="16"/>
                <w:lang w:val="nl-NL" w:eastAsia="zh-CN"/>
              </w:rPr>
              <w:t>other</w:t>
            </w:r>
            <w:proofErr w:type="spellEnd"/>
          </w:p>
        </w:tc>
        <w:tc>
          <w:tcPr>
            <w:tcW w:w="0" w:type="auto"/>
            <w:tcBorders>
              <w:top w:val="nil"/>
              <w:left w:val="nil"/>
              <w:bottom w:val="nil"/>
              <w:right w:val="nil"/>
            </w:tcBorders>
            <w:shd w:val="clear" w:color="auto" w:fill="auto"/>
            <w:noWrap/>
            <w:vAlign w:val="center"/>
            <w:hideMark/>
          </w:tcPr>
          <w:p w14:paraId="251C80ED"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0.054</w:t>
            </w:r>
          </w:p>
        </w:tc>
        <w:tc>
          <w:tcPr>
            <w:tcW w:w="0" w:type="auto"/>
            <w:tcBorders>
              <w:top w:val="nil"/>
              <w:left w:val="nil"/>
              <w:bottom w:val="nil"/>
              <w:right w:val="nil"/>
            </w:tcBorders>
            <w:shd w:val="clear" w:color="auto" w:fill="auto"/>
            <w:noWrap/>
            <w:vAlign w:val="center"/>
            <w:hideMark/>
          </w:tcPr>
          <w:p w14:paraId="518AD060"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0.068</w:t>
            </w:r>
          </w:p>
        </w:tc>
        <w:tc>
          <w:tcPr>
            <w:tcW w:w="0" w:type="auto"/>
            <w:tcBorders>
              <w:top w:val="nil"/>
              <w:left w:val="nil"/>
              <w:bottom w:val="nil"/>
              <w:right w:val="nil"/>
            </w:tcBorders>
            <w:shd w:val="clear" w:color="auto" w:fill="auto"/>
            <w:noWrap/>
            <w:vAlign w:val="center"/>
            <w:hideMark/>
          </w:tcPr>
          <w:p w14:paraId="5568C944"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[–0.081, 0.188]</w:t>
            </w:r>
          </w:p>
        </w:tc>
        <w:tc>
          <w:tcPr>
            <w:tcW w:w="0" w:type="auto"/>
            <w:tcBorders>
              <w:top w:val="nil"/>
              <w:left w:val="nil"/>
              <w:bottom w:val="nil"/>
              <w:right w:val="nil"/>
            </w:tcBorders>
            <w:shd w:val="clear" w:color="auto" w:fill="auto"/>
            <w:noWrap/>
            <w:vAlign w:val="center"/>
            <w:hideMark/>
          </w:tcPr>
          <w:p w14:paraId="2FFE201A"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0.101</w:t>
            </w:r>
          </w:p>
        </w:tc>
        <w:tc>
          <w:tcPr>
            <w:tcW w:w="0" w:type="auto"/>
            <w:tcBorders>
              <w:top w:val="nil"/>
              <w:left w:val="nil"/>
              <w:bottom w:val="nil"/>
              <w:right w:val="nil"/>
            </w:tcBorders>
            <w:shd w:val="clear" w:color="auto" w:fill="auto"/>
            <w:noWrap/>
            <w:vAlign w:val="center"/>
            <w:hideMark/>
          </w:tcPr>
          <w:p w14:paraId="43225C96"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0.074</w:t>
            </w:r>
          </w:p>
        </w:tc>
        <w:tc>
          <w:tcPr>
            <w:tcW w:w="0" w:type="auto"/>
            <w:tcBorders>
              <w:top w:val="nil"/>
              <w:left w:val="nil"/>
              <w:bottom w:val="nil"/>
              <w:right w:val="nil"/>
            </w:tcBorders>
            <w:shd w:val="clear" w:color="auto" w:fill="auto"/>
            <w:noWrap/>
            <w:vAlign w:val="center"/>
            <w:hideMark/>
          </w:tcPr>
          <w:p w14:paraId="1846C9DA"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[–0.045, 0.247]</w:t>
            </w:r>
          </w:p>
        </w:tc>
        <w:tc>
          <w:tcPr>
            <w:tcW w:w="0" w:type="auto"/>
            <w:tcBorders>
              <w:top w:val="nil"/>
              <w:left w:val="nil"/>
              <w:bottom w:val="nil"/>
              <w:right w:val="nil"/>
            </w:tcBorders>
            <w:shd w:val="clear" w:color="auto" w:fill="auto"/>
            <w:noWrap/>
            <w:vAlign w:val="center"/>
            <w:hideMark/>
          </w:tcPr>
          <w:p w14:paraId="6EBA5E20"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0.103</w:t>
            </w:r>
          </w:p>
        </w:tc>
        <w:tc>
          <w:tcPr>
            <w:tcW w:w="0" w:type="auto"/>
            <w:tcBorders>
              <w:top w:val="nil"/>
              <w:left w:val="nil"/>
              <w:bottom w:val="nil"/>
              <w:right w:val="nil"/>
            </w:tcBorders>
            <w:shd w:val="clear" w:color="auto" w:fill="auto"/>
            <w:noWrap/>
            <w:vAlign w:val="center"/>
            <w:hideMark/>
          </w:tcPr>
          <w:p w14:paraId="7EB9D8B9"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0.074</w:t>
            </w:r>
          </w:p>
        </w:tc>
        <w:tc>
          <w:tcPr>
            <w:tcW w:w="0" w:type="auto"/>
            <w:tcBorders>
              <w:top w:val="nil"/>
              <w:left w:val="nil"/>
              <w:bottom w:val="nil"/>
              <w:right w:val="nil"/>
            </w:tcBorders>
            <w:shd w:val="clear" w:color="auto" w:fill="auto"/>
            <w:noWrap/>
            <w:vAlign w:val="center"/>
            <w:hideMark/>
          </w:tcPr>
          <w:p w14:paraId="3ABC2F03"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[–0.042, 0.248]</w:t>
            </w:r>
          </w:p>
        </w:tc>
      </w:tr>
      <w:tr w:rsidR="00991E14" w:rsidRPr="00991E14" w14:paraId="4835AAF1" w14:textId="77777777" w:rsidTr="00D14C1C">
        <w:trPr>
          <w:trHeight w:val="225"/>
        </w:trPr>
        <w:tc>
          <w:tcPr>
            <w:tcW w:w="0" w:type="auto"/>
            <w:tcBorders>
              <w:top w:val="nil"/>
              <w:left w:val="nil"/>
              <w:bottom w:val="nil"/>
              <w:right w:val="nil"/>
            </w:tcBorders>
            <w:shd w:val="clear" w:color="auto" w:fill="auto"/>
            <w:noWrap/>
            <w:vAlign w:val="bottom"/>
            <w:hideMark/>
          </w:tcPr>
          <w:p w14:paraId="059E80B0" w14:textId="4A8B858D"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proofErr w:type="spellStart"/>
            <w:r w:rsidRPr="00991E14">
              <w:rPr>
                <w:rFonts w:eastAsia="Times New Roman" w:cs="Times New Roman"/>
                <w:color w:val="000000"/>
                <w:sz w:val="16"/>
                <w:szCs w:val="16"/>
                <w:lang w:val="nl-NL" w:eastAsia="zh-CN"/>
              </w:rPr>
              <w:t>Publi</w:t>
            </w:r>
            <w:r w:rsidR="008E740D">
              <w:rPr>
                <w:rFonts w:eastAsia="Times New Roman" w:cs="Times New Roman"/>
                <w:color w:val="000000"/>
                <w:sz w:val="16"/>
                <w:szCs w:val="16"/>
                <w:lang w:val="nl-NL" w:eastAsia="zh-CN"/>
              </w:rPr>
              <w:t>cation</w:t>
            </w:r>
            <w:proofErr w:type="spellEnd"/>
            <w:r w:rsidR="008E740D">
              <w:rPr>
                <w:rFonts w:eastAsia="Times New Roman" w:cs="Times New Roman"/>
                <w:color w:val="000000"/>
                <w:sz w:val="16"/>
                <w:szCs w:val="16"/>
                <w:lang w:val="nl-NL" w:eastAsia="zh-CN"/>
              </w:rPr>
              <w:t xml:space="preserve"> status</w:t>
            </w:r>
            <w:r w:rsidRPr="00991E14">
              <w:rPr>
                <w:rFonts w:eastAsia="Times New Roman" w:cs="Times New Roman"/>
                <w:color w:val="000000"/>
                <w:sz w:val="16"/>
                <w:szCs w:val="16"/>
                <w:lang w:val="nl-NL" w:eastAsia="zh-CN"/>
              </w:rPr>
              <w:t>-yes</w:t>
            </w:r>
          </w:p>
        </w:tc>
        <w:tc>
          <w:tcPr>
            <w:tcW w:w="0" w:type="auto"/>
            <w:tcBorders>
              <w:top w:val="nil"/>
              <w:left w:val="nil"/>
              <w:bottom w:val="nil"/>
              <w:right w:val="nil"/>
            </w:tcBorders>
            <w:shd w:val="clear" w:color="auto" w:fill="auto"/>
            <w:noWrap/>
            <w:vAlign w:val="center"/>
            <w:hideMark/>
          </w:tcPr>
          <w:p w14:paraId="2CBB9E0E"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–0.067</w:t>
            </w:r>
          </w:p>
        </w:tc>
        <w:tc>
          <w:tcPr>
            <w:tcW w:w="0" w:type="auto"/>
            <w:tcBorders>
              <w:top w:val="nil"/>
              <w:left w:val="nil"/>
              <w:bottom w:val="nil"/>
              <w:right w:val="nil"/>
            </w:tcBorders>
            <w:shd w:val="clear" w:color="auto" w:fill="auto"/>
            <w:noWrap/>
            <w:vAlign w:val="center"/>
            <w:hideMark/>
          </w:tcPr>
          <w:p w14:paraId="34AB48D1"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0.071</w:t>
            </w:r>
          </w:p>
        </w:tc>
        <w:tc>
          <w:tcPr>
            <w:tcW w:w="0" w:type="auto"/>
            <w:tcBorders>
              <w:top w:val="nil"/>
              <w:left w:val="nil"/>
              <w:bottom w:val="nil"/>
              <w:right w:val="nil"/>
            </w:tcBorders>
            <w:shd w:val="clear" w:color="auto" w:fill="auto"/>
            <w:noWrap/>
            <w:vAlign w:val="center"/>
            <w:hideMark/>
          </w:tcPr>
          <w:p w14:paraId="2A154994"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[–0.206, 0.071]</w:t>
            </w:r>
          </w:p>
        </w:tc>
        <w:tc>
          <w:tcPr>
            <w:tcW w:w="0" w:type="auto"/>
            <w:tcBorders>
              <w:top w:val="nil"/>
              <w:left w:val="nil"/>
              <w:bottom w:val="nil"/>
              <w:right w:val="nil"/>
            </w:tcBorders>
            <w:shd w:val="clear" w:color="auto" w:fill="auto"/>
            <w:noWrap/>
            <w:vAlign w:val="center"/>
            <w:hideMark/>
          </w:tcPr>
          <w:p w14:paraId="0DB46977"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–0.054</w:t>
            </w:r>
          </w:p>
        </w:tc>
        <w:tc>
          <w:tcPr>
            <w:tcW w:w="0" w:type="auto"/>
            <w:tcBorders>
              <w:top w:val="nil"/>
              <w:left w:val="nil"/>
              <w:bottom w:val="nil"/>
              <w:right w:val="nil"/>
            </w:tcBorders>
            <w:shd w:val="clear" w:color="auto" w:fill="auto"/>
            <w:noWrap/>
            <w:vAlign w:val="center"/>
            <w:hideMark/>
          </w:tcPr>
          <w:p w14:paraId="5D3EC4A2"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0.071</w:t>
            </w:r>
          </w:p>
        </w:tc>
        <w:tc>
          <w:tcPr>
            <w:tcW w:w="0" w:type="auto"/>
            <w:tcBorders>
              <w:top w:val="nil"/>
              <w:left w:val="nil"/>
              <w:bottom w:val="nil"/>
              <w:right w:val="nil"/>
            </w:tcBorders>
            <w:shd w:val="clear" w:color="auto" w:fill="auto"/>
            <w:noWrap/>
            <w:vAlign w:val="center"/>
            <w:hideMark/>
          </w:tcPr>
          <w:p w14:paraId="4C0A62DA"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[–0.193, 0.085]</w:t>
            </w:r>
          </w:p>
        </w:tc>
        <w:tc>
          <w:tcPr>
            <w:tcW w:w="0" w:type="auto"/>
            <w:tcBorders>
              <w:top w:val="nil"/>
              <w:left w:val="nil"/>
              <w:bottom w:val="nil"/>
              <w:right w:val="nil"/>
            </w:tcBorders>
            <w:shd w:val="clear" w:color="auto" w:fill="auto"/>
            <w:noWrap/>
            <w:vAlign w:val="center"/>
            <w:hideMark/>
          </w:tcPr>
          <w:p w14:paraId="457F2388"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–0.047</w:t>
            </w:r>
          </w:p>
        </w:tc>
        <w:tc>
          <w:tcPr>
            <w:tcW w:w="0" w:type="auto"/>
            <w:tcBorders>
              <w:top w:val="nil"/>
              <w:left w:val="nil"/>
              <w:bottom w:val="nil"/>
              <w:right w:val="nil"/>
            </w:tcBorders>
            <w:shd w:val="clear" w:color="auto" w:fill="auto"/>
            <w:noWrap/>
            <w:vAlign w:val="center"/>
            <w:hideMark/>
          </w:tcPr>
          <w:p w14:paraId="3982E62F"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0.07</w:t>
            </w:r>
          </w:p>
        </w:tc>
        <w:tc>
          <w:tcPr>
            <w:tcW w:w="0" w:type="auto"/>
            <w:tcBorders>
              <w:top w:val="nil"/>
              <w:left w:val="nil"/>
              <w:bottom w:val="nil"/>
              <w:right w:val="nil"/>
            </w:tcBorders>
            <w:shd w:val="clear" w:color="auto" w:fill="auto"/>
            <w:noWrap/>
            <w:vAlign w:val="center"/>
            <w:hideMark/>
          </w:tcPr>
          <w:p w14:paraId="6DC56161"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[–0.185, 0.091]</w:t>
            </w:r>
          </w:p>
        </w:tc>
      </w:tr>
      <w:tr w:rsidR="00991E14" w:rsidRPr="00991E14" w14:paraId="7CC70FDA" w14:textId="77777777" w:rsidTr="00D14C1C">
        <w:trPr>
          <w:trHeight w:val="225"/>
        </w:trPr>
        <w:tc>
          <w:tcPr>
            <w:tcW w:w="0" w:type="auto"/>
            <w:tcBorders>
              <w:top w:val="nil"/>
              <w:left w:val="nil"/>
              <w:bottom w:val="nil"/>
              <w:right w:val="nil"/>
            </w:tcBorders>
            <w:shd w:val="clear" w:color="auto" w:fill="auto"/>
            <w:noWrap/>
            <w:vAlign w:val="bottom"/>
            <w:hideMark/>
          </w:tcPr>
          <w:p w14:paraId="4DEBBE2F" w14:textId="77777777"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Trial of cooperation-first</w:t>
            </w:r>
          </w:p>
        </w:tc>
        <w:tc>
          <w:tcPr>
            <w:tcW w:w="0" w:type="auto"/>
            <w:tcBorders>
              <w:top w:val="nil"/>
              <w:left w:val="nil"/>
              <w:bottom w:val="nil"/>
              <w:right w:val="nil"/>
            </w:tcBorders>
            <w:shd w:val="clear" w:color="auto" w:fill="auto"/>
            <w:noWrap/>
            <w:vAlign w:val="center"/>
            <w:hideMark/>
          </w:tcPr>
          <w:p w14:paraId="67EBFAB9"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0.086</w:t>
            </w:r>
          </w:p>
        </w:tc>
        <w:tc>
          <w:tcPr>
            <w:tcW w:w="0" w:type="auto"/>
            <w:tcBorders>
              <w:top w:val="nil"/>
              <w:left w:val="nil"/>
              <w:bottom w:val="nil"/>
              <w:right w:val="nil"/>
            </w:tcBorders>
            <w:shd w:val="clear" w:color="auto" w:fill="auto"/>
            <w:noWrap/>
            <w:vAlign w:val="center"/>
            <w:hideMark/>
          </w:tcPr>
          <w:p w14:paraId="62FE6964"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0.113</w:t>
            </w:r>
          </w:p>
        </w:tc>
        <w:tc>
          <w:tcPr>
            <w:tcW w:w="0" w:type="auto"/>
            <w:tcBorders>
              <w:top w:val="nil"/>
              <w:left w:val="nil"/>
              <w:bottom w:val="nil"/>
              <w:right w:val="nil"/>
            </w:tcBorders>
            <w:shd w:val="clear" w:color="auto" w:fill="auto"/>
            <w:noWrap/>
            <w:vAlign w:val="center"/>
            <w:hideMark/>
          </w:tcPr>
          <w:p w14:paraId="551E0788"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[–0.135, 0.307]</w:t>
            </w:r>
          </w:p>
        </w:tc>
        <w:tc>
          <w:tcPr>
            <w:tcW w:w="0" w:type="auto"/>
            <w:tcBorders>
              <w:top w:val="nil"/>
              <w:left w:val="nil"/>
              <w:bottom w:val="nil"/>
              <w:right w:val="nil"/>
            </w:tcBorders>
            <w:shd w:val="clear" w:color="auto" w:fill="auto"/>
            <w:noWrap/>
            <w:vAlign w:val="center"/>
            <w:hideMark/>
          </w:tcPr>
          <w:p w14:paraId="7C13BCF3"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0.094</w:t>
            </w:r>
          </w:p>
        </w:tc>
        <w:tc>
          <w:tcPr>
            <w:tcW w:w="0" w:type="auto"/>
            <w:tcBorders>
              <w:top w:val="nil"/>
              <w:left w:val="nil"/>
              <w:bottom w:val="nil"/>
              <w:right w:val="nil"/>
            </w:tcBorders>
            <w:shd w:val="clear" w:color="auto" w:fill="auto"/>
            <w:noWrap/>
            <w:vAlign w:val="center"/>
            <w:hideMark/>
          </w:tcPr>
          <w:p w14:paraId="1C44C099"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0.112</w:t>
            </w:r>
          </w:p>
        </w:tc>
        <w:tc>
          <w:tcPr>
            <w:tcW w:w="0" w:type="auto"/>
            <w:tcBorders>
              <w:top w:val="nil"/>
              <w:left w:val="nil"/>
              <w:bottom w:val="nil"/>
              <w:right w:val="nil"/>
            </w:tcBorders>
            <w:shd w:val="clear" w:color="auto" w:fill="auto"/>
            <w:noWrap/>
            <w:vAlign w:val="center"/>
            <w:hideMark/>
          </w:tcPr>
          <w:p w14:paraId="149D6D0D"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[–0.127, 0.314]</w:t>
            </w:r>
          </w:p>
        </w:tc>
        <w:tc>
          <w:tcPr>
            <w:tcW w:w="0" w:type="auto"/>
            <w:tcBorders>
              <w:top w:val="nil"/>
              <w:left w:val="nil"/>
              <w:bottom w:val="nil"/>
              <w:right w:val="nil"/>
            </w:tcBorders>
            <w:shd w:val="clear" w:color="auto" w:fill="auto"/>
            <w:noWrap/>
            <w:vAlign w:val="center"/>
            <w:hideMark/>
          </w:tcPr>
          <w:p w14:paraId="766D396D"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0.110</w:t>
            </w:r>
          </w:p>
        </w:tc>
        <w:tc>
          <w:tcPr>
            <w:tcW w:w="0" w:type="auto"/>
            <w:tcBorders>
              <w:top w:val="nil"/>
              <w:left w:val="nil"/>
              <w:bottom w:val="nil"/>
              <w:right w:val="nil"/>
            </w:tcBorders>
            <w:shd w:val="clear" w:color="auto" w:fill="auto"/>
            <w:noWrap/>
            <w:vAlign w:val="center"/>
            <w:hideMark/>
          </w:tcPr>
          <w:p w14:paraId="57410328"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0.112</w:t>
            </w:r>
          </w:p>
        </w:tc>
        <w:tc>
          <w:tcPr>
            <w:tcW w:w="0" w:type="auto"/>
            <w:tcBorders>
              <w:top w:val="nil"/>
              <w:left w:val="nil"/>
              <w:bottom w:val="nil"/>
              <w:right w:val="nil"/>
            </w:tcBorders>
            <w:shd w:val="clear" w:color="auto" w:fill="auto"/>
            <w:noWrap/>
            <w:vAlign w:val="center"/>
            <w:hideMark/>
          </w:tcPr>
          <w:p w14:paraId="7422F968"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[–0.109, 0.329]</w:t>
            </w:r>
          </w:p>
        </w:tc>
      </w:tr>
      <w:tr w:rsidR="00991E14" w:rsidRPr="00991E14" w14:paraId="2F3C75FA" w14:textId="77777777" w:rsidTr="00D14C1C">
        <w:trPr>
          <w:trHeight w:val="225"/>
        </w:trPr>
        <w:tc>
          <w:tcPr>
            <w:tcW w:w="0" w:type="auto"/>
            <w:tcBorders>
              <w:top w:val="nil"/>
              <w:left w:val="nil"/>
              <w:bottom w:val="nil"/>
              <w:right w:val="nil"/>
            </w:tcBorders>
            <w:shd w:val="clear" w:color="auto" w:fill="auto"/>
            <w:noWrap/>
            <w:vAlign w:val="bottom"/>
            <w:hideMark/>
          </w:tcPr>
          <w:p w14:paraId="7BB80ECF" w14:textId="77777777"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proofErr w:type="spellStart"/>
            <w:r w:rsidRPr="00991E14">
              <w:rPr>
                <w:rFonts w:eastAsia="Times New Roman" w:cs="Times New Roman"/>
                <w:color w:val="000000"/>
                <w:sz w:val="16"/>
                <w:szCs w:val="16"/>
                <w:lang w:val="nl-NL" w:eastAsia="zh-CN"/>
              </w:rPr>
              <w:t>Year</w:t>
            </w:r>
            <w:proofErr w:type="spellEnd"/>
            <w:r w:rsidRPr="00991E14">
              <w:rPr>
                <w:rFonts w:eastAsia="Times New Roman" w:cs="Times New Roman"/>
                <w:color w:val="000000"/>
                <w:sz w:val="16"/>
                <w:szCs w:val="16"/>
                <w:lang w:val="nl-NL" w:eastAsia="zh-CN"/>
              </w:rPr>
              <w:t xml:space="preserve"> of data </w:t>
            </w:r>
            <w:proofErr w:type="spellStart"/>
            <w:r w:rsidRPr="00991E14">
              <w:rPr>
                <w:rFonts w:eastAsia="Times New Roman" w:cs="Times New Roman"/>
                <w:color w:val="000000"/>
                <w:sz w:val="16"/>
                <w:szCs w:val="16"/>
                <w:lang w:val="nl-NL" w:eastAsia="zh-CN"/>
              </w:rPr>
              <w:t>collection</w:t>
            </w:r>
            <w:proofErr w:type="spellEnd"/>
          </w:p>
        </w:tc>
        <w:tc>
          <w:tcPr>
            <w:tcW w:w="0" w:type="auto"/>
            <w:tcBorders>
              <w:top w:val="nil"/>
              <w:left w:val="nil"/>
              <w:bottom w:val="nil"/>
              <w:right w:val="nil"/>
            </w:tcBorders>
            <w:shd w:val="clear" w:color="auto" w:fill="auto"/>
            <w:noWrap/>
            <w:vAlign w:val="center"/>
            <w:hideMark/>
          </w:tcPr>
          <w:p w14:paraId="5F1D1BB3"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0.003*</w:t>
            </w:r>
          </w:p>
        </w:tc>
        <w:tc>
          <w:tcPr>
            <w:tcW w:w="0" w:type="auto"/>
            <w:tcBorders>
              <w:top w:val="nil"/>
              <w:left w:val="nil"/>
              <w:bottom w:val="nil"/>
              <w:right w:val="nil"/>
            </w:tcBorders>
            <w:shd w:val="clear" w:color="auto" w:fill="auto"/>
            <w:noWrap/>
            <w:vAlign w:val="center"/>
            <w:hideMark/>
          </w:tcPr>
          <w:p w14:paraId="7ABC8FA5"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0.001</w:t>
            </w:r>
          </w:p>
        </w:tc>
        <w:tc>
          <w:tcPr>
            <w:tcW w:w="0" w:type="auto"/>
            <w:tcBorders>
              <w:top w:val="nil"/>
              <w:left w:val="nil"/>
              <w:bottom w:val="nil"/>
              <w:right w:val="nil"/>
            </w:tcBorders>
            <w:shd w:val="clear" w:color="auto" w:fill="auto"/>
            <w:noWrap/>
            <w:vAlign w:val="center"/>
            <w:hideMark/>
          </w:tcPr>
          <w:p w14:paraId="2EDFA32E"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 0.006]</w:t>
            </w:r>
          </w:p>
        </w:tc>
        <w:tc>
          <w:tcPr>
            <w:tcW w:w="0" w:type="auto"/>
            <w:tcBorders>
              <w:top w:val="nil"/>
              <w:left w:val="nil"/>
              <w:bottom w:val="nil"/>
              <w:right w:val="nil"/>
            </w:tcBorders>
            <w:shd w:val="clear" w:color="auto" w:fill="auto"/>
            <w:noWrap/>
            <w:vAlign w:val="center"/>
            <w:hideMark/>
          </w:tcPr>
          <w:p w14:paraId="5483E776"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0.004*</w:t>
            </w:r>
          </w:p>
        </w:tc>
        <w:tc>
          <w:tcPr>
            <w:tcW w:w="0" w:type="auto"/>
            <w:tcBorders>
              <w:top w:val="nil"/>
              <w:left w:val="nil"/>
              <w:bottom w:val="nil"/>
              <w:right w:val="nil"/>
            </w:tcBorders>
            <w:shd w:val="clear" w:color="auto" w:fill="auto"/>
            <w:noWrap/>
            <w:vAlign w:val="center"/>
            <w:hideMark/>
          </w:tcPr>
          <w:p w14:paraId="63538C35"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0.002</w:t>
            </w:r>
          </w:p>
        </w:tc>
        <w:tc>
          <w:tcPr>
            <w:tcW w:w="0" w:type="auto"/>
            <w:tcBorders>
              <w:top w:val="nil"/>
              <w:left w:val="nil"/>
              <w:bottom w:val="nil"/>
              <w:right w:val="nil"/>
            </w:tcBorders>
            <w:shd w:val="clear" w:color="auto" w:fill="auto"/>
            <w:noWrap/>
            <w:vAlign w:val="center"/>
            <w:hideMark/>
          </w:tcPr>
          <w:p w14:paraId="1736AE24"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[0.001, 0.007]</w:t>
            </w:r>
          </w:p>
        </w:tc>
        <w:tc>
          <w:tcPr>
            <w:tcW w:w="0" w:type="auto"/>
            <w:tcBorders>
              <w:top w:val="nil"/>
              <w:left w:val="nil"/>
              <w:bottom w:val="nil"/>
              <w:right w:val="nil"/>
            </w:tcBorders>
            <w:shd w:val="clear" w:color="auto" w:fill="auto"/>
            <w:noWrap/>
            <w:vAlign w:val="center"/>
            <w:hideMark/>
          </w:tcPr>
          <w:p w14:paraId="27C3493C"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0.005*</w:t>
            </w:r>
          </w:p>
        </w:tc>
        <w:tc>
          <w:tcPr>
            <w:tcW w:w="0" w:type="auto"/>
            <w:tcBorders>
              <w:top w:val="nil"/>
              <w:left w:val="nil"/>
              <w:bottom w:val="nil"/>
              <w:right w:val="nil"/>
            </w:tcBorders>
            <w:shd w:val="clear" w:color="auto" w:fill="auto"/>
            <w:noWrap/>
            <w:vAlign w:val="center"/>
            <w:hideMark/>
          </w:tcPr>
          <w:p w14:paraId="09DD5872"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0.002</w:t>
            </w:r>
          </w:p>
        </w:tc>
        <w:tc>
          <w:tcPr>
            <w:tcW w:w="0" w:type="auto"/>
            <w:tcBorders>
              <w:top w:val="nil"/>
              <w:left w:val="nil"/>
              <w:bottom w:val="nil"/>
              <w:right w:val="nil"/>
            </w:tcBorders>
            <w:shd w:val="clear" w:color="auto" w:fill="auto"/>
            <w:noWrap/>
            <w:vAlign w:val="center"/>
            <w:hideMark/>
          </w:tcPr>
          <w:p w14:paraId="0B96B222"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[0.002, 0.008]</w:t>
            </w:r>
          </w:p>
        </w:tc>
      </w:tr>
      <w:tr w:rsidR="00991E14" w:rsidRPr="00991E14" w14:paraId="447CAAD7" w14:textId="77777777" w:rsidTr="00D14C1C">
        <w:trPr>
          <w:trHeight w:val="225"/>
        </w:trPr>
        <w:tc>
          <w:tcPr>
            <w:tcW w:w="0" w:type="auto"/>
            <w:tcBorders>
              <w:top w:val="nil"/>
              <w:left w:val="nil"/>
              <w:bottom w:val="nil"/>
              <w:right w:val="nil"/>
            </w:tcBorders>
            <w:shd w:val="clear" w:color="auto" w:fill="auto"/>
            <w:noWrap/>
            <w:vAlign w:val="bottom"/>
            <w:hideMark/>
          </w:tcPr>
          <w:p w14:paraId="3D86D76E" w14:textId="77777777" w:rsidR="00991E14" w:rsidRPr="00991E14" w:rsidRDefault="00991E14" w:rsidP="00B707D2">
            <w:pPr>
              <w:spacing w:line="240" w:lineRule="auto"/>
              <w:rPr>
                <w:rFonts w:eastAsia="Times New Roman" w:cs="Times New Roman"/>
                <w:i/>
                <w:iCs/>
                <w:color w:val="000000"/>
                <w:sz w:val="16"/>
                <w:szCs w:val="16"/>
                <w:lang w:val="nl-NL" w:eastAsia="zh-CN"/>
              </w:rPr>
            </w:pPr>
            <w:r w:rsidRPr="00991E14">
              <w:rPr>
                <w:rFonts w:eastAsia="Times New Roman" w:cs="Times New Roman"/>
                <w:i/>
                <w:iCs/>
                <w:color w:val="000000"/>
                <w:sz w:val="16"/>
                <w:szCs w:val="16"/>
                <w:lang w:val="nl-NL" w:eastAsia="zh-CN"/>
              </w:rPr>
              <w:t>Sample variables</w:t>
            </w:r>
          </w:p>
        </w:tc>
        <w:tc>
          <w:tcPr>
            <w:tcW w:w="0" w:type="auto"/>
            <w:tcBorders>
              <w:top w:val="nil"/>
              <w:left w:val="nil"/>
              <w:bottom w:val="nil"/>
              <w:right w:val="nil"/>
            </w:tcBorders>
            <w:shd w:val="clear" w:color="auto" w:fill="auto"/>
            <w:noWrap/>
            <w:vAlign w:val="center"/>
            <w:hideMark/>
          </w:tcPr>
          <w:p w14:paraId="7903681B" w14:textId="77777777" w:rsidR="00991E14" w:rsidRPr="00991E14" w:rsidRDefault="00991E14" w:rsidP="00B707D2">
            <w:pPr>
              <w:spacing w:line="240" w:lineRule="auto"/>
              <w:rPr>
                <w:rFonts w:eastAsia="Times New Roman" w:cs="Times New Roman"/>
                <w:i/>
                <w:iCs/>
                <w:color w:val="000000"/>
                <w:sz w:val="16"/>
                <w:szCs w:val="16"/>
                <w:lang w:val="nl-NL" w:eastAsia="zh-CN"/>
              </w:rPr>
            </w:pPr>
          </w:p>
        </w:tc>
        <w:tc>
          <w:tcPr>
            <w:tcW w:w="0" w:type="auto"/>
            <w:tcBorders>
              <w:top w:val="nil"/>
              <w:left w:val="nil"/>
              <w:bottom w:val="nil"/>
              <w:right w:val="nil"/>
            </w:tcBorders>
            <w:shd w:val="clear" w:color="auto" w:fill="auto"/>
            <w:noWrap/>
            <w:vAlign w:val="center"/>
            <w:hideMark/>
          </w:tcPr>
          <w:p w14:paraId="12BDC926"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15DA7BAB"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79C6FFD2"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62511E0A"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5CFA3E1F"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072E18F6"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0E8045D9"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6A045D50" w14:textId="77777777" w:rsidR="00991E14" w:rsidRPr="00991E14" w:rsidRDefault="00991E14" w:rsidP="00B707D2">
            <w:pPr>
              <w:spacing w:line="240" w:lineRule="auto"/>
              <w:jc w:val="center"/>
              <w:rPr>
                <w:rFonts w:eastAsia="Times New Roman" w:cs="Times New Roman"/>
                <w:sz w:val="20"/>
                <w:szCs w:val="20"/>
                <w:lang w:val="nl-NL" w:eastAsia="zh-CN"/>
              </w:rPr>
            </w:pPr>
          </w:p>
        </w:tc>
      </w:tr>
      <w:tr w:rsidR="00991E14" w:rsidRPr="00991E14" w14:paraId="2601BB10" w14:textId="77777777" w:rsidTr="00D14C1C">
        <w:trPr>
          <w:trHeight w:val="225"/>
        </w:trPr>
        <w:tc>
          <w:tcPr>
            <w:tcW w:w="0" w:type="auto"/>
            <w:tcBorders>
              <w:top w:val="nil"/>
              <w:left w:val="nil"/>
              <w:bottom w:val="nil"/>
              <w:right w:val="nil"/>
            </w:tcBorders>
            <w:shd w:val="clear" w:color="auto" w:fill="auto"/>
            <w:noWrap/>
            <w:vAlign w:val="bottom"/>
            <w:hideMark/>
          </w:tcPr>
          <w:p w14:paraId="7DB2DFB4" w14:textId="77777777"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Age (</w:t>
            </w:r>
            <w:proofErr w:type="spellStart"/>
            <w:r w:rsidRPr="00991E14">
              <w:rPr>
                <w:rFonts w:eastAsia="Times New Roman" w:cs="Times New Roman"/>
                <w:color w:val="000000"/>
                <w:sz w:val="16"/>
                <w:szCs w:val="16"/>
                <w:lang w:val="nl-NL" w:eastAsia="zh-CN"/>
              </w:rPr>
              <w:t>Mean</w:t>
            </w:r>
            <w:proofErr w:type="spellEnd"/>
            <w:r w:rsidRPr="00991E14">
              <w:rPr>
                <w:rFonts w:eastAsia="Times New Roman" w:cs="Times New Roman"/>
                <w:color w:val="000000"/>
                <w:sz w:val="16"/>
                <w:szCs w:val="16"/>
                <w:lang w:val="nl-NL" w:eastAsia="zh-CN"/>
              </w:rPr>
              <w:t>)</w:t>
            </w:r>
          </w:p>
        </w:tc>
        <w:tc>
          <w:tcPr>
            <w:tcW w:w="0" w:type="auto"/>
            <w:tcBorders>
              <w:top w:val="nil"/>
              <w:left w:val="nil"/>
              <w:bottom w:val="nil"/>
              <w:right w:val="nil"/>
            </w:tcBorders>
            <w:shd w:val="clear" w:color="auto" w:fill="auto"/>
            <w:noWrap/>
            <w:vAlign w:val="center"/>
            <w:hideMark/>
          </w:tcPr>
          <w:p w14:paraId="523D0848" w14:textId="77777777"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p>
        </w:tc>
        <w:tc>
          <w:tcPr>
            <w:tcW w:w="0" w:type="auto"/>
            <w:tcBorders>
              <w:top w:val="nil"/>
              <w:left w:val="nil"/>
              <w:bottom w:val="nil"/>
              <w:right w:val="nil"/>
            </w:tcBorders>
            <w:shd w:val="clear" w:color="auto" w:fill="auto"/>
            <w:noWrap/>
            <w:vAlign w:val="center"/>
            <w:hideMark/>
          </w:tcPr>
          <w:p w14:paraId="0A7390CB"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0E867F09"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58C43417"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–0.004</w:t>
            </w:r>
          </w:p>
        </w:tc>
        <w:tc>
          <w:tcPr>
            <w:tcW w:w="0" w:type="auto"/>
            <w:tcBorders>
              <w:top w:val="nil"/>
              <w:left w:val="nil"/>
              <w:bottom w:val="nil"/>
              <w:right w:val="nil"/>
            </w:tcBorders>
            <w:shd w:val="clear" w:color="auto" w:fill="auto"/>
            <w:noWrap/>
            <w:vAlign w:val="center"/>
            <w:hideMark/>
          </w:tcPr>
          <w:p w14:paraId="7A0F3C8E"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0.004</w:t>
            </w:r>
          </w:p>
        </w:tc>
        <w:tc>
          <w:tcPr>
            <w:tcW w:w="0" w:type="auto"/>
            <w:tcBorders>
              <w:top w:val="nil"/>
              <w:left w:val="nil"/>
              <w:bottom w:val="nil"/>
              <w:right w:val="nil"/>
            </w:tcBorders>
            <w:shd w:val="clear" w:color="auto" w:fill="auto"/>
            <w:noWrap/>
            <w:vAlign w:val="center"/>
            <w:hideMark/>
          </w:tcPr>
          <w:p w14:paraId="35930A80"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[–0.011, 0.004]</w:t>
            </w:r>
          </w:p>
        </w:tc>
        <w:tc>
          <w:tcPr>
            <w:tcW w:w="0" w:type="auto"/>
            <w:tcBorders>
              <w:top w:val="nil"/>
              <w:left w:val="nil"/>
              <w:bottom w:val="nil"/>
              <w:right w:val="nil"/>
            </w:tcBorders>
            <w:shd w:val="clear" w:color="auto" w:fill="auto"/>
            <w:noWrap/>
            <w:vAlign w:val="center"/>
            <w:hideMark/>
          </w:tcPr>
          <w:p w14:paraId="65068E2A"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–0.005</w:t>
            </w:r>
          </w:p>
        </w:tc>
        <w:tc>
          <w:tcPr>
            <w:tcW w:w="0" w:type="auto"/>
            <w:tcBorders>
              <w:top w:val="nil"/>
              <w:left w:val="nil"/>
              <w:bottom w:val="nil"/>
              <w:right w:val="nil"/>
            </w:tcBorders>
            <w:shd w:val="clear" w:color="auto" w:fill="auto"/>
            <w:noWrap/>
            <w:vAlign w:val="center"/>
            <w:hideMark/>
          </w:tcPr>
          <w:p w14:paraId="4788CDE7"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0.004</w:t>
            </w:r>
          </w:p>
        </w:tc>
        <w:tc>
          <w:tcPr>
            <w:tcW w:w="0" w:type="auto"/>
            <w:tcBorders>
              <w:top w:val="nil"/>
              <w:left w:val="nil"/>
              <w:bottom w:val="nil"/>
              <w:right w:val="nil"/>
            </w:tcBorders>
            <w:shd w:val="clear" w:color="auto" w:fill="auto"/>
            <w:noWrap/>
            <w:vAlign w:val="center"/>
            <w:hideMark/>
          </w:tcPr>
          <w:p w14:paraId="664FFF4B"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[–0.012, 0.002]</w:t>
            </w:r>
          </w:p>
        </w:tc>
      </w:tr>
      <w:tr w:rsidR="00991E14" w:rsidRPr="00991E14" w14:paraId="0C6CB8E7" w14:textId="77777777" w:rsidTr="00D14C1C">
        <w:trPr>
          <w:trHeight w:val="225"/>
        </w:trPr>
        <w:tc>
          <w:tcPr>
            <w:tcW w:w="0" w:type="auto"/>
            <w:tcBorders>
              <w:top w:val="nil"/>
              <w:left w:val="nil"/>
              <w:bottom w:val="nil"/>
              <w:right w:val="nil"/>
            </w:tcBorders>
            <w:shd w:val="clear" w:color="auto" w:fill="auto"/>
            <w:noWrap/>
            <w:vAlign w:val="bottom"/>
            <w:hideMark/>
          </w:tcPr>
          <w:p w14:paraId="2B720DFC" w14:textId="77777777"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Discipline-</w:t>
            </w:r>
            <w:proofErr w:type="spellStart"/>
            <w:r w:rsidRPr="00991E14">
              <w:rPr>
                <w:rFonts w:eastAsia="Times New Roman" w:cs="Times New Roman"/>
                <w:color w:val="000000"/>
                <w:sz w:val="16"/>
                <w:szCs w:val="16"/>
                <w:lang w:val="nl-NL" w:eastAsia="zh-CN"/>
              </w:rPr>
              <w:t>psychology</w:t>
            </w:r>
            <w:proofErr w:type="spellEnd"/>
          </w:p>
        </w:tc>
        <w:tc>
          <w:tcPr>
            <w:tcW w:w="0" w:type="auto"/>
            <w:tcBorders>
              <w:top w:val="nil"/>
              <w:left w:val="nil"/>
              <w:bottom w:val="nil"/>
              <w:right w:val="nil"/>
            </w:tcBorders>
            <w:shd w:val="clear" w:color="auto" w:fill="auto"/>
            <w:noWrap/>
            <w:vAlign w:val="center"/>
            <w:hideMark/>
          </w:tcPr>
          <w:p w14:paraId="518F46BA" w14:textId="77777777"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p>
        </w:tc>
        <w:tc>
          <w:tcPr>
            <w:tcW w:w="0" w:type="auto"/>
            <w:tcBorders>
              <w:top w:val="nil"/>
              <w:left w:val="nil"/>
              <w:bottom w:val="nil"/>
              <w:right w:val="nil"/>
            </w:tcBorders>
            <w:shd w:val="clear" w:color="auto" w:fill="auto"/>
            <w:noWrap/>
            <w:vAlign w:val="center"/>
            <w:hideMark/>
          </w:tcPr>
          <w:p w14:paraId="009920AC"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0D870476"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0FC2C929"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0.142</w:t>
            </w:r>
          </w:p>
        </w:tc>
        <w:tc>
          <w:tcPr>
            <w:tcW w:w="0" w:type="auto"/>
            <w:tcBorders>
              <w:top w:val="nil"/>
              <w:left w:val="nil"/>
              <w:bottom w:val="nil"/>
              <w:right w:val="nil"/>
            </w:tcBorders>
            <w:shd w:val="clear" w:color="auto" w:fill="auto"/>
            <w:noWrap/>
            <w:vAlign w:val="center"/>
            <w:hideMark/>
          </w:tcPr>
          <w:p w14:paraId="3EABE1E7"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0.071</w:t>
            </w:r>
          </w:p>
        </w:tc>
        <w:tc>
          <w:tcPr>
            <w:tcW w:w="0" w:type="auto"/>
            <w:tcBorders>
              <w:top w:val="nil"/>
              <w:left w:val="nil"/>
              <w:bottom w:val="nil"/>
              <w:right w:val="nil"/>
            </w:tcBorders>
            <w:shd w:val="clear" w:color="auto" w:fill="auto"/>
            <w:noWrap/>
            <w:vAlign w:val="center"/>
            <w:hideMark/>
          </w:tcPr>
          <w:p w14:paraId="63063F5C"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[0.002, 0.281]</w:t>
            </w:r>
          </w:p>
        </w:tc>
        <w:tc>
          <w:tcPr>
            <w:tcW w:w="0" w:type="auto"/>
            <w:tcBorders>
              <w:top w:val="nil"/>
              <w:left w:val="nil"/>
              <w:bottom w:val="nil"/>
              <w:right w:val="nil"/>
            </w:tcBorders>
            <w:shd w:val="clear" w:color="auto" w:fill="auto"/>
            <w:noWrap/>
            <w:vAlign w:val="center"/>
            <w:hideMark/>
          </w:tcPr>
          <w:p w14:paraId="01B985E4"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0.118</w:t>
            </w:r>
          </w:p>
        </w:tc>
        <w:tc>
          <w:tcPr>
            <w:tcW w:w="0" w:type="auto"/>
            <w:tcBorders>
              <w:top w:val="nil"/>
              <w:left w:val="nil"/>
              <w:bottom w:val="nil"/>
              <w:right w:val="nil"/>
            </w:tcBorders>
            <w:shd w:val="clear" w:color="auto" w:fill="auto"/>
            <w:noWrap/>
            <w:vAlign w:val="center"/>
            <w:hideMark/>
          </w:tcPr>
          <w:p w14:paraId="45522AA9"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0.070</w:t>
            </w:r>
          </w:p>
        </w:tc>
        <w:tc>
          <w:tcPr>
            <w:tcW w:w="0" w:type="auto"/>
            <w:tcBorders>
              <w:top w:val="nil"/>
              <w:left w:val="nil"/>
              <w:bottom w:val="nil"/>
              <w:right w:val="nil"/>
            </w:tcBorders>
            <w:shd w:val="clear" w:color="auto" w:fill="auto"/>
            <w:noWrap/>
            <w:vAlign w:val="center"/>
            <w:hideMark/>
          </w:tcPr>
          <w:p w14:paraId="7C3B5D06"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[–0.020, 0.256]</w:t>
            </w:r>
          </w:p>
        </w:tc>
      </w:tr>
      <w:tr w:rsidR="00991E14" w:rsidRPr="00991E14" w14:paraId="6FB6FBB0" w14:textId="77777777" w:rsidTr="00D14C1C">
        <w:trPr>
          <w:trHeight w:val="225"/>
        </w:trPr>
        <w:tc>
          <w:tcPr>
            <w:tcW w:w="0" w:type="auto"/>
            <w:tcBorders>
              <w:top w:val="nil"/>
              <w:left w:val="nil"/>
              <w:bottom w:val="nil"/>
              <w:right w:val="nil"/>
            </w:tcBorders>
            <w:shd w:val="clear" w:color="auto" w:fill="auto"/>
            <w:noWrap/>
            <w:vAlign w:val="bottom"/>
            <w:hideMark/>
          </w:tcPr>
          <w:p w14:paraId="41FE2400" w14:textId="77777777"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Discipline-</w:t>
            </w:r>
            <w:proofErr w:type="spellStart"/>
            <w:r w:rsidRPr="00991E14">
              <w:rPr>
                <w:rFonts w:eastAsia="Times New Roman" w:cs="Times New Roman"/>
                <w:color w:val="000000"/>
                <w:sz w:val="16"/>
                <w:szCs w:val="16"/>
                <w:lang w:val="nl-NL" w:eastAsia="zh-CN"/>
              </w:rPr>
              <w:t>other</w:t>
            </w:r>
            <w:proofErr w:type="spellEnd"/>
          </w:p>
        </w:tc>
        <w:tc>
          <w:tcPr>
            <w:tcW w:w="0" w:type="auto"/>
            <w:tcBorders>
              <w:top w:val="nil"/>
              <w:left w:val="nil"/>
              <w:bottom w:val="nil"/>
              <w:right w:val="nil"/>
            </w:tcBorders>
            <w:shd w:val="clear" w:color="auto" w:fill="auto"/>
            <w:noWrap/>
            <w:vAlign w:val="center"/>
            <w:hideMark/>
          </w:tcPr>
          <w:p w14:paraId="4DB7E2AD" w14:textId="77777777"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p>
        </w:tc>
        <w:tc>
          <w:tcPr>
            <w:tcW w:w="0" w:type="auto"/>
            <w:tcBorders>
              <w:top w:val="nil"/>
              <w:left w:val="nil"/>
              <w:bottom w:val="nil"/>
              <w:right w:val="nil"/>
            </w:tcBorders>
            <w:shd w:val="clear" w:color="auto" w:fill="auto"/>
            <w:noWrap/>
            <w:vAlign w:val="center"/>
            <w:hideMark/>
          </w:tcPr>
          <w:p w14:paraId="227FD60D"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1D4363FA"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3D5F2A96"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–0.009</w:t>
            </w:r>
          </w:p>
        </w:tc>
        <w:tc>
          <w:tcPr>
            <w:tcW w:w="0" w:type="auto"/>
            <w:tcBorders>
              <w:top w:val="nil"/>
              <w:left w:val="nil"/>
              <w:bottom w:val="nil"/>
              <w:right w:val="nil"/>
            </w:tcBorders>
            <w:shd w:val="clear" w:color="auto" w:fill="auto"/>
            <w:noWrap/>
            <w:vAlign w:val="center"/>
            <w:hideMark/>
          </w:tcPr>
          <w:p w14:paraId="06F1A240"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0.062</w:t>
            </w:r>
          </w:p>
        </w:tc>
        <w:tc>
          <w:tcPr>
            <w:tcW w:w="0" w:type="auto"/>
            <w:tcBorders>
              <w:top w:val="nil"/>
              <w:left w:val="nil"/>
              <w:bottom w:val="nil"/>
              <w:right w:val="nil"/>
            </w:tcBorders>
            <w:shd w:val="clear" w:color="auto" w:fill="auto"/>
            <w:noWrap/>
            <w:vAlign w:val="center"/>
            <w:hideMark/>
          </w:tcPr>
          <w:p w14:paraId="7EEA17FC"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[–0.132, 0.113]</w:t>
            </w:r>
          </w:p>
        </w:tc>
        <w:tc>
          <w:tcPr>
            <w:tcW w:w="0" w:type="auto"/>
            <w:tcBorders>
              <w:top w:val="nil"/>
              <w:left w:val="nil"/>
              <w:bottom w:val="nil"/>
              <w:right w:val="nil"/>
            </w:tcBorders>
            <w:shd w:val="clear" w:color="auto" w:fill="auto"/>
            <w:noWrap/>
            <w:vAlign w:val="center"/>
            <w:hideMark/>
          </w:tcPr>
          <w:p w14:paraId="75A71B39"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0.006</w:t>
            </w:r>
          </w:p>
        </w:tc>
        <w:tc>
          <w:tcPr>
            <w:tcW w:w="0" w:type="auto"/>
            <w:tcBorders>
              <w:top w:val="nil"/>
              <w:left w:val="nil"/>
              <w:bottom w:val="nil"/>
              <w:right w:val="nil"/>
            </w:tcBorders>
            <w:shd w:val="clear" w:color="auto" w:fill="auto"/>
            <w:noWrap/>
            <w:vAlign w:val="center"/>
            <w:hideMark/>
          </w:tcPr>
          <w:p w14:paraId="26CC6381"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0.062</w:t>
            </w:r>
          </w:p>
        </w:tc>
        <w:tc>
          <w:tcPr>
            <w:tcW w:w="0" w:type="auto"/>
            <w:tcBorders>
              <w:top w:val="nil"/>
              <w:left w:val="nil"/>
              <w:bottom w:val="nil"/>
              <w:right w:val="nil"/>
            </w:tcBorders>
            <w:shd w:val="clear" w:color="auto" w:fill="auto"/>
            <w:noWrap/>
            <w:vAlign w:val="center"/>
            <w:hideMark/>
          </w:tcPr>
          <w:p w14:paraId="0A1200D7"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[–0.115, 0.127]</w:t>
            </w:r>
          </w:p>
        </w:tc>
      </w:tr>
      <w:tr w:rsidR="00991E14" w:rsidRPr="00991E14" w14:paraId="057EE078" w14:textId="77777777" w:rsidTr="00D14C1C">
        <w:trPr>
          <w:trHeight w:val="225"/>
        </w:trPr>
        <w:tc>
          <w:tcPr>
            <w:tcW w:w="0" w:type="auto"/>
            <w:tcBorders>
              <w:top w:val="nil"/>
              <w:left w:val="nil"/>
              <w:bottom w:val="nil"/>
              <w:right w:val="nil"/>
            </w:tcBorders>
            <w:shd w:val="clear" w:color="auto" w:fill="auto"/>
            <w:noWrap/>
            <w:vAlign w:val="bottom"/>
            <w:hideMark/>
          </w:tcPr>
          <w:p w14:paraId="59E288FF" w14:textId="77777777"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Discipline-non-student sample</w:t>
            </w:r>
          </w:p>
        </w:tc>
        <w:tc>
          <w:tcPr>
            <w:tcW w:w="0" w:type="auto"/>
            <w:tcBorders>
              <w:top w:val="nil"/>
              <w:left w:val="nil"/>
              <w:bottom w:val="nil"/>
              <w:right w:val="nil"/>
            </w:tcBorders>
            <w:shd w:val="clear" w:color="auto" w:fill="auto"/>
            <w:noWrap/>
            <w:vAlign w:val="center"/>
            <w:hideMark/>
          </w:tcPr>
          <w:p w14:paraId="62AE746E" w14:textId="77777777"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p>
        </w:tc>
        <w:tc>
          <w:tcPr>
            <w:tcW w:w="0" w:type="auto"/>
            <w:tcBorders>
              <w:top w:val="nil"/>
              <w:left w:val="nil"/>
              <w:bottom w:val="nil"/>
              <w:right w:val="nil"/>
            </w:tcBorders>
            <w:shd w:val="clear" w:color="auto" w:fill="auto"/>
            <w:noWrap/>
            <w:vAlign w:val="center"/>
            <w:hideMark/>
          </w:tcPr>
          <w:p w14:paraId="59B578F9"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21EEE092"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6429FB08"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0.031</w:t>
            </w:r>
          </w:p>
        </w:tc>
        <w:tc>
          <w:tcPr>
            <w:tcW w:w="0" w:type="auto"/>
            <w:tcBorders>
              <w:top w:val="nil"/>
              <w:left w:val="nil"/>
              <w:bottom w:val="nil"/>
              <w:right w:val="nil"/>
            </w:tcBorders>
            <w:shd w:val="clear" w:color="auto" w:fill="auto"/>
            <w:noWrap/>
            <w:vAlign w:val="center"/>
            <w:hideMark/>
          </w:tcPr>
          <w:p w14:paraId="39905260"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0.075</w:t>
            </w:r>
          </w:p>
        </w:tc>
        <w:tc>
          <w:tcPr>
            <w:tcW w:w="0" w:type="auto"/>
            <w:tcBorders>
              <w:top w:val="nil"/>
              <w:left w:val="nil"/>
              <w:bottom w:val="nil"/>
              <w:right w:val="nil"/>
            </w:tcBorders>
            <w:shd w:val="clear" w:color="auto" w:fill="auto"/>
            <w:noWrap/>
            <w:vAlign w:val="center"/>
            <w:hideMark/>
          </w:tcPr>
          <w:p w14:paraId="70B4F900"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[–0.115, 0.178]</w:t>
            </w:r>
          </w:p>
        </w:tc>
        <w:tc>
          <w:tcPr>
            <w:tcW w:w="0" w:type="auto"/>
            <w:tcBorders>
              <w:top w:val="nil"/>
              <w:left w:val="nil"/>
              <w:bottom w:val="nil"/>
              <w:right w:val="nil"/>
            </w:tcBorders>
            <w:shd w:val="clear" w:color="auto" w:fill="auto"/>
            <w:noWrap/>
            <w:vAlign w:val="center"/>
            <w:hideMark/>
          </w:tcPr>
          <w:p w14:paraId="69C163D1"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0.032</w:t>
            </w:r>
          </w:p>
        </w:tc>
        <w:tc>
          <w:tcPr>
            <w:tcW w:w="0" w:type="auto"/>
            <w:tcBorders>
              <w:top w:val="nil"/>
              <w:left w:val="nil"/>
              <w:bottom w:val="nil"/>
              <w:right w:val="nil"/>
            </w:tcBorders>
            <w:shd w:val="clear" w:color="auto" w:fill="auto"/>
            <w:noWrap/>
            <w:vAlign w:val="center"/>
            <w:hideMark/>
          </w:tcPr>
          <w:p w14:paraId="3B1F3BA4"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0.074</w:t>
            </w:r>
          </w:p>
        </w:tc>
        <w:tc>
          <w:tcPr>
            <w:tcW w:w="0" w:type="auto"/>
            <w:tcBorders>
              <w:top w:val="nil"/>
              <w:left w:val="nil"/>
              <w:bottom w:val="nil"/>
              <w:right w:val="nil"/>
            </w:tcBorders>
            <w:shd w:val="clear" w:color="auto" w:fill="auto"/>
            <w:noWrap/>
            <w:vAlign w:val="center"/>
            <w:hideMark/>
          </w:tcPr>
          <w:p w14:paraId="383FDFF1"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[–0.113, 0.177]</w:t>
            </w:r>
          </w:p>
        </w:tc>
      </w:tr>
      <w:tr w:rsidR="00991E14" w:rsidRPr="00991E14" w14:paraId="4E32ADD4" w14:textId="77777777" w:rsidTr="00D14C1C">
        <w:trPr>
          <w:trHeight w:val="225"/>
        </w:trPr>
        <w:tc>
          <w:tcPr>
            <w:tcW w:w="0" w:type="auto"/>
            <w:tcBorders>
              <w:top w:val="nil"/>
              <w:left w:val="nil"/>
              <w:bottom w:val="nil"/>
              <w:right w:val="nil"/>
            </w:tcBorders>
            <w:shd w:val="clear" w:color="auto" w:fill="auto"/>
            <w:noWrap/>
            <w:vAlign w:val="center"/>
            <w:hideMark/>
          </w:tcPr>
          <w:p w14:paraId="6F760CBF" w14:textId="77777777"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Gender (Male %)</w:t>
            </w:r>
          </w:p>
        </w:tc>
        <w:tc>
          <w:tcPr>
            <w:tcW w:w="0" w:type="auto"/>
            <w:tcBorders>
              <w:top w:val="nil"/>
              <w:left w:val="nil"/>
              <w:bottom w:val="nil"/>
              <w:right w:val="nil"/>
            </w:tcBorders>
            <w:shd w:val="clear" w:color="auto" w:fill="auto"/>
            <w:noWrap/>
            <w:vAlign w:val="center"/>
            <w:hideMark/>
          </w:tcPr>
          <w:p w14:paraId="1ED3DB39" w14:textId="77777777"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p>
        </w:tc>
        <w:tc>
          <w:tcPr>
            <w:tcW w:w="0" w:type="auto"/>
            <w:tcBorders>
              <w:top w:val="nil"/>
              <w:left w:val="nil"/>
              <w:bottom w:val="nil"/>
              <w:right w:val="nil"/>
            </w:tcBorders>
            <w:shd w:val="clear" w:color="auto" w:fill="auto"/>
            <w:noWrap/>
            <w:vAlign w:val="center"/>
            <w:hideMark/>
          </w:tcPr>
          <w:p w14:paraId="408DD979"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1CDCC08A"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5BD32FD8"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–0.155</w:t>
            </w:r>
          </w:p>
        </w:tc>
        <w:tc>
          <w:tcPr>
            <w:tcW w:w="0" w:type="auto"/>
            <w:tcBorders>
              <w:top w:val="nil"/>
              <w:left w:val="nil"/>
              <w:bottom w:val="nil"/>
              <w:right w:val="nil"/>
            </w:tcBorders>
            <w:shd w:val="clear" w:color="auto" w:fill="auto"/>
            <w:noWrap/>
            <w:vAlign w:val="center"/>
            <w:hideMark/>
          </w:tcPr>
          <w:p w14:paraId="4FDF56C5"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0.067</w:t>
            </w:r>
          </w:p>
        </w:tc>
        <w:tc>
          <w:tcPr>
            <w:tcW w:w="0" w:type="auto"/>
            <w:tcBorders>
              <w:top w:val="nil"/>
              <w:left w:val="nil"/>
              <w:bottom w:val="nil"/>
              <w:right w:val="nil"/>
            </w:tcBorders>
            <w:shd w:val="clear" w:color="auto" w:fill="auto"/>
            <w:noWrap/>
            <w:vAlign w:val="center"/>
            <w:hideMark/>
          </w:tcPr>
          <w:p w14:paraId="4610B396"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[–0.287, –0.023]</w:t>
            </w:r>
          </w:p>
        </w:tc>
        <w:tc>
          <w:tcPr>
            <w:tcW w:w="0" w:type="auto"/>
            <w:tcBorders>
              <w:top w:val="nil"/>
              <w:left w:val="nil"/>
              <w:bottom w:val="nil"/>
              <w:right w:val="nil"/>
            </w:tcBorders>
            <w:shd w:val="clear" w:color="auto" w:fill="auto"/>
            <w:noWrap/>
            <w:vAlign w:val="center"/>
            <w:hideMark/>
          </w:tcPr>
          <w:p w14:paraId="09C64A2D"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–0.138</w:t>
            </w:r>
          </w:p>
        </w:tc>
        <w:tc>
          <w:tcPr>
            <w:tcW w:w="0" w:type="auto"/>
            <w:tcBorders>
              <w:top w:val="nil"/>
              <w:left w:val="nil"/>
              <w:bottom w:val="nil"/>
              <w:right w:val="nil"/>
            </w:tcBorders>
            <w:shd w:val="clear" w:color="auto" w:fill="auto"/>
            <w:noWrap/>
            <w:vAlign w:val="center"/>
            <w:hideMark/>
          </w:tcPr>
          <w:p w14:paraId="17185B2B"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0.066</w:t>
            </w:r>
          </w:p>
        </w:tc>
        <w:tc>
          <w:tcPr>
            <w:tcW w:w="0" w:type="auto"/>
            <w:tcBorders>
              <w:top w:val="nil"/>
              <w:left w:val="nil"/>
              <w:bottom w:val="nil"/>
              <w:right w:val="nil"/>
            </w:tcBorders>
            <w:shd w:val="clear" w:color="auto" w:fill="auto"/>
            <w:noWrap/>
            <w:vAlign w:val="center"/>
            <w:hideMark/>
          </w:tcPr>
          <w:p w14:paraId="1C6E4AA7"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[–0.268, –0.008]</w:t>
            </w:r>
          </w:p>
        </w:tc>
      </w:tr>
      <w:tr w:rsidR="00991E14" w:rsidRPr="00991E14" w14:paraId="6800F0CA" w14:textId="77777777" w:rsidTr="00D14C1C">
        <w:trPr>
          <w:trHeight w:val="225"/>
        </w:trPr>
        <w:tc>
          <w:tcPr>
            <w:tcW w:w="0" w:type="auto"/>
            <w:tcBorders>
              <w:top w:val="nil"/>
              <w:left w:val="nil"/>
              <w:bottom w:val="nil"/>
              <w:right w:val="nil"/>
            </w:tcBorders>
            <w:shd w:val="clear" w:color="auto" w:fill="auto"/>
            <w:noWrap/>
            <w:vAlign w:val="center"/>
            <w:hideMark/>
          </w:tcPr>
          <w:p w14:paraId="09436A99" w14:textId="77777777" w:rsidR="00991E14" w:rsidRPr="00991E14" w:rsidRDefault="00991E14" w:rsidP="00B707D2">
            <w:pPr>
              <w:spacing w:line="240" w:lineRule="auto"/>
              <w:rPr>
                <w:rFonts w:eastAsia="Times New Roman" w:cs="Times New Roman"/>
                <w:i/>
                <w:iCs/>
                <w:color w:val="000000"/>
                <w:sz w:val="16"/>
                <w:szCs w:val="16"/>
                <w:lang w:val="nl-NL" w:eastAsia="zh-CN"/>
              </w:rPr>
            </w:pPr>
            <w:proofErr w:type="spellStart"/>
            <w:r w:rsidRPr="00991E14">
              <w:rPr>
                <w:rFonts w:eastAsia="Times New Roman" w:cs="Times New Roman"/>
                <w:i/>
                <w:iCs/>
                <w:color w:val="000000"/>
                <w:sz w:val="16"/>
                <w:szCs w:val="16"/>
                <w:lang w:val="nl-NL" w:eastAsia="zh-CN"/>
              </w:rPr>
              <w:t>Structural</w:t>
            </w:r>
            <w:proofErr w:type="spellEnd"/>
            <w:r w:rsidRPr="00991E14">
              <w:rPr>
                <w:rFonts w:eastAsia="Times New Roman" w:cs="Times New Roman"/>
                <w:i/>
                <w:iCs/>
                <w:color w:val="000000"/>
                <w:sz w:val="16"/>
                <w:szCs w:val="16"/>
                <w:lang w:val="nl-NL" w:eastAsia="zh-CN"/>
              </w:rPr>
              <w:t xml:space="preserve"> variables</w:t>
            </w:r>
          </w:p>
        </w:tc>
        <w:tc>
          <w:tcPr>
            <w:tcW w:w="0" w:type="auto"/>
            <w:tcBorders>
              <w:top w:val="nil"/>
              <w:left w:val="nil"/>
              <w:bottom w:val="nil"/>
              <w:right w:val="nil"/>
            </w:tcBorders>
            <w:shd w:val="clear" w:color="auto" w:fill="auto"/>
            <w:noWrap/>
            <w:vAlign w:val="center"/>
            <w:hideMark/>
          </w:tcPr>
          <w:p w14:paraId="7A5D151E" w14:textId="77777777" w:rsidR="00991E14" w:rsidRPr="00991E14" w:rsidRDefault="00991E14" w:rsidP="00B707D2">
            <w:pPr>
              <w:spacing w:line="240" w:lineRule="auto"/>
              <w:rPr>
                <w:rFonts w:eastAsia="Times New Roman" w:cs="Times New Roman"/>
                <w:i/>
                <w:iCs/>
                <w:color w:val="000000"/>
                <w:sz w:val="16"/>
                <w:szCs w:val="16"/>
                <w:lang w:val="nl-NL" w:eastAsia="zh-CN"/>
              </w:rPr>
            </w:pPr>
          </w:p>
        </w:tc>
        <w:tc>
          <w:tcPr>
            <w:tcW w:w="0" w:type="auto"/>
            <w:tcBorders>
              <w:top w:val="nil"/>
              <w:left w:val="nil"/>
              <w:bottom w:val="nil"/>
              <w:right w:val="nil"/>
            </w:tcBorders>
            <w:shd w:val="clear" w:color="auto" w:fill="auto"/>
            <w:noWrap/>
            <w:vAlign w:val="center"/>
            <w:hideMark/>
          </w:tcPr>
          <w:p w14:paraId="6000202D"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7FDF36FC"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314D5D2E"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7FFC7C75"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143F910A"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65ABDBE9"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0D206B17"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2FB904FB" w14:textId="77777777" w:rsidR="00991E14" w:rsidRPr="00991E14" w:rsidRDefault="00991E14" w:rsidP="00B707D2">
            <w:pPr>
              <w:spacing w:line="240" w:lineRule="auto"/>
              <w:jc w:val="center"/>
              <w:rPr>
                <w:rFonts w:eastAsia="Times New Roman" w:cs="Times New Roman"/>
                <w:sz w:val="20"/>
                <w:szCs w:val="20"/>
                <w:lang w:val="nl-NL" w:eastAsia="zh-CN"/>
              </w:rPr>
            </w:pPr>
          </w:p>
        </w:tc>
      </w:tr>
      <w:tr w:rsidR="00991E14" w:rsidRPr="00991E14" w14:paraId="4A7AE2ED" w14:textId="77777777" w:rsidTr="00D14C1C">
        <w:trPr>
          <w:trHeight w:val="225"/>
        </w:trPr>
        <w:tc>
          <w:tcPr>
            <w:tcW w:w="0" w:type="auto"/>
            <w:tcBorders>
              <w:top w:val="nil"/>
              <w:left w:val="nil"/>
              <w:bottom w:val="nil"/>
              <w:right w:val="nil"/>
            </w:tcBorders>
            <w:shd w:val="clear" w:color="auto" w:fill="auto"/>
            <w:noWrap/>
            <w:vAlign w:val="bottom"/>
            <w:hideMark/>
          </w:tcPr>
          <w:p w14:paraId="07226CE6" w14:textId="77777777" w:rsidR="00991E14" w:rsidRPr="00991E14" w:rsidRDefault="00991E14" w:rsidP="00B707D2">
            <w:pPr>
              <w:spacing w:line="240" w:lineRule="auto"/>
              <w:ind w:firstLineChars="200" w:firstLine="320"/>
              <w:rPr>
                <w:rFonts w:eastAsia="Times New Roman" w:cs="Times New Roman"/>
                <w:color w:val="000000"/>
                <w:sz w:val="16"/>
                <w:szCs w:val="16"/>
                <w:lang w:eastAsia="zh-CN"/>
              </w:rPr>
            </w:pPr>
            <w:r w:rsidRPr="00991E14">
              <w:rPr>
                <w:rFonts w:eastAsia="Times New Roman" w:cs="Times New Roman"/>
                <w:color w:val="000000"/>
                <w:sz w:val="16"/>
                <w:szCs w:val="16"/>
                <w:lang w:eastAsia="zh-CN"/>
              </w:rPr>
              <w:t>Conflict of interests (K index)</w:t>
            </w:r>
          </w:p>
        </w:tc>
        <w:tc>
          <w:tcPr>
            <w:tcW w:w="0" w:type="auto"/>
            <w:tcBorders>
              <w:top w:val="nil"/>
              <w:left w:val="nil"/>
              <w:bottom w:val="nil"/>
              <w:right w:val="nil"/>
            </w:tcBorders>
            <w:shd w:val="clear" w:color="auto" w:fill="auto"/>
            <w:noWrap/>
            <w:vAlign w:val="center"/>
            <w:hideMark/>
          </w:tcPr>
          <w:p w14:paraId="4EB85C2A" w14:textId="77777777" w:rsidR="00991E14" w:rsidRPr="00991E14" w:rsidRDefault="00991E14" w:rsidP="00B707D2">
            <w:pPr>
              <w:spacing w:line="240" w:lineRule="auto"/>
              <w:ind w:firstLineChars="200" w:firstLine="320"/>
              <w:rPr>
                <w:rFonts w:eastAsia="Times New Roman" w:cs="Times New Roman"/>
                <w:color w:val="000000"/>
                <w:sz w:val="16"/>
                <w:szCs w:val="16"/>
                <w:lang w:eastAsia="zh-CN"/>
              </w:rPr>
            </w:pPr>
          </w:p>
        </w:tc>
        <w:tc>
          <w:tcPr>
            <w:tcW w:w="0" w:type="auto"/>
            <w:tcBorders>
              <w:top w:val="nil"/>
              <w:left w:val="nil"/>
              <w:bottom w:val="nil"/>
              <w:right w:val="nil"/>
            </w:tcBorders>
            <w:shd w:val="clear" w:color="auto" w:fill="auto"/>
            <w:noWrap/>
            <w:vAlign w:val="center"/>
            <w:hideMark/>
          </w:tcPr>
          <w:p w14:paraId="11B4A255" w14:textId="77777777" w:rsidR="00991E14" w:rsidRPr="00991E14" w:rsidRDefault="00991E14" w:rsidP="00B707D2">
            <w:pPr>
              <w:spacing w:line="240" w:lineRule="auto"/>
              <w:jc w:val="center"/>
              <w:rPr>
                <w:rFonts w:eastAsia="Times New Roman" w:cs="Times New Roman"/>
                <w:sz w:val="20"/>
                <w:szCs w:val="20"/>
                <w:lang w:eastAsia="zh-CN"/>
              </w:rPr>
            </w:pPr>
          </w:p>
        </w:tc>
        <w:tc>
          <w:tcPr>
            <w:tcW w:w="0" w:type="auto"/>
            <w:tcBorders>
              <w:top w:val="nil"/>
              <w:left w:val="nil"/>
              <w:bottom w:val="nil"/>
              <w:right w:val="nil"/>
            </w:tcBorders>
            <w:shd w:val="clear" w:color="auto" w:fill="auto"/>
            <w:noWrap/>
            <w:vAlign w:val="center"/>
            <w:hideMark/>
          </w:tcPr>
          <w:p w14:paraId="59C46002" w14:textId="77777777" w:rsidR="00991E14" w:rsidRPr="00991E14" w:rsidRDefault="00991E14" w:rsidP="00B707D2">
            <w:pPr>
              <w:spacing w:line="240" w:lineRule="auto"/>
              <w:jc w:val="center"/>
              <w:rPr>
                <w:rFonts w:eastAsia="Times New Roman" w:cs="Times New Roman"/>
                <w:sz w:val="20"/>
                <w:szCs w:val="20"/>
                <w:lang w:eastAsia="zh-CN"/>
              </w:rPr>
            </w:pPr>
          </w:p>
        </w:tc>
        <w:tc>
          <w:tcPr>
            <w:tcW w:w="0" w:type="auto"/>
            <w:tcBorders>
              <w:top w:val="nil"/>
              <w:left w:val="nil"/>
              <w:bottom w:val="nil"/>
              <w:right w:val="nil"/>
            </w:tcBorders>
            <w:shd w:val="clear" w:color="auto" w:fill="auto"/>
            <w:noWrap/>
            <w:vAlign w:val="center"/>
            <w:hideMark/>
          </w:tcPr>
          <w:p w14:paraId="5DA4115B" w14:textId="77777777" w:rsidR="00991E14" w:rsidRPr="00991E14" w:rsidRDefault="00991E14" w:rsidP="00B707D2">
            <w:pPr>
              <w:spacing w:line="240" w:lineRule="auto"/>
              <w:jc w:val="center"/>
              <w:rPr>
                <w:rFonts w:eastAsia="Times New Roman" w:cs="Times New Roman"/>
                <w:sz w:val="20"/>
                <w:szCs w:val="20"/>
                <w:lang w:eastAsia="zh-CN"/>
              </w:rPr>
            </w:pPr>
          </w:p>
        </w:tc>
        <w:tc>
          <w:tcPr>
            <w:tcW w:w="0" w:type="auto"/>
            <w:tcBorders>
              <w:top w:val="nil"/>
              <w:left w:val="nil"/>
              <w:bottom w:val="nil"/>
              <w:right w:val="nil"/>
            </w:tcBorders>
            <w:shd w:val="clear" w:color="auto" w:fill="auto"/>
            <w:noWrap/>
            <w:vAlign w:val="center"/>
            <w:hideMark/>
          </w:tcPr>
          <w:p w14:paraId="7A3AA7B9" w14:textId="77777777" w:rsidR="00991E14" w:rsidRPr="00991E14" w:rsidRDefault="00991E14" w:rsidP="00B707D2">
            <w:pPr>
              <w:spacing w:line="240" w:lineRule="auto"/>
              <w:jc w:val="center"/>
              <w:rPr>
                <w:rFonts w:eastAsia="Times New Roman" w:cs="Times New Roman"/>
                <w:sz w:val="20"/>
                <w:szCs w:val="20"/>
                <w:lang w:eastAsia="zh-CN"/>
              </w:rPr>
            </w:pPr>
          </w:p>
        </w:tc>
        <w:tc>
          <w:tcPr>
            <w:tcW w:w="0" w:type="auto"/>
            <w:tcBorders>
              <w:top w:val="nil"/>
              <w:left w:val="nil"/>
              <w:bottom w:val="nil"/>
              <w:right w:val="nil"/>
            </w:tcBorders>
            <w:shd w:val="clear" w:color="auto" w:fill="auto"/>
            <w:noWrap/>
            <w:vAlign w:val="center"/>
            <w:hideMark/>
          </w:tcPr>
          <w:p w14:paraId="374151FA" w14:textId="77777777" w:rsidR="00991E14" w:rsidRPr="00991E14" w:rsidRDefault="00991E14" w:rsidP="00B707D2">
            <w:pPr>
              <w:spacing w:line="240" w:lineRule="auto"/>
              <w:jc w:val="center"/>
              <w:rPr>
                <w:rFonts w:eastAsia="Times New Roman" w:cs="Times New Roman"/>
                <w:sz w:val="20"/>
                <w:szCs w:val="20"/>
                <w:lang w:eastAsia="zh-CN"/>
              </w:rPr>
            </w:pPr>
          </w:p>
        </w:tc>
        <w:tc>
          <w:tcPr>
            <w:tcW w:w="0" w:type="auto"/>
            <w:tcBorders>
              <w:top w:val="nil"/>
              <w:left w:val="nil"/>
              <w:bottom w:val="nil"/>
              <w:right w:val="nil"/>
            </w:tcBorders>
            <w:shd w:val="clear" w:color="auto" w:fill="auto"/>
            <w:noWrap/>
            <w:vAlign w:val="center"/>
            <w:hideMark/>
          </w:tcPr>
          <w:p w14:paraId="5FF2C1B4" w14:textId="77777777" w:rsidR="00991E14" w:rsidRPr="007569D3" w:rsidRDefault="00991E14" w:rsidP="00B707D2">
            <w:pPr>
              <w:spacing w:line="240" w:lineRule="auto"/>
              <w:jc w:val="center"/>
              <w:rPr>
                <w:rFonts w:eastAsia="Times New Roman" w:cs="Times New Roman"/>
                <w:b/>
                <w:bCs/>
                <w:color w:val="000000"/>
                <w:sz w:val="16"/>
                <w:szCs w:val="16"/>
                <w:lang w:val="nl-NL" w:eastAsia="zh-CN"/>
              </w:rPr>
            </w:pPr>
            <w:r w:rsidRPr="007569D3">
              <w:rPr>
                <w:rFonts w:eastAsia="Times New Roman" w:cs="Times New Roman"/>
                <w:b/>
                <w:bCs/>
                <w:color w:val="000000"/>
                <w:sz w:val="16"/>
                <w:szCs w:val="16"/>
                <w:lang w:val="nl-NL" w:eastAsia="zh-CN"/>
              </w:rPr>
              <w:t>0.767*</w:t>
            </w:r>
          </w:p>
        </w:tc>
        <w:tc>
          <w:tcPr>
            <w:tcW w:w="0" w:type="auto"/>
            <w:tcBorders>
              <w:top w:val="nil"/>
              <w:left w:val="nil"/>
              <w:bottom w:val="nil"/>
              <w:right w:val="nil"/>
            </w:tcBorders>
            <w:shd w:val="clear" w:color="auto" w:fill="auto"/>
            <w:noWrap/>
            <w:vAlign w:val="center"/>
            <w:hideMark/>
          </w:tcPr>
          <w:p w14:paraId="7EFE0714" w14:textId="77777777" w:rsidR="00991E14" w:rsidRPr="007569D3" w:rsidRDefault="00991E14" w:rsidP="00B707D2">
            <w:pPr>
              <w:spacing w:line="240" w:lineRule="auto"/>
              <w:jc w:val="center"/>
              <w:rPr>
                <w:rFonts w:eastAsia="Times New Roman" w:cs="Times New Roman"/>
                <w:b/>
                <w:bCs/>
                <w:color w:val="000000"/>
                <w:sz w:val="16"/>
                <w:szCs w:val="16"/>
                <w:lang w:val="nl-NL" w:eastAsia="zh-CN"/>
              </w:rPr>
            </w:pPr>
            <w:r w:rsidRPr="007569D3">
              <w:rPr>
                <w:rFonts w:eastAsia="Times New Roman" w:cs="Times New Roman"/>
                <w:b/>
                <w:bCs/>
                <w:color w:val="000000"/>
                <w:sz w:val="16"/>
                <w:szCs w:val="16"/>
                <w:lang w:val="nl-NL" w:eastAsia="zh-CN"/>
              </w:rPr>
              <w:t>0.091</w:t>
            </w:r>
          </w:p>
        </w:tc>
        <w:tc>
          <w:tcPr>
            <w:tcW w:w="0" w:type="auto"/>
            <w:tcBorders>
              <w:top w:val="nil"/>
              <w:left w:val="nil"/>
              <w:bottom w:val="nil"/>
              <w:right w:val="nil"/>
            </w:tcBorders>
            <w:shd w:val="clear" w:color="auto" w:fill="auto"/>
            <w:noWrap/>
            <w:vAlign w:val="center"/>
            <w:hideMark/>
          </w:tcPr>
          <w:p w14:paraId="726291A9" w14:textId="77777777" w:rsidR="00991E14" w:rsidRPr="007569D3" w:rsidRDefault="00991E14" w:rsidP="00B707D2">
            <w:pPr>
              <w:spacing w:line="240" w:lineRule="auto"/>
              <w:jc w:val="center"/>
              <w:rPr>
                <w:rFonts w:eastAsia="Times New Roman" w:cs="Times New Roman"/>
                <w:b/>
                <w:bCs/>
                <w:color w:val="000000"/>
                <w:sz w:val="16"/>
                <w:szCs w:val="16"/>
                <w:lang w:val="nl-NL" w:eastAsia="zh-CN"/>
              </w:rPr>
            </w:pPr>
            <w:r w:rsidRPr="007569D3">
              <w:rPr>
                <w:rFonts w:eastAsia="Times New Roman" w:cs="Times New Roman"/>
                <w:b/>
                <w:bCs/>
                <w:color w:val="000000"/>
                <w:sz w:val="16"/>
                <w:szCs w:val="16"/>
                <w:lang w:val="nl-NL" w:eastAsia="zh-CN"/>
              </w:rPr>
              <w:t>[0.590, 0.945]</w:t>
            </w:r>
          </w:p>
        </w:tc>
      </w:tr>
      <w:tr w:rsidR="00991E14" w:rsidRPr="00991E14" w14:paraId="6A1ED824" w14:textId="77777777" w:rsidTr="00D14C1C">
        <w:trPr>
          <w:trHeight w:val="225"/>
        </w:trPr>
        <w:tc>
          <w:tcPr>
            <w:tcW w:w="0" w:type="auto"/>
            <w:tcBorders>
              <w:top w:val="nil"/>
              <w:left w:val="nil"/>
              <w:bottom w:val="nil"/>
              <w:right w:val="nil"/>
            </w:tcBorders>
            <w:shd w:val="clear" w:color="auto" w:fill="auto"/>
            <w:noWrap/>
            <w:vAlign w:val="bottom"/>
            <w:hideMark/>
          </w:tcPr>
          <w:p w14:paraId="6760728A" w14:textId="77777777"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proofErr w:type="spellStart"/>
            <w:r w:rsidRPr="00991E14">
              <w:rPr>
                <w:rFonts w:eastAsia="Times New Roman" w:cs="Times New Roman"/>
                <w:color w:val="000000"/>
                <w:sz w:val="16"/>
                <w:szCs w:val="16"/>
                <w:lang w:val="nl-NL" w:eastAsia="zh-CN"/>
              </w:rPr>
              <w:t>Sanction</w:t>
            </w:r>
            <w:proofErr w:type="spellEnd"/>
            <w:r w:rsidRPr="00991E14">
              <w:rPr>
                <w:rFonts w:eastAsia="Times New Roman" w:cs="Times New Roman"/>
                <w:color w:val="000000"/>
                <w:sz w:val="16"/>
                <w:szCs w:val="16"/>
                <w:lang w:val="nl-NL" w:eastAsia="zh-CN"/>
              </w:rPr>
              <w:t>-yes</w:t>
            </w:r>
          </w:p>
        </w:tc>
        <w:tc>
          <w:tcPr>
            <w:tcW w:w="0" w:type="auto"/>
            <w:tcBorders>
              <w:top w:val="nil"/>
              <w:left w:val="nil"/>
              <w:bottom w:val="nil"/>
              <w:right w:val="nil"/>
            </w:tcBorders>
            <w:shd w:val="clear" w:color="auto" w:fill="auto"/>
            <w:noWrap/>
            <w:vAlign w:val="center"/>
            <w:hideMark/>
          </w:tcPr>
          <w:p w14:paraId="7A170D2B" w14:textId="77777777"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p>
        </w:tc>
        <w:tc>
          <w:tcPr>
            <w:tcW w:w="0" w:type="auto"/>
            <w:tcBorders>
              <w:top w:val="nil"/>
              <w:left w:val="nil"/>
              <w:bottom w:val="nil"/>
              <w:right w:val="nil"/>
            </w:tcBorders>
            <w:shd w:val="clear" w:color="auto" w:fill="auto"/>
            <w:noWrap/>
            <w:vAlign w:val="center"/>
            <w:hideMark/>
          </w:tcPr>
          <w:p w14:paraId="6161202F"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661C84C3"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6F1E16F0"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7062D6D1"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1AD803D8"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6C1828F1"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75E79D95"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51955D08" w14:textId="77777777" w:rsidR="00991E14" w:rsidRPr="00991E14" w:rsidRDefault="00991E14" w:rsidP="00B707D2">
            <w:pPr>
              <w:spacing w:line="240" w:lineRule="auto"/>
              <w:jc w:val="center"/>
              <w:rPr>
                <w:rFonts w:eastAsia="Times New Roman" w:cs="Times New Roman"/>
                <w:sz w:val="20"/>
                <w:szCs w:val="20"/>
                <w:lang w:val="nl-NL" w:eastAsia="zh-CN"/>
              </w:rPr>
            </w:pPr>
          </w:p>
        </w:tc>
      </w:tr>
      <w:tr w:rsidR="00991E14" w:rsidRPr="00991E14" w14:paraId="06040ED1" w14:textId="77777777" w:rsidTr="00D14C1C">
        <w:trPr>
          <w:trHeight w:val="225"/>
        </w:trPr>
        <w:tc>
          <w:tcPr>
            <w:tcW w:w="0" w:type="auto"/>
            <w:tcBorders>
              <w:top w:val="nil"/>
              <w:left w:val="nil"/>
              <w:bottom w:val="nil"/>
              <w:right w:val="nil"/>
            </w:tcBorders>
            <w:shd w:val="clear" w:color="auto" w:fill="auto"/>
            <w:noWrap/>
            <w:vAlign w:val="bottom"/>
            <w:hideMark/>
          </w:tcPr>
          <w:p w14:paraId="3C56CDEC" w14:textId="77777777"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proofErr w:type="spellStart"/>
            <w:r w:rsidRPr="00991E14">
              <w:rPr>
                <w:rFonts w:eastAsia="Times New Roman" w:cs="Times New Roman"/>
                <w:color w:val="000000"/>
                <w:sz w:val="16"/>
                <w:szCs w:val="16"/>
                <w:lang w:val="nl-NL" w:eastAsia="zh-CN"/>
              </w:rPr>
              <w:t>Sanction</w:t>
            </w:r>
            <w:proofErr w:type="spellEnd"/>
            <w:r w:rsidRPr="00991E14">
              <w:rPr>
                <w:rFonts w:eastAsia="Times New Roman" w:cs="Times New Roman"/>
                <w:color w:val="000000"/>
                <w:sz w:val="16"/>
                <w:szCs w:val="16"/>
                <w:lang w:val="nl-NL" w:eastAsia="zh-CN"/>
              </w:rPr>
              <w:t>-mixed</w:t>
            </w:r>
          </w:p>
        </w:tc>
        <w:tc>
          <w:tcPr>
            <w:tcW w:w="0" w:type="auto"/>
            <w:tcBorders>
              <w:top w:val="nil"/>
              <w:left w:val="nil"/>
              <w:bottom w:val="nil"/>
              <w:right w:val="nil"/>
            </w:tcBorders>
            <w:shd w:val="clear" w:color="auto" w:fill="auto"/>
            <w:noWrap/>
            <w:vAlign w:val="center"/>
            <w:hideMark/>
          </w:tcPr>
          <w:p w14:paraId="69269F56" w14:textId="77777777"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p>
        </w:tc>
        <w:tc>
          <w:tcPr>
            <w:tcW w:w="0" w:type="auto"/>
            <w:tcBorders>
              <w:top w:val="nil"/>
              <w:left w:val="nil"/>
              <w:bottom w:val="nil"/>
              <w:right w:val="nil"/>
            </w:tcBorders>
            <w:shd w:val="clear" w:color="auto" w:fill="auto"/>
            <w:noWrap/>
            <w:vAlign w:val="center"/>
            <w:hideMark/>
          </w:tcPr>
          <w:p w14:paraId="09BBA6D3"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7EFB9470"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147A77D7"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39541CFE"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6AE9045A"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0858E6DC"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559D4AA1"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0E44F1FC" w14:textId="77777777" w:rsidR="00991E14" w:rsidRPr="00991E14" w:rsidRDefault="00991E14" w:rsidP="00B707D2">
            <w:pPr>
              <w:spacing w:line="240" w:lineRule="auto"/>
              <w:jc w:val="center"/>
              <w:rPr>
                <w:rFonts w:eastAsia="Times New Roman" w:cs="Times New Roman"/>
                <w:sz w:val="20"/>
                <w:szCs w:val="20"/>
                <w:lang w:val="nl-NL" w:eastAsia="zh-CN"/>
              </w:rPr>
            </w:pPr>
          </w:p>
        </w:tc>
      </w:tr>
      <w:tr w:rsidR="00991E14" w:rsidRPr="00991E14" w14:paraId="67B5BDB7" w14:textId="77777777" w:rsidTr="00D14C1C">
        <w:trPr>
          <w:trHeight w:val="225"/>
        </w:trPr>
        <w:tc>
          <w:tcPr>
            <w:tcW w:w="0" w:type="auto"/>
            <w:tcBorders>
              <w:top w:val="nil"/>
              <w:left w:val="nil"/>
              <w:bottom w:val="nil"/>
              <w:right w:val="nil"/>
            </w:tcBorders>
            <w:shd w:val="clear" w:color="auto" w:fill="auto"/>
            <w:noWrap/>
            <w:vAlign w:val="bottom"/>
            <w:hideMark/>
          </w:tcPr>
          <w:p w14:paraId="64B9193A" w14:textId="1FCE4C4C" w:rsidR="00991E14" w:rsidRPr="00991E14" w:rsidRDefault="00E12E47" w:rsidP="00B707D2">
            <w:pPr>
              <w:spacing w:line="240" w:lineRule="auto"/>
              <w:ind w:firstLineChars="200" w:firstLine="320"/>
              <w:rPr>
                <w:rFonts w:eastAsia="Times New Roman" w:cs="Times New Roman"/>
                <w:color w:val="000000"/>
                <w:sz w:val="16"/>
                <w:szCs w:val="16"/>
                <w:lang w:val="nl-NL" w:eastAsia="zh-CN"/>
              </w:rPr>
            </w:pPr>
            <w:r>
              <w:rPr>
                <w:rFonts w:eastAsia="Times New Roman" w:cs="Times New Roman"/>
                <w:color w:val="000000"/>
                <w:sz w:val="16"/>
                <w:szCs w:val="16"/>
                <w:lang w:val="nl-NL" w:eastAsia="zh-CN"/>
              </w:rPr>
              <w:t>Communication</w:t>
            </w:r>
            <w:r w:rsidR="00991E14" w:rsidRPr="00991E14">
              <w:rPr>
                <w:rFonts w:eastAsia="Times New Roman" w:cs="Times New Roman"/>
                <w:color w:val="000000"/>
                <w:sz w:val="16"/>
                <w:szCs w:val="16"/>
                <w:lang w:val="nl-NL" w:eastAsia="zh-CN"/>
              </w:rPr>
              <w:t>-yes</w:t>
            </w:r>
          </w:p>
        </w:tc>
        <w:tc>
          <w:tcPr>
            <w:tcW w:w="0" w:type="auto"/>
            <w:tcBorders>
              <w:top w:val="nil"/>
              <w:left w:val="nil"/>
              <w:bottom w:val="nil"/>
              <w:right w:val="nil"/>
            </w:tcBorders>
            <w:shd w:val="clear" w:color="auto" w:fill="auto"/>
            <w:noWrap/>
            <w:vAlign w:val="center"/>
            <w:hideMark/>
          </w:tcPr>
          <w:p w14:paraId="2C09B3D8" w14:textId="77777777"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p>
        </w:tc>
        <w:tc>
          <w:tcPr>
            <w:tcW w:w="0" w:type="auto"/>
            <w:tcBorders>
              <w:top w:val="nil"/>
              <w:left w:val="nil"/>
              <w:bottom w:val="nil"/>
              <w:right w:val="nil"/>
            </w:tcBorders>
            <w:shd w:val="clear" w:color="auto" w:fill="auto"/>
            <w:noWrap/>
            <w:vAlign w:val="center"/>
            <w:hideMark/>
          </w:tcPr>
          <w:p w14:paraId="0B451CEB"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757326BB"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5DA1B916"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2046633A"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47596091"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4ADA72DE"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39758079"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6BCE62EB" w14:textId="77777777" w:rsidR="00991E14" w:rsidRPr="00991E14" w:rsidRDefault="00991E14" w:rsidP="00B707D2">
            <w:pPr>
              <w:spacing w:line="240" w:lineRule="auto"/>
              <w:jc w:val="center"/>
              <w:rPr>
                <w:rFonts w:eastAsia="Times New Roman" w:cs="Times New Roman"/>
                <w:sz w:val="20"/>
                <w:szCs w:val="20"/>
                <w:lang w:val="nl-NL" w:eastAsia="zh-CN"/>
              </w:rPr>
            </w:pPr>
          </w:p>
        </w:tc>
      </w:tr>
      <w:tr w:rsidR="00991E14" w:rsidRPr="00991E14" w14:paraId="15781B89" w14:textId="77777777" w:rsidTr="00D14C1C">
        <w:trPr>
          <w:trHeight w:val="225"/>
        </w:trPr>
        <w:tc>
          <w:tcPr>
            <w:tcW w:w="0" w:type="auto"/>
            <w:tcBorders>
              <w:top w:val="nil"/>
              <w:left w:val="nil"/>
              <w:bottom w:val="nil"/>
              <w:right w:val="nil"/>
            </w:tcBorders>
            <w:shd w:val="clear" w:color="auto" w:fill="auto"/>
            <w:noWrap/>
            <w:vAlign w:val="bottom"/>
            <w:hideMark/>
          </w:tcPr>
          <w:p w14:paraId="423C087F" w14:textId="64C96B25" w:rsidR="00991E14" w:rsidRPr="00991E14" w:rsidRDefault="00E12E47" w:rsidP="00B707D2">
            <w:pPr>
              <w:spacing w:line="240" w:lineRule="auto"/>
              <w:ind w:firstLineChars="200" w:firstLine="320"/>
              <w:rPr>
                <w:rFonts w:eastAsia="Times New Roman" w:cs="Times New Roman"/>
                <w:color w:val="000000"/>
                <w:sz w:val="16"/>
                <w:szCs w:val="16"/>
                <w:lang w:val="nl-NL" w:eastAsia="zh-CN"/>
              </w:rPr>
            </w:pPr>
            <w:r>
              <w:rPr>
                <w:rFonts w:eastAsia="Times New Roman" w:cs="Times New Roman"/>
                <w:color w:val="000000"/>
                <w:sz w:val="16"/>
                <w:szCs w:val="16"/>
                <w:lang w:val="nl-NL" w:eastAsia="zh-CN"/>
              </w:rPr>
              <w:t>Communication</w:t>
            </w:r>
            <w:r w:rsidRPr="00991E14">
              <w:rPr>
                <w:rFonts w:eastAsia="Times New Roman" w:cs="Times New Roman"/>
                <w:color w:val="000000"/>
                <w:sz w:val="16"/>
                <w:szCs w:val="16"/>
                <w:lang w:val="nl-NL" w:eastAsia="zh-CN"/>
              </w:rPr>
              <w:t xml:space="preserve"> </w:t>
            </w:r>
            <w:r w:rsidR="00991E14" w:rsidRPr="00991E14">
              <w:rPr>
                <w:rFonts w:eastAsia="Times New Roman" w:cs="Times New Roman"/>
                <w:color w:val="000000"/>
                <w:sz w:val="16"/>
                <w:szCs w:val="16"/>
                <w:lang w:val="nl-NL" w:eastAsia="zh-CN"/>
              </w:rPr>
              <w:t>-mixed</w:t>
            </w:r>
          </w:p>
        </w:tc>
        <w:tc>
          <w:tcPr>
            <w:tcW w:w="0" w:type="auto"/>
            <w:tcBorders>
              <w:top w:val="nil"/>
              <w:left w:val="nil"/>
              <w:bottom w:val="nil"/>
              <w:right w:val="nil"/>
            </w:tcBorders>
            <w:shd w:val="clear" w:color="auto" w:fill="auto"/>
            <w:noWrap/>
            <w:vAlign w:val="center"/>
            <w:hideMark/>
          </w:tcPr>
          <w:p w14:paraId="141EC303" w14:textId="77777777"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p>
        </w:tc>
        <w:tc>
          <w:tcPr>
            <w:tcW w:w="0" w:type="auto"/>
            <w:tcBorders>
              <w:top w:val="nil"/>
              <w:left w:val="nil"/>
              <w:bottom w:val="nil"/>
              <w:right w:val="nil"/>
            </w:tcBorders>
            <w:shd w:val="clear" w:color="auto" w:fill="auto"/>
            <w:noWrap/>
            <w:vAlign w:val="center"/>
            <w:hideMark/>
          </w:tcPr>
          <w:p w14:paraId="7B2BF984"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61103C54"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46E75AA0"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348C8C7C"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0EF63B27"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1748134C"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43191311"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33FD3F74" w14:textId="77777777" w:rsidR="00991E14" w:rsidRPr="00991E14" w:rsidRDefault="00991E14" w:rsidP="00B707D2">
            <w:pPr>
              <w:spacing w:line="240" w:lineRule="auto"/>
              <w:jc w:val="center"/>
              <w:rPr>
                <w:rFonts w:eastAsia="Times New Roman" w:cs="Times New Roman"/>
                <w:sz w:val="20"/>
                <w:szCs w:val="20"/>
                <w:lang w:val="nl-NL" w:eastAsia="zh-CN"/>
              </w:rPr>
            </w:pPr>
          </w:p>
        </w:tc>
      </w:tr>
      <w:tr w:rsidR="00991E14" w:rsidRPr="00991E14" w14:paraId="5EEA221B" w14:textId="77777777" w:rsidTr="00D14C1C">
        <w:trPr>
          <w:trHeight w:val="225"/>
        </w:trPr>
        <w:tc>
          <w:tcPr>
            <w:tcW w:w="0" w:type="auto"/>
            <w:tcBorders>
              <w:top w:val="nil"/>
              <w:left w:val="nil"/>
              <w:bottom w:val="nil"/>
              <w:right w:val="nil"/>
            </w:tcBorders>
            <w:shd w:val="clear" w:color="auto" w:fill="auto"/>
            <w:noWrap/>
            <w:hideMark/>
          </w:tcPr>
          <w:p w14:paraId="3BC51ACE" w14:textId="77777777"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proofErr w:type="spellStart"/>
            <w:r w:rsidRPr="00991E14">
              <w:rPr>
                <w:rFonts w:eastAsia="Times New Roman" w:cs="Times New Roman"/>
                <w:color w:val="000000"/>
                <w:sz w:val="16"/>
                <w:szCs w:val="16"/>
                <w:lang w:val="nl-NL" w:eastAsia="zh-CN"/>
              </w:rPr>
              <w:t>Deception</w:t>
            </w:r>
            <w:proofErr w:type="spellEnd"/>
            <w:r w:rsidRPr="00991E14">
              <w:rPr>
                <w:rFonts w:eastAsia="Times New Roman" w:cs="Times New Roman"/>
                <w:color w:val="000000"/>
                <w:sz w:val="16"/>
                <w:szCs w:val="16"/>
                <w:lang w:val="nl-NL" w:eastAsia="zh-CN"/>
              </w:rPr>
              <w:t>-yes</w:t>
            </w:r>
          </w:p>
        </w:tc>
        <w:tc>
          <w:tcPr>
            <w:tcW w:w="0" w:type="auto"/>
            <w:tcBorders>
              <w:top w:val="nil"/>
              <w:left w:val="nil"/>
              <w:bottom w:val="nil"/>
              <w:right w:val="nil"/>
            </w:tcBorders>
            <w:shd w:val="clear" w:color="auto" w:fill="auto"/>
            <w:noWrap/>
            <w:vAlign w:val="center"/>
            <w:hideMark/>
          </w:tcPr>
          <w:p w14:paraId="13A227FB" w14:textId="77777777"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p>
        </w:tc>
        <w:tc>
          <w:tcPr>
            <w:tcW w:w="0" w:type="auto"/>
            <w:tcBorders>
              <w:top w:val="nil"/>
              <w:left w:val="nil"/>
              <w:bottom w:val="nil"/>
              <w:right w:val="nil"/>
            </w:tcBorders>
            <w:shd w:val="clear" w:color="auto" w:fill="auto"/>
            <w:noWrap/>
            <w:vAlign w:val="center"/>
            <w:hideMark/>
          </w:tcPr>
          <w:p w14:paraId="4EE4852D"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2FD5E3A5"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3B8AF1AE"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5C6677A7"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62091A88"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124BBD95"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7EB4BF5D"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771E4280" w14:textId="77777777" w:rsidR="00991E14" w:rsidRPr="00991E14" w:rsidRDefault="00991E14" w:rsidP="00B707D2">
            <w:pPr>
              <w:spacing w:line="240" w:lineRule="auto"/>
              <w:jc w:val="center"/>
              <w:rPr>
                <w:rFonts w:eastAsia="Times New Roman" w:cs="Times New Roman"/>
                <w:sz w:val="20"/>
                <w:szCs w:val="20"/>
                <w:lang w:val="nl-NL" w:eastAsia="zh-CN"/>
              </w:rPr>
            </w:pPr>
          </w:p>
        </w:tc>
      </w:tr>
      <w:tr w:rsidR="00991E14" w:rsidRPr="00991E14" w14:paraId="35FE3674" w14:textId="77777777" w:rsidTr="00D14C1C">
        <w:trPr>
          <w:trHeight w:val="225"/>
        </w:trPr>
        <w:tc>
          <w:tcPr>
            <w:tcW w:w="0" w:type="auto"/>
            <w:tcBorders>
              <w:top w:val="nil"/>
              <w:left w:val="nil"/>
              <w:bottom w:val="nil"/>
              <w:right w:val="nil"/>
            </w:tcBorders>
            <w:shd w:val="clear" w:color="auto" w:fill="auto"/>
            <w:noWrap/>
            <w:hideMark/>
          </w:tcPr>
          <w:p w14:paraId="572B5E84" w14:textId="77777777"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proofErr w:type="spellStart"/>
            <w:r w:rsidRPr="00991E14">
              <w:rPr>
                <w:rFonts w:eastAsia="Times New Roman" w:cs="Times New Roman"/>
                <w:color w:val="000000"/>
                <w:sz w:val="16"/>
                <w:szCs w:val="16"/>
                <w:lang w:val="nl-NL" w:eastAsia="zh-CN"/>
              </w:rPr>
              <w:t>Deception</w:t>
            </w:r>
            <w:proofErr w:type="spellEnd"/>
            <w:r w:rsidRPr="00991E14">
              <w:rPr>
                <w:rFonts w:eastAsia="Times New Roman" w:cs="Times New Roman"/>
                <w:color w:val="000000"/>
                <w:sz w:val="16"/>
                <w:szCs w:val="16"/>
                <w:lang w:val="nl-NL" w:eastAsia="zh-CN"/>
              </w:rPr>
              <w:t>-mixed</w:t>
            </w:r>
          </w:p>
        </w:tc>
        <w:tc>
          <w:tcPr>
            <w:tcW w:w="0" w:type="auto"/>
            <w:tcBorders>
              <w:top w:val="nil"/>
              <w:left w:val="nil"/>
              <w:bottom w:val="nil"/>
              <w:right w:val="nil"/>
            </w:tcBorders>
            <w:shd w:val="clear" w:color="auto" w:fill="auto"/>
            <w:noWrap/>
            <w:vAlign w:val="center"/>
            <w:hideMark/>
          </w:tcPr>
          <w:p w14:paraId="35D5DFB2" w14:textId="77777777"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p>
        </w:tc>
        <w:tc>
          <w:tcPr>
            <w:tcW w:w="0" w:type="auto"/>
            <w:tcBorders>
              <w:top w:val="nil"/>
              <w:left w:val="nil"/>
              <w:bottom w:val="nil"/>
              <w:right w:val="nil"/>
            </w:tcBorders>
            <w:shd w:val="clear" w:color="auto" w:fill="auto"/>
            <w:noWrap/>
            <w:vAlign w:val="center"/>
            <w:hideMark/>
          </w:tcPr>
          <w:p w14:paraId="68F37F29"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60623D61"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33D9AB40"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408B7723"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41665F18"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0F5AEC58"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2E29B088"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10660C9A" w14:textId="77777777" w:rsidR="00991E14" w:rsidRPr="00991E14" w:rsidRDefault="00991E14" w:rsidP="00B707D2">
            <w:pPr>
              <w:spacing w:line="240" w:lineRule="auto"/>
              <w:jc w:val="center"/>
              <w:rPr>
                <w:rFonts w:eastAsia="Times New Roman" w:cs="Times New Roman"/>
                <w:sz w:val="20"/>
                <w:szCs w:val="20"/>
                <w:lang w:val="nl-NL" w:eastAsia="zh-CN"/>
              </w:rPr>
            </w:pPr>
          </w:p>
        </w:tc>
      </w:tr>
      <w:tr w:rsidR="00991E14" w:rsidRPr="00991E14" w14:paraId="2314CAA8" w14:textId="77777777" w:rsidTr="00D14C1C">
        <w:trPr>
          <w:trHeight w:val="225"/>
        </w:trPr>
        <w:tc>
          <w:tcPr>
            <w:tcW w:w="0" w:type="auto"/>
            <w:tcBorders>
              <w:top w:val="nil"/>
              <w:left w:val="nil"/>
              <w:bottom w:val="nil"/>
              <w:right w:val="nil"/>
            </w:tcBorders>
            <w:shd w:val="clear" w:color="auto" w:fill="auto"/>
            <w:noWrap/>
            <w:vAlign w:val="bottom"/>
            <w:hideMark/>
          </w:tcPr>
          <w:p w14:paraId="747BD70E" w14:textId="77777777" w:rsidR="00991E14" w:rsidRPr="00991E14" w:rsidRDefault="00991E14" w:rsidP="00B707D2">
            <w:pPr>
              <w:spacing w:line="240" w:lineRule="auto"/>
              <w:rPr>
                <w:rFonts w:eastAsia="Times New Roman" w:cs="Times New Roman"/>
                <w:i/>
                <w:iCs/>
                <w:color w:val="000000"/>
                <w:sz w:val="16"/>
                <w:szCs w:val="16"/>
                <w:lang w:val="nl-NL" w:eastAsia="zh-CN"/>
              </w:rPr>
            </w:pPr>
            <w:r w:rsidRPr="00991E14">
              <w:rPr>
                <w:rFonts w:eastAsia="Times New Roman" w:cs="Times New Roman"/>
                <w:i/>
                <w:iCs/>
                <w:color w:val="000000"/>
                <w:sz w:val="16"/>
                <w:szCs w:val="16"/>
                <w:lang w:val="nl-NL" w:eastAsia="zh-CN"/>
              </w:rPr>
              <w:t xml:space="preserve">Model </w:t>
            </w:r>
            <w:proofErr w:type="spellStart"/>
            <w:r w:rsidRPr="00991E14">
              <w:rPr>
                <w:rFonts w:eastAsia="Times New Roman" w:cs="Times New Roman"/>
                <w:i/>
                <w:iCs/>
                <w:color w:val="000000"/>
                <w:sz w:val="16"/>
                <w:szCs w:val="16"/>
                <w:lang w:val="nl-NL" w:eastAsia="zh-CN"/>
              </w:rPr>
              <w:t>statistics</w:t>
            </w:r>
            <w:proofErr w:type="spellEnd"/>
          </w:p>
        </w:tc>
        <w:tc>
          <w:tcPr>
            <w:tcW w:w="0" w:type="auto"/>
            <w:tcBorders>
              <w:top w:val="nil"/>
              <w:left w:val="nil"/>
              <w:bottom w:val="nil"/>
              <w:right w:val="nil"/>
            </w:tcBorders>
            <w:shd w:val="clear" w:color="auto" w:fill="auto"/>
            <w:noWrap/>
            <w:vAlign w:val="center"/>
            <w:hideMark/>
          </w:tcPr>
          <w:p w14:paraId="4DF628E6" w14:textId="77777777" w:rsidR="00991E14" w:rsidRPr="00991E14" w:rsidRDefault="00991E14" w:rsidP="00B707D2">
            <w:pPr>
              <w:spacing w:line="240" w:lineRule="auto"/>
              <w:rPr>
                <w:rFonts w:eastAsia="Times New Roman" w:cs="Times New Roman"/>
                <w:i/>
                <w:iCs/>
                <w:color w:val="000000"/>
                <w:sz w:val="16"/>
                <w:szCs w:val="16"/>
                <w:lang w:val="nl-NL" w:eastAsia="zh-CN"/>
              </w:rPr>
            </w:pPr>
          </w:p>
        </w:tc>
        <w:tc>
          <w:tcPr>
            <w:tcW w:w="0" w:type="auto"/>
            <w:tcBorders>
              <w:top w:val="nil"/>
              <w:left w:val="nil"/>
              <w:bottom w:val="nil"/>
              <w:right w:val="nil"/>
            </w:tcBorders>
            <w:shd w:val="clear" w:color="auto" w:fill="auto"/>
            <w:noWrap/>
            <w:vAlign w:val="center"/>
            <w:hideMark/>
          </w:tcPr>
          <w:p w14:paraId="778BE049"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4C283D77"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3ECADC44"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0770F4F9"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1372A6E3"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30790F4F"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2F4D100F" w14:textId="77777777" w:rsidR="00991E14" w:rsidRPr="00991E14" w:rsidRDefault="00991E14" w:rsidP="00B707D2">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3A6DD86E" w14:textId="77777777" w:rsidR="00991E14" w:rsidRPr="00991E14" w:rsidRDefault="00991E14" w:rsidP="00B707D2">
            <w:pPr>
              <w:spacing w:line="240" w:lineRule="auto"/>
              <w:jc w:val="center"/>
              <w:rPr>
                <w:rFonts w:eastAsia="Times New Roman" w:cs="Times New Roman"/>
                <w:sz w:val="20"/>
                <w:szCs w:val="20"/>
                <w:lang w:val="nl-NL" w:eastAsia="zh-CN"/>
              </w:rPr>
            </w:pPr>
          </w:p>
        </w:tc>
      </w:tr>
      <w:tr w:rsidR="00991E14" w:rsidRPr="00991E14" w14:paraId="1A9677C3" w14:textId="77777777" w:rsidTr="00D14C1C">
        <w:trPr>
          <w:trHeight w:val="255"/>
        </w:trPr>
        <w:tc>
          <w:tcPr>
            <w:tcW w:w="0" w:type="auto"/>
            <w:tcBorders>
              <w:top w:val="nil"/>
              <w:left w:val="nil"/>
              <w:bottom w:val="nil"/>
              <w:right w:val="nil"/>
            </w:tcBorders>
            <w:shd w:val="clear" w:color="auto" w:fill="auto"/>
            <w:noWrap/>
            <w:vAlign w:val="bottom"/>
            <w:hideMark/>
          </w:tcPr>
          <w:p w14:paraId="6FAF4893" w14:textId="77777777"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proofErr w:type="spellStart"/>
            <w:r w:rsidRPr="00991E14">
              <w:rPr>
                <w:rFonts w:eastAsia="Times New Roman" w:cs="Times New Roman"/>
                <w:i/>
                <w:iCs/>
                <w:color w:val="000000"/>
                <w:sz w:val="16"/>
                <w:szCs w:val="16"/>
                <w:lang w:val="nl-NL" w:eastAsia="zh-CN"/>
              </w:rPr>
              <w:t>Q</w:t>
            </w:r>
            <w:r w:rsidRPr="00991E14">
              <w:rPr>
                <w:rFonts w:eastAsia="Times New Roman" w:cs="Times New Roman"/>
                <w:color w:val="000000"/>
                <w:sz w:val="16"/>
                <w:szCs w:val="16"/>
                <w:vertAlign w:val="subscript"/>
                <w:lang w:val="nl-NL" w:eastAsia="zh-CN"/>
              </w:rPr>
              <w:t>residual</w:t>
            </w:r>
            <w:proofErr w:type="spellEnd"/>
            <w:r w:rsidRPr="00991E14">
              <w:rPr>
                <w:rFonts w:eastAsia="Times New Roman" w:cs="Times New Roman"/>
                <w:color w:val="000000"/>
                <w:sz w:val="16"/>
                <w:szCs w:val="16"/>
                <w:lang w:val="nl-NL" w:eastAsia="zh-CN"/>
              </w:rPr>
              <w:t>(</w:t>
            </w:r>
            <w:proofErr w:type="spellStart"/>
            <w:r w:rsidRPr="00991E14">
              <w:rPr>
                <w:rFonts w:eastAsia="Times New Roman" w:cs="Times New Roman"/>
                <w:i/>
                <w:iCs/>
                <w:color w:val="000000"/>
                <w:sz w:val="16"/>
                <w:szCs w:val="16"/>
                <w:lang w:val="nl-NL" w:eastAsia="zh-CN"/>
              </w:rPr>
              <w:t>df</w:t>
            </w:r>
            <w:proofErr w:type="spellEnd"/>
            <w:r w:rsidRPr="00991E14">
              <w:rPr>
                <w:rFonts w:eastAsia="Times New Roman" w:cs="Times New Roman"/>
                <w:color w:val="000000"/>
                <w:sz w:val="16"/>
                <w:szCs w:val="16"/>
                <w:lang w:val="nl-NL" w:eastAsia="zh-CN"/>
              </w:rPr>
              <w:t>)</w:t>
            </w:r>
          </w:p>
        </w:tc>
        <w:tc>
          <w:tcPr>
            <w:tcW w:w="0" w:type="auto"/>
            <w:gridSpan w:val="3"/>
            <w:tcBorders>
              <w:top w:val="nil"/>
              <w:left w:val="nil"/>
              <w:bottom w:val="nil"/>
              <w:right w:val="nil"/>
            </w:tcBorders>
            <w:shd w:val="clear" w:color="auto" w:fill="auto"/>
            <w:noWrap/>
            <w:vAlign w:val="center"/>
            <w:hideMark/>
          </w:tcPr>
          <w:p w14:paraId="32801C6D"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72299.63 (2333)*</w:t>
            </w:r>
          </w:p>
        </w:tc>
        <w:tc>
          <w:tcPr>
            <w:tcW w:w="0" w:type="auto"/>
            <w:gridSpan w:val="3"/>
            <w:tcBorders>
              <w:top w:val="nil"/>
              <w:left w:val="nil"/>
              <w:bottom w:val="nil"/>
              <w:right w:val="nil"/>
            </w:tcBorders>
            <w:shd w:val="clear" w:color="auto" w:fill="auto"/>
            <w:noWrap/>
            <w:vAlign w:val="center"/>
            <w:hideMark/>
          </w:tcPr>
          <w:p w14:paraId="77CF4029"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70548.69 (2328)*</w:t>
            </w:r>
          </w:p>
        </w:tc>
        <w:tc>
          <w:tcPr>
            <w:tcW w:w="0" w:type="auto"/>
            <w:gridSpan w:val="3"/>
            <w:tcBorders>
              <w:top w:val="nil"/>
              <w:left w:val="nil"/>
              <w:bottom w:val="nil"/>
              <w:right w:val="nil"/>
            </w:tcBorders>
            <w:shd w:val="clear" w:color="auto" w:fill="auto"/>
            <w:noWrap/>
            <w:vAlign w:val="center"/>
            <w:hideMark/>
          </w:tcPr>
          <w:p w14:paraId="64DD586F"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70094.62 (2327)*</w:t>
            </w:r>
          </w:p>
        </w:tc>
      </w:tr>
      <w:tr w:rsidR="00991E14" w:rsidRPr="00991E14" w14:paraId="29ACE366" w14:textId="77777777" w:rsidTr="00D14C1C">
        <w:trPr>
          <w:trHeight w:val="255"/>
        </w:trPr>
        <w:tc>
          <w:tcPr>
            <w:tcW w:w="0" w:type="auto"/>
            <w:tcBorders>
              <w:top w:val="nil"/>
              <w:left w:val="nil"/>
              <w:bottom w:val="nil"/>
              <w:right w:val="nil"/>
            </w:tcBorders>
            <w:shd w:val="clear" w:color="auto" w:fill="auto"/>
            <w:noWrap/>
            <w:vAlign w:val="bottom"/>
            <w:hideMark/>
          </w:tcPr>
          <w:p w14:paraId="197D3ABA" w14:textId="77777777"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proofErr w:type="spellStart"/>
            <w:r w:rsidRPr="00991E14">
              <w:rPr>
                <w:rFonts w:eastAsia="Times New Roman" w:cs="Times New Roman"/>
                <w:i/>
                <w:iCs/>
                <w:color w:val="000000"/>
                <w:sz w:val="16"/>
                <w:szCs w:val="16"/>
                <w:lang w:val="nl-NL" w:eastAsia="zh-CN"/>
              </w:rPr>
              <w:t>F</w:t>
            </w:r>
            <w:r w:rsidRPr="00991E14">
              <w:rPr>
                <w:rFonts w:eastAsia="Times New Roman" w:cs="Times New Roman"/>
                <w:color w:val="000000"/>
                <w:sz w:val="16"/>
                <w:szCs w:val="16"/>
                <w:vertAlign w:val="subscript"/>
                <w:lang w:val="nl-NL" w:eastAsia="zh-CN"/>
              </w:rPr>
              <w:t>moderators</w:t>
            </w:r>
            <w:proofErr w:type="spellEnd"/>
            <w:r w:rsidRPr="00991E14">
              <w:rPr>
                <w:rFonts w:eastAsia="Times New Roman" w:cs="Times New Roman"/>
                <w:color w:val="000000"/>
                <w:sz w:val="16"/>
                <w:szCs w:val="16"/>
                <w:lang w:val="nl-NL" w:eastAsia="zh-CN"/>
              </w:rPr>
              <w:t>(</w:t>
            </w:r>
            <w:r w:rsidRPr="00991E14">
              <w:rPr>
                <w:rFonts w:eastAsia="Times New Roman" w:cs="Times New Roman"/>
                <w:i/>
                <w:iCs/>
                <w:color w:val="000000"/>
                <w:sz w:val="16"/>
                <w:szCs w:val="16"/>
                <w:lang w:val="nl-NL" w:eastAsia="zh-CN"/>
              </w:rPr>
              <w:t>df1</w:t>
            </w:r>
            <w:r w:rsidRPr="00991E14">
              <w:rPr>
                <w:rFonts w:eastAsia="Times New Roman" w:cs="Times New Roman"/>
                <w:color w:val="000000"/>
                <w:sz w:val="16"/>
                <w:szCs w:val="16"/>
                <w:lang w:val="nl-NL" w:eastAsia="zh-CN"/>
              </w:rPr>
              <w:t xml:space="preserve">, </w:t>
            </w:r>
            <w:r w:rsidRPr="00991E14">
              <w:rPr>
                <w:rFonts w:eastAsia="Times New Roman" w:cs="Times New Roman"/>
                <w:i/>
                <w:iCs/>
                <w:color w:val="000000"/>
                <w:sz w:val="16"/>
                <w:szCs w:val="16"/>
                <w:lang w:val="nl-NL" w:eastAsia="zh-CN"/>
              </w:rPr>
              <w:t>df2</w:t>
            </w:r>
            <w:r w:rsidRPr="00991E14">
              <w:rPr>
                <w:rFonts w:eastAsia="Times New Roman" w:cs="Times New Roman"/>
                <w:color w:val="000000"/>
                <w:sz w:val="16"/>
                <w:szCs w:val="16"/>
                <w:lang w:val="nl-NL" w:eastAsia="zh-CN"/>
              </w:rPr>
              <w:t>)</w:t>
            </w:r>
          </w:p>
        </w:tc>
        <w:tc>
          <w:tcPr>
            <w:tcW w:w="0" w:type="auto"/>
            <w:gridSpan w:val="3"/>
            <w:tcBorders>
              <w:top w:val="nil"/>
              <w:left w:val="nil"/>
              <w:bottom w:val="nil"/>
              <w:right w:val="nil"/>
            </w:tcBorders>
            <w:shd w:val="clear" w:color="auto" w:fill="auto"/>
            <w:noWrap/>
            <w:vAlign w:val="center"/>
            <w:hideMark/>
          </w:tcPr>
          <w:p w14:paraId="74429E99"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3.79 (6, 2333)*</w:t>
            </w:r>
          </w:p>
        </w:tc>
        <w:tc>
          <w:tcPr>
            <w:tcW w:w="0" w:type="auto"/>
            <w:gridSpan w:val="3"/>
            <w:tcBorders>
              <w:top w:val="nil"/>
              <w:left w:val="nil"/>
              <w:bottom w:val="nil"/>
              <w:right w:val="nil"/>
            </w:tcBorders>
            <w:shd w:val="clear" w:color="auto" w:fill="auto"/>
            <w:noWrap/>
            <w:vAlign w:val="center"/>
            <w:hideMark/>
          </w:tcPr>
          <w:p w14:paraId="3ACB5A27"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4.47 (11, 2328)*</w:t>
            </w:r>
          </w:p>
        </w:tc>
        <w:tc>
          <w:tcPr>
            <w:tcW w:w="0" w:type="auto"/>
            <w:gridSpan w:val="3"/>
            <w:tcBorders>
              <w:top w:val="nil"/>
              <w:left w:val="nil"/>
              <w:bottom w:val="nil"/>
              <w:right w:val="nil"/>
            </w:tcBorders>
            <w:shd w:val="clear" w:color="auto" w:fill="auto"/>
            <w:noWrap/>
            <w:vAlign w:val="center"/>
            <w:hideMark/>
          </w:tcPr>
          <w:p w14:paraId="264E6CB3"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10.08 (12, 2327)*</w:t>
            </w:r>
          </w:p>
        </w:tc>
      </w:tr>
      <w:tr w:rsidR="00991E14" w:rsidRPr="00991E14" w14:paraId="6D2D7E5B" w14:textId="77777777" w:rsidTr="00D14C1C">
        <w:trPr>
          <w:trHeight w:val="225"/>
        </w:trPr>
        <w:tc>
          <w:tcPr>
            <w:tcW w:w="0" w:type="auto"/>
            <w:tcBorders>
              <w:top w:val="nil"/>
              <w:left w:val="nil"/>
              <w:bottom w:val="nil"/>
              <w:right w:val="nil"/>
            </w:tcBorders>
            <w:shd w:val="clear" w:color="auto" w:fill="auto"/>
            <w:noWrap/>
            <w:vAlign w:val="bottom"/>
            <w:hideMark/>
          </w:tcPr>
          <w:p w14:paraId="689C87C2" w14:textId="77777777"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τ</w:t>
            </w:r>
            <w:r w:rsidRPr="00991E14">
              <w:rPr>
                <w:rFonts w:eastAsia="Times New Roman" w:cs="Times New Roman"/>
                <w:color w:val="000000"/>
                <w:sz w:val="16"/>
                <w:szCs w:val="16"/>
                <w:vertAlign w:val="superscript"/>
                <w:lang w:val="nl-NL" w:eastAsia="zh-CN"/>
              </w:rPr>
              <w:t>2</w:t>
            </w:r>
          </w:p>
        </w:tc>
        <w:tc>
          <w:tcPr>
            <w:tcW w:w="0" w:type="auto"/>
            <w:gridSpan w:val="3"/>
            <w:tcBorders>
              <w:top w:val="nil"/>
              <w:left w:val="nil"/>
              <w:bottom w:val="nil"/>
              <w:right w:val="nil"/>
            </w:tcBorders>
            <w:shd w:val="clear" w:color="auto" w:fill="auto"/>
            <w:noWrap/>
            <w:vAlign w:val="center"/>
            <w:hideMark/>
          </w:tcPr>
          <w:p w14:paraId="58111729"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0.4981</w:t>
            </w:r>
          </w:p>
        </w:tc>
        <w:tc>
          <w:tcPr>
            <w:tcW w:w="0" w:type="auto"/>
            <w:gridSpan w:val="3"/>
            <w:tcBorders>
              <w:top w:val="nil"/>
              <w:left w:val="nil"/>
              <w:bottom w:val="nil"/>
              <w:right w:val="nil"/>
            </w:tcBorders>
            <w:shd w:val="clear" w:color="auto" w:fill="auto"/>
            <w:noWrap/>
            <w:vAlign w:val="center"/>
            <w:hideMark/>
          </w:tcPr>
          <w:p w14:paraId="22B25923"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0.4929</w:t>
            </w:r>
          </w:p>
        </w:tc>
        <w:tc>
          <w:tcPr>
            <w:tcW w:w="0" w:type="auto"/>
            <w:gridSpan w:val="3"/>
            <w:tcBorders>
              <w:top w:val="nil"/>
              <w:left w:val="nil"/>
              <w:bottom w:val="nil"/>
              <w:right w:val="nil"/>
            </w:tcBorders>
            <w:shd w:val="clear" w:color="auto" w:fill="auto"/>
            <w:noWrap/>
            <w:vAlign w:val="center"/>
            <w:hideMark/>
          </w:tcPr>
          <w:p w14:paraId="2F125401"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0.484</w:t>
            </w:r>
          </w:p>
        </w:tc>
      </w:tr>
      <w:tr w:rsidR="00991E14" w:rsidRPr="00991E14" w14:paraId="5DC52684" w14:textId="77777777" w:rsidTr="00D14C1C">
        <w:trPr>
          <w:trHeight w:val="225"/>
        </w:trPr>
        <w:tc>
          <w:tcPr>
            <w:tcW w:w="0" w:type="auto"/>
            <w:tcBorders>
              <w:top w:val="nil"/>
              <w:left w:val="nil"/>
              <w:bottom w:val="nil"/>
              <w:right w:val="nil"/>
            </w:tcBorders>
            <w:shd w:val="clear" w:color="auto" w:fill="auto"/>
            <w:noWrap/>
            <w:vAlign w:val="bottom"/>
            <w:hideMark/>
          </w:tcPr>
          <w:p w14:paraId="05555AA7" w14:textId="77777777"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r w:rsidRPr="00991E14">
              <w:rPr>
                <w:rFonts w:eastAsia="Times New Roman" w:cs="Times New Roman"/>
                <w:i/>
                <w:iCs/>
                <w:color w:val="000000"/>
                <w:sz w:val="16"/>
                <w:szCs w:val="16"/>
                <w:lang w:val="nl-NL" w:eastAsia="zh-CN"/>
              </w:rPr>
              <w:t>I</w:t>
            </w:r>
            <w:r w:rsidRPr="00991E14">
              <w:rPr>
                <w:rFonts w:eastAsia="Times New Roman" w:cs="Times New Roman"/>
                <w:i/>
                <w:iCs/>
                <w:color w:val="000000"/>
                <w:sz w:val="16"/>
                <w:szCs w:val="16"/>
                <w:vertAlign w:val="superscript"/>
                <w:lang w:val="nl-NL" w:eastAsia="zh-CN"/>
              </w:rPr>
              <w:t>2</w:t>
            </w:r>
            <w:r w:rsidRPr="00991E14">
              <w:rPr>
                <w:rFonts w:eastAsia="Times New Roman" w:cs="Times New Roman"/>
                <w:color w:val="000000"/>
                <w:sz w:val="16"/>
                <w:szCs w:val="16"/>
                <w:lang w:val="nl-NL" w:eastAsia="zh-CN"/>
              </w:rPr>
              <w:t xml:space="preserve">: </w:t>
            </w:r>
            <w:proofErr w:type="spellStart"/>
            <w:r w:rsidRPr="00991E14">
              <w:rPr>
                <w:rFonts w:eastAsia="Times New Roman" w:cs="Times New Roman"/>
                <w:color w:val="000000"/>
                <w:sz w:val="16"/>
                <w:szCs w:val="16"/>
                <w:lang w:val="nl-NL" w:eastAsia="zh-CN"/>
              </w:rPr>
              <w:t>between-study</w:t>
            </w:r>
            <w:proofErr w:type="spellEnd"/>
            <w:r w:rsidRPr="00991E14">
              <w:rPr>
                <w:rFonts w:eastAsia="Times New Roman" w:cs="Times New Roman"/>
                <w:color w:val="000000"/>
                <w:sz w:val="16"/>
                <w:szCs w:val="16"/>
                <w:lang w:val="nl-NL" w:eastAsia="zh-CN"/>
              </w:rPr>
              <w:t xml:space="preserve"> level (%)</w:t>
            </w:r>
          </w:p>
        </w:tc>
        <w:tc>
          <w:tcPr>
            <w:tcW w:w="0" w:type="auto"/>
            <w:gridSpan w:val="3"/>
            <w:tcBorders>
              <w:top w:val="nil"/>
              <w:left w:val="nil"/>
              <w:bottom w:val="nil"/>
              <w:right w:val="nil"/>
            </w:tcBorders>
            <w:shd w:val="clear" w:color="auto" w:fill="auto"/>
            <w:noWrap/>
            <w:vAlign w:val="center"/>
            <w:hideMark/>
          </w:tcPr>
          <w:p w14:paraId="36837A3B"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45.67</w:t>
            </w:r>
          </w:p>
        </w:tc>
        <w:tc>
          <w:tcPr>
            <w:tcW w:w="0" w:type="auto"/>
            <w:gridSpan w:val="3"/>
            <w:tcBorders>
              <w:top w:val="nil"/>
              <w:left w:val="nil"/>
              <w:bottom w:val="nil"/>
              <w:right w:val="nil"/>
            </w:tcBorders>
            <w:shd w:val="clear" w:color="auto" w:fill="auto"/>
            <w:noWrap/>
            <w:vAlign w:val="center"/>
            <w:hideMark/>
          </w:tcPr>
          <w:p w14:paraId="6CF500CC"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45.42</w:t>
            </w:r>
          </w:p>
        </w:tc>
        <w:tc>
          <w:tcPr>
            <w:tcW w:w="0" w:type="auto"/>
            <w:gridSpan w:val="3"/>
            <w:tcBorders>
              <w:top w:val="nil"/>
              <w:left w:val="nil"/>
              <w:bottom w:val="nil"/>
              <w:right w:val="nil"/>
            </w:tcBorders>
            <w:shd w:val="clear" w:color="auto" w:fill="auto"/>
            <w:noWrap/>
            <w:vAlign w:val="center"/>
            <w:hideMark/>
          </w:tcPr>
          <w:p w14:paraId="0E2C8A5F"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48.74</w:t>
            </w:r>
          </w:p>
        </w:tc>
      </w:tr>
      <w:tr w:rsidR="00991E14" w:rsidRPr="00991E14" w14:paraId="48B36E7C" w14:textId="77777777" w:rsidTr="00D14C1C">
        <w:trPr>
          <w:trHeight w:val="225"/>
        </w:trPr>
        <w:tc>
          <w:tcPr>
            <w:tcW w:w="0" w:type="auto"/>
            <w:tcBorders>
              <w:top w:val="nil"/>
              <w:left w:val="nil"/>
              <w:bottom w:val="nil"/>
              <w:right w:val="nil"/>
            </w:tcBorders>
            <w:shd w:val="clear" w:color="auto" w:fill="auto"/>
            <w:noWrap/>
            <w:vAlign w:val="bottom"/>
            <w:hideMark/>
          </w:tcPr>
          <w:p w14:paraId="6F638525" w14:textId="77777777"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r w:rsidRPr="00991E14">
              <w:rPr>
                <w:rFonts w:eastAsia="Times New Roman" w:cs="Times New Roman"/>
                <w:i/>
                <w:iCs/>
                <w:color w:val="000000"/>
                <w:sz w:val="16"/>
                <w:szCs w:val="16"/>
                <w:lang w:val="nl-NL" w:eastAsia="zh-CN"/>
              </w:rPr>
              <w:t>I</w:t>
            </w:r>
            <w:r w:rsidRPr="00991E14">
              <w:rPr>
                <w:rFonts w:eastAsia="Times New Roman" w:cs="Times New Roman"/>
                <w:i/>
                <w:iCs/>
                <w:color w:val="000000"/>
                <w:sz w:val="16"/>
                <w:szCs w:val="16"/>
                <w:vertAlign w:val="superscript"/>
                <w:lang w:val="nl-NL" w:eastAsia="zh-CN"/>
              </w:rPr>
              <w:t>2</w:t>
            </w:r>
            <w:r w:rsidRPr="00991E14">
              <w:rPr>
                <w:rFonts w:eastAsia="Times New Roman" w:cs="Times New Roman"/>
                <w:color w:val="000000"/>
                <w:sz w:val="16"/>
                <w:szCs w:val="16"/>
                <w:lang w:val="nl-NL" w:eastAsia="zh-CN"/>
              </w:rPr>
              <w:t xml:space="preserve">: </w:t>
            </w:r>
            <w:proofErr w:type="spellStart"/>
            <w:r w:rsidRPr="00991E14">
              <w:rPr>
                <w:rFonts w:eastAsia="Times New Roman" w:cs="Times New Roman"/>
                <w:color w:val="000000"/>
                <w:sz w:val="16"/>
                <w:szCs w:val="16"/>
                <w:lang w:val="nl-NL" w:eastAsia="zh-CN"/>
              </w:rPr>
              <w:t>within-study</w:t>
            </w:r>
            <w:proofErr w:type="spellEnd"/>
            <w:r w:rsidRPr="00991E14">
              <w:rPr>
                <w:rFonts w:eastAsia="Times New Roman" w:cs="Times New Roman"/>
                <w:color w:val="000000"/>
                <w:sz w:val="16"/>
                <w:szCs w:val="16"/>
                <w:lang w:val="nl-NL" w:eastAsia="zh-CN"/>
              </w:rPr>
              <w:t xml:space="preserve"> level (%)</w:t>
            </w:r>
          </w:p>
        </w:tc>
        <w:tc>
          <w:tcPr>
            <w:tcW w:w="0" w:type="auto"/>
            <w:gridSpan w:val="3"/>
            <w:tcBorders>
              <w:top w:val="nil"/>
              <w:left w:val="nil"/>
              <w:bottom w:val="nil"/>
              <w:right w:val="nil"/>
            </w:tcBorders>
            <w:shd w:val="clear" w:color="auto" w:fill="auto"/>
            <w:noWrap/>
            <w:vAlign w:val="center"/>
            <w:hideMark/>
          </w:tcPr>
          <w:p w14:paraId="57F7CB8F"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52.04</w:t>
            </w:r>
          </w:p>
        </w:tc>
        <w:tc>
          <w:tcPr>
            <w:tcW w:w="0" w:type="auto"/>
            <w:gridSpan w:val="3"/>
            <w:tcBorders>
              <w:top w:val="nil"/>
              <w:left w:val="nil"/>
              <w:bottom w:val="nil"/>
              <w:right w:val="nil"/>
            </w:tcBorders>
            <w:shd w:val="clear" w:color="auto" w:fill="auto"/>
            <w:noWrap/>
            <w:vAlign w:val="center"/>
            <w:hideMark/>
          </w:tcPr>
          <w:p w14:paraId="5849152C"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52.18</w:t>
            </w:r>
          </w:p>
        </w:tc>
        <w:tc>
          <w:tcPr>
            <w:tcW w:w="0" w:type="auto"/>
            <w:gridSpan w:val="3"/>
            <w:tcBorders>
              <w:top w:val="nil"/>
              <w:left w:val="nil"/>
              <w:bottom w:val="nil"/>
              <w:right w:val="nil"/>
            </w:tcBorders>
            <w:shd w:val="clear" w:color="auto" w:fill="auto"/>
            <w:noWrap/>
            <w:vAlign w:val="center"/>
            <w:hideMark/>
          </w:tcPr>
          <w:p w14:paraId="06BE2C3A" w14:textId="77777777"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48.81</w:t>
            </w:r>
          </w:p>
        </w:tc>
      </w:tr>
      <w:tr w:rsidR="00991E14" w:rsidRPr="00991E14" w14:paraId="2BC7C34A" w14:textId="77777777" w:rsidTr="00D14C1C">
        <w:trPr>
          <w:trHeight w:val="225"/>
        </w:trPr>
        <w:tc>
          <w:tcPr>
            <w:tcW w:w="0" w:type="auto"/>
            <w:tcBorders>
              <w:top w:val="nil"/>
              <w:left w:val="nil"/>
              <w:bottom w:val="single" w:sz="4" w:space="0" w:color="auto"/>
              <w:right w:val="nil"/>
            </w:tcBorders>
            <w:shd w:val="clear" w:color="auto" w:fill="auto"/>
            <w:noWrap/>
            <w:vAlign w:val="bottom"/>
            <w:hideMark/>
          </w:tcPr>
          <w:p w14:paraId="26A2547A" w14:textId="20DD6526" w:rsidR="00991E14" w:rsidRPr="00991E14" w:rsidRDefault="00991E14" w:rsidP="00B707D2">
            <w:pPr>
              <w:spacing w:line="240" w:lineRule="auto"/>
              <w:ind w:firstLineChars="200" w:firstLine="320"/>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 xml:space="preserve">Δ </w:t>
            </w:r>
            <w:r w:rsidRPr="00991E14">
              <w:rPr>
                <w:rFonts w:eastAsia="Times New Roman" w:cs="Times New Roman"/>
                <w:i/>
                <w:iCs/>
                <w:color w:val="000000"/>
                <w:sz w:val="16"/>
                <w:szCs w:val="16"/>
                <w:lang w:val="nl-NL" w:eastAsia="zh-CN"/>
              </w:rPr>
              <w:t>R</w:t>
            </w:r>
            <w:r w:rsidRPr="00991E14">
              <w:rPr>
                <w:rFonts w:eastAsia="Times New Roman" w:cs="Times New Roman"/>
                <w:i/>
                <w:iCs/>
                <w:color w:val="000000"/>
                <w:sz w:val="16"/>
                <w:szCs w:val="16"/>
                <w:vertAlign w:val="superscript"/>
                <w:lang w:val="nl-NL" w:eastAsia="zh-CN"/>
              </w:rPr>
              <w:t>2</w:t>
            </w:r>
          </w:p>
        </w:tc>
        <w:tc>
          <w:tcPr>
            <w:tcW w:w="0" w:type="auto"/>
            <w:gridSpan w:val="3"/>
            <w:tcBorders>
              <w:top w:val="nil"/>
              <w:left w:val="nil"/>
              <w:bottom w:val="single" w:sz="4" w:space="0" w:color="auto"/>
              <w:right w:val="nil"/>
            </w:tcBorders>
            <w:shd w:val="clear" w:color="auto" w:fill="auto"/>
            <w:noWrap/>
            <w:vAlign w:val="center"/>
            <w:hideMark/>
          </w:tcPr>
          <w:p w14:paraId="3C8FA676" w14:textId="658F5773"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.0105</w:t>
            </w:r>
          </w:p>
        </w:tc>
        <w:tc>
          <w:tcPr>
            <w:tcW w:w="0" w:type="auto"/>
            <w:gridSpan w:val="3"/>
            <w:tcBorders>
              <w:top w:val="nil"/>
              <w:left w:val="nil"/>
              <w:bottom w:val="single" w:sz="4" w:space="0" w:color="auto"/>
              <w:right w:val="nil"/>
            </w:tcBorders>
            <w:shd w:val="clear" w:color="auto" w:fill="auto"/>
            <w:noWrap/>
            <w:vAlign w:val="center"/>
            <w:hideMark/>
          </w:tcPr>
          <w:p w14:paraId="6DF1C40C" w14:textId="471ABFD4"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.0104</w:t>
            </w:r>
          </w:p>
        </w:tc>
        <w:tc>
          <w:tcPr>
            <w:tcW w:w="0" w:type="auto"/>
            <w:gridSpan w:val="3"/>
            <w:tcBorders>
              <w:top w:val="nil"/>
              <w:left w:val="nil"/>
              <w:bottom w:val="single" w:sz="4" w:space="0" w:color="auto"/>
              <w:right w:val="nil"/>
            </w:tcBorders>
            <w:shd w:val="clear" w:color="auto" w:fill="auto"/>
            <w:noWrap/>
            <w:vAlign w:val="center"/>
            <w:hideMark/>
          </w:tcPr>
          <w:p w14:paraId="6EFAEFA0" w14:textId="683DF4D1" w:rsidR="00991E14" w:rsidRPr="00991E14" w:rsidRDefault="00991E14" w:rsidP="00B707D2">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.0181</w:t>
            </w:r>
          </w:p>
        </w:tc>
      </w:tr>
    </w:tbl>
    <w:p w14:paraId="21E955E1" w14:textId="6DE25F86" w:rsidR="0074411C" w:rsidRDefault="0074411C" w:rsidP="00CD0784">
      <w:pPr>
        <w:spacing w:line="240" w:lineRule="auto"/>
      </w:pPr>
      <w:r w:rsidRPr="0074411C">
        <w:rPr>
          <w:i/>
        </w:rPr>
        <w:t>Note.</w:t>
      </w:r>
      <w:r>
        <w:t xml:space="preserve"> K index, age, gender and year of data collection are continuous variables, others are dummy variables. The </w:t>
      </w:r>
      <w:r w:rsidR="008E740D">
        <w:t xml:space="preserve">reference </w:t>
      </w:r>
      <w:r>
        <w:t xml:space="preserve">group for </w:t>
      </w:r>
      <w:r w:rsidR="008E740D">
        <w:t>p</w:t>
      </w:r>
      <w:r w:rsidR="008E740D" w:rsidRPr="008E740D">
        <w:t>ublication status</w:t>
      </w:r>
      <w:r>
        <w:t xml:space="preserve">, sanction, </w:t>
      </w:r>
      <w:r w:rsidR="00E12E47">
        <w:t>communication</w:t>
      </w:r>
      <w:r>
        <w:t xml:space="preserve"> and deception was </w:t>
      </w:r>
      <w:r w:rsidR="0019186B">
        <w:t>“no”</w:t>
      </w:r>
      <w:r>
        <w:t xml:space="preserve">, for choice type was </w:t>
      </w:r>
      <w:r w:rsidR="0019186B">
        <w:t>“dichotomous”</w:t>
      </w:r>
      <w:r>
        <w:t xml:space="preserve">, for experimental setting was </w:t>
      </w:r>
      <w:r w:rsidR="0019186B">
        <w:t>“</w:t>
      </w:r>
      <w:r>
        <w:t>lab</w:t>
      </w:r>
      <w:r w:rsidR="0019186B">
        <w:t>”</w:t>
      </w:r>
      <w:r>
        <w:t xml:space="preserve">, for trial of cooperation was </w:t>
      </w:r>
      <w:r w:rsidR="0019186B">
        <w:t>“</w:t>
      </w:r>
      <w:r>
        <w:t>all</w:t>
      </w:r>
      <w:r w:rsidR="0019186B">
        <w:t>”</w:t>
      </w:r>
      <w:r>
        <w:t xml:space="preserve">, for discipline was </w:t>
      </w:r>
      <w:r w:rsidR="0019186B">
        <w:t>“</w:t>
      </w:r>
      <w:r>
        <w:t>economics</w:t>
      </w:r>
      <w:r w:rsidR="0019186B">
        <w:t>”</w:t>
      </w:r>
      <w:r>
        <w:t>.</w:t>
      </w:r>
      <w:r w:rsidR="003800C0">
        <w:t xml:space="preserve"> In </w:t>
      </w:r>
      <w:r w:rsidR="006E7831">
        <w:t>model 2c</w:t>
      </w:r>
      <w:r w:rsidR="003800C0">
        <w:t xml:space="preserve">, </w:t>
      </w:r>
      <w:r w:rsidR="003800C0" w:rsidRPr="003800C0">
        <w:t xml:space="preserve">Δ </w:t>
      </w:r>
      <w:r w:rsidR="003800C0" w:rsidRPr="003800C0">
        <w:rPr>
          <w:i/>
        </w:rPr>
        <w:t>R</w:t>
      </w:r>
      <w:r w:rsidR="003800C0" w:rsidRPr="003800C0">
        <w:rPr>
          <w:i/>
          <w:vertAlign w:val="superscript"/>
        </w:rPr>
        <w:t>2</w:t>
      </w:r>
      <w:r w:rsidR="003800C0">
        <w:t xml:space="preserve"> refers to </w:t>
      </w:r>
      <w:r w:rsidR="006E7831">
        <w:t xml:space="preserve">the </w:t>
      </w:r>
      <w:r w:rsidR="003800C0">
        <w:t>percent of varianc</w:t>
      </w:r>
      <w:r w:rsidR="006E7831">
        <w:t xml:space="preserve">e explained by K index while controlling for </w:t>
      </w:r>
      <w:r w:rsidR="00FA4D51">
        <w:t>variables including</w:t>
      </w:r>
      <w:r w:rsidR="006E7831" w:rsidRPr="006E7831">
        <w:t xml:space="preserve"> paper meta-data, methodological variables, and sample variables</w:t>
      </w:r>
      <w:r w:rsidR="006E7831">
        <w:t>.</w:t>
      </w:r>
    </w:p>
    <w:p w14:paraId="270443A5" w14:textId="5F24E255" w:rsidR="000A3231" w:rsidRDefault="0074411C" w:rsidP="00CD0784">
      <w:pPr>
        <w:spacing w:line="240" w:lineRule="auto"/>
      </w:pPr>
      <w:r>
        <w:t xml:space="preserve">* </w:t>
      </w:r>
      <w:r w:rsidRPr="00650334">
        <w:rPr>
          <w:i/>
        </w:rPr>
        <w:t>p</w:t>
      </w:r>
      <w:r>
        <w:t xml:space="preserve"> &lt; .05</w:t>
      </w:r>
      <w:r w:rsidR="000A3231">
        <w:br w:type="page"/>
      </w:r>
    </w:p>
    <w:p w14:paraId="11AF365E" w14:textId="15BEDD4A" w:rsidR="00E34DC9" w:rsidRPr="005D361B" w:rsidRDefault="00E34DC9" w:rsidP="00E34DC9">
      <w:pPr>
        <w:rPr>
          <w:rFonts w:cs="Times New Roman"/>
          <w:b/>
        </w:rPr>
      </w:pPr>
      <w:r>
        <w:rPr>
          <w:rFonts w:cs="Times New Roman"/>
          <w:b/>
        </w:rPr>
        <w:lastRenderedPageBreak/>
        <w:t xml:space="preserve">Table </w:t>
      </w:r>
      <w:r w:rsidR="00F83039">
        <w:rPr>
          <w:rFonts w:cs="Times New Roman"/>
          <w:b/>
        </w:rPr>
        <w:t>S</w:t>
      </w:r>
      <w:r w:rsidR="00F30B53">
        <w:rPr>
          <w:rFonts w:cs="Times New Roman"/>
          <w:b/>
        </w:rPr>
        <w:t>6</w:t>
      </w:r>
    </w:p>
    <w:p w14:paraId="0858058B" w14:textId="670D2048" w:rsidR="00991E14" w:rsidRPr="00991E14" w:rsidRDefault="00E34DC9" w:rsidP="009A5221">
      <w:pPr>
        <w:rPr>
          <w:rFonts w:cs="Times New Roman"/>
          <w:i/>
        </w:rPr>
      </w:pPr>
      <w:r>
        <w:rPr>
          <w:rFonts w:cs="Times New Roman"/>
          <w:i/>
        </w:rPr>
        <w:t>Predictive Power of Variables in M</w:t>
      </w:r>
      <w:r w:rsidRPr="005D361B">
        <w:rPr>
          <w:rFonts w:cs="Times New Roman"/>
          <w:i/>
        </w:rPr>
        <w:t xml:space="preserve">eta-regression </w:t>
      </w:r>
      <w:r>
        <w:rPr>
          <w:rFonts w:cs="Times New Roman"/>
          <w:i/>
        </w:rPr>
        <w:t>(Model 2d-2f</w:t>
      </w:r>
      <w:r w:rsidR="00C12950">
        <w:rPr>
          <w:rFonts w:cs="Times New Roman"/>
          <w:i/>
        </w:rPr>
        <w:t xml:space="preserve">, </w:t>
      </w:r>
      <w:r w:rsidR="00C12950">
        <w:rPr>
          <w:rFonts w:eastAsiaTheme="minorEastAsia" w:cs="Times New Roman"/>
          <w:i/>
          <w:szCs w:val="22"/>
          <w:lang w:eastAsia="zh-CN"/>
        </w:rPr>
        <w:t>Study 1</w:t>
      </w:r>
      <w:r>
        <w:rPr>
          <w:rFonts w:cs="Times New Roman"/>
          <w:i/>
        </w:rPr>
        <w:t>)</w:t>
      </w:r>
    </w:p>
    <w:tbl>
      <w:tblPr>
        <w:tblW w:w="0" w:type="auto"/>
        <w:tblCellMar>
          <w:left w:w="70" w:type="dxa"/>
          <w:right w:w="70" w:type="dxa"/>
        </w:tblCellMar>
        <w:tblLook w:val="04A0" w:firstRow="1" w:lastRow="0" w:firstColumn="1" w:lastColumn="0" w:noHBand="0" w:noVBand="1"/>
      </w:tblPr>
      <w:tblGrid>
        <w:gridCol w:w="2420"/>
        <w:gridCol w:w="580"/>
        <w:gridCol w:w="500"/>
        <w:gridCol w:w="1207"/>
        <w:gridCol w:w="580"/>
        <w:gridCol w:w="500"/>
        <w:gridCol w:w="1127"/>
        <w:gridCol w:w="580"/>
        <w:gridCol w:w="500"/>
        <w:gridCol w:w="1207"/>
      </w:tblGrid>
      <w:tr w:rsidR="00991E14" w:rsidRPr="00991E14" w14:paraId="5317AC75" w14:textId="77777777" w:rsidTr="00F30B53">
        <w:trPr>
          <w:trHeight w:val="225"/>
        </w:trPr>
        <w:tc>
          <w:tcPr>
            <w:tcW w:w="0" w:type="auto"/>
            <w:vMerge w:val="restart"/>
            <w:tcBorders>
              <w:top w:val="single" w:sz="4" w:space="0" w:color="auto"/>
              <w:left w:val="nil"/>
              <w:bottom w:val="single" w:sz="4" w:space="0" w:color="000000"/>
              <w:right w:val="nil"/>
            </w:tcBorders>
            <w:shd w:val="clear" w:color="auto" w:fill="auto"/>
            <w:noWrap/>
            <w:vAlign w:val="center"/>
            <w:hideMark/>
          </w:tcPr>
          <w:p w14:paraId="4B16CDB5" w14:textId="17AAA3BB" w:rsidR="00991E14" w:rsidRPr="00991E14" w:rsidRDefault="00991E14" w:rsidP="00991E14">
            <w:pPr>
              <w:spacing w:line="240" w:lineRule="auto"/>
              <w:jc w:val="center"/>
              <w:rPr>
                <w:rFonts w:eastAsia="Times New Roman" w:cs="Times New Roman"/>
                <w:b/>
                <w:bCs/>
                <w:color w:val="000000"/>
                <w:sz w:val="16"/>
                <w:szCs w:val="16"/>
                <w:lang w:val="nl-NL" w:eastAsia="zh-CN"/>
              </w:rPr>
            </w:pPr>
            <w:r w:rsidRPr="00991E14">
              <w:rPr>
                <w:rFonts w:eastAsia="Times New Roman" w:cs="Times New Roman"/>
                <w:b/>
                <w:bCs/>
                <w:color w:val="000000"/>
                <w:sz w:val="16"/>
                <w:szCs w:val="16"/>
                <w:lang w:val="nl-NL" w:eastAsia="zh-CN"/>
              </w:rPr>
              <w:t>Variables</w:t>
            </w:r>
          </w:p>
        </w:tc>
        <w:tc>
          <w:tcPr>
            <w:tcW w:w="0" w:type="auto"/>
            <w:gridSpan w:val="3"/>
            <w:tcBorders>
              <w:top w:val="single" w:sz="4" w:space="0" w:color="auto"/>
              <w:left w:val="nil"/>
              <w:bottom w:val="single" w:sz="4" w:space="0" w:color="auto"/>
              <w:right w:val="nil"/>
            </w:tcBorders>
            <w:shd w:val="clear" w:color="auto" w:fill="auto"/>
            <w:noWrap/>
            <w:vAlign w:val="center"/>
            <w:hideMark/>
          </w:tcPr>
          <w:p w14:paraId="44DE7FDB" w14:textId="77777777" w:rsidR="00991E14" w:rsidRPr="00991E14" w:rsidRDefault="00991E14" w:rsidP="00991E14">
            <w:pPr>
              <w:spacing w:line="240" w:lineRule="auto"/>
              <w:jc w:val="center"/>
              <w:rPr>
                <w:rFonts w:eastAsia="Times New Roman" w:cs="Times New Roman"/>
                <w:b/>
                <w:bCs/>
                <w:color w:val="000000"/>
                <w:sz w:val="16"/>
                <w:szCs w:val="16"/>
                <w:lang w:val="nl-NL" w:eastAsia="zh-CN"/>
              </w:rPr>
            </w:pPr>
            <w:r w:rsidRPr="00991E14">
              <w:rPr>
                <w:rFonts w:eastAsia="Times New Roman" w:cs="Times New Roman"/>
                <w:b/>
                <w:bCs/>
                <w:color w:val="000000"/>
                <w:sz w:val="16"/>
                <w:szCs w:val="16"/>
                <w:lang w:val="nl-NL" w:eastAsia="zh-CN"/>
              </w:rPr>
              <w:t>Model 2d</w:t>
            </w:r>
          </w:p>
        </w:tc>
        <w:tc>
          <w:tcPr>
            <w:tcW w:w="0" w:type="auto"/>
            <w:gridSpan w:val="3"/>
            <w:tcBorders>
              <w:top w:val="single" w:sz="4" w:space="0" w:color="auto"/>
              <w:left w:val="nil"/>
              <w:bottom w:val="single" w:sz="4" w:space="0" w:color="auto"/>
              <w:right w:val="nil"/>
            </w:tcBorders>
            <w:shd w:val="clear" w:color="auto" w:fill="auto"/>
            <w:noWrap/>
            <w:vAlign w:val="center"/>
            <w:hideMark/>
          </w:tcPr>
          <w:p w14:paraId="26DBCC00" w14:textId="77777777" w:rsidR="00991E14" w:rsidRPr="00991E14" w:rsidRDefault="00991E14" w:rsidP="00991E14">
            <w:pPr>
              <w:spacing w:line="240" w:lineRule="auto"/>
              <w:jc w:val="center"/>
              <w:rPr>
                <w:rFonts w:eastAsia="Times New Roman" w:cs="Times New Roman"/>
                <w:b/>
                <w:bCs/>
                <w:color w:val="000000"/>
                <w:sz w:val="16"/>
                <w:szCs w:val="16"/>
                <w:lang w:val="nl-NL" w:eastAsia="zh-CN"/>
              </w:rPr>
            </w:pPr>
            <w:r w:rsidRPr="00991E14">
              <w:rPr>
                <w:rFonts w:eastAsia="Times New Roman" w:cs="Times New Roman"/>
                <w:b/>
                <w:bCs/>
                <w:color w:val="000000"/>
                <w:sz w:val="16"/>
                <w:szCs w:val="16"/>
                <w:lang w:val="nl-NL" w:eastAsia="zh-CN"/>
              </w:rPr>
              <w:t>Model 2e</w:t>
            </w:r>
          </w:p>
        </w:tc>
        <w:tc>
          <w:tcPr>
            <w:tcW w:w="0" w:type="auto"/>
            <w:gridSpan w:val="3"/>
            <w:tcBorders>
              <w:top w:val="single" w:sz="4" w:space="0" w:color="auto"/>
              <w:left w:val="nil"/>
              <w:bottom w:val="single" w:sz="4" w:space="0" w:color="auto"/>
              <w:right w:val="nil"/>
            </w:tcBorders>
            <w:shd w:val="clear" w:color="auto" w:fill="auto"/>
            <w:noWrap/>
            <w:vAlign w:val="center"/>
            <w:hideMark/>
          </w:tcPr>
          <w:p w14:paraId="592DF4DD" w14:textId="77777777" w:rsidR="00991E14" w:rsidRPr="00991E14" w:rsidRDefault="00991E14" w:rsidP="00991E14">
            <w:pPr>
              <w:spacing w:line="240" w:lineRule="auto"/>
              <w:jc w:val="center"/>
              <w:rPr>
                <w:rFonts w:eastAsia="Times New Roman" w:cs="Times New Roman"/>
                <w:b/>
                <w:bCs/>
                <w:color w:val="000000"/>
                <w:sz w:val="16"/>
                <w:szCs w:val="16"/>
                <w:lang w:val="nl-NL" w:eastAsia="zh-CN"/>
              </w:rPr>
            </w:pPr>
            <w:r w:rsidRPr="00991E14">
              <w:rPr>
                <w:rFonts w:eastAsia="Times New Roman" w:cs="Times New Roman"/>
                <w:b/>
                <w:bCs/>
                <w:color w:val="000000"/>
                <w:sz w:val="16"/>
                <w:szCs w:val="16"/>
                <w:lang w:val="nl-NL" w:eastAsia="zh-CN"/>
              </w:rPr>
              <w:t>Model 2f</w:t>
            </w:r>
          </w:p>
        </w:tc>
      </w:tr>
      <w:tr w:rsidR="00991E14" w:rsidRPr="00991E14" w14:paraId="2BA69A25" w14:textId="77777777" w:rsidTr="00F30B53">
        <w:trPr>
          <w:trHeight w:val="225"/>
        </w:trPr>
        <w:tc>
          <w:tcPr>
            <w:tcW w:w="0" w:type="auto"/>
            <w:vMerge/>
            <w:tcBorders>
              <w:top w:val="single" w:sz="4" w:space="0" w:color="auto"/>
              <w:left w:val="nil"/>
              <w:bottom w:val="single" w:sz="4" w:space="0" w:color="000000"/>
              <w:right w:val="nil"/>
            </w:tcBorders>
            <w:vAlign w:val="center"/>
            <w:hideMark/>
          </w:tcPr>
          <w:p w14:paraId="4E3FED1A" w14:textId="77777777" w:rsidR="00991E14" w:rsidRPr="00991E14" w:rsidRDefault="00991E14" w:rsidP="00991E14">
            <w:pPr>
              <w:spacing w:line="240" w:lineRule="auto"/>
              <w:rPr>
                <w:rFonts w:eastAsia="Times New Roman" w:cs="Times New Roman"/>
                <w:b/>
                <w:bCs/>
                <w:color w:val="000000"/>
                <w:sz w:val="16"/>
                <w:szCs w:val="16"/>
                <w:lang w:val="nl-NL" w:eastAsia="zh-CN"/>
              </w:rPr>
            </w:pPr>
          </w:p>
        </w:tc>
        <w:tc>
          <w:tcPr>
            <w:tcW w:w="0" w:type="auto"/>
            <w:tcBorders>
              <w:top w:val="nil"/>
              <w:left w:val="nil"/>
              <w:bottom w:val="single" w:sz="4" w:space="0" w:color="auto"/>
              <w:right w:val="nil"/>
            </w:tcBorders>
            <w:shd w:val="clear" w:color="auto" w:fill="auto"/>
            <w:noWrap/>
            <w:vAlign w:val="center"/>
            <w:hideMark/>
          </w:tcPr>
          <w:p w14:paraId="0577EE2B" w14:textId="77777777" w:rsidR="00991E14" w:rsidRPr="00991E14" w:rsidRDefault="00991E14" w:rsidP="00991E14">
            <w:pPr>
              <w:spacing w:line="240" w:lineRule="auto"/>
              <w:jc w:val="center"/>
              <w:rPr>
                <w:rFonts w:eastAsia="Times New Roman" w:cs="Times New Roman"/>
                <w:b/>
                <w:bCs/>
                <w:i/>
                <w:iCs/>
                <w:color w:val="000000"/>
                <w:sz w:val="16"/>
                <w:szCs w:val="16"/>
                <w:lang w:val="nl-NL" w:eastAsia="zh-CN"/>
              </w:rPr>
            </w:pPr>
            <w:r w:rsidRPr="00991E14">
              <w:rPr>
                <w:rFonts w:eastAsia="Times New Roman" w:cs="Times New Roman"/>
                <w:b/>
                <w:bCs/>
                <w:i/>
                <w:iCs/>
                <w:color w:val="000000"/>
                <w:sz w:val="16"/>
                <w:szCs w:val="16"/>
                <w:lang w:val="nl-NL" w:eastAsia="zh-CN"/>
              </w:rPr>
              <w:t>b</w:t>
            </w:r>
          </w:p>
        </w:tc>
        <w:tc>
          <w:tcPr>
            <w:tcW w:w="0" w:type="auto"/>
            <w:tcBorders>
              <w:top w:val="nil"/>
              <w:left w:val="nil"/>
              <w:bottom w:val="single" w:sz="4" w:space="0" w:color="auto"/>
              <w:right w:val="nil"/>
            </w:tcBorders>
            <w:shd w:val="clear" w:color="auto" w:fill="auto"/>
            <w:noWrap/>
            <w:vAlign w:val="center"/>
            <w:hideMark/>
          </w:tcPr>
          <w:p w14:paraId="64F8946D" w14:textId="77777777" w:rsidR="00991E14" w:rsidRPr="00991E14" w:rsidRDefault="00991E14" w:rsidP="00991E14">
            <w:pPr>
              <w:spacing w:line="240" w:lineRule="auto"/>
              <w:jc w:val="center"/>
              <w:rPr>
                <w:rFonts w:eastAsia="Times New Roman" w:cs="Times New Roman"/>
                <w:b/>
                <w:bCs/>
                <w:i/>
                <w:iCs/>
                <w:color w:val="000000"/>
                <w:sz w:val="16"/>
                <w:szCs w:val="16"/>
                <w:lang w:val="nl-NL" w:eastAsia="zh-CN"/>
              </w:rPr>
            </w:pPr>
            <w:r w:rsidRPr="00991E14">
              <w:rPr>
                <w:rFonts w:eastAsia="Times New Roman" w:cs="Times New Roman"/>
                <w:b/>
                <w:bCs/>
                <w:i/>
                <w:iCs/>
                <w:color w:val="000000"/>
                <w:sz w:val="16"/>
                <w:szCs w:val="16"/>
                <w:lang w:val="nl-NL" w:eastAsia="zh-CN"/>
              </w:rPr>
              <w:t>SE</w:t>
            </w:r>
          </w:p>
        </w:tc>
        <w:tc>
          <w:tcPr>
            <w:tcW w:w="0" w:type="auto"/>
            <w:tcBorders>
              <w:top w:val="nil"/>
              <w:left w:val="nil"/>
              <w:bottom w:val="single" w:sz="4" w:space="0" w:color="auto"/>
              <w:right w:val="nil"/>
            </w:tcBorders>
            <w:shd w:val="clear" w:color="auto" w:fill="auto"/>
            <w:noWrap/>
            <w:vAlign w:val="center"/>
            <w:hideMark/>
          </w:tcPr>
          <w:p w14:paraId="2F630B44" w14:textId="77777777" w:rsidR="00991E14" w:rsidRPr="00991E14" w:rsidRDefault="00991E14" w:rsidP="00991E14">
            <w:pPr>
              <w:spacing w:line="240" w:lineRule="auto"/>
              <w:jc w:val="center"/>
              <w:rPr>
                <w:rFonts w:eastAsia="Times New Roman" w:cs="Times New Roman"/>
                <w:b/>
                <w:bCs/>
                <w:color w:val="000000"/>
                <w:sz w:val="16"/>
                <w:szCs w:val="16"/>
                <w:lang w:val="nl-NL" w:eastAsia="zh-CN"/>
              </w:rPr>
            </w:pPr>
            <w:r w:rsidRPr="00991E14">
              <w:rPr>
                <w:rFonts w:eastAsia="Times New Roman" w:cs="Times New Roman"/>
                <w:b/>
                <w:bCs/>
                <w:color w:val="000000"/>
                <w:sz w:val="16"/>
                <w:szCs w:val="16"/>
                <w:lang w:val="nl-NL" w:eastAsia="zh-CN"/>
              </w:rPr>
              <w:t xml:space="preserve">95% </w:t>
            </w:r>
            <w:r w:rsidRPr="00686A07">
              <w:rPr>
                <w:rFonts w:eastAsia="Times New Roman" w:cs="Times New Roman"/>
                <w:b/>
                <w:bCs/>
                <w:i/>
                <w:iCs/>
                <w:color w:val="000000"/>
                <w:sz w:val="16"/>
                <w:szCs w:val="16"/>
                <w:lang w:val="nl-NL" w:eastAsia="zh-CN"/>
              </w:rPr>
              <w:t>CI</w:t>
            </w:r>
          </w:p>
        </w:tc>
        <w:tc>
          <w:tcPr>
            <w:tcW w:w="0" w:type="auto"/>
            <w:tcBorders>
              <w:top w:val="nil"/>
              <w:left w:val="nil"/>
              <w:bottom w:val="single" w:sz="4" w:space="0" w:color="auto"/>
              <w:right w:val="nil"/>
            </w:tcBorders>
            <w:shd w:val="clear" w:color="auto" w:fill="auto"/>
            <w:noWrap/>
            <w:vAlign w:val="center"/>
            <w:hideMark/>
          </w:tcPr>
          <w:p w14:paraId="05B3F83D" w14:textId="59D0DF3C" w:rsidR="00991E14" w:rsidRPr="00991E14" w:rsidRDefault="0038611A" w:rsidP="00991E14">
            <w:pPr>
              <w:spacing w:line="240" w:lineRule="auto"/>
              <w:jc w:val="center"/>
              <w:rPr>
                <w:rFonts w:eastAsia="Times New Roman" w:cs="Times New Roman"/>
                <w:b/>
                <w:bCs/>
                <w:i/>
                <w:iCs/>
                <w:color w:val="000000"/>
                <w:sz w:val="16"/>
                <w:szCs w:val="16"/>
                <w:lang w:val="nl-NL" w:eastAsia="zh-CN"/>
              </w:rPr>
            </w:pPr>
            <w:r w:rsidRPr="00991E14">
              <w:rPr>
                <w:rFonts w:eastAsia="Times New Roman" w:cs="Times New Roman"/>
                <w:b/>
                <w:bCs/>
                <w:i/>
                <w:iCs/>
                <w:color w:val="000000"/>
                <w:sz w:val="16"/>
                <w:szCs w:val="16"/>
                <w:lang w:val="nl-NL" w:eastAsia="zh-CN"/>
              </w:rPr>
              <w:t>B</w:t>
            </w:r>
          </w:p>
        </w:tc>
        <w:tc>
          <w:tcPr>
            <w:tcW w:w="0" w:type="auto"/>
            <w:tcBorders>
              <w:top w:val="nil"/>
              <w:left w:val="nil"/>
              <w:bottom w:val="single" w:sz="4" w:space="0" w:color="auto"/>
              <w:right w:val="nil"/>
            </w:tcBorders>
            <w:shd w:val="clear" w:color="auto" w:fill="auto"/>
            <w:noWrap/>
            <w:vAlign w:val="center"/>
            <w:hideMark/>
          </w:tcPr>
          <w:p w14:paraId="6446E90A" w14:textId="77777777" w:rsidR="00991E14" w:rsidRPr="00991E14" w:rsidRDefault="00991E14" w:rsidP="00991E14">
            <w:pPr>
              <w:spacing w:line="240" w:lineRule="auto"/>
              <w:jc w:val="center"/>
              <w:rPr>
                <w:rFonts w:eastAsia="Times New Roman" w:cs="Times New Roman"/>
                <w:b/>
                <w:bCs/>
                <w:i/>
                <w:iCs/>
                <w:color w:val="000000"/>
                <w:sz w:val="16"/>
                <w:szCs w:val="16"/>
                <w:lang w:val="nl-NL" w:eastAsia="zh-CN"/>
              </w:rPr>
            </w:pPr>
            <w:r w:rsidRPr="00991E14">
              <w:rPr>
                <w:rFonts w:eastAsia="Times New Roman" w:cs="Times New Roman"/>
                <w:b/>
                <w:bCs/>
                <w:i/>
                <w:iCs/>
                <w:color w:val="000000"/>
                <w:sz w:val="16"/>
                <w:szCs w:val="16"/>
                <w:lang w:val="nl-NL" w:eastAsia="zh-CN"/>
              </w:rPr>
              <w:t>SE</w:t>
            </w:r>
          </w:p>
        </w:tc>
        <w:tc>
          <w:tcPr>
            <w:tcW w:w="0" w:type="auto"/>
            <w:tcBorders>
              <w:top w:val="nil"/>
              <w:left w:val="nil"/>
              <w:bottom w:val="single" w:sz="4" w:space="0" w:color="auto"/>
              <w:right w:val="nil"/>
            </w:tcBorders>
            <w:shd w:val="clear" w:color="auto" w:fill="auto"/>
            <w:noWrap/>
            <w:vAlign w:val="center"/>
            <w:hideMark/>
          </w:tcPr>
          <w:p w14:paraId="0F671D45" w14:textId="77777777" w:rsidR="00991E14" w:rsidRPr="00991E14" w:rsidRDefault="00991E14" w:rsidP="00991E14">
            <w:pPr>
              <w:spacing w:line="240" w:lineRule="auto"/>
              <w:jc w:val="center"/>
              <w:rPr>
                <w:rFonts w:eastAsia="Times New Roman" w:cs="Times New Roman"/>
                <w:b/>
                <w:bCs/>
                <w:color w:val="000000"/>
                <w:sz w:val="16"/>
                <w:szCs w:val="16"/>
                <w:lang w:val="nl-NL" w:eastAsia="zh-CN"/>
              </w:rPr>
            </w:pPr>
            <w:r w:rsidRPr="00991E14">
              <w:rPr>
                <w:rFonts w:eastAsia="Times New Roman" w:cs="Times New Roman"/>
                <w:b/>
                <w:bCs/>
                <w:color w:val="000000"/>
                <w:sz w:val="16"/>
                <w:szCs w:val="16"/>
                <w:lang w:val="nl-NL" w:eastAsia="zh-CN"/>
              </w:rPr>
              <w:t xml:space="preserve">95% </w:t>
            </w:r>
            <w:r w:rsidRPr="00686A07">
              <w:rPr>
                <w:rFonts w:eastAsia="Times New Roman" w:cs="Times New Roman"/>
                <w:b/>
                <w:bCs/>
                <w:i/>
                <w:iCs/>
                <w:color w:val="000000"/>
                <w:sz w:val="16"/>
                <w:szCs w:val="16"/>
                <w:lang w:val="nl-NL" w:eastAsia="zh-CN"/>
              </w:rPr>
              <w:t>CI</w:t>
            </w:r>
          </w:p>
        </w:tc>
        <w:tc>
          <w:tcPr>
            <w:tcW w:w="0" w:type="auto"/>
            <w:tcBorders>
              <w:top w:val="nil"/>
              <w:left w:val="nil"/>
              <w:bottom w:val="single" w:sz="4" w:space="0" w:color="auto"/>
              <w:right w:val="nil"/>
            </w:tcBorders>
            <w:shd w:val="clear" w:color="auto" w:fill="auto"/>
            <w:noWrap/>
            <w:vAlign w:val="center"/>
            <w:hideMark/>
          </w:tcPr>
          <w:p w14:paraId="01DAA47B" w14:textId="77777777" w:rsidR="00991E14" w:rsidRPr="00991E14" w:rsidRDefault="00991E14" w:rsidP="00991E14">
            <w:pPr>
              <w:spacing w:line="240" w:lineRule="auto"/>
              <w:jc w:val="center"/>
              <w:rPr>
                <w:rFonts w:eastAsia="Times New Roman" w:cs="Times New Roman"/>
                <w:b/>
                <w:bCs/>
                <w:i/>
                <w:iCs/>
                <w:color w:val="000000"/>
                <w:sz w:val="16"/>
                <w:szCs w:val="16"/>
                <w:lang w:val="nl-NL" w:eastAsia="zh-CN"/>
              </w:rPr>
            </w:pPr>
            <w:r w:rsidRPr="00991E14">
              <w:rPr>
                <w:rFonts w:eastAsia="Times New Roman" w:cs="Times New Roman"/>
                <w:b/>
                <w:bCs/>
                <w:i/>
                <w:iCs/>
                <w:color w:val="000000"/>
                <w:sz w:val="16"/>
                <w:szCs w:val="16"/>
                <w:lang w:val="nl-NL" w:eastAsia="zh-CN"/>
              </w:rPr>
              <w:t>b</w:t>
            </w:r>
          </w:p>
        </w:tc>
        <w:tc>
          <w:tcPr>
            <w:tcW w:w="0" w:type="auto"/>
            <w:tcBorders>
              <w:top w:val="nil"/>
              <w:left w:val="nil"/>
              <w:bottom w:val="single" w:sz="4" w:space="0" w:color="auto"/>
              <w:right w:val="nil"/>
            </w:tcBorders>
            <w:shd w:val="clear" w:color="auto" w:fill="auto"/>
            <w:noWrap/>
            <w:vAlign w:val="center"/>
            <w:hideMark/>
          </w:tcPr>
          <w:p w14:paraId="3BE4AFF1" w14:textId="77777777" w:rsidR="00991E14" w:rsidRPr="00991E14" w:rsidRDefault="00991E14" w:rsidP="00991E14">
            <w:pPr>
              <w:spacing w:line="240" w:lineRule="auto"/>
              <w:jc w:val="center"/>
              <w:rPr>
                <w:rFonts w:eastAsia="Times New Roman" w:cs="Times New Roman"/>
                <w:b/>
                <w:bCs/>
                <w:i/>
                <w:iCs/>
                <w:color w:val="000000"/>
                <w:sz w:val="16"/>
                <w:szCs w:val="16"/>
                <w:lang w:val="nl-NL" w:eastAsia="zh-CN"/>
              </w:rPr>
            </w:pPr>
            <w:r w:rsidRPr="00991E14">
              <w:rPr>
                <w:rFonts w:eastAsia="Times New Roman" w:cs="Times New Roman"/>
                <w:b/>
                <w:bCs/>
                <w:i/>
                <w:iCs/>
                <w:color w:val="000000"/>
                <w:sz w:val="16"/>
                <w:szCs w:val="16"/>
                <w:lang w:val="nl-NL" w:eastAsia="zh-CN"/>
              </w:rPr>
              <w:t>SE</w:t>
            </w:r>
          </w:p>
        </w:tc>
        <w:tc>
          <w:tcPr>
            <w:tcW w:w="0" w:type="auto"/>
            <w:tcBorders>
              <w:top w:val="nil"/>
              <w:left w:val="nil"/>
              <w:bottom w:val="single" w:sz="4" w:space="0" w:color="auto"/>
              <w:right w:val="nil"/>
            </w:tcBorders>
            <w:shd w:val="clear" w:color="auto" w:fill="auto"/>
            <w:noWrap/>
            <w:vAlign w:val="center"/>
            <w:hideMark/>
          </w:tcPr>
          <w:p w14:paraId="4F3E7F4D" w14:textId="77777777" w:rsidR="00991E14" w:rsidRPr="00991E14" w:rsidRDefault="00991E14" w:rsidP="00991E14">
            <w:pPr>
              <w:spacing w:line="240" w:lineRule="auto"/>
              <w:jc w:val="center"/>
              <w:rPr>
                <w:rFonts w:eastAsia="Times New Roman" w:cs="Times New Roman"/>
                <w:b/>
                <w:bCs/>
                <w:color w:val="000000"/>
                <w:sz w:val="16"/>
                <w:szCs w:val="16"/>
                <w:lang w:val="nl-NL" w:eastAsia="zh-CN"/>
              </w:rPr>
            </w:pPr>
            <w:r w:rsidRPr="00991E14">
              <w:rPr>
                <w:rFonts w:eastAsia="Times New Roman" w:cs="Times New Roman"/>
                <w:b/>
                <w:bCs/>
                <w:color w:val="000000"/>
                <w:sz w:val="16"/>
                <w:szCs w:val="16"/>
                <w:lang w:val="nl-NL" w:eastAsia="zh-CN"/>
              </w:rPr>
              <w:t xml:space="preserve">95% </w:t>
            </w:r>
            <w:r w:rsidRPr="00686A07">
              <w:rPr>
                <w:rFonts w:eastAsia="Times New Roman" w:cs="Times New Roman"/>
                <w:b/>
                <w:bCs/>
                <w:i/>
                <w:iCs/>
                <w:color w:val="000000"/>
                <w:sz w:val="16"/>
                <w:szCs w:val="16"/>
                <w:lang w:val="nl-NL" w:eastAsia="zh-CN"/>
              </w:rPr>
              <w:t>CI</w:t>
            </w:r>
          </w:p>
        </w:tc>
      </w:tr>
      <w:tr w:rsidR="00991E14" w:rsidRPr="00991E14" w14:paraId="71220A6C" w14:textId="77777777" w:rsidTr="00F30B53">
        <w:trPr>
          <w:trHeight w:val="225"/>
        </w:trPr>
        <w:tc>
          <w:tcPr>
            <w:tcW w:w="0" w:type="auto"/>
            <w:tcBorders>
              <w:top w:val="nil"/>
              <w:left w:val="nil"/>
              <w:bottom w:val="nil"/>
              <w:right w:val="nil"/>
            </w:tcBorders>
            <w:shd w:val="clear" w:color="auto" w:fill="auto"/>
            <w:noWrap/>
            <w:vAlign w:val="center"/>
            <w:hideMark/>
          </w:tcPr>
          <w:p w14:paraId="317449DF" w14:textId="77777777" w:rsidR="00991E14" w:rsidRPr="00991E14" w:rsidRDefault="00991E14" w:rsidP="00991E14">
            <w:pPr>
              <w:spacing w:line="240" w:lineRule="auto"/>
              <w:rPr>
                <w:rFonts w:eastAsia="Times New Roman" w:cs="Times New Roman"/>
                <w:i/>
                <w:iCs/>
                <w:color w:val="000000"/>
                <w:sz w:val="16"/>
                <w:szCs w:val="16"/>
                <w:lang w:val="nl-NL" w:eastAsia="zh-CN"/>
              </w:rPr>
            </w:pPr>
            <w:r w:rsidRPr="00991E14">
              <w:rPr>
                <w:rFonts w:eastAsia="Times New Roman" w:cs="Times New Roman"/>
                <w:i/>
                <w:iCs/>
                <w:color w:val="000000"/>
                <w:sz w:val="16"/>
                <w:szCs w:val="16"/>
                <w:lang w:val="nl-NL" w:eastAsia="zh-CN"/>
              </w:rPr>
              <w:t>Control variables</w:t>
            </w:r>
          </w:p>
        </w:tc>
        <w:tc>
          <w:tcPr>
            <w:tcW w:w="0" w:type="auto"/>
            <w:tcBorders>
              <w:top w:val="nil"/>
              <w:left w:val="nil"/>
              <w:bottom w:val="nil"/>
              <w:right w:val="nil"/>
            </w:tcBorders>
            <w:shd w:val="clear" w:color="auto" w:fill="auto"/>
            <w:noWrap/>
            <w:vAlign w:val="center"/>
            <w:hideMark/>
          </w:tcPr>
          <w:p w14:paraId="5542ADFA" w14:textId="77777777" w:rsidR="00991E14" w:rsidRPr="00991E14" w:rsidRDefault="00991E14" w:rsidP="00991E14">
            <w:pPr>
              <w:spacing w:line="240" w:lineRule="auto"/>
              <w:rPr>
                <w:rFonts w:eastAsia="Times New Roman" w:cs="Times New Roman"/>
                <w:i/>
                <w:iCs/>
                <w:color w:val="000000"/>
                <w:sz w:val="16"/>
                <w:szCs w:val="16"/>
                <w:lang w:val="nl-NL" w:eastAsia="zh-CN"/>
              </w:rPr>
            </w:pPr>
          </w:p>
        </w:tc>
        <w:tc>
          <w:tcPr>
            <w:tcW w:w="0" w:type="auto"/>
            <w:tcBorders>
              <w:top w:val="nil"/>
              <w:left w:val="nil"/>
              <w:bottom w:val="nil"/>
              <w:right w:val="nil"/>
            </w:tcBorders>
            <w:shd w:val="clear" w:color="auto" w:fill="auto"/>
            <w:noWrap/>
            <w:vAlign w:val="center"/>
            <w:hideMark/>
          </w:tcPr>
          <w:p w14:paraId="7A1931F9"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339F1BB6"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79F6F180"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119BBA48"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1E461C86"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02C0F549"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3F8E9243"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5B8DFCA4" w14:textId="77777777" w:rsidR="00991E14" w:rsidRPr="00991E14" w:rsidRDefault="00991E14" w:rsidP="00991E14">
            <w:pPr>
              <w:spacing w:line="240" w:lineRule="auto"/>
              <w:jc w:val="center"/>
              <w:rPr>
                <w:rFonts w:eastAsia="Times New Roman" w:cs="Times New Roman"/>
                <w:sz w:val="20"/>
                <w:szCs w:val="20"/>
                <w:lang w:val="nl-NL" w:eastAsia="zh-CN"/>
              </w:rPr>
            </w:pPr>
          </w:p>
        </w:tc>
      </w:tr>
      <w:tr w:rsidR="00991E14" w:rsidRPr="00991E14" w14:paraId="50AD7F8D" w14:textId="77777777" w:rsidTr="00F30B53">
        <w:trPr>
          <w:trHeight w:val="225"/>
        </w:trPr>
        <w:tc>
          <w:tcPr>
            <w:tcW w:w="0" w:type="auto"/>
            <w:tcBorders>
              <w:top w:val="nil"/>
              <w:left w:val="nil"/>
              <w:bottom w:val="nil"/>
              <w:right w:val="nil"/>
            </w:tcBorders>
            <w:shd w:val="clear" w:color="auto" w:fill="auto"/>
            <w:noWrap/>
            <w:vAlign w:val="bottom"/>
            <w:hideMark/>
          </w:tcPr>
          <w:p w14:paraId="41F6D230" w14:textId="77777777" w:rsidR="00991E14" w:rsidRPr="00991E14" w:rsidRDefault="00991E14" w:rsidP="00991E14">
            <w:pPr>
              <w:spacing w:line="240" w:lineRule="auto"/>
              <w:ind w:firstLineChars="200" w:firstLine="320"/>
              <w:rPr>
                <w:rFonts w:eastAsia="Times New Roman" w:cs="Times New Roman"/>
                <w:color w:val="000000"/>
                <w:sz w:val="16"/>
                <w:szCs w:val="16"/>
                <w:lang w:val="nl-NL" w:eastAsia="zh-CN"/>
              </w:rPr>
            </w:pPr>
            <w:proofErr w:type="spellStart"/>
            <w:r w:rsidRPr="00991E14">
              <w:rPr>
                <w:rFonts w:eastAsia="Times New Roman" w:cs="Times New Roman"/>
                <w:color w:val="000000"/>
                <w:sz w:val="16"/>
                <w:szCs w:val="16"/>
                <w:lang w:val="nl-NL" w:eastAsia="zh-CN"/>
              </w:rPr>
              <w:t>Choice</w:t>
            </w:r>
            <w:proofErr w:type="spellEnd"/>
            <w:r w:rsidRPr="00991E14">
              <w:rPr>
                <w:rFonts w:eastAsia="Times New Roman" w:cs="Times New Roman"/>
                <w:color w:val="000000"/>
                <w:sz w:val="16"/>
                <w:szCs w:val="16"/>
                <w:lang w:val="nl-NL" w:eastAsia="zh-CN"/>
              </w:rPr>
              <w:t xml:space="preserve"> type</w:t>
            </w:r>
          </w:p>
        </w:tc>
        <w:tc>
          <w:tcPr>
            <w:tcW w:w="0" w:type="auto"/>
            <w:tcBorders>
              <w:top w:val="nil"/>
              <w:left w:val="nil"/>
              <w:bottom w:val="nil"/>
              <w:right w:val="nil"/>
            </w:tcBorders>
            <w:shd w:val="clear" w:color="auto" w:fill="auto"/>
            <w:noWrap/>
            <w:vAlign w:val="center"/>
            <w:hideMark/>
          </w:tcPr>
          <w:p w14:paraId="34EA4624"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0.073</w:t>
            </w:r>
          </w:p>
        </w:tc>
        <w:tc>
          <w:tcPr>
            <w:tcW w:w="0" w:type="auto"/>
            <w:tcBorders>
              <w:top w:val="nil"/>
              <w:left w:val="nil"/>
              <w:bottom w:val="nil"/>
              <w:right w:val="nil"/>
            </w:tcBorders>
            <w:shd w:val="clear" w:color="auto" w:fill="auto"/>
            <w:noWrap/>
            <w:vAlign w:val="center"/>
            <w:hideMark/>
          </w:tcPr>
          <w:p w14:paraId="1A91B097"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0.040</w:t>
            </w:r>
          </w:p>
        </w:tc>
        <w:tc>
          <w:tcPr>
            <w:tcW w:w="0" w:type="auto"/>
            <w:tcBorders>
              <w:top w:val="nil"/>
              <w:left w:val="nil"/>
              <w:bottom w:val="nil"/>
              <w:right w:val="nil"/>
            </w:tcBorders>
            <w:shd w:val="clear" w:color="auto" w:fill="auto"/>
            <w:noWrap/>
            <w:vAlign w:val="center"/>
            <w:hideMark/>
          </w:tcPr>
          <w:p w14:paraId="62305EB4"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[–0.006, 0.152]</w:t>
            </w:r>
          </w:p>
        </w:tc>
        <w:tc>
          <w:tcPr>
            <w:tcW w:w="0" w:type="auto"/>
            <w:tcBorders>
              <w:top w:val="nil"/>
              <w:left w:val="nil"/>
              <w:bottom w:val="nil"/>
              <w:right w:val="nil"/>
            </w:tcBorders>
            <w:shd w:val="clear" w:color="auto" w:fill="auto"/>
            <w:noWrap/>
            <w:vAlign w:val="center"/>
            <w:hideMark/>
          </w:tcPr>
          <w:p w14:paraId="74AE1506"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0.152*</w:t>
            </w:r>
          </w:p>
        </w:tc>
        <w:tc>
          <w:tcPr>
            <w:tcW w:w="0" w:type="auto"/>
            <w:tcBorders>
              <w:top w:val="nil"/>
              <w:left w:val="nil"/>
              <w:bottom w:val="nil"/>
              <w:right w:val="nil"/>
            </w:tcBorders>
            <w:shd w:val="clear" w:color="auto" w:fill="auto"/>
            <w:noWrap/>
            <w:vAlign w:val="center"/>
            <w:hideMark/>
          </w:tcPr>
          <w:p w14:paraId="55698E20"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0.040</w:t>
            </w:r>
          </w:p>
        </w:tc>
        <w:tc>
          <w:tcPr>
            <w:tcW w:w="0" w:type="auto"/>
            <w:tcBorders>
              <w:top w:val="nil"/>
              <w:left w:val="nil"/>
              <w:bottom w:val="nil"/>
              <w:right w:val="nil"/>
            </w:tcBorders>
            <w:shd w:val="clear" w:color="auto" w:fill="auto"/>
            <w:noWrap/>
            <w:vAlign w:val="center"/>
            <w:hideMark/>
          </w:tcPr>
          <w:p w14:paraId="4D7E40B5"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[0.074, 0.230]</w:t>
            </w:r>
          </w:p>
        </w:tc>
        <w:tc>
          <w:tcPr>
            <w:tcW w:w="0" w:type="auto"/>
            <w:tcBorders>
              <w:top w:val="nil"/>
              <w:left w:val="nil"/>
              <w:bottom w:val="nil"/>
              <w:right w:val="nil"/>
            </w:tcBorders>
            <w:shd w:val="clear" w:color="auto" w:fill="auto"/>
            <w:noWrap/>
            <w:vAlign w:val="center"/>
            <w:hideMark/>
          </w:tcPr>
          <w:p w14:paraId="7F854CD9"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0.139*</w:t>
            </w:r>
          </w:p>
        </w:tc>
        <w:tc>
          <w:tcPr>
            <w:tcW w:w="0" w:type="auto"/>
            <w:tcBorders>
              <w:top w:val="nil"/>
              <w:left w:val="nil"/>
              <w:bottom w:val="nil"/>
              <w:right w:val="nil"/>
            </w:tcBorders>
            <w:shd w:val="clear" w:color="auto" w:fill="auto"/>
            <w:noWrap/>
            <w:vAlign w:val="center"/>
            <w:hideMark/>
          </w:tcPr>
          <w:p w14:paraId="37E20CA8"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0.041</w:t>
            </w:r>
          </w:p>
        </w:tc>
        <w:tc>
          <w:tcPr>
            <w:tcW w:w="0" w:type="auto"/>
            <w:tcBorders>
              <w:top w:val="nil"/>
              <w:left w:val="nil"/>
              <w:bottom w:val="nil"/>
              <w:right w:val="nil"/>
            </w:tcBorders>
            <w:shd w:val="clear" w:color="auto" w:fill="auto"/>
            <w:noWrap/>
            <w:vAlign w:val="center"/>
            <w:hideMark/>
          </w:tcPr>
          <w:p w14:paraId="760C4B31"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[0.059, 0.219]</w:t>
            </w:r>
          </w:p>
        </w:tc>
      </w:tr>
      <w:tr w:rsidR="00991E14" w:rsidRPr="00991E14" w14:paraId="6A16AE24" w14:textId="77777777" w:rsidTr="00F30B53">
        <w:trPr>
          <w:trHeight w:val="225"/>
        </w:trPr>
        <w:tc>
          <w:tcPr>
            <w:tcW w:w="0" w:type="auto"/>
            <w:tcBorders>
              <w:top w:val="nil"/>
              <w:left w:val="nil"/>
              <w:bottom w:val="nil"/>
              <w:right w:val="nil"/>
            </w:tcBorders>
            <w:shd w:val="clear" w:color="auto" w:fill="auto"/>
            <w:noWrap/>
            <w:vAlign w:val="bottom"/>
            <w:hideMark/>
          </w:tcPr>
          <w:p w14:paraId="2B031BAA" w14:textId="77777777" w:rsidR="00991E14" w:rsidRPr="00991E14" w:rsidRDefault="00991E14" w:rsidP="00991E14">
            <w:pPr>
              <w:spacing w:line="240" w:lineRule="auto"/>
              <w:ind w:firstLineChars="200" w:firstLine="320"/>
              <w:rPr>
                <w:rFonts w:eastAsia="Times New Roman" w:cs="Times New Roman"/>
                <w:color w:val="000000"/>
                <w:sz w:val="16"/>
                <w:szCs w:val="16"/>
                <w:lang w:val="nl-NL" w:eastAsia="zh-CN"/>
              </w:rPr>
            </w:pPr>
            <w:proofErr w:type="spellStart"/>
            <w:r w:rsidRPr="00991E14">
              <w:rPr>
                <w:rFonts w:eastAsia="Times New Roman" w:cs="Times New Roman"/>
                <w:color w:val="000000"/>
                <w:sz w:val="16"/>
                <w:szCs w:val="16"/>
                <w:lang w:val="nl-NL" w:eastAsia="zh-CN"/>
              </w:rPr>
              <w:t>Experimental</w:t>
            </w:r>
            <w:proofErr w:type="spellEnd"/>
            <w:r w:rsidRPr="00991E14">
              <w:rPr>
                <w:rFonts w:eastAsia="Times New Roman" w:cs="Times New Roman"/>
                <w:color w:val="000000"/>
                <w:sz w:val="16"/>
                <w:szCs w:val="16"/>
                <w:lang w:val="nl-NL" w:eastAsia="zh-CN"/>
              </w:rPr>
              <w:t xml:space="preserve"> setting-online</w:t>
            </w:r>
          </w:p>
        </w:tc>
        <w:tc>
          <w:tcPr>
            <w:tcW w:w="0" w:type="auto"/>
            <w:tcBorders>
              <w:top w:val="nil"/>
              <w:left w:val="nil"/>
              <w:bottom w:val="nil"/>
              <w:right w:val="nil"/>
            </w:tcBorders>
            <w:shd w:val="clear" w:color="auto" w:fill="auto"/>
            <w:noWrap/>
            <w:vAlign w:val="center"/>
            <w:hideMark/>
          </w:tcPr>
          <w:p w14:paraId="314921A0"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0.124</w:t>
            </w:r>
          </w:p>
        </w:tc>
        <w:tc>
          <w:tcPr>
            <w:tcW w:w="0" w:type="auto"/>
            <w:tcBorders>
              <w:top w:val="nil"/>
              <w:left w:val="nil"/>
              <w:bottom w:val="nil"/>
              <w:right w:val="nil"/>
            </w:tcBorders>
            <w:shd w:val="clear" w:color="auto" w:fill="auto"/>
            <w:noWrap/>
            <w:vAlign w:val="center"/>
            <w:hideMark/>
          </w:tcPr>
          <w:p w14:paraId="5D9BBAEF"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0.082</w:t>
            </w:r>
          </w:p>
        </w:tc>
        <w:tc>
          <w:tcPr>
            <w:tcW w:w="0" w:type="auto"/>
            <w:tcBorders>
              <w:top w:val="nil"/>
              <w:left w:val="nil"/>
              <w:bottom w:val="nil"/>
              <w:right w:val="nil"/>
            </w:tcBorders>
            <w:shd w:val="clear" w:color="auto" w:fill="auto"/>
            <w:noWrap/>
            <w:vAlign w:val="center"/>
            <w:hideMark/>
          </w:tcPr>
          <w:p w14:paraId="3A5F4B6D"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[–0.038, 0.285]</w:t>
            </w:r>
          </w:p>
        </w:tc>
        <w:tc>
          <w:tcPr>
            <w:tcW w:w="0" w:type="auto"/>
            <w:tcBorders>
              <w:top w:val="nil"/>
              <w:left w:val="nil"/>
              <w:bottom w:val="nil"/>
              <w:right w:val="nil"/>
            </w:tcBorders>
            <w:shd w:val="clear" w:color="auto" w:fill="auto"/>
            <w:noWrap/>
            <w:vAlign w:val="center"/>
            <w:hideMark/>
          </w:tcPr>
          <w:p w14:paraId="74DD5DF3"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0.123</w:t>
            </w:r>
          </w:p>
        </w:tc>
        <w:tc>
          <w:tcPr>
            <w:tcW w:w="0" w:type="auto"/>
            <w:tcBorders>
              <w:top w:val="nil"/>
              <w:left w:val="nil"/>
              <w:bottom w:val="nil"/>
              <w:right w:val="nil"/>
            </w:tcBorders>
            <w:shd w:val="clear" w:color="auto" w:fill="auto"/>
            <w:noWrap/>
            <w:vAlign w:val="center"/>
            <w:hideMark/>
          </w:tcPr>
          <w:p w14:paraId="6B6A2CCF"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0.082</w:t>
            </w:r>
          </w:p>
        </w:tc>
        <w:tc>
          <w:tcPr>
            <w:tcW w:w="0" w:type="auto"/>
            <w:tcBorders>
              <w:top w:val="nil"/>
              <w:left w:val="nil"/>
              <w:bottom w:val="nil"/>
              <w:right w:val="nil"/>
            </w:tcBorders>
            <w:shd w:val="clear" w:color="auto" w:fill="auto"/>
            <w:noWrap/>
            <w:vAlign w:val="center"/>
            <w:hideMark/>
          </w:tcPr>
          <w:p w14:paraId="6345F303"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[–0.038, 0.284]</w:t>
            </w:r>
          </w:p>
        </w:tc>
        <w:tc>
          <w:tcPr>
            <w:tcW w:w="0" w:type="auto"/>
            <w:tcBorders>
              <w:top w:val="nil"/>
              <w:left w:val="nil"/>
              <w:bottom w:val="nil"/>
              <w:right w:val="nil"/>
            </w:tcBorders>
            <w:shd w:val="clear" w:color="auto" w:fill="auto"/>
            <w:noWrap/>
            <w:vAlign w:val="center"/>
            <w:hideMark/>
          </w:tcPr>
          <w:p w14:paraId="0D88B700"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0.101</w:t>
            </w:r>
          </w:p>
        </w:tc>
        <w:tc>
          <w:tcPr>
            <w:tcW w:w="0" w:type="auto"/>
            <w:tcBorders>
              <w:top w:val="nil"/>
              <w:left w:val="nil"/>
              <w:bottom w:val="nil"/>
              <w:right w:val="nil"/>
            </w:tcBorders>
            <w:shd w:val="clear" w:color="auto" w:fill="auto"/>
            <w:noWrap/>
            <w:vAlign w:val="center"/>
            <w:hideMark/>
          </w:tcPr>
          <w:p w14:paraId="50E1269C"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0.083</w:t>
            </w:r>
          </w:p>
        </w:tc>
        <w:tc>
          <w:tcPr>
            <w:tcW w:w="0" w:type="auto"/>
            <w:tcBorders>
              <w:top w:val="nil"/>
              <w:left w:val="nil"/>
              <w:bottom w:val="nil"/>
              <w:right w:val="nil"/>
            </w:tcBorders>
            <w:shd w:val="clear" w:color="auto" w:fill="auto"/>
            <w:noWrap/>
            <w:vAlign w:val="center"/>
            <w:hideMark/>
          </w:tcPr>
          <w:p w14:paraId="6892FD92"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[–0.063, 0.264]</w:t>
            </w:r>
          </w:p>
        </w:tc>
      </w:tr>
      <w:tr w:rsidR="00991E14" w:rsidRPr="00991E14" w14:paraId="0B964B27" w14:textId="77777777" w:rsidTr="00F30B53">
        <w:trPr>
          <w:trHeight w:val="225"/>
        </w:trPr>
        <w:tc>
          <w:tcPr>
            <w:tcW w:w="0" w:type="auto"/>
            <w:tcBorders>
              <w:top w:val="nil"/>
              <w:left w:val="nil"/>
              <w:bottom w:val="nil"/>
              <w:right w:val="nil"/>
            </w:tcBorders>
            <w:shd w:val="clear" w:color="auto" w:fill="auto"/>
            <w:noWrap/>
            <w:vAlign w:val="bottom"/>
            <w:hideMark/>
          </w:tcPr>
          <w:p w14:paraId="03238EB2" w14:textId="77777777" w:rsidR="00991E14" w:rsidRPr="00991E14" w:rsidRDefault="00991E14" w:rsidP="00991E14">
            <w:pPr>
              <w:spacing w:line="240" w:lineRule="auto"/>
              <w:ind w:firstLineChars="200" w:firstLine="320"/>
              <w:rPr>
                <w:rFonts w:eastAsia="Times New Roman" w:cs="Times New Roman"/>
                <w:color w:val="000000"/>
                <w:sz w:val="16"/>
                <w:szCs w:val="16"/>
                <w:lang w:val="nl-NL" w:eastAsia="zh-CN"/>
              </w:rPr>
            </w:pPr>
            <w:proofErr w:type="spellStart"/>
            <w:r w:rsidRPr="00991E14">
              <w:rPr>
                <w:rFonts w:eastAsia="Times New Roman" w:cs="Times New Roman"/>
                <w:color w:val="000000"/>
                <w:sz w:val="16"/>
                <w:szCs w:val="16"/>
                <w:lang w:val="nl-NL" w:eastAsia="zh-CN"/>
              </w:rPr>
              <w:t>Experimental</w:t>
            </w:r>
            <w:proofErr w:type="spellEnd"/>
            <w:r w:rsidRPr="00991E14">
              <w:rPr>
                <w:rFonts w:eastAsia="Times New Roman" w:cs="Times New Roman"/>
                <w:color w:val="000000"/>
                <w:sz w:val="16"/>
                <w:szCs w:val="16"/>
                <w:lang w:val="nl-NL" w:eastAsia="zh-CN"/>
              </w:rPr>
              <w:t xml:space="preserve"> setting-</w:t>
            </w:r>
            <w:proofErr w:type="spellStart"/>
            <w:r w:rsidRPr="00991E14">
              <w:rPr>
                <w:rFonts w:eastAsia="Times New Roman" w:cs="Times New Roman"/>
                <w:color w:val="000000"/>
                <w:sz w:val="16"/>
                <w:szCs w:val="16"/>
                <w:lang w:val="nl-NL" w:eastAsia="zh-CN"/>
              </w:rPr>
              <w:t>other</w:t>
            </w:r>
            <w:proofErr w:type="spellEnd"/>
          </w:p>
        </w:tc>
        <w:tc>
          <w:tcPr>
            <w:tcW w:w="0" w:type="auto"/>
            <w:tcBorders>
              <w:top w:val="nil"/>
              <w:left w:val="nil"/>
              <w:bottom w:val="nil"/>
              <w:right w:val="nil"/>
            </w:tcBorders>
            <w:shd w:val="clear" w:color="auto" w:fill="auto"/>
            <w:noWrap/>
            <w:vAlign w:val="center"/>
            <w:hideMark/>
          </w:tcPr>
          <w:p w14:paraId="0626008F"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0.121</w:t>
            </w:r>
          </w:p>
        </w:tc>
        <w:tc>
          <w:tcPr>
            <w:tcW w:w="0" w:type="auto"/>
            <w:tcBorders>
              <w:top w:val="nil"/>
              <w:left w:val="nil"/>
              <w:bottom w:val="nil"/>
              <w:right w:val="nil"/>
            </w:tcBorders>
            <w:shd w:val="clear" w:color="auto" w:fill="auto"/>
            <w:noWrap/>
            <w:vAlign w:val="center"/>
            <w:hideMark/>
          </w:tcPr>
          <w:p w14:paraId="7AF022C6"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0.073</w:t>
            </w:r>
          </w:p>
        </w:tc>
        <w:tc>
          <w:tcPr>
            <w:tcW w:w="0" w:type="auto"/>
            <w:tcBorders>
              <w:top w:val="nil"/>
              <w:left w:val="nil"/>
              <w:bottom w:val="nil"/>
              <w:right w:val="nil"/>
            </w:tcBorders>
            <w:shd w:val="clear" w:color="auto" w:fill="auto"/>
            <w:noWrap/>
            <w:vAlign w:val="center"/>
            <w:hideMark/>
          </w:tcPr>
          <w:p w14:paraId="6972F8EF"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[–0.023, 0.265]</w:t>
            </w:r>
          </w:p>
        </w:tc>
        <w:tc>
          <w:tcPr>
            <w:tcW w:w="0" w:type="auto"/>
            <w:tcBorders>
              <w:top w:val="nil"/>
              <w:left w:val="nil"/>
              <w:bottom w:val="nil"/>
              <w:right w:val="nil"/>
            </w:tcBorders>
            <w:shd w:val="clear" w:color="auto" w:fill="auto"/>
            <w:noWrap/>
            <w:vAlign w:val="center"/>
            <w:hideMark/>
          </w:tcPr>
          <w:p w14:paraId="7AC4D2D8"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0.090</w:t>
            </w:r>
          </w:p>
        </w:tc>
        <w:tc>
          <w:tcPr>
            <w:tcW w:w="0" w:type="auto"/>
            <w:tcBorders>
              <w:top w:val="nil"/>
              <w:left w:val="nil"/>
              <w:bottom w:val="nil"/>
              <w:right w:val="nil"/>
            </w:tcBorders>
            <w:shd w:val="clear" w:color="auto" w:fill="auto"/>
            <w:noWrap/>
            <w:vAlign w:val="center"/>
            <w:hideMark/>
          </w:tcPr>
          <w:p w14:paraId="6BD9A97E"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0.073</w:t>
            </w:r>
          </w:p>
        </w:tc>
        <w:tc>
          <w:tcPr>
            <w:tcW w:w="0" w:type="auto"/>
            <w:tcBorders>
              <w:top w:val="nil"/>
              <w:left w:val="nil"/>
              <w:bottom w:val="nil"/>
              <w:right w:val="nil"/>
            </w:tcBorders>
            <w:shd w:val="clear" w:color="auto" w:fill="auto"/>
            <w:noWrap/>
            <w:vAlign w:val="center"/>
            <w:hideMark/>
          </w:tcPr>
          <w:p w14:paraId="18483EE3"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[–0.053, 0.234]</w:t>
            </w:r>
          </w:p>
        </w:tc>
        <w:tc>
          <w:tcPr>
            <w:tcW w:w="0" w:type="auto"/>
            <w:tcBorders>
              <w:top w:val="nil"/>
              <w:left w:val="nil"/>
              <w:bottom w:val="nil"/>
              <w:right w:val="nil"/>
            </w:tcBorders>
            <w:shd w:val="clear" w:color="auto" w:fill="auto"/>
            <w:noWrap/>
            <w:vAlign w:val="center"/>
            <w:hideMark/>
          </w:tcPr>
          <w:p w14:paraId="26A14489"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0.113</w:t>
            </w:r>
          </w:p>
        </w:tc>
        <w:tc>
          <w:tcPr>
            <w:tcW w:w="0" w:type="auto"/>
            <w:tcBorders>
              <w:top w:val="nil"/>
              <w:left w:val="nil"/>
              <w:bottom w:val="nil"/>
              <w:right w:val="nil"/>
            </w:tcBorders>
            <w:shd w:val="clear" w:color="auto" w:fill="auto"/>
            <w:noWrap/>
            <w:vAlign w:val="center"/>
            <w:hideMark/>
          </w:tcPr>
          <w:p w14:paraId="13CF0CD8"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0.074</w:t>
            </w:r>
          </w:p>
        </w:tc>
        <w:tc>
          <w:tcPr>
            <w:tcW w:w="0" w:type="auto"/>
            <w:tcBorders>
              <w:top w:val="nil"/>
              <w:left w:val="nil"/>
              <w:bottom w:val="nil"/>
              <w:right w:val="nil"/>
            </w:tcBorders>
            <w:shd w:val="clear" w:color="auto" w:fill="auto"/>
            <w:noWrap/>
            <w:vAlign w:val="center"/>
            <w:hideMark/>
          </w:tcPr>
          <w:p w14:paraId="092C827A"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[–0.033, 0.258]</w:t>
            </w:r>
          </w:p>
        </w:tc>
      </w:tr>
      <w:tr w:rsidR="00991E14" w:rsidRPr="00991E14" w14:paraId="0157A522" w14:textId="77777777" w:rsidTr="00F30B53">
        <w:trPr>
          <w:trHeight w:val="225"/>
        </w:trPr>
        <w:tc>
          <w:tcPr>
            <w:tcW w:w="0" w:type="auto"/>
            <w:tcBorders>
              <w:top w:val="nil"/>
              <w:left w:val="nil"/>
              <w:bottom w:val="nil"/>
              <w:right w:val="nil"/>
            </w:tcBorders>
            <w:shd w:val="clear" w:color="auto" w:fill="auto"/>
            <w:noWrap/>
            <w:vAlign w:val="bottom"/>
            <w:hideMark/>
          </w:tcPr>
          <w:p w14:paraId="1FCDDFED" w14:textId="10790709" w:rsidR="00991E14" w:rsidRPr="00991E14" w:rsidRDefault="00991E14" w:rsidP="00991E14">
            <w:pPr>
              <w:spacing w:line="240" w:lineRule="auto"/>
              <w:ind w:firstLineChars="200" w:firstLine="320"/>
              <w:rPr>
                <w:rFonts w:eastAsia="Times New Roman" w:cs="Times New Roman"/>
                <w:color w:val="000000"/>
                <w:sz w:val="16"/>
                <w:szCs w:val="16"/>
                <w:lang w:val="nl-NL" w:eastAsia="zh-CN"/>
              </w:rPr>
            </w:pPr>
            <w:proofErr w:type="spellStart"/>
            <w:r w:rsidRPr="00991E14">
              <w:rPr>
                <w:rFonts w:eastAsia="Times New Roman" w:cs="Times New Roman"/>
                <w:color w:val="000000"/>
                <w:sz w:val="16"/>
                <w:szCs w:val="16"/>
                <w:lang w:val="nl-NL" w:eastAsia="zh-CN"/>
              </w:rPr>
              <w:t>Publi</w:t>
            </w:r>
            <w:r w:rsidR="008E740D">
              <w:rPr>
                <w:rFonts w:eastAsia="Times New Roman" w:cs="Times New Roman"/>
                <w:color w:val="000000"/>
                <w:sz w:val="16"/>
                <w:szCs w:val="16"/>
                <w:lang w:val="nl-NL" w:eastAsia="zh-CN"/>
              </w:rPr>
              <w:t>cation</w:t>
            </w:r>
            <w:proofErr w:type="spellEnd"/>
            <w:r w:rsidR="008E740D">
              <w:rPr>
                <w:rFonts w:eastAsia="Times New Roman" w:cs="Times New Roman"/>
                <w:color w:val="000000"/>
                <w:sz w:val="16"/>
                <w:szCs w:val="16"/>
                <w:lang w:val="nl-NL" w:eastAsia="zh-CN"/>
              </w:rPr>
              <w:t xml:space="preserve"> status</w:t>
            </w:r>
            <w:r w:rsidRPr="00991E14">
              <w:rPr>
                <w:rFonts w:eastAsia="Times New Roman" w:cs="Times New Roman"/>
                <w:color w:val="000000"/>
                <w:sz w:val="16"/>
                <w:szCs w:val="16"/>
                <w:lang w:val="nl-NL" w:eastAsia="zh-CN"/>
              </w:rPr>
              <w:t>-yes</w:t>
            </w:r>
          </w:p>
        </w:tc>
        <w:tc>
          <w:tcPr>
            <w:tcW w:w="0" w:type="auto"/>
            <w:tcBorders>
              <w:top w:val="nil"/>
              <w:left w:val="nil"/>
              <w:bottom w:val="nil"/>
              <w:right w:val="nil"/>
            </w:tcBorders>
            <w:shd w:val="clear" w:color="auto" w:fill="auto"/>
            <w:noWrap/>
            <w:vAlign w:val="center"/>
            <w:hideMark/>
          </w:tcPr>
          <w:p w14:paraId="381448E3"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-0.055</w:t>
            </w:r>
          </w:p>
        </w:tc>
        <w:tc>
          <w:tcPr>
            <w:tcW w:w="0" w:type="auto"/>
            <w:tcBorders>
              <w:top w:val="nil"/>
              <w:left w:val="nil"/>
              <w:bottom w:val="nil"/>
              <w:right w:val="nil"/>
            </w:tcBorders>
            <w:shd w:val="clear" w:color="auto" w:fill="auto"/>
            <w:noWrap/>
            <w:vAlign w:val="center"/>
            <w:hideMark/>
          </w:tcPr>
          <w:p w14:paraId="7D3CF25F"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0.070</w:t>
            </w:r>
          </w:p>
        </w:tc>
        <w:tc>
          <w:tcPr>
            <w:tcW w:w="0" w:type="auto"/>
            <w:tcBorders>
              <w:top w:val="nil"/>
              <w:left w:val="nil"/>
              <w:bottom w:val="nil"/>
              <w:right w:val="nil"/>
            </w:tcBorders>
            <w:shd w:val="clear" w:color="auto" w:fill="auto"/>
            <w:noWrap/>
            <w:vAlign w:val="center"/>
            <w:hideMark/>
          </w:tcPr>
          <w:p w14:paraId="262B1269"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[–0.192, 0.082]</w:t>
            </w:r>
          </w:p>
        </w:tc>
        <w:tc>
          <w:tcPr>
            <w:tcW w:w="0" w:type="auto"/>
            <w:tcBorders>
              <w:top w:val="nil"/>
              <w:left w:val="nil"/>
              <w:bottom w:val="nil"/>
              <w:right w:val="nil"/>
            </w:tcBorders>
            <w:shd w:val="clear" w:color="auto" w:fill="auto"/>
            <w:noWrap/>
            <w:vAlign w:val="center"/>
            <w:hideMark/>
          </w:tcPr>
          <w:p w14:paraId="5D6E0F33"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–0.061</w:t>
            </w:r>
          </w:p>
        </w:tc>
        <w:tc>
          <w:tcPr>
            <w:tcW w:w="0" w:type="auto"/>
            <w:tcBorders>
              <w:top w:val="nil"/>
              <w:left w:val="nil"/>
              <w:bottom w:val="nil"/>
              <w:right w:val="nil"/>
            </w:tcBorders>
            <w:shd w:val="clear" w:color="auto" w:fill="auto"/>
            <w:noWrap/>
            <w:vAlign w:val="center"/>
            <w:hideMark/>
          </w:tcPr>
          <w:p w14:paraId="6249F530"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0.070</w:t>
            </w:r>
          </w:p>
        </w:tc>
        <w:tc>
          <w:tcPr>
            <w:tcW w:w="0" w:type="auto"/>
            <w:tcBorders>
              <w:top w:val="nil"/>
              <w:left w:val="nil"/>
              <w:bottom w:val="nil"/>
              <w:right w:val="nil"/>
            </w:tcBorders>
            <w:shd w:val="clear" w:color="auto" w:fill="auto"/>
            <w:noWrap/>
            <w:vAlign w:val="center"/>
            <w:hideMark/>
          </w:tcPr>
          <w:p w14:paraId="4A500E39"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[–0.197, 0.076]</w:t>
            </w:r>
          </w:p>
        </w:tc>
        <w:tc>
          <w:tcPr>
            <w:tcW w:w="0" w:type="auto"/>
            <w:tcBorders>
              <w:top w:val="nil"/>
              <w:left w:val="nil"/>
              <w:bottom w:val="nil"/>
              <w:right w:val="nil"/>
            </w:tcBorders>
            <w:shd w:val="clear" w:color="auto" w:fill="auto"/>
            <w:noWrap/>
            <w:vAlign w:val="center"/>
            <w:hideMark/>
          </w:tcPr>
          <w:p w14:paraId="7C3E8E19"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–0.047</w:t>
            </w:r>
          </w:p>
        </w:tc>
        <w:tc>
          <w:tcPr>
            <w:tcW w:w="0" w:type="auto"/>
            <w:tcBorders>
              <w:top w:val="nil"/>
              <w:left w:val="nil"/>
              <w:bottom w:val="nil"/>
              <w:right w:val="nil"/>
            </w:tcBorders>
            <w:shd w:val="clear" w:color="auto" w:fill="auto"/>
            <w:noWrap/>
            <w:vAlign w:val="center"/>
            <w:hideMark/>
          </w:tcPr>
          <w:p w14:paraId="06DE5CC8"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0.071</w:t>
            </w:r>
          </w:p>
        </w:tc>
        <w:tc>
          <w:tcPr>
            <w:tcW w:w="0" w:type="auto"/>
            <w:tcBorders>
              <w:top w:val="nil"/>
              <w:left w:val="nil"/>
              <w:bottom w:val="nil"/>
              <w:right w:val="nil"/>
            </w:tcBorders>
            <w:shd w:val="clear" w:color="auto" w:fill="auto"/>
            <w:noWrap/>
            <w:vAlign w:val="center"/>
            <w:hideMark/>
          </w:tcPr>
          <w:p w14:paraId="1B9A1656"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[–0.186, 0.091]</w:t>
            </w:r>
          </w:p>
        </w:tc>
      </w:tr>
      <w:tr w:rsidR="00991E14" w:rsidRPr="00991E14" w14:paraId="2DADD785" w14:textId="77777777" w:rsidTr="00F30B53">
        <w:trPr>
          <w:trHeight w:val="225"/>
        </w:trPr>
        <w:tc>
          <w:tcPr>
            <w:tcW w:w="0" w:type="auto"/>
            <w:tcBorders>
              <w:top w:val="nil"/>
              <w:left w:val="nil"/>
              <w:bottom w:val="nil"/>
              <w:right w:val="nil"/>
            </w:tcBorders>
            <w:shd w:val="clear" w:color="auto" w:fill="auto"/>
            <w:noWrap/>
            <w:vAlign w:val="bottom"/>
            <w:hideMark/>
          </w:tcPr>
          <w:p w14:paraId="1A66AC32" w14:textId="77777777" w:rsidR="00991E14" w:rsidRPr="00991E14" w:rsidRDefault="00991E14" w:rsidP="00991E14">
            <w:pPr>
              <w:spacing w:line="240" w:lineRule="auto"/>
              <w:ind w:firstLineChars="200" w:firstLine="320"/>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Trial of cooperation-first</w:t>
            </w:r>
          </w:p>
        </w:tc>
        <w:tc>
          <w:tcPr>
            <w:tcW w:w="0" w:type="auto"/>
            <w:tcBorders>
              <w:top w:val="nil"/>
              <w:left w:val="nil"/>
              <w:bottom w:val="nil"/>
              <w:right w:val="nil"/>
            </w:tcBorders>
            <w:shd w:val="clear" w:color="auto" w:fill="auto"/>
            <w:noWrap/>
            <w:vAlign w:val="center"/>
            <w:hideMark/>
          </w:tcPr>
          <w:p w14:paraId="6FE8BF65"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0.123</w:t>
            </w:r>
          </w:p>
        </w:tc>
        <w:tc>
          <w:tcPr>
            <w:tcW w:w="0" w:type="auto"/>
            <w:tcBorders>
              <w:top w:val="nil"/>
              <w:left w:val="nil"/>
              <w:bottom w:val="nil"/>
              <w:right w:val="nil"/>
            </w:tcBorders>
            <w:shd w:val="clear" w:color="auto" w:fill="auto"/>
            <w:noWrap/>
            <w:vAlign w:val="center"/>
            <w:hideMark/>
          </w:tcPr>
          <w:p w14:paraId="4F038B1A"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0.111</w:t>
            </w:r>
          </w:p>
        </w:tc>
        <w:tc>
          <w:tcPr>
            <w:tcW w:w="0" w:type="auto"/>
            <w:tcBorders>
              <w:top w:val="nil"/>
              <w:left w:val="nil"/>
              <w:bottom w:val="nil"/>
              <w:right w:val="nil"/>
            </w:tcBorders>
            <w:shd w:val="clear" w:color="auto" w:fill="auto"/>
            <w:noWrap/>
            <w:vAlign w:val="center"/>
            <w:hideMark/>
          </w:tcPr>
          <w:p w14:paraId="55FC3AFD"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[–0.094, 0.341]</w:t>
            </w:r>
          </w:p>
        </w:tc>
        <w:tc>
          <w:tcPr>
            <w:tcW w:w="0" w:type="auto"/>
            <w:tcBorders>
              <w:top w:val="nil"/>
              <w:left w:val="nil"/>
              <w:bottom w:val="nil"/>
              <w:right w:val="nil"/>
            </w:tcBorders>
            <w:shd w:val="clear" w:color="auto" w:fill="auto"/>
            <w:noWrap/>
            <w:vAlign w:val="center"/>
            <w:hideMark/>
          </w:tcPr>
          <w:p w14:paraId="486FCDE2"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0.032</w:t>
            </w:r>
          </w:p>
        </w:tc>
        <w:tc>
          <w:tcPr>
            <w:tcW w:w="0" w:type="auto"/>
            <w:tcBorders>
              <w:top w:val="nil"/>
              <w:left w:val="nil"/>
              <w:bottom w:val="nil"/>
              <w:right w:val="nil"/>
            </w:tcBorders>
            <w:shd w:val="clear" w:color="auto" w:fill="auto"/>
            <w:noWrap/>
            <w:vAlign w:val="center"/>
            <w:hideMark/>
          </w:tcPr>
          <w:p w14:paraId="043A2601"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0.111</w:t>
            </w:r>
          </w:p>
        </w:tc>
        <w:tc>
          <w:tcPr>
            <w:tcW w:w="0" w:type="auto"/>
            <w:tcBorders>
              <w:top w:val="nil"/>
              <w:left w:val="nil"/>
              <w:bottom w:val="nil"/>
              <w:right w:val="nil"/>
            </w:tcBorders>
            <w:shd w:val="clear" w:color="auto" w:fill="auto"/>
            <w:noWrap/>
            <w:vAlign w:val="center"/>
            <w:hideMark/>
          </w:tcPr>
          <w:p w14:paraId="45D0B21B"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[–0.185, 0.250]</w:t>
            </w:r>
          </w:p>
        </w:tc>
        <w:tc>
          <w:tcPr>
            <w:tcW w:w="0" w:type="auto"/>
            <w:tcBorders>
              <w:top w:val="nil"/>
              <w:left w:val="nil"/>
              <w:bottom w:val="nil"/>
              <w:right w:val="nil"/>
            </w:tcBorders>
            <w:shd w:val="clear" w:color="auto" w:fill="auto"/>
            <w:noWrap/>
            <w:vAlign w:val="center"/>
            <w:hideMark/>
          </w:tcPr>
          <w:p w14:paraId="724D830F"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0.096</w:t>
            </w:r>
          </w:p>
        </w:tc>
        <w:tc>
          <w:tcPr>
            <w:tcW w:w="0" w:type="auto"/>
            <w:tcBorders>
              <w:top w:val="nil"/>
              <w:left w:val="nil"/>
              <w:bottom w:val="nil"/>
              <w:right w:val="nil"/>
            </w:tcBorders>
            <w:shd w:val="clear" w:color="auto" w:fill="auto"/>
            <w:noWrap/>
            <w:vAlign w:val="center"/>
            <w:hideMark/>
          </w:tcPr>
          <w:p w14:paraId="22A9BAB5"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0.112</w:t>
            </w:r>
          </w:p>
        </w:tc>
        <w:tc>
          <w:tcPr>
            <w:tcW w:w="0" w:type="auto"/>
            <w:tcBorders>
              <w:top w:val="nil"/>
              <w:left w:val="nil"/>
              <w:bottom w:val="nil"/>
              <w:right w:val="nil"/>
            </w:tcBorders>
            <w:shd w:val="clear" w:color="auto" w:fill="auto"/>
            <w:noWrap/>
            <w:vAlign w:val="center"/>
            <w:hideMark/>
          </w:tcPr>
          <w:p w14:paraId="646C66BA"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[–0.124, 0.316]</w:t>
            </w:r>
          </w:p>
        </w:tc>
      </w:tr>
      <w:tr w:rsidR="00991E14" w:rsidRPr="00991E14" w14:paraId="10839ED3" w14:textId="77777777" w:rsidTr="00F30B53">
        <w:trPr>
          <w:trHeight w:val="225"/>
        </w:trPr>
        <w:tc>
          <w:tcPr>
            <w:tcW w:w="0" w:type="auto"/>
            <w:tcBorders>
              <w:top w:val="nil"/>
              <w:left w:val="nil"/>
              <w:bottom w:val="nil"/>
              <w:right w:val="nil"/>
            </w:tcBorders>
            <w:shd w:val="clear" w:color="auto" w:fill="auto"/>
            <w:noWrap/>
            <w:vAlign w:val="bottom"/>
            <w:hideMark/>
          </w:tcPr>
          <w:p w14:paraId="0131DD04" w14:textId="77777777" w:rsidR="00991E14" w:rsidRPr="00991E14" w:rsidRDefault="00991E14" w:rsidP="00991E14">
            <w:pPr>
              <w:spacing w:line="240" w:lineRule="auto"/>
              <w:ind w:firstLineChars="200" w:firstLine="320"/>
              <w:rPr>
                <w:rFonts w:eastAsia="Times New Roman" w:cs="Times New Roman"/>
                <w:color w:val="000000"/>
                <w:sz w:val="16"/>
                <w:szCs w:val="16"/>
                <w:lang w:val="nl-NL" w:eastAsia="zh-CN"/>
              </w:rPr>
            </w:pPr>
            <w:proofErr w:type="spellStart"/>
            <w:r w:rsidRPr="00991E14">
              <w:rPr>
                <w:rFonts w:eastAsia="Times New Roman" w:cs="Times New Roman"/>
                <w:color w:val="000000"/>
                <w:sz w:val="16"/>
                <w:szCs w:val="16"/>
                <w:lang w:val="nl-NL" w:eastAsia="zh-CN"/>
              </w:rPr>
              <w:t>Year</w:t>
            </w:r>
            <w:proofErr w:type="spellEnd"/>
            <w:r w:rsidRPr="00991E14">
              <w:rPr>
                <w:rFonts w:eastAsia="Times New Roman" w:cs="Times New Roman"/>
                <w:color w:val="000000"/>
                <w:sz w:val="16"/>
                <w:szCs w:val="16"/>
                <w:lang w:val="nl-NL" w:eastAsia="zh-CN"/>
              </w:rPr>
              <w:t xml:space="preserve"> of data </w:t>
            </w:r>
            <w:proofErr w:type="spellStart"/>
            <w:r w:rsidRPr="00991E14">
              <w:rPr>
                <w:rFonts w:eastAsia="Times New Roman" w:cs="Times New Roman"/>
                <w:color w:val="000000"/>
                <w:sz w:val="16"/>
                <w:szCs w:val="16"/>
                <w:lang w:val="nl-NL" w:eastAsia="zh-CN"/>
              </w:rPr>
              <w:t>collection</w:t>
            </w:r>
            <w:proofErr w:type="spellEnd"/>
          </w:p>
        </w:tc>
        <w:tc>
          <w:tcPr>
            <w:tcW w:w="0" w:type="auto"/>
            <w:tcBorders>
              <w:top w:val="nil"/>
              <w:left w:val="nil"/>
              <w:bottom w:val="nil"/>
              <w:right w:val="nil"/>
            </w:tcBorders>
            <w:shd w:val="clear" w:color="auto" w:fill="auto"/>
            <w:noWrap/>
            <w:vAlign w:val="center"/>
            <w:hideMark/>
          </w:tcPr>
          <w:p w14:paraId="70F891CE"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0.003</w:t>
            </w:r>
          </w:p>
        </w:tc>
        <w:tc>
          <w:tcPr>
            <w:tcW w:w="0" w:type="auto"/>
            <w:tcBorders>
              <w:top w:val="nil"/>
              <w:left w:val="nil"/>
              <w:bottom w:val="nil"/>
              <w:right w:val="nil"/>
            </w:tcBorders>
            <w:shd w:val="clear" w:color="auto" w:fill="auto"/>
            <w:noWrap/>
            <w:vAlign w:val="center"/>
            <w:hideMark/>
          </w:tcPr>
          <w:p w14:paraId="0AFE8440"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0.002</w:t>
            </w:r>
          </w:p>
        </w:tc>
        <w:tc>
          <w:tcPr>
            <w:tcW w:w="0" w:type="auto"/>
            <w:tcBorders>
              <w:top w:val="nil"/>
              <w:left w:val="nil"/>
              <w:bottom w:val="nil"/>
              <w:right w:val="nil"/>
            </w:tcBorders>
            <w:shd w:val="clear" w:color="auto" w:fill="auto"/>
            <w:noWrap/>
            <w:vAlign w:val="center"/>
            <w:hideMark/>
          </w:tcPr>
          <w:p w14:paraId="6124465E"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 0.006]</w:t>
            </w:r>
          </w:p>
        </w:tc>
        <w:tc>
          <w:tcPr>
            <w:tcW w:w="0" w:type="auto"/>
            <w:tcBorders>
              <w:top w:val="nil"/>
              <w:left w:val="nil"/>
              <w:bottom w:val="nil"/>
              <w:right w:val="nil"/>
            </w:tcBorders>
            <w:shd w:val="clear" w:color="auto" w:fill="auto"/>
            <w:noWrap/>
            <w:vAlign w:val="center"/>
            <w:hideMark/>
          </w:tcPr>
          <w:p w14:paraId="47AC6A0D"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0.005*</w:t>
            </w:r>
          </w:p>
        </w:tc>
        <w:tc>
          <w:tcPr>
            <w:tcW w:w="0" w:type="auto"/>
            <w:tcBorders>
              <w:top w:val="nil"/>
              <w:left w:val="nil"/>
              <w:bottom w:val="nil"/>
              <w:right w:val="nil"/>
            </w:tcBorders>
            <w:shd w:val="clear" w:color="auto" w:fill="auto"/>
            <w:noWrap/>
            <w:vAlign w:val="center"/>
            <w:hideMark/>
          </w:tcPr>
          <w:p w14:paraId="3C6D4FC3"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0.002</w:t>
            </w:r>
          </w:p>
        </w:tc>
        <w:tc>
          <w:tcPr>
            <w:tcW w:w="0" w:type="auto"/>
            <w:tcBorders>
              <w:top w:val="nil"/>
              <w:left w:val="nil"/>
              <w:bottom w:val="nil"/>
              <w:right w:val="nil"/>
            </w:tcBorders>
            <w:shd w:val="clear" w:color="auto" w:fill="auto"/>
            <w:noWrap/>
            <w:vAlign w:val="center"/>
            <w:hideMark/>
          </w:tcPr>
          <w:p w14:paraId="4899B9EA"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[0.002, 0.008]</w:t>
            </w:r>
          </w:p>
        </w:tc>
        <w:tc>
          <w:tcPr>
            <w:tcW w:w="0" w:type="auto"/>
            <w:tcBorders>
              <w:top w:val="nil"/>
              <w:left w:val="nil"/>
              <w:bottom w:val="nil"/>
              <w:right w:val="nil"/>
            </w:tcBorders>
            <w:shd w:val="clear" w:color="auto" w:fill="auto"/>
            <w:noWrap/>
            <w:vAlign w:val="center"/>
            <w:hideMark/>
          </w:tcPr>
          <w:p w14:paraId="4C7E2A30"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0.005*</w:t>
            </w:r>
          </w:p>
        </w:tc>
        <w:tc>
          <w:tcPr>
            <w:tcW w:w="0" w:type="auto"/>
            <w:tcBorders>
              <w:top w:val="nil"/>
              <w:left w:val="nil"/>
              <w:bottom w:val="nil"/>
              <w:right w:val="nil"/>
            </w:tcBorders>
            <w:shd w:val="clear" w:color="auto" w:fill="auto"/>
            <w:noWrap/>
            <w:vAlign w:val="center"/>
            <w:hideMark/>
          </w:tcPr>
          <w:p w14:paraId="1F2547A9"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0.002</w:t>
            </w:r>
          </w:p>
        </w:tc>
        <w:tc>
          <w:tcPr>
            <w:tcW w:w="0" w:type="auto"/>
            <w:tcBorders>
              <w:top w:val="nil"/>
              <w:left w:val="nil"/>
              <w:bottom w:val="nil"/>
              <w:right w:val="nil"/>
            </w:tcBorders>
            <w:shd w:val="clear" w:color="auto" w:fill="auto"/>
            <w:noWrap/>
            <w:vAlign w:val="center"/>
            <w:hideMark/>
          </w:tcPr>
          <w:p w14:paraId="743AD829"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[0.002, 0.008]</w:t>
            </w:r>
          </w:p>
        </w:tc>
      </w:tr>
      <w:tr w:rsidR="00991E14" w:rsidRPr="00991E14" w14:paraId="524A4203" w14:textId="77777777" w:rsidTr="00F30B53">
        <w:trPr>
          <w:trHeight w:val="225"/>
        </w:trPr>
        <w:tc>
          <w:tcPr>
            <w:tcW w:w="0" w:type="auto"/>
            <w:tcBorders>
              <w:top w:val="nil"/>
              <w:left w:val="nil"/>
              <w:bottom w:val="nil"/>
              <w:right w:val="nil"/>
            </w:tcBorders>
            <w:shd w:val="clear" w:color="auto" w:fill="auto"/>
            <w:noWrap/>
            <w:vAlign w:val="bottom"/>
            <w:hideMark/>
          </w:tcPr>
          <w:p w14:paraId="2470B6EE" w14:textId="77777777" w:rsidR="00991E14" w:rsidRPr="00991E14" w:rsidRDefault="00991E14" w:rsidP="00991E14">
            <w:pPr>
              <w:spacing w:line="240" w:lineRule="auto"/>
              <w:rPr>
                <w:rFonts w:eastAsia="Times New Roman" w:cs="Times New Roman"/>
                <w:i/>
                <w:iCs/>
                <w:color w:val="000000"/>
                <w:sz w:val="16"/>
                <w:szCs w:val="16"/>
                <w:lang w:val="nl-NL" w:eastAsia="zh-CN"/>
              </w:rPr>
            </w:pPr>
            <w:r w:rsidRPr="00991E14">
              <w:rPr>
                <w:rFonts w:eastAsia="Times New Roman" w:cs="Times New Roman"/>
                <w:i/>
                <w:iCs/>
                <w:color w:val="000000"/>
                <w:sz w:val="16"/>
                <w:szCs w:val="16"/>
                <w:lang w:val="nl-NL" w:eastAsia="zh-CN"/>
              </w:rPr>
              <w:t>Sample variables</w:t>
            </w:r>
          </w:p>
        </w:tc>
        <w:tc>
          <w:tcPr>
            <w:tcW w:w="0" w:type="auto"/>
            <w:tcBorders>
              <w:top w:val="nil"/>
              <w:left w:val="nil"/>
              <w:bottom w:val="nil"/>
              <w:right w:val="nil"/>
            </w:tcBorders>
            <w:shd w:val="clear" w:color="auto" w:fill="auto"/>
            <w:noWrap/>
            <w:vAlign w:val="center"/>
            <w:hideMark/>
          </w:tcPr>
          <w:p w14:paraId="13269DBB" w14:textId="77777777" w:rsidR="00991E14" w:rsidRPr="00991E14" w:rsidRDefault="00991E14" w:rsidP="00991E14">
            <w:pPr>
              <w:spacing w:line="240" w:lineRule="auto"/>
              <w:rPr>
                <w:rFonts w:eastAsia="Times New Roman" w:cs="Times New Roman"/>
                <w:i/>
                <w:iCs/>
                <w:color w:val="000000"/>
                <w:sz w:val="16"/>
                <w:szCs w:val="16"/>
                <w:lang w:val="nl-NL" w:eastAsia="zh-CN"/>
              </w:rPr>
            </w:pPr>
          </w:p>
        </w:tc>
        <w:tc>
          <w:tcPr>
            <w:tcW w:w="0" w:type="auto"/>
            <w:tcBorders>
              <w:top w:val="nil"/>
              <w:left w:val="nil"/>
              <w:bottom w:val="nil"/>
              <w:right w:val="nil"/>
            </w:tcBorders>
            <w:shd w:val="clear" w:color="auto" w:fill="auto"/>
            <w:noWrap/>
            <w:vAlign w:val="center"/>
            <w:hideMark/>
          </w:tcPr>
          <w:p w14:paraId="4B7DDD88"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36A89900"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7D0272BB"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61F8790D"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1448D126"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488C6816"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4D81E032"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0A82AD97" w14:textId="77777777" w:rsidR="00991E14" w:rsidRPr="00991E14" w:rsidRDefault="00991E14" w:rsidP="00991E14">
            <w:pPr>
              <w:spacing w:line="240" w:lineRule="auto"/>
              <w:jc w:val="center"/>
              <w:rPr>
                <w:rFonts w:eastAsia="Times New Roman" w:cs="Times New Roman"/>
                <w:sz w:val="20"/>
                <w:szCs w:val="20"/>
                <w:lang w:val="nl-NL" w:eastAsia="zh-CN"/>
              </w:rPr>
            </w:pPr>
          </w:p>
        </w:tc>
      </w:tr>
      <w:tr w:rsidR="00991E14" w:rsidRPr="00991E14" w14:paraId="4EA332C6" w14:textId="77777777" w:rsidTr="00F30B53">
        <w:trPr>
          <w:trHeight w:val="225"/>
        </w:trPr>
        <w:tc>
          <w:tcPr>
            <w:tcW w:w="0" w:type="auto"/>
            <w:tcBorders>
              <w:top w:val="nil"/>
              <w:left w:val="nil"/>
              <w:bottom w:val="nil"/>
              <w:right w:val="nil"/>
            </w:tcBorders>
            <w:shd w:val="clear" w:color="auto" w:fill="auto"/>
            <w:noWrap/>
            <w:vAlign w:val="bottom"/>
            <w:hideMark/>
          </w:tcPr>
          <w:p w14:paraId="05D343DC" w14:textId="77777777" w:rsidR="00991E14" w:rsidRPr="00991E14" w:rsidRDefault="00991E14" w:rsidP="00991E14">
            <w:pPr>
              <w:spacing w:line="240" w:lineRule="auto"/>
              <w:ind w:firstLineChars="200" w:firstLine="320"/>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Age (</w:t>
            </w:r>
            <w:proofErr w:type="spellStart"/>
            <w:r w:rsidRPr="00991E14">
              <w:rPr>
                <w:rFonts w:eastAsia="Times New Roman" w:cs="Times New Roman"/>
                <w:color w:val="000000"/>
                <w:sz w:val="16"/>
                <w:szCs w:val="16"/>
                <w:lang w:val="nl-NL" w:eastAsia="zh-CN"/>
              </w:rPr>
              <w:t>Mean</w:t>
            </w:r>
            <w:proofErr w:type="spellEnd"/>
            <w:r w:rsidRPr="00991E14">
              <w:rPr>
                <w:rFonts w:eastAsia="Times New Roman" w:cs="Times New Roman"/>
                <w:color w:val="000000"/>
                <w:sz w:val="16"/>
                <w:szCs w:val="16"/>
                <w:lang w:val="nl-NL" w:eastAsia="zh-CN"/>
              </w:rPr>
              <w:t>)</w:t>
            </w:r>
          </w:p>
        </w:tc>
        <w:tc>
          <w:tcPr>
            <w:tcW w:w="0" w:type="auto"/>
            <w:tcBorders>
              <w:top w:val="nil"/>
              <w:left w:val="nil"/>
              <w:bottom w:val="nil"/>
              <w:right w:val="nil"/>
            </w:tcBorders>
            <w:shd w:val="clear" w:color="auto" w:fill="auto"/>
            <w:noWrap/>
            <w:vAlign w:val="center"/>
            <w:hideMark/>
          </w:tcPr>
          <w:p w14:paraId="14DF0F70"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-0.004</w:t>
            </w:r>
          </w:p>
        </w:tc>
        <w:tc>
          <w:tcPr>
            <w:tcW w:w="0" w:type="auto"/>
            <w:tcBorders>
              <w:top w:val="nil"/>
              <w:left w:val="nil"/>
              <w:bottom w:val="nil"/>
              <w:right w:val="nil"/>
            </w:tcBorders>
            <w:shd w:val="clear" w:color="auto" w:fill="auto"/>
            <w:noWrap/>
            <w:vAlign w:val="center"/>
            <w:hideMark/>
          </w:tcPr>
          <w:p w14:paraId="4C5FFE39"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0.004</w:t>
            </w:r>
          </w:p>
        </w:tc>
        <w:tc>
          <w:tcPr>
            <w:tcW w:w="0" w:type="auto"/>
            <w:tcBorders>
              <w:top w:val="nil"/>
              <w:left w:val="nil"/>
              <w:bottom w:val="nil"/>
              <w:right w:val="nil"/>
            </w:tcBorders>
            <w:shd w:val="clear" w:color="auto" w:fill="auto"/>
            <w:noWrap/>
            <w:vAlign w:val="center"/>
            <w:hideMark/>
          </w:tcPr>
          <w:p w14:paraId="19A8B5F0"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[–0.011, 0.003]</w:t>
            </w:r>
          </w:p>
        </w:tc>
        <w:tc>
          <w:tcPr>
            <w:tcW w:w="0" w:type="auto"/>
            <w:tcBorders>
              <w:top w:val="nil"/>
              <w:left w:val="nil"/>
              <w:bottom w:val="nil"/>
              <w:right w:val="nil"/>
            </w:tcBorders>
            <w:shd w:val="clear" w:color="auto" w:fill="auto"/>
            <w:noWrap/>
            <w:vAlign w:val="center"/>
            <w:hideMark/>
          </w:tcPr>
          <w:p w14:paraId="78587ADF"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–0.003</w:t>
            </w:r>
          </w:p>
        </w:tc>
        <w:tc>
          <w:tcPr>
            <w:tcW w:w="0" w:type="auto"/>
            <w:tcBorders>
              <w:top w:val="nil"/>
              <w:left w:val="nil"/>
              <w:bottom w:val="nil"/>
              <w:right w:val="nil"/>
            </w:tcBorders>
            <w:shd w:val="clear" w:color="auto" w:fill="auto"/>
            <w:noWrap/>
            <w:vAlign w:val="center"/>
            <w:hideMark/>
          </w:tcPr>
          <w:p w14:paraId="756EB02C"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0.004</w:t>
            </w:r>
          </w:p>
        </w:tc>
        <w:tc>
          <w:tcPr>
            <w:tcW w:w="0" w:type="auto"/>
            <w:tcBorders>
              <w:top w:val="nil"/>
              <w:left w:val="nil"/>
              <w:bottom w:val="nil"/>
              <w:right w:val="nil"/>
            </w:tcBorders>
            <w:shd w:val="clear" w:color="auto" w:fill="auto"/>
            <w:noWrap/>
            <w:vAlign w:val="center"/>
            <w:hideMark/>
          </w:tcPr>
          <w:p w14:paraId="32698F3B"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[–0.010, 0.004]</w:t>
            </w:r>
          </w:p>
        </w:tc>
        <w:tc>
          <w:tcPr>
            <w:tcW w:w="0" w:type="auto"/>
            <w:tcBorders>
              <w:top w:val="nil"/>
              <w:left w:val="nil"/>
              <w:bottom w:val="nil"/>
              <w:right w:val="nil"/>
            </w:tcBorders>
            <w:shd w:val="clear" w:color="auto" w:fill="auto"/>
            <w:noWrap/>
            <w:vAlign w:val="center"/>
            <w:hideMark/>
          </w:tcPr>
          <w:p w14:paraId="16A89F08"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–0.003</w:t>
            </w:r>
          </w:p>
        </w:tc>
        <w:tc>
          <w:tcPr>
            <w:tcW w:w="0" w:type="auto"/>
            <w:tcBorders>
              <w:top w:val="nil"/>
              <w:left w:val="nil"/>
              <w:bottom w:val="nil"/>
              <w:right w:val="nil"/>
            </w:tcBorders>
            <w:shd w:val="clear" w:color="auto" w:fill="auto"/>
            <w:noWrap/>
            <w:vAlign w:val="center"/>
            <w:hideMark/>
          </w:tcPr>
          <w:p w14:paraId="5DE9AC27"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0.004</w:t>
            </w:r>
          </w:p>
        </w:tc>
        <w:tc>
          <w:tcPr>
            <w:tcW w:w="0" w:type="auto"/>
            <w:tcBorders>
              <w:top w:val="nil"/>
              <w:left w:val="nil"/>
              <w:bottom w:val="nil"/>
              <w:right w:val="nil"/>
            </w:tcBorders>
            <w:shd w:val="clear" w:color="auto" w:fill="auto"/>
            <w:noWrap/>
            <w:vAlign w:val="center"/>
            <w:hideMark/>
          </w:tcPr>
          <w:p w14:paraId="687E417C"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[–0.010, 0.004]</w:t>
            </w:r>
          </w:p>
        </w:tc>
      </w:tr>
      <w:tr w:rsidR="00991E14" w:rsidRPr="00991E14" w14:paraId="4488DFC4" w14:textId="77777777" w:rsidTr="00F30B53">
        <w:trPr>
          <w:trHeight w:val="225"/>
        </w:trPr>
        <w:tc>
          <w:tcPr>
            <w:tcW w:w="0" w:type="auto"/>
            <w:tcBorders>
              <w:top w:val="nil"/>
              <w:left w:val="nil"/>
              <w:bottom w:val="nil"/>
              <w:right w:val="nil"/>
            </w:tcBorders>
            <w:shd w:val="clear" w:color="auto" w:fill="auto"/>
            <w:noWrap/>
            <w:vAlign w:val="bottom"/>
            <w:hideMark/>
          </w:tcPr>
          <w:p w14:paraId="65DFB204" w14:textId="77777777" w:rsidR="00991E14" w:rsidRPr="00991E14" w:rsidRDefault="00991E14" w:rsidP="00991E14">
            <w:pPr>
              <w:spacing w:line="240" w:lineRule="auto"/>
              <w:ind w:firstLineChars="200" w:firstLine="320"/>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Discipline-</w:t>
            </w:r>
            <w:proofErr w:type="spellStart"/>
            <w:r w:rsidRPr="00991E14">
              <w:rPr>
                <w:rFonts w:eastAsia="Times New Roman" w:cs="Times New Roman"/>
                <w:color w:val="000000"/>
                <w:sz w:val="16"/>
                <w:szCs w:val="16"/>
                <w:lang w:val="nl-NL" w:eastAsia="zh-CN"/>
              </w:rPr>
              <w:t>psychology</w:t>
            </w:r>
            <w:proofErr w:type="spellEnd"/>
          </w:p>
        </w:tc>
        <w:tc>
          <w:tcPr>
            <w:tcW w:w="0" w:type="auto"/>
            <w:tcBorders>
              <w:top w:val="nil"/>
              <w:left w:val="nil"/>
              <w:bottom w:val="nil"/>
              <w:right w:val="nil"/>
            </w:tcBorders>
            <w:shd w:val="clear" w:color="auto" w:fill="auto"/>
            <w:noWrap/>
            <w:vAlign w:val="center"/>
            <w:hideMark/>
          </w:tcPr>
          <w:p w14:paraId="51BD265C"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0.164</w:t>
            </w:r>
          </w:p>
        </w:tc>
        <w:tc>
          <w:tcPr>
            <w:tcW w:w="0" w:type="auto"/>
            <w:tcBorders>
              <w:top w:val="nil"/>
              <w:left w:val="nil"/>
              <w:bottom w:val="nil"/>
              <w:right w:val="nil"/>
            </w:tcBorders>
            <w:shd w:val="clear" w:color="auto" w:fill="auto"/>
            <w:noWrap/>
            <w:vAlign w:val="center"/>
            <w:hideMark/>
          </w:tcPr>
          <w:p w14:paraId="60756845"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0.070</w:t>
            </w:r>
          </w:p>
        </w:tc>
        <w:tc>
          <w:tcPr>
            <w:tcW w:w="0" w:type="auto"/>
            <w:tcBorders>
              <w:top w:val="nil"/>
              <w:left w:val="nil"/>
              <w:bottom w:val="nil"/>
              <w:right w:val="nil"/>
            </w:tcBorders>
            <w:shd w:val="clear" w:color="auto" w:fill="auto"/>
            <w:noWrap/>
            <w:vAlign w:val="center"/>
            <w:hideMark/>
          </w:tcPr>
          <w:p w14:paraId="132DF889"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[0.027, 0.301]</w:t>
            </w:r>
          </w:p>
        </w:tc>
        <w:tc>
          <w:tcPr>
            <w:tcW w:w="0" w:type="auto"/>
            <w:tcBorders>
              <w:top w:val="nil"/>
              <w:left w:val="nil"/>
              <w:bottom w:val="nil"/>
              <w:right w:val="nil"/>
            </w:tcBorders>
            <w:shd w:val="clear" w:color="auto" w:fill="auto"/>
            <w:noWrap/>
            <w:vAlign w:val="center"/>
            <w:hideMark/>
          </w:tcPr>
          <w:p w14:paraId="65A44E99"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0.121</w:t>
            </w:r>
          </w:p>
        </w:tc>
        <w:tc>
          <w:tcPr>
            <w:tcW w:w="0" w:type="auto"/>
            <w:tcBorders>
              <w:top w:val="nil"/>
              <w:left w:val="nil"/>
              <w:bottom w:val="nil"/>
              <w:right w:val="nil"/>
            </w:tcBorders>
            <w:shd w:val="clear" w:color="auto" w:fill="auto"/>
            <w:noWrap/>
            <w:vAlign w:val="center"/>
            <w:hideMark/>
          </w:tcPr>
          <w:p w14:paraId="6B683193"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0.070</w:t>
            </w:r>
          </w:p>
        </w:tc>
        <w:tc>
          <w:tcPr>
            <w:tcW w:w="0" w:type="auto"/>
            <w:tcBorders>
              <w:top w:val="nil"/>
              <w:left w:val="nil"/>
              <w:bottom w:val="nil"/>
              <w:right w:val="nil"/>
            </w:tcBorders>
            <w:shd w:val="clear" w:color="auto" w:fill="auto"/>
            <w:noWrap/>
            <w:vAlign w:val="center"/>
            <w:hideMark/>
          </w:tcPr>
          <w:p w14:paraId="1742C71F"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[–0.016, 0.259]</w:t>
            </w:r>
          </w:p>
        </w:tc>
        <w:tc>
          <w:tcPr>
            <w:tcW w:w="0" w:type="auto"/>
            <w:tcBorders>
              <w:top w:val="nil"/>
              <w:left w:val="nil"/>
              <w:bottom w:val="nil"/>
              <w:right w:val="nil"/>
            </w:tcBorders>
            <w:shd w:val="clear" w:color="auto" w:fill="auto"/>
            <w:noWrap/>
            <w:vAlign w:val="center"/>
            <w:hideMark/>
          </w:tcPr>
          <w:p w14:paraId="77DDA755"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0.111</w:t>
            </w:r>
          </w:p>
        </w:tc>
        <w:tc>
          <w:tcPr>
            <w:tcW w:w="0" w:type="auto"/>
            <w:tcBorders>
              <w:top w:val="nil"/>
              <w:left w:val="nil"/>
              <w:bottom w:val="nil"/>
              <w:right w:val="nil"/>
            </w:tcBorders>
            <w:shd w:val="clear" w:color="auto" w:fill="auto"/>
            <w:noWrap/>
            <w:vAlign w:val="center"/>
            <w:hideMark/>
          </w:tcPr>
          <w:p w14:paraId="0D695521"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0.072</w:t>
            </w:r>
          </w:p>
        </w:tc>
        <w:tc>
          <w:tcPr>
            <w:tcW w:w="0" w:type="auto"/>
            <w:tcBorders>
              <w:top w:val="nil"/>
              <w:left w:val="nil"/>
              <w:bottom w:val="nil"/>
              <w:right w:val="nil"/>
            </w:tcBorders>
            <w:shd w:val="clear" w:color="auto" w:fill="auto"/>
            <w:noWrap/>
            <w:vAlign w:val="center"/>
            <w:hideMark/>
          </w:tcPr>
          <w:p w14:paraId="1CF3802C"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[–0.030, 0.251]</w:t>
            </w:r>
          </w:p>
        </w:tc>
      </w:tr>
      <w:tr w:rsidR="00991E14" w:rsidRPr="00991E14" w14:paraId="174B1F50" w14:textId="77777777" w:rsidTr="00F30B53">
        <w:trPr>
          <w:trHeight w:val="225"/>
        </w:trPr>
        <w:tc>
          <w:tcPr>
            <w:tcW w:w="0" w:type="auto"/>
            <w:tcBorders>
              <w:top w:val="nil"/>
              <w:left w:val="nil"/>
              <w:bottom w:val="nil"/>
              <w:right w:val="nil"/>
            </w:tcBorders>
            <w:shd w:val="clear" w:color="auto" w:fill="auto"/>
            <w:noWrap/>
            <w:vAlign w:val="bottom"/>
            <w:hideMark/>
          </w:tcPr>
          <w:p w14:paraId="51FD3C7E" w14:textId="77777777" w:rsidR="00991E14" w:rsidRPr="00991E14" w:rsidRDefault="00991E14" w:rsidP="00991E14">
            <w:pPr>
              <w:spacing w:line="240" w:lineRule="auto"/>
              <w:ind w:firstLineChars="200" w:firstLine="320"/>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Discipline-</w:t>
            </w:r>
            <w:proofErr w:type="spellStart"/>
            <w:r w:rsidRPr="00991E14">
              <w:rPr>
                <w:rFonts w:eastAsia="Times New Roman" w:cs="Times New Roman"/>
                <w:color w:val="000000"/>
                <w:sz w:val="16"/>
                <w:szCs w:val="16"/>
                <w:lang w:val="nl-NL" w:eastAsia="zh-CN"/>
              </w:rPr>
              <w:t>other</w:t>
            </w:r>
            <w:proofErr w:type="spellEnd"/>
          </w:p>
        </w:tc>
        <w:tc>
          <w:tcPr>
            <w:tcW w:w="0" w:type="auto"/>
            <w:tcBorders>
              <w:top w:val="nil"/>
              <w:left w:val="nil"/>
              <w:bottom w:val="nil"/>
              <w:right w:val="nil"/>
            </w:tcBorders>
            <w:shd w:val="clear" w:color="auto" w:fill="auto"/>
            <w:noWrap/>
            <w:vAlign w:val="center"/>
            <w:hideMark/>
          </w:tcPr>
          <w:p w14:paraId="7B0682E4"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-0.009</w:t>
            </w:r>
          </w:p>
        </w:tc>
        <w:tc>
          <w:tcPr>
            <w:tcW w:w="0" w:type="auto"/>
            <w:tcBorders>
              <w:top w:val="nil"/>
              <w:left w:val="nil"/>
              <w:bottom w:val="nil"/>
              <w:right w:val="nil"/>
            </w:tcBorders>
            <w:shd w:val="clear" w:color="auto" w:fill="auto"/>
            <w:noWrap/>
            <w:vAlign w:val="center"/>
            <w:hideMark/>
          </w:tcPr>
          <w:p w14:paraId="43D84BDB"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0.061</w:t>
            </w:r>
          </w:p>
        </w:tc>
        <w:tc>
          <w:tcPr>
            <w:tcW w:w="0" w:type="auto"/>
            <w:tcBorders>
              <w:top w:val="nil"/>
              <w:left w:val="nil"/>
              <w:bottom w:val="nil"/>
              <w:right w:val="nil"/>
            </w:tcBorders>
            <w:shd w:val="clear" w:color="auto" w:fill="auto"/>
            <w:noWrap/>
            <w:vAlign w:val="center"/>
            <w:hideMark/>
          </w:tcPr>
          <w:p w14:paraId="5BE2E11B"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[–0.129, 0.111]</w:t>
            </w:r>
          </w:p>
        </w:tc>
        <w:tc>
          <w:tcPr>
            <w:tcW w:w="0" w:type="auto"/>
            <w:tcBorders>
              <w:top w:val="nil"/>
              <w:left w:val="nil"/>
              <w:bottom w:val="nil"/>
              <w:right w:val="nil"/>
            </w:tcBorders>
            <w:shd w:val="clear" w:color="auto" w:fill="auto"/>
            <w:noWrap/>
            <w:vAlign w:val="center"/>
            <w:hideMark/>
          </w:tcPr>
          <w:p w14:paraId="29E2ACC4"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0.011</w:t>
            </w:r>
          </w:p>
        </w:tc>
        <w:tc>
          <w:tcPr>
            <w:tcW w:w="0" w:type="auto"/>
            <w:tcBorders>
              <w:top w:val="nil"/>
              <w:left w:val="nil"/>
              <w:bottom w:val="nil"/>
              <w:right w:val="nil"/>
            </w:tcBorders>
            <w:shd w:val="clear" w:color="auto" w:fill="auto"/>
            <w:noWrap/>
            <w:vAlign w:val="center"/>
            <w:hideMark/>
          </w:tcPr>
          <w:p w14:paraId="780A9A84"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0.061</w:t>
            </w:r>
          </w:p>
        </w:tc>
        <w:tc>
          <w:tcPr>
            <w:tcW w:w="0" w:type="auto"/>
            <w:tcBorders>
              <w:top w:val="nil"/>
              <w:left w:val="nil"/>
              <w:bottom w:val="nil"/>
              <w:right w:val="nil"/>
            </w:tcBorders>
            <w:shd w:val="clear" w:color="auto" w:fill="auto"/>
            <w:noWrap/>
            <w:vAlign w:val="center"/>
            <w:hideMark/>
          </w:tcPr>
          <w:p w14:paraId="49D6A673"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[–0.109, 0.132]</w:t>
            </w:r>
          </w:p>
        </w:tc>
        <w:tc>
          <w:tcPr>
            <w:tcW w:w="0" w:type="auto"/>
            <w:tcBorders>
              <w:top w:val="nil"/>
              <w:left w:val="nil"/>
              <w:bottom w:val="nil"/>
              <w:right w:val="nil"/>
            </w:tcBorders>
            <w:shd w:val="clear" w:color="auto" w:fill="auto"/>
            <w:noWrap/>
            <w:vAlign w:val="center"/>
            <w:hideMark/>
          </w:tcPr>
          <w:p w14:paraId="4ABC6437"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–0.021</w:t>
            </w:r>
          </w:p>
        </w:tc>
        <w:tc>
          <w:tcPr>
            <w:tcW w:w="0" w:type="auto"/>
            <w:tcBorders>
              <w:top w:val="nil"/>
              <w:left w:val="nil"/>
              <w:bottom w:val="nil"/>
              <w:right w:val="nil"/>
            </w:tcBorders>
            <w:shd w:val="clear" w:color="auto" w:fill="auto"/>
            <w:noWrap/>
            <w:vAlign w:val="center"/>
            <w:hideMark/>
          </w:tcPr>
          <w:p w14:paraId="385D7509"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0.062</w:t>
            </w:r>
          </w:p>
        </w:tc>
        <w:tc>
          <w:tcPr>
            <w:tcW w:w="0" w:type="auto"/>
            <w:tcBorders>
              <w:top w:val="nil"/>
              <w:left w:val="nil"/>
              <w:bottom w:val="nil"/>
              <w:right w:val="nil"/>
            </w:tcBorders>
            <w:shd w:val="clear" w:color="auto" w:fill="auto"/>
            <w:noWrap/>
            <w:vAlign w:val="center"/>
            <w:hideMark/>
          </w:tcPr>
          <w:p w14:paraId="745FB90D"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[–0.143, 0.102]</w:t>
            </w:r>
          </w:p>
        </w:tc>
      </w:tr>
      <w:tr w:rsidR="00991E14" w:rsidRPr="00991E14" w14:paraId="0320C50C" w14:textId="77777777" w:rsidTr="00F30B53">
        <w:trPr>
          <w:trHeight w:val="225"/>
        </w:trPr>
        <w:tc>
          <w:tcPr>
            <w:tcW w:w="0" w:type="auto"/>
            <w:tcBorders>
              <w:top w:val="nil"/>
              <w:left w:val="nil"/>
              <w:bottom w:val="nil"/>
              <w:right w:val="nil"/>
            </w:tcBorders>
            <w:shd w:val="clear" w:color="auto" w:fill="auto"/>
            <w:noWrap/>
            <w:vAlign w:val="bottom"/>
            <w:hideMark/>
          </w:tcPr>
          <w:p w14:paraId="37FCEFA5" w14:textId="77777777" w:rsidR="00991E14" w:rsidRPr="00991E14" w:rsidRDefault="00991E14" w:rsidP="00991E14">
            <w:pPr>
              <w:spacing w:line="240" w:lineRule="auto"/>
              <w:ind w:firstLineChars="200" w:firstLine="320"/>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Discipline-non-student sample</w:t>
            </w:r>
          </w:p>
        </w:tc>
        <w:tc>
          <w:tcPr>
            <w:tcW w:w="0" w:type="auto"/>
            <w:tcBorders>
              <w:top w:val="nil"/>
              <w:left w:val="nil"/>
              <w:bottom w:val="nil"/>
              <w:right w:val="nil"/>
            </w:tcBorders>
            <w:shd w:val="clear" w:color="auto" w:fill="auto"/>
            <w:noWrap/>
            <w:vAlign w:val="center"/>
            <w:hideMark/>
          </w:tcPr>
          <w:p w14:paraId="7D824D87"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0.069</w:t>
            </w:r>
          </w:p>
        </w:tc>
        <w:tc>
          <w:tcPr>
            <w:tcW w:w="0" w:type="auto"/>
            <w:tcBorders>
              <w:top w:val="nil"/>
              <w:left w:val="nil"/>
              <w:bottom w:val="nil"/>
              <w:right w:val="nil"/>
            </w:tcBorders>
            <w:shd w:val="clear" w:color="auto" w:fill="auto"/>
            <w:noWrap/>
            <w:vAlign w:val="center"/>
            <w:hideMark/>
          </w:tcPr>
          <w:p w14:paraId="0AE523EA"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0.074</w:t>
            </w:r>
          </w:p>
        </w:tc>
        <w:tc>
          <w:tcPr>
            <w:tcW w:w="0" w:type="auto"/>
            <w:tcBorders>
              <w:top w:val="nil"/>
              <w:left w:val="nil"/>
              <w:bottom w:val="nil"/>
              <w:right w:val="nil"/>
            </w:tcBorders>
            <w:shd w:val="clear" w:color="auto" w:fill="auto"/>
            <w:noWrap/>
            <w:vAlign w:val="center"/>
            <w:hideMark/>
          </w:tcPr>
          <w:p w14:paraId="139F82D4"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[–0.075, 0.213]</w:t>
            </w:r>
          </w:p>
        </w:tc>
        <w:tc>
          <w:tcPr>
            <w:tcW w:w="0" w:type="auto"/>
            <w:tcBorders>
              <w:top w:val="nil"/>
              <w:left w:val="nil"/>
              <w:bottom w:val="nil"/>
              <w:right w:val="nil"/>
            </w:tcBorders>
            <w:shd w:val="clear" w:color="auto" w:fill="auto"/>
            <w:noWrap/>
            <w:vAlign w:val="center"/>
            <w:hideMark/>
          </w:tcPr>
          <w:p w14:paraId="696AC90B"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0.045</w:t>
            </w:r>
          </w:p>
        </w:tc>
        <w:tc>
          <w:tcPr>
            <w:tcW w:w="0" w:type="auto"/>
            <w:tcBorders>
              <w:top w:val="nil"/>
              <w:left w:val="nil"/>
              <w:bottom w:val="nil"/>
              <w:right w:val="nil"/>
            </w:tcBorders>
            <w:shd w:val="clear" w:color="auto" w:fill="auto"/>
            <w:noWrap/>
            <w:vAlign w:val="center"/>
            <w:hideMark/>
          </w:tcPr>
          <w:p w14:paraId="40AF9685"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0.074</w:t>
            </w:r>
          </w:p>
        </w:tc>
        <w:tc>
          <w:tcPr>
            <w:tcW w:w="0" w:type="auto"/>
            <w:tcBorders>
              <w:top w:val="nil"/>
              <w:left w:val="nil"/>
              <w:bottom w:val="nil"/>
              <w:right w:val="nil"/>
            </w:tcBorders>
            <w:shd w:val="clear" w:color="auto" w:fill="auto"/>
            <w:noWrap/>
            <w:vAlign w:val="center"/>
            <w:hideMark/>
          </w:tcPr>
          <w:p w14:paraId="2B2E38E5"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[–0.100, 0.189]</w:t>
            </w:r>
          </w:p>
        </w:tc>
        <w:tc>
          <w:tcPr>
            <w:tcW w:w="0" w:type="auto"/>
            <w:tcBorders>
              <w:top w:val="nil"/>
              <w:left w:val="nil"/>
              <w:bottom w:val="nil"/>
              <w:right w:val="nil"/>
            </w:tcBorders>
            <w:shd w:val="clear" w:color="auto" w:fill="auto"/>
            <w:noWrap/>
            <w:vAlign w:val="center"/>
            <w:hideMark/>
          </w:tcPr>
          <w:p w14:paraId="27497518"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0.014</w:t>
            </w:r>
          </w:p>
        </w:tc>
        <w:tc>
          <w:tcPr>
            <w:tcW w:w="0" w:type="auto"/>
            <w:tcBorders>
              <w:top w:val="nil"/>
              <w:left w:val="nil"/>
              <w:bottom w:val="nil"/>
              <w:right w:val="nil"/>
            </w:tcBorders>
            <w:shd w:val="clear" w:color="auto" w:fill="auto"/>
            <w:noWrap/>
            <w:vAlign w:val="center"/>
            <w:hideMark/>
          </w:tcPr>
          <w:p w14:paraId="481DF3A2"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0.075</w:t>
            </w:r>
          </w:p>
        </w:tc>
        <w:tc>
          <w:tcPr>
            <w:tcW w:w="0" w:type="auto"/>
            <w:tcBorders>
              <w:top w:val="nil"/>
              <w:left w:val="nil"/>
              <w:bottom w:val="nil"/>
              <w:right w:val="nil"/>
            </w:tcBorders>
            <w:shd w:val="clear" w:color="auto" w:fill="auto"/>
            <w:noWrap/>
            <w:vAlign w:val="center"/>
            <w:hideMark/>
          </w:tcPr>
          <w:p w14:paraId="4018667E"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[–0.133, 0.161]</w:t>
            </w:r>
          </w:p>
        </w:tc>
      </w:tr>
      <w:tr w:rsidR="00991E14" w:rsidRPr="00991E14" w14:paraId="295AC1A0" w14:textId="77777777" w:rsidTr="00F30B53">
        <w:trPr>
          <w:trHeight w:val="225"/>
        </w:trPr>
        <w:tc>
          <w:tcPr>
            <w:tcW w:w="0" w:type="auto"/>
            <w:tcBorders>
              <w:top w:val="nil"/>
              <w:left w:val="nil"/>
              <w:bottom w:val="nil"/>
              <w:right w:val="nil"/>
            </w:tcBorders>
            <w:shd w:val="clear" w:color="auto" w:fill="auto"/>
            <w:noWrap/>
            <w:vAlign w:val="center"/>
            <w:hideMark/>
          </w:tcPr>
          <w:p w14:paraId="1B340599" w14:textId="77777777" w:rsidR="00991E14" w:rsidRPr="00991E14" w:rsidRDefault="00991E14" w:rsidP="00991E14">
            <w:pPr>
              <w:spacing w:line="240" w:lineRule="auto"/>
              <w:ind w:firstLineChars="200" w:firstLine="320"/>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Gender (Male %)</w:t>
            </w:r>
          </w:p>
        </w:tc>
        <w:tc>
          <w:tcPr>
            <w:tcW w:w="0" w:type="auto"/>
            <w:tcBorders>
              <w:top w:val="nil"/>
              <w:left w:val="nil"/>
              <w:bottom w:val="nil"/>
              <w:right w:val="nil"/>
            </w:tcBorders>
            <w:shd w:val="clear" w:color="auto" w:fill="auto"/>
            <w:noWrap/>
            <w:vAlign w:val="center"/>
            <w:hideMark/>
          </w:tcPr>
          <w:p w14:paraId="35C786D1"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-0.189</w:t>
            </w:r>
          </w:p>
        </w:tc>
        <w:tc>
          <w:tcPr>
            <w:tcW w:w="0" w:type="auto"/>
            <w:tcBorders>
              <w:top w:val="nil"/>
              <w:left w:val="nil"/>
              <w:bottom w:val="nil"/>
              <w:right w:val="nil"/>
            </w:tcBorders>
            <w:shd w:val="clear" w:color="auto" w:fill="auto"/>
            <w:noWrap/>
            <w:vAlign w:val="center"/>
            <w:hideMark/>
          </w:tcPr>
          <w:p w14:paraId="428BCE4D"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0.066</w:t>
            </w:r>
          </w:p>
        </w:tc>
        <w:tc>
          <w:tcPr>
            <w:tcW w:w="0" w:type="auto"/>
            <w:tcBorders>
              <w:top w:val="nil"/>
              <w:left w:val="nil"/>
              <w:bottom w:val="nil"/>
              <w:right w:val="nil"/>
            </w:tcBorders>
            <w:shd w:val="clear" w:color="auto" w:fill="auto"/>
            <w:noWrap/>
            <w:vAlign w:val="center"/>
            <w:hideMark/>
          </w:tcPr>
          <w:p w14:paraId="087639AA"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[–0.318, –0.059]</w:t>
            </w:r>
          </w:p>
        </w:tc>
        <w:tc>
          <w:tcPr>
            <w:tcW w:w="0" w:type="auto"/>
            <w:tcBorders>
              <w:top w:val="nil"/>
              <w:left w:val="nil"/>
              <w:bottom w:val="nil"/>
              <w:right w:val="nil"/>
            </w:tcBorders>
            <w:shd w:val="clear" w:color="auto" w:fill="auto"/>
            <w:noWrap/>
            <w:vAlign w:val="center"/>
            <w:hideMark/>
          </w:tcPr>
          <w:p w14:paraId="3A8EF27E"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–0.100</w:t>
            </w:r>
          </w:p>
        </w:tc>
        <w:tc>
          <w:tcPr>
            <w:tcW w:w="0" w:type="auto"/>
            <w:tcBorders>
              <w:top w:val="nil"/>
              <w:left w:val="nil"/>
              <w:bottom w:val="nil"/>
              <w:right w:val="nil"/>
            </w:tcBorders>
            <w:shd w:val="clear" w:color="auto" w:fill="auto"/>
            <w:noWrap/>
            <w:vAlign w:val="center"/>
            <w:hideMark/>
          </w:tcPr>
          <w:p w14:paraId="18F9AD68"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0.066</w:t>
            </w:r>
          </w:p>
        </w:tc>
        <w:tc>
          <w:tcPr>
            <w:tcW w:w="0" w:type="auto"/>
            <w:tcBorders>
              <w:top w:val="nil"/>
              <w:left w:val="nil"/>
              <w:bottom w:val="nil"/>
              <w:right w:val="nil"/>
            </w:tcBorders>
            <w:shd w:val="clear" w:color="auto" w:fill="auto"/>
            <w:noWrap/>
            <w:vAlign w:val="center"/>
            <w:hideMark/>
          </w:tcPr>
          <w:p w14:paraId="3D7E3C42"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[–0.230, 0.030]</w:t>
            </w:r>
          </w:p>
        </w:tc>
        <w:tc>
          <w:tcPr>
            <w:tcW w:w="0" w:type="auto"/>
            <w:tcBorders>
              <w:top w:val="nil"/>
              <w:left w:val="nil"/>
              <w:bottom w:val="nil"/>
              <w:right w:val="nil"/>
            </w:tcBorders>
            <w:shd w:val="clear" w:color="auto" w:fill="auto"/>
            <w:noWrap/>
            <w:vAlign w:val="center"/>
            <w:hideMark/>
          </w:tcPr>
          <w:p w14:paraId="2EDA82C6"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–0.144</w:t>
            </w:r>
          </w:p>
        </w:tc>
        <w:tc>
          <w:tcPr>
            <w:tcW w:w="0" w:type="auto"/>
            <w:tcBorders>
              <w:top w:val="nil"/>
              <w:left w:val="nil"/>
              <w:bottom w:val="nil"/>
              <w:right w:val="nil"/>
            </w:tcBorders>
            <w:shd w:val="clear" w:color="auto" w:fill="auto"/>
            <w:noWrap/>
            <w:vAlign w:val="center"/>
            <w:hideMark/>
          </w:tcPr>
          <w:p w14:paraId="0FD7B4C2"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0.068</w:t>
            </w:r>
          </w:p>
        </w:tc>
        <w:tc>
          <w:tcPr>
            <w:tcW w:w="0" w:type="auto"/>
            <w:tcBorders>
              <w:top w:val="nil"/>
              <w:left w:val="nil"/>
              <w:bottom w:val="nil"/>
              <w:right w:val="nil"/>
            </w:tcBorders>
            <w:shd w:val="clear" w:color="auto" w:fill="auto"/>
            <w:noWrap/>
            <w:vAlign w:val="center"/>
            <w:hideMark/>
          </w:tcPr>
          <w:p w14:paraId="613E2D3F"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[–0.276, –0.011]</w:t>
            </w:r>
          </w:p>
        </w:tc>
      </w:tr>
      <w:tr w:rsidR="00991E14" w:rsidRPr="00991E14" w14:paraId="028F6BBC" w14:textId="77777777" w:rsidTr="00F30B53">
        <w:trPr>
          <w:trHeight w:val="225"/>
        </w:trPr>
        <w:tc>
          <w:tcPr>
            <w:tcW w:w="0" w:type="auto"/>
            <w:tcBorders>
              <w:top w:val="nil"/>
              <w:left w:val="nil"/>
              <w:bottom w:val="nil"/>
              <w:right w:val="nil"/>
            </w:tcBorders>
            <w:shd w:val="clear" w:color="auto" w:fill="auto"/>
            <w:noWrap/>
            <w:vAlign w:val="center"/>
            <w:hideMark/>
          </w:tcPr>
          <w:p w14:paraId="19C2D4A5" w14:textId="77777777" w:rsidR="00991E14" w:rsidRPr="00991E14" w:rsidRDefault="00991E14" w:rsidP="00991E14">
            <w:pPr>
              <w:spacing w:line="240" w:lineRule="auto"/>
              <w:rPr>
                <w:rFonts w:eastAsia="Times New Roman" w:cs="Times New Roman"/>
                <w:i/>
                <w:iCs/>
                <w:color w:val="000000"/>
                <w:sz w:val="16"/>
                <w:szCs w:val="16"/>
                <w:lang w:val="nl-NL" w:eastAsia="zh-CN"/>
              </w:rPr>
            </w:pPr>
            <w:proofErr w:type="spellStart"/>
            <w:r w:rsidRPr="00991E14">
              <w:rPr>
                <w:rFonts w:eastAsia="Times New Roman" w:cs="Times New Roman"/>
                <w:i/>
                <w:iCs/>
                <w:color w:val="000000"/>
                <w:sz w:val="16"/>
                <w:szCs w:val="16"/>
                <w:lang w:val="nl-NL" w:eastAsia="zh-CN"/>
              </w:rPr>
              <w:t>Structural</w:t>
            </w:r>
            <w:proofErr w:type="spellEnd"/>
            <w:r w:rsidRPr="00991E14">
              <w:rPr>
                <w:rFonts w:eastAsia="Times New Roman" w:cs="Times New Roman"/>
                <w:i/>
                <w:iCs/>
                <w:color w:val="000000"/>
                <w:sz w:val="16"/>
                <w:szCs w:val="16"/>
                <w:lang w:val="nl-NL" w:eastAsia="zh-CN"/>
              </w:rPr>
              <w:t xml:space="preserve"> variables</w:t>
            </w:r>
          </w:p>
        </w:tc>
        <w:tc>
          <w:tcPr>
            <w:tcW w:w="0" w:type="auto"/>
            <w:tcBorders>
              <w:top w:val="nil"/>
              <w:left w:val="nil"/>
              <w:bottom w:val="nil"/>
              <w:right w:val="nil"/>
            </w:tcBorders>
            <w:shd w:val="clear" w:color="auto" w:fill="auto"/>
            <w:noWrap/>
            <w:vAlign w:val="center"/>
            <w:hideMark/>
          </w:tcPr>
          <w:p w14:paraId="62647649" w14:textId="77777777" w:rsidR="00991E14" w:rsidRPr="00991E14" w:rsidRDefault="00991E14" w:rsidP="00991E14">
            <w:pPr>
              <w:spacing w:line="240" w:lineRule="auto"/>
              <w:rPr>
                <w:rFonts w:eastAsia="Times New Roman" w:cs="Times New Roman"/>
                <w:i/>
                <w:iCs/>
                <w:color w:val="000000"/>
                <w:sz w:val="16"/>
                <w:szCs w:val="16"/>
                <w:lang w:val="nl-NL" w:eastAsia="zh-CN"/>
              </w:rPr>
            </w:pPr>
          </w:p>
        </w:tc>
        <w:tc>
          <w:tcPr>
            <w:tcW w:w="0" w:type="auto"/>
            <w:tcBorders>
              <w:top w:val="nil"/>
              <w:left w:val="nil"/>
              <w:bottom w:val="nil"/>
              <w:right w:val="nil"/>
            </w:tcBorders>
            <w:shd w:val="clear" w:color="auto" w:fill="auto"/>
            <w:noWrap/>
            <w:vAlign w:val="center"/>
            <w:hideMark/>
          </w:tcPr>
          <w:p w14:paraId="431ABF23"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74237BC7"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105067DF"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77ADA31C"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5B5765DA"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42EB3FA0"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55F4B863"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285290F2" w14:textId="77777777" w:rsidR="00991E14" w:rsidRPr="00991E14" w:rsidRDefault="00991E14" w:rsidP="00991E14">
            <w:pPr>
              <w:spacing w:line="240" w:lineRule="auto"/>
              <w:jc w:val="center"/>
              <w:rPr>
                <w:rFonts w:eastAsia="Times New Roman" w:cs="Times New Roman"/>
                <w:sz w:val="20"/>
                <w:szCs w:val="20"/>
                <w:lang w:val="nl-NL" w:eastAsia="zh-CN"/>
              </w:rPr>
            </w:pPr>
          </w:p>
        </w:tc>
      </w:tr>
      <w:tr w:rsidR="00991E14" w:rsidRPr="00991E14" w14:paraId="3F86B980" w14:textId="77777777" w:rsidTr="00F30B53">
        <w:trPr>
          <w:trHeight w:val="225"/>
        </w:trPr>
        <w:tc>
          <w:tcPr>
            <w:tcW w:w="0" w:type="auto"/>
            <w:tcBorders>
              <w:top w:val="nil"/>
              <w:left w:val="nil"/>
              <w:bottom w:val="nil"/>
              <w:right w:val="nil"/>
            </w:tcBorders>
            <w:shd w:val="clear" w:color="auto" w:fill="auto"/>
            <w:noWrap/>
            <w:vAlign w:val="bottom"/>
            <w:hideMark/>
          </w:tcPr>
          <w:p w14:paraId="5324BA47" w14:textId="77777777" w:rsidR="00991E14" w:rsidRPr="00991E14" w:rsidRDefault="00991E14" w:rsidP="00991E14">
            <w:pPr>
              <w:spacing w:line="240" w:lineRule="auto"/>
              <w:ind w:firstLineChars="200" w:firstLine="320"/>
              <w:rPr>
                <w:rFonts w:eastAsia="Times New Roman" w:cs="Times New Roman"/>
                <w:color w:val="000000"/>
                <w:sz w:val="16"/>
                <w:szCs w:val="16"/>
                <w:lang w:eastAsia="zh-CN"/>
              </w:rPr>
            </w:pPr>
            <w:r w:rsidRPr="00991E14">
              <w:rPr>
                <w:rFonts w:eastAsia="Times New Roman" w:cs="Times New Roman"/>
                <w:color w:val="000000"/>
                <w:sz w:val="16"/>
                <w:szCs w:val="16"/>
                <w:lang w:eastAsia="zh-CN"/>
              </w:rPr>
              <w:t>Conflict of interests (K index)</w:t>
            </w:r>
          </w:p>
        </w:tc>
        <w:tc>
          <w:tcPr>
            <w:tcW w:w="0" w:type="auto"/>
            <w:tcBorders>
              <w:top w:val="nil"/>
              <w:left w:val="nil"/>
              <w:bottom w:val="nil"/>
              <w:right w:val="nil"/>
            </w:tcBorders>
            <w:shd w:val="clear" w:color="auto" w:fill="auto"/>
            <w:noWrap/>
            <w:vAlign w:val="center"/>
            <w:hideMark/>
          </w:tcPr>
          <w:p w14:paraId="430B0B5D"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w:t>
            </w:r>
          </w:p>
        </w:tc>
        <w:tc>
          <w:tcPr>
            <w:tcW w:w="0" w:type="auto"/>
            <w:tcBorders>
              <w:top w:val="nil"/>
              <w:left w:val="nil"/>
              <w:bottom w:val="nil"/>
              <w:right w:val="nil"/>
            </w:tcBorders>
            <w:shd w:val="clear" w:color="auto" w:fill="auto"/>
            <w:noWrap/>
            <w:vAlign w:val="center"/>
            <w:hideMark/>
          </w:tcPr>
          <w:p w14:paraId="19BFC9E7"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w:t>
            </w:r>
          </w:p>
        </w:tc>
        <w:tc>
          <w:tcPr>
            <w:tcW w:w="0" w:type="auto"/>
            <w:tcBorders>
              <w:top w:val="nil"/>
              <w:left w:val="nil"/>
              <w:bottom w:val="nil"/>
              <w:right w:val="nil"/>
            </w:tcBorders>
            <w:shd w:val="clear" w:color="auto" w:fill="auto"/>
            <w:noWrap/>
            <w:vAlign w:val="center"/>
            <w:hideMark/>
          </w:tcPr>
          <w:p w14:paraId="6DB15199"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w:t>
            </w:r>
          </w:p>
        </w:tc>
        <w:tc>
          <w:tcPr>
            <w:tcW w:w="0" w:type="auto"/>
            <w:tcBorders>
              <w:top w:val="nil"/>
              <w:left w:val="nil"/>
              <w:bottom w:val="nil"/>
              <w:right w:val="nil"/>
            </w:tcBorders>
            <w:shd w:val="clear" w:color="auto" w:fill="auto"/>
            <w:noWrap/>
            <w:vAlign w:val="center"/>
            <w:hideMark/>
          </w:tcPr>
          <w:p w14:paraId="46943AA4"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w:t>
            </w:r>
          </w:p>
        </w:tc>
        <w:tc>
          <w:tcPr>
            <w:tcW w:w="0" w:type="auto"/>
            <w:tcBorders>
              <w:top w:val="nil"/>
              <w:left w:val="nil"/>
              <w:bottom w:val="nil"/>
              <w:right w:val="nil"/>
            </w:tcBorders>
            <w:shd w:val="clear" w:color="auto" w:fill="auto"/>
            <w:noWrap/>
            <w:vAlign w:val="center"/>
            <w:hideMark/>
          </w:tcPr>
          <w:p w14:paraId="3F9A7A53"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w:t>
            </w:r>
          </w:p>
        </w:tc>
        <w:tc>
          <w:tcPr>
            <w:tcW w:w="0" w:type="auto"/>
            <w:tcBorders>
              <w:top w:val="nil"/>
              <w:left w:val="nil"/>
              <w:bottom w:val="nil"/>
              <w:right w:val="nil"/>
            </w:tcBorders>
            <w:shd w:val="clear" w:color="auto" w:fill="auto"/>
            <w:noWrap/>
            <w:vAlign w:val="center"/>
            <w:hideMark/>
          </w:tcPr>
          <w:p w14:paraId="24538657"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w:t>
            </w:r>
          </w:p>
        </w:tc>
        <w:tc>
          <w:tcPr>
            <w:tcW w:w="0" w:type="auto"/>
            <w:tcBorders>
              <w:top w:val="nil"/>
              <w:left w:val="nil"/>
              <w:bottom w:val="nil"/>
              <w:right w:val="nil"/>
            </w:tcBorders>
            <w:shd w:val="clear" w:color="auto" w:fill="auto"/>
            <w:noWrap/>
            <w:vAlign w:val="center"/>
            <w:hideMark/>
          </w:tcPr>
          <w:p w14:paraId="33557652"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w:t>
            </w:r>
          </w:p>
        </w:tc>
        <w:tc>
          <w:tcPr>
            <w:tcW w:w="0" w:type="auto"/>
            <w:tcBorders>
              <w:top w:val="nil"/>
              <w:left w:val="nil"/>
              <w:bottom w:val="nil"/>
              <w:right w:val="nil"/>
            </w:tcBorders>
            <w:shd w:val="clear" w:color="auto" w:fill="auto"/>
            <w:noWrap/>
            <w:vAlign w:val="center"/>
            <w:hideMark/>
          </w:tcPr>
          <w:p w14:paraId="70A902E6"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w:t>
            </w:r>
          </w:p>
        </w:tc>
        <w:tc>
          <w:tcPr>
            <w:tcW w:w="0" w:type="auto"/>
            <w:tcBorders>
              <w:top w:val="nil"/>
              <w:left w:val="nil"/>
              <w:bottom w:val="nil"/>
              <w:right w:val="nil"/>
            </w:tcBorders>
            <w:shd w:val="clear" w:color="auto" w:fill="auto"/>
            <w:noWrap/>
            <w:vAlign w:val="center"/>
            <w:hideMark/>
          </w:tcPr>
          <w:p w14:paraId="1EE12CF7"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w:t>
            </w:r>
          </w:p>
        </w:tc>
      </w:tr>
      <w:tr w:rsidR="00991E14" w:rsidRPr="00991E14" w14:paraId="739A07A9" w14:textId="77777777" w:rsidTr="00F30B53">
        <w:trPr>
          <w:trHeight w:val="225"/>
        </w:trPr>
        <w:tc>
          <w:tcPr>
            <w:tcW w:w="0" w:type="auto"/>
            <w:tcBorders>
              <w:top w:val="nil"/>
              <w:left w:val="nil"/>
              <w:bottom w:val="nil"/>
              <w:right w:val="nil"/>
            </w:tcBorders>
            <w:shd w:val="clear" w:color="auto" w:fill="auto"/>
            <w:noWrap/>
            <w:vAlign w:val="bottom"/>
            <w:hideMark/>
          </w:tcPr>
          <w:p w14:paraId="2E873F10" w14:textId="77777777" w:rsidR="00991E14" w:rsidRPr="00991E14" w:rsidRDefault="00991E14" w:rsidP="00991E14">
            <w:pPr>
              <w:spacing w:line="240" w:lineRule="auto"/>
              <w:ind w:firstLineChars="200" w:firstLine="320"/>
              <w:rPr>
                <w:rFonts w:eastAsia="Times New Roman" w:cs="Times New Roman"/>
                <w:color w:val="000000"/>
                <w:sz w:val="16"/>
                <w:szCs w:val="16"/>
                <w:lang w:val="nl-NL" w:eastAsia="zh-CN"/>
              </w:rPr>
            </w:pPr>
            <w:proofErr w:type="spellStart"/>
            <w:r w:rsidRPr="00991E14">
              <w:rPr>
                <w:rFonts w:eastAsia="Times New Roman" w:cs="Times New Roman"/>
                <w:color w:val="000000"/>
                <w:sz w:val="16"/>
                <w:szCs w:val="16"/>
                <w:lang w:val="nl-NL" w:eastAsia="zh-CN"/>
              </w:rPr>
              <w:t>Sanction</w:t>
            </w:r>
            <w:proofErr w:type="spellEnd"/>
            <w:r w:rsidRPr="00991E14">
              <w:rPr>
                <w:rFonts w:eastAsia="Times New Roman" w:cs="Times New Roman"/>
                <w:color w:val="000000"/>
                <w:sz w:val="16"/>
                <w:szCs w:val="16"/>
                <w:lang w:val="nl-NL" w:eastAsia="zh-CN"/>
              </w:rPr>
              <w:t>-yes</w:t>
            </w:r>
          </w:p>
        </w:tc>
        <w:tc>
          <w:tcPr>
            <w:tcW w:w="0" w:type="auto"/>
            <w:tcBorders>
              <w:top w:val="nil"/>
              <w:left w:val="nil"/>
              <w:bottom w:val="nil"/>
              <w:right w:val="nil"/>
            </w:tcBorders>
            <w:shd w:val="clear" w:color="auto" w:fill="auto"/>
            <w:noWrap/>
            <w:vAlign w:val="center"/>
            <w:hideMark/>
          </w:tcPr>
          <w:p w14:paraId="158B214E" w14:textId="77777777" w:rsidR="00991E14" w:rsidRPr="007569D3" w:rsidRDefault="00991E14" w:rsidP="00991E14">
            <w:pPr>
              <w:spacing w:line="240" w:lineRule="auto"/>
              <w:jc w:val="center"/>
              <w:rPr>
                <w:rFonts w:eastAsia="Times New Roman" w:cs="Times New Roman"/>
                <w:b/>
                <w:bCs/>
                <w:color w:val="000000"/>
                <w:sz w:val="16"/>
                <w:szCs w:val="16"/>
                <w:lang w:val="nl-NL" w:eastAsia="zh-CN"/>
              </w:rPr>
            </w:pPr>
            <w:r w:rsidRPr="007569D3">
              <w:rPr>
                <w:rFonts w:eastAsia="Times New Roman" w:cs="Times New Roman"/>
                <w:b/>
                <w:bCs/>
                <w:color w:val="000000"/>
                <w:sz w:val="16"/>
                <w:szCs w:val="16"/>
                <w:lang w:val="nl-NL" w:eastAsia="zh-CN"/>
              </w:rPr>
              <w:t>0.443*</w:t>
            </w:r>
          </w:p>
        </w:tc>
        <w:tc>
          <w:tcPr>
            <w:tcW w:w="0" w:type="auto"/>
            <w:tcBorders>
              <w:top w:val="nil"/>
              <w:left w:val="nil"/>
              <w:bottom w:val="nil"/>
              <w:right w:val="nil"/>
            </w:tcBorders>
            <w:shd w:val="clear" w:color="auto" w:fill="auto"/>
            <w:noWrap/>
            <w:vAlign w:val="center"/>
            <w:hideMark/>
          </w:tcPr>
          <w:p w14:paraId="158974AC" w14:textId="77777777" w:rsidR="00991E14" w:rsidRPr="007569D3" w:rsidRDefault="00991E14" w:rsidP="00991E14">
            <w:pPr>
              <w:spacing w:line="240" w:lineRule="auto"/>
              <w:jc w:val="center"/>
              <w:rPr>
                <w:rFonts w:eastAsia="Times New Roman" w:cs="Times New Roman"/>
                <w:b/>
                <w:bCs/>
                <w:color w:val="000000"/>
                <w:sz w:val="16"/>
                <w:szCs w:val="16"/>
                <w:lang w:val="nl-NL" w:eastAsia="zh-CN"/>
              </w:rPr>
            </w:pPr>
            <w:r w:rsidRPr="007569D3">
              <w:rPr>
                <w:rFonts w:eastAsia="Times New Roman" w:cs="Times New Roman"/>
                <w:b/>
                <w:bCs/>
                <w:color w:val="000000"/>
                <w:sz w:val="16"/>
                <w:szCs w:val="16"/>
                <w:lang w:val="nl-NL" w:eastAsia="zh-CN"/>
              </w:rPr>
              <w:t>0.046</w:t>
            </w:r>
          </w:p>
        </w:tc>
        <w:tc>
          <w:tcPr>
            <w:tcW w:w="0" w:type="auto"/>
            <w:tcBorders>
              <w:top w:val="nil"/>
              <w:left w:val="nil"/>
              <w:bottom w:val="nil"/>
              <w:right w:val="nil"/>
            </w:tcBorders>
            <w:shd w:val="clear" w:color="auto" w:fill="auto"/>
            <w:noWrap/>
            <w:vAlign w:val="center"/>
            <w:hideMark/>
          </w:tcPr>
          <w:p w14:paraId="554D9AF6" w14:textId="77777777" w:rsidR="00991E14" w:rsidRPr="007569D3" w:rsidRDefault="00991E14" w:rsidP="00991E14">
            <w:pPr>
              <w:spacing w:line="240" w:lineRule="auto"/>
              <w:jc w:val="center"/>
              <w:rPr>
                <w:rFonts w:eastAsia="Times New Roman" w:cs="Times New Roman"/>
                <w:b/>
                <w:bCs/>
                <w:color w:val="000000"/>
                <w:sz w:val="16"/>
                <w:szCs w:val="16"/>
                <w:lang w:val="nl-NL" w:eastAsia="zh-CN"/>
              </w:rPr>
            </w:pPr>
            <w:r w:rsidRPr="007569D3">
              <w:rPr>
                <w:rFonts w:eastAsia="Times New Roman" w:cs="Times New Roman"/>
                <w:b/>
                <w:bCs/>
                <w:color w:val="000000"/>
                <w:sz w:val="16"/>
                <w:szCs w:val="16"/>
                <w:lang w:val="nl-NL" w:eastAsia="zh-CN"/>
              </w:rPr>
              <w:t>[0.354, 0.532]</w:t>
            </w:r>
          </w:p>
        </w:tc>
        <w:tc>
          <w:tcPr>
            <w:tcW w:w="0" w:type="auto"/>
            <w:tcBorders>
              <w:top w:val="nil"/>
              <w:left w:val="nil"/>
              <w:bottom w:val="nil"/>
              <w:right w:val="nil"/>
            </w:tcBorders>
            <w:shd w:val="clear" w:color="auto" w:fill="auto"/>
            <w:noWrap/>
            <w:vAlign w:val="center"/>
            <w:hideMark/>
          </w:tcPr>
          <w:p w14:paraId="1D3EBD37"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w:t>
            </w:r>
          </w:p>
        </w:tc>
        <w:tc>
          <w:tcPr>
            <w:tcW w:w="0" w:type="auto"/>
            <w:tcBorders>
              <w:top w:val="nil"/>
              <w:left w:val="nil"/>
              <w:bottom w:val="nil"/>
              <w:right w:val="nil"/>
            </w:tcBorders>
            <w:shd w:val="clear" w:color="auto" w:fill="auto"/>
            <w:noWrap/>
            <w:vAlign w:val="center"/>
            <w:hideMark/>
          </w:tcPr>
          <w:p w14:paraId="0AEDA566"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w:t>
            </w:r>
          </w:p>
        </w:tc>
        <w:tc>
          <w:tcPr>
            <w:tcW w:w="0" w:type="auto"/>
            <w:tcBorders>
              <w:top w:val="nil"/>
              <w:left w:val="nil"/>
              <w:bottom w:val="nil"/>
              <w:right w:val="nil"/>
            </w:tcBorders>
            <w:shd w:val="clear" w:color="auto" w:fill="auto"/>
            <w:noWrap/>
            <w:vAlign w:val="center"/>
            <w:hideMark/>
          </w:tcPr>
          <w:p w14:paraId="59EEF94B"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w:t>
            </w:r>
          </w:p>
        </w:tc>
        <w:tc>
          <w:tcPr>
            <w:tcW w:w="0" w:type="auto"/>
            <w:tcBorders>
              <w:top w:val="nil"/>
              <w:left w:val="nil"/>
              <w:bottom w:val="nil"/>
              <w:right w:val="nil"/>
            </w:tcBorders>
            <w:shd w:val="clear" w:color="auto" w:fill="auto"/>
            <w:noWrap/>
            <w:vAlign w:val="center"/>
            <w:hideMark/>
          </w:tcPr>
          <w:p w14:paraId="3FDE97C6"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w:t>
            </w:r>
          </w:p>
        </w:tc>
        <w:tc>
          <w:tcPr>
            <w:tcW w:w="0" w:type="auto"/>
            <w:tcBorders>
              <w:top w:val="nil"/>
              <w:left w:val="nil"/>
              <w:bottom w:val="nil"/>
              <w:right w:val="nil"/>
            </w:tcBorders>
            <w:shd w:val="clear" w:color="auto" w:fill="auto"/>
            <w:noWrap/>
            <w:vAlign w:val="center"/>
            <w:hideMark/>
          </w:tcPr>
          <w:p w14:paraId="5971657D"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w:t>
            </w:r>
          </w:p>
        </w:tc>
        <w:tc>
          <w:tcPr>
            <w:tcW w:w="0" w:type="auto"/>
            <w:tcBorders>
              <w:top w:val="nil"/>
              <w:left w:val="nil"/>
              <w:bottom w:val="nil"/>
              <w:right w:val="nil"/>
            </w:tcBorders>
            <w:shd w:val="clear" w:color="auto" w:fill="auto"/>
            <w:noWrap/>
            <w:vAlign w:val="center"/>
            <w:hideMark/>
          </w:tcPr>
          <w:p w14:paraId="6E4F4F17"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w:t>
            </w:r>
          </w:p>
        </w:tc>
      </w:tr>
      <w:tr w:rsidR="00991E14" w:rsidRPr="00991E14" w14:paraId="549B6DF1" w14:textId="77777777" w:rsidTr="00F30B53">
        <w:trPr>
          <w:trHeight w:val="225"/>
        </w:trPr>
        <w:tc>
          <w:tcPr>
            <w:tcW w:w="0" w:type="auto"/>
            <w:tcBorders>
              <w:top w:val="nil"/>
              <w:left w:val="nil"/>
              <w:bottom w:val="nil"/>
              <w:right w:val="nil"/>
            </w:tcBorders>
            <w:shd w:val="clear" w:color="auto" w:fill="auto"/>
            <w:noWrap/>
            <w:vAlign w:val="bottom"/>
            <w:hideMark/>
          </w:tcPr>
          <w:p w14:paraId="7724C438" w14:textId="77777777" w:rsidR="00991E14" w:rsidRPr="00991E14" w:rsidRDefault="00991E14" w:rsidP="00991E14">
            <w:pPr>
              <w:spacing w:line="240" w:lineRule="auto"/>
              <w:ind w:firstLineChars="200" w:firstLine="320"/>
              <w:rPr>
                <w:rFonts w:eastAsia="Times New Roman" w:cs="Times New Roman"/>
                <w:color w:val="000000"/>
                <w:sz w:val="16"/>
                <w:szCs w:val="16"/>
                <w:lang w:val="nl-NL" w:eastAsia="zh-CN"/>
              </w:rPr>
            </w:pPr>
            <w:proofErr w:type="spellStart"/>
            <w:r w:rsidRPr="00991E14">
              <w:rPr>
                <w:rFonts w:eastAsia="Times New Roman" w:cs="Times New Roman"/>
                <w:color w:val="000000"/>
                <w:sz w:val="16"/>
                <w:szCs w:val="16"/>
                <w:lang w:val="nl-NL" w:eastAsia="zh-CN"/>
              </w:rPr>
              <w:t>Sanction</w:t>
            </w:r>
            <w:proofErr w:type="spellEnd"/>
            <w:r w:rsidRPr="00991E14">
              <w:rPr>
                <w:rFonts w:eastAsia="Times New Roman" w:cs="Times New Roman"/>
                <w:color w:val="000000"/>
                <w:sz w:val="16"/>
                <w:szCs w:val="16"/>
                <w:lang w:val="nl-NL" w:eastAsia="zh-CN"/>
              </w:rPr>
              <w:t>-mixed</w:t>
            </w:r>
          </w:p>
        </w:tc>
        <w:tc>
          <w:tcPr>
            <w:tcW w:w="0" w:type="auto"/>
            <w:tcBorders>
              <w:top w:val="nil"/>
              <w:left w:val="nil"/>
              <w:bottom w:val="nil"/>
              <w:right w:val="nil"/>
            </w:tcBorders>
            <w:shd w:val="clear" w:color="auto" w:fill="auto"/>
            <w:noWrap/>
            <w:vAlign w:val="center"/>
            <w:hideMark/>
          </w:tcPr>
          <w:p w14:paraId="588892DA"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0.171</w:t>
            </w:r>
          </w:p>
        </w:tc>
        <w:tc>
          <w:tcPr>
            <w:tcW w:w="0" w:type="auto"/>
            <w:tcBorders>
              <w:top w:val="nil"/>
              <w:left w:val="nil"/>
              <w:bottom w:val="nil"/>
              <w:right w:val="nil"/>
            </w:tcBorders>
            <w:shd w:val="clear" w:color="auto" w:fill="auto"/>
            <w:noWrap/>
            <w:vAlign w:val="center"/>
            <w:hideMark/>
          </w:tcPr>
          <w:p w14:paraId="0A768E70"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0.128</w:t>
            </w:r>
          </w:p>
        </w:tc>
        <w:tc>
          <w:tcPr>
            <w:tcW w:w="0" w:type="auto"/>
            <w:tcBorders>
              <w:top w:val="nil"/>
              <w:left w:val="nil"/>
              <w:bottom w:val="nil"/>
              <w:right w:val="nil"/>
            </w:tcBorders>
            <w:shd w:val="clear" w:color="auto" w:fill="auto"/>
            <w:noWrap/>
            <w:vAlign w:val="center"/>
            <w:hideMark/>
          </w:tcPr>
          <w:p w14:paraId="01431EFB"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[–0.079, 0.422]</w:t>
            </w:r>
          </w:p>
        </w:tc>
        <w:tc>
          <w:tcPr>
            <w:tcW w:w="0" w:type="auto"/>
            <w:tcBorders>
              <w:top w:val="nil"/>
              <w:left w:val="nil"/>
              <w:bottom w:val="nil"/>
              <w:right w:val="nil"/>
            </w:tcBorders>
            <w:shd w:val="clear" w:color="auto" w:fill="auto"/>
            <w:noWrap/>
            <w:vAlign w:val="center"/>
            <w:hideMark/>
          </w:tcPr>
          <w:p w14:paraId="070830D2"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w:t>
            </w:r>
          </w:p>
        </w:tc>
        <w:tc>
          <w:tcPr>
            <w:tcW w:w="0" w:type="auto"/>
            <w:tcBorders>
              <w:top w:val="nil"/>
              <w:left w:val="nil"/>
              <w:bottom w:val="nil"/>
              <w:right w:val="nil"/>
            </w:tcBorders>
            <w:shd w:val="clear" w:color="auto" w:fill="auto"/>
            <w:noWrap/>
            <w:vAlign w:val="center"/>
            <w:hideMark/>
          </w:tcPr>
          <w:p w14:paraId="60458D27"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w:t>
            </w:r>
          </w:p>
        </w:tc>
        <w:tc>
          <w:tcPr>
            <w:tcW w:w="0" w:type="auto"/>
            <w:tcBorders>
              <w:top w:val="nil"/>
              <w:left w:val="nil"/>
              <w:bottom w:val="nil"/>
              <w:right w:val="nil"/>
            </w:tcBorders>
            <w:shd w:val="clear" w:color="auto" w:fill="auto"/>
            <w:noWrap/>
            <w:vAlign w:val="center"/>
            <w:hideMark/>
          </w:tcPr>
          <w:p w14:paraId="67450498"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w:t>
            </w:r>
          </w:p>
        </w:tc>
        <w:tc>
          <w:tcPr>
            <w:tcW w:w="0" w:type="auto"/>
            <w:tcBorders>
              <w:top w:val="nil"/>
              <w:left w:val="nil"/>
              <w:bottom w:val="nil"/>
              <w:right w:val="nil"/>
            </w:tcBorders>
            <w:shd w:val="clear" w:color="auto" w:fill="auto"/>
            <w:noWrap/>
            <w:vAlign w:val="center"/>
            <w:hideMark/>
          </w:tcPr>
          <w:p w14:paraId="5DCE2145"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w:t>
            </w:r>
          </w:p>
        </w:tc>
        <w:tc>
          <w:tcPr>
            <w:tcW w:w="0" w:type="auto"/>
            <w:tcBorders>
              <w:top w:val="nil"/>
              <w:left w:val="nil"/>
              <w:bottom w:val="nil"/>
              <w:right w:val="nil"/>
            </w:tcBorders>
            <w:shd w:val="clear" w:color="auto" w:fill="auto"/>
            <w:noWrap/>
            <w:vAlign w:val="center"/>
            <w:hideMark/>
          </w:tcPr>
          <w:p w14:paraId="47DF3D0A"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w:t>
            </w:r>
          </w:p>
        </w:tc>
        <w:tc>
          <w:tcPr>
            <w:tcW w:w="0" w:type="auto"/>
            <w:tcBorders>
              <w:top w:val="nil"/>
              <w:left w:val="nil"/>
              <w:bottom w:val="nil"/>
              <w:right w:val="nil"/>
            </w:tcBorders>
            <w:shd w:val="clear" w:color="auto" w:fill="auto"/>
            <w:noWrap/>
            <w:vAlign w:val="center"/>
            <w:hideMark/>
          </w:tcPr>
          <w:p w14:paraId="5A3594D4"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w:t>
            </w:r>
          </w:p>
        </w:tc>
      </w:tr>
      <w:tr w:rsidR="00991E14" w:rsidRPr="00991E14" w14:paraId="41178854" w14:textId="77777777" w:rsidTr="00F30B53">
        <w:trPr>
          <w:trHeight w:val="225"/>
        </w:trPr>
        <w:tc>
          <w:tcPr>
            <w:tcW w:w="0" w:type="auto"/>
            <w:tcBorders>
              <w:top w:val="nil"/>
              <w:left w:val="nil"/>
              <w:bottom w:val="nil"/>
              <w:right w:val="nil"/>
            </w:tcBorders>
            <w:shd w:val="clear" w:color="auto" w:fill="auto"/>
            <w:noWrap/>
            <w:vAlign w:val="bottom"/>
            <w:hideMark/>
          </w:tcPr>
          <w:p w14:paraId="69D5AA17" w14:textId="47503505" w:rsidR="00991E14" w:rsidRPr="00991E14" w:rsidRDefault="00E12E47" w:rsidP="00991E14">
            <w:pPr>
              <w:spacing w:line="240" w:lineRule="auto"/>
              <w:ind w:firstLineChars="200" w:firstLine="320"/>
              <w:rPr>
                <w:rFonts w:eastAsia="Times New Roman" w:cs="Times New Roman"/>
                <w:color w:val="000000"/>
                <w:sz w:val="16"/>
                <w:szCs w:val="16"/>
                <w:lang w:val="nl-NL" w:eastAsia="zh-CN"/>
              </w:rPr>
            </w:pPr>
            <w:r>
              <w:rPr>
                <w:rFonts w:eastAsia="Times New Roman" w:cs="Times New Roman"/>
                <w:color w:val="000000"/>
                <w:sz w:val="16"/>
                <w:szCs w:val="16"/>
                <w:lang w:val="nl-NL" w:eastAsia="zh-CN"/>
              </w:rPr>
              <w:t>Communication</w:t>
            </w:r>
            <w:r w:rsidRPr="00991E14">
              <w:rPr>
                <w:rFonts w:eastAsia="Times New Roman" w:cs="Times New Roman"/>
                <w:color w:val="000000"/>
                <w:sz w:val="16"/>
                <w:szCs w:val="16"/>
                <w:lang w:val="nl-NL" w:eastAsia="zh-CN"/>
              </w:rPr>
              <w:t xml:space="preserve"> </w:t>
            </w:r>
            <w:r w:rsidR="00991E14" w:rsidRPr="00991E14">
              <w:rPr>
                <w:rFonts w:eastAsia="Times New Roman" w:cs="Times New Roman"/>
                <w:color w:val="000000"/>
                <w:sz w:val="16"/>
                <w:szCs w:val="16"/>
                <w:lang w:val="nl-NL" w:eastAsia="zh-CN"/>
              </w:rPr>
              <w:t>-yes</w:t>
            </w:r>
          </w:p>
        </w:tc>
        <w:tc>
          <w:tcPr>
            <w:tcW w:w="0" w:type="auto"/>
            <w:tcBorders>
              <w:top w:val="nil"/>
              <w:left w:val="nil"/>
              <w:bottom w:val="nil"/>
              <w:right w:val="nil"/>
            </w:tcBorders>
            <w:shd w:val="clear" w:color="auto" w:fill="auto"/>
            <w:noWrap/>
            <w:vAlign w:val="center"/>
            <w:hideMark/>
          </w:tcPr>
          <w:p w14:paraId="44EB11A4" w14:textId="77777777" w:rsidR="00991E14" w:rsidRPr="00991E14" w:rsidRDefault="00991E14" w:rsidP="00991E14">
            <w:pPr>
              <w:spacing w:line="240" w:lineRule="auto"/>
              <w:ind w:firstLineChars="200" w:firstLine="320"/>
              <w:rPr>
                <w:rFonts w:eastAsia="Times New Roman" w:cs="Times New Roman"/>
                <w:color w:val="000000"/>
                <w:sz w:val="16"/>
                <w:szCs w:val="16"/>
                <w:lang w:val="nl-NL" w:eastAsia="zh-CN"/>
              </w:rPr>
            </w:pPr>
          </w:p>
        </w:tc>
        <w:tc>
          <w:tcPr>
            <w:tcW w:w="0" w:type="auto"/>
            <w:tcBorders>
              <w:top w:val="nil"/>
              <w:left w:val="nil"/>
              <w:bottom w:val="nil"/>
              <w:right w:val="nil"/>
            </w:tcBorders>
            <w:shd w:val="clear" w:color="auto" w:fill="auto"/>
            <w:noWrap/>
            <w:vAlign w:val="center"/>
            <w:hideMark/>
          </w:tcPr>
          <w:p w14:paraId="09109FE4"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5DD2A31A"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74C7FBE7" w14:textId="77777777" w:rsidR="00991E14" w:rsidRPr="007569D3" w:rsidRDefault="00991E14" w:rsidP="00991E14">
            <w:pPr>
              <w:spacing w:line="240" w:lineRule="auto"/>
              <w:jc w:val="center"/>
              <w:rPr>
                <w:rFonts w:eastAsia="Times New Roman" w:cs="Times New Roman"/>
                <w:b/>
                <w:bCs/>
                <w:color w:val="000000"/>
                <w:sz w:val="16"/>
                <w:szCs w:val="16"/>
                <w:lang w:val="nl-NL" w:eastAsia="zh-CN"/>
              </w:rPr>
            </w:pPr>
            <w:r w:rsidRPr="007569D3">
              <w:rPr>
                <w:rFonts w:eastAsia="Times New Roman" w:cs="Times New Roman"/>
                <w:b/>
                <w:bCs/>
                <w:color w:val="000000"/>
                <w:sz w:val="16"/>
                <w:szCs w:val="16"/>
                <w:lang w:val="nl-NL" w:eastAsia="zh-CN"/>
              </w:rPr>
              <w:t>0.528*</w:t>
            </w:r>
          </w:p>
        </w:tc>
        <w:tc>
          <w:tcPr>
            <w:tcW w:w="0" w:type="auto"/>
            <w:tcBorders>
              <w:top w:val="nil"/>
              <w:left w:val="nil"/>
              <w:bottom w:val="nil"/>
              <w:right w:val="nil"/>
            </w:tcBorders>
            <w:shd w:val="clear" w:color="auto" w:fill="auto"/>
            <w:noWrap/>
            <w:vAlign w:val="center"/>
            <w:hideMark/>
          </w:tcPr>
          <w:p w14:paraId="3717B67E" w14:textId="77777777" w:rsidR="00991E14" w:rsidRPr="007569D3" w:rsidRDefault="00991E14" w:rsidP="00991E14">
            <w:pPr>
              <w:spacing w:line="240" w:lineRule="auto"/>
              <w:jc w:val="center"/>
              <w:rPr>
                <w:rFonts w:eastAsia="Times New Roman" w:cs="Times New Roman"/>
                <w:b/>
                <w:bCs/>
                <w:color w:val="000000"/>
                <w:sz w:val="16"/>
                <w:szCs w:val="16"/>
                <w:lang w:val="nl-NL" w:eastAsia="zh-CN"/>
              </w:rPr>
            </w:pPr>
            <w:r w:rsidRPr="007569D3">
              <w:rPr>
                <w:rFonts w:eastAsia="Times New Roman" w:cs="Times New Roman"/>
                <w:b/>
                <w:bCs/>
                <w:color w:val="000000"/>
                <w:sz w:val="16"/>
                <w:szCs w:val="16"/>
                <w:lang w:val="nl-NL" w:eastAsia="zh-CN"/>
              </w:rPr>
              <w:t>0.058</w:t>
            </w:r>
          </w:p>
        </w:tc>
        <w:tc>
          <w:tcPr>
            <w:tcW w:w="0" w:type="auto"/>
            <w:tcBorders>
              <w:top w:val="nil"/>
              <w:left w:val="nil"/>
              <w:bottom w:val="nil"/>
              <w:right w:val="nil"/>
            </w:tcBorders>
            <w:shd w:val="clear" w:color="auto" w:fill="auto"/>
            <w:noWrap/>
            <w:vAlign w:val="center"/>
            <w:hideMark/>
          </w:tcPr>
          <w:p w14:paraId="23C0D711" w14:textId="77777777" w:rsidR="00991E14" w:rsidRPr="007569D3" w:rsidRDefault="00991E14" w:rsidP="00991E14">
            <w:pPr>
              <w:spacing w:line="240" w:lineRule="auto"/>
              <w:jc w:val="center"/>
              <w:rPr>
                <w:rFonts w:eastAsia="Times New Roman" w:cs="Times New Roman"/>
                <w:b/>
                <w:bCs/>
                <w:color w:val="000000"/>
                <w:sz w:val="16"/>
                <w:szCs w:val="16"/>
                <w:lang w:val="nl-NL" w:eastAsia="zh-CN"/>
              </w:rPr>
            </w:pPr>
            <w:r w:rsidRPr="007569D3">
              <w:rPr>
                <w:rFonts w:eastAsia="Times New Roman" w:cs="Times New Roman"/>
                <w:b/>
                <w:bCs/>
                <w:color w:val="000000"/>
                <w:sz w:val="16"/>
                <w:szCs w:val="16"/>
                <w:lang w:val="nl-NL" w:eastAsia="zh-CN"/>
              </w:rPr>
              <w:t>[0.415, 0.641]</w:t>
            </w:r>
          </w:p>
        </w:tc>
        <w:tc>
          <w:tcPr>
            <w:tcW w:w="0" w:type="auto"/>
            <w:tcBorders>
              <w:top w:val="nil"/>
              <w:left w:val="nil"/>
              <w:bottom w:val="nil"/>
              <w:right w:val="nil"/>
            </w:tcBorders>
            <w:shd w:val="clear" w:color="auto" w:fill="auto"/>
            <w:noWrap/>
            <w:vAlign w:val="center"/>
            <w:hideMark/>
          </w:tcPr>
          <w:p w14:paraId="3807721B"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w:t>
            </w:r>
          </w:p>
        </w:tc>
        <w:tc>
          <w:tcPr>
            <w:tcW w:w="0" w:type="auto"/>
            <w:tcBorders>
              <w:top w:val="nil"/>
              <w:left w:val="nil"/>
              <w:bottom w:val="nil"/>
              <w:right w:val="nil"/>
            </w:tcBorders>
            <w:shd w:val="clear" w:color="auto" w:fill="auto"/>
            <w:noWrap/>
            <w:vAlign w:val="center"/>
            <w:hideMark/>
          </w:tcPr>
          <w:p w14:paraId="10B141DD"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w:t>
            </w:r>
          </w:p>
        </w:tc>
        <w:tc>
          <w:tcPr>
            <w:tcW w:w="0" w:type="auto"/>
            <w:tcBorders>
              <w:top w:val="nil"/>
              <w:left w:val="nil"/>
              <w:bottom w:val="nil"/>
              <w:right w:val="nil"/>
            </w:tcBorders>
            <w:shd w:val="clear" w:color="auto" w:fill="auto"/>
            <w:noWrap/>
            <w:vAlign w:val="center"/>
            <w:hideMark/>
          </w:tcPr>
          <w:p w14:paraId="7B387CC5"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w:t>
            </w:r>
          </w:p>
        </w:tc>
      </w:tr>
      <w:tr w:rsidR="00991E14" w:rsidRPr="00991E14" w14:paraId="5644DAA2" w14:textId="77777777" w:rsidTr="00F30B53">
        <w:trPr>
          <w:trHeight w:val="225"/>
        </w:trPr>
        <w:tc>
          <w:tcPr>
            <w:tcW w:w="0" w:type="auto"/>
            <w:tcBorders>
              <w:top w:val="nil"/>
              <w:left w:val="nil"/>
              <w:bottom w:val="nil"/>
              <w:right w:val="nil"/>
            </w:tcBorders>
            <w:shd w:val="clear" w:color="auto" w:fill="auto"/>
            <w:noWrap/>
            <w:vAlign w:val="bottom"/>
            <w:hideMark/>
          </w:tcPr>
          <w:p w14:paraId="3ED5D49C" w14:textId="2A8F6225" w:rsidR="00991E14" w:rsidRPr="00991E14" w:rsidRDefault="00E12E47" w:rsidP="00991E14">
            <w:pPr>
              <w:spacing w:line="240" w:lineRule="auto"/>
              <w:ind w:firstLineChars="200" w:firstLine="320"/>
              <w:rPr>
                <w:rFonts w:eastAsia="Times New Roman" w:cs="Times New Roman"/>
                <w:color w:val="000000"/>
                <w:sz w:val="16"/>
                <w:szCs w:val="16"/>
                <w:lang w:val="nl-NL" w:eastAsia="zh-CN"/>
              </w:rPr>
            </w:pPr>
            <w:r>
              <w:rPr>
                <w:rFonts w:eastAsia="Times New Roman" w:cs="Times New Roman"/>
                <w:color w:val="000000"/>
                <w:sz w:val="16"/>
                <w:szCs w:val="16"/>
                <w:lang w:val="nl-NL" w:eastAsia="zh-CN"/>
              </w:rPr>
              <w:t>Communication</w:t>
            </w:r>
            <w:r w:rsidRPr="00991E14">
              <w:rPr>
                <w:rFonts w:eastAsia="Times New Roman" w:cs="Times New Roman"/>
                <w:color w:val="000000"/>
                <w:sz w:val="16"/>
                <w:szCs w:val="16"/>
                <w:lang w:val="nl-NL" w:eastAsia="zh-CN"/>
              </w:rPr>
              <w:t xml:space="preserve"> </w:t>
            </w:r>
            <w:r w:rsidR="00991E14" w:rsidRPr="00991E14">
              <w:rPr>
                <w:rFonts w:eastAsia="Times New Roman" w:cs="Times New Roman"/>
                <w:color w:val="000000"/>
                <w:sz w:val="16"/>
                <w:szCs w:val="16"/>
                <w:lang w:val="nl-NL" w:eastAsia="zh-CN"/>
              </w:rPr>
              <w:t>-mixed</w:t>
            </w:r>
          </w:p>
        </w:tc>
        <w:tc>
          <w:tcPr>
            <w:tcW w:w="0" w:type="auto"/>
            <w:tcBorders>
              <w:top w:val="nil"/>
              <w:left w:val="nil"/>
              <w:bottom w:val="nil"/>
              <w:right w:val="nil"/>
            </w:tcBorders>
            <w:shd w:val="clear" w:color="auto" w:fill="auto"/>
            <w:noWrap/>
            <w:vAlign w:val="center"/>
            <w:hideMark/>
          </w:tcPr>
          <w:p w14:paraId="2C4A3333" w14:textId="77777777" w:rsidR="00991E14" w:rsidRPr="00991E14" w:rsidRDefault="00991E14" w:rsidP="00991E14">
            <w:pPr>
              <w:spacing w:line="240" w:lineRule="auto"/>
              <w:ind w:firstLineChars="200" w:firstLine="320"/>
              <w:rPr>
                <w:rFonts w:eastAsia="Times New Roman" w:cs="Times New Roman"/>
                <w:color w:val="000000"/>
                <w:sz w:val="16"/>
                <w:szCs w:val="16"/>
                <w:lang w:val="nl-NL" w:eastAsia="zh-CN"/>
              </w:rPr>
            </w:pPr>
          </w:p>
        </w:tc>
        <w:tc>
          <w:tcPr>
            <w:tcW w:w="0" w:type="auto"/>
            <w:tcBorders>
              <w:top w:val="nil"/>
              <w:left w:val="nil"/>
              <w:bottom w:val="nil"/>
              <w:right w:val="nil"/>
            </w:tcBorders>
            <w:shd w:val="clear" w:color="auto" w:fill="auto"/>
            <w:noWrap/>
            <w:vAlign w:val="center"/>
            <w:hideMark/>
          </w:tcPr>
          <w:p w14:paraId="359AECCA"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137AE33E"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6C6C7D8A"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0.362*</w:t>
            </w:r>
          </w:p>
        </w:tc>
        <w:tc>
          <w:tcPr>
            <w:tcW w:w="0" w:type="auto"/>
            <w:tcBorders>
              <w:top w:val="nil"/>
              <w:left w:val="nil"/>
              <w:bottom w:val="nil"/>
              <w:right w:val="nil"/>
            </w:tcBorders>
            <w:shd w:val="clear" w:color="auto" w:fill="auto"/>
            <w:noWrap/>
            <w:vAlign w:val="center"/>
            <w:hideMark/>
          </w:tcPr>
          <w:p w14:paraId="191903EE"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0.151</w:t>
            </w:r>
          </w:p>
        </w:tc>
        <w:tc>
          <w:tcPr>
            <w:tcW w:w="0" w:type="auto"/>
            <w:tcBorders>
              <w:top w:val="nil"/>
              <w:left w:val="nil"/>
              <w:bottom w:val="nil"/>
              <w:right w:val="nil"/>
            </w:tcBorders>
            <w:shd w:val="clear" w:color="auto" w:fill="auto"/>
            <w:noWrap/>
            <w:vAlign w:val="center"/>
            <w:hideMark/>
          </w:tcPr>
          <w:p w14:paraId="6FB89168"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[0.066, 0.658]</w:t>
            </w:r>
          </w:p>
        </w:tc>
        <w:tc>
          <w:tcPr>
            <w:tcW w:w="0" w:type="auto"/>
            <w:tcBorders>
              <w:top w:val="nil"/>
              <w:left w:val="nil"/>
              <w:bottom w:val="nil"/>
              <w:right w:val="nil"/>
            </w:tcBorders>
            <w:shd w:val="clear" w:color="auto" w:fill="auto"/>
            <w:noWrap/>
            <w:vAlign w:val="center"/>
            <w:hideMark/>
          </w:tcPr>
          <w:p w14:paraId="16AF3BB8"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w:t>
            </w:r>
          </w:p>
        </w:tc>
        <w:tc>
          <w:tcPr>
            <w:tcW w:w="0" w:type="auto"/>
            <w:tcBorders>
              <w:top w:val="nil"/>
              <w:left w:val="nil"/>
              <w:bottom w:val="nil"/>
              <w:right w:val="nil"/>
            </w:tcBorders>
            <w:shd w:val="clear" w:color="auto" w:fill="auto"/>
            <w:noWrap/>
            <w:vAlign w:val="center"/>
            <w:hideMark/>
          </w:tcPr>
          <w:p w14:paraId="5B92BBE9"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w:t>
            </w:r>
          </w:p>
        </w:tc>
        <w:tc>
          <w:tcPr>
            <w:tcW w:w="0" w:type="auto"/>
            <w:tcBorders>
              <w:top w:val="nil"/>
              <w:left w:val="nil"/>
              <w:bottom w:val="nil"/>
              <w:right w:val="nil"/>
            </w:tcBorders>
            <w:shd w:val="clear" w:color="auto" w:fill="auto"/>
            <w:noWrap/>
            <w:vAlign w:val="center"/>
            <w:hideMark/>
          </w:tcPr>
          <w:p w14:paraId="273FD115"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w:t>
            </w:r>
          </w:p>
        </w:tc>
      </w:tr>
      <w:tr w:rsidR="00991E14" w:rsidRPr="00991E14" w14:paraId="2BA94F30" w14:textId="77777777" w:rsidTr="00F30B53">
        <w:trPr>
          <w:trHeight w:val="225"/>
        </w:trPr>
        <w:tc>
          <w:tcPr>
            <w:tcW w:w="0" w:type="auto"/>
            <w:tcBorders>
              <w:top w:val="nil"/>
              <w:left w:val="nil"/>
              <w:bottom w:val="nil"/>
              <w:right w:val="nil"/>
            </w:tcBorders>
            <w:shd w:val="clear" w:color="auto" w:fill="auto"/>
            <w:noWrap/>
            <w:hideMark/>
          </w:tcPr>
          <w:p w14:paraId="2A84680C" w14:textId="77777777" w:rsidR="00991E14" w:rsidRPr="00991E14" w:rsidRDefault="00991E14" w:rsidP="00991E14">
            <w:pPr>
              <w:spacing w:line="240" w:lineRule="auto"/>
              <w:ind w:firstLineChars="200" w:firstLine="320"/>
              <w:rPr>
                <w:rFonts w:eastAsia="Times New Roman" w:cs="Times New Roman"/>
                <w:color w:val="000000"/>
                <w:sz w:val="16"/>
                <w:szCs w:val="16"/>
                <w:lang w:val="nl-NL" w:eastAsia="zh-CN"/>
              </w:rPr>
            </w:pPr>
            <w:proofErr w:type="spellStart"/>
            <w:r w:rsidRPr="00991E14">
              <w:rPr>
                <w:rFonts w:eastAsia="Times New Roman" w:cs="Times New Roman"/>
                <w:color w:val="000000"/>
                <w:sz w:val="16"/>
                <w:szCs w:val="16"/>
                <w:lang w:val="nl-NL" w:eastAsia="zh-CN"/>
              </w:rPr>
              <w:t>Deception</w:t>
            </w:r>
            <w:proofErr w:type="spellEnd"/>
            <w:r w:rsidRPr="00991E14">
              <w:rPr>
                <w:rFonts w:eastAsia="Times New Roman" w:cs="Times New Roman"/>
                <w:color w:val="000000"/>
                <w:sz w:val="16"/>
                <w:szCs w:val="16"/>
                <w:lang w:val="nl-NL" w:eastAsia="zh-CN"/>
              </w:rPr>
              <w:t>-yes</w:t>
            </w:r>
          </w:p>
        </w:tc>
        <w:tc>
          <w:tcPr>
            <w:tcW w:w="0" w:type="auto"/>
            <w:tcBorders>
              <w:top w:val="nil"/>
              <w:left w:val="nil"/>
              <w:bottom w:val="nil"/>
              <w:right w:val="nil"/>
            </w:tcBorders>
            <w:shd w:val="clear" w:color="auto" w:fill="auto"/>
            <w:noWrap/>
            <w:vAlign w:val="center"/>
            <w:hideMark/>
          </w:tcPr>
          <w:p w14:paraId="34985D1E" w14:textId="77777777" w:rsidR="00991E14" w:rsidRPr="00991E14" w:rsidRDefault="00991E14" w:rsidP="00991E14">
            <w:pPr>
              <w:spacing w:line="240" w:lineRule="auto"/>
              <w:ind w:firstLineChars="200" w:firstLine="320"/>
              <w:rPr>
                <w:rFonts w:eastAsia="Times New Roman" w:cs="Times New Roman"/>
                <w:color w:val="000000"/>
                <w:sz w:val="16"/>
                <w:szCs w:val="16"/>
                <w:lang w:val="nl-NL" w:eastAsia="zh-CN"/>
              </w:rPr>
            </w:pPr>
          </w:p>
        </w:tc>
        <w:tc>
          <w:tcPr>
            <w:tcW w:w="0" w:type="auto"/>
            <w:tcBorders>
              <w:top w:val="nil"/>
              <w:left w:val="nil"/>
              <w:bottom w:val="nil"/>
              <w:right w:val="nil"/>
            </w:tcBorders>
            <w:shd w:val="clear" w:color="auto" w:fill="auto"/>
            <w:noWrap/>
            <w:vAlign w:val="center"/>
            <w:hideMark/>
          </w:tcPr>
          <w:p w14:paraId="543909AF"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2B356AD9"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3B50CC5E"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25BCFB35"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5DFDD78D"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6E431802" w14:textId="77777777" w:rsidR="00991E14" w:rsidRPr="007569D3" w:rsidRDefault="00991E14" w:rsidP="00991E14">
            <w:pPr>
              <w:spacing w:line="240" w:lineRule="auto"/>
              <w:jc w:val="center"/>
              <w:rPr>
                <w:rFonts w:eastAsia="Times New Roman" w:cs="Times New Roman"/>
                <w:b/>
                <w:bCs/>
                <w:color w:val="000000"/>
                <w:sz w:val="16"/>
                <w:szCs w:val="16"/>
                <w:lang w:val="nl-NL" w:eastAsia="zh-CN"/>
              </w:rPr>
            </w:pPr>
            <w:r w:rsidRPr="007569D3">
              <w:rPr>
                <w:rFonts w:eastAsia="Times New Roman" w:cs="Times New Roman"/>
                <w:b/>
                <w:bCs/>
                <w:color w:val="000000"/>
                <w:sz w:val="16"/>
                <w:szCs w:val="16"/>
                <w:lang w:val="nl-NL" w:eastAsia="zh-CN"/>
              </w:rPr>
              <w:t>0.133*</w:t>
            </w:r>
          </w:p>
        </w:tc>
        <w:tc>
          <w:tcPr>
            <w:tcW w:w="0" w:type="auto"/>
            <w:tcBorders>
              <w:top w:val="nil"/>
              <w:left w:val="nil"/>
              <w:bottom w:val="nil"/>
              <w:right w:val="nil"/>
            </w:tcBorders>
            <w:shd w:val="clear" w:color="auto" w:fill="auto"/>
            <w:noWrap/>
            <w:vAlign w:val="center"/>
            <w:hideMark/>
          </w:tcPr>
          <w:p w14:paraId="1EFCF220" w14:textId="77777777" w:rsidR="00991E14" w:rsidRPr="007569D3" w:rsidRDefault="00991E14" w:rsidP="00991E14">
            <w:pPr>
              <w:spacing w:line="240" w:lineRule="auto"/>
              <w:jc w:val="center"/>
              <w:rPr>
                <w:rFonts w:eastAsia="Times New Roman" w:cs="Times New Roman"/>
                <w:b/>
                <w:bCs/>
                <w:color w:val="000000"/>
                <w:sz w:val="16"/>
                <w:szCs w:val="16"/>
                <w:lang w:val="nl-NL" w:eastAsia="zh-CN"/>
              </w:rPr>
            </w:pPr>
            <w:r w:rsidRPr="007569D3">
              <w:rPr>
                <w:rFonts w:eastAsia="Times New Roman" w:cs="Times New Roman"/>
                <w:b/>
                <w:bCs/>
                <w:color w:val="000000"/>
                <w:sz w:val="16"/>
                <w:szCs w:val="16"/>
                <w:lang w:val="nl-NL" w:eastAsia="zh-CN"/>
              </w:rPr>
              <w:t>0.043</w:t>
            </w:r>
          </w:p>
        </w:tc>
        <w:tc>
          <w:tcPr>
            <w:tcW w:w="0" w:type="auto"/>
            <w:tcBorders>
              <w:top w:val="nil"/>
              <w:left w:val="nil"/>
              <w:bottom w:val="nil"/>
              <w:right w:val="nil"/>
            </w:tcBorders>
            <w:shd w:val="clear" w:color="auto" w:fill="auto"/>
            <w:noWrap/>
            <w:vAlign w:val="center"/>
            <w:hideMark/>
          </w:tcPr>
          <w:p w14:paraId="68E17097" w14:textId="77777777" w:rsidR="00991E14" w:rsidRPr="007569D3" w:rsidRDefault="00991E14" w:rsidP="00991E14">
            <w:pPr>
              <w:spacing w:line="240" w:lineRule="auto"/>
              <w:jc w:val="center"/>
              <w:rPr>
                <w:rFonts w:eastAsia="Times New Roman" w:cs="Times New Roman"/>
                <w:b/>
                <w:bCs/>
                <w:color w:val="000000"/>
                <w:sz w:val="16"/>
                <w:szCs w:val="16"/>
                <w:lang w:val="nl-NL" w:eastAsia="zh-CN"/>
              </w:rPr>
            </w:pPr>
            <w:r w:rsidRPr="007569D3">
              <w:rPr>
                <w:rFonts w:eastAsia="Times New Roman" w:cs="Times New Roman"/>
                <w:b/>
                <w:bCs/>
                <w:color w:val="000000"/>
                <w:sz w:val="16"/>
                <w:szCs w:val="16"/>
                <w:lang w:val="nl-NL" w:eastAsia="zh-CN"/>
              </w:rPr>
              <w:t>[0.049, 0.217]</w:t>
            </w:r>
          </w:p>
        </w:tc>
      </w:tr>
      <w:tr w:rsidR="00991E14" w:rsidRPr="00991E14" w14:paraId="0FB18697" w14:textId="77777777" w:rsidTr="00F30B53">
        <w:trPr>
          <w:trHeight w:val="225"/>
        </w:trPr>
        <w:tc>
          <w:tcPr>
            <w:tcW w:w="0" w:type="auto"/>
            <w:tcBorders>
              <w:top w:val="nil"/>
              <w:left w:val="nil"/>
              <w:bottom w:val="nil"/>
              <w:right w:val="nil"/>
            </w:tcBorders>
            <w:shd w:val="clear" w:color="auto" w:fill="auto"/>
            <w:noWrap/>
            <w:hideMark/>
          </w:tcPr>
          <w:p w14:paraId="194FA15B" w14:textId="77777777" w:rsidR="00991E14" w:rsidRPr="00991E14" w:rsidRDefault="00991E14" w:rsidP="00991E14">
            <w:pPr>
              <w:spacing w:line="240" w:lineRule="auto"/>
              <w:ind w:firstLineChars="200" w:firstLine="320"/>
              <w:rPr>
                <w:rFonts w:eastAsia="Times New Roman" w:cs="Times New Roman"/>
                <w:color w:val="000000"/>
                <w:sz w:val="16"/>
                <w:szCs w:val="16"/>
                <w:lang w:val="nl-NL" w:eastAsia="zh-CN"/>
              </w:rPr>
            </w:pPr>
            <w:proofErr w:type="spellStart"/>
            <w:r w:rsidRPr="00991E14">
              <w:rPr>
                <w:rFonts w:eastAsia="Times New Roman" w:cs="Times New Roman"/>
                <w:color w:val="000000"/>
                <w:sz w:val="16"/>
                <w:szCs w:val="16"/>
                <w:lang w:val="nl-NL" w:eastAsia="zh-CN"/>
              </w:rPr>
              <w:t>Deception</w:t>
            </w:r>
            <w:proofErr w:type="spellEnd"/>
            <w:r w:rsidRPr="00991E14">
              <w:rPr>
                <w:rFonts w:eastAsia="Times New Roman" w:cs="Times New Roman"/>
                <w:color w:val="000000"/>
                <w:sz w:val="16"/>
                <w:szCs w:val="16"/>
                <w:lang w:val="nl-NL" w:eastAsia="zh-CN"/>
              </w:rPr>
              <w:t>-mixed</w:t>
            </w:r>
          </w:p>
        </w:tc>
        <w:tc>
          <w:tcPr>
            <w:tcW w:w="0" w:type="auto"/>
            <w:tcBorders>
              <w:top w:val="nil"/>
              <w:left w:val="nil"/>
              <w:bottom w:val="nil"/>
              <w:right w:val="nil"/>
            </w:tcBorders>
            <w:shd w:val="clear" w:color="auto" w:fill="auto"/>
            <w:noWrap/>
            <w:vAlign w:val="center"/>
            <w:hideMark/>
          </w:tcPr>
          <w:p w14:paraId="1EEDED63" w14:textId="77777777" w:rsidR="00991E14" w:rsidRPr="00991E14" w:rsidRDefault="00991E14" w:rsidP="00991E14">
            <w:pPr>
              <w:spacing w:line="240" w:lineRule="auto"/>
              <w:ind w:firstLineChars="200" w:firstLine="320"/>
              <w:rPr>
                <w:rFonts w:eastAsia="Times New Roman" w:cs="Times New Roman"/>
                <w:color w:val="000000"/>
                <w:sz w:val="16"/>
                <w:szCs w:val="16"/>
                <w:lang w:val="nl-NL" w:eastAsia="zh-CN"/>
              </w:rPr>
            </w:pPr>
          </w:p>
        </w:tc>
        <w:tc>
          <w:tcPr>
            <w:tcW w:w="0" w:type="auto"/>
            <w:tcBorders>
              <w:top w:val="nil"/>
              <w:left w:val="nil"/>
              <w:bottom w:val="nil"/>
              <w:right w:val="nil"/>
            </w:tcBorders>
            <w:shd w:val="clear" w:color="auto" w:fill="auto"/>
            <w:noWrap/>
            <w:vAlign w:val="center"/>
            <w:hideMark/>
          </w:tcPr>
          <w:p w14:paraId="28B8B3D3"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50D77CB8"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75D87B3A"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0CFC5EDA"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48CF918F"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5E0FF5E9"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0.083</w:t>
            </w:r>
          </w:p>
        </w:tc>
        <w:tc>
          <w:tcPr>
            <w:tcW w:w="0" w:type="auto"/>
            <w:tcBorders>
              <w:top w:val="nil"/>
              <w:left w:val="nil"/>
              <w:bottom w:val="nil"/>
              <w:right w:val="nil"/>
            </w:tcBorders>
            <w:shd w:val="clear" w:color="auto" w:fill="auto"/>
            <w:noWrap/>
            <w:vAlign w:val="center"/>
            <w:hideMark/>
          </w:tcPr>
          <w:p w14:paraId="2559D91E"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0.216</w:t>
            </w:r>
          </w:p>
        </w:tc>
        <w:tc>
          <w:tcPr>
            <w:tcW w:w="0" w:type="auto"/>
            <w:tcBorders>
              <w:top w:val="nil"/>
              <w:left w:val="nil"/>
              <w:bottom w:val="nil"/>
              <w:right w:val="nil"/>
            </w:tcBorders>
            <w:shd w:val="clear" w:color="auto" w:fill="auto"/>
            <w:noWrap/>
            <w:vAlign w:val="center"/>
            <w:hideMark/>
          </w:tcPr>
          <w:p w14:paraId="02EB15D7"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[–0.341, 0.508]</w:t>
            </w:r>
          </w:p>
        </w:tc>
      </w:tr>
      <w:tr w:rsidR="00991E14" w:rsidRPr="00991E14" w14:paraId="4E499B3D" w14:textId="77777777" w:rsidTr="00F30B53">
        <w:trPr>
          <w:trHeight w:val="225"/>
        </w:trPr>
        <w:tc>
          <w:tcPr>
            <w:tcW w:w="0" w:type="auto"/>
            <w:tcBorders>
              <w:top w:val="nil"/>
              <w:left w:val="nil"/>
              <w:bottom w:val="nil"/>
              <w:right w:val="nil"/>
            </w:tcBorders>
            <w:shd w:val="clear" w:color="auto" w:fill="auto"/>
            <w:noWrap/>
            <w:vAlign w:val="bottom"/>
            <w:hideMark/>
          </w:tcPr>
          <w:p w14:paraId="28850C27" w14:textId="77777777" w:rsidR="00991E14" w:rsidRPr="00991E14" w:rsidRDefault="00991E14" w:rsidP="00991E14">
            <w:pPr>
              <w:spacing w:line="240" w:lineRule="auto"/>
              <w:rPr>
                <w:rFonts w:eastAsia="Times New Roman" w:cs="Times New Roman"/>
                <w:i/>
                <w:iCs/>
                <w:color w:val="000000"/>
                <w:sz w:val="16"/>
                <w:szCs w:val="16"/>
                <w:lang w:val="nl-NL" w:eastAsia="zh-CN"/>
              </w:rPr>
            </w:pPr>
            <w:r w:rsidRPr="00991E14">
              <w:rPr>
                <w:rFonts w:eastAsia="Times New Roman" w:cs="Times New Roman"/>
                <w:i/>
                <w:iCs/>
                <w:color w:val="000000"/>
                <w:sz w:val="16"/>
                <w:szCs w:val="16"/>
                <w:lang w:val="nl-NL" w:eastAsia="zh-CN"/>
              </w:rPr>
              <w:t xml:space="preserve">Model </w:t>
            </w:r>
            <w:proofErr w:type="spellStart"/>
            <w:r w:rsidRPr="00991E14">
              <w:rPr>
                <w:rFonts w:eastAsia="Times New Roman" w:cs="Times New Roman"/>
                <w:i/>
                <w:iCs/>
                <w:color w:val="000000"/>
                <w:sz w:val="16"/>
                <w:szCs w:val="16"/>
                <w:lang w:val="nl-NL" w:eastAsia="zh-CN"/>
              </w:rPr>
              <w:t>statistics</w:t>
            </w:r>
            <w:proofErr w:type="spellEnd"/>
          </w:p>
        </w:tc>
        <w:tc>
          <w:tcPr>
            <w:tcW w:w="0" w:type="auto"/>
            <w:tcBorders>
              <w:top w:val="nil"/>
              <w:left w:val="nil"/>
              <w:bottom w:val="nil"/>
              <w:right w:val="nil"/>
            </w:tcBorders>
            <w:shd w:val="clear" w:color="auto" w:fill="auto"/>
            <w:noWrap/>
            <w:vAlign w:val="center"/>
            <w:hideMark/>
          </w:tcPr>
          <w:p w14:paraId="132FEE9D" w14:textId="77777777" w:rsidR="00991E14" w:rsidRPr="00991E14" w:rsidRDefault="00991E14" w:rsidP="00991E14">
            <w:pPr>
              <w:spacing w:line="240" w:lineRule="auto"/>
              <w:rPr>
                <w:rFonts w:eastAsia="Times New Roman" w:cs="Times New Roman"/>
                <w:i/>
                <w:iCs/>
                <w:color w:val="000000"/>
                <w:sz w:val="16"/>
                <w:szCs w:val="16"/>
                <w:lang w:val="nl-NL" w:eastAsia="zh-CN"/>
              </w:rPr>
            </w:pPr>
          </w:p>
        </w:tc>
        <w:tc>
          <w:tcPr>
            <w:tcW w:w="0" w:type="auto"/>
            <w:tcBorders>
              <w:top w:val="nil"/>
              <w:left w:val="nil"/>
              <w:bottom w:val="nil"/>
              <w:right w:val="nil"/>
            </w:tcBorders>
            <w:shd w:val="clear" w:color="auto" w:fill="auto"/>
            <w:noWrap/>
            <w:vAlign w:val="center"/>
            <w:hideMark/>
          </w:tcPr>
          <w:p w14:paraId="30E1CA96"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6125B641"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7ECDCCAD"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38320CB9"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731EE30E"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02F985BA"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398BEAF1" w14:textId="77777777" w:rsidR="00991E14" w:rsidRPr="00991E14" w:rsidRDefault="00991E14" w:rsidP="00991E14">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47C0E623" w14:textId="77777777" w:rsidR="00991E14" w:rsidRPr="00991E14" w:rsidRDefault="00991E14" w:rsidP="00991E14">
            <w:pPr>
              <w:spacing w:line="240" w:lineRule="auto"/>
              <w:jc w:val="center"/>
              <w:rPr>
                <w:rFonts w:eastAsia="Times New Roman" w:cs="Times New Roman"/>
                <w:sz w:val="20"/>
                <w:szCs w:val="20"/>
                <w:lang w:val="nl-NL" w:eastAsia="zh-CN"/>
              </w:rPr>
            </w:pPr>
          </w:p>
        </w:tc>
      </w:tr>
      <w:tr w:rsidR="00991E14" w:rsidRPr="00991E14" w14:paraId="589ACB60" w14:textId="77777777" w:rsidTr="00F30B53">
        <w:trPr>
          <w:trHeight w:val="255"/>
        </w:trPr>
        <w:tc>
          <w:tcPr>
            <w:tcW w:w="0" w:type="auto"/>
            <w:tcBorders>
              <w:top w:val="nil"/>
              <w:left w:val="nil"/>
              <w:bottom w:val="nil"/>
              <w:right w:val="nil"/>
            </w:tcBorders>
            <w:shd w:val="clear" w:color="auto" w:fill="auto"/>
            <w:noWrap/>
            <w:vAlign w:val="bottom"/>
            <w:hideMark/>
          </w:tcPr>
          <w:p w14:paraId="78D55AC8" w14:textId="77777777" w:rsidR="00991E14" w:rsidRPr="00991E14" w:rsidRDefault="00991E14" w:rsidP="00991E14">
            <w:pPr>
              <w:spacing w:line="240" w:lineRule="auto"/>
              <w:ind w:firstLineChars="200" w:firstLine="320"/>
              <w:rPr>
                <w:rFonts w:eastAsia="Times New Roman" w:cs="Times New Roman"/>
                <w:color w:val="000000"/>
                <w:sz w:val="16"/>
                <w:szCs w:val="16"/>
                <w:lang w:val="nl-NL" w:eastAsia="zh-CN"/>
              </w:rPr>
            </w:pPr>
            <w:proofErr w:type="spellStart"/>
            <w:r w:rsidRPr="00991E14">
              <w:rPr>
                <w:rFonts w:eastAsia="Times New Roman" w:cs="Times New Roman"/>
                <w:i/>
                <w:iCs/>
                <w:color w:val="000000"/>
                <w:sz w:val="16"/>
                <w:szCs w:val="16"/>
                <w:lang w:val="nl-NL" w:eastAsia="zh-CN"/>
              </w:rPr>
              <w:t>Q</w:t>
            </w:r>
            <w:r w:rsidRPr="00991E14">
              <w:rPr>
                <w:rFonts w:eastAsia="Times New Roman" w:cs="Times New Roman"/>
                <w:color w:val="000000"/>
                <w:sz w:val="16"/>
                <w:szCs w:val="16"/>
                <w:vertAlign w:val="subscript"/>
                <w:lang w:val="nl-NL" w:eastAsia="zh-CN"/>
              </w:rPr>
              <w:t>residual</w:t>
            </w:r>
            <w:proofErr w:type="spellEnd"/>
            <w:r w:rsidRPr="00991E14">
              <w:rPr>
                <w:rFonts w:eastAsia="Times New Roman" w:cs="Times New Roman"/>
                <w:color w:val="000000"/>
                <w:sz w:val="16"/>
                <w:szCs w:val="16"/>
                <w:lang w:val="nl-NL" w:eastAsia="zh-CN"/>
              </w:rPr>
              <w:t>(</w:t>
            </w:r>
            <w:proofErr w:type="spellStart"/>
            <w:r w:rsidRPr="00991E14">
              <w:rPr>
                <w:rFonts w:eastAsia="Times New Roman" w:cs="Times New Roman"/>
                <w:i/>
                <w:iCs/>
                <w:color w:val="000000"/>
                <w:sz w:val="16"/>
                <w:szCs w:val="16"/>
                <w:lang w:val="nl-NL" w:eastAsia="zh-CN"/>
              </w:rPr>
              <w:t>df</w:t>
            </w:r>
            <w:proofErr w:type="spellEnd"/>
            <w:r w:rsidRPr="00991E14">
              <w:rPr>
                <w:rFonts w:eastAsia="Times New Roman" w:cs="Times New Roman"/>
                <w:color w:val="000000"/>
                <w:sz w:val="16"/>
                <w:szCs w:val="16"/>
                <w:lang w:val="nl-NL" w:eastAsia="zh-CN"/>
              </w:rPr>
              <w:t>)</w:t>
            </w:r>
          </w:p>
        </w:tc>
        <w:tc>
          <w:tcPr>
            <w:tcW w:w="0" w:type="auto"/>
            <w:gridSpan w:val="3"/>
            <w:tcBorders>
              <w:top w:val="nil"/>
              <w:left w:val="nil"/>
              <w:bottom w:val="nil"/>
              <w:right w:val="nil"/>
            </w:tcBorders>
            <w:shd w:val="clear" w:color="auto" w:fill="auto"/>
            <w:noWrap/>
            <w:vAlign w:val="center"/>
            <w:hideMark/>
          </w:tcPr>
          <w:p w14:paraId="2C08B2E1"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68841.56 (2326)*</w:t>
            </w:r>
          </w:p>
        </w:tc>
        <w:tc>
          <w:tcPr>
            <w:tcW w:w="0" w:type="auto"/>
            <w:gridSpan w:val="3"/>
            <w:tcBorders>
              <w:top w:val="nil"/>
              <w:left w:val="nil"/>
              <w:bottom w:val="nil"/>
              <w:right w:val="nil"/>
            </w:tcBorders>
            <w:shd w:val="clear" w:color="auto" w:fill="auto"/>
            <w:noWrap/>
            <w:vAlign w:val="center"/>
            <w:hideMark/>
          </w:tcPr>
          <w:p w14:paraId="64C31DE7"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69363.77 (2326)*</w:t>
            </w:r>
          </w:p>
        </w:tc>
        <w:tc>
          <w:tcPr>
            <w:tcW w:w="0" w:type="auto"/>
            <w:gridSpan w:val="3"/>
            <w:tcBorders>
              <w:top w:val="nil"/>
              <w:left w:val="nil"/>
              <w:bottom w:val="nil"/>
              <w:right w:val="nil"/>
            </w:tcBorders>
            <w:shd w:val="clear" w:color="auto" w:fill="auto"/>
            <w:noWrap/>
            <w:vAlign w:val="center"/>
            <w:hideMark/>
          </w:tcPr>
          <w:p w14:paraId="2C5F21A7"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70499.67 (2326)*</w:t>
            </w:r>
          </w:p>
        </w:tc>
      </w:tr>
      <w:tr w:rsidR="00991E14" w:rsidRPr="00991E14" w14:paraId="3F173EFF" w14:textId="77777777" w:rsidTr="00F30B53">
        <w:trPr>
          <w:trHeight w:val="255"/>
        </w:trPr>
        <w:tc>
          <w:tcPr>
            <w:tcW w:w="0" w:type="auto"/>
            <w:tcBorders>
              <w:top w:val="nil"/>
              <w:left w:val="nil"/>
              <w:bottom w:val="nil"/>
              <w:right w:val="nil"/>
            </w:tcBorders>
            <w:shd w:val="clear" w:color="auto" w:fill="auto"/>
            <w:noWrap/>
            <w:vAlign w:val="bottom"/>
            <w:hideMark/>
          </w:tcPr>
          <w:p w14:paraId="4578F532" w14:textId="77777777" w:rsidR="00991E14" w:rsidRPr="00991E14" w:rsidRDefault="00991E14" w:rsidP="00991E14">
            <w:pPr>
              <w:spacing w:line="240" w:lineRule="auto"/>
              <w:ind w:firstLineChars="200" w:firstLine="320"/>
              <w:rPr>
                <w:rFonts w:eastAsia="Times New Roman" w:cs="Times New Roman"/>
                <w:color w:val="000000"/>
                <w:sz w:val="16"/>
                <w:szCs w:val="16"/>
                <w:lang w:val="nl-NL" w:eastAsia="zh-CN"/>
              </w:rPr>
            </w:pPr>
            <w:proofErr w:type="spellStart"/>
            <w:r w:rsidRPr="00991E14">
              <w:rPr>
                <w:rFonts w:eastAsia="Times New Roman" w:cs="Times New Roman"/>
                <w:i/>
                <w:iCs/>
                <w:color w:val="000000"/>
                <w:sz w:val="16"/>
                <w:szCs w:val="16"/>
                <w:lang w:val="nl-NL" w:eastAsia="zh-CN"/>
              </w:rPr>
              <w:t>F</w:t>
            </w:r>
            <w:r w:rsidRPr="00991E14">
              <w:rPr>
                <w:rFonts w:eastAsia="Times New Roman" w:cs="Times New Roman"/>
                <w:color w:val="000000"/>
                <w:sz w:val="16"/>
                <w:szCs w:val="16"/>
                <w:vertAlign w:val="subscript"/>
                <w:lang w:val="nl-NL" w:eastAsia="zh-CN"/>
              </w:rPr>
              <w:t>moderators</w:t>
            </w:r>
            <w:proofErr w:type="spellEnd"/>
            <w:r w:rsidRPr="00991E14">
              <w:rPr>
                <w:rFonts w:eastAsia="Times New Roman" w:cs="Times New Roman"/>
                <w:color w:val="000000"/>
                <w:sz w:val="16"/>
                <w:szCs w:val="16"/>
                <w:lang w:val="nl-NL" w:eastAsia="zh-CN"/>
              </w:rPr>
              <w:t>(</w:t>
            </w:r>
            <w:r w:rsidRPr="00991E14">
              <w:rPr>
                <w:rFonts w:eastAsia="Times New Roman" w:cs="Times New Roman"/>
                <w:i/>
                <w:iCs/>
                <w:color w:val="000000"/>
                <w:sz w:val="16"/>
                <w:szCs w:val="16"/>
                <w:lang w:val="nl-NL" w:eastAsia="zh-CN"/>
              </w:rPr>
              <w:t>df1</w:t>
            </w:r>
            <w:r w:rsidRPr="00991E14">
              <w:rPr>
                <w:rFonts w:eastAsia="Times New Roman" w:cs="Times New Roman"/>
                <w:color w:val="000000"/>
                <w:sz w:val="16"/>
                <w:szCs w:val="16"/>
                <w:lang w:val="nl-NL" w:eastAsia="zh-CN"/>
              </w:rPr>
              <w:t xml:space="preserve">, </w:t>
            </w:r>
            <w:r w:rsidRPr="00991E14">
              <w:rPr>
                <w:rFonts w:eastAsia="Times New Roman" w:cs="Times New Roman"/>
                <w:i/>
                <w:iCs/>
                <w:color w:val="000000"/>
                <w:sz w:val="16"/>
                <w:szCs w:val="16"/>
                <w:lang w:val="nl-NL" w:eastAsia="zh-CN"/>
              </w:rPr>
              <w:t>df2</w:t>
            </w:r>
            <w:r w:rsidRPr="00991E14">
              <w:rPr>
                <w:rFonts w:eastAsia="Times New Roman" w:cs="Times New Roman"/>
                <w:color w:val="000000"/>
                <w:sz w:val="16"/>
                <w:szCs w:val="16"/>
                <w:lang w:val="nl-NL" w:eastAsia="zh-CN"/>
              </w:rPr>
              <w:t>)</w:t>
            </w:r>
          </w:p>
        </w:tc>
        <w:tc>
          <w:tcPr>
            <w:tcW w:w="0" w:type="auto"/>
            <w:gridSpan w:val="3"/>
            <w:tcBorders>
              <w:top w:val="nil"/>
              <w:left w:val="nil"/>
              <w:bottom w:val="nil"/>
              <w:right w:val="nil"/>
            </w:tcBorders>
            <w:shd w:val="clear" w:color="auto" w:fill="auto"/>
            <w:noWrap/>
            <w:vAlign w:val="center"/>
            <w:hideMark/>
          </w:tcPr>
          <w:p w14:paraId="4C635867"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11.16 (13, 2326)*</w:t>
            </w:r>
          </w:p>
        </w:tc>
        <w:tc>
          <w:tcPr>
            <w:tcW w:w="0" w:type="auto"/>
            <w:gridSpan w:val="3"/>
            <w:tcBorders>
              <w:top w:val="nil"/>
              <w:left w:val="nil"/>
              <w:bottom w:val="nil"/>
              <w:right w:val="nil"/>
            </w:tcBorders>
            <w:shd w:val="clear" w:color="auto" w:fill="auto"/>
            <w:noWrap/>
            <w:vAlign w:val="center"/>
            <w:hideMark/>
          </w:tcPr>
          <w:p w14:paraId="1A434E13"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10.69 (13, 2326)*</w:t>
            </w:r>
          </w:p>
        </w:tc>
        <w:tc>
          <w:tcPr>
            <w:tcW w:w="0" w:type="auto"/>
            <w:gridSpan w:val="3"/>
            <w:tcBorders>
              <w:top w:val="nil"/>
              <w:left w:val="nil"/>
              <w:bottom w:val="nil"/>
              <w:right w:val="nil"/>
            </w:tcBorders>
            <w:shd w:val="clear" w:color="auto" w:fill="auto"/>
            <w:noWrap/>
            <w:vAlign w:val="center"/>
            <w:hideMark/>
          </w:tcPr>
          <w:p w14:paraId="2316DC89"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4.54 (13, 2326)*</w:t>
            </w:r>
          </w:p>
        </w:tc>
      </w:tr>
      <w:tr w:rsidR="00991E14" w:rsidRPr="00991E14" w14:paraId="759D3B73" w14:textId="77777777" w:rsidTr="00F30B53">
        <w:trPr>
          <w:trHeight w:val="225"/>
        </w:trPr>
        <w:tc>
          <w:tcPr>
            <w:tcW w:w="0" w:type="auto"/>
            <w:tcBorders>
              <w:top w:val="nil"/>
              <w:left w:val="nil"/>
              <w:bottom w:val="nil"/>
              <w:right w:val="nil"/>
            </w:tcBorders>
            <w:shd w:val="clear" w:color="auto" w:fill="auto"/>
            <w:noWrap/>
            <w:vAlign w:val="bottom"/>
            <w:hideMark/>
          </w:tcPr>
          <w:p w14:paraId="79D8A48F" w14:textId="77777777" w:rsidR="00991E14" w:rsidRPr="00991E14" w:rsidRDefault="00991E14" w:rsidP="00991E14">
            <w:pPr>
              <w:spacing w:line="240" w:lineRule="auto"/>
              <w:ind w:firstLineChars="200" w:firstLine="320"/>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τ</w:t>
            </w:r>
            <w:r w:rsidRPr="00991E14">
              <w:rPr>
                <w:rFonts w:eastAsia="Times New Roman" w:cs="Times New Roman"/>
                <w:color w:val="000000"/>
                <w:sz w:val="16"/>
                <w:szCs w:val="16"/>
                <w:vertAlign w:val="superscript"/>
                <w:lang w:val="nl-NL" w:eastAsia="zh-CN"/>
              </w:rPr>
              <w:t>2</w:t>
            </w:r>
          </w:p>
        </w:tc>
        <w:tc>
          <w:tcPr>
            <w:tcW w:w="0" w:type="auto"/>
            <w:gridSpan w:val="3"/>
            <w:tcBorders>
              <w:top w:val="nil"/>
              <w:left w:val="nil"/>
              <w:bottom w:val="nil"/>
              <w:right w:val="nil"/>
            </w:tcBorders>
            <w:shd w:val="clear" w:color="auto" w:fill="auto"/>
            <w:noWrap/>
            <w:vAlign w:val="center"/>
            <w:hideMark/>
          </w:tcPr>
          <w:p w14:paraId="072DFFAF"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0.476</w:t>
            </w:r>
          </w:p>
        </w:tc>
        <w:tc>
          <w:tcPr>
            <w:tcW w:w="0" w:type="auto"/>
            <w:gridSpan w:val="3"/>
            <w:tcBorders>
              <w:top w:val="nil"/>
              <w:left w:val="nil"/>
              <w:bottom w:val="nil"/>
              <w:right w:val="nil"/>
            </w:tcBorders>
            <w:shd w:val="clear" w:color="auto" w:fill="auto"/>
            <w:noWrap/>
            <w:vAlign w:val="center"/>
            <w:hideMark/>
          </w:tcPr>
          <w:p w14:paraId="0AB68843"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0.4753</w:t>
            </w:r>
          </w:p>
        </w:tc>
        <w:tc>
          <w:tcPr>
            <w:tcW w:w="0" w:type="auto"/>
            <w:gridSpan w:val="3"/>
            <w:tcBorders>
              <w:top w:val="nil"/>
              <w:left w:val="nil"/>
              <w:bottom w:val="nil"/>
              <w:right w:val="nil"/>
            </w:tcBorders>
            <w:shd w:val="clear" w:color="auto" w:fill="auto"/>
            <w:noWrap/>
            <w:vAlign w:val="center"/>
            <w:hideMark/>
          </w:tcPr>
          <w:p w14:paraId="179621D9"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0.491</w:t>
            </w:r>
          </w:p>
        </w:tc>
      </w:tr>
      <w:tr w:rsidR="00991E14" w:rsidRPr="00991E14" w14:paraId="2E7FC179" w14:textId="77777777" w:rsidTr="00F30B53">
        <w:trPr>
          <w:trHeight w:val="225"/>
        </w:trPr>
        <w:tc>
          <w:tcPr>
            <w:tcW w:w="0" w:type="auto"/>
            <w:tcBorders>
              <w:top w:val="nil"/>
              <w:left w:val="nil"/>
              <w:bottom w:val="nil"/>
              <w:right w:val="nil"/>
            </w:tcBorders>
            <w:shd w:val="clear" w:color="auto" w:fill="auto"/>
            <w:noWrap/>
            <w:vAlign w:val="bottom"/>
            <w:hideMark/>
          </w:tcPr>
          <w:p w14:paraId="2BFE9EC5" w14:textId="77777777" w:rsidR="00991E14" w:rsidRPr="00991E14" w:rsidRDefault="00991E14" w:rsidP="00991E14">
            <w:pPr>
              <w:spacing w:line="240" w:lineRule="auto"/>
              <w:ind w:firstLineChars="200" w:firstLine="320"/>
              <w:rPr>
                <w:rFonts w:eastAsia="Times New Roman" w:cs="Times New Roman"/>
                <w:color w:val="000000"/>
                <w:sz w:val="16"/>
                <w:szCs w:val="16"/>
                <w:lang w:val="nl-NL" w:eastAsia="zh-CN"/>
              </w:rPr>
            </w:pPr>
            <w:r w:rsidRPr="00991E14">
              <w:rPr>
                <w:rFonts w:eastAsia="Times New Roman" w:cs="Times New Roman"/>
                <w:i/>
                <w:iCs/>
                <w:color w:val="000000"/>
                <w:sz w:val="16"/>
                <w:szCs w:val="16"/>
                <w:lang w:val="nl-NL" w:eastAsia="zh-CN"/>
              </w:rPr>
              <w:t>I</w:t>
            </w:r>
            <w:r w:rsidRPr="00991E14">
              <w:rPr>
                <w:rFonts w:eastAsia="Times New Roman" w:cs="Times New Roman"/>
                <w:i/>
                <w:iCs/>
                <w:color w:val="000000"/>
                <w:sz w:val="16"/>
                <w:szCs w:val="16"/>
                <w:vertAlign w:val="superscript"/>
                <w:lang w:val="nl-NL" w:eastAsia="zh-CN"/>
              </w:rPr>
              <w:t>2</w:t>
            </w:r>
            <w:r w:rsidRPr="00991E14">
              <w:rPr>
                <w:rFonts w:eastAsia="Times New Roman" w:cs="Times New Roman"/>
                <w:color w:val="000000"/>
                <w:sz w:val="16"/>
                <w:szCs w:val="16"/>
                <w:lang w:val="nl-NL" w:eastAsia="zh-CN"/>
              </w:rPr>
              <w:t xml:space="preserve">: </w:t>
            </w:r>
            <w:proofErr w:type="spellStart"/>
            <w:r w:rsidRPr="00991E14">
              <w:rPr>
                <w:rFonts w:eastAsia="Times New Roman" w:cs="Times New Roman"/>
                <w:color w:val="000000"/>
                <w:sz w:val="16"/>
                <w:szCs w:val="16"/>
                <w:lang w:val="nl-NL" w:eastAsia="zh-CN"/>
              </w:rPr>
              <w:t>between-study</w:t>
            </w:r>
            <w:proofErr w:type="spellEnd"/>
            <w:r w:rsidRPr="00991E14">
              <w:rPr>
                <w:rFonts w:eastAsia="Times New Roman" w:cs="Times New Roman"/>
                <w:color w:val="000000"/>
                <w:sz w:val="16"/>
                <w:szCs w:val="16"/>
                <w:lang w:val="nl-NL" w:eastAsia="zh-CN"/>
              </w:rPr>
              <w:t xml:space="preserve"> level (%)</w:t>
            </w:r>
          </w:p>
        </w:tc>
        <w:tc>
          <w:tcPr>
            <w:tcW w:w="0" w:type="auto"/>
            <w:gridSpan w:val="3"/>
            <w:tcBorders>
              <w:top w:val="nil"/>
              <w:left w:val="nil"/>
              <w:bottom w:val="nil"/>
              <w:right w:val="nil"/>
            </w:tcBorders>
            <w:shd w:val="clear" w:color="auto" w:fill="auto"/>
            <w:noWrap/>
            <w:vAlign w:val="center"/>
            <w:hideMark/>
          </w:tcPr>
          <w:p w14:paraId="621DA5EF"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48.62</w:t>
            </w:r>
          </w:p>
        </w:tc>
        <w:tc>
          <w:tcPr>
            <w:tcW w:w="0" w:type="auto"/>
            <w:gridSpan w:val="3"/>
            <w:tcBorders>
              <w:top w:val="nil"/>
              <w:left w:val="nil"/>
              <w:bottom w:val="nil"/>
              <w:right w:val="nil"/>
            </w:tcBorders>
            <w:shd w:val="clear" w:color="auto" w:fill="auto"/>
            <w:noWrap/>
            <w:vAlign w:val="center"/>
            <w:hideMark/>
          </w:tcPr>
          <w:p w14:paraId="2673AEC6"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45.94</w:t>
            </w:r>
          </w:p>
        </w:tc>
        <w:tc>
          <w:tcPr>
            <w:tcW w:w="0" w:type="auto"/>
            <w:gridSpan w:val="3"/>
            <w:tcBorders>
              <w:top w:val="nil"/>
              <w:left w:val="nil"/>
              <w:bottom w:val="nil"/>
              <w:right w:val="nil"/>
            </w:tcBorders>
            <w:shd w:val="clear" w:color="auto" w:fill="auto"/>
            <w:noWrap/>
            <w:vAlign w:val="center"/>
            <w:hideMark/>
          </w:tcPr>
          <w:p w14:paraId="3F049974"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45.43</w:t>
            </w:r>
          </w:p>
        </w:tc>
      </w:tr>
      <w:tr w:rsidR="00991E14" w:rsidRPr="00991E14" w14:paraId="5E9F7BAC" w14:textId="77777777" w:rsidTr="00F30B53">
        <w:trPr>
          <w:trHeight w:val="225"/>
        </w:trPr>
        <w:tc>
          <w:tcPr>
            <w:tcW w:w="0" w:type="auto"/>
            <w:tcBorders>
              <w:top w:val="nil"/>
              <w:left w:val="nil"/>
              <w:bottom w:val="nil"/>
              <w:right w:val="nil"/>
            </w:tcBorders>
            <w:shd w:val="clear" w:color="auto" w:fill="auto"/>
            <w:noWrap/>
            <w:vAlign w:val="bottom"/>
            <w:hideMark/>
          </w:tcPr>
          <w:p w14:paraId="762DF99F" w14:textId="77777777" w:rsidR="00991E14" w:rsidRPr="00991E14" w:rsidRDefault="00991E14" w:rsidP="00991E14">
            <w:pPr>
              <w:spacing w:line="240" w:lineRule="auto"/>
              <w:ind w:firstLineChars="200" w:firstLine="320"/>
              <w:rPr>
                <w:rFonts w:eastAsia="Times New Roman" w:cs="Times New Roman"/>
                <w:color w:val="000000"/>
                <w:sz w:val="16"/>
                <w:szCs w:val="16"/>
                <w:lang w:val="nl-NL" w:eastAsia="zh-CN"/>
              </w:rPr>
            </w:pPr>
            <w:r w:rsidRPr="00991E14">
              <w:rPr>
                <w:rFonts w:eastAsia="Times New Roman" w:cs="Times New Roman"/>
                <w:i/>
                <w:iCs/>
                <w:color w:val="000000"/>
                <w:sz w:val="16"/>
                <w:szCs w:val="16"/>
                <w:lang w:val="nl-NL" w:eastAsia="zh-CN"/>
              </w:rPr>
              <w:t>I</w:t>
            </w:r>
            <w:r w:rsidRPr="00991E14">
              <w:rPr>
                <w:rFonts w:eastAsia="Times New Roman" w:cs="Times New Roman"/>
                <w:i/>
                <w:iCs/>
                <w:color w:val="000000"/>
                <w:sz w:val="16"/>
                <w:szCs w:val="16"/>
                <w:vertAlign w:val="superscript"/>
                <w:lang w:val="nl-NL" w:eastAsia="zh-CN"/>
              </w:rPr>
              <w:t>2</w:t>
            </w:r>
            <w:r w:rsidRPr="00991E14">
              <w:rPr>
                <w:rFonts w:eastAsia="Times New Roman" w:cs="Times New Roman"/>
                <w:color w:val="000000"/>
                <w:sz w:val="16"/>
                <w:szCs w:val="16"/>
                <w:lang w:val="nl-NL" w:eastAsia="zh-CN"/>
              </w:rPr>
              <w:t xml:space="preserve">: </w:t>
            </w:r>
            <w:proofErr w:type="spellStart"/>
            <w:r w:rsidRPr="00991E14">
              <w:rPr>
                <w:rFonts w:eastAsia="Times New Roman" w:cs="Times New Roman"/>
                <w:color w:val="000000"/>
                <w:sz w:val="16"/>
                <w:szCs w:val="16"/>
                <w:lang w:val="nl-NL" w:eastAsia="zh-CN"/>
              </w:rPr>
              <w:t>within-study</w:t>
            </w:r>
            <w:proofErr w:type="spellEnd"/>
            <w:r w:rsidRPr="00991E14">
              <w:rPr>
                <w:rFonts w:eastAsia="Times New Roman" w:cs="Times New Roman"/>
                <w:color w:val="000000"/>
                <w:sz w:val="16"/>
                <w:szCs w:val="16"/>
                <w:lang w:val="nl-NL" w:eastAsia="zh-CN"/>
              </w:rPr>
              <w:t xml:space="preserve"> level (%)</w:t>
            </w:r>
          </w:p>
        </w:tc>
        <w:tc>
          <w:tcPr>
            <w:tcW w:w="0" w:type="auto"/>
            <w:gridSpan w:val="3"/>
            <w:tcBorders>
              <w:top w:val="nil"/>
              <w:left w:val="nil"/>
              <w:bottom w:val="nil"/>
              <w:right w:val="nil"/>
            </w:tcBorders>
            <w:shd w:val="clear" w:color="auto" w:fill="auto"/>
            <w:noWrap/>
            <w:vAlign w:val="center"/>
            <w:hideMark/>
          </w:tcPr>
          <w:p w14:paraId="5CCE5194"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48.88</w:t>
            </w:r>
          </w:p>
        </w:tc>
        <w:tc>
          <w:tcPr>
            <w:tcW w:w="0" w:type="auto"/>
            <w:gridSpan w:val="3"/>
            <w:tcBorders>
              <w:top w:val="nil"/>
              <w:left w:val="nil"/>
              <w:bottom w:val="nil"/>
              <w:right w:val="nil"/>
            </w:tcBorders>
            <w:shd w:val="clear" w:color="auto" w:fill="auto"/>
            <w:noWrap/>
            <w:vAlign w:val="center"/>
            <w:hideMark/>
          </w:tcPr>
          <w:p w14:paraId="721C8EAD"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51.57</w:t>
            </w:r>
          </w:p>
        </w:tc>
        <w:tc>
          <w:tcPr>
            <w:tcW w:w="0" w:type="auto"/>
            <w:gridSpan w:val="3"/>
            <w:tcBorders>
              <w:top w:val="nil"/>
              <w:left w:val="nil"/>
              <w:bottom w:val="nil"/>
              <w:right w:val="nil"/>
            </w:tcBorders>
            <w:shd w:val="clear" w:color="auto" w:fill="auto"/>
            <w:noWrap/>
            <w:vAlign w:val="center"/>
            <w:hideMark/>
          </w:tcPr>
          <w:p w14:paraId="4C9A82F9" w14:textId="77777777"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52.15</w:t>
            </w:r>
          </w:p>
        </w:tc>
      </w:tr>
      <w:tr w:rsidR="00991E14" w:rsidRPr="00991E14" w14:paraId="38DD2A40" w14:textId="77777777" w:rsidTr="00F30B53">
        <w:trPr>
          <w:trHeight w:val="225"/>
        </w:trPr>
        <w:tc>
          <w:tcPr>
            <w:tcW w:w="0" w:type="auto"/>
            <w:tcBorders>
              <w:top w:val="nil"/>
              <w:left w:val="nil"/>
              <w:bottom w:val="single" w:sz="4" w:space="0" w:color="auto"/>
              <w:right w:val="nil"/>
            </w:tcBorders>
            <w:shd w:val="clear" w:color="auto" w:fill="auto"/>
            <w:noWrap/>
            <w:vAlign w:val="bottom"/>
            <w:hideMark/>
          </w:tcPr>
          <w:p w14:paraId="275860EF" w14:textId="1FE6F5EE" w:rsidR="00991E14" w:rsidRPr="00991E14" w:rsidRDefault="00991E14" w:rsidP="00991E14">
            <w:pPr>
              <w:spacing w:line="240" w:lineRule="auto"/>
              <w:ind w:firstLineChars="200" w:firstLine="320"/>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 xml:space="preserve">Δ </w:t>
            </w:r>
            <w:r w:rsidRPr="00991E14">
              <w:rPr>
                <w:rFonts w:eastAsia="Times New Roman" w:cs="Times New Roman"/>
                <w:i/>
                <w:iCs/>
                <w:color w:val="000000"/>
                <w:sz w:val="16"/>
                <w:szCs w:val="16"/>
                <w:lang w:val="nl-NL" w:eastAsia="zh-CN"/>
              </w:rPr>
              <w:t>R</w:t>
            </w:r>
            <w:r w:rsidRPr="00991E14">
              <w:rPr>
                <w:rFonts w:eastAsia="Times New Roman" w:cs="Times New Roman"/>
                <w:i/>
                <w:iCs/>
                <w:color w:val="000000"/>
                <w:sz w:val="16"/>
                <w:szCs w:val="16"/>
                <w:vertAlign w:val="superscript"/>
                <w:lang w:val="nl-NL" w:eastAsia="zh-CN"/>
              </w:rPr>
              <w:t>2</w:t>
            </w:r>
          </w:p>
        </w:tc>
        <w:tc>
          <w:tcPr>
            <w:tcW w:w="0" w:type="auto"/>
            <w:gridSpan w:val="3"/>
            <w:tcBorders>
              <w:top w:val="nil"/>
              <w:left w:val="nil"/>
              <w:bottom w:val="single" w:sz="4" w:space="0" w:color="auto"/>
              <w:right w:val="nil"/>
            </w:tcBorders>
            <w:shd w:val="clear" w:color="auto" w:fill="auto"/>
            <w:noWrap/>
            <w:vAlign w:val="center"/>
            <w:hideMark/>
          </w:tcPr>
          <w:p w14:paraId="048B7670" w14:textId="0E0F8BC3"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.0343</w:t>
            </w:r>
          </w:p>
        </w:tc>
        <w:tc>
          <w:tcPr>
            <w:tcW w:w="0" w:type="auto"/>
            <w:gridSpan w:val="3"/>
            <w:tcBorders>
              <w:top w:val="nil"/>
              <w:left w:val="nil"/>
              <w:bottom w:val="single" w:sz="4" w:space="0" w:color="auto"/>
              <w:right w:val="nil"/>
            </w:tcBorders>
            <w:shd w:val="clear" w:color="auto" w:fill="auto"/>
            <w:noWrap/>
            <w:vAlign w:val="center"/>
            <w:hideMark/>
          </w:tcPr>
          <w:p w14:paraId="754B5058" w14:textId="057160C1"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.0357</w:t>
            </w:r>
          </w:p>
        </w:tc>
        <w:tc>
          <w:tcPr>
            <w:tcW w:w="0" w:type="auto"/>
            <w:gridSpan w:val="3"/>
            <w:tcBorders>
              <w:top w:val="nil"/>
              <w:left w:val="nil"/>
              <w:bottom w:val="single" w:sz="4" w:space="0" w:color="auto"/>
              <w:right w:val="nil"/>
            </w:tcBorders>
            <w:shd w:val="clear" w:color="auto" w:fill="auto"/>
            <w:noWrap/>
            <w:vAlign w:val="center"/>
            <w:hideMark/>
          </w:tcPr>
          <w:p w14:paraId="65563FDF" w14:textId="69998655" w:rsidR="00991E14" w:rsidRPr="00991E14" w:rsidRDefault="00991E14" w:rsidP="00991E14">
            <w:pPr>
              <w:spacing w:line="240" w:lineRule="auto"/>
              <w:jc w:val="center"/>
              <w:rPr>
                <w:rFonts w:eastAsia="Times New Roman" w:cs="Times New Roman"/>
                <w:color w:val="000000"/>
                <w:sz w:val="16"/>
                <w:szCs w:val="16"/>
                <w:lang w:val="nl-NL" w:eastAsia="zh-CN"/>
              </w:rPr>
            </w:pPr>
            <w:r w:rsidRPr="00991E14">
              <w:rPr>
                <w:rFonts w:eastAsia="Times New Roman" w:cs="Times New Roman"/>
                <w:color w:val="000000"/>
                <w:sz w:val="16"/>
                <w:szCs w:val="16"/>
                <w:lang w:val="nl-NL" w:eastAsia="zh-CN"/>
              </w:rPr>
              <w:t>.0039</w:t>
            </w:r>
          </w:p>
        </w:tc>
      </w:tr>
    </w:tbl>
    <w:p w14:paraId="61BA51C8" w14:textId="6F161381" w:rsidR="00F011ED" w:rsidRDefault="00F011ED" w:rsidP="00CD0784">
      <w:pPr>
        <w:spacing w:line="240" w:lineRule="auto"/>
      </w:pPr>
      <w:r w:rsidRPr="0074411C">
        <w:rPr>
          <w:i/>
        </w:rPr>
        <w:t>Note.</w:t>
      </w:r>
      <w:r>
        <w:t xml:space="preserve"> K index, age, gender and year of data collection are continuous variables, others are dummy variables. The </w:t>
      </w:r>
      <w:r w:rsidR="004B190E">
        <w:t xml:space="preserve">reference </w:t>
      </w:r>
      <w:r>
        <w:t xml:space="preserve">group for </w:t>
      </w:r>
      <w:r w:rsidR="008E740D">
        <w:t>p</w:t>
      </w:r>
      <w:r w:rsidR="008E740D" w:rsidRPr="008E740D">
        <w:t>ublication status</w:t>
      </w:r>
      <w:r>
        <w:t xml:space="preserve">, sanction, </w:t>
      </w:r>
      <w:r w:rsidR="00E12E47">
        <w:t>c</w:t>
      </w:r>
      <w:r w:rsidR="00E12E47" w:rsidRPr="00E12E47">
        <w:t>ommunication</w:t>
      </w:r>
      <w:r>
        <w:t xml:space="preserve"> and deception was </w:t>
      </w:r>
      <w:r w:rsidR="003A4B6C">
        <w:t>“n</w:t>
      </w:r>
      <w:r>
        <w:t>o</w:t>
      </w:r>
      <w:r w:rsidR="003A4B6C">
        <w:t>”</w:t>
      </w:r>
      <w:r>
        <w:t xml:space="preserve">, for choice type was </w:t>
      </w:r>
      <w:r w:rsidR="003A4B6C">
        <w:t>“dichotomous”</w:t>
      </w:r>
      <w:r>
        <w:t xml:space="preserve">, for experimental setting was </w:t>
      </w:r>
      <w:r w:rsidR="003A4B6C">
        <w:t>“lab”</w:t>
      </w:r>
      <w:r>
        <w:t xml:space="preserve">, for trial of cooperation was </w:t>
      </w:r>
      <w:r w:rsidR="003A4B6C">
        <w:t>“all”</w:t>
      </w:r>
      <w:r>
        <w:t xml:space="preserve">, for discipline was </w:t>
      </w:r>
      <w:r w:rsidR="003A4B6C">
        <w:t>“economics”</w:t>
      </w:r>
      <w:r>
        <w:t>.</w:t>
      </w:r>
      <w:r w:rsidR="006E7831">
        <w:t xml:space="preserve"> In model 2d-2f</w:t>
      </w:r>
      <w:r w:rsidR="006E7831" w:rsidRPr="006E7831">
        <w:t xml:space="preserve">, Δ </w:t>
      </w:r>
      <w:r w:rsidR="006E7831" w:rsidRPr="006E7831">
        <w:rPr>
          <w:i/>
        </w:rPr>
        <w:t>R</w:t>
      </w:r>
      <w:r w:rsidR="006E7831" w:rsidRPr="006E7831">
        <w:rPr>
          <w:i/>
          <w:vertAlign w:val="superscript"/>
        </w:rPr>
        <w:t>2</w:t>
      </w:r>
      <w:r w:rsidR="006E7831" w:rsidRPr="006E7831">
        <w:t xml:space="preserve"> refers to the percent </w:t>
      </w:r>
      <w:r w:rsidR="006E7831">
        <w:t xml:space="preserve">of variance explained by sanction, </w:t>
      </w:r>
      <w:r w:rsidR="00E12E47">
        <w:t>c</w:t>
      </w:r>
      <w:r w:rsidR="00E12E47" w:rsidRPr="00E12E47">
        <w:t>ommunication</w:t>
      </w:r>
      <w:r w:rsidR="006E7831">
        <w:t xml:space="preserve"> and deception, </w:t>
      </w:r>
      <w:r w:rsidR="006E7831">
        <w:rPr>
          <w:lang w:eastAsia="zh-CN"/>
        </w:rPr>
        <w:t>respectively,</w:t>
      </w:r>
      <w:r w:rsidR="006E7831" w:rsidRPr="006E7831">
        <w:t xml:space="preserve"> while c</w:t>
      </w:r>
      <w:r w:rsidR="006E7831">
        <w:t>ontrolling for variables including</w:t>
      </w:r>
      <w:r w:rsidR="006E7831" w:rsidRPr="006E7831">
        <w:t xml:space="preserve"> paper meta-data, methodological variables, and sample variables.</w:t>
      </w:r>
    </w:p>
    <w:p w14:paraId="52980B6B" w14:textId="64CD92FC" w:rsidR="000A3231" w:rsidRDefault="00F011ED" w:rsidP="00CD0784">
      <w:pPr>
        <w:spacing w:line="240" w:lineRule="auto"/>
      </w:pPr>
      <w:r>
        <w:t xml:space="preserve">* </w:t>
      </w:r>
      <w:r w:rsidRPr="00650334">
        <w:rPr>
          <w:i/>
        </w:rPr>
        <w:t>p</w:t>
      </w:r>
      <w:r>
        <w:t xml:space="preserve"> &lt; .05</w:t>
      </w:r>
      <w:r w:rsidR="000A3231">
        <w:br w:type="page"/>
      </w:r>
    </w:p>
    <w:p w14:paraId="2BB5289A" w14:textId="1404BD8B" w:rsidR="000A3231" w:rsidRPr="005D361B" w:rsidRDefault="00156901" w:rsidP="000A3231">
      <w:pPr>
        <w:pStyle w:val="Heading2"/>
      </w:pPr>
      <w:bookmarkStart w:id="27" w:name="_Toc169458484"/>
      <w:r>
        <w:rPr>
          <w:rFonts w:hint="eastAsia"/>
          <w:lang w:eastAsia="zh-CN"/>
        </w:rPr>
        <w:lastRenderedPageBreak/>
        <w:t>8</w:t>
      </w:r>
      <w:r w:rsidR="000A3231">
        <w:t>.</w:t>
      </w:r>
      <w:r w:rsidR="00D14C1C">
        <w:t>4</w:t>
      </w:r>
      <w:r w:rsidR="000A3231">
        <w:t xml:space="preserve"> </w:t>
      </w:r>
      <w:r w:rsidR="000A3231" w:rsidRPr="00FE3401">
        <w:t xml:space="preserve">Additional </w:t>
      </w:r>
      <w:r w:rsidR="000A3231">
        <w:t>A</w:t>
      </w:r>
      <w:r w:rsidR="000A3231" w:rsidRPr="00FE3401">
        <w:t>nalyses</w:t>
      </w:r>
      <w:bookmarkEnd w:id="27"/>
    </w:p>
    <w:p w14:paraId="63641AA1" w14:textId="621D6AA9" w:rsidR="0030334F" w:rsidRPr="0030334F" w:rsidRDefault="00C12950" w:rsidP="0030334F">
      <w:pPr>
        <w:ind w:firstLine="709"/>
        <w:rPr>
          <w:rFonts w:eastAsiaTheme="minorEastAsia" w:cs="Times New Roman"/>
          <w:bCs/>
          <w:szCs w:val="22"/>
          <w:lang w:eastAsia="zh-CN"/>
        </w:rPr>
      </w:pPr>
      <w:r>
        <w:rPr>
          <w:rFonts w:eastAsiaTheme="minorEastAsia" w:cs="Times New Roman"/>
          <w:bCs/>
          <w:szCs w:val="22"/>
          <w:lang w:eastAsia="zh-CN"/>
        </w:rPr>
        <w:t>In Study 1, w</w:t>
      </w:r>
      <w:r w:rsidR="0036192B" w:rsidRPr="0036192B">
        <w:rPr>
          <w:rFonts w:eastAsiaTheme="minorEastAsia" w:cs="Times New Roman"/>
          <w:bCs/>
          <w:szCs w:val="22"/>
          <w:lang w:eastAsia="zh-CN"/>
        </w:rPr>
        <w:t xml:space="preserve">e performed some additional analyses </w:t>
      </w:r>
      <w:r w:rsidR="0036192B">
        <w:rPr>
          <w:rFonts w:eastAsiaTheme="minorEastAsia" w:cs="Times New Roman"/>
          <w:bCs/>
          <w:szCs w:val="22"/>
          <w:lang w:eastAsia="zh-CN"/>
        </w:rPr>
        <w:t xml:space="preserve">to answer questions about the influence of structural and sample variables on cooperation. </w:t>
      </w:r>
      <w:r w:rsidR="0036192B" w:rsidRPr="0036192B">
        <w:rPr>
          <w:rFonts w:eastAsiaTheme="minorEastAsia" w:cs="Times New Roman"/>
          <w:bCs/>
          <w:szCs w:val="22"/>
          <w:lang w:eastAsia="zh-CN"/>
        </w:rPr>
        <w:t xml:space="preserve">First, we </w:t>
      </w:r>
      <w:r w:rsidR="0036192B">
        <w:rPr>
          <w:rFonts w:eastAsiaTheme="minorEastAsia" w:cs="Times New Roman"/>
          <w:bCs/>
          <w:szCs w:val="22"/>
          <w:lang w:eastAsia="zh-CN"/>
        </w:rPr>
        <w:t xml:space="preserve">test the pre-registered hypothesis about the </w:t>
      </w:r>
      <w:r w:rsidR="0036192B" w:rsidRPr="0036192B">
        <w:rPr>
          <w:rFonts w:eastAsiaTheme="minorEastAsia" w:cs="Times New Roman"/>
          <w:iCs/>
          <w:szCs w:val="22"/>
          <w:lang w:eastAsia="zh-CN"/>
        </w:rPr>
        <w:t>knowledge of the end game</w:t>
      </w:r>
      <w:r w:rsidR="0036192B">
        <w:rPr>
          <w:rFonts w:eastAsiaTheme="minorEastAsia" w:cs="Times New Roman"/>
          <w:iCs/>
          <w:szCs w:val="22"/>
          <w:lang w:eastAsia="zh-CN"/>
        </w:rPr>
        <w:t xml:space="preserve">. </w:t>
      </w:r>
      <w:r w:rsidR="0030334F">
        <w:rPr>
          <w:rFonts w:eastAsiaTheme="minorEastAsia" w:cs="Times New Roman"/>
          <w:iCs/>
          <w:szCs w:val="22"/>
          <w:lang w:eastAsia="zh-CN"/>
        </w:rPr>
        <w:t xml:space="preserve">Second, </w:t>
      </w:r>
      <w:bookmarkStart w:id="28" w:name="_Hlk134381498"/>
      <w:r w:rsidR="0030334F">
        <w:rPr>
          <w:rFonts w:eastAsiaTheme="minorEastAsia" w:cs="Times New Roman"/>
          <w:iCs/>
          <w:szCs w:val="22"/>
          <w:lang w:eastAsia="zh-CN"/>
        </w:rPr>
        <w:t xml:space="preserve">we </w:t>
      </w:r>
      <w:r w:rsidR="0030334F" w:rsidRPr="0036192B">
        <w:rPr>
          <w:rFonts w:eastAsiaTheme="minorEastAsia" w:cs="Times New Roman"/>
          <w:bCs/>
          <w:szCs w:val="22"/>
          <w:lang w:eastAsia="zh-CN"/>
        </w:rPr>
        <w:t>test the hypothesis that conflicting interests will reduce cooperation by using another operationalization of the degree of conflict</w:t>
      </w:r>
      <w:r w:rsidR="00BC01AF">
        <w:rPr>
          <w:rFonts w:eastAsiaTheme="minorEastAsia" w:cs="Times New Roman"/>
          <w:bCs/>
          <w:szCs w:val="22"/>
          <w:lang w:eastAsia="zh-CN"/>
        </w:rPr>
        <w:t>ing interests</w:t>
      </w:r>
      <w:r w:rsidR="0030334F" w:rsidRPr="0036192B">
        <w:rPr>
          <w:rFonts w:eastAsiaTheme="minorEastAsia" w:cs="Times New Roman"/>
          <w:bCs/>
          <w:szCs w:val="22"/>
          <w:lang w:eastAsia="zh-CN"/>
        </w:rPr>
        <w:t xml:space="preserve"> (i.e., step-level PGD versus continuous PGD)</w:t>
      </w:r>
      <w:bookmarkEnd w:id="28"/>
      <w:r w:rsidR="0030334F" w:rsidRPr="0036192B">
        <w:rPr>
          <w:rFonts w:eastAsiaTheme="minorEastAsia" w:cs="Times New Roman"/>
          <w:bCs/>
          <w:szCs w:val="22"/>
          <w:lang w:eastAsia="zh-CN"/>
        </w:rPr>
        <w:t>.</w:t>
      </w:r>
      <w:r w:rsidR="0030334F" w:rsidRPr="0030334F">
        <w:rPr>
          <w:rFonts w:eastAsiaTheme="minorEastAsia" w:cs="Times New Roman"/>
          <w:bCs/>
          <w:szCs w:val="22"/>
          <w:lang w:eastAsia="zh-CN"/>
        </w:rPr>
        <w:t xml:space="preserve"> </w:t>
      </w:r>
      <w:r w:rsidR="00BC01AF">
        <w:rPr>
          <w:rFonts w:eastAsiaTheme="minorEastAsia" w:cs="Times New Roman"/>
          <w:bCs/>
          <w:szCs w:val="22"/>
          <w:lang w:eastAsia="zh-CN"/>
        </w:rPr>
        <w:t>Third</w:t>
      </w:r>
      <w:r w:rsidR="0030334F" w:rsidRPr="0036192B">
        <w:rPr>
          <w:rFonts w:eastAsiaTheme="minorEastAsia" w:cs="Times New Roman"/>
          <w:bCs/>
          <w:szCs w:val="22"/>
          <w:lang w:eastAsia="zh-CN"/>
        </w:rPr>
        <w:t>, we consider whether the level of cooperation was different between student and non-student samples.</w:t>
      </w:r>
      <w:r w:rsidR="00BC01AF">
        <w:rPr>
          <w:rFonts w:eastAsiaTheme="minorEastAsia" w:cs="Times New Roman"/>
          <w:bCs/>
          <w:szCs w:val="22"/>
          <w:lang w:eastAsia="zh-CN"/>
        </w:rPr>
        <w:t xml:space="preserve"> Forth, we use MPCR as an operationalization of the degree of conflicting interests and include the interaction between MPCR and group size while testing the hypotheses. Finally, we conducted a replication analysis to test the hypotheses on interactions with real partners only. </w:t>
      </w:r>
    </w:p>
    <w:p w14:paraId="18FF75F8" w14:textId="7CA4CA76" w:rsidR="00C35C4A" w:rsidRDefault="0030334F" w:rsidP="00C35C4A">
      <w:pPr>
        <w:ind w:firstLine="709"/>
        <w:rPr>
          <w:rFonts w:eastAsiaTheme="minorEastAsia" w:cs="Times New Roman"/>
          <w:bCs/>
          <w:szCs w:val="22"/>
          <w:lang w:eastAsia="zh-CN"/>
        </w:rPr>
      </w:pPr>
      <w:r w:rsidRPr="0030334F">
        <w:rPr>
          <w:rFonts w:eastAsiaTheme="minorEastAsia" w:cs="Times New Roman"/>
          <w:b/>
          <w:szCs w:val="22"/>
          <w:lang w:eastAsia="zh-CN"/>
        </w:rPr>
        <w:t>Knowledge of the End Game.</w:t>
      </w:r>
      <w:r>
        <w:rPr>
          <w:rFonts w:eastAsiaTheme="minorEastAsia" w:cs="Times New Roman"/>
          <w:bCs/>
          <w:szCs w:val="22"/>
          <w:lang w:eastAsia="zh-CN"/>
        </w:rPr>
        <w:t xml:space="preserve"> </w:t>
      </w:r>
      <w:r w:rsidR="00E46714" w:rsidRPr="0036192B">
        <w:rPr>
          <w:rFonts w:eastAsiaTheme="minorEastAsia" w:cs="Times New Roman"/>
          <w:bCs/>
          <w:szCs w:val="22"/>
          <w:lang w:eastAsia="zh-CN"/>
        </w:rPr>
        <w:t xml:space="preserve">Researchers have implemented different rules in experimental games that provides this knowledge (or not) to participants. Specifically, in one-shot games, individuals always know that they play with a partner only once. However, when participants play a repeated trial social dilemma, then the total number of rounds can be either known or unknown to the players. </w:t>
      </w:r>
      <w:r w:rsidR="00C35C4A" w:rsidRPr="00C35C4A">
        <w:rPr>
          <w:rFonts w:eastAsiaTheme="minorEastAsia" w:cs="Times New Roman"/>
          <w:bCs/>
          <w:szCs w:val="22"/>
          <w:lang w:eastAsia="zh-CN"/>
        </w:rPr>
        <w:t xml:space="preserve">In finitely repeated interactions, cooperation may decline toward the end of the game due to individual’s backwards induction, that is, expectation about others’ defection in later rounds of the game. </w:t>
      </w:r>
      <w:r w:rsidR="00E13F77" w:rsidRPr="0036192B">
        <w:rPr>
          <w:rFonts w:eastAsiaTheme="minorEastAsia" w:cs="Times New Roman"/>
          <w:bCs/>
          <w:szCs w:val="22"/>
          <w:lang w:eastAsia="zh-CN"/>
        </w:rPr>
        <w:t xml:space="preserve">When individuals have no prior knowledge of the end game, they may expect the continued playing of the game and make cooperative decisions in later rounds as well, which would result in greater cooperation overall </w:t>
      </w:r>
      <w:r w:rsidR="00E13F77" w:rsidRPr="000E24A7">
        <w:rPr>
          <w:rFonts w:cs="Times New Roman"/>
        </w:rPr>
        <w:t>(Normann &amp; Wallace, 2012)</w:t>
      </w:r>
      <w:r w:rsidR="00E13F77" w:rsidRPr="0036192B">
        <w:rPr>
          <w:rFonts w:eastAsiaTheme="minorEastAsia" w:cs="Times New Roman"/>
          <w:bCs/>
          <w:szCs w:val="22"/>
          <w:lang w:eastAsia="zh-CN"/>
        </w:rPr>
        <w:t xml:space="preserve">. </w:t>
      </w:r>
      <w:r w:rsidR="00C35C4A">
        <w:rPr>
          <w:rFonts w:eastAsiaTheme="minorEastAsia" w:cs="Times New Roman"/>
          <w:bCs/>
          <w:szCs w:val="22"/>
          <w:lang w:eastAsia="zh-CN"/>
        </w:rPr>
        <w:t>Thus, w</w:t>
      </w:r>
      <w:r w:rsidR="00E13F77" w:rsidRPr="0036192B">
        <w:rPr>
          <w:rFonts w:eastAsiaTheme="minorEastAsia" w:cs="Times New Roman"/>
          <w:bCs/>
          <w:szCs w:val="22"/>
          <w:lang w:eastAsia="zh-CN"/>
        </w:rPr>
        <w:t>e predict that people would display more cooperation when they do not know the number of trials of a social dilemma, compared to when they know when the interaction ends</w:t>
      </w:r>
      <w:r w:rsidR="00A87C5F">
        <w:rPr>
          <w:rFonts w:eastAsiaTheme="minorEastAsia" w:cs="Times New Roman"/>
          <w:bCs/>
          <w:szCs w:val="22"/>
          <w:lang w:eastAsia="zh-CN"/>
        </w:rPr>
        <w:t xml:space="preserve"> </w:t>
      </w:r>
      <w:r w:rsidR="00A87C5F" w:rsidRPr="008B7005">
        <w:rPr>
          <w:rFonts w:eastAsia="Times New Roman" w:cs="Times New Roman"/>
          <w:bCs/>
          <w:color w:val="000000"/>
        </w:rPr>
        <w:t>(</w:t>
      </w:r>
      <w:r w:rsidR="00A87C5F" w:rsidRPr="008B7005">
        <w:rPr>
          <w:rFonts w:eastAsia="Times New Roman" w:cs="Times New Roman"/>
          <w:bCs/>
          <w:i/>
          <w:iCs/>
          <w:color w:val="000000"/>
        </w:rPr>
        <w:t>Hypothesis 1</w:t>
      </w:r>
      <w:r w:rsidR="00A87C5F">
        <w:rPr>
          <w:rFonts w:eastAsia="Times New Roman" w:cs="Times New Roman"/>
          <w:bCs/>
          <w:i/>
          <w:iCs/>
          <w:color w:val="000000"/>
        </w:rPr>
        <w:t>2</w:t>
      </w:r>
      <w:r w:rsidR="00A87C5F" w:rsidRPr="008B7005">
        <w:rPr>
          <w:rFonts w:eastAsia="Times New Roman" w:cs="Times New Roman"/>
          <w:bCs/>
          <w:color w:val="000000"/>
        </w:rPr>
        <w:t>)</w:t>
      </w:r>
      <w:r w:rsidR="00C35C4A">
        <w:rPr>
          <w:rFonts w:eastAsiaTheme="minorEastAsia" w:cs="Times New Roman"/>
          <w:bCs/>
          <w:szCs w:val="22"/>
          <w:lang w:eastAsia="zh-CN"/>
        </w:rPr>
        <w:t xml:space="preserve">. </w:t>
      </w:r>
    </w:p>
    <w:p w14:paraId="6328CA05" w14:textId="3D126680" w:rsidR="0030334F" w:rsidRDefault="0030334F" w:rsidP="00C35C4A">
      <w:pPr>
        <w:ind w:firstLine="709"/>
        <w:rPr>
          <w:rFonts w:eastAsiaTheme="minorEastAsia" w:cs="Times New Roman"/>
          <w:bCs/>
          <w:szCs w:val="22"/>
          <w:lang w:eastAsia="zh-CN"/>
        </w:rPr>
      </w:pPr>
      <w:r>
        <w:rPr>
          <w:rFonts w:eastAsiaTheme="minorEastAsia" w:cs="Times New Roman"/>
          <w:bCs/>
          <w:szCs w:val="22"/>
          <w:lang w:eastAsia="zh-CN"/>
        </w:rPr>
        <w:lastRenderedPageBreak/>
        <w:t xml:space="preserve">Most of the cooperation rates were from studies where </w:t>
      </w:r>
      <w:r w:rsidRPr="0027499D">
        <w:rPr>
          <w:rFonts w:eastAsiaTheme="minorEastAsia" w:cs="Times New Roman"/>
          <w:bCs/>
          <w:szCs w:val="22"/>
          <w:lang w:eastAsia="zh-CN"/>
        </w:rPr>
        <w:t>participants knew the total game trials prior to the experiment (</w:t>
      </w:r>
      <w:r w:rsidRPr="0027499D">
        <w:rPr>
          <w:rFonts w:eastAsiaTheme="minorEastAsia" w:cs="Times New Roman"/>
          <w:bCs/>
          <w:i/>
          <w:iCs/>
          <w:szCs w:val="22"/>
          <w:lang w:eastAsia="zh-CN"/>
        </w:rPr>
        <w:t xml:space="preserve">k </w:t>
      </w:r>
      <w:r w:rsidRPr="0027499D">
        <w:rPr>
          <w:rFonts w:eastAsiaTheme="minorEastAsia" w:cs="Times New Roman"/>
          <w:bCs/>
          <w:szCs w:val="22"/>
          <w:lang w:eastAsia="zh-CN"/>
        </w:rPr>
        <w:t>= 1,302)</w:t>
      </w:r>
      <w:r>
        <w:rPr>
          <w:rFonts w:eastAsiaTheme="minorEastAsia" w:cs="Times New Roman"/>
          <w:bCs/>
          <w:szCs w:val="22"/>
          <w:lang w:eastAsia="zh-CN"/>
        </w:rPr>
        <w:t xml:space="preserve">, while some were from studies with an unknown end </w:t>
      </w:r>
      <w:r w:rsidRPr="0027499D">
        <w:rPr>
          <w:rFonts w:eastAsiaTheme="minorEastAsia" w:cs="Times New Roman"/>
          <w:bCs/>
          <w:szCs w:val="22"/>
          <w:lang w:eastAsia="zh-CN"/>
        </w:rPr>
        <w:t>(</w:t>
      </w:r>
      <w:r w:rsidRPr="0027499D">
        <w:rPr>
          <w:rFonts w:eastAsiaTheme="minorEastAsia" w:cs="Times New Roman"/>
          <w:bCs/>
          <w:i/>
          <w:iCs/>
          <w:szCs w:val="22"/>
          <w:lang w:eastAsia="zh-CN"/>
        </w:rPr>
        <w:t>k</w:t>
      </w:r>
      <w:r w:rsidRPr="0027499D">
        <w:rPr>
          <w:rFonts w:eastAsiaTheme="minorEastAsia" w:cs="Times New Roman"/>
          <w:bCs/>
          <w:szCs w:val="22"/>
          <w:lang w:eastAsia="zh-CN"/>
        </w:rPr>
        <w:t xml:space="preserve"> = 362)</w:t>
      </w:r>
      <w:r w:rsidRPr="002972E0">
        <w:rPr>
          <w:rStyle w:val="FootnoteReference"/>
        </w:rPr>
        <w:footnoteReference w:id="2"/>
      </w:r>
      <w:r>
        <w:rPr>
          <w:rFonts w:eastAsiaTheme="minorEastAsia" w:cs="Times New Roman"/>
          <w:bCs/>
          <w:szCs w:val="22"/>
          <w:lang w:eastAsia="zh-CN"/>
        </w:rPr>
        <w:t>. T</w:t>
      </w:r>
      <w:r w:rsidR="00E46714">
        <w:rPr>
          <w:rFonts w:eastAsiaTheme="minorEastAsia" w:cs="Times New Roman"/>
          <w:bCs/>
          <w:szCs w:val="22"/>
          <w:lang w:eastAsia="zh-CN"/>
        </w:rPr>
        <w:t xml:space="preserve">he coding of this variable can be </w:t>
      </w:r>
      <w:r w:rsidR="00E46714" w:rsidRPr="0027499D">
        <w:rPr>
          <w:rFonts w:eastAsiaTheme="minorEastAsia" w:cs="Times New Roman"/>
          <w:bCs/>
          <w:szCs w:val="22"/>
          <w:lang w:eastAsia="zh-CN"/>
        </w:rPr>
        <w:t xml:space="preserve">hierarchically dependent on the coding of </w:t>
      </w:r>
      <w:r w:rsidR="00E75EB5">
        <w:rPr>
          <w:rFonts w:eastAsiaTheme="minorEastAsia" w:cs="Times New Roman"/>
          <w:bCs/>
          <w:szCs w:val="22"/>
          <w:lang w:eastAsia="zh-CN"/>
        </w:rPr>
        <w:t>matching design</w:t>
      </w:r>
      <w:r>
        <w:rPr>
          <w:rFonts w:eastAsiaTheme="minorEastAsia" w:cs="Times New Roman"/>
          <w:bCs/>
          <w:szCs w:val="22"/>
          <w:lang w:eastAsia="zh-CN"/>
        </w:rPr>
        <w:t>,</w:t>
      </w:r>
      <w:r w:rsidRPr="0030334F">
        <w:rPr>
          <w:rFonts w:eastAsiaTheme="minorEastAsia" w:cs="Times New Roman"/>
          <w:bCs/>
          <w:szCs w:val="22"/>
          <w:lang w:eastAsia="zh-CN"/>
        </w:rPr>
        <w:t xml:space="preserve"> </w:t>
      </w:r>
      <w:r w:rsidRPr="00E46714">
        <w:rPr>
          <w:rFonts w:eastAsiaTheme="minorEastAsia" w:cs="Times New Roman"/>
          <w:bCs/>
          <w:szCs w:val="22"/>
          <w:lang w:eastAsia="zh-CN"/>
        </w:rPr>
        <w:t>since people were always knowledgeable about the end-game in one-shot interactions</w:t>
      </w:r>
      <w:r>
        <w:rPr>
          <w:rFonts w:eastAsiaTheme="minorEastAsia" w:cs="Times New Roman"/>
          <w:bCs/>
          <w:szCs w:val="22"/>
          <w:lang w:eastAsia="zh-CN"/>
        </w:rPr>
        <w:t>.</w:t>
      </w:r>
      <w:r w:rsidR="00E46714">
        <w:rPr>
          <w:rFonts w:eastAsiaTheme="minorEastAsia" w:cs="Times New Roman"/>
          <w:bCs/>
          <w:szCs w:val="22"/>
          <w:lang w:eastAsia="zh-CN"/>
        </w:rPr>
        <w:t xml:space="preserve"> </w:t>
      </w:r>
      <w:r>
        <w:rPr>
          <w:rFonts w:eastAsiaTheme="minorEastAsia" w:cs="Times New Roman"/>
          <w:bCs/>
          <w:szCs w:val="22"/>
          <w:lang w:eastAsia="zh-CN"/>
        </w:rPr>
        <w:t>Indeed, k</w:t>
      </w:r>
      <w:r w:rsidR="00E46714" w:rsidRPr="00E46714">
        <w:rPr>
          <w:rFonts w:eastAsiaTheme="minorEastAsia" w:cs="Times New Roman"/>
          <w:bCs/>
          <w:szCs w:val="22"/>
          <w:lang w:eastAsia="zh-CN"/>
        </w:rPr>
        <w:t xml:space="preserve">nowledge of the end game was </w:t>
      </w:r>
      <w:r>
        <w:rPr>
          <w:rFonts w:eastAsiaTheme="minorEastAsia" w:cs="Times New Roman"/>
          <w:bCs/>
          <w:szCs w:val="22"/>
          <w:lang w:eastAsia="zh-CN"/>
        </w:rPr>
        <w:t xml:space="preserve">found to </w:t>
      </w:r>
      <w:r w:rsidR="00E46714" w:rsidRPr="00E46714">
        <w:rPr>
          <w:rFonts w:eastAsiaTheme="minorEastAsia" w:cs="Times New Roman"/>
          <w:bCs/>
          <w:szCs w:val="22"/>
          <w:lang w:eastAsia="zh-CN"/>
        </w:rPr>
        <w:t xml:space="preserve">correlate with the </w:t>
      </w:r>
      <w:r w:rsidR="00E75EB5">
        <w:rPr>
          <w:rFonts w:eastAsiaTheme="minorEastAsia" w:cs="Times New Roman"/>
          <w:bCs/>
          <w:szCs w:val="22"/>
          <w:lang w:eastAsia="zh-CN"/>
        </w:rPr>
        <w:t>matching design</w:t>
      </w:r>
      <w:r w:rsidR="00E46714" w:rsidRPr="00E46714">
        <w:rPr>
          <w:rFonts w:eastAsiaTheme="minorEastAsia" w:cs="Times New Roman"/>
          <w:bCs/>
          <w:szCs w:val="22"/>
          <w:lang w:eastAsia="zh-CN"/>
        </w:rPr>
        <w:t xml:space="preserve"> (</w:t>
      </w:r>
      <w:r w:rsidR="00E46714" w:rsidRPr="0030334F">
        <w:rPr>
          <w:rFonts w:eastAsiaTheme="minorEastAsia" w:cs="Times New Roman"/>
          <w:bCs/>
          <w:i/>
          <w:iCs/>
          <w:szCs w:val="22"/>
          <w:lang w:eastAsia="zh-CN"/>
        </w:rPr>
        <w:t>r</w:t>
      </w:r>
      <w:r w:rsidR="00E46714" w:rsidRPr="00E46714">
        <w:rPr>
          <w:rFonts w:eastAsiaTheme="minorEastAsia" w:cs="Times New Roman"/>
          <w:bCs/>
          <w:szCs w:val="22"/>
          <w:lang w:eastAsia="zh-CN"/>
        </w:rPr>
        <w:t xml:space="preserve"> = –.43</w:t>
      </w:r>
      <w:r>
        <w:rPr>
          <w:rFonts w:eastAsiaTheme="minorEastAsia" w:cs="Times New Roman"/>
          <w:bCs/>
          <w:szCs w:val="22"/>
          <w:lang w:eastAsia="zh-CN"/>
        </w:rPr>
        <w:t>, see Table S1</w:t>
      </w:r>
      <w:r w:rsidR="00E46714" w:rsidRPr="00E46714">
        <w:rPr>
          <w:rFonts w:eastAsiaTheme="minorEastAsia" w:cs="Times New Roman"/>
          <w:bCs/>
          <w:szCs w:val="22"/>
          <w:lang w:eastAsia="zh-CN"/>
        </w:rPr>
        <w:t>)</w:t>
      </w:r>
      <w:r>
        <w:rPr>
          <w:rFonts w:eastAsiaTheme="minorEastAsia" w:cs="Times New Roman"/>
          <w:bCs/>
          <w:szCs w:val="22"/>
          <w:lang w:eastAsia="zh-CN"/>
        </w:rPr>
        <w:t>. W</w:t>
      </w:r>
      <w:r w:rsidRPr="0036192B">
        <w:rPr>
          <w:rFonts w:eastAsiaTheme="minorEastAsia" w:cs="Times New Roman"/>
          <w:bCs/>
          <w:szCs w:val="22"/>
          <w:lang w:eastAsia="zh-CN"/>
        </w:rPr>
        <w:t xml:space="preserve">e replaced </w:t>
      </w:r>
      <w:r w:rsidR="00867B7F">
        <w:rPr>
          <w:rFonts w:eastAsiaTheme="minorEastAsia" w:cs="Times New Roman"/>
          <w:bCs/>
          <w:szCs w:val="22"/>
          <w:lang w:eastAsia="zh-CN"/>
        </w:rPr>
        <w:t>matching design</w:t>
      </w:r>
      <w:r w:rsidRPr="0036192B">
        <w:rPr>
          <w:rFonts w:eastAsiaTheme="minorEastAsia" w:cs="Times New Roman"/>
          <w:bCs/>
          <w:szCs w:val="22"/>
          <w:lang w:eastAsia="zh-CN"/>
        </w:rPr>
        <w:t xml:space="preserve"> </w:t>
      </w:r>
      <w:r w:rsidRPr="0030334F">
        <w:rPr>
          <w:rFonts w:eastAsiaTheme="minorEastAsia" w:cs="Times New Roman"/>
          <w:bCs/>
          <w:szCs w:val="22"/>
          <w:lang w:eastAsia="zh-CN"/>
        </w:rPr>
        <w:t>in the main model (Model 1a)</w:t>
      </w:r>
      <w:r>
        <w:rPr>
          <w:rFonts w:eastAsiaTheme="minorEastAsia" w:cs="Times New Roman"/>
          <w:bCs/>
          <w:szCs w:val="22"/>
          <w:lang w:eastAsia="zh-CN"/>
        </w:rPr>
        <w:t xml:space="preserve"> </w:t>
      </w:r>
      <w:r w:rsidRPr="0036192B">
        <w:rPr>
          <w:rFonts w:eastAsiaTheme="minorEastAsia" w:cs="Times New Roman"/>
          <w:bCs/>
          <w:szCs w:val="22"/>
          <w:lang w:eastAsia="zh-CN"/>
        </w:rPr>
        <w:t>with knowledge of the end game</w:t>
      </w:r>
      <w:r w:rsidRPr="0030334F">
        <w:rPr>
          <w:rFonts w:eastAsiaTheme="minorEastAsia" w:cs="Times New Roman"/>
          <w:bCs/>
          <w:szCs w:val="22"/>
          <w:lang w:eastAsia="zh-CN"/>
        </w:rPr>
        <w:t xml:space="preserve"> </w:t>
      </w:r>
      <w:r>
        <w:rPr>
          <w:rFonts w:eastAsiaTheme="minorEastAsia" w:cs="Times New Roman"/>
          <w:bCs/>
          <w:szCs w:val="22"/>
          <w:lang w:eastAsia="zh-CN"/>
        </w:rPr>
        <w:t>i</w:t>
      </w:r>
      <w:r w:rsidRPr="0036192B">
        <w:rPr>
          <w:rFonts w:eastAsiaTheme="minorEastAsia" w:cs="Times New Roman"/>
          <w:bCs/>
          <w:szCs w:val="22"/>
          <w:lang w:eastAsia="zh-CN"/>
        </w:rPr>
        <w:t xml:space="preserve">n Model </w:t>
      </w:r>
      <w:r>
        <w:rPr>
          <w:rFonts w:eastAsiaTheme="minorEastAsia" w:cs="Times New Roman"/>
          <w:bCs/>
          <w:szCs w:val="22"/>
          <w:lang w:eastAsia="zh-CN"/>
        </w:rPr>
        <w:t xml:space="preserve">3, and </w:t>
      </w:r>
      <w:r w:rsidRPr="0036192B">
        <w:rPr>
          <w:rFonts w:eastAsiaTheme="minorEastAsia" w:cs="Times New Roman"/>
          <w:bCs/>
          <w:szCs w:val="22"/>
          <w:lang w:eastAsia="zh-CN"/>
        </w:rPr>
        <w:t>found that a priori knowledge of the total number of interactive rounds was not associated with variance in cooperation across studies (</w:t>
      </w:r>
      <w:r w:rsidRPr="0036192B">
        <w:rPr>
          <w:rFonts w:eastAsiaTheme="minorEastAsia" w:cs="Times New Roman"/>
          <w:bCs/>
          <w:i/>
          <w:iCs/>
          <w:szCs w:val="22"/>
          <w:lang w:eastAsia="zh-CN"/>
        </w:rPr>
        <w:t>p</w:t>
      </w:r>
      <w:r w:rsidRPr="0036192B">
        <w:rPr>
          <w:rFonts w:eastAsiaTheme="minorEastAsia" w:cs="Times New Roman"/>
          <w:bCs/>
          <w:szCs w:val="22"/>
          <w:lang w:eastAsia="zh-CN"/>
        </w:rPr>
        <w:t xml:space="preserve"> = .070</w:t>
      </w:r>
      <w:r>
        <w:rPr>
          <w:rFonts w:eastAsiaTheme="minorEastAsia" w:cs="Times New Roman"/>
          <w:bCs/>
          <w:szCs w:val="22"/>
          <w:lang w:eastAsia="zh-CN"/>
        </w:rPr>
        <w:t>,</w:t>
      </w:r>
      <w:r w:rsidRPr="0030334F">
        <w:rPr>
          <w:rFonts w:eastAsiaTheme="minorEastAsia" w:cs="Times New Roman"/>
          <w:bCs/>
          <w:szCs w:val="22"/>
          <w:lang w:eastAsia="zh-CN"/>
        </w:rPr>
        <w:t xml:space="preserve"> </w:t>
      </w:r>
      <w:r>
        <w:rPr>
          <w:rFonts w:eastAsiaTheme="minorEastAsia" w:cs="Times New Roman"/>
          <w:bCs/>
          <w:szCs w:val="22"/>
          <w:lang w:eastAsia="zh-CN"/>
        </w:rPr>
        <w:t>see Table S7</w:t>
      </w:r>
      <w:r w:rsidR="000555C4">
        <w:rPr>
          <w:rFonts w:eastAsiaTheme="minorEastAsia" w:cs="Times New Roman"/>
          <w:bCs/>
          <w:szCs w:val="22"/>
          <w:lang w:eastAsia="zh-CN"/>
        </w:rPr>
        <w:t>-1</w:t>
      </w:r>
      <w:r>
        <w:rPr>
          <w:rFonts w:eastAsiaTheme="minorEastAsia" w:cs="Times New Roman"/>
          <w:bCs/>
          <w:szCs w:val="22"/>
          <w:lang w:eastAsia="zh-CN"/>
        </w:rPr>
        <w:t>)</w:t>
      </w:r>
      <w:r w:rsidRPr="0036192B">
        <w:rPr>
          <w:rFonts w:eastAsiaTheme="minorEastAsia" w:cs="Times New Roman"/>
          <w:bCs/>
          <w:szCs w:val="22"/>
          <w:lang w:eastAsia="zh-CN"/>
        </w:rPr>
        <w:t>.</w:t>
      </w:r>
    </w:p>
    <w:p w14:paraId="116D53B8" w14:textId="069EE1E6" w:rsidR="000A3231" w:rsidRPr="0014281A" w:rsidRDefault="000A3231" w:rsidP="0030334F">
      <w:pPr>
        <w:ind w:firstLine="709"/>
        <w:rPr>
          <w:rFonts w:eastAsiaTheme="minorEastAsia" w:cs="Times New Roman"/>
          <w:bCs/>
          <w:szCs w:val="22"/>
          <w:lang w:eastAsia="zh-CN"/>
        </w:rPr>
      </w:pPr>
      <w:r w:rsidRPr="0014281A">
        <w:rPr>
          <w:rFonts w:eastAsiaTheme="minorEastAsia" w:cs="Times New Roman"/>
          <w:b/>
          <w:bCs/>
          <w:iCs/>
          <w:szCs w:val="22"/>
          <w:lang w:eastAsia="zh-CN"/>
        </w:rPr>
        <w:t>Step-Level versus Continuous PGD</w:t>
      </w:r>
      <w:r w:rsidRPr="0014281A">
        <w:rPr>
          <w:rFonts w:eastAsiaTheme="minorEastAsia" w:cs="Times New Roman"/>
          <w:bCs/>
          <w:szCs w:val="22"/>
          <w:lang w:eastAsia="zh-CN"/>
        </w:rPr>
        <w:t xml:space="preserve">. </w:t>
      </w:r>
      <w:bookmarkStart w:id="29" w:name="_Hlk134381237"/>
      <w:r w:rsidRPr="0014281A">
        <w:rPr>
          <w:rFonts w:eastAsiaTheme="minorEastAsia" w:cs="Times New Roman"/>
          <w:bCs/>
          <w:szCs w:val="22"/>
          <w:lang w:eastAsia="zh-CN"/>
        </w:rPr>
        <w:t>Conflict of interest can also be operationalized as a difference between continuous versus step-level PGDs</w:t>
      </w:r>
      <w:bookmarkEnd w:id="29"/>
      <w:r w:rsidRPr="0014281A">
        <w:rPr>
          <w:rFonts w:eastAsiaTheme="minorEastAsia" w:cs="Times New Roman"/>
          <w:bCs/>
          <w:szCs w:val="22"/>
          <w:lang w:eastAsia="zh-CN"/>
        </w:rPr>
        <w:t xml:space="preserve">. As contributions approach the threshold in a step-level PGD, then it can be in a person’s interests to coordinate with the others and contribute to the public good, and so step-level PGDs can involve less conflicting interests than continuous PGDs </w:t>
      </w:r>
      <w:r w:rsidR="00E12E47" w:rsidRPr="00E12E47">
        <w:rPr>
          <w:rFonts w:cs="Times New Roman"/>
        </w:rPr>
        <w:t>(Abele et al., 2010)</w:t>
      </w:r>
      <w:r w:rsidRPr="0014281A">
        <w:rPr>
          <w:rFonts w:eastAsiaTheme="minorEastAsia" w:cs="Times New Roman"/>
          <w:bCs/>
          <w:szCs w:val="22"/>
          <w:lang w:eastAsia="zh-CN"/>
        </w:rPr>
        <w:t>. We therefore applied a different inclusion criterion with all the PGDs included, no matter whether K index can be computed or not in these games. We conducted a similar multiple meta-regression model on the dataset that combined step-level PGDs (</w:t>
      </w:r>
      <w:r w:rsidRPr="0014281A">
        <w:rPr>
          <w:rFonts w:eastAsiaTheme="minorEastAsia" w:cs="Times New Roman"/>
          <w:bCs/>
          <w:i/>
          <w:szCs w:val="22"/>
          <w:lang w:eastAsia="zh-CN"/>
        </w:rPr>
        <w:t>k</w:t>
      </w:r>
      <w:r w:rsidRPr="0014281A">
        <w:rPr>
          <w:rFonts w:eastAsiaTheme="minorEastAsia" w:cs="Times New Roman"/>
          <w:bCs/>
          <w:szCs w:val="22"/>
          <w:lang w:eastAsia="zh-CN"/>
        </w:rPr>
        <w:t xml:space="preserve"> = 267) and continuous PGDs (</w:t>
      </w:r>
      <w:r w:rsidRPr="0014281A">
        <w:rPr>
          <w:rFonts w:eastAsiaTheme="minorEastAsia" w:cs="Times New Roman"/>
          <w:bCs/>
          <w:i/>
          <w:szCs w:val="22"/>
          <w:lang w:eastAsia="zh-CN"/>
        </w:rPr>
        <w:t>k</w:t>
      </w:r>
      <w:r w:rsidRPr="0014281A">
        <w:rPr>
          <w:rFonts w:eastAsiaTheme="minorEastAsia" w:cs="Times New Roman"/>
          <w:bCs/>
          <w:szCs w:val="22"/>
          <w:lang w:eastAsia="zh-CN"/>
        </w:rPr>
        <w:t xml:space="preserve"> = 1,219), including all the predictor variables shared by these dilemmas (Model </w:t>
      </w:r>
      <w:r w:rsidR="0030334F">
        <w:rPr>
          <w:rFonts w:eastAsiaTheme="minorEastAsia" w:cs="Times New Roman"/>
          <w:bCs/>
          <w:szCs w:val="22"/>
          <w:lang w:eastAsia="zh-CN"/>
        </w:rPr>
        <w:t>4</w:t>
      </w:r>
      <w:r w:rsidRPr="0014281A">
        <w:rPr>
          <w:rFonts w:eastAsiaTheme="minorEastAsia" w:cs="Times New Roman"/>
          <w:bCs/>
          <w:szCs w:val="22"/>
          <w:lang w:eastAsia="zh-CN"/>
        </w:rPr>
        <w:t xml:space="preserve">). Consistent with </w:t>
      </w:r>
      <w:r w:rsidR="007C2AB8" w:rsidRPr="007C2AB8">
        <w:rPr>
          <w:rFonts w:eastAsiaTheme="minorEastAsia" w:cs="Times New Roman"/>
          <w:bCs/>
          <w:i/>
          <w:iCs/>
          <w:szCs w:val="22"/>
          <w:lang w:eastAsia="zh-CN"/>
        </w:rPr>
        <w:t>H</w:t>
      </w:r>
      <w:r w:rsidRPr="007C2AB8">
        <w:rPr>
          <w:rFonts w:eastAsiaTheme="minorEastAsia" w:cs="Times New Roman"/>
          <w:bCs/>
          <w:i/>
          <w:iCs/>
          <w:szCs w:val="22"/>
          <w:lang w:eastAsia="zh-CN"/>
        </w:rPr>
        <w:t>ypothesis</w:t>
      </w:r>
      <w:r w:rsidR="007C2AB8" w:rsidRPr="007C2AB8">
        <w:rPr>
          <w:rFonts w:eastAsiaTheme="minorEastAsia" w:cs="Times New Roman"/>
          <w:bCs/>
          <w:i/>
          <w:iCs/>
          <w:szCs w:val="22"/>
          <w:lang w:eastAsia="zh-CN"/>
        </w:rPr>
        <w:t xml:space="preserve"> 1</w:t>
      </w:r>
      <w:r w:rsidRPr="0014281A">
        <w:rPr>
          <w:rFonts w:eastAsiaTheme="minorEastAsia" w:cs="Times New Roman"/>
          <w:bCs/>
          <w:szCs w:val="22"/>
          <w:lang w:eastAsia="zh-CN"/>
        </w:rPr>
        <w:t xml:space="preserve">, dilemmas characterized by lower level of conflict (i.e., step-level PGDs) were associated with higher cooperation estimates compared to studies that involved a higher level of conflict (i.e., continuous PGD; </w:t>
      </w:r>
      <w:r w:rsidRPr="0014281A">
        <w:rPr>
          <w:rFonts w:eastAsiaTheme="minorEastAsia" w:cs="Times New Roman"/>
          <w:bCs/>
          <w:i/>
          <w:szCs w:val="22"/>
          <w:lang w:eastAsia="zh-CN"/>
        </w:rPr>
        <w:t>b</w:t>
      </w:r>
      <w:r w:rsidRPr="0014281A">
        <w:rPr>
          <w:rFonts w:eastAsiaTheme="minorEastAsia" w:cs="Times New Roman"/>
          <w:bCs/>
          <w:szCs w:val="22"/>
          <w:lang w:eastAsia="zh-CN"/>
        </w:rPr>
        <w:t xml:space="preserve"> = 0.285, </w:t>
      </w:r>
      <w:r w:rsidRPr="0014281A">
        <w:rPr>
          <w:rFonts w:eastAsiaTheme="minorEastAsia" w:cs="Times New Roman"/>
          <w:bCs/>
          <w:i/>
          <w:szCs w:val="22"/>
          <w:lang w:eastAsia="zh-CN"/>
        </w:rPr>
        <w:t>p</w:t>
      </w:r>
      <w:r w:rsidRPr="0014281A">
        <w:rPr>
          <w:rFonts w:eastAsiaTheme="minorEastAsia" w:cs="Times New Roman"/>
          <w:bCs/>
          <w:szCs w:val="22"/>
          <w:lang w:eastAsia="zh-CN"/>
        </w:rPr>
        <w:t xml:space="preserve"> &lt; .001). We also found support for the interaction between communication and conflict of interest in </w:t>
      </w:r>
      <w:r w:rsidRPr="0014281A">
        <w:rPr>
          <w:rFonts w:eastAsiaTheme="minorEastAsia" w:cs="Times New Roman"/>
          <w:bCs/>
          <w:szCs w:val="22"/>
          <w:lang w:eastAsia="zh-CN"/>
        </w:rPr>
        <w:lastRenderedPageBreak/>
        <w:t>predicting cooperation (</w:t>
      </w:r>
      <w:r w:rsidRPr="0014281A">
        <w:rPr>
          <w:rFonts w:eastAsiaTheme="minorEastAsia" w:cs="Times New Roman"/>
          <w:bCs/>
          <w:i/>
          <w:szCs w:val="22"/>
          <w:lang w:eastAsia="zh-CN"/>
        </w:rPr>
        <w:t>b</w:t>
      </w:r>
      <w:r w:rsidRPr="0014281A">
        <w:rPr>
          <w:rFonts w:eastAsiaTheme="minorEastAsia" w:cs="Times New Roman"/>
          <w:bCs/>
          <w:szCs w:val="22"/>
          <w:lang w:eastAsia="zh-CN"/>
        </w:rPr>
        <w:t xml:space="preserve"> = –0.404, </w:t>
      </w:r>
      <w:r w:rsidRPr="0014281A">
        <w:rPr>
          <w:rFonts w:eastAsiaTheme="minorEastAsia" w:cs="Times New Roman"/>
          <w:bCs/>
          <w:i/>
          <w:szCs w:val="22"/>
          <w:lang w:eastAsia="zh-CN"/>
        </w:rPr>
        <w:t>p</w:t>
      </w:r>
      <w:r w:rsidRPr="0014281A">
        <w:rPr>
          <w:rFonts w:eastAsiaTheme="minorEastAsia" w:cs="Times New Roman"/>
          <w:bCs/>
          <w:szCs w:val="22"/>
          <w:lang w:eastAsia="zh-CN"/>
        </w:rPr>
        <w:t xml:space="preserve"> = .028, see Table S</w:t>
      </w:r>
      <w:r w:rsidR="0030334F">
        <w:rPr>
          <w:rFonts w:eastAsiaTheme="minorEastAsia" w:cs="Times New Roman"/>
          <w:bCs/>
          <w:szCs w:val="22"/>
          <w:lang w:eastAsia="zh-CN"/>
        </w:rPr>
        <w:t>7</w:t>
      </w:r>
      <w:r w:rsidR="000555C4">
        <w:rPr>
          <w:rFonts w:eastAsiaTheme="minorEastAsia" w:cs="Times New Roman"/>
          <w:bCs/>
          <w:szCs w:val="22"/>
          <w:lang w:eastAsia="zh-CN"/>
        </w:rPr>
        <w:t>-1</w:t>
      </w:r>
      <w:r w:rsidRPr="0014281A">
        <w:rPr>
          <w:rFonts w:eastAsiaTheme="minorEastAsia" w:cs="Times New Roman"/>
          <w:bCs/>
          <w:szCs w:val="22"/>
          <w:lang w:eastAsia="zh-CN"/>
        </w:rPr>
        <w:t>). Specifically, communication was more effective in promoting cooperation among continuous PGDs, compared to step-level PGDs.</w:t>
      </w:r>
    </w:p>
    <w:p w14:paraId="02F41D92" w14:textId="5BEF4FBD" w:rsidR="007C2AB8" w:rsidRDefault="007C2AB8" w:rsidP="007C2AB8">
      <w:pPr>
        <w:ind w:firstLine="709"/>
        <w:rPr>
          <w:rFonts w:eastAsiaTheme="minorEastAsia" w:cs="Times New Roman"/>
          <w:bCs/>
          <w:szCs w:val="22"/>
          <w:lang w:eastAsia="zh-CN"/>
        </w:rPr>
      </w:pPr>
      <w:bookmarkStart w:id="30" w:name="_Hlk75201973"/>
      <w:r w:rsidRPr="008326D3">
        <w:rPr>
          <w:rFonts w:eastAsiaTheme="minorEastAsia" w:cs="Times New Roman"/>
          <w:b/>
          <w:bCs/>
          <w:szCs w:val="22"/>
          <w:lang w:val="en-GB" w:eastAsia="zh-CN"/>
        </w:rPr>
        <w:t>Student versus Non-Student Sample.</w:t>
      </w:r>
      <w:r w:rsidRPr="008326D3">
        <w:rPr>
          <w:rFonts w:eastAsiaTheme="minorEastAsia" w:cs="Times New Roman"/>
          <w:bCs/>
          <w:szCs w:val="22"/>
          <w:lang w:val="en-GB" w:eastAsia="zh-CN"/>
        </w:rPr>
        <w:t xml:space="preserve"> </w:t>
      </w:r>
      <w:bookmarkStart w:id="31" w:name="_Hlk134381660"/>
      <w:r w:rsidRPr="0014281A">
        <w:rPr>
          <w:rFonts w:eastAsiaTheme="minorEastAsia" w:cs="Times New Roman"/>
          <w:bCs/>
          <w:szCs w:val="22"/>
          <w:lang w:eastAsia="zh-CN"/>
        </w:rPr>
        <w:t xml:space="preserve">To explore whether cooperation differs between student and non-student samples, </w:t>
      </w:r>
      <w:bookmarkEnd w:id="31"/>
      <w:r w:rsidRPr="0014281A">
        <w:rPr>
          <w:rFonts w:eastAsiaTheme="minorEastAsia" w:cs="Times New Roman"/>
          <w:bCs/>
          <w:szCs w:val="22"/>
          <w:lang w:eastAsia="zh-CN"/>
        </w:rPr>
        <w:t xml:space="preserve">we reannotated </w:t>
      </w:r>
      <w:bookmarkStart w:id="32" w:name="_Hlk134381692"/>
      <w:r w:rsidRPr="0014281A">
        <w:rPr>
          <w:rFonts w:eastAsiaTheme="minorEastAsia" w:cs="Times New Roman"/>
          <w:bCs/>
          <w:szCs w:val="22"/>
          <w:lang w:eastAsia="zh-CN"/>
        </w:rPr>
        <w:t>academic discipline into whether the study involved a student sample</w:t>
      </w:r>
      <w:bookmarkEnd w:id="32"/>
      <w:r w:rsidRPr="0014281A">
        <w:rPr>
          <w:rFonts w:eastAsiaTheme="minorEastAsia" w:cs="Times New Roman"/>
          <w:bCs/>
          <w:szCs w:val="22"/>
          <w:lang w:eastAsia="zh-CN"/>
        </w:rPr>
        <w:t>, with economic, psychology and other disciplines coded as 0 (</w:t>
      </w:r>
      <w:r w:rsidRPr="0014281A">
        <w:rPr>
          <w:rFonts w:eastAsiaTheme="minorEastAsia" w:cs="Times New Roman"/>
          <w:bCs/>
          <w:i/>
          <w:iCs/>
          <w:szCs w:val="22"/>
          <w:lang w:eastAsia="zh-CN"/>
        </w:rPr>
        <w:t>k</w:t>
      </w:r>
      <w:r w:rsidRPr="0014281A">
        <w:rPr>
          <w:rFonts w:eastAsiaTheme="minorEastAsia" w:cs="Times New Roman"/>
          <w:bCs/>
          <w:szCs w:val="22"/>
          <w:lang w:eastAsia="zh-CN"/>
        </w:rPr>
        <w:t xml:space="preserve"> = 1,063), or a non-student sample, coded as 1 (</w:t>
      </w:r>
      <w:r w:rsidRPr="0014281A">
        <w:rPr>
          <w:rFonts w:eastAsiaTheme="minorEastAsia" w:cs="Times New Roman"/>
          <w:bCs/>
          <w:i/>
          <w:iCs/>
          <w:szCs w:val="22"/>
          <w:lang w:eastAsia="zh-CN"/>
        </w:rPr>
        <w:t>k</w:t>
      </w:r>
      <w:r w:rsidRPr="0014281A">
        <w:rPr>
          <w:rFonts w:eastAsiaTheme="minorEastAsia" w:cs="Times New Roman"/>
          <w:bCs/>
          <w:szCs w:val="22"/>
          <w:lang w:eastAsia="zh-CN"/>
        </w:rPr>
        <w:t xml:space="preserve"> = 307). Next, we replaced academic discipline in the main model (Model 1a) with (non-)student sample and re-ran the meta-regression model (Model </w:t>
      </w:r>
      <w:r>
        <w:rPr>
          <w:rFonts w:eastAsiaTheme="minorEastAsia" w:cs="Times New Roman"/>
          <w:bCs/>
          <w:szCs w:val="22"/>
          <w:lang w:eastAsia="zh-CN"/>
        </w:rPr>
        <w:t>5</w:t>
      </w:r>
      <w:r w:rsidRPr="0014281A">
        <w:rPr>
          <w:rFonts w:eastAsiaTheme="minorEastAsia" w:cs="Times New Roman"/>
          <w:bCs/>
          <w:szCs w:val="22"/>
          <w:lang w:eastAsia="zh-CN"/>
        </w:rPr>
        <w:t>). Cooperation did not differ between student and non-student samples (</w:t>
      </w:r>
      <w:r w:rsidRPr="0014281A">
        <w:rPr>
          <w:rFonts w:eastAsiaTheme="minorEastAsia" w:cs="Times New Roman"/>
          <w:bCs/>
          <w:i/>
          <w:szCs w:val="22"/>
          <w:lang w:eastAsia="zh-CN"/>
        </w:rPr>
        <w:t>b</w:t>
      </w:r>
      <w:r w:rsidRPr="0014281A">
        <w:rPr>
          <w:rFonts w:eastAsiaTheme="minorEastAsia" w:cs="Times New Roman"/>
          <w:bCs/>
          <w:szCs w:val="22"/>
          <w:lang w:eastAsia="zh-CN"/>
        </w:rPr>
        <w:t xml:space="preserve"> = 0.044, </w:t>
      </w:r>
      <w:r w:rsidRPr="0014281A">
        <w:rPr>
          <w:rFonts w:eastAsiaTheme="minorEastAsia" w:cs="Times New Roman"/>
          <w:bCs/>
          <w:i/>
          <w:szCs w:val="22"/>
          <w:lang w:eastAsia="zh-CN"/>
        </w:rPr>
        <w:t>p</w:t>
      </w:r>
      <w:r w:rsidRPr="0014281A">
        <w:rPr>
          <w:rFonts w:eastAsiaTheme="minorEastAsia" w:cs="Times New Roman"/>
          <w:bCs/>
          <w:szCs w:val="22"/>
          <w:lang w:eastAsia="zh-CN"/>
        </w:rPr>
        <w:t xml:space="preserve"> = .431, see Table S</w:t>
      </w:r>
      <w:r>
        <w:rPr>
          <w:rFonts w:eastAsiaTheme="minorEastAsia" w:cs="Times New Roman"/>
          <w:bCs/>
          <w:szCs w:val="22"/>
          <w:lang w:eastAsia="zh-CN"/>
        </w:rPr>
        <w:t>7</w:t>
      </w:r>
      <w:r w:rsidR="000555C4">
        <w:rPr>
          <w:rFonts w:eastAsiaTheme="minorEastAsia" w:cs="Times New Roman"/>
          <w:bCs/>
          <w:szCs w:val="22"/>
          <w:lang w:eastAsia="zh-CN"/>
        </w:rPr>
        <w:t>-1</w:t>
      </w:r>
      <w:r w:rsidRPr="0014281A">
        <w:rPr>
          <w:rFonts w:eastAsiaTheme="minorEastAsia" w:cs="Times New Roman"/>
          <w:bCs/>
          <w:szCs w:val="22"/>
          <w:lang w:eastAsia="zh-CN"/>
        </w:rPr>
        <w:t>).</w:t>
      </w:r>
      <w:bookmarkEnd w:id="30"/>
    </w:p>
    <w:p w14:paraId="13D44D98" w14:textId="2578EC8D" w:rsidR="00A64562" w:rsidRDefault="00A64562" w:rsidP="00A64562">
      <w:pPr>
        <w:ind w:firstLine="709"/>
        <w:rPr>
          <w:rFonts w:eastAsiaTheme="minorEastAsia" w:cs="Times New Roman"/>
          <w:bCs/>
          <w:szCs w:val="22"/>
          <w:lang w:eastAsia="zh-CN"/>
        </w:rPr>
      </w:pPr>
      <w:r w:rsidRPr="0061254E">
        <w:rPr>
          <w:rFonts w:eastAsiaTheme="minorEastAsia" w:cs="Times New Roman"/>
          <w:b/>
          <w:szCs w:val="22"/>
          <w:lang w:eastAsia="zh-CN"/>
        </w:rPr>
        <w:t xml:space="preserve">Interaction between MPCR and Group Size. </w:t>
      </w:r>
      <w:r w:rsidRPr="00231FBC">
        <w:rPr>
          <w:rFonts w:eastAsiaTheme="minorEastAsia" w:cs="Times New Roman"/>
          <w:bCs/>
          <w:szCs w:val="22"/>
          <w:lang w:eastAsia="zh-CN"/>
        </w:rPr>
        <w:t>Conflict of interes</w:t>
      </w:r>
      <w:r>
        <w:rPr>
          <w:rFonts w:eastAsiaTheme="minorEastAsia" w:cs="Times New Roman"/>
          <w:bCs/>
          <w:szCs w:val="22"/>
          <w:lang w:eastAsia="zh-CN"/>
        </w:rPr>
        <w:t xml:space="preserve">t is often operationalized as the </w:t>
      </w:r>
      <w:r w:rsidRPr="00231FBC">
        <w:rPr>
          <w:rFonts w:eastAsiaTheme="minorEastAsia" w:cs="Times New Roman"/>
          <w:bCs/>
          <w:szCs w:val="22"/>
          <w:lang w:eastAsia="zh-CN"/>
        </w:rPr>
        <w:t>marginal per capita return (MPCR)</w:t>
      </w:r>
      <w:r>
        <w:rPr>
          <w:rFonts w:eastAsiaTheme="minorEastAsia" w:cs="Times New Roman"/>
          <w:bCs/>
          <w:szCs w:val="22"/>
          <w:lang w:eastAsia="zh-CN"/>
        </w:rPr>
        <w:t xml:space="preserve"> in linear PGDs. Higher MPCR indicates lower levels of conflicting interests. </w:t>
      </w:r>
      <w:r w:rsidRPr="00231FBC">
        <w:rPr>
          <w:rFonts w:eastAsiaTheme="minorEastAsia" w:cs="Times New Roman"/>
          <w:bCs/>
          <w:szCs w:val="22"/>
          <w:lang w:eastAsia="zh-CN"/>
        </w:rPr>
        <w:t xml:space="preserve">However, since MPCR </w:t>
      </w:r>
      <w:r>
        <w:rPr>
          <w:rFonts w:eastAsiaTheme="minorEastAsia" w:cs="Times New Roman"/>
          <w:bCs/>
          <w:szCs w:val="22"/>
          <w:lang w:eastAsia="zh-CN"/>
        </w:rPr>
        <w:t>can</w:t>
      </w:r>
      <w:r w:rsidRPr="00231FBC">
        <w:rPr>
          <w:rFonts w:eastAsiaTheme="minorEastAsia" w:cs="Times New Roman"/>
          <w:bCs/>
          <w:szCs w:val="22"/>
          <w:lang w:eastAsia="zh-CN"/>
        </w:rPr>
        <w:t xml:space="preserve"> covar</w:t>
      </w:r>
      <w:r>
        <w:rPr>
          <w:rFonts w:eastAsiaTheme="minorEastAsia" w:cs="Times New Roman"/>
          <w:bCs/>
          <w:szCs w:val="22"/>
          <w:lang w:eastAsia="zh-CN"/>
        </w:rPr>
        <w:t>y</w:t>
      </w:r>
      <w:r w:rsidRPr="00231FBC">
        <w:rPr>
          <w:rFonts w:eastAsiaTheme="minorEastAsia" w:cs="Times New Roman"/>
          <w:bCs/>
          <w:szCs w:val="22"/>
          <w:lang w:eastAsia="zh-CN"/>
        </w:rPr>
        <w:t xml:space="preserve"> with the size of the group, its use can lead to confounding when attempting to isolate and test the effect of </w:t>
      </w:r>
      <w:r>
        <w:rPr>
          <w:rFonts w:eastAsiaTheme="minorEastAsia" w:cs="Times New Roman"/>
          <w:bCs/>
          <w:szCs w:val="22"/>
          <w:lang w:eastAsia="zh-CN"/>
        </w:rPr>
        <w:t xml:space="preserve">conflicting interests and </w:t>
      </w:r>
      <w:r w:rsidRPr="00231FBC">
        <w:rPr>
          <w:rFonts w:eastAsiaTheme="minorEastAsia" w:cs="Times New Roman"/>
          <w:bCs/>
          <w:szCs w:val="22"/>
          <w:lang w:eastAsia="zh-CN"/>
        </w:rPr>
        <w:t>group size on cooperation</w:t>
      </w:r>
      <w:r>
        <w:rPr>
          <w:rFonts w:eastAsiaTheme="minorEastAsia" w:cs="Times New Roman"/>
          <w:bCs/>
          <w:szCs w:val="22"/>
          <w:lang w:eastAsia="zh-CN"/>
        </w:rPr>
        <w:t xml:space="preserve"> respectively</w:t>
      </w:r>
      <w:r w:rsidRPr="00231FBC">
        <w:rPr>
          <w:rFonts w:eastAsiaTheme="minorEastAsia" w:cs="Times New Roman"/>
          <w:bCs/>
          <w:szCs w:val="22"/>
          <w:lang w:eastAsia="zh-CN"/>
        </w:rPr>
        <w:t xml:space="preserve"> in the current study.</w:t>
      </w:r>
      <w:r>
        <w:rPr>
          <w:rFonts w:eastAsiaTheme="minorEastAsia" w:cs="Times New Roman"/>
          <w:bCs/>
          <w:szCs w:val="22"/>
          <w:lang w:eastAsia="zh-CN"/>
        </w:rPr>
        <w:t xml:space="preserve"> An alternative way to address this is to also include the interaction between MPCR and group size while testing the hypotheses in the meta-regression model. To do so, w</w:t>
      </w:r>
      <w:r w:rsidRPr="002E0C68">
        <w:rPr>
          <w:rFonts w:eastAsiaTheme="minorEastAsia" w:cs="Times New Roman"/>
          <w:bCs/>
          <w:szCs w:val="22"/>
          <w:lang w:eastAsia="zh-CN"/>
        </w:rPr>
        <w:t xml:space="preserve">e selected a subset of cooperation rates that were retrieved from linear </w:t>
      </w:r>
      <w:r>
        <w:rPr>
          <w:rFonts w:eastAsiaTheme="minorEastAsia" w:cs="Times New Roman"/>
          <w:bCs/>
          <w:szCs w:val="22"/>
          <w:lang w:eastAsia="zh-CN"/>
        </w:rPr>
        <w:t>PGDs</w:t>
      </w:r>
      <w:r w:rsidRPr="002E0C68">
        <w:rPr>
          <w:rFonts w:eastAsiaTheme="minorEastAsia" w:cs="Times New Roman"/>
          <w:bCs/>
          <w:szCs w:val="22"/>
          <w:lang w:eastAsia="zh-CN"/>
        </w:rPr>
        <w:t xml:space="preserve"> with information about MPCR available (</w:t>
      </w:r>
      <w:r w:rsidRPr="003E034C">
        <w:rPr>
          <w:rFonts w:eastAsiaTheme="minorEastAsia" w:cs="Times New Roman"/>
          <w:bCs/>
          <w:i/>
          <w:iCs/>
          <w:szCs w:val="22"/>
          <w:lang w:eastAsia="zh-CN"/>
        </w:rPr>
        <w:t>k</w:t>
      </w:r>
      <w:r w:rsidRPr="002E0C68">
        <w:rPr>
          <w:rFonts w:eastAsiaTheme="minorEastAsia" w:cs="Times New Roman"/>
          <w:bCs/>
          <w:szCs w:val="22"/>
          <w:lang w:eastAsia="zh-CN"/>
        </w:rPr>
        <w:t xml:space="preserve"> = 1,110) and </w:t>
      </w:r>
      <w:r>
        <w:rPr>
          <w:rFonts w:eastAsiaTheme="minorEastAsia" w:cs="Times New Roman"/>
          <w:bCs/>
          <w:szCs w:val="22"/>
          <w:lang w:eastAsia="zh-CN"/>
        </w:rPr>
        <w:t>conducted</w:t>
      </w:r>
      <w:r w:rsidRPr="002E0C68">
        <w:rPr>
          <w:rFonts w:eastAsiaTheme="minorEastAsia" w:cs="Times New Roman"/>
          <w:bCs/>
          <w:szCs w:val="22"/>
          <w:lang w:eastAsia="zh-CN"/>
        </w:rPr>
        <w:t xml:space="preserve"> a meta-regression analysis on these data</w:t>
      </w:r>
      <w:r>
        <w:rPr>
          <w:rFonts w:eastAsiaTheme="minorEastAsia" w:cs="Times New Roman"/>
          <w:bCs/>
          <w:szCs w:val="22"/>
          <w:lang w:eastAsia="zh-CN"/>
        </w:rPr>
        <w:t xml:space="preserve"> (Model 6)</w:t>
      </w:r>
      <w:r w:rsidRPr="002E0C68">
        <w:rPr>
          <w:rFonts w:eastAsiaTheme="minorEastAsia" w:cs="Times New Roman"/>
          <w:bCs/>
          <w:szCs w:val="22"/>
          <w:lang w:eastAsia="zh-CN"/>
        </w:rPr>
        <w:t>. In this model, we replaced K index with MPCR</w:t>
      </w:r>
      <w:r>
        <w:rPr>
          <w:rFonts w:eastAsiaTheme="minorEastAsia" w:cs="Times New Roman"/>
          <w:bCs/>
          <w:szCs w:val="22"/>
          <w:lang w:eastAsia="zh-CN"/>
        </w:rPr>
        <w:t>,</w:t>
      </w:r>
      <w:r w:rsidRPr="002E0C68">
        <w:rPr>
          <w:rFonts w:eastAsiaTheme="minorEastAsia" w:cs="Times New Roman"/>
          <w:bCs/>
          <w:szCs w:val="22"/>
          <w:lang w:eastAsia="zh-CN"/>
        </w:rPr>
        <w:t xml:space="preserve"> and entered the interaction between MPCR and group size along with the same other predictors to the meta-regression model. </w:t>
      </w:r>
      <w:r>
        <w:rPr>
          <w:rFonts w:eastAsiaTheme="minorEastAsia" w:cs="Times New Roman"/>
          <w:bCs/>
          <w:szCs w:val="22"/>
          <w:lang w:eastAsia="zh-CN"/>
        </w:rPr>
        <w:t xml:space="preserve">Consistent with </w:t>
      </w:r>
      <w:r w:rsidRPr="007C2AB8">
        <w:rPr>
          <w:rFonts w:eastAsiaTheme="minorEastAsia" w:cs="Times New Roman"/>
          <w:bCs/>
          <w:i/>
          <w:iCs/>
          <w:szCs w:val="22"/>
          <w:lang w:eastAsia="zh-CN"/>
        </w:rPr>
        <w:t>Hypothesis 1</w:t>
      </w:r>
      <w:r>
        <w:rPr>
          <w:rFonts w:eastAsiaTheme="minorEastAsia" w:cs="Times New Roman"/>
          <w:bCs/>
          <w:szCs w:val="22"/>
          <w:lang w:eastAsia="zh-CN"/>
        </w:rPr>
        <w:t xml:space="preserve">, </w:t>
      </w:r>
      <w:r w:rsidRPr="002E0C68">
        <w:rPr>
          <w:rFonts w:eastAsiaTheme="minorEastAsia" w:cs="Times New Roman"/>
          <w:bCs/>
          <w:szCs w:val="22"/>
          <w:lang w:eastAsia="zh-CN"/>
        </w:rPr>
        <w:t>MPCR was positively related to cooperation (</w:t>
      </w:r>
      <w:r w:rsidRPr="00C96CBC">
        <w:rPr>
          <w:rFonts w:eastAsiaTheme="minorEastAsia" w:cs="Times New Roman"/>
          <w:bCs/>
          <w:i/>
          <w:iCs/>
          <w:szCs w:val="22"/>
          <w:lang w:eastAsia="zh-CN"/>
        </w:rPr>
        <w:t>b</w:t>
      </w:r>
      <w:r w:rsidRPr="002E0C68">
        <w:rPr>
          <w:rFonts w:eastAsiaTheme="minorEastAsia" w:cs="Times New Roman"/>
          <w:bCs/>
          <w:szCs w:val="22"/>
          <w:lang w:eastAsia="zh-CN"/>
        </w:rPr>
        <w:t xml:space="preserve"> = 0.729, </w:t>
      </w:r>
      <w:r w:rsidRPr="00C96CBC">
        <w:rPr>
          <w:rFonts w:eastAsiaTheme="minorEastAsia" w:cs="Times New Roman"/>
          <w:bCs/>
          <w:i/>
          <w:iCs/>
          <w:szCs w:val="22"/>
          <w:lang w:eastAsia="zh-CN"/>
        </w:rPr>
        <w:t>p</w:t>
      </w:r>
      <w:r w:rsidRPr="002E0C68">
        <w:rPr>
          <w:rFonts w:eastAsiaTheme="minorEastAsia" w:cs="Times New Roman"/>
          <w:bCs/>
          <w:szCs w:val="22"/>
          <w:lang w:eastAsia="zh-CN"/>
        </w:rPr>
        <w:t xml:space="preserve"> = .001). Though marginally significant, group size was also positively related to cooperation (</w:t>
      </w:r>
      <w:r w:rsidRPr="00C96CBC">
        <w:rPr>
          <w:rFonts w:eastAsiaTheme="minorEastAsia" w:cs="Times New Roman"/>
          <w:bCs/>
          <w:i/>
          <w:iCs/>
          <w:szCs w:val="22"/>
          <w:lang w:eastAsia="zh-CN"/>
        </w:rPr>
        <w:t>b</w:t>
      </w:r>
      <w:r w:rsidRPr="002E0C68">
        <w:rPr>
          <w:rFonts w:eastAsiaTheme="minorEastAsia" w:cs="Times New Roman"/>
          <w:bCs/>
          <w:szCs w:val="22"/>
          <w:lang w:eastAsia="zh-CN"/>
        </w:rPr>
        <w:t xml:space="preserve"> = 0.008, </w:t>
      </w:r>
      <w:r w:rsidRPr="00C96CBC">
        <w:rPr>
          <w:rFonts w:eastAsiaTheme="minorEastAsia" w:cs="Times New Roman"/>
          <w:bCs/>
          <w:i/>
          <w:iCs/>
          <w:szCs w:val="22"/>
          <w:lang w:eastAsia="zh-CN"/>
        </w:rPr>
        <w:t>p</w:t>
      </w:r>
      <w:r w:rsidRPr="002E0C68">
        <w:rPr>
          <w:rFonts w:eastAsiaTheme="minorEastAsia" w:cs="Times New Roman"/>
          <w:bCs/>
          <w:szCs w:val="22"/>
          <w:lang w:eastAsia="zh-CN"/>
        </w:rPr>
        <w:t xml:space="preserve"> = .053). </w:t>
      </w:r>
      <w:r>
        <w:rPr>
          <w:rFonts w:eastAsiaTheme="minorEastAsia" w:cs="Times New Roman"/>
          <w:bCs/>
          <w:szCs w:val="22"/>
          <w:lang w:eastAsia="zh-CN"/>
        </w:rPr>
        <w:t xml:space="preserve">This result seems to align with the finding from </w:t>
      </w:r>
      <w:r w:rsidRPr="00AF727A">
        <w:rPr>
          <w:rFonts w:eastAsiaTheme="minorEastAsia" w:cs="Times New Roman"/>
          <w:bCs/>
          <w:szCs w:val="22"/>
          <w:lang w:eastAsia="zh-CN"/>
        </w:rPr>
        <w:t>Barcelo and Capraro (2015)</w:t>
      </w:r>
      <w:r>
        <w:rPr>
          <w:rFonts w:eastAsiaTheme="minorEastAsia" w:cs="Times New Roman"/>
          <w:bCs/>
          <w:szCs w:val="22"/>
          <w:lang w:eastAsia="zh-CN"/>
        </w:rPr>
        <w:t xml:space="preserve"> that increasing the group size </w:t>
      </w:r>
      <w:r>
        <w:rPr>
          <w:rFonts w:eastAsiaTheme="minorEastAsia" w:cs="Times New Roman"/>
          <w:bCs/>
          <w:szCs w:val="22"/>
          <w:lang w:eastAsia="zh-CN"/>
        </w:rPr>
        <w:lastRenderedPageBreak/>
        <w:t xml:space="preserve">has a positive effect on cooperation in public goods dilemmas </w:t>
      </w:r>
      <w:r w:rsidRPr="00AF727A">
        <w:rPr>
          <w:rFonts w:eastAsiaTheme="minorEastAsia" w:cs="Times New Roman"/>
          <w:bCs/>
          <w:szCs w:val="22"/>
          <w:lang w:eastAsia="zh-CN"/>
        </w:rPr>
        <w:t>when the individual benefit for cooperation increases linearly with the size of the group</w:t>
      </w:r>
      <w:r>
        <w:rPr>
          <w:rFonts w:eastAsiaTheme="minorEastAsia" w:cs="Times New Roman"/>
          <w:bCs/>
          <w:szCs w:val="22"/>
          <w:lang w:eastAsia="zh-CN"/>
        </w:rPr>
        <w:t xml:space="preserve">. </w:t>
      </w:r>
      <w:r w:rsidRPr="002E0C68">
        <w:rPr>
          <w:rFonts w:eastAsiaTheme="minorEastAsia" w:cs="Times New Roman"/>
          <w:bCs/>
          <w:szCs w:val="22"/>
          <w:lang w:eastAsia="zh-CN"/>
        </w:rPr>
        <w:t>However, there was not a statistically significant interaction between MPCR and group size predicting cooperation (</w:t>
      </w:r>
      <w:r w:rsidRPr="00C96CBC">
        <w:rPr>
          <w:rFonts w:eastAsiaTheme="minorEastAsia" w:cs="Times New Roman"/>
          <w:bCs/>
          <w:i/>
          <w:iCs/>
          <w:szCs w:val="22"/>
          <w:lang w:eastAsia="zh-CN"/>
        </w:rPr>
        <w:t>b</w:t>
      </w:r>
      <w:r w:rsidRPr="002E0C68">
        <w:rPr>
          <w:rFonts w:eastAsiaTheme="minorEastAsia" w:cs="Times New Roman"/>
          <w:bCs/>
          <w:szCs w:val="22"/>
          <w:lang w:eastAsia="zh-CN"/>
        </w:rPr>
        <w:t xml:space="preserve"> = –0.016, </w:t>
      </w:r>
      <w:r w:rsidRPr="00C96CBC">
        <w:rPr>
          <w:rFonts w:eastAsiaTheme="minorEastAsia" w:cs="Times New Roman"/>
          <w:bCs/>
          <w:i/>
          <w:iCs/>
          <w:szCs w:val="22"/>
          <w:lang w:eastAsia="zh-CN"/>
        </w:rPr>
        <w:t>p</w:t>
      </w:r>
      <w:r w:rsidRPr="002E0C68">
        <w:rPr>
          <w:rFonts w:eastAsiaTheme="minorEastAsia" w:cs="Times New Roman"/>
          <w:bCs/>
          <w:szCs w:val="22"/>
          <w:lang w:eastAsia="zh-CN"/>
        </w:rPr>
        <w:t xml:space="preserve"> = .409</w:t>
      </w:r>
      <w:r>
        <w:rPr>
          <w:rFonts w:eastAsiaTheme="minorEastAsia" w:cs="Times New Roman"/>
          <w:bCs/>
          <w:szCs w:val="22"/>
          <w:lang w:eastAsia="zh-CN"/>
        </w:rPr>
        <w:t>, see Table S</w:t>
      </w:r>
      <w:r w:rsidR="000555C4">
        <w:rPr>
          <w:rFonts w:eastAsiaTheme="minorEastAsia" w:cs="Times New Roman"/>
          <w:bCs/>
          <w:szCs w:val="22"/>
          <w:lang w:eastAsia="zh-CN"/>
        </w:rPr>
        <w:t>7-2</w:t>
      </w:r>
      <w:r w:rsidRPr="002E0C68">
        <w:rPr>
          <w:rFonts w:eastAsiaTheme="minorEastAsia" w:cs="Times New Roman"/>
          <w:bCs/>
          <w:szCs w:val="22"/>
          <w:lang w:eastAsia="zh-CN"/>
        </w:rPr>
        <w:t>).</w:t>
      </w:r>
    </w:p>
    <w:p w14:paraId="4AEA647C" w14:textId="1E39A158" w:rsidR="00AF2E99" w:rsidRDefault="00A64562" w:rsidP="00AF2E99">
      <w:pPr>
        <w:ind w:firstLine="709"/>
        <w:rPr>
          <w:rFonts w:eastAsiaTheme="minorEastAsia" w:cs="Times New Roman"/>
          <w:bCs/>
          <w:szCs w:val="22"/>
          <w:lang w:eastAsia="zh-CN"/>
        </w:rPr>
      </w:pPr>
      <w:r w:rsidRPr="00691C42">
        <w:rPr>
          <w:rFonts w:eastAsiaTheme="minorEastAsia" w:cs="Times New Roman"/>
          <w:b/>
          <w:szCs w:val="22"/>
          <w:lang w:eastAsia="zh-CN"/>
        </w:rPr>
        <w:t>Real Partner.</w:t>
      </w:r>
      <w:r>
        <w:rPr>
          <w:rFonts w:eastAsiaTheme="minorEastAsia" w:cs="Times New Roman"/>
          <w:bCs/>
          <w:szCs w:val="22"/>
          <w:lang w:eastAsia="zh-CN"/>
        </w:rPr>
        <w:t xml:space="preserve"> </w:t>
      </w:r>
      <w:r w:rsidR="004743C5">
        <w:rPr>
          <w:rFonts w:eastAsiaTheme="minorEastAsia" w:cs="Times New Roman"/>
          <w:bCs/>
          <w:szCs w:val="22"/>
          <w:lang w:eastAsia="zh-CN"/>
        </w:rPr>
        <w:t xml:space="preserve">In social dilemmas, cooperation are often affected by beliefs about other individual’s behaviors. </w:t>
      </w:r>
      <w:r w:rsidR="004743C5" w:rsidRPr="004743C5">
        <w:rPr>
          <w:rFonts w:eastAsiaTheme="minorEastAsia" w:cs="Times New Roman"/>
          <w:bCs/>
          <w:szCs w:val="22"/>
          <w:lang w:eastAsia="zh-CN"/>
        </w:rPr>
        <w:t xml:space="preserve">However, when </w:t>
      </w:r>
      <w:r w:rsidR="004743C5">
        <w:rPr>
          <w:rFonts w:eastAsiaTheme="minorEastAsia" w:cs="Times New Roman"/>
          <w:bCs/>
          <w:szCs w:val="22"/>
          <w:lang w:eastAsia="zh-CN"/>
        </w:rPr>
        <w:t xml:space="preserve">the interactive partners </w:t>
      </w:r>
      <w:r w:rsidR="004743C5" w:rsidRPr="004743C5">
        <w:rPr>
          <w:rFonts w:eastAsiaTheme="minorEastAsia" w:cs="Times New Roman"/>
          <w:bCs/>
          <w:szCs w:val="22"/>
          <w:lang w:eastAsia="zh-CN"/>
        </w:rPr>
        <w:t xml:space="preserve">are pre-programmed, </w:t>
      </w:r>
      <w:r w:rsidR="004743C5">
        <w:rPr>
          <w:rFonts w:eastAsiaTheme="minorEastAsia" w:cs="Times New Roman"/>
          <w:bCs/>
          <w:szCs w:val="22"/>
          <w:lang w:eastAsia="zh-CN"/>
        </w:rPr>
        <w:t>individual’s</w:t>
      </w:r>
      <w:r w:rsidR="004743C5" w:rsidRPr="004743C5">
        <w:rPr>
          <w:rFonts w:eastAsiaTheme="minorEastAsia" w:cs="Times New Roman"/>
          <w:bCs/>
          <w:szCs w:val="22"/>
          <w:lang w:eastAsia="zh-CN"/>
        </w:rPr>
        <w:t xml:space="preserve"> decisions are likely more reflective of the programming parameters rather than </w:t>
      </w:r>
      <w:r w:rsidR="004743C5">
        <w:rPr>
          <w:rFonts w:eastAsiaTheme="minorEastAsia" w:cs="Times New Roman"/>
          <w:bCs/>
          <w:szCs w:val="22"/>
          <w:lang w:eastAsia="zh-CN"/>
        </w:rPr>
        <w:t xml:space="preserve">the actual </w:t>
      </w:r>
      <w:r w:rsidR="004743C5" w:rsidRPr="004743C5">
        <w:rPr>
          <w:rFonts w:eastAsiaTheme="minorEastAsia" w:cs="Times New Roman"/>
          <w:bCs/>
          <w:szCs w:val="22"/>
          <w:lang w:eastAsia="zh-CN"/>
        </w:rPr>
        <w:t xml:space="preserve">interactions with </w:t>
      </w:r>
      <w:r w:rsidR="004743C5">
        <w:rPr>
          <w:rFonts w:eastAsiaTheme="minorEastAsia" w:cs="Times New Roman"/>
          <w:bCs/>
          <w:szCs w:val="22"/>
          <w:lang w:eastAsia="zh-CN"/>
        </w:rPr>
        <w:t xml:space="preserve">real </w:t>
      </w:r>
      <w:r w:rsidR="00AA73B7">
        <w:rPr>
          <w:rFonts w:eastAsiaTheme="minorEastAsia" w:cs="Times New Roman"/>
          <w:bCs/>
          <w:szCs w:val="22"/>
          <w:lang w:eastAsia="zh-CN"/>
        </w:rPr>
        <w:t>other</w:t>
      </w:r>
      <w:r w:rsidR="004743C5">
        <w:rPr>
          <w:rFonts w:eastAsiaTheme="minorEastAsia" w:cs="Times New Roman"/>
          <w:bCs/>
          <w:szCs w:val="22"/>
          <w:lang w:eastAsia="zh-CN"/>
        </w:rPr>
        <w:t>s</w:t>
      </w:r>
      <w:r w:rsidR="004743C5" w:rsidRPr="004743C5">
        <w:rPr>
          <w:rFonts w:eastAsiaTheme="minorEastAsia" w:cs="Times New Roman"/>
          <w:bCs/>
          <w:szCs w:val="22"/>
          <w:lang w:eastAsia="zh-CN"/>
        </w:rPr>
        <w:t xml:space="preserve">. </w:t>
      </w:r>
      <w:r w:rsidR="004743C5">
        <w:rPr>
          <w:rFonts w:eastAsiaTheme="minorEastAsia" w:cs="Times New Roman"/>
          <w:bCs/>
          <w:szCs w:val="22"/>
          <w:lang w:eastAsia="zh-CN"/>
        </w:rPr>
        <w:t>This</w:t>
      </w:r>
      <w:r w:rsidR="004743C5" w:rsidRPr="004743C5">
        <w:rPr>
          <w:rFonts w:eastAsiaTheme="minorEastAsia" w:cs="Times New Roman"/>
          <w:bCs/>
          <w:szCs w:val="22"/>
          <w:lang w:eastAsia="zh-CN"/>
        </w:rPr>
        <w:t xml:space="preserve"> may lead to deviations from the behavioral patterns observed in real-world settings. </w:t>
      </w:r>
      <w:r w:rsidR="00A31686">
        <w:rPr>
          <w:rFonts w:eastAsiaTheme="minorEastAsia" w:cs="Times New Roman"/>
          <w:bCs/>
          <w:szCs w:val="22"/>
          <w:lang w:eastAsia="zh-CN"/>
        </w:rPr>
        <w:t>Thus</w:t>
      </w:r>
      <w:r w:rsidR="004743C5" w:rsidRPr="004743C5">
        <w:rPr>
          <w:rFonts w:eastAsiaTheme="minorEastAsia" w:cs="Times New Roman"/>
          <w:bCs/>
          <w:szCs w:val="22"/>
          <w:lang w:eastAsia="zh-CN"/>
        </w:rPr>
        <w:t xml:space="preserve">, to ensure the robustness of our findings, we </w:t>
      </w:r>
      <w:r w:rsidR="00D04E93">
        <w:rPr>
          <w:rFonts w:eastAsiaTheme="minorEastAsia" w:cs="Times New Roman"/>
          <w:bCs/>
          <w:szCs w:val="22"/>
          <w:lang w:eastAsia="zh-CN"/>
        </w:rPr>
        <w:t>test the hypotheses on interactions with real partners only.</w:t>
      </w:r>
      <w:r w:rsidR="00587DD2">
        <w:rPr>
          <w:rFonts w:eastAsiaTheme="minorEastAsia" w:cs="Times New Roman"/>
          <w:bCs/>
          <w:szCs w:val="22"/>
          <w:lang w:eastAsia="zh-CN"/>
        </w:rPr>
        <w:t xml:space="preserve"> Most of the cooperation rates were from studies where </w:t>
      </w:r>
      <w:r w:rsidR="001B6F3F" w:rsidRPr="001B6F3F">
        <w:rPr>
          <w:rFonts w:eastAsiaTheme="minorEastAsia" w:cs="Times New Roman"/>
          <w:bCs/>
          <w:szCs w:val="22"/>
          <w:lang w:eastAsia="zh-CN"/>
        </w:rPr>
        <w:t>participants involved in interactions with real participant(s</w:t>
      </w:r>
      <w:r w:rsidR="001B6F3F">
        <w:rPr>
          <w:rFonts w:eastAsiaTheme="minorEastAsia" w:cs="Times New Roman"/>
          <w:bCs/>
          <w:szCs w:val="22"/>
          <w:lang w:eastAsia="zh-CN"/>
        </w:rPr>
        <w:t>)</w:t>
      </w:r>
      <w:r w:rsidR="001B6F3F" w:rsidRPr="001B6F3F">
        <w:rPr>
          <w:rFonts w:eastAsiaTheme="minorEastAsia" w:cs="Times New Roman"/>
          <w:bCs/>
          <w:szCs w:val="22"/>
          <w:lang w:eastAsia="zh-CN"/>
        </w:rPr>
        <w:t xml:space="preserve"> </w:t>
      </w:r>
      <w:r w:rsidR="00587DD2" w:rsidRPr="0027499D">
        <w:rPr>
          <w:rFonts w:eastAsiaTheme="minorEastAsia" w:cs="Times New Roman"/>
          <w:bCs/>
          <w:szCs w:val="22"/>
          <w:lang w:eastAsia="zh-CN"/>
        </w:rPr>
        <w:t>(</w:t>
      </w:r>
      <w:r w:rsidR="00587DD2" w:rsidRPr="0027499D">
        <w:rPr>
          <w:rFonts w:eastAsiaTheme="minorEastAsia" w:cs="Times New Roman"/>
          <w:bCs/>
          <w:i/>
          <w:iCs/>
          <w:szCs w:val="22"/>
          <w:lang w:eastAsia="zh-CN"/>
        </w:rPr>
        <w:t xml:space="preserve">k </w:t>
      </w:r>
      <w:r w:rsidR="00587DD2" w:rsidRPr="0027499D">
        <w:rPr>
          <w:rFonts w:eastAsiaTheme="minorEastAsia" w:cs="Times New Roman"/>
          <w:bCs/>
          <w:szCs w:val="22"/>
          <w:lang w:eastAsia="zh-CN"/>
        </w:rPr>
        <w:t>= 1,</w:t>
      </w:r>
      <w:r w:rsidR="001B6F3F">
        <w:rPr>
          <w:rFonts w:eastAsiaTheme="minorEastAsia" w:cs="Times New Roman"/>
          <w:bCs/>
          <w:szCs w:val="22"/>
          <w:lang w:eastAsia="zh-CN"/>
        </w:rPr>
        <w:t>638</w:t>
      </w:r>
      <w:r w:rsidR="00587DD2" w:rsidRPr="0027499D">
        <w:rPr>
          <w:rFonts w:eastAsiaTheme="minorEastAsia" w:cs="Times New Roman"/>
          <w:bCs/>
          <w:szCs w:val="22"/>
          <w:lang w:eastAsia="zh-CN"/>
        </w:rPr>
        <w:t>)</w:t>
      </w:r>
      <w:r w:rsidR="00587DD2">
        <w:rPr>
          <w:rFonts w:eastAsiaTheme="minorEastAsia" w:cs="Times New Roman"/>
          <w:bCs/>
          <w:szCs w:val="22"/>
          <w:lang w:eastAsia="zh-CN"/>
        </w:rPr>
        <w:t xml:space="preserve">, while some were from studies </w:t>
      </w:r>
      <w:r w:rsidR="001B6F3F">
        <w:rPr>
          <w:rFonts w:eastAsiaTheme="minorEastAsia" w:cs="Times New Roman"/>
          <w:bCs/>
          <w:szCs w:val="22"/>
          <w:lang w:eastAsia="zh-CN"/>
        </w:rPr>
        <w:t>where</w:t>
      </w:r>
      <w:r w:rsidR="001B6F3F" w:rsidRPr="001B6F3F">
        <w:rPr>
          <w:rFonts w:eastAsiaTheme="minorEastAsia" w:cs="Times New Roman"/>
          <w:bCs/>
          <w:szCs w:val="22"/>
          <w:lang w:eastAsia="zh-CN"/>
        </w:rPr>
        <w:t xml:space="preserve"> participants imagined interactions with others or played with a computer </w:t>
      </w:r>
      <w:r w:rsidR="00587DD2" w:rsidRPr="0027499D">
        <w:rPr>
          <w:rFonts w:eastAsiaTheme="minorEastAsia" w:cs="Times New Roman"/>
          <w:bCs/>
          <w:szCs w:val="22"/>
          <w:lang w:eastAsia="zh-CN"/>
        </w:rPr>
        <w:t>(</w:t>
      </w:r>
      <w:r w:rsidR="00587DD2" w:rsidRPr="0027499D">
        <w:rPr>
          <w:rFonts w:eastAsiaTheme="minorEastAsia" w:cs="Times New Roman"/>
          <w:bCs/>
          <w:i/>
          <w:iCs/>
          <w:szCs w:val="22"/>
          <w:lang w:eastAsia="zh-CN"/>
        </w:rPr>
        <w:t>k</w:t>
      </w:r>
      <w:r w:rsidR="00587DD2" w:rsidRPr="0027499D">
        <w:rPr>
          <w:rFonts w:eastAsiaTheme="minorEastAsia" w:cs="Times New Roman"/>
          <w:bCs/>
          <w:szCs w:val="22"/>
          <w:lang w:eastAsia="zh-CN"/>
        </w:rPr>
        <w:t xml:space="preserve"> = </w:t>
      </w:r>
      <w:r w:rsidR="001B6F3F">
        <w:rPr>
          <w:rFonts w:eastAsiaTheme="minorEastAsia" w:cs="Times New Roman"/>
          <w:bCs/>
          <w:szCs w:val="22"/>
          <w:lang w:eastAsia="zh-CN"/>
        </w:rPr>
        <w:t>1</w:t>
      </w:r>
      <w:r w:rsidR="00356D13">
        <w:rPr>
          <w:rFonts w:eastAsiaTheme="minorEastAsia" w:cs="Times New Roman"/>
          <w:bCs/>
          <w:szCs w:val="22"/>
          <w:lang w:eastAsia="zh-CN"/>
        </w:rPr>
        <w:t>53</w:t>
      </w:r>
      <w:r w:rsidR="00587DD2" w:rsidRPr="0027499D">
        <w:rPr>
          <w:rFonts w:eastAsiaTheme="minorEastAsia" w:cs="Times New Roman"/>
          <w:bCs/>
          <w:szCs w:val="22"/>
          <w:lang w:eastAsia="zh-CN"/>
        </w:rPr>
        <w:t>)</w:t>
      </w:r>
      <w:r w:rsidR="001B6F3F">
        <w:rPr>
          <w:rFonts w:eastAsiaTheme="minorEastAsia" w:cs="Times New Roman"/>
          <w:bCs/>
          <w:szCs w:val="22"/>
          <w:lang w:eastAsia="zh-CN"/>
        </w:rPr>
        <w:t>, and some others were from studies where</w:t>
      </w:r>
      <w:r w:rsidR="001B6F3F" w:rsidRPr="001B6F3F">
        <w:rPr>
          <w:rFonts w:eastAsiaTheme="minorEastAsia" w:cs="Times New Roman"/>
          <w:bCs/>
          <w:szCs w:val="22"/>
          <w:lang w:eastAsia="zh-CN"/>
        </w:rPr>
        <w:t xml:space="preserve"> participants believed that they </w:t>
      </w:r>
      <w:r w:rsidR="008F1C0F">
        <w:rPr>
          <w:rFonts w:eastAsiaTheme="minorEastAsia" w:cs="Times New Roman"/>
          <w:bCs/>
          <w:szCs w:val="22"/>
          <w:lang w:eastAsia="zh-CN"/>
        </w:rPr>
        <w:t>were</w:t>
      </w:r>
      <w:r w:rsidR="001B6F3F" w:rsidRPr="001B6F3F">
        <w:rPr>
          <w:rFonts w:eastAsiaTheme="minorEastAsia" w:cs="Times New Roman"/>
          <w:bCs/>
          <w:szCs w:val="22"/>
          <w:lang w:eastAsia="zh-CN"/>
        </w:rPr>
        <w:t xml:space="preserve"> interacting with real participants, but experimenter strategy was used</w:t>
      </w:r>
      <w:r w:rsidR="001B6F3F">
        <w:rPr>
          <w:rFonts w:eastAsiaTheme="minorEastAsia" w:cs="Times New Roman"/>
          <w:bCs/>
          <w:szCs w:val="22"/>
          <w:lang w:eastAsia="zh-CN"/>
        </w:rPr>
        <w:t xml:space="preserve"> (</w:t>
      </w:r>
      <w:r w:rsidR="001B6F3F" w:rsidRPr="001B6F3F">
        <w:rPr>
          <w:rFonts w:eastAsiaTheme="minorEastAsia" w:cs="Times New Roman"/>
          <w:bCs/>
          <w:i/>
          <w:iCs/>
          <w:szCs w:val="22"/>
          <w:lang w:eastAsia="zh-CN"/>
        </w:rPr>
        <w:t>k</w:t>
      </w:r>
      <w:r w:rsidR="001B6F3F">
        <w:rPr>
          <w:rFonts w:eastAsiaTheme="minorEastAsia" w:cs="Times New Roman"/>
          <w:bCs/>
          <w:szCs w:val="22"/>
          <w:lang w:eastAsia="zh-CN"/>
        </w:rPr>
        <w:t xml:space="preserve"> = </w:t>
      </w:r>
      <w:r w:rsidR="00356D13">
        <w:rPr>
          <w:rFonts w:eastAsiaTheme="minorEastAsia" w:cs="Times New Roman"/>
          <w:bCs/>
          <w:szCs w:val="22"/>
          <w:lang w:eastAsia="zh-CN"/>
        </w:rPr>
        <w:t>479</w:t>
      </w:r>
      <w:r w:rsidR="001B6F3F">
        <w:rPr>
          <w:rFonts w:eastAsiaTheme="minorEastAsia" w:cs="Times New Roman"/>
          <w:bCs/>
          <w:szCs w:val="22"/>
          <w:lang w:eastAsia="zh-CN"/>
        </w:rPr>
        <w:t>)</w:t>
      </w:r>
      <w:r w:rsidR="00587DD2">
        <w:rPr>
          <w:rFonts w:eastAsiaTheme="minorEastAsia" w:cs="Times New Roman"/>
          <w:bCs/>
          <w:szCs w:val="22"/>
          <w:lang w:eastAsia="zh-CN"/>
        </w:rPr>
        <w:t xml:space="preserve">. </w:t>
      </w:r>
      <w:r w:rsidR="00FC26FF">
        <w:rPr>
          <w:rFonts w:eastAsiaTheme="minorEastAsia" w:cs="Times New Roman"/>
          <w:bCs/>
          <w:szCs w:val="22"/>
          <w:lang w:eastAsia="zh-CN"/>
        </w:rPr>
        <w:t xml:space="preserve">We selected the cooperation rates that were retrieved from studies where </w:t>
      </w:r>
      <w:r w:rsidR="00FC26FF" w:rsidRPr="00FC26FF">
        <w:rPr>
          <w:rFonts w:eastAsiaTheme="minorEastAsia" w:cs="Times New Roman"/>
          <w:bCs/>
          <w:szCs w:val="22"/>
          <w:lang w:eastAsia="zh-CN"/>
        </w:rPr>
        <w:t>participants interact</w:t>
      </w:r>
      <w:r w:rsidR="008F1C0F">
        <w:rPr>
          <w:rFonts w:eastAsiaTheme="minorEastAsia" w:cs="Times New Roman"/>
          <w:bCs/>
          <w:szCs w:val="22"/>
          <w:lang w:eastAsia="zh-CN"/>
        </w:rPr>
        <w:t>ed</w:t>
      </w:r>
      <w:r w:rsidR="00FC26FF" w:rsidRPr="00FC26FF">
        <w:rPr>
          <w:rFonts w:eastAsiaTheme="minorEastAsia" w:cs="Times New Roman"/>
          <w:bCs/>
          <w:szCs w:val="22"/>
          <w:lang w:eastAsia="zh-CN"/>
        </w:rPr>
        <w:t xml:space="preserve"> with real participant(s)</w:t>
      </w:r>
      <w:r w:rsidR="00FC26FF">
        <w:rPr>
          <w:rFonts w:eastAsiaTheme="minorEastAsia" w:cs="Times New Roman"/>
          <w:bCs/>
          <w:szCs w:val="22"/>
          <w:lang w:eastAsia="zh-CN"/>
        </w:rPr>
        <w:t xml:space="preserve"> and ran a meta-regression analysis on these data (Model 7). In this model, we </w:t>
      </w:r>
      <w:r w:rsidR="00FC26FF" w:rsidRPr="00FC26FF">
        <w:rPr>
          <w:rFonts w:eastAsiaTheme="minorEastAsia" w:cs="Times New Roman"/>
          <w:bCs/>
          <w:szCs w:val="22"/>
          <w:lang w:eastAsia="zh-CN"/>
        </w:rPr>
        <w:t>entered the same predictors to the meta-regression model as the main model (Model 1a) in the main text.</w:t>
      </w:r>
      <w:r w:rsidR="00FC26FF">
        <w:rPr>
          <w:rFonts w:eastAsiaTheme="minorEastAsia" w:cs="Times New Roman"/>
          <w:bCs/>
          <w:szCs w:val="22"/>
          <w:lang w:eastAsia="zh-CN"/>
        </w:rPr>
        <w:t xml:space="preserve"> </w:t>
      </w:r>
      <w:r w:rsidR="00E7287F">
        <w:rPr>
          <w:rFonts w:eastAsiaTheme="minorEastAsia" w:cs="Times New Roman"/>
          <w:bCs/>
          <w:szCs w:val="22"/>
          <w:lang w:eastAsia="zh-CN"/>
        </w:rPr>
        <w:t>Results largely replicated those from the main model</w:t>
      </w:r>
      <w:r w:rsidR="00AF2E99">
        <w:rPr>
          <w:rFonts w:eastAsiaTheme="minorEastAsia" w:cs="Times New Roman"/>
          <w:bCs/>
          <w:szCs w:val="22"/>
          <w:lang w:eastAsia="zh-CN"/>
        </w:rPr>
        <w:t xml:space="preserve">. For example, again, </w:t>
      </w:r>
      <w:r w:rsidR="00AF2E99" w:rsidRPr="00AF2E99">
        <w:rPr>
          <w:rFonts w:eastAsiaTheme="minorEastAsia" w:cs="Times New Roman"/>
          <w:bCs/>
          <w:szCs w:val="22"/>
          <w:lang w:eastAsia="zh-CN"/>
        </w:rPr>
        <w:t>we found a positive association between the K index and cooperation estimates (</w:t>
      </w:r>
      <w:r w:rsidR="00AF2E99" w:rsidRPr="00AF2E99">
        <w:rPr>
          <w:rFonts w:eastAsiaTheme="minorEastAsia" w:cs="Times New Roman"/>
          <w:bCs/>
          <w:i/>
          <w:iCs/>
          <w:szCs w:val="22"/>
          <w:lang w:eastAsia="zh-CN"/>
        </w:rPr>
        <w:t>b</w:t>
      </w:r>
      <w:r w:rsidR="00AF2E99" w:rsidRPr="00AF2E99">
        <w:rPr>
          <w:rFonts w:eastAsiaTheme="minorEastAsia" w:cs="Times New Roman"/>
          <w:bCs/>
          <w:szCs w:val="22"/>
          <w:lang w:eastAsia="zh-CN"/>
        </w:rPr>
        <w:t xml:space="preserve"> = </w:t>
      </w:r>
      <w:r w:rsidR="00AF2E99">
        <w:rPr>
          <w:rFonts w:eastAsiaTheme="minorEastAsia" w:cs="Times New Roman"/>
          <w:bCs/>
          <w:szCs w:val="22"/>
          <w:lang w:eastAsia="zh-CN"/>
        </w:rPr>
        <w:t>1</w:t>
      </w:r>
      <w:r w:rsidR="00AF2E99" w:rsidRPr="00AF2E99">
        <w:rPr>
          <w:rFonts w:eastAsiaTheme="minorEastAsia" w:cs="Times New Roman"/>
          <w:bCs/>
          <w:szCs w:val="22"/>
          <w:lang w:eastAsia="zh-CN"/>
        </w:rPr>
        <w:t>.</w:t>
      </w:r>
      <w:r w:rsidR="00AF2E99">
        <w:rPr>
          <w:rFonts w:eastAsiaTheme="minorEastAsia" w:cs="Times New Roman"/>
          <w:bCs/>
          <w:szCs w:val="22"/>
          <w:lang w:eastAsia="zh-CN"/>
        </w:rPr>
        <w:t>129</w:t>
      </w:r>
      <w:r w:rsidR="00AF2E99" w:rsidRPr="00AF2E99">
        <w:rPr>
          <w:rFonts w:eastAsiaTheme="minorEastAsia" w:cs="Times New Roman"/>
          <w:bCs/>
          <w:szCs w:val="22"/>
          <w:lang w:eastAsia="zh-CN"/>
        </w:rPr>
        <w:t xml:space="preserve">, </w:t>
      </w:r>
      <w:r w:rsidR="00AF2E99" w:rsidRPr="00AF2E99">
        <w:rPr>
          <w:rFonts w:eastAsiaTheme="minorEastAsia" w:cs="Times New Roman"/>
          <w:bCs/>
          <w:i/>
          <w:iCs/>
          <w:szCs w:val="22"/>
          <w:lang w:eastAsia="zh-CN"/>
        </w:rPr>
        <w:t>p</w:t>
      </w:r>
      <w:r w:rsidR="00AF2E99" w:rsidRPr="00AF2E99">
        <w:rPr>
          <w:rFonts w:eastAsiaTheme="minorEastAsia" w:cs="Times New Roman"/>
          <w:bCs/>
          <w:szCs w:val="22"/>
          <w:lang w:eastAsia="zh-CN"/>
        </w:rPr>
        <w:t xml:space="preserve"> &lt; .001)</w:t>
      </w:r>
      <w:r w:rsidR="00AF2E99">
        <w:rPr>
          <w:rFonts w:eastAsiaTheme="minorEastAsia" w:cs="Times New Roman"/>
          <w:bCs/>
          <w:szCs w:val="22"/>
          <w:lang w:eastAsia="zh-CN"/>
        </w:rPr>
        <w:t>,</w:t>
      </w:r>
      <w:r w:rsidR="00AF2E99" w:rsidRPr="00AF2E99">
        <w:rPr>
          <w:rFonts w:eastAsiaTheme="minorEastAsia" w:cs="Times New Roman"/>
          <w:bCs/>
          <w:szCs w:val="22"/>
          <w:lang w:eastAsia="zh-CN"/>
        </w:rPr>
        <w:t xml:space="preserve"> higher cooperation estimates in studies that allowed communication, compared to studies that restricted communication opportunities (</w:t>
      </w:r>
      <w:r w:rsidR="00AF2E99" w:rsidRPr="00AF2E99">
        <w:rPr>
          <w:rFonts w:eastAsiaTheme="minorEastAsia" w:cs="Times New Roman"/>
          <w:bCs/>
          <w:i/>
          <w:iCs/>
          <w:szCs w:val="22"/>
          <w:lang w:eastAsia="zh-CN"/>
        </w:rPr>
        <w:t>b</w:t>
      </w:r>
      <w:r w:rsidR="00AF2E99" w:rsidRPr="00AF2E99">
        <w:rPr>
          <w:rFonts w:eastAsiaTheme="minorEastAsia" w:cs="Times New Roman"/>
          <w:bCs/>
          <w:szCs w:val="22"/>
          <w:lang w:eastAsia="zh-CN"/>
        </w:rPr>
        <w:t xml:space="preserve"> = 0.</w:t>
      </w:r>
      <w:r w:rsidR="00AF2E99">
        <w:rPr>
          <w:rFonts w:eastAsiaTheme="minorEastAsia" w:cs="Times New Roman"/>
          <w:bCs/>
          <w:szCs w:val="22"/>
          <w:lang w:eastAsia="zh-CN"/>
        </w:rPr>
        <w:t>953</w:t>
      </w:r>
      <w:r w:rsidR="00AF2E99" w:rsidRPr="00AF2E99">
        <w:rPr>
          <w:rFonts w:eastAsiaTheme="minorEastAsia" w:cs="Times New Roman"/>
          <w:bCs/>
          <w:szCs w:val="22"/>
          <w:lang w:eastAsia="zh-CN"/>
        </w:rPr>
        <w:t xml:space="preserve">, </w:t>
      </w:r>
      <w:r w:rsidR="00AF2E99" w:rsidRPr="00AF2E99">
        <w:rPr>
          <w:rFonts w:eastAsiaTheme="minorEastAsia" w:cs="Times New Roman"/>
          <w:bCs/>
          <w:i/>
          <w:iCs/>
          <w:szCs w:val="22"/>
          <w:lang w:eastAsia="zh-CN"/>
        </w:rPr>
        <w:t>p</w:t>
      </w:r>
      <w:r w:rsidR="00AF2E99" w:rsidRPr="00AF2E99">
        <w:rPr>
          <w:rFonts w:eastAsiaTheme="minorEastAsia" w:cs="Times New Roman"/>
          <w:bCs/>
          <w:szCs w:val="22"/>
          <w:lang w:eastAsia="zh-CN"/>
        </w:rPr>
        <w:t xml:space="preserve"> &lt; .001)</w:t>
      </w:r>
      <w:r w:rsidR="00AF2E99">
        <w:rPr>
          <w:rFonts w:eastAsiaTheme="minorEastAsia" w:cs="Times New Roman"/>
          <w:bCs/>
          <w:szCs w:val="22"/>
          <w:lang w:eastAsia="zh-CN"/>
        </w:rPr>
        <w:t xml:space="preserve">, and </w:t>
      </w:r>
      <w:r w:rsidR="00AF2E99" w:rsidRPr="00AF2E99">
        <w:rPr>
          <w:rFonts w:eastAsiaTheme="minorEastAsia" w:cs="Times New Roman"/>
          <w:bCs/>
          <w:szCs w:val="22"/>
          <w:lang w:eastAsia="zh-CN"/>
        </w:rPr>
        <w:t>higher cooperation estimates when sanctions were implemented within studies, compared to studies without sanctions (</w:t>
      </w:r>
      <w:r w:rsidR="00AF2E99" w:rsidRPr="00AF2E99">
        <w:rPr>
          <w:rFonts w:eastAsiaTheme="minorEastAsia" w:cs="Times New Roman"/>
          <w:bCs/>
          <w:i/>
          <w:iCs/>
          <w:szCs w:val="22"/>
          <w:lang w:eastAsia="zh-CN"/>
        </w:rPr>
        <w:t>b</w:t>
      </w:r>
      <w:r w:rsidR="00AF2E99" w:rsidRPr="00AF2E99">
        <w:rPr>
          <w:rFonts w:eastAsiaTheme="minorEastAsia" w:cs="Times New Roman"/>
          <w:bCs/>
          <w:szCs w:val="22"/>
          <w:lang w:eastAsia="zh-CN"/>
        </w:rPr>
        <w:t xml:space="preserve"> = 0.3</w:t>
      </w:r>
      <w:r w:rsidR="00AF2E99">
        <w:rPr>
          <w:rFonts w:eastAsiaTheme="minorEastAsia" w:cs="Times New Roman"/>
          <w:bCs/>
          <w:szCs w:val="22"/>
          <w:lang w:eastAsia="zh-CN"/>
        </w:rPr>
        <w:t>22</w:t>
      </w:r>
      <w:r w:rsidR="00AF2E99" w:rsidRPr="00AF2E99">
        <w:rPr>
          <w:rFonts w:eastAsiaTheme="minorEastAsia" w:cs="Times New Roman"/>
          <w:bCs/>
          <w:szCs w:val="22"/>
          <w:lang w:eastAsia="zh-CN"/>
        </w:rPr>
        <w:t xml:space="preserve">, </w:t>
      </w:r>
      <w:r w:rsidR="00AF2E99" w:rsidRPr="00AF2E99">
        <w:rPr>
          <w:rFonts w:eastAsiaTheme="minorEastAsia" w:cs="Times New Roman"/>
          <w:bCs/>
          <w:i/>
          <w:iCs/>
          <w:szCs w:val="22"/>
          <w:lang w:eastAsia="zh-CN"/>
        </w:rPr>
        <w:t>p</w:t>
      </w:r>
      <w:r w:rsidR="00AF2E99" w:rsidRPr="00AF2E99">
        <w:rPr>
          <w:rFonts w:eastAsiaTheme="minorEastAsia" w:cs="Times New Roman"/>
          <w:bCs/>
          <w:szCs w:val="22"/>
          <w:lang w:eastAsia="zh-CN"/>
        </w:rPr>
        <w:t xml:space="preserve"> </w:t>
      </w:r>
      <w:r w:rsidR="00AF2E99">
        <w:rPr>
          <w:rFonts w:eastAsiaTheme="minorEastAsia" w:cs="Times New Roman"/>
          <w:bCs/>
          <w:szCs w:val="22"/>
          <w:lang w:eastAsia="zh-CN"/>
        </w:rPr>
        <w:t>=</w:t>
      </w:r>
      <w:r w:rsidR="00AF2E99" w:rsidRPr="00AF2E99">
        <w:rPr>
          <w:rFonts w:eastAsiaTheme="minorEastAsia" w:cs="Times New Roman"/>
          <w:bCs/>
          <w:szCs w:val="22"/>
          <w:lang w:eastAsia="zh-CN"/>
        </w:rPr>
        <w:t xml:space="preserve"> .001</w:t>
      </w:r>
      <w:r w:rsidR="00B519E4">
        <w:rPr>
          <w:rFonts w:eastAsiaTheme="minorEastAsia" w:cs="Times New Roman"/>
          <w:bCs/>
          <w:szCs w:val="22"/>
          <w:lang w:eastAsia="zh-CN"/>
        </w:rPr>
        <w:t>,</w:t>
      </w:r>
      <w:r w:rsidR="00B519E4" w:rsidRPr="00B519E4">
        <w:rPr>
          <w:rFonts w:eastAsiaTheme="minorEastAsia" w:cs="Times New Roman"/>
          <w:bCs/>
          <w:szCs w:val="22"/>
          <w:lang w:eastAsia="zh-CN"/>
        </w:rPr>
        <w:t xml:space="preserve"> </w:t>
      </w:r>
      <w:r w:rsidR="00B519E4">
        <w:rPr>
          <w:rFonts w:eastAsiaTheme="minorEastAsia" w:cs="Times New Roman"/>
          <w:bCs/>
          <w:szCs w:val="22"/>
          <w:lang w:eastAsia="zh-CN"/>
        </w:rPr>
        <w:t>see Table S7-2</w:t>
      </w:r>
      <w:r w:rsidR="00AF2E99" w:rsidRPr="00AF2E99">
        <w:rPr>
          <w:rFonts w:eastAsiaTheme="minorEastAsia" w:cs="Times New Roman"/>
          <w:bCs/>
          <w:szCs w:val="22"/>
          <w:lang w:eastAsia="zh-CN"/>
        </w:rPr>
        <w:t>).</w:t>
      </w:r>
      <w:r w:rsidR="00B519E4">
        <w:rPr>
          <w:rFonts w:eastAsiaTheme="minorEastAsia" w:cs="Times New Roman"/>
          <w:bCs/>
          <w:szCs w:val="22"/>
          <w:lang w:eastAsia="zh-CN"/>
        </w:rPr>
        <w:t xml:space="preserve"> </w:t>
      </w:r>
    </w:p>
    <w:p w14:paraId="482A3FCF" w14:textId="3DFF1261" w:rsidR="00A64562" w:rsidRPr="00231FBC" w:rsidRDefault="00A64562" w:rsidP="00E7287F">
      <w:pPr>
        <w:rPr>
          <w:rFonts w:eastAsiaTheme="minorEastAsia" w:cs="Times New Roman"/>
          <w:bCs/>
          <w:szCs w:val="22"/>
          <w:lang w:eastAsia="zh-CN"/>
        </w:rPr>
        <w:sectPr w:rsidR="00A64562" w:rsidRPr="00231FBC" w:rsidSect="00F63796">
          <w:pgSz w:w="12240" w:h="15840"/>
          <w:pgMar w:top="1440" w:right="1440" w:bottom="1440" w:left="1440" w:header="708" w:footer="708" w:gutter="0"/>
          <w:cols w:space="708"/>
          <w:docGrid w:linePitch="326"/>
        </w:sectPr>
      </w:pPr>
    </w:p>
    <w:p w14:paraId="235F94B1" w14:textId="732A16DE" w:rsidR="00FE3401" w:rsidRPr="00172421" w:rsidRDefault="00FE3401" w:rsidP="00FE3401">
      <w:pPr>
        <w:rPr>
          <w:rFonts w:eastAsiaTheme="minorEastAsia" w:cs="Times New Roman"/>
          <w:b/>
          <w:szCs w:val="22"/>
          <w:lang w:eastAsia="zh-CN"/>
        </w:rPr>
      </w:pPr>
      <w:r>
        <w:rPr>
          <w:rFonts w:eastAsiaTheme="minorEastAsia" w:cs="Times New Roman"/>
          <w:b/>
          <w:szCs w:val="22"/>
          <w:lang w:eastAsia="zh-CN"/>
        </w:rPr>
        <w:lastRenderedPageBreak/>
        <w:t xml:space="preserve">Table </w:t>
      </w:r>
      <w:r w:rsidR="00EF7690">
        <w:rPr>
          <w:rFonts w:eastAsiaTheme="minorEastAsia" w:cs="Times New Roman"/>
          <w:b/>
          <w:szCs w:val="22"/>
          <w:lang w:eastAsia="zh-CN"/>
        </w:rPr>
        <w:t>S</w:t>
      </w:r>
      <w:r w:rsidR="00F30B53">
        <w:rPr>
          <w:rFonts w:eastAsiaTheme="minorEastAsia" w:cs="Times New Roman"/>
          <w:b/>
          <w:szCs w:val="22"/>
          <w:lang w:eastAsia="zh-CN"/>
        </w:rPr>
        <w:t>7</w:t>
      </w:r>
      <w:r w:rsidR="000555C4">
        <w:rPr>
          <w:rFonts w:eastAsiaTheme="minorEastAsia" w:cs="Times New Roman"/>
          <w:b/>
          <w:szCs w:val="22"/>
          <w:lang w:eastAsia="zh-CN"/>
        </w:rPr>
        <w:t>-1</w:t>
      </w:r>
    </w:p>
    <w:p w14:paraId="24D804D2" w14:textId="449C2526" w:rsidR="00FE3401" w:rsidRPr="00F9240A" w:rsidRDefault="00FE3401" w:rsidP="00FE3401">
      <w:pPr>
        <w:rPr>
          <w:rFonts w:eastAsiaTheme="minorEastAsia" w:cs="Times New Roman"/>
          <w:i/>
          <w:szCs w:val="22"/>
          <w:lang w:eastAsia="zh-CN"/>
        </w:rPr>
      </w:pPr>
      <w:r w:rsidRPr="00172421">
        <w:rPr>
          <w:rFonts w:eastAsiaTheme="minorEastAsia" w:cs="Times New Roman"/>
          <w:i/>
          <w:szCs w:val="22"/>
          <w:lang w:eastAsia="zh-CN"/>
        </w:rPr>
        <w:t>Summary of Meta-</w:t>
      </w:r>
      <w:r w:rsidR="00352BC4">
        <w:rPr>
          <w:rFonts w:eastAsiaTheme="minorEastAsia" w:cs="Times New Roman"/>
          <w:i/>
          <w:szCs w:val="22"/>
          <w:lang w:eastAsia="zh-CN"/>
        </w:rPr>
        <w:t>R</w:t>
      </w:r>
      <w:r w:rsidRPr="00172421">
        <w:rPr>
          <w:rFonts w:eastAsiaTheme="minorEastAsia" w:cs="Times New Roman"/>
          <w:i/>
          <w:szCs w:val="22"/>
          <w:lang w:eastAsia="zh-CN"/>
        </w:rPr>
        <w:t>egression Results in Additional Analyses</w:t>
      </w:r>
      <w:r w:rsidR="00C12950">
        <w:rPr>
          <w:rFonts w:eastAsiaTheme="minorEastAsia" w:cs="Times New Roman"/>
          <w:i/>
          <w:szCs w:val="22"/>
          <w:lang w:eastAsia="zh-CN"/>
        </w:rPr>
        <w:t xml:space="preserve"> (Study 1)</w:t>
      </w:r>
    </w:p>
    <w:tbl>
      <w:tblPr>
        <w:tblW w:w="0" w:type="auto"/>
        <w:tblLook w:val="04A0" w:firstRow="1" w:lastRow="0" w:firstColumn="1" w:lastColumn="0" w:noHBand="0" w:noVBand="1"/>
      </w:tblPr>
      <w:tblGrid>
        <w:gridCol w:w="4394"/>
        <w:gridCol w:w="736"/>
        <w:gridCol w:w="576"/>
        <w:gridCol w:w="1283"/>
        <w:gridCol w:w="736"/>
        <w:gridCol w:w="576"/>
        <w:gridCol w:w="1283"/>
        <w:gridCol w:w="736"/>
        <w:gridCol w:w="576"/>
        <w:gridCol w:w="1283"/>
      </w:tblGrid>
      <w:tr w:rsidR="00F30B53" w:rsidRPr="00F30B53" w14:paraId="0A546EFF" w14:textId="77777777" w:rsidTr="00F30B53">
        <w:trPr>
          <w:trHeight w:val="215"/>
        </w:trPr>
        <w:tc>
          <w:tcPr>
            <w:tcW w:w="0" w:type="auto"/>
            <w:vMerge w:val="restart"/>
            <w:tcBorders>
              <w:top w:val="single" w:sz="4" w:space="0" w:color="auto"/>
              <w:left w:val="nil"/>
              <w:bottom w:val="single" w:sz="4" w:space="0" w:color="000000"/>
              <w:right w:val="nil"/>
            </w:tcBorders>
            <w:shd w:val="clear" w:color="auto" w:fill="auto"/>
            <w:noWrap/>
            <w:vAlign w:val="center"/>
            <w:hideMark/>
          </w:tcPr>
          <w:p w14:paraId="06C9F656"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Variables</w:t>
            </w:r>
          </w:p>
        </w:tc>
        <w:tc>
          <w:tcPr>
            <w:tcW w:w="0" w:type="auto"/>
            <w:gridSpan w:val="3"/>
            <w:tcBorders>
              <w:top w:val="single" w:sz="4" w:space="0" w:color="auto"/>
              <w:left w:val="nil"/>
              <w:bottom w:val="single" w:sz="4" w:space="0" w:color="auto"/>
              <w:right w:val="nil"/>
            </w:tcBorders>
            <w:shd w:val="clear" w:color="auto" w:fill="auto"/>
            <w:noWrap/>
            <w:vAlign w:val="center"/>
            <w:hideMark/>
          </w:tcPr>
          <w:p w14:paraId="0CFC04E8"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Model 3</w:t>
            </w:r>
          </w:p>
        </w:tc>
        <w:tc>
          <w:tcPr>
            <w:tcW w:w="0" w:type="auto"/>
            <w:gridSpan w:val="3"/>
            <w:tcBorders>
              <w:top w:val="single" w:sz="4" w:space="0" w:color="auto"/>
              <w:left w:val="nil"/>
              <w:bottom w:val="single" w:sz="4" w:space="0" w:color="auto"/>
              <w:right w:val="nil"/>
            </w:tcBorders>
            <w:shd w:val="clear" w:color="auto" w:fill="auto"/>
            <w:noWrap/>
            <w:vAlign w:val="center"/>
            <w:hideMark/>
          </w:tcPr>
          <w:p w14:paraId="3B54EC95"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Model 4</w:t>
            </w:r>
          </w:p>
        </w:tc>
        <w:tc>
          <w:tcPr>
            <w:tcW w:w="0" w:type="auto"/>
            <w:gridSpan w:val="3"/>
            <w:tcBorders>
              <w:top w:val="single" w:sz="4" w:space="0" w:color="auto"/>
              <w:left w:val="nil"/>
              <w:bottom w:val="single" w:sz="4" w:space="0" w:color="auto"/>
              <w:right w:val="nil"/>
            </w:tcBorders>
            <w:shd w:val="clear" w:color="auto" w:fill="auto"/>
            <w:noWrap/>
            <w:vAlign w:val="center"/>
            <w:hideMark/>
          </w:tcPr>
          <w:p w14:paraId="4404E1BA"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Model 5</w:t>
            </w:r>
          </w:p>
        </w:tc>
      </w:tr>
      <w:tr w:rsidR="00F30B53" w:rsidRPr="00F30B53" w14:paraId="3C65F91E" w14:textId="77777777" w:rsidTr="00F30B53">
        <w:trPr>
          <w:trHeight w:val="215"/>
        </w:trPr>
        <w:tc>
          <w:tcPr>
            <w:tcW w:w="0" w:type="auto"/>
            <w:vMerge/>
            <w:tcBorders>
              <w:top w:val="single" w:sz="4" w:space="0" w:color="auto"/>
              <w:left w:val="nil"/>
              <w:bottom w:val="single" w:sz="4" w:space="0" w:color="000000"/>
              <w:right w:val="nil"/>
            </w:tcBorders>
            <w:vAlign w:val="center"/>
            <w:hideMark/>
          </w:tcPr>
          <w:p w14:paraId="6432D89E" w14:textId="77777777" w:rsidR="00F30B53" w:rsidRPr="00F30B53" w:rsidRDefault="00F30B53" w:rsidP="00F30B53">
            <w:pPr>
              <w:spacing w:line="240" w:lineRule="auto"/>
              <w:rPr>
                <w:rFonts w:eastAsia="Times New Roman" w:cs="Times New Roman"/>
                <w:b/>
                <w:bCs/>
                <w:color w:val="000000"/>
                <w:sz w:val="16"/>
                <w:szCs w:val="16"/>
                <w:lang w:val="en-GB" w:eastAsia="zh-CN"/>
              </w:rPr>
            </w:pPr>
          </w:p>
        </w:tc>
        <w:tc>
          <w:tcPr>
            <w:tcW w:w="0" w:type="auto"/>
            <w:tcBorders>
              <w:top w:val="nil"/>
              <w:left w:val="nil"/>
              <w:bottom w:val="single" w:sz="4" w:space="0" w:color="auto"/>
              <w:right w:val="nil"/>
            </w:tcBorders>
            <w:shd w:val="clear" w:color="auto" w:fill="auto"/>
            <w:noWrap/>
            <w:vAlign w:val="center"/>
            <w:hideMark/>
          </w:tcPr>
          <w:p w14:paraId="0DAD1725" w14:textId="77777777" w:rsidR="00F30B53" w:rsidRPr="00F30B53" w:rsidRDefault="00F30B53" w:rsidP="00F30B53">
            <w:pPr>
              <w:spacing w:line="240" w:lineRule="auto"/>
              <w:jc w:val="center"/>
              <w:rPr>
                <w:rFonts w:eastAsia="Times New Roman" w:cs="Times New Roman"/>
                <w:b/>
                <w:bCs/>
                <w:i/>
                <w:iCs/>
                <w:color w:val="000000"/>
                <w:sz w:val="16"/>
                <w:szCs w:val="16"/>
                <w:lang w:val="en-GB" w:eastAsia="zh-CN"/>
              </w:rPr>
            </w:pPr>
            <w:r w:rsidRPr="00F30B53">
              <w:rPr>
                <w:rFonts w:eastAsia="Times New Roman" w:cs="Times New Roman"/>
                <w:b/>
                <w:bCs/>
                <w:i/>
                <w:iCs/>
                <w:color w:val="000000"/>
                <w:sz w:val="16"/>
                <w:szCs w:val="16"/>
                <w:lang w:val="en-GB" w:eastAsia="zh-CN"/>
              </w:rPr>
              <w:t>b</w:t>
            </w:r>
          </w:p>
        </w:tc>
        <w:tc>
          <w:tcPr>
            <w:tcW w:w="0" w:type="auto"/>
            <w:tcBorders>
              <w:top w:val="nil"/>
              <w:left w:val="nil"/>
              <w:bottom w:val="single" w:sz="4" w:space="0" w:color="auto"/>
              <w:right w:val="nil"/>
            </w:tcBorders>
            <w:shd w:val="clear" w:color="auto" w:fill="auto"/>
            <w:noWrap/>
            <w:vAlign w:val="center"/>
            <w:hideMark/>
          </w:tcPr>
          <w:p w14:paraId="445D8F94" w14:textId="77777777" w:rsidR="00F30B53" w:rsidRPr="00F30B53" w:rsidRDefault="00F30B53" w:rsidP="00F30B53">
            <w:pPr>
              <w:spacing w:line="240" w:lineRule="auto"/>
              <w:jc w:val="center"/>
              <w:rPr>
                <w:rFonts w:eastAsia="Times New Roman" w:cs="Times New Roman"/>
                <w:b/>
                <w:bCs/>
                <w:i/>
                <w:iCs/>
                <w:color w:val="000000"/>
                <w:sz w:val="16"/>
                <w:szCs w:val="16"/>
                <w:lang w:val="en-GB" w:eastAsia="zh-CN"/>
              </w:rPr>
            </w:pPr>
            <w:r w:rsidRPr="00F30B53">
              <w:rPr>
                <w:rFonts w:eastAsia="Times New Roman" w:cs="Times New Roman"/>
                <w:b/>
                <w:bCs/>
                <w:i/>
                <w:iCs/>
                <w:color w:val="000000"/>
                <w:sz w:val="16"/>
                <w:szCs w:val="16"/>
                <w:lang w:val="en-GB" w:eastAsia="zh-CN"/>
              </w:rPr>
              <w:t>SE</w:t>
            </w:r>
          </w:p>
        </w:tc>
        <w:tc>
          <w:tcPr>
            <w:tcW w:w="0" w:type="auto"/>
            <w:tcBorders>
              <w:top w:val="nil"/>
              <w:left w:val="nil"/>
              <w:bottom w:val="single" w:sz="4" w:space="0" w:color="auto"/>
              <w:right w:val="nil"/>
            </w:tcBorders>
            <w:shd w:val="clear" w:color="auto" w:fill="auto"/>
            <w:noWrap/>
            <w:vAlign w:val="center"/>
            <w:hideMark/>
          </w:tcPr>
          <w:p w14:paraId="5459EFE4"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95% CI</w:t>
            </w:r>
          </w:p>
        </w:tc>
        <w:tc>
          <w:tcPr>
            <w:tcW w:w="0" w:type="auto"/>
            <w:tcBorders>
              <w:top w:val="nil"/>
              <w:left w:val="nil"/>
              <w:bottom w:val="single" w:sz="4" w:space="0" w:color="auto"/>
              <w:right w:val="nil"/>
            </w:tcBorders>
            <w:shd w:val="clear" w:color="auto" w:fill="auto"/>
            <w:noWrap/>
            <w:vAlign w:val="center"/>
            <w:hideMark/>
          </w:tcPr>
          <w:p w14:paraId="1954D07A" w14:textId="77777777" w:rsidR="00F30B53" w:rsidRPr="00F30B53" w:rsidRDefault="00F30B53" w:rsidP="00F30B53">
            <w:pPr>
              <w:spacing w:line="240" w:lineRule="auto"/>
              <w:jc w:val="center"/>
              <w:rPr>
                <w:rFonts w:eastAsia="Times New Roman" w:cs="Times New Roman"/>
                <w:b/>
                <w:bCs/>
                <w:i/>
                <w:iCs/>
                <w:color w:val="000000"/>
                <w:sz w:val="16"/>
                <w:szCs w:val="16"/>
                <w:lang w:val="en-GB" w:eastAsia="zh-CN"/>
              </w:rPr>
            </w:pPr>
            <w:r w:rsidRPr="00F30B53">
              <w:rPr>
                <w:rFonts w:eastAsia="Times New Roman" w:cs="Times New Roman"/>
                <w:b/>
                <w:bCs/>
                <w:i/>
                <w:iCs/>
                <w:color w:val="000000"/>
                <w:sz w:val="16"/>
                <w:szCs w:val="16"/>
                <w:lang w:val="en-GB" w:eastAsia="zh-CN"/>
              </w:rPr>
              <w:t>b</w:t>
            </w:r>
          </w:p>
        </w:tc>
        <w:tc>
          <w:tcPr>
            <w:tcW w:w="0" w:type="auto"/>
            <w:tcBorders>
              <w:top w:val="nil"/>
              <w:left w:val="nil"/>
              <w:bottom w:val="single" w:sz="4" w:space="0" w:color="auto"/>
              <w:right w:val="nil"/>
            </w:tcBorders>
            <w:shd w:val="clear" w:color="auto" w:fill="auto"/>
            <w:noWrap/>
            <w:vAlign w:val="center"/>
            <w:hideMark/>
          </w:tcPr>
          <w:p w14:paraId="65CE9935" w14:textId="77777777" w:rsidR="00F30B53" w:rsidRPr="00F30B53" w:rsidRDefault="00F30B53" w:rsidP="00F30B53">
            <w:pPr>
              <w:spacing w:line="240" w:lineRule="auto"/>
              <w:jc w:val="center"/>
              <w:rPr>
                <w:rFonts w:eastAsia="Times New Roman" w:cs="Times New Roman"/>
                <w:b/>
                <w:bCs/>
                <w:i/>
                <w:iCs/>
                <w:color w:val="000000"/>
                <w:sz w:val="16"/>
                <w:szCs w:val="16"/>
                <w:lang w:val="en-GB" w:eastAsia="zh-CN"/>
              </w:rPr>
            </w:pPr>
            <w:r w:rsidRPr="00F30B53">
              <w:rPr>
                <w:rFonts w:eastAsia="Times New Roman" w:cs="Times New Roman"/>
                <w:b/>
                <w:bCs/>
                <w:i/>
                <w:iCs/>
                <w:color w:val="000000"/>
                <w:sz w:val="16"/>
                <w:szCs w:val="16"/>
                <w:lang w:val="en-GB" w:eastAsia="zh-CN"/>
              </w:rPr>
              <w:t>SE</w:t>
            </w:r>
          </w:p>
        </w:tc>
        <w:tc>
          <w:tcPr>
            <w:tcW w:w="0" w:type="auto"/>
            <w:tcBorders>
              <w:top w:val="nil"/>
              <w:left w:val="nil"/>
              <w:bottom w:val="single" w:sz="4" w:space="0" w:color="auto"/>
              <w:right w:val="nil"/>
            </w:tcBorders>
            <w:shd w:val="clear" w:color="auto" w:fill="auto"/>
            <w:noWrap/>
            <w:vAlign w:val="center"/>
            <w:hideMark/>
          </w:tcPr>
          <w:p w14:paraId="41D86BA2"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95% CI</w:t>
            </w:r>
          </w:p>
        </w:tc>
        <w:tc>
          <w:tcPr>
            <w:tcW w:w="0" w:type="auto"/>
            <w:tcBorders>
              <w:top w:val="nil"/>
              <w:left w:val="nil"/>
              <w:bottom w:val="single" w:sz="4" w:space="0" w:color="auto"/>
              <w:right w:val="nil"/>
            </w:tcBorders>
            <w:shd w:val="clear" w:color="auto" w:fill="auto"/>
            <w:noWrap/>
            <w:vAlign w:val="center"/>
            <w:hideMark/>
          </w:tcPr>
          <w:p w14:paraId="26A5F67A" w14:textId="77777777" w:rsidR="00F30B53" w:rsidRPr="00F30B53" w:rsidRDefault="00F30B53" w:rsidP="00F30B53">
            <w:pPr>
              <w:spacing w:line="240" w:lineRule="auto"/>
              <w:jc w:val="center"/>
              <w:rPr>
                <w:rFonts w:eastAsia="Times New Roman" w:cs="Times New Roman"/>
                <w:b/>
                <w:bCs/>
                <w:i/>
                <w:iCs/>
                <w:color w:val="000000"/>
                <w:sz w:val="16"/>
                <w:szCs w:val="16"/>
                <w:lang w:val="en-GB" w:eastAsia="zh-CN"/>
              </w:rPr>
            </w:pPr>
            <w:r w:rsidRPr="00F30B53">
              <w:rPr>
                <w:rFonts w:eastAsia="Times New Roman" w:cs="Times New Roman"/>
                <w:b/>
                <w:bCs/>
                <w:i/>
                <w:iCs/>
                <w:color w:val="000000"/>
                <w:sz w:val="16"/>
                <w:szCs w:val="16"/>
                <w:lang w:val="en-GB" w:eastAsia="zh-CN"/>
              </w:rPr>
              <w:t>b</w:t>
            </w:r>
          </w:p>
        </w:tc>
        <w:tc>
          <w:tcPr>
            <w:tcW w:w="0" w:type="auto"/>
            <w:tcBorders>
              <w:top w:val="nil"/>
              <w:left w:val="nil"/>
              <w:bottom w:val="single" w:sz="4" w:space="0" w:color="auto"/>
              <w:right w:val="nil"/>
            </w:tcBorders>
            <w:shd w:val="clear" w:color="auto" w:fill="auto"/>
            <w:noWrap/>
            <w:vAlign w:val="center"/>
            <w:hideMark/>
          </w:tcPr>
          <w:p w14:paraId="47ED6AE1" w14:textId="77777777" w:rsidR="00F30B53" w:rsidRPr="00F30B53" w:rsidRDefault="00F30B53" w:rsidP="00F30B53">
            <w:pPr>
              <w:spacing w:line="240" w:lineRule="auto"/>
              <w:jc w:val="center"/>
              <w:rPr>
                <w:rFonts w:eastAsia="Times New Roman" w:cs="Times New Roman"/>
                <w:b/>
                <w:bCs/>
                <w:i/>
                <w:iCs/>
                <w:color w:val="000000"/>
                <w:sz w:val="16"/>
                <w:szCs w:val="16"/>
                <w:lang w:val="en-GB" w:eastAsia="zh-CN"/>
              </w:rPr>
            </w:pPr>
            <w:r w:rsidRPr="00F30B53">
              <w:rPr>
                <w:rFonts w:eastAsia="Times New Roman" w:cs="Times New Roman"/>
                <w:b/>
                <w:bCs/>
                <w:i/>
                <w:iCs/>
                <w:color w:val="000000"/>
                <w:sz w:val="16"/>
                <w:szCs w:val="16"/>
                <w:lang w:val="en-GB" w:eastAsia="zh-CN"/>
              </w:rPr>
              <w:t>SE</w:t>
            </w:r>
          </w:p>
        </w:tc>
        <w:tc>
          <w:tcPr>
            <w:tcW w:w="0" w:type="auto"/>
            <w:tcBorders>
              <w:top w:val="nil"/>
              <w:left w:val="nil"/>
              <w:bottom w:val="single" w:sz="4" w:space="0" w:color="auto"/>
              <w:right w:val="nil"/>
            </w:tcBorders>
            <w:shd w:val="clear" w:color="auto" w:fill="auto"/>
            <w:noWrap/>
            <w:vAlign w:val="center"/>
            <w:hideMark/>
          </w:tcPr>
          <w:p w14:paraId="7A2A1B4B"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95% CI</w:t>
            </w:r>
          </w:p>
        </w:tc>
      </w:tr>
      <w:tr w:rsidR="00F30B53" w:rsidRPr="00F30B53" w14:paraId="40A3D342" w14:textId="77777777" w:rsidTr="00F30B53">
        <w:trPr>
          <w:trHeight w:val="215"/>
        </w:trPr>
        <w:tc>
          <w:tcPr>
            <w:tcW w:w="0" w:type="auto"/>
            <w:tcBorders>
              <w:top w:val="nil"/>
              <w:left w:val="nil"/>
              <w:bottom w:val="nil"/>
              <w:right w:val="nil"/>
            </w:tcBorders>
            <w:shd w:val="clear" w:color="auto" w:fill="auto"/>
            <w:noWrap/>
            <w:vAlign w:val="center"/>
            <w:hideMark/>
          </w:tcPr>
          <w:p w14:paraId="2F12CAE4" w14:textId="77777777" w:rsidR="00F30B53" w:rsidRPr="00F30B53" w:rsidRDefault="00F30B53" w:rsidP="00F30B53">
            <w:pPr>
              <w:spacing w:line="240" w:lineRule="auto"/>
              <w:rPr>
                <w:rFonts w:eastAsia="Times New Roman" w:cs="Times New Roman"/>
                <w:i/>
                <w:iCs/>
                <w:color w:val="000000"/>
                <w:sz w:val="16"/>
                <w:szCs w:val="16"/>
                <w:lang w:val="en-GB" w:eastAsia="zh-CN"/>
              </w:rPr>
            </w:pPr>
            <w:r w:rsidRPr="00F30B53">
              <w:rPr>
                <w:rFonts w:eastAsia="Times New Roman" w:cs="Times New Roman"/>
                <w:i/>
                <w:iCs/>
                <w:color w:val="000000"/>
                <w:sz w:val="16"/>
                <w:szCs w:val="16"/>
                <w:lang w:val="en-GB" w:eastAsia="zh-CN"/>
              </w:rPr>
              <w:t>Control variables</w:t>
            </w:r>
          </w:p>
        </w:tc>
        <w:tc>
          <w:tcPr>
            <w:tcW w:w="0" w:type="auto"/>
            <w:tcBorders>
              <w:top w:val="nil"/>
              <w:left w:val="nil"/>
              <w:bottom w:val="nil"/>
              <w:right w:val="nil"/>
            </w:tcBorders>
            <w:shd w:val="clear" w:color="auto" w:fill="auto"/>
            <w:noWrap/>
            <w:vAlign w:val="center"/>
            <w:hideMark/>
          </w:tcPr>
          <w:p w14:paraId="7EFE623E" w14:textId="77777777" w:rsidR="00F30B53" w:rsidRPr="00F30B53" w:rsidRDefault="00F30B53" w:rsidP="00F30B53">
            <w:pPr>
              <w:spacing w:line="240" w:lineRule="auto"/>
              <w:rPr>
                <w:rFonts w:eastAsia="Times New Roman" w:cs="Times New Roman"/>
                <w:i/>
                <w:iCs/>
                <w:color w:val="000000"/>
                <w:sz w:val="16"/>
                <w:szCs w:val="16"/>
                <w:lang w:val="en-GB" w:eastAsia="zh-CN"/>
              </w:rPr>
            </w:pPr>
          </w:p>
        </w:tc>
        <w:tc>
          <w:tcPr>
            <w:tcW w:w="0" w:type="auto"/>
            <w:tcBorders>
              <w:top w:val="nil"/>
              <w:left w:val="nil"/>
              <w:bottom w:val="nil"/>
              <w:right w:val="nil"/>
            </w:tcBorders>
            <w:shd w:val="clear" w:color="auto" w:fill="auto"/>
            <w:noWrap/>
            <w:vAlign w:val="center"/>
            <w:hideMark/>
          </w:tcPr>
          <w:p w14:paraId="000BE76D"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63BA00A9"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71B838D9"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4369C20F"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4B46A293"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bottom"/>
            <w:hideMark/>
          </w:tcPr>
          <w:p w14:paraId="6FD7B52B"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bottom"/>
            <w:hideMark/>
          </w:tcPr>
          <w:p w14:paraId="414E35AC"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bottom"/>
            <w:hideMark/>
          </w:tcPr>
          <w:p w14:paraId="706DD57B" w14:textId="77777777" w:rsidR="00F30B53" w:rsidRPr="00F30B53" w:rsidRDefault="00F30B53" w:rsidP="00F30B53">
            <w:pPr>
              <w:spacing w:line="240" w:lineRule="auto"/>
              <w:jc w:val="center"/>
              <w:rPr>
                <w:rFonts w:eastAsia="Times New Roman" w:cs="Times New Roman"/>
                <w:sz w:val="20"/>
                <w:szCs w:val="20"/>
                <w:lang w:val="en-GB" w:eastAsia="zh-CN"/>
              </w:rPr>
            </w:pPr>
          </w:p>
        </w:tc>
      </w:tr>
      <w:tr w:rsidR="00F30B53" w:rsidRPr="00F30B53" w14:paraId="5E6FC06F" w14:textId="77777777" w:rsidTr="00F30B53">
        <w:trPr>
          <w:trHeight w:val="215"/>
        </w:trPr>
        <w:tc>
          <w:tcPr>
            <w:tcW w:w="0" w:type="auto"/>
            <w:tcBorders>
              <w:top w:val="nil"/>
              <w:left w:val="nil"/>
              <w:bottom w:val="nil"/>
              <w:right w:val="nil"/>
            </w:tcBorders>
            <w:shd w:val="clear" w:color="auto" w:fill="auto"/>
            <w:noWrap/>
            <w:vAlign w:val="bottom"/>
            <w:hideMark/>
          </w:tcPr>
          <w:p w14:paraId="67EC6351"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Choice type</w:t>
            </w:r>
          </w:p>
        </w:tc>
        <w:tc>
          <w:tcPr>
            <w:tcW w:w="0" w:type="auto"/>
            <w:tcBorders>
              <w:top w:val="nil"/>
              <w:left w:val="nil"/>
              <w:bottom w:val="nil"/>
              <w:right w:val="nil"/>
            </w:tcBorders>
            <w:shd w:val="clear" w:color="auto" w:fill="auto"/>
            <w:noWrap/>
            <w:vAlign w:val="center"/>
            <w:hideMark/>
          </w:tcPr>
          <w:p w14:paraId="72AAFA2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0.126*</w:t>
            </w:r>
          </w:p>
        </w:tc>
        <w:tc>
          <w:tcPr>
            <w:tcW w:w="0" w:type="auto"/>
            <w:tcBorders>
              <w:top w:val="nil"/>
              <w:left w:val="nil"/>
              <w:bottom w:val="nil"/>
              <w:right w:val="nil"/>
            </w:tcBorders>
            <w:shd w:val="clear" w:color="auto" w:fill="auto"/>
            <w:noWrap/>
            <w:vAlign w:val="center"/>
            <w:hideMark/>
          </w:tcPr>
          <w:p w14:paraId="244CBC2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0.043</w:t>
            </w:r>
          </w:p>
        </w:tc>
        <w:tc>
          <w:tcPr>
            <w:tcW w:w="0" w:type="auto"/>
            <w:tcBorders>
              <w:top w:val="nil"/>
              <w:left w:val="nil"/>
              <w:bottom w:val="nil"/>
              <w:right w:val="nil"/>
            </w:tcBorders>
            <w:shd w:val="clear" w:color="auto" w:fill="auto"/>
            <w:noWrap/>
            <w:vAlign w:val="center"/>
            <w:hideMark/>
          </w:tcPr>
          <w:p w14:paraId="2EDB37B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[0.043, 0.210]</w:t>
            </w:r>
          </w:p>
        </w:tc>
        <w:tc>
          <w:tcPr>
            <w:tcW w:w="0" w:type="auto"/>
            <w:tcBorders>
              <w:top w:val="nil"/>
              <w:left w:val="nil"/>
              <w:bottom w:val="nil"/>
              <w:right w:val="nil"/>
            </w:tcBorders>
            <w:shd w:val="clear" w:color="auto" w:fill="auto"/>
            <w:noWrap/>
            <w:vAlign w:val="center"/>
            <w:hideMark/>
          </w:tcPr>
          <w:p w14:paraId="2AF4C0D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0.104</w:t>
            </w:r>
          </w:p>
        </w:tc>
        <w:tc>
          <w:tcPr>
            <w:tcW w:w="0" w:type="auto"/>
            <w:tcBorders>
              <w:top w:val="nil"/>
              <w:left w:val="nil"/>
              <w:bottom w:val="nil"/>
              <w:right w:val="nil"/>
            </w:tcBorders>
            <w:shd w:val="clear" w:color="auto" w:fill="auto"/>
            <w:noWrap/>
            <w:vAlign w:val="center"/>
            <w:hideMark/>
          </w:tcPr>
          <w:p w14:paraId="0A95F64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0.076</w:t>
            </w:r>
          </w:p>
        </w:tc>
        <w:tc>
          <w:tcPr>
            <w:tcW w:w="0" w:type="auto"/>
            <w:tcBorders>
              <w:top w:val="nil"/>
              <w:left w:val="nil"/>
              <w:bottom w:val="nil"/>
              <w:right w:val="nil"/>
            </w:tcBorders>
            <w:shd w:val="clear" w:color="auto" w:fill="auto"/>
            <w:noWrap/>
            <w:vAlign w:val="center"/>
            <w:hideMark/>
          </w:tcPr>
          <w:p w14:paraId="3614FDC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[–0.045, 0.253]</w:t>
            </w:r>
          </w:p>
        </w:tc>
        <w:tc>
          <w:tcPr>
            <w:tcW w:w="0" w:type="auto"/>
            <w:tcBorders>
              <w:top w:val="nil"/>
              <w:left w:val="nil"/>
              <w:bottom w:val="nil"/>
              <w:right w:val="nil"/>
            </w:tcBorders>
            <w:shd w:val="clear" w:color="auto" w:fill="auto"/>
            <w:noWrap/>
            <w:vAlign w:val="bottom"/>
            <w:hideMark/>
          </w:tcPr>
          <w:p w14:paraId="5E58467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0.105*</w:t>
            </w:r>
          </w:p>
        </w:tc>
        <w:tc>
          <w:tcPr>
            <w:tcW w:w="0" w:type="auto"/>
            <w:tcBorders>
              <w:top w:val="nil"/>
              <w:left w:val="nil"/>
              <w:bottom w:val="nil"/>
              <w:right w:val="nil"/>
            </w:tcBorders>
            <w:shd w:val="clear" w:color="auto" w:fill="auto"/>
            <w:noWrap/>
            <w:vAlign w:val="bottom"/>
            <w:hideMark/>
          </w:tcPr>
          <w:p w14:paraId="7B93D2D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0.042</w:t>
            </w:r>
          </w:p>
        </w:tc>
        <w:tc>
          <w:tcPr>
            <w:tcW w:w="0" w:type="auto"/>
            <w:tcBorders>
              <w:top w:val="nil"/>
              <w:left w:val="nil"/>
              <w:bottom w:val="nil"/>
              <w:right w:val="nil"/>
            </w:tcBorders>
            <w:shd w:val="clear" w:color="auto" w:fill="auto"/>
            <w:noWrap/>
            <w:vAlign w:val="bottom"/>
            <w:hideMark/>
          </w:tcPr>
          <w:p w14:paraId="710B6D5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[0.023, 0.187]</w:t>
            </w:r>
          </w:p>
        </w:tc>
      </w:tr>
      <w:tr w:rsidR="00F30B53" w:rsidRPr="00F30B53" w14:paraId="658BAFF0" w14:textId="77777777" w:rsidTr="00F30B53">
        <w:trPr>
          <w:trHeight w:val="215"/>
        </w:trPr>
        <w:tc>
          <w:tcPr>
            <w:tcW w:w="0" w:type="auto"/>
            <w:tcBorders>
              <w:top w:val="nil"/>
              <w:left w:val="nil"/>
              <w:bottom w:val="nil"/>
              <w:right w:val="nil"/>
            </w:tcBorders>
            <w:shd w:val="clear" w:color="auto" w:fill="auto"/>
            <w:noWrap/>
            <w:vAlign w:val="bottom"/>
            <w:hideMark/>
          </w:tcPr>
          <w:p w14:paraId="003643F6"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Experimental setting-online</w:t>
            </w:r>
          </w:p>
        </w:tc>
        <w:tc>
          <w:tcPr>
            <w:tcW w:w="0" w:type="auto"/>
            <w:tcBorders>
              <w:top w:val="nil"/>
              <w:left w:val="nil"/>
              <w:bottom w:val="nil"/>
              <w:right w:val="nil"/>
            </w:tcBorders>
            <w:shd w:val="clear" w:color="auto" w:fill="auto"/>
            <w:noWrap/>
            <w:vAlign w:val="center"/>
            <w:hideMark/>
          </w:tcPr>
          <w:p w14:paraId="3CD9DB7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0.138</w:t>
            </w:r>
          </w:p>
        </w:tc>
        <w:tc>
          <w:tcPr>
            <w:tcW w:w="0" w:type="auto"/>
            <w:tcBorders>
              <w:top w:val="nil"/>
              <w:left w:val="nil"/>
              <w:bottom w:val="nil"/>
              <w:right w:val="nil"/>
            </w:tcBorders>
            <w:shd w:val="clear" w:color="auto" w:fill="auto"/>
            <w:noWrap/>
            <w:vAlign w:val="center"/>
            <w:hideMark/>
          </w:tcPr>
          <w:p w14:paraId="0CC5D07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0.082</w:t>
            </w:r>
          </w:p>
        </w:tc>
        <w:tc>
          <w:tcPr>
            <w:tcW w:w="0" w:type="auto"/>
            <w:tcBorders>
              <w:top w:val="nil"/>
              <w:left w:val="nil"/>
              <w:bottom w:val="nil"/>
              <w:right w:val="nil"/>
            </w:tcBorders>
            <w:shd w:val="clear" w:color="auto" w:fill="auto"/>
            <w:noWrap/>
            <w:vAlign w:val="center"/>
            <w:hideMark/>
          </w:tcPr>
          <w:p w14:paraId="1BDBDBE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[–0.022, 0.298]</w:t>
            </w:r>
          </w:p>
        </w:tc>
        <w:tc>
          <w:tcPr>
            <w:tcW w:w="0" w:type="auto"/>
            <w:tcBorders>
              <w:top w:val="nil"/>
              <w:left w:val="nil"/>
              <w:bottom w:val="nil"/>
              <w:right w:val="nil"/>
            </w:tcBorders>
            <w:shd w:val="clear" w:color="auto" w:fill="auto"/>
            <w:noWrap/>
            <w:vAlign w:val="center"/>
            <w:hideMark/>
          </w:tcPr>
          <w:p w14:paraId="5C8FB88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0.248*</w:t>
            </w:r>
          </w:p>
        </w:tc>
        <w:tc>
          <w:tcPr>
            <w:tcW w:w="0" w:type="auto"/>
            <w:tcBorders>
              <w:top w:val="nil"/>
              <w:left w:val="nil"/>
              <w:bottom w:val="nil"/>
              <w:right w:val="nil"/>
            </w:tcBorders>
            <w:shd w:val="clear" w:color="auto" w:fill="auto"/>
            <w:noWrap/>
            <w:vAlign w:val="center"/>
            <w:hideMark/>
          </w:tcPr>
          <w:p w14:paraId="10A7192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0.108</w:t>
            </w:r>
          </w:p>
        </w:tc>
        <w:tc>
          <w:tcPr>
            <w:tcW w:w="0" w:type="auto"/>
            <w:tcBorders>
              <w:top w:val="nil"/>
              <w:left w:val="nil"/>
              <w:bottom w:val="nil"/>
              <w:right w:val="nil"/>
            </w:tcBorders>
            <w:shd w:val="clear" w:color="auto" w:fill="auto"/>
            <w:noWrap/>
            <w:vAlign w:val="center"/>
            <w:hideMark/>
          </w:tcPr>
          <w:p w14:paraId="757D3F5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[0.036, 0.461]</w:t>
            </w:r>
          </w:p>
        </w:tc>
        <w:tc>
          <w:tcPr>
            <w:tcW w:w="0" w:type="auto"/>
            <w:tcBorders>
              <w:top w:val="nil"/>
              <w:left w:val="nil"/>
              <w:bottom w:val="nil"/>
              <w:right w:val="nil"/>
            </w:tcBorders>
            <w:shd w:val="clear" w:color="auto" w:fill="auto"/>
            <w:noWrap/>
            <w:vAlign w:val="bottom"/>
            <w:hideMark/>
          </w:tcPr>
          <w:p w14:paraId="60F3D9B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0.152</w:t>
            </w:r>
          </w:p>
        </w:tc>
        <w:tc>
          <w:tcPr>
            <w:tcW w:w="0" w:type="auto"/>
            <w:tcBorders>
              <w:top w:val="nil"/>
              <w:left w:val="nil"/>
              <w:bottom w:val="nil"/>
              <w:right w:val="nil"/>
            </w:tcBorders>
            <w:shd w:val="clear" w:color="auto" w:fill="auto"/>
            <w:noWrap/>
            <w:vAlign w:val="bottom"/>
            <w:hideMark/>
          </w:tcPr>
          <w:p w14:paraId="05F393D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0.082</w:t>
            </w:r>
          </w:p>
        </w:tc>
        <w:tc>
          <w:tcPr>
            <w:tcW w:w="0" w:type="auto"/>
            <w:tcBorders>
              <w:top w:val="nil"/>
              <w:left w:val="nil"/>
              <w:bottom w:val="nil"/>
              <w:right w:val="nil"/>
            </w:tcBorders>
            <w:shd w:val="clear" w:color="auto" w:fill="auto"/>
            <w:noWrap/>
            <w:vAlign w:val="bottom"/>
            <w:hideMark/>
          </w:tcPr>
          <w:p w14:paraId="6C7BD44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[–0.008, 0.313]</w:t>
            </w:r>
          </w:p>
        </w:tc>
      </w:tr>
      <w:tr w:rsidR="00F30B53" w:rsidRPr="00F30B53" w14:paraId="53E19CD8" w14:textId="77777777" w:rsidTr="00F30B53">
        <w:trPr>
          <w:trHeight w:val="215"/>
        </w:trPr>
        <w:tc>
          <w:tcPr>
            <w:tcW w:w="0" w:type="auto"/>
            <w:tcBorders>
              <w:top w:val="nil"/>
              <w:left w:val="nil"/>
              <w:bottom w:val="nil"/>
              <w:right w:val="nil"/>
            </w:tcBorders>
            <w:shd w:val="clear" w:color="auto" w:fill="auto"/>
            <w:noWrap/>
            <w:vAlign w:val="bottom"/>
            <w:hideMark/>
          </w:tcPr>
          <w:p w14:paraId="3AE965AD"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Experimental setting-other</w:t>
            </w:r>
          </w:p>
        </w:tc>
        <w:tc>
          <w:tcPr>
            <w:tcW w:w="0" w:type="auto"/>
            <w:tcBorders>
              <w:top w:val="nil"/>
              <w:left w:val="nil"/>
              <w:bottom w:val="nil"/>
              <w:right w:val="nil"/>
            </w:tcBorders>
            <w:shd w:val="clear" w:color="auto" w:fill="auto"/>
            <w:noWrap/>
            <w:vAlign w:val="center"/>
            <w:hideMark/>
          </w:tcPr>
          <w:p w14:paraId="26EE6F5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0.126</w:t>
            </w:r>
          </w:p>
        </w:tc>
        <w:tc>
          <w:tcPr>
            <w:tcW w:w="0" w:type="auto"/>
            <w:tcBorders>
              <w:top w:val="nil"/>
              <w:left w:val="nil"/>
              <w:bottom w:val="nil"/>
              <w:right w:val="nil"/>
            </w:tcBorders>
            <w:shd w:val="clear" w:color="auto" w:fill="auto"/>
            <w:noWrap/>
            <w:vAlign w:val="center"/>
            <w:hideMark/>
          </w:tcPr>
          <w:p w14:paraId="24335AF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0.073</w:t>
            </w:r>
          </w:p>
        </w:tc>
        <w:tc>
          <w:tcPr>
            <w:tcW w:w="0" w:type="auto"/>
            <w:tcBorders>
              <w:top w:val="nil"/>
              <w:left w:val="nil"/>
              <w:bottom w:val="nil"/>
              <w:right w:val="nil"/>
            </w:tcBorders>
            <w:shd w:val="clear" w:color="auto" w:fill="auto"/>
            <w:noWrap/>
            <w:vAlign w:val="center"/>
            <w:hideMark/>
          </w:tcPr>
          <w:p w14:paraId="61358C3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[–0.017, 0.269]</w:t>
            </w:r>
          </w:p>
        </w:tc>
        <w:tc>
          <w:tcPr>
            <w:tcW w:w="0" w:type="auto"/>
            <w:tcBorders>
              <w:top w:val="nil"/>
              <w:left w:val="nil"/>
              <w:bottom w:val="nil"/>
              <w:right w:val="nil"/>
            </w:tcBorders>
            <w:shd w:val="clear" w:color="auto" w:fill="auto"/>
            <w:noWrap/>
            <w:vAlign w:val="center"/>
            <w:hideMark/>
          </w:tcPr>
          <w:p w14:paraId="5E504B8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0.163</w:t>
            </w:r>
          </w:p>
        </w:tc>
        <w:tc>
          <w:tcPr>
            <w:tcW w:w="0" w:type="auto"/>
            <w:tcBorders>
              <w:top w:val="nil"/>
              <w:left w:val="nil"/>
              <w:bottom w:val="nil"/>
              <w:right w:val="nil"/>
            </w:tcBorders>
            <w:shd w:val="clear" w:color="auto" w:fill="auto"/>
            <w:noWrap/>
            <w:vAlign w:val="center"/>
            <w:hideMark/>
          </w:tcPr>
          <w:p w14:paraId="496E736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0.094</w:t>
            </w:r>
          </w:p>
        </w:tc>
        <w:tc>
          <w:tcPr>
            <w:tcW w:w="0" w:type="auto"/>
            <w:tcBorders>
              <w:top w:val="nil"/>
              <w:left w:val="nil"/>
              <w:bottom w:val="nil"/>
              <w:right w:val="nil"/>
            </w:tcBorders>
            <w:shd w:val="clear" w:color="auto" w:fill="auto"/>
            <w:noWrap/>
            <w:vAlign w:val="center"/>
            <w:hideMark/>
          </w:tcPr>
          <w:p w14:paraId="2D4F005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[–0.021, 0.347]</w:t>
            </w:r>
          </w:p>
        </w:tc>
        <w:tc>
          <w:tcPr>
            <w:tcW w:w="0" w:type="auto"/>
            <w:tcBorders>
              <w:top w:val="nil"/>
              <w:left w:val="nil"/>
              <w:bottom w:val="nil"/>
              <w:right w:val="nil"/>
            </w:tcBorders>
            <w:shd w:val="clear" w:color="auto" w:fill="auto"/>
            <w:noWrap/>
            <w:vAlign w:val="bottom"/>
            <w:hideMark/>
          </w:tcPr>
          <w:p w14:paraId="4ACC674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0.133</w:t>
            </w:r>
          </w:p>
        </w:tc>
        <w:tc>
          <w:tcPr>
            <w:tcW w:w="0" w:type="auto"/>
            <w:tcBorders>
              <w:top w:val="nil"/>
              <w:left w:val="nil"/>
              <w:bottom w:val="nil"/>
              <w:right w:val="nil"/>
            </w:tcBorders>
            <w:shd w:val="clear" w:color="auto" w:fill="auto"/>
            <w:noWrap/>
            <w:vAlign w:val="bottom"/>
            <w:hideMark/>
          </w:tcPr>
          <w:p w14:paraId="1EA3546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0.073</w:t>
            </w:r>
          </w:p>
        </w:tc>
        <w:tc>
          <w:tcPr>
            <w:tcW w:w="0" w:type="auto"/>
            <w:tcBorders>
              <w:top w:val="nil"/>
              <w:left w:val="nil"/>
              <w:bottom w:val="nil"/>
              <w:right w:val="nil"/>
            </w:tcBorders>
            <w:shd w:val="clear" w:color="auto" w:fill="auto"/>
            <w:noWrap/>
            <w:vAlign w:val="bottom"/>
            <w:hideMark/>
          </w:tcPr>
          <w:p w14:paraId="7AE8E68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[–0.010, 0.275]</w:t>
            </w:r>
          </w:p>
        </w:tc>
      </w:tr>
      <w:tr w:rsidR="00F30B53" w:rsidRPr="00F30B53" w14:paraId="278FCB5B" w14:textId="77777777" w:rsidTr="00F30B53">
        <w:trPr>
          <w:trHeight w:val="215"/>
        </w:trPr>
        <w:tc>
          <w:tcPr>
            <w:tcW w:w="0" w:type="auto"/>
            <w:tcBorders>
              <w:top w:val="nil"/>
              <w:left w:val="nil"/>
              <w:bottom w:val="nil"/>
              <w:right w:val="nil"/>
            </w:tcBorders>
            <w:shd w:val="clear" w:color="auto" w:fill="auto"/>
            <w:noWrap/>
            <w:vAlign w:val="bottom"/>
            <w:hideMark/>
          </w:tcPr>
          <w:p w14:paraId="114ADA6C"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Published or not-yes</w:t>
            </w:r>
          </w:p>
        </w:tc>
        <w:tc>
          <w:tcPr>
            <w:tcW w:w="0" w:type="auto"/>
            <w:tcBorders>
              <w:top w:val="nil"/>
              <w:left w:val="nil"/>
              <w:bottom w:val="nil"/>
              <w:right w:val="nil"/>
            </w:tcBorders>
            <w:shd w:val="clear" w:color="auto" w:fill="auto"/>
            <w:noWrap/>
            <w:vAlign w:val="center"/>
            <w:hideMark/>
          </w:tcPr>
          <w:p w14:paraId="7FAA0D7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–0.050</w:t>
            </w:r>
          </w:p>
        </w:tc>
        <w:tc>
          <w:tcPr>
            <w:tcW w:w="0" w:type="auto"/>
            <w:tcBorders>
              <w:top w:val="nil"/>
              <w:left w:val="nil"/>
              <w:bottom w:val="nil"/>
              <w:right w:val="nil"/>
            </w:tcBorders>
            <w:shd w:val="clear" w:color="auto" w:fill="auto"/>
            <w:noWrap/>
            <w:vAlign w:val="center"/>
            <w:hideMark/>
          </w:tcPr>
          <w:p w14:paraId="39D2885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0.069</w:t>
            </w:r>
          </w:p>
        </w:tc>
        <w:tc>
          <w:tcPr>
            <w:tcW w:w="0" w:type="auto"/>
            <w:tcBorders>
              <w:top w:val="nil"/>
              <w:left w:val="nil"/>
              <w:bottom w:val="nil"/>
              <w:right w:val="nil"/>
            </w:tcBorders>
            <w:shd w:val="clear" w:color="auto" w:fill="auto"/>
            <w:noWrap/>
            <w:vAlign w:val="center"/>
            <w:hideMark/>
          </w:tcPr>
          <w:p w14:paraId="5CC50E7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[–0.185, 0.084]</w:t>
            </w:r>
          </w:p>
        </w:tc>
        <w:tc>
          <w:tcPr>
            <w:tcW w:w="0" w:type="auto"/>
            <w:tcBorders>
              <w:top w:val="nil"/>
              <w:left w:val="nil"/>
              <w:bottom w:val="nil"/>
              <w:right w:val="nil"/>
            </w:tcBorders>
            <w:shd w:val="clear" w:color="auto" w:fill="auto"/>
            <w:noWrap/>
            <w:vAlign w:val="center"/>
            <w:hideMark/>
          </w:tcPr>
          <w:p w14:paraId="0EC84F5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–0.029</w:t>
            </w:r>
          </w:p>
        </w:tc>
        <w:tc>
          <w:tcPr>
            <w:tcW w:w="0" w:type="auto"/>
            <w:tcBorders>
              <w:top w:val="nil"/>
              <w:left w:val="nil"/>
              <w:bottom w:val="nil"/>
              <w:right w:val="nil"/>
            </w:tcBorders>
            <w:shd w:val="clear" w:color="auto" w:fill="auto"/>
            <w:noWrap/>
            <w:vAlign w:val="center"/>
            <w:hideMark/>
          </w:tcPr>
          <w:p w14:paraId="3599406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0.091</w:t>
            </w:r>
          </w:p>
        </w:tc>
        <w:tc>
          <w:tcPr>
            <w:tcW w:w="0" w:type="auto"/>
            <w:tcBorders>
              <w:top w:val="nil"/>
              <w:left w:val="nil"/>
              <w:bottom w:val="nil"/>
              <w:right w:val="nil"/>
            </w:tcBorders>
            <w:shd w:val="clear" w:color="auto" w:fill="auto"/>
            <w:noWrap/>
            <w:vAlign w:val="center"/>
            <w:hideMark/>
          </w:tcPr>
          <w:p w14:paraId="5347BFC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[–0.208, 0.149]</w:t>
            </w:r>
          </w:p>
        </w:tc>
        <w:tc>
          <w:tcPr>
            <w:tcW w:w="0" w:type="auto"/>
            <w:tcBorders>
              <w:top w:val="nil"/>
              <w:left w:val="nil"/>
              <w:bottom w:val="nil"/>
              <w:right w:val="nil"/>
            </w:tcBorders>
            <w:shd w:val="clear" w:color="auto" w:fill="auto"/>
            <w:noWrap/>
            <w:vAlign w:val="bottom"/>
            <w:hideMark/>
          </w:tcPr>
          <w:p w14:paraId="0294F66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0.054</w:t>
            </w:r>
          </w:p>
        </w:tc>
        <w:tc>
          <w:tcPr>
            <w:tcW w:w="0" w:type="auto"/>
            <w:tcBorders>
              <w:top w:val="nil"/>
              <w:left w:val="nil"/>
              <w:bottom w:val="nil"/>
              <w:right w:val="nil"/>
            </w:tcBorders>
            <w:shd w:val="clear" w:color="auto" w:fill="auto"/>
            <w:noWrap/>
            <w:vAlign w:val="bottom"/>
            <w:hideMark/>
          </w:tcPr>
          <w:p w14:paraId="27BDC7B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0.110</w:t>
            </w:r>
          </w:p>
        </w:tc>
        <w:tc>
          <w:tcPr>
            <w:tcW w:w="0" w:type="auto"/>
            <w:tcBorders>
              <w:top w:val="nil"/>
              <w:left w:val="nil"/>
              <w:bottom w:val="nil"/>
              <w:right w:val="nil"/>
            </w:tcBorders>
            <w:shd w:val="clear" w:color="auto" w:fill="auto"/>
            <w:noWrap/>
            <w:vAlign w:val="bottom"/>
            <w:hideMark/>
          </w:tcPr>
          <w:p w14:paraId="36A308A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[–0.162, 0.270]</w:t>
            </w:r>
          </w:p>
        </w:tc>
      </w:tr>
      <w:tr w:rsidR="00F30B53" w:rsidRPr="00F30B53" w14:paraId="65E3E632" w14:textId="77777777" w:rsidTr="00F30B53">
        <w:trPr>
          <w:trHeight w:val="215"/>
        </w:trPr>
        <w:tc>
          <w:tcPr>
            <w:tcW w:w="0" w:type="auto"/>
            <w:tcBorders>
              <w:top w:val="nil"/>
              <w:left w:val="nil"/>
              <w:bottom w:val="nil"/>
              <w:right w:val="nil"/>
            </w:tcBorders>
            <w:shd w:val="clear" w:color="auto" w:fill="auto"/>
            <w:noWrap/>
            <w:vAlign w:val="bottom"/>
            <w:hideMark/>
          </w:tcPr>
          <w:p w14:paraId="52792FFC"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Trial of cooperation-first</w:t>
            </w:r>
          </w:p>
        </w:tc>
        <w:tc>
          <w:tcPr>
            <w:tcW w:w="0" w:type="auto"/>
            <w:tcBorders>
              <w:top w:val="nil"/>
              <w:left w:val="nil"/>
              <w:bottom w:val="nil"/>
              <w:right w:val="nil"/>
            </w:tcBorders>
            <w:shd w:val="clear" w:color="auto" w:fill="auto"/>
            <w:noWrap/>
            <w:vAlign w:val="center"/>
            <w:hideMark/>
          </w:tcPr>
          <w:p w14:paraId="0E32ACC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0.039</w:t>
            </w:r>
          </w:p>
        </w:tc>
        <w:tc>
          <w:tcPr>
            <w:tcW w:w="0" w:type="auto"/>
            <w:tcBorders>
              <w:top w:val="nil"/>
              <w:left w:val="nil"/>
              <w:bottom w:val="nil"/>
              <w:right w:val="nil"/>
            </w:tcBorders>
            <w:shd w:val="clear" w:color="auto" w:fill="auto"/>
            <w:noWrap/>
            <w:vAlign w:val="center"/>
            <w:hideMark/>
          </w:tcPr>
          <w:p w14:paraId="491B9DD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0.109</w:t>
            </w:r>
          </w:p>
        </w:tc>
        <w:tc>
          <w:tcPr>
            <w:tcW w:w="0" w:type="auto"/>
            <w:tcBorders>
              <w:top w:val="nil"/>
              <w:left w:val="nil"/>
              <w:bottom w:val="nil"/>
              <w:right w:val="nil"/>
            </w:tcBorders>
            <w:shd w:val="clear" w:color="auto" w:fill="auto"/>
            <w:noWrap/>
            <w:vAlign w:val="center"/>
            <w:hideMark/>
          </w:tcPr>
          <w:p w14:paraId="438346D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[–0.176, 0.253]</w:t>
            </w:r>
          </w:p>
        </w:tc>
        <w:tc>
          <w:tcPr>
            <w:tcW w:w="0" w:type="auto"/>
            <w:tcBorders>
              <w:top w:val="nil"/>
              <w:left w:val="nil"/>
              <w:bottom w:val="nil"/>
              <w:right w:val="nil"/>
            </w:tcBorders>
            <w:shd w:val="clear" w:color="auto" w:fill="auto"/>
            <w:noWrap/>
            <w:vAlign w:val="center"/>
            <w:hideMark/>
          </w:tcPr>
          <w:p w14:paraId="1E41FBC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0.167</w:t>
            </w:r>
          </w:p>
        </w:tc>
        <w:tc>
          <w:tcPr>
            <w:tcW w:w="0" w:type="auto"/>
            <w:tcBorders>
              <w:top w:val="nil"/>
              <w:left w:val="nil"/>
              <w:bottom w:val="nil"/>
              <w:right w:val="nil"/>
            </w:tcBorders>
            <w:shd w:val="clear" w:color="auto" w:fill="auto"/>
            <w:noWrap/>
            <w:vAlign w:val="center"/>
            <w:hideMark/>
          </w:tcPr>
          <w:p w14:paraId="6465C2C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0.177</w:t>
            </w:r>
          </w:p>
        </w:tc>
        <w:tc>
          <w:tcPr>
            <w:tcW w:w="0" w:type="auto"/>
            <w:tcBorders>
              <w:top w:val="nil"/>
              <w:left w:val="nil"/>
              <w:bottom w:val="nil"/>
              <w:right w:val="nil"/>
            </w:tcBorders>
            <w:shd w:val="clear" w:color="auto" w:fill="auto"/>
            <w:noWrap/>
            <w:vAlign w:val="center"/>
            <w:hideMark/>
          </w:tcPr>
          <w:p w14:paraId="2EEF692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[–0.180, 0.515]</w:t>
            </w:r>
          </w:p>
        </w:tc>
        <w:tc>
          <w:tcPr>
            <w:tcW w:w="0" w:type="auto"/>
            <w:tcBorders>
              <w:top w:val="nil"/>
              <w:left w:val="nil"/>
              <w:bottom w:val="nil"/>
              <w:right w:val="nil"/>
            </w:tcBorders>
            <w:shd w:val="clear" w:color="auto" w:fill="auto"/>
            <w:noWrap/>
            <w:vAlign w:val="bottom"/>
            <w:hideMark/>
          </w:tcPr>
          <w:p w14:paraId="31A1AA8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–0.046</w:t>
            </w:r>
          </w:p>
        </w:tc>
        <w:tc>
          <w:tcPr>
            <w:tcW w:w="0" w:type="auto"/>
            <w:tcBorders>
              <w:top w:val="nil"/>
              <w:left w:val="nil"/>
              <w:bottom w:val="nil"/>
              <w:right w:val="nil"/>
            </w:tcBorders>
            <w:shd w:val="clear" w:color="auto" w:fill="auto"/>
            <w:noWrap/>
            <w:vAlign w:val="bottom"/>
            <w:hideMark/>
          </w:tcPr>
          <w:p w14:paraId="2216C63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0.069</w:t>
            </w:r>
          </w:p>
        </w:tc>
        <w:tc>
          <w:tcPr>
            <w:tcW w:w="0" w:type="auto"/>
            <w:tcBorders>
              <w:top w:val="nil"/>
              <w:left w:val="nil"/>
              <w:bottom w:val="nil"/>
              <w:right w:val="nil"/>
            </w:tcBorders>
            <w:shd w:val="clear" w:color="auto" w:fill="auto"/>
            <w:noWrap/>
            <w:vAlign w:val="bottom"/>
            <w:hideMark/>
          </w:tcPr>
          <w:p w14:paraId="5EBF246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[–0.181, 0.089]</w:t>
            </w:r>
          </w:p>
        </w:tc>
      </w:tr>
      <w:tr w:rsidR="00F30B53" w:rsidRPr="00F30B53" w14:paraId="7BBDEA87" w14:textId="77777777" w:rsidTr="00F30B53">
        <w:trPr>
          <w:trHeight w:val="215"/>
        </w:trPr>
        <w:tc>
          <w:tcPr>
            <w:tcW w:w="0" w:type="auto"/>
            <w:tcBorders>
              <w:top w:val="nil"/>
              <w:left w:val="nil"/>
              <w:bottom w:val="nil"/>
              <w:right w:val="nil"/>
            </w:tcBorders>
            <w:shd w:val="clear" w:color="auto" w:fill="auto"/>
            <w:noWrap/>
            <w:vAlign w:val="bottom"/>
            <w:hideMark/>
          </w:tcPr>
          <w:p w14:paraId="7302EC25"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Year of data collection</w:t>
            </w:r>
          </w:p>
        </w:tc>
        <w:tc>
          <w:tcPr>
            <w:tcW w:w="0" w:type="auto"/>
            <w:tcBorders>
              <w:top w:val="nil"/>
              <w:left w:val="nil"/>
              <w:bottom w:val="nil"/>
              <w:right w:val="nil"/>
            </w:tcBorders>
            <w:shd w:val="clear" w:color="auto" w:fill="auto"/>
            <w:noWrap/>
            <w:vAlign w:val="center"/>
            <w:hideMark/>
          </w:tcPr>
          <w:p w14:paraId="522A3B6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0.005*</w:t>
            </w:r>
          </w:p>
        </w:tc>
        <w:tc>
          <w:tcPr>
            <w:tcW w:w="0" w:type="auto"/>
            <w:tcBorders>
              <w:top w:val="nil"/>
              <w:left w:val="nil"/>
              <w:bottom w:val="nil"/>
              <w:right w:val="nil"/>
            </w:tcBorders>
            <w:shd w:val="clear" w:color="auto" w:fill="auto"/>
            <w:noWrap/>
            <w:vAlign w:val="center"/>
            <w:hideMark/>
          </w:tcPr>
          <w:p w14:paraId="3936CBB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0.002</w:t>
            </w:r>
          </w:p>
        </w:tc>
        <w:tc>
          <w:tcPr>
            <w:tcW w:w="0" w:type="auto"/>
            <w:tcBorders>
              <w:top w:val="nil"/>
              <w:left w:val="nil"/>
              <w:bottom w:val="nil"/>
              <w:right w:val="nil"/>
            </w:tcBorders>
            <w:shd w:val="clear" w:color="auto" w:fill="auto"/>
            <w:noWrap/>
            <w:vAlign w:val="center"/>
            <w:hideMark/>
          </w:tcPr>
          <w:p w14:paraId="0631324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[0.002, 0.008]</w:t>
            </w:r>
          </w:p>
        </w:tc>
        <w:tc>
          <w:tcPr>
            <w:tcW w:w="0" w:type="auto"/>
            <w:tcBorders>
              <w:top w:val="nil"/>
              <w:left w:val="nil"/>
              <w:bottom w:val="nil"/>
              <w:right w:val="nil"/>
            </w:tcBorders>
            <w:shd w:val="clear" w:color="auto" w:fill="auto"/>
            <w:noWrap/>
            <w:vAlign w:val="center"/>
            <w:hideMark/>
          </w:tcPr>
          <w:p w14:paraId="286178C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0.006</w:t>
            </w:r>
          </w:p>
        </w:tc>
        <w:tc>
          <w:tcPr>
            <w:tcW w:w="0" w:type="auto"/>
            <w:tcBorders>
              <w:top w:val="nil"/>
              <w:left w:val="nil"/>
              <w:bottom w:val="nil"/>
              <w:right w:val="nil"/>
            </w:tcBorders>
            <w:shd w:val="clear" w:color="auto" w:fill="auto"/>
            <w:noWrap/>
            <w:vAlign w:val="center"/>
            <w:hideMark/>
          </w:tcPr>
          <w:p w14:paraId="3E630E4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0.003</w:t>
            </w:r>
          </w:p>
        </w:tc>
        <w:tc>
          <w:tcPr>
            <w:tcW w:w="0" w:type="auto"/>
            <w:tcBorders>
              <w:top w:val="nil"/>
              <w:left w:val="nil"/>
              <w:bottom w:val="nil"/>
              <w:right w:val="nil"/>
            </w:tcBorders>
            <w:shd w:val="clear" w:color="auto" w:fill="auto"/>
            <w:noWrap/>
            <w:vAlign w:val="center"/>
            <w:hideMark/>
          </w:tcPr>
          <w:p w14:paraId="7926DB0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 0.012]</w:t>
            </w:r>
          </w:p>
        </w:tc>
        <w:tc>
          <w:tcPr>
            <w:tcW w:w="0" w:type="auto"/>
            <w:tcBorders>
              <w:top w:val="nil"/>
              <w:left w:val="nil"/>
              <w:bottom w:val="nil"/>
              <w:right w:val="nil"/>
            </w:tcBorders>
            <w:shd w:val="clear" w:color="auto" w:fill="auto"/>
            <w:noWrap/>
            <w:vAlign w:val="bottom"/>
            <w:hideMark/>
          </w:tcPr>
          <w:p w14:paraId="62ACBE2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0.005*</w:t>
            </w:r>
          </w:p>
        </w:tc>
        <w:tc>
          <w:tcPr>
            <w:tcW w:w="0" w:type="auto"/>
            <w:tcBorders>
              <w:top w:val="nil"/>
              <w:left w:val="nil"/>
              <w:bottom w:val="nil"/>
              <w:right w:val="nil"/>
            </w:tcBorders>
            <w:shd w:val="clear" w:color="auto" w:fill="auto"/>
            <w:noWrap/>
            <w:vAlign w:val="bottom"/>
            <w:hideMark/>
          </w:tcPr>
          <w:p w14:paraId="1808DEA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0.002</w:t>
            </w:r>
          </w:p>
        </w:tc>
        <w:tc>
          <w:tcPr>
            <w:tcW w:w="0" w:type="auto"/>
            <w:tcBorders>
              <w:top w:val="nil"/>
              <w:left w:val="nil"/>
              <w:bottom w:val="nil"/>
              <w:right w:val="nil"/>
            </w:tcBorders>
            <w:shd w:val="clear" w:color="auto" w:fill="auto"/>
            <w:noWrap/>
            <w:vAlign w:val="bottom"/>
            <w:hideMark/>
          </w:tcPr>
          <w:p w14:paraId="275179E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[0.002, 0.008]</w:t>
            </w:r>
          </w:p>
        </w:tc>
      </w:tr>
      <w:tr w:rsidR="00F30B53" w:rsidRPr="00F30B53" w14:paraId="19DB678D" w14:textId="77777777" w:rsidTr="00F30B53">
        <w:trPr>
          <w:trHeight w:val="215"/>
        </w:trPr>
        <w:tc>
          <w:tcPr>
            <w:tcW w:w="0" w:type="auto"/>
            <w:tcBorders>
              <w:top w:val="nil"/>
              <w:left w:val="nil"/>
              <w:bottom w:val="nil"/>
              <w:right w:val="nil"/>
            </w:tcBorders>
            <w:shd w:val="clear" w:color="auto" w:fill="auto"/>
            <w:noWrap/>
            <w:vAlign w:val="bottom"/>
            <w:hideMark/>
          </w:tcPr>
          <w:p w14:paraId="3FDB40EB" w14:textId="77777777" w:rsidR="00F30B53" w:rsidRPr="00F30B53" w:rsidRDefault="00F30B53" w:rsidP="00F30B53">
            <w:pPr>
              <w:spacing w:line="240" w:lineRule="auto"/>
              <w:rPr>
                <w:rFonts w:eastAsia="Times New Roman" w:cs="Times New Roman"/>
                <w:i/>
                <w:iCs/>
                <w:color w:val="000000"/>
                <w:sz w:val="16"/>
                <w:szCs w:val="16"/>
                <w:lang w:val="en-GB" w:eastAsia="zh-CN"/>
              </w:rPr>
            </w:pPr>
            <w:r w:rsidRPr="00F30B53">
              <w:rPr>
                <w:rFonts w:eastAsia="Times New Roman" w:cs="Times New Roman"/>
                <w:i/>
                <w:iCs/>
                <w:color w:val="000000"/>
                <w:sz w:val="16"/>
                <w:szCs w:val="16"/>
                <w:lang w:val="en-GB" w:eastAsia="zh-CN"/>
              </w:rPr>
              <w:t>Sample variables</w:t>
            </w:r>
          </w:p>
        </w:tc>
        <w:tc>
          <w:tcPr>
            <w:tcW w:w="0" w:type="auto"/>
            <w:tcBorders>
              <w:top w:val="nil"/>
              <w:left w:val="nil"/>
              <w:bottom w:val="nil"/>
              <w:right w:val="nil"/>
            </w:tcBorders>
            <w:shd w:val="clear" w:color="auto" w:fill="auto"/>
            <w:noWrap/>
            <w:vAlign w:val="center"/>
            <w:hideMark/>
          </w:tcPr>
          <w:p w14:paraId="59564538" w14:textId="77777777" w:rsidR="00F30B53" w:rsidRPr="00F30B53" w:rsidRDefault="00F30B53" w:rsidP="00F30B53">
            <w:pPr>
              <w:spacing w:line="240" w:lineRule="auto"/>
              <w:rPr>
                <w:rFonts w:eastAsia="Times New Roman" w:cs="Times New Roman"/>
                <w:i/>
                <w:iCs/>
                <w:color w:val="000000"/>
                <w:sz w:val="16"/>
                <w:szCs w:val="16"/>
                <w:lang w:val="en-GB" w:eastAsia="zh-CN"/>
              </w:rPr>
            </w:pPr>
          </w:p>
        </w:tc>
        <w:tc>
          <w:tcPr>
            <w:tcW w:w="0" w:type="auto"/>
            <w:tcBorders>
              <w:top w:val="nil"/>
              <w:left w:val="nil"/>
              <w:bottom w:val="nil"/>
              <w:right w:val="nil"/>
            </w:tcBorders>
            <w:shd w:val="clear" w:color="auto" w:fill="auto"/>
            <w:noWrap/>
            <w:vAlign w:val="center"/>
            <w:hideMark/>
          </w:tcPr>
          <w:p w14:paraId="5DAA6AFB"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6DD6FFC4"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6C1EE136"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77B2BABE"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1EB2FB0B"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bottom"/>
            <w:hideMark/>
          </w:tcPr>
          <w:p w14:paraId="53559DC0"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bottom"/>
            <w:hideMark/>
          </w:tcPr>
          <w:p w14:paraId="1691B6E7"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bottom"/>
            <w:hideMark/>
          </w:tcPr>
          <w:p w14:paraId="6F2281D3" w14:textId="77777777" w:rsidR="00F30B53" w:rsidRPr="00F30B53" w:rsidRDefault="00F30B53" w:rsidP="00F30B53">
            <w:pPr>
              <w:spacing w:line="240" w:lineRule="auto"/>
              <w:jc w:val="center"/>
              <w:rPr>
                <w:rFonts w:eastAsia="Times New Roman" w:cs="Times New Roman"/>
                <w:sz w:val="20"/>
                <w:szCs w:val="20"/>
                <w:lang w:val="en-GB" w:eastAsia="zh-CN"/>
              </w:rPr>
            </w:pPr>
          </w:p>
        </w:tc>
      </w:tr>
      <w:tr w:rsidR="00F30B53" w:rsidRPr="00F30B53" w14:paraId="28C6B8EE" w14:textId="77777777" w:rsidTr="00F30B53">
        <w:trPr>
          <w:trHeight w:val="215"/>
        </w:trPr>
        <w:tc>
          <w:tcPr>
            <w:tcW w:w="0" w:type="auto"/>
            <w:tcBorders>
              <w:top w:val="nil"/>
              <w:left w:val="nil"/>
              <w:bottom w:val="nil"/>
              <w:right w:val="nil"/>
            </w:tcBorders>
            <w:shd w:val="clear" w:color="auto" w:fill="auto"/>
            <w:noWrap/>
            <w:vAlign w:val="bottom"/>
            <w:hideMark/>
          </w:tcPr>
          <w:p w14:paraId="11205548"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Age (Mean)</w:t>
            </w:r>
          </w:p>
        </w:tc>
        <w:tc>
          <w:tcPr>
            <w:tcW w:w="0" w:type="auto"/>
            <w:tcBorders>
              <w:top w:val="nil"/>
              <w:left w:val="nil"/>
              <w:bottom w:val="nil"/>
              <w:right w:val="nil"/>
            </w:tcBorders>
            <w:shd w:val="clear" w:color="auto" w:fill="auto"/>
            <w:noWrap/>
            <w:vAlign w:val="center"/>
            <w:hideMark/>
          </w:tcPr>
          <w:p w14:paraId="2074627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–0.004</w:t>
            </w:r>
          </w:p>
        </w:tc>
        <w:tc>
          <w:tcPr>
            <w:tcW w:w="0" w:type="auto"/>
            <w:tcBorders>
              <w:top w:val="nil"/>
              <w:left w:val="nil"/>
              <w:bottom w:val="nil"/>
              <w:right w:val="nil"/>
            </w:tcBorders>
            <w:shd w:val="clear" w:color="auto" w:fill="auto"/>
            <w:noWrap/>
            <w:vAlign w:val="center"/>
            <w:hideMark/>
          </w:tcPr>
          <w:p w14:paraId="2BF1D7E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0.003</w:t>
            </w:r>
          </w:p>
        </w:tc>
        <w:tc>
          <w:tcPr>
            <w:tcW w:w="0" w:type="auto"/>
            <w:tcBorders>
              <w:top w:val="nil"/>
              <w:left w:val="nil"/>
              <w:bottom w:val="nil"/>
              <w:right w:val="nil"/>
            </w:tcBorders>
            <w:shd w:val="clear" w:color="auto" w:fill="auto"/>
            <w:noWrap/>
            <w:vAlign w:val="center"/>
            <w:hideMark/>
          </w:tcPr>
          <w:p w14:paraId="77F58C7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[–0.011, 0.003]</w:t>
            </w:r>
          </w:p>
        </w:tc>
        <w:tc>
          <w:tcPr>
            <w:tcW w:w="0" w:type="auto"/>
            <w:tcBorders>
              <w:top w:val="nil"/>
              <w:left w:val="nil"/>
              <w:bottom w:val="nil"/>
              <w:right w:val="nil"/>
            </w:tcBorders>
            <w:shd w:val="clear" w:color="auto" w:fill="auto"/>
            <w:noWrap/>
            <w:vAlign w:val="center"/>
            <w:hideMark/>
          </w:tcPr>
          <w:p w14:paraId="221B9F1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–0.005</w:t>
            </w:r>
          </w:p>
        </w:tc>
        <w:tc>
          <w:tcPr>
            <w:tcW w:w="0" w:type="auto"/>
            <w:tcBorders>
              <w:top w:val="nil"/>
              <w:left w:val="nil"/>
              <w:bottom w:val="nil"/>
              <w:right w:val="nil"/>
            </w:tcBorders>
            <w:shd w:val="clear" w:color="auto" w:fill="auto"/>
            <w:noWrap/>
            <w:vAlign w:val="center"/>
            <w:hideMark/>
          </w:tcPr>
          <w:p w14:paraId="18B3A6D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0.005</w:t>
            </w:r>
          </w:p>
        </w:tc>
        <w:tc>
          <w:tcPr>
            <w:tcW w:w="0" w:type="auto"/>
            <w:tcBorders>
              <w:top w:val="nil"/>
              <w:left w:val="nil"/>
              <w:bottom w:val="nil"/>
              <w:right w:val="nil"/>
            </w:tcBorders>
            <w:shd w:val="clear" w:color="auto" w:fill="auto"/>
            <w:noWrap/>
            <w:vAlign w:val="center"/>
            <w:hideMark/>
          </w:tcPr>
          <w:p w14:paraId="3F14BD1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[–0.015, 0.004]</w:t>
            </w:r>
          </w:p>
        </w:tc>
        <w:tc>
          <w:tcPr>
            <w:tcW w:w="0" w:type="auto"/>
            <w:tcBorders>
              <w:top w:val="nil"/>
              <w:left w:val="nil"/>
              <w:bottom w:val="nil"/>
              <w:right w:val="nil"/>
            </w:tcBorders>
            <w:shd w:val="clear" w:color="auto" w:fill="auto"/>
            <w:noWrap/>
            <w:vAlign w:val="bottom"/>
            <w:hideMark/>
          </w:tcPr>
          <w:p w14:paraId="19A697D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–0.006</w:t>
            </w:r>
          </w:p>
        </w:tc>
        <w:tc>
          <w:tcPr>
            <w:tcW w:w="0" w:type="auto"/>
            <w:tcBorders>
              <w:top w:val="nil"/>
              <w:left w:val="nil"/>
              <w:bottom w:val="nil"/>
              <w:right w:val="nil"/>
            </w:tcBorders>
            <w:shd w:val="clear" w:color="auto" w:fill="auto"/>
            <w:noWrap/>
            <w:vAlign w:val="bottom"/>
            <w:hideMark/>
          </w:tcPr>
          <w:p w14:paraId="271BB1F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0.003</w:t>
            </w:r>
          </w:p>
        </w:tc>
        <w:tc>
          <w:tcPr>
            <w:tcW w:w="0" w:type="auto"/>
            <w:tcBorders>
              <w:top w:val="nil"/>
              <w:left w:val="nil"/>
              <w:bottom w:val="nil"/>
              <w:right w:val="nil"/>
            </w:tcBorders>
            <w:shd w:val="clear" w:color="auto" w:fill="auto"/>
            <w:noWrap/>
            <w:vAlign w:val="bottom"/>
            <w:hideMark/>
          </w:tcPr>
          <w:p w14:paraId="6C87975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[–0.013, 0.001]</w:t>
            </w:r>
          </w:p>
        </w:tc>
      </w:tr>
      <w:tr w:rsidR="00F30B53" w:rsidRPr="00F30B53" w14:paraId="0F9E55AC" w14:textId="77777777" w:rsidTr="00F30B53">
        <w:trPr>
          <w:trHeight w:val="215"/>
        </w:trPr>
        <w:tc>
          <w:tcPr>
            <w:tcW w:w="0" w:type="auto"/>
            <w:tcBorders>
              <w:top w:val="nil"/>
              <w:left w:val="nil"/>
              <w:bottom w:val="nil"/>
              <w:right w:val="nil"/>
            </w:tcBorders>
            <w:shd w:val="clear" w:color="auto" w:fill="auto"/>
            <w:noWrap/>
            <w:vAlign w:val="bottom"/>
            <w:hideMark/>
          </w:tcPr>
          <w:p w14:paraId="6AB15CE6"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Discipline-psychology</w:t>
            </w:r>
          </w:p>
        </w:tc>
        <w:tc>
          <w:tcPr>
            <w:tcW w:w="0" w:type="auto"/>
            <w:tcBorders>
              <w:top w:val="nil"/>
              <w:left w:val="nil"/>
              <w:bottom w:val="nil"/>
              <w:right w:val="nil"/>
            </w:tcBorders>
            <w:shd w:val="clear" w:color="auto" w:fill="auto"/>
            <w:noWrap/>
            <w:vAlign w:val="center"/>
            <w:hideMark/>
          </w:tcPr>
          <w:p w14:paraId="3145C69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0.039</w:t>
            </w:r>
          </w:p>
        </w:tc>
        <w:tc>
          <w:tcPr>
            <w:tcW w:w="0" w:type="auto"/>
            <w:tcBorders>
              <w:top w:val="nil"/>
              <w:left w:val="nil"/>
              <w:bottom w:val="nil"/>
              <w:right w:val="nil"/>
            </w:tcBorders>
            <w:shd w:val="clear" w:color="auto" w:fill="auto"/>
            <w:noWrap/>
            <w:vAlign w:val="center"/>
            <w:hideMark/>
          </w:tcPr>
          <w:p w14:paraId="5CE12D7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0.069</w:t>
            </w:r>
          </w:p>
        </w:tc>
        <w:tc>
          <w:tcPr>
            <w:tcW w:w="0" w:type="auto"/>
            <w:tcBorders>
              <w:top w:val="nil"/>
              <w:left w:val="nil"/>
              <w:bottom w:val="nil"/>
              <w:right w:val="nil"/>
            </w:tcBorders>
            <w:shd w:val="clear" w:color="auto" w:fill="auto"/>
            <w:noWrap/>
            <w:vAlign w:val="center"/>
            <w:hideMark/>
          </w:tcPr>
          <w:p w14:paraId="4599B2B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[–0.096, 0.174]</w:t>
            </w:r>
          </w:p>
        </w:tc>
        <w:tc>
          <w:tcPr>
            <w:tcW w:w="0" w:type="auto"/>
            <w:tcBorders>
              <w:top w:val="nil"/>
              <w:left w:val="nil"/>
              <w:bottom w:val="nil"/>
              <w:right w:val="nil"/>
            </w:tcBorders>
            <w:shd w:val="clear" w:color="auto" w:fill="auto"/>
            <w:noWrap/>
            <w:vAlign w:val="center"/>
            <w:hideMark/>
          </w:tcPr>
          <w:p w14:paraId="346A5F8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0.239*</w:t>
            </w:r>
          </w:p>
        </w:tc>
        <w:tc>
          <w:tcPr>
            <w:tcW w:w="0" w:type="auto"/>
            <w:tcBorders>
              <w:top w:val="nil"/>
              <w:left w:val="nil"/>
              <w:bottom w:val="nil"/>
              <w:right w:val="nil"/>
            </w:tcBorders>
            <w:shd w:val="clear" w:color="auto" w:fill="auto"/>
            <w:noWrap/>
            <w:vAlign w:val="center"/>
            <w:hideMark/>
          </w:tcPr>
          <w:p w14:paraId="6FDF0B8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0.087</w:t>
            </w:r>
          </w:p>
        </w:tc>
        <w:tc>
          <w:tcPr>
            <w:tcW w:w="0" w:type="auto"/>
            <w:tcBorders>
              <w:top w:val="nil"/>
              <w:left w:val="nil"/>
              <w:bottom w:val="nil"/>
              <w:right w:val="nil"/>
            </w:tcBorders>
            <w:shd w:val="clear" w:color="auto" w:fill="auto"/>
            <w:noWrap/>
            <w:vAlign w:val="center"/>
            <w:hideMark/>
          </w:tcPr>
          <w:p w14:paraId="5ACA9D0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[0.068, 0.411]</w:t>
            </w:r>
          </w:p>
        </w:tc>
        <w:tc>
          <w:tcPr>
            <w:tcW w:w="0" w:type="auto"/>
            <w:tcBorders>
              <w:top w:val="nil"/>
              <w:left w:val="nil"/>
              <w:bottom w:val="nil"/>
              <w:right w:val="nil"/>
            </w:tcBorders>
            <w:shd w:val="clear" w:color="auto" w:fill="auto"/>
            <w:noWrap/>
            <w:vAlign w:val="center"/>
            <w:hideMark/>
          </w:tcPr>
          <w:p w14:paraId="29F5EA2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5A25D71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78B9EBF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r>
      <w:tr w:rsidR="00F30B53" w:rsidRPr="00F30B53" w14:paraId="39EE059F" w14:textId="77777777" w:rsidTr="00F30B53">
        <w:trPr>
          <w:trHeight w:val="215"/>
        </w:trPr>
        <w:tc>
          <w:tcPr>
            <w:tcW w:w="0" w:type="auto"/>
            <w:tcBorders>
              <w:top w:val="nil"/>
              <w:left w:val="nil"/>
              <w:bottom w:val="nil"/>
              <w:right w:val="nil"/>
            </w:tcBorders>
            <w:shd w:val="clear" w:color="auto" w:fill="auto"/>
            <w:noWrap/>
            <w:vAlign w:val="bottom"/>
            <w:hideMark/>
          </w:tcPr>
          <w:p w14:paraId="48497389"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Discipline-other</w:t>
            </w:r>
          </w:p>
        </w:tc>
        <w:tc>
          <w:tcPr>
            <w:tcW w:w="0" w:type="auto"/>
            <w:tcBorders>
              <w:top w:val="nil"/>
              <w:left w:val="nil"/>
              <w:bottom w:val="nil"/>
              <w:right w:val="nil"/>
            </w:tcBorders>
            <w:shd w:val="clear" w:color="auto" w:fill="auto"/>
            <w:noWrap/>
            <w:vAlign w:val="center"/>
            <w:hideMark/>
          </w:tcPr>
          <w:p w14:paraId="44E2369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0.007</w:t>
            </w:r>
          </w:p>
        </w:tc>
        <w:tc>
          <w:tcPr>
            <w:tcW w:w="0" w:type="auto"/>
            <w:tcBorders>
              <w:top w:val="nil"/>
              <w:left w:val="nil"/>
              <w:bottom w:val="nil"/>
              <w:right w:val="nil"/>
            </w:tcBorders>
            <w:shd w:val="clear" w:color="auto" w:fill="auto"/>
            <w:noWrap/>
            <w:vAlign w:val="center"/>
            <w:hideMark/>
          </w:tcPr>
          <w:p w14:paraId="3556422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0.059</w:t>
            </w:r>
          </w:p>
        </w:tc>
        <w:tc>
          <w:tcPr>
            <w:tcW w:w="0" w:type="auto"/>
            <w:tcBorders>
              <w:top w:val="nil"/>
              <w:left w:val="nil"/>
              <w:bottom w:val="nil"/>
              <w:right w:val="nil"/>
            </w:tcBorders>
            <w:shd w:val="clear" w:color="auto" w:fill="auto"/>
            <w:noWrap/>
            <w:vAlign w:val="center"/>
            <w:hideMark/>
          </w:tcPr>
          <w:p w14:paraId="4934F4E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[–0.109, 0.123]</w:t>
            </w:r>
          </w:p>
        </w:tc>
        <w:tc>
          <w:tcPr>
            <w:tcW w:w="0" w:type="auto"/>
            <w:tcBorders>
              <w:top w:val="nil"/>
              <w:left w:val="nil"/>
              <w:bottom w:val="nil"/>
              <w:right w:val="nil"/>
            </w:tcBorders>
            <w:shd w:val="clear" w:color="auto" w:fill="auto"/>
            <w:noWrap/>
            <w:vAlign w:val="center"/>
            <w:hideMark/>
          </w:tcPr>
          <w:p w14:paraId="0FA47C9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0.019</w:t>
            </w:r>
          </w:p>
        </w:tc>
        <w:tc>
          <w:tcPr>
            <w:tcW w:w="0" w:type="auto"/>
            <w:tcBorders>
              <w:top w:val="nil"/>
              <w:left w:val="nil"/>
              <w:bottom w:val="nil"/>
              <w:right w:val="nil"/>
            </w:tcBorders>
            <w:shd w:val="clear" w:color="auto" w:fill="auto"/>
            <w:noWrap/>
            <w:vAlign w:val="center"/>
            <w:hideMark/>
          </w:tcPr>
          <w:p w14:paraId="344B8C0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0.062</w:t>
            </w:r>
          </w:p>
        </w:tc>
        <w:tc>
          <w:tcPr>
            <w:tcW w:w="0" w:type="auto"/>
            <w:tcBorders>
              <w:top w:val="nil"/>
              <w:left w:val="nil"/>
              <w:bottom w:val="nil"/>
              <w:right w:val="nil"/>
            </w:tcBorders>
            <w:shd w:val="clear" w:color="auto" w:fill="auto"/>
            <w:noWrap/>
            <w:vAlign w:val="center"/>
            <w:hideMark/>
          </w:tcPr>
          <w:p w14:paraId="5148FCE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[–0.103, 0.140]</w:t>
            </w:r>
          </w:p>
        </w:tc>
        <w:tc>
          <w:tcPr>
            <w:tcW w:w="0" w:type="auto"/>
            <w:tcBorders>
              <w:top w:val="nil"/>
              <w:left w:val="nil"/>
              <w:bottom w:val="nil"/>
              <w:right w:val="nil"/>
            </w:tcBorders>
            <w:shd w:val="clear" w:color="auto" w:fill="auto"/>
            <w:noWrap/>
            <w:vAlign w:val="center"/>
            <w:hideMark/>
          </w:tcPr>
          <w:p w14:paraId="781C1C5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6978F6D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60A1CAC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r>
      <w:tr w:rsidR="00F30B53" w:rsidRPr="00F30B53" w14:paraId="37B56240" w14:textId="77777777" w:rsidTr="00F30B53">
        <w:trPr>
          <w:trHeight w:val="215"/>
        </w:trPr>
        <w:tc>
          <w:tcPr>
            <w:tcW w:w="0" w:type="auto"/>
            <w:tcBorders>
              <w:top w:val="nil"/>
              <w:left w:val="nil"/>
              <w:bottom w:val="nil"/>
              <w:right w:val="nil"/>
            </w:tcBorders>
            <w:shd w:val="clear" w:color="auto" w:fill="auto"/>
            <w:noWrap/>
            <w:vAlign w:val="bottom"/>
            <w:hideMark/>
          </w:tcPr>
          <w:p w14:paraId="7B5A74DB"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Discipline-non-student sample</w:t>
            </w:r>
          </w:p>
        </w:tc>
        <w:tc>
          <w:tcPr>
            <w:tcW w:w="0" w:type="auto"/>
            <w:tcBorders>
              <w:top w:val="nil"/>
              <w:left w:val="nil"/>
              <w:bottom w:val="nil"/>
              <w:right w:val="nil"/>
            </w:tcBorders>
            <w:shd w:val="clear" w:color="auto" w:fill="auto"/>
            <w:noWrap/>
            <w:vAlign w:val="center"/>
            <w:hideMark/>
          </w:tcPr>
          <w:p w14:paraId="5841FC6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0.054</w:t>
            </w:r>
          </w:p>
        </w:tc>
        <w:tc>
          <w:tcPr>
            <w:tcW w:w="0" w:type="auto"/>
            <w:tcBorders>
              <w:top w:val="nil"/>
              <w:left w:val="nil"/>
              <w:bottom w:val="nil"/>
              <w:right w:val="nil"/>
            </w:tcBorders>
            <w:shd w:val="clear" w:color="auto" w:fill="auto"/>
            <w:noWrap/>
            <w:vAlign w:val="center"/>
            <w:hideMark/>
          </w:tcPr>
          <w:p w14:paraId="767DE00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0.072</w:t>
            </w:r>
          </w:p>
        </w:tc>
        <w:tc>
          <w:tcPr>
            <w:tcW w:w="0" w:type="auto"/>
            <w:tcBorders>
              <w:top w:val="nil"/>
              <w:left w:val="nil"/>
              <w:bottom w:val="nil"/>
              <w:right w:val="nil"/>
            </w:tcBorders>
            <w:shd w:val="clear" w:color="auto" w:fill="auto"/>
            <w:noWrap/>
            <w:vAlign w:val="center"/>
            <w:hideMark/>
          </w:tcPr>
          <w:p w14:paraId="56074A3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[–0.087, 0.194]</w:t>
            </w:r>
          </w:p>
        </w:tc>
        <w:tc>
          <w:tcPr>
            <w:tcW w:w="0" w:type="auto"/>
            <w:tcBorders>
              <w:top w:val="nil"/>
              <w:left w:val="nil"/>
              <w:bottom w:val="nil"/>
              <w:right w:val="nil"/>
            </w:tcBorders>
            <w:shd w:val="clear" w:color="auto" w:fill="auto"/>
            <w:noWrap/>
            <w:vAlign w:val="center"/>
            <w:hideMark/>
          </w:tcPr>
          <w:p w14:paraId="70B8429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0.133</w:t>
            </w:r>
          </w:p>
        </w:tc>
        <w:tc>
          <w:tcPr>
            <w:tcW w:w="0" w:type="auto"/>
            <w:tcBorders>
              <w:top w:val="nil"/>
              <w:left w:val="nil"/>
              <w:bottom w:val="nil"/>
              <w:right w:val="nil"/>
            </w:tcBorders>
            <w:shd w:val="clear" w:color="auto" w:fill="auto"/>
            <w:noWrap/>
            <w:vAlign w:val="center"/>
            <w:hideMark/>
          </w:tcPr>
          <w:p w14:paraId="67E0077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0.087</w:t>
            </w:r>
          </w:p>
        </w:tc>
        <w:tc>
          <w:tcPr>
            <w:tcW w:w="0" w:type="auto"/>
            <w:tcBorders>
              <w:top w:val="nil"/>
              <w:left w:val="nil"/>
              <w:bottom w:val="nil"/>
              <w:right w:val="nil"/>
            </w:tcBorders>
            <w:shd w:val="clear" w:color="auto" w:fill="auto"/>
            <w:noWrap/>
            <w:vAlign w:val="center"/>
            <w:hideMark/>
          </w:tcPr>
          <w:p w14:paraId="188BC52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[–0.037, 0.303]</w:t>
            </w:r>
          </w:p>
        </w:tc>
        <w:tc>
          <w:tcPr>
            <w:tcW w:w="0" w:type="auto"/>
            <w:tcBorders>
              <w:top w:val="nil"/>
              <w:left w:val="nil"/>
              <w:bottom w:val="nil"/>
              <w:right w:val="nil"/>
            </w:tcBorders>
            <w:shd w:val="clear" w:color="auto" w:fill="auto"/>
            <w:noWrap/>
            <w:vAlign w:val="center"/>
            <w:hideMark/>
          </w:tcPr>
          <w:p w14:paraId="4516A62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0F2241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345EE64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r>
      <w:tr w:rsidR="00F30B53" w:rsidRPr="00F30B53" w14:paraId="22055AAF" w14:textId="77777777" w:rsidTr="00F30B53">
        <w:trPr>
          <w:trHeight w:val="215"/>
        </w:trPr>
        <w:tc>
          <w:tcPr>
            <w:tcW w:w="0" w:type="auto"/>
            <w:tcBorders>
              <w:top w:val="nil"/>
              <w:left w:val="nil"/>
              <w:bottom w:val="nil"/>
              <w:right w:val="nil"/>
            </w:tcBorders>
            <w:shd w:val="clear" w:color="auto" w:fill="auto"/>
            <w:noWrap/>
            <w:vAlign w:val="bottom"/>
            <w:hideMark/>
          </w:tcPr>
          <w:p w14:paraId="44870206"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Student-non-student sample</w:t>
            </w:r>
          </w:p>
        </w:tc>
        <w:tc>
          <w:tcPr>
            <w:tcW w:w="0" w:type="auto"/>
            <w:tcBorders>
              <w:top w:val="nil"/>
              <w:left w:val="nil"/>
              <w:bottom w:val="nil"/>
              <w:right w:val="nil"/>
            </w:tcBorders>
            <w:shd w:val="clear" w:color="auto" w:fill="auto"/>
            <w:noWrap/>
            <w:vAlign w:val="center"/>
            <w:hideMark/>
          </w:tcPr>
          <w:p w14:paraId="0A6572AE"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p>
        </w:tc>
        <w:tc>
          <w:tcPr>
            <w:tcW w:w="0" w:type="auto"/>
            <w:tcBorders>
              <w:top w:val="nil"/>
              <w:left w:val="nil"/>
              <w:bottom w:val="nil"/>
              <w:right w:val="nil"/>
            </w:tcBorders>
            <w:shd w:val="clear" w:color="auto" w:fill="auto"/>
            <w:noWrap/>
            <w:vAlign w:val="center"/>
            <w:hideMark/>
          </w:tcPr>
          <w:p w14:paraId="70ED3029"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565D8283"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5C64D1E6"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22D55D7E"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6E7064B1"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bottom"/>
            <w:hideMark/>
          </w:tcPr>
          <w:p w14:paraId="68D3C3CC"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0.044</w:t>
            </w:r>
          </w:p>
        </w:tc>
        <w:tc>
          <w:tcPr>
            <w:tcW w:w="0" w:type="auto"/>
            <w:tcBorders>
              <w:top w:val="nil"/>
              <w:left w:val="nil"/>
              <w:bottom w:val="nil"/>
              <w:right w:val="nil"/>
            </w:tcBorders>
            <w:shd w:val="clear" w:color="auto" w:fill="auto"/>
            <w:noWrap/>
            <w:vAlign w:val="bottom"/>
            <w:hideMark/>
          </w:tcPr>
          <w:p w14:paraId="1F0B5FB9"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0.049</w:t>
            </w:r>
          </w:p>
        </w:tc>
        <w:tc>
          <w:tcPr>
            <w:tcW w:w="0" w:type="auto"/>
            <w:tcBorders>
              <w:top w:val="nil"/>
              <w:left w:val="nil"/>
              <w:bottom w:val="nil"/>
              <w:right w:val="nil"/>
            </w:tcBorders>
            <w:shd w:val="clear" w:color="auto" w:fill="auto"/>
            <w:noWrap/>
            <w:vAlign w:val="bottom"/>
            <w:hideMark/>
          </w:tcPr>
          <w:p w14:paraId="1264044B"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[–0.053, 0.140]</w:t>
            </w:r>
          </w:p>
        </w:tc>
      </w:tr>
      <w:tr w:rsidR="00F30B53" w:rsidRPr="00F30B53" w14:paraId="208A98DD" w14:textId="77777777" w:rsidTr="00F30B53">
        <w:trPr>
          <w:trHeight w:val="215"/>
        </w:trPr>
        <w:tc>
          <w:tcPr>
            <w:tcW w:w="0" w:type="auto"/>
            <w:tcBorders>
              <w:top w:val="nil"/>
              <w:left w:val="nil"/>
              <w:bottom w:val="nil"/>
              <w:right w:val="nil"/>
            </w:tcBorders>
            <w:shd w:val="clear" w:color="auto" w:fill="auto"/>
            <w:noWrap/>
            <w:vAlign w:val="center"/>
            <w:hideMark/>
          </w:tcPr>
          <w:p w14:paraId="4274B035"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Gender (Male %)</w:t>
            </w:r>
          </w:p>
        </w:tc>
        <w:tc>
          <w:tcPr>
            <w:tcW w:w="0" w:type="auto"/>
            <w:tcBorders>
              <w:top w:val="nil"/>
              <w:left w:val="nil"/>
              <w:bottom w:val="nil"/>
              <w:right w:val="nil"/>
            </w:tcBorders>
            <w:shd w:val="clear" w:color="auto" w:fill="auto"/>
            <w:noWrap/>
            <w:vAlign w:val="center"/>
            <w:hideMark/>
          </w:tcPr>
          <w:p w14:paraId="1198C9C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–0.116</w:t>
            </w:r>
          </w:p>
        </w:tc>
        <w:tc>
          <w:tcPr>
            <w:tcW w:w="0" w:type="auto"/>
            <w:tcBorders>
              <w:top w:val="nil"/>
              <w:left w:val="nil"/>
              <w:bottom w:val="nil"/>
              <w:right w:val="nil"/>
            </w:tcBorders>
            <w:shd w:val="clear" w:color="auto" w:fill="auto"/>
            <w:noWrap/>
            <w:vAlign w:val="center"/>
            <w:hideMark/>
          </w:tcPr>
          <w:p w14:paraId="2D81C00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0.065</w:t>
            </w:r>
          </w:p>
        </w:tc>
        <w:tc>
          <w:tcPr>
            <w:tcW w:w="0" w:type="auto"/>
            <w:tcBorders>
              <w:top w:val="nil"/>
              <w:left w:val="nil"/>
              <w:bottom w:val="nil"/>
              <w:right w:val="nil"/>
            </w:tcBorders>
            <w:shd w:val="clear" w:color="auto" w:fill="auto"/>
            <w:noWrap/>
            <w:vAlign w:val="center"/>
            <w:hideMark/>
          </w:tcPr>
          <w:p w14:paraId="65B13D4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[–0.244, 0.012]</w:t>
            </w:r>
          </w:p>
        </w:tc>
        <w:tc>
          <w:tcPr>
            <w:tcW w:w="0" w:type="auto"/>
            <w:tcBorders>
              <w:top w:val="nil"/>
              <w:left w:val="nil"/>
              <w:bottom w:val="nil"/>
              <w:right w:val="nil"/>
            </w:tcBorders>
            <w:shd w:val="clear" w:color="auto" w:fill="auto"/>
            <w:noWrap/>
            <w:vAlign w:val="center"/>
            <w:hideMark/>
          </w:tcPr>
          <w:p w14:paraId="5B890AC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–0.247</w:t>
            </w:r>
          </w:p>
        </w:tc>
        <w:tc>
          <w:tcPr>
            <w:tcW w:w="0" w:type="auto"/>
            <w:tcBorders>
              <w:top w:val="nil"/>
              <w:left w:val="nil"/>
              <w:bottom w:val="nil"/>
              <w:right w:val="nil"/>
            </w:tcBorders>
            <w:shd w:val="clear" w:color="auto" w:fill="auto"/>
            <w:noWrap/>
            <w:vAlign w:val="center"/>
            <w:hideMark/>
          </w:tcPr>
          <w:p w14:paraId="3370999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0.100</w:t>
            </w:r>
          </w:p>
        </w:tc>
        <w:tc>
          <w:tcPr>
            <w:tcW w:w="0" w:type="auto"/>
            <w:tcBorders>
              <w:top w:val="nil"/>
              <w:left w:val="nil"/>
              <w:bottom w:val="nil"/>
              <w:right w:val="nil"/>
            </w:tcBorders>
            <w:shd w:val="clear" w:color="auto" w:fill="auto"/>
            <w:noWrap/>
            <w:vAlign w:val="center"/>
            <w:hideMark/>
          </w:tcPr>
          <w:p w14:paraId="01C203E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[–0.443, –0.052]</w:t>
            </w:r>
          </w:p>
        </w:tc>
        <w:tc>
          <w:tcPr>
            <w:tcW w:w="0" w:type="auto"/>
            <w:tcBorders>
              <w:top w:val="nil"/>
              <w:left w:val="nil"/>
              <w:bottom w:val="nil"/>
              <w:right w:val="nil"/>
            </w:tcBorders>
            <w:shd w:val="clear" w:color="auto" w:fill="auto"/>
            <w:noWrap/>
            <w:vAlign w:val="bottom"/>
            <w:hideMark/>
          </w:tcPr>
          <w:p w14:paraId="0B1BEBD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–0.077</w:t>
            </w:r>
          </w:p>
        </w:tc>
        <w:tc>
          <w:tcPr>
            <w:tcW w:w="0" w:type="auto"/>
            <w:tcBorders>
              <w:top w:val="nil"/>
              <w:left w:val="nil"/>
              <w:bottom w:val="nil"/>
              <w:right w:val="nil"/>
            </w:tcBorders>
            <w:shd w:val="clear" w:color="auto" w:fill="auto"/>
            <w:noWrap/>
            <w:vAlign w:val="bottom"/>
            <w:hideMark/>
          </w:tcPr>
          <w:p w14:paraId="4934534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0.066</w:t>
            </w:r>
          </w:p>
        </w:tc>
        <w:tc>
          <w:tcPr>
            <w:tcW w:w="0" w:type="auto"/>
            <w:tcBorders>
              <w:top w:val="nil"/>
              <w:left w:val="nil"/>
              <w:bottom w:val="nil"/>
              <w:right w:val="nil"/>
            </w:tcBorders>
            <w:shd w:val="clear" w:color="auto" w:fill="auto"/>
            <w:noWrap/>
            <w:vAlign w:val="bottom"/>
            <w:hideMark/>
          </w:tcPr>
          <w:p w14:paraId="776CB5E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[–0.206, 0.052]</w:t>
            </w:r>
          </w:p>
        </w:tc>
      </w:tr>
      <w:tr w:rsidR="00F30B53" w:rsidRPr="00F30B53" w14:paraId="1E3195DB" w14:textId="77777777" w:rsidTr="00F30B53">
        <w:trPr>
          <w:trHeight w:val="215"/>
        </w:trPr>
        <w:tc>
          <w:tcPr>
            <w:tcW w:w="0" w:type="auto"/>
            <w:tcBorders>
              <w:top w:val="nil"/>
              <w:left w:val="nil"/>
              <w:bottom w:val="nil"/>
              <w:right w:val="nil"/>
            </w:tcBorders>
            <w:shd w:val="clear" w:color="auto" w:fill="auto"/>
            <w:noWrap/>
            <w:vAlign w:val="center"/>
            <w:hideMark/>
          </w:tcPr>
          <w:p w14:paraId="00171035" w14:textId="77777777" w:rsidR="00F30B53" w:rsidRPr="00F30B53" w:rsidRDefault="00F30B53" w:rsidP="00F30B53">
            <w:pPr>
              <w:spacing w:line="240" w:lineRule="auto"/>
              <w:rPr>
                <w:rFonts w:eastAsia="Times New Roman" w:cs="Times New Roman"/>
                <w:i/>
                <w:iCs/>
                <w:color w:val="000000"/>
                <w:sz w:val="16"/>
                <w:szCs w:val="16"/>
                <w:lang w:val="en-GB" w:eastAsia="zh-CN"/>
              </w:rPr>
            </w:pPr>
            <w:r w:rsidRPr="00F30B53">
              <w:rPr>
                <w:rFonts w:eastAsia="Times New Roman" w:cs="Times New Roman"/>
                <w:i/>
                <w:iCs/>
                <w:color w:val="000000"/>
                <w:sz w:val="16"/>
                <w:szCs w:val="16"/>
                <w:lang w:val="en-GB" w:eastAsia="zh-CN"/>
              </w:rPr>
              <w:t>Structural variables</w:t>
            </w:r>
          </w:p>
        </w:tc>
        <w:tc>
          <w:tcPr>
            <w:tcW w:w="0" w:type="auto"/>
            <w:tcBorders>
              <w:top w:val="nil"/>
              <w:left w:val="nil"/>
              <w:bottom w:val="nil"/>
              <w:right w:val="nil"/>
            </w:tcBorders>
            <w:shd w:val="clear" w:color="auto" w:fill="auto"/>
            <w:noWrap/>
            <w:vAlign w:val="center"/>
            <w:hideMark/>
          </w:tcPr>
          <w:p w14:paraId="0FD58465" w14:textId="77777777" w:rsidR="00F30B53" w:rsidRPr="00F30B53" w:rsidRDefault="00F30B53" w:rsidP="00F30B53">
            <w:pPr>
              <w:spacing w:line="240" w:lineRule="auto"/>
              <w:rPr>
                <w:rFonts w:eastAsia="Times New Roman" w:cs="Times New Roman"/>
                <w:i/>
                <w:iCs/>
                <w:color w:val="000000"/>
                <w:sz w:val="16"/>
                <w:szCs w:val="16"/>
                <w:lang w:val="en-GB" w:eastAsia="zh-CN"/>
              </w:rPr>
            </w:pPr>
          </w:p>
        </w:tc>
        <w:tc>
          <w:tcPr>
            <w:tcW w:w="0" w:type="auto"/>
            <w:tcBorders>
              <w:top w:val="nil"/>
              <w:left w:val="nil"/>
              <w:bottom w:val="nil"/>
              <w:right w:val="nil"/>
            </w:tcBorders>
            <w:shd w:val="clear" w:color="auto" w:fill="auto"/>
            <w:noWrap/>
            <w:vAlign w:val="center"/>
            <w:hideMark/>
          </w:tcPr>
          <w:p w14:paraId="0D44C095"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219CC381"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1604F610"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57608F0A"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2E5C5A8F"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bottom"/>
            <w:hideMark/>
          </w:tcPr>
          <w:p w14:paraId="280AF751"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bottom"/>
            <w:hideMark/>
          </w:tcPr>
          <w:p w14:paraId="47BEB052"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bottom"/>
            <w:hideMark/>
          </w:tcPr>
          <w:p w14:paraId="797F2815" w14:textId="77777777" w:rsidR="00F30B53" w:rsidRPr="00F30B53" w:rsidRDefault="00F30B53" w:rsidP="00F30B53">
            <w:pPr>
              <w:spacing w:line="240" w:lineRule="auto"/>
              <w:jc w:val="center"/>
              <w:rPr>
                <w:rFonts w:eastAsia="Times New Roman" w:cs="Times New Roman"/>
                <w:sz w:val="20"/>
                <w:szCs w:val="20"/>
                <w:lang w:val="en-GB" w:eastAsia="zh-CN"/>
              </w:rPr>
            </w:pPr>
          </w:p>
        </w:tc>
      </w:tr>
      <w:tr w:rsidR="00F30B53" w:rsidRPr="00F30B53" w14:paraId="7416013A" w14:textId="77777777" w:rsidTr="00F30B53">
        <w:trPr>
          <w:trHeight w:val="215"/>
        </w:trPr>
        <w:tc>
          <w:tcPr>
            <w:tcW w:w="0" w:type="auto"/>
            <w:tcBorders>
              <w:top w:val="nil"/>
              <w:left w:val="nil"/>
              <w:bottom w:val="nil"/>
              <w:right w:val="nil"/>
            </w:tcBorders>
            <w:shd w:val="clear" w:color="auto" w:fill="auto"/>
            <w:noWrap/>
            <w:vAlign w:val="bottom"/>
            <w:hideMark/>
          </w:tcPr>
          <w:p w14:paraId="6F4EBF82"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Conflict of interests-step level PGD</w:t>
            </w:r>
          </w:p>
        </w:tc>
        <w:tc>
          <w:tcPr>
            <w:tcW w:w="0" w:type="auto"/>
            <w:tcBorders>
              <w:top w:val="nil"/>
              <w:left w:val="nil"/>
              <w:bottom w:val="nil"/>
              <w:right w:val="nil"/>
            </w:tcBorders>
            <w:shd w:val="clear" w:color="auto" w:fill="auto"/>
            <w:noWrap/>
            <w:vAlign w:val="center"/>
            <w:hideMark/>
          </w:tcPr>
          <w:p w14:paraId="3B15CCF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4E6531E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B38C67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6C225848"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0.285*</w:t>
            </w:r>
          </w:p>
        </w:tc>
        <w:tc>
          <w:tcPr>
            <w:tcW w:w="0" w:type="auto"/>
            <w:tcBorders>
              <w:top w:val="nil"/>
              <w:left w:val="nil"/>
              <w:bottom w:val="nil"/>
              <w:right w:val="nil"/>
            </w:tcBorders>
            <w:shd w:val="clear" w:color="auto" w:fill="auto"/>
            <w:noWrap/>
            <w:vAlign w:val="center"/>
            <w:hideMark/>
          </w:tcPr>
          <w:p w14:paraId="7CA1C3EE"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0.064</w:t>
            </w:r>
          </w:p>
        </w:tc>
        <w:tc>
          <w:tcPr>
            <w:tcW w:w="0" w:type="auto"/>
            <w:tcBorders>
              <w:top w:val="nil"/>
              <w:left w:val="nil"/>
              <w:bottom w:val="nil"/>
              <w:right w:val="nil"/>
            </w:tcBorders>
            <w:shd w:val="clear" w:color="auto" w:fill="auto"/>
            <w:noWrap/>
            <w:vAlign w:val="center"/>
            <w:hideMark/>
          </w:tcPr>
          <w:p w14:paraId="64E67260"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[0.159, 0.412]</w:t>
            </w:r>
          </w:p>
        </w:tc>
        <w:tc>
          <w:tcPr>
            <w:tcW w:w="0" w:type="auto"/>
            <w:tcBorders>
              <w:top w:val="nil"/>
              <w:left w:val="nil"/>
              <w:bottom w:val="nil"/>
              <w:right w:val="nil"/>
            </w:tcBorders>
            <w:shd w:val="clear" w:color="auto" w:fill="auto"/>
            <w:noWrap/>
            <w:vAlign w:val="center"/>
            <w:hideMark/>
          </w:tcPr>
          <w:p w14:paraId="77BEC2E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6C475B8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88F149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r>
      <w:tr w:rsidR="00F30B53" w:rsidRPr="00F30B53" w14:paraId="73E723C2" w14:textId="77777777" w:rsidTr="00F30B53">
        <w:trPr>
          <w:trHeight w:val="215"/>
        </w:trPr>
        <w:tc>
          <w:tcPr>
            <w:tcW w:w="0" w:type="auto"/>
            <w:tcBorders>
              <w:top w:val="nil"/>
              <w:left w:val="nil"/>
              <w:bottom w:val="nil"/>
              <w:right w:val="nil"/>
            </w:tcBorders>
            <w:shd w:val="clear" w:color="auto" w:fill="auto"/>
            <w:noWrap/>
            <w:vAlign w:val="bottom"/>
            <w:hideMark/>
          </w:tcPr>
          <w:p w14:paraId="0B3A1180"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Conflict of interests (K index)</w:t>
            </w:r>
          </w:p>
        </w:tc>
        <w:tc>
          <w:tcPr>
            <w:tcW w:w="0" w:type="auto"/>
            <w:tcBorders>
              <w:top w:val="nil"/>
              <w:left w:val="nil"/>
              <w:bottom w:val="nil"/>
              <w:right w:val="nil"/>
            </w:tcBorders>
            <w:shd w:val="clear" w:color="auto" w:fill="auto"/>
            <w:noWrap/>
            <w:vAlign w:val="center"/>
            <w:hideMark/>
          </w:tcPr>
          <w:p w14:paraId="4DBDFFB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0.882*</w:t>
            </w:r>
          </w:p>
        </w:tc>
        <w:tc>
          <w:tcPr>
            <w:tcW w:w="0" w:type="auto"/>
            <w:tcBorders>
              <w:top w:val="nil"/>
              <w:left w:val="nil"/>
              <w:bottom w:val="nil"/>
              <w:right w:val="nil"/>
            </w:tcBorders>
            <w:shd w:val="clear" w:color="auto" w:fill="auto"/>
            <w:noWrap/>
            <w:vAlign w:val="center"/>
            <w:hideMark/>
          </w:tcPr>
          <w:p w14:paraId="0D06F8E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0.091</w:t>
            </w:r>
          </w:p>
        </w:tc>
        <w:tc>
          <w:tcPr>
            <w:tcW w:w="0" w:type="auto"/>
            <w:tcBorders>
              <w:top w:val="nil"/>
              <w:left w:val="nil"/>
              <w:bottom w:val="nil"/>
              <w:right w:val="nil"/>
            </w:tcBorders>
            <w:shd w:val="clear" w:color="auto" w:fill="auto"/>
            <w:noWrap/>
            <w:vAlign w:val="center"/>
            <w:hideMark/>
          </w:tcPr>
          <w:p w14:paraId="5F867F7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[0.704, 1.060]</w:t>
            </w:r>
          </w:p>
        </w:tc>
        <w:tc>
          <w:tcPr>
            <w:tcW w:w="0" w:type="auto"/>
            <w:tcBorders>
              <w:top w:val="nil"/>
              <w:left w:val="nil"/>
              <w:bottom w:val="nil"/>
              <w:right w:val="nil"/>
            </w:tcBorders>
            <w:shd w:val="clear" w:color="auto" w:fill="auto"/>
            <w:noWrap/>
            <w:vAlign w:val="center"/>
            <w:hideMark/>
          </w:tcPr>
          <w:p w14:paraId="45D4ED1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4997F8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5FBE198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bottom"/>
            <w:hideMark/>
          </w:tcPr>
          <w:p w14:paraId="1AE67F2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0.890*</w:t>
            </w:r>
          </w:p>
        </w:tc>
        <w:tc>
          <w:tcPr>
            <w:tcW w:w="0" w:type="auto"/>
            <w:tcBorders>
              <w:top w:val="nil"/>
              <w:left w:val="nil"/>
              <w:bottom w:val="nil"/>
              <w:right w:val="nil"/>
            </w:tcBorders>
            <w:shd w:val="clear" w:color="auto" w:fill="auto"/>
            <w:noWrap/>
            <w:vAlign w:val="bottom"/>
            <w:hideMark/>
          </w:tcPr>
          <w:p w14:paraId="17A8C19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0.090</w:t>
            </w:r>
          </w:p>
        </w:tc>
        <w:tc>
          <w:tcPr>
            <w:tcW w:w="0" w:type="auto"/>
            <w:tcBorders>
              <w:top w:val="nil"/>
              <w:left w:val="nil"/>
              <w:bottom w:val="nil"/>
              <w:right w:val="nil"/>
            </w:tcBorders>
            <w:shd w:val="clear" w:color="auto" w:fill="auto"/>
            <w:noWrap/>
            <w:vAlign w:val="bottom"/>
            <w:hideMark/>
          </w:tcPr>
          <w:p w14:paraId="401800E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[0.713, 1.068]</w:t>
            </w:r>
          </w:p>
        </w:tc>
      </w:tr>
      <w:tr w:rsidR="00F30B53" w:rsidRPr="00F30B53" w14:paraId="04DCE036" w14:textId="77777777" w:rsidTr="00F30B53">
        <w:trPr>
          <w:trHeight w:val="215"/>
        </w:trPr>
        <w:tc>
          <w:tcPr>
            <w:tcW w:w="0" w:type="auto"/>
            <w:tcBorders>
              <w:top w:val="nil"/>
              <w:left w:val="nil"/>
              <w:bottom w:val="nil"/>
              <w:right w:val="nil"/>
            </w:tcBorders>
            <w:shd w:val="clear" w:color="auto" w:fill="auto"/>
            <w:noWrap/>
            <w:vAlign w:val="bottom"/>
            <w:hideMark/>
          </w:tcPr>
          <w:p w14:paraId="0553D020"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Group size</w:t>
            </w:r>
          </w:p>
        </w:tc>
        <w:tc>
          <w:tcPr>
            <w:tcW w:w="0" w:type="auto"/>
            <w:tcBorders>
              <w:top w:val="nil"/>
              <w:left w:val="nil"/>
              <w:bottom w:val="nil"/>
              <w:right w:val="nil"/>
            </w:tcBorders>
            <w:shd w:val="clear" w:color="auto" w:fill="auto"/>
            <w:noWrap/>
            <w:vAlign w:val="center"/>
            <w:hideMark/>
          </w:tcPr>
          <w:p w14:paraId="7B641ED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–0.044</w:t>
            </w:r>
          </w:p>
        </w:tc>
        <w:tc>
          <w:tcPr>
            <w:tcW w:w="0" w:type="auto"/>
            <w:tcBorders>
              <w:top w:val="nil"/>
              <w:left w:val="nil"/>
              <w:bottom w:val="nil"/>
              <w:right w:val="nil"/>
            </w:tcBorders>
            <w:shd w:val="clear" w:color="auto" w:fill="auto"/>
            <w:noWrap/>
            <w:vAlign w:val="center"/>
            <w:hideMark/>
          </w:tcPr>
          <w:p w14:paraId="4AFFCEF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0.032</w:t>
            </w:r>
          </w:p>
        </w:tc>
        <w:tc>
          <w:tcPr>
            <w:tcW w:w="0" w:type="auto"/>
            <w:tcBorders>
              <w:top w:val="nil"/>
              <w:left w:val="nil"/>
              <w:bottom w:val="nil"/>
              <w:right w:val="nil"/>
            </w:tcBorders>
            <w:shd w:val="clear" w:color="auto" w:fill="auto"/>
            <w:noWrap/>
            <w:vAlign w:val="center"/>
            <w:hideMark/>
          </w:tcPr>
          <w:p w14:paraId="52B3775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[–0.106, 0.018]</w:t>
            </w:r>
          </w:p>
        </w:tc>
        <w:tc>
          <w:tcPr>
            <w:tcW w:w="0" w:type="auto"/>
            <w:tcBorders>
              <w:top w:val="nil"/>
              <w:left w:val="nil"/>
              <w:bottom w:val="nil"/>
              <w:right w:val="nil"/>
            </w:tcBorders>
            <w:shd w:val="clear" w:color="auto" w:fill="auto"/>
            <w:noWrap/>
            <w:vAlign w:val="center"/>
            <w:hideMark/>
          </w:tcPr>
          <w:p w14:paraId="49F5A1B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–0.05</w:t>
            </w:r>
          </w:p>
        </w:tc>
        <w:tc>
          <w:tcPr>
            <w:tcW w:w="0" w:type="auto"/>
            <w:tcBorders>
              <w:top w:val="nil"/>
              <w:left w:val="nil"/>
              <w:bottom w:val="nil"/>
              <w:right w:val="nil"/>
            </w:tcBorders>
            <w:shd w:val="clear" w:color="auto" w:fill="auto"/>
            <w:noWrap/>
            <w:vAlign w:val="center"/>
            <w:hideMark/>
          </w:tcPr>
          <w:p w14:paraId="6F48C46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0.034</w:t>
            </w:r>
          </w:p>
        </w:tc>
        <w:tc>
          <w:tcPr>
            <w:tcW w:w="0" w:type="auto"/>
            <w:tcBorders>
              <w:top w:val="nil"/>
              <w:left w:val="nil"/>
              <w:bottom w:val="nil"/>
              <w:right w:val="nil"/>
            </w:tcBorders>
            <w:shd w:val="clear" w:color="auto" w:fill="auto"/>
            <w:noWrap/>
            <w:vAlign w:val="center"/>
            <w:hideMark/>
          </w:tcPr>
          <w:p w14:paraId="55A3EA6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[–0.117, 0.016]</w:t>
            </w:r>
          </w:p>
        </w:tc>
        <w:tc>
          <w:tcPr>
            <w:tcW w:w="0" w:type="auto"/>
            <w:tcBorders>
              <w:top w:val="nil"/>
              <w:left w:val="nil"/>
              <w:bottom w:val="nil"/>
              <w:right w:val="nil"/>
            </w:tcBorders>
            <w:shd w:val="clear" w:color="auto" w:fill="auto"/>
            <w:noWrap/>
            <w:vAlign w:val="bottom"/>
            <w:hideMark/>
          </w:tcPr>
          <w:p w14:paraId="0C65423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–0.040</w:t>
            </w:r>
          </w:p>
        </w:tc>
        <w:tc>
          <w:tcPr>
            <w:tcW w:w="0" w:type="auto"/>
            <w:tcBorders>
              <w:top w:val="nil"/>
              <w:left w:val="nil"/>
              <w:bottom w:val="nil"/>
              <w:right w:val="nil"/>
            </w:tcBorders>
            <w:shd w:val="clear" w:color="auto" w:fill="auto"/>
            <w:noWrap/>
            <w:vAlign w:val="bottom"/>
            <w:hideMark/>
          </w:tcPr>
          <w:p w14:paraId="23AA4A6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0.032</w:t>
            </w:r>
          </w:p>
        </w:tc>
        <w:tc>
          <w:tcPr>
            <w:tcW w:w="0" w:type="auto"/>
            <w:tcBorders>
              <w:top w:val="nil"/>
              <w:left w:val="nil"/>
              <w:bottom w:val="nil"/>
              <w:right w:val="nil"/>
            </w:tcBorders>
            <w:shd w:val="clear" w:color="auto" w:fill="auto"/>
            <w:noWrap/>
            <w:vAlign w:val="bottom"/>
            <w:hideMark/>
          </w:tcPr>
          <w:p w14:paraId="56F4B55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[–0.102, 0.023]</w:t>
            </w:r>
          </w:p>
        </w:tc>
      </w:tr>
      <w:tr w:rsidR="00F30B53" w:rsidRPr="00F30B53" w14:paraId="495D86CF" w14:textId="77777777" w:rsidTr="00F30B53">
        <w:trPr>
          <w:trHeight w:val="215"/>
        </w:trPr>
        <w:tc>
          <w:tcPr>
            <w:tcW w:w="0" w:type="auto"/>
            <w:tcBorders>
              <w:top w:val="nil"/>
              <w:left w:val="nil"/>
              <w:bottom w:val="nil"/>
              <w:right w:val="nil"/>
            </w:tcBorders>
            <w:shd w:val="clear" w:color="auto" w:fill="auto"/>
            <w:noWrap/>
            <w:vAlign w:val="bottom"/>
            <w:hideMark/>
          </w:tcPr>
          <w:p w14:paraId="28922DCB"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Sanction-yes</w:t>
            </w:r>
          </w:p>
        </w:tc>
        <w:tc>
          <w:tcPr>
            <w:tcW w:w="0" w:type="auto"/>
            <w:tcBorders>
              <w:top w:val="nil"/>
              <w:left w:val="nil"/>
              <w:bottom w:val="nil"/>
              <w:right w:val="nil"/>
            </w:tcBorders>
            <w:shd w:val="clear" w:color="auto" w:fill="auto"/>
            <w:noWrap/>
            <w:vAlign w:val="center"/>
            <w:hideMark/>
          </w:tcPr>
          <w:p w14:paraId="0AF384B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0.467*</w:t>
            </w:r>
          </w:p>
        </w:tc>
        <w:tc>
          <w:tcPr>
            <w:tcW w:w="0" w:type="auto"/>
            <w:tcBorders>
              <w:top w:val="nil"/>
              <w:left w:val="nil"/>
              <w:bottom w:val="nil"/>
              <w:right w:val="nil"/>
            </w:tcBorders>
            <w:shd w:val="clear" w:color="auto" w:fill="auto"/>
            <w:noWrap/>
            <w:vAlign w:val="center"/>
            <w:hideMark/>
          </w:tcPr>
          <w:p w14:paraId="3B37FEC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0.043</w:t>
            </w:r>
          </w:p>
        </w:tc>
        <w:tc>
          <w:tcPr>
            <w:tcW w:w="0" w:type="auto"/>
            <w:tcBorders>
              <w:top w:val="nil"/>
              <w:left w:val="nil"/>
              <w:bottom w:val="nil"/>
              <w:right w:val="nil"/>
            </w:tcBorders>
            <w:shd w:val="clear" w:color="auto" w:fill="auto"/>
            <w:noWrap/>
            <w:vAlign w:val="center"/>
            <w:hideMark/>
          </w:tcPr>
          <w:p w14:paraId="6E361A5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[0.382, 0.553]</w:t>
            </w:r>
          </w:p>
        </w:tc>
        <w:tc>
          <w:tcPr>
            <w:tcW w:w="0" w:type="auto"/>
            <w:tcBorders>
              <w:top w:val="nil"/>
              <w:left w:val="nil"/>
              <w:bottom w:val="nil"/>
              <w:right w:val="nil"/>
            </w:tcBorders>
            <w:shd w:val="clear" w:color="auto" w:fill="auto"/>
            <w:noWrap/>
            <w:vAlign w:val="center"/>
            <w:hideMark/>
          </w:tcPr>
          <w:p w14:paraId="2C9E6E9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0.249*</w:t>
            </w:r>
          </w:p>
        </w:tc>
        <w:tc>
          <w:tcPr>
            <w:tcW w:w="0" w:type="auto"/>
            <w:tcBorders>
              <w:top w:val="nil"/>
              <w:left w:val="nil"/>
              <w:bottom w:val="nil"/>
              <w:right w:val="nil"/>
            </w:tcBorders>
            <w:shd w:val="clear" w:color="auto" w:fill="auto"/>
            <w:noWrap/>
            <w:vAlign w:val="center"/>
            <w:hideMark/>
          </w:tcPr>
          <w:p w14:paraId="5504E2E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0.087</w:t>
            </w:r>
          </w:p>
        </w:tc>
        <w:tc>
          <w:tcPr>
            <w:tcW w:w="0" w:type="auto"/>
            <w:tcBorders>
              <w:top w:val="nil"/>
              <w:left w:val="nil"/>
              <w:bottom w:val="nil"/>
              <w:right w:val="nil"/>
            </w:tcBorders>
            <w:shd w:val="clear" w:color="auto" w:fill="auto"/>
            <w:noWrap/>
            <w:vAlign w:val="center"/>
            <w:hideMark/>
          </w:tcPr>
          <w:p w14:paraId="3782A30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[0.079, 0.420]</w:t>
            </w:r>
          </w:p>
        </w:tc>
        <w:tc>
          <w:tcPr>
            <w:tcW w:w="0" w:type="auto"/>
            <w:tcBorders>
              <w:top w:val="nil"/>
              <w:left w:val="nil"/>
              <w:bottom w:val="nil"/>
              <w:right w:val="nil"/>
            </w:tcBorders>
            <w:shd w:val="clear" w:color="auto" w:fill="auto"/>
            <w:noWrap/>
            <w:vAlign w:val="bottom"/>
            <w:hideMark/>
          </w:tcPr>
          <w:p w14:paraId="29B4D98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0.300*</w:t>
            </w:r>
          </w:p>
        </w:tc>
        <w:tc>
          <w:tcPr>
            <w:tcW w:w="0" w:type="auto"/>
            <w:tcBorders>
              <w:top w:val="nil"/>
              <w:left w:val="nil"/>
              <w:bottom w:val="nil"/>
              <w:right w:val="nil"/>
            </w:tcBorders>
            <w:shd w:val="clear" w:color="auto" w:fill="auto"/>
            <w:noWrap/>
            <w:vAlign w:val="bottom"/>
            <w:hideMark/>
          </w:tcPr>
          <w:p w14:paraId="1A08BF7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0.078</w:t>
            </w:r>
          </w:p>
        </w:tc>
        <w:tc>
          <w:tcPr>
            <w:tcW w:w="0" w:type="auto"/>
            <w:tcBorders>
              <w:top w:val="nil"/>
              <w:left w:val="nil"/>
              <w:bottom w:val="nil"/>
              <w:right w:val="nil"/>
            </w:tcBorders>
            <w:shd w:val="clear" w:color="auto" w:fill="auto"/>
            <w:noWrap/>
            <w:vAlign w:val="bottom"/>
            <w:hideMark/>
          </w:tcPr>
          <w:p w14:paraId="5CA537E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[0.147, 0.454]</w:t>
            </w:r>
          </w:p>
        </w:tc>
      </w:tr>
      <w:tr w:rsidR="00F30B53" w:rsidRPr="00F30B53" w14:paraId="7AEC0B2E" w14:textId="77777777" w:rsidTr="00F30B53">
        <w:trPr>
          <w:trHeight w:val="215"/>
        </w:trPr>
        <w:tc>
          <w:tcPr>
            <w:tcW w:w="0" w:type="auto"/>
            <w:tcBorders>
              <w:top w:val="nil"/>
              <w:left w:val="nil"/>
              <w:bottom w:val="nil"/>
              <w:right w:val="nil"/>
            </w:tcBorders>
            <w:shd w:val="clear" w:color="auto" w:fill="auto"/>
            <w:noWrap/>
            <w:vAlign w:val="bottom"/>
            <w:hideMark/>
          </w:tcPr>
          <w:p w14:paraId="24098566"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Sanction-mixed</w:t>
            </w:r>
          </w:p>
        </w:tc>
        <w:tc>
          <w:tcPr>
            <w:tcW w:w="0" w:type="auto"/>
            <w:tcBorders>
              <w:top w:val="nil"/>
              <w:left w:val="nil"/>
              <w:bottom w:val="nil"/>
              <w:right w:val="nil"/>
            </w:tcBorders>
            <w:shd w:val="clear" w:color="auto" w:fill="auto"/>
            <w:noWrap/>
            <w:vAlign w:val="center"/>
            <w:hideMark/>
          </w:tcPr>
          <w:p w14:paraId="1C4F578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0.234</w:t>
            </w:r>
          </w:p>
        </w:tc>
        <w:tc>
          <w:tcPr>
            <w:tcW w:w="0" w:type="auto"/>
            <w:tcBorders>
              <w:top w:val="nil"/>
              <w:left w:val="nil"/>
              <w:bottom w:val="nil"/>
              <w:right w:val="nil"/>
            </w:tcBorders>
            <w:shd w:val="clear" w:color="auto" w:fill="auto"/>
            <w:noWrap/>
            <w:vAlign w:val="center"/>
            <w:hideMark/>
          </w:tcPr>
          <w:p w14:paraId="2ADC7AE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0.125</w:t>
            </w:r>
          </w:p>
        </w:tc>
        <w:tc>
          <w:tcPr>
            <w:tcW w:w="0" w:type="auto"/>
            <w:tcBorders>
              <w:top w:val="nil"/>
              <w:left w:val="nil"/>
              <w:bottom w:val="nil"/>
              <w:right w:val="nil"/>
            </w:tcBorders>
            <w:shd w:val="clear" w:color="auto" w:fill="auto"/>
            <w:noWrap/>
            <w:vAlign w:val="center"/>
            <w:hideMark/>
          </w:tcPr>
          <w:p w14:paraId="6762D81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[–0.012, 0.480]</w:t>
            </w:r>
          </w:p>
        </w:tc>
        <w:tc>
          <w:tcPr>
            <w:tcW w:w="0" w:type="auto"/>
            <w:tcBorders>
              <w:top w:val="nil"/>
              <w:left w:val="nil"/>
              <w:bottom w:val="nil"/>
              <w:right w:val="nil"/>
            </w:tcBorders>
            <w:shd w:val="clear" w:color="auto" w:fill="auto"/>
            <w:noWrap/>
            <w:vAlign w:val="center"/>
            <w:hideMark/>
          </w:tcPr>
          <w:p w14:paraId="5609AA3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0.204</w:t>
            </w:r>
          </w:p>
        </w:tc>
        <w:tc>
          <w:tcPr>
            <w:tcW w:w="0" w:type="auto"/>
            <w:tcBorders>
              <w:top w:val="nil"/>
              <w:left w:val="nil"/>
              <w:bottom w:val="nil"/>
              <w:right w:val="nil"/>
            </w:tcBorders>
            <w:shd w:val="clear" w:color="auto" w:fill="auto"/>
            <w:noWrap/>
            <w:vAlign w:val="center"/>
            <w:hideMark/>
          </w:tcPr>
          <w:p w14:paraId="4BD436C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0.280</w:t>
            </w:r>
          </w:p>
        </w:tc>
        <w:tc>
          <w:tcPr>
            <w:tcW w:w="0" w:type="auto"/>
            <w:tcBorders>
              <w:top w:val="nil"/>
              <w:left w:val="nil"/>
              <w:bottom w:val="nil"/>
              <w:right w:val="nil"/>
            </w:tcBorders>
            <w:shd w:val="clear" w:color="auto" w:fill="auto"/>
            <w:noWrap/>
            <w:vAlign w:val="center"/>
            <w:hideMark/>
          </w:tcPr>
          <w:p w14:paraId="27475E7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[–0.346, 0.753]</w:t>
            </w:r>
          </w:p>
        </w:tc>
        <w:tc>
          <w:tcPr>
            <w:tcW w:w="0" w:type="auto"/>
            <w:tcBorders>
              <w:top w:val="nil"/>
              <w:left w:val="nil"/>
              <w:bottom w:val="nil"/>
              <w:right w:val="nil"/>
            </w:tcBorders>
            <w:shd w:val="clear" w:color="auto" w:fill="auto"/>
            <w:noWrap/>
            <w:vAlign w:val="bottom"/>
            <w:hideMark/>
          </w:tcPr>
          <w:p w14:paraId="77FFEF1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0.333</w:t>
            </w:r>
          </w:p>
        </w:tc>
        <w:tc>
          <w:tcPr>
            <w:tcW w:w="0" w:type="auto"/>
            <w:tcBorders>
              <w:top w:val="nil"/>
              <w:left w:val="nil"/>
              <w:bottom w:val="nil"/>
              <w:right w:val="nil"/>
            </w:tcBorders>
            <w:shd w:val="clear" w:color="auto" w:fill="auto"/>
            <w:noWrap/>
            <w:vAlign w:val="bottom"/>
            <w:hideMark/>
          </w:tcPr>
          <w:p w14:paraId="3083585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0.246</w:t>
            </w:r>
          </w:p>
        </w:tc>
        <w:tc>
          <w:tcPr>
            <w:tcW w:w="0" w:type="auto"/>
            <w:tcBorders>
              <w:top w:val="nil"/>
              <w:left w:val="nil"/>
              <w:bottom w:val="nil"/>
              <w:right w:val="nil"/>
            </w:tcBorders>
            <w:shd w:val="clear" w:color="auto" w:fill="auto"/>
            <w:noWrap/>
            <w:vAlign w:val="bottom"/>
            <w:hideMark/>
          </w:tcPr>
          <w:p w14:paraId="39E0AA2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[–0.149, 0.816]</w:t>
            </w:r>
          </w:p>
        </w:tc>
      </w:tr>
      <w:tr w:rsidR="00F30B53" w:rsidRPr="00F30B53" w14:paraId="236E4742" w14:textId="77777777" w:rsidTr="00F30B53">
        <w:trPr>
          <w:trHeight w:val="215"/>
        </w:trPr>
        <w:tc>
          <w:tcPr>
            <w:tcW w:w="0" w:type="auto"/>
            <w:tcBorders>
              <w:top w:val="nil"/>
              <w:left w:val="nil"/>
              <w:bottom w:val="nil"/>
              <w:right w:val="nil"/>
            </w:tcBorders>
            <w:shd w:val="clear" w:color="auto" w:fill="auto"/>
            <w:noWrap/>
            <w:vAlign w:val="bottom"/>
            <w:hideMark/>
          </w:tcPr>
          <w:p w14:paraId="4C75D753"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Communication-yes</w:t>
            </w:r>
          </w:p>
        </w:tc>
        <w:tc>
          <w:tcPr>
            <w:tcW w:w="0" w:type="auto"/>
            <w:tcBorders>
              <w:top w:val="nil"/>
              <w:left w:val="nil"/>
              <w:bottom w:val="nil"/>
              <w:right w:val="nil"/>
            </w:tcBorders>
            <w:shd w:val="clear" w:color="auto" w:fill="auto"/>
            <w:noWrap/>
            <w:vAlign w:val="center"/>
            <w:hideMark/>
          </w:tcPr>
          <w:p w14:paraId="5FD26F7B" w14:textId="77777777" w:rsidR="00F30B53" w:rsidRPr="00F30B53" w:rsidRDefault="00F30B53" w:rsidP="00F30B53">
            <w:pPr>
              <w:spacing w:line="240" w:lineRule="auto"/>
              <w:jc w:val="center"/>
              <w:rPr>
                <w:rFonts w:eastAsia="Times New Roman" w:cs="Times New Roman"/>
                <w:sz w:val="16"/>
                <w:szCs w:val="16"/>
                <w:lang w:val="en-GB" w:eastAsia="zh-CN"/>
              </w:rPr>
            </w:pPr>
            <w:r w:rsidRPr="00F30B53">
              <w:rPr>
                <w:rFonts w:eastAsia="Times New Roman" w:cs="Times New Roman"/>
                <w:sz w:val="16"/>
                <w:szCs w:val="16"/>
                <w:lang w:val="en-GB" w:eastAsia="zh-CN"/>
              </w:rPr>
              <w:t>0.853*</w:t>
            </w:r>
          </w:p>
        </w:tc>
        <w:tc>
          <w:tcPr>
            <w:tcW w:w="0" w:type="auto"/>
            <w:tcBorders>
              <w:top w:val="nil"/>
              <w:left w:val="nil"/>
              <w:bottom w:val="nil"/>
              <w:right w:val="nil"/>
            </w:tcBorders>
            <w:shd w:val="clear" w:color="auto" w:fill="auto"/>
            <w:noWrap/>
            <w:vAlign w:val="center"/>
            <w:hideMark/>
          </w:tcPr>
          <w:p w14:paraId="270BA3D7" w14:textId="77777777" w:rsidR="00F30B53" w:rsidRPr="00F30B53" w:rsidRDefault="00F30B53" w:rsidP="00F30B53">
            <w:pPr>
              <w:spacing w:line="240" w:lineRule="auto"/>
              <w:jc w:val="center"/>
              <w:rPr>
                <w:rFonts w:eastAsia="Times New Roman" w:cs="Times New Roman"/>
                <w:sz w:val="16"/>
                <w:szCs w:val="16"/>
                <w:lang w:val="en-GB" w:eastAsia="zh-CN"/>
              </w:rPr>
            </w:pPr>
            <w:r w:rsidRPr="00F30B53">
              <w:rPr>
                <w:rFonts w:eastAsia="Times New Roman" w:cs="Times New Roman"/>
                <w:sz w:val="16"/>
                <w:szCs w:val="16"/>
                <w:lang w:val="en-GB" w:eastAsia="zh-CN"/>
              </w:rPr>
              <w:t>0.142</w:t>
            </w:r>
          </w:p>
        </w:tc>
        <w:tc>
          <w:tcPr>
            <w:tcW w:w="0" w:type="auto"/>
            <w:tcBorders>
              <w:top w:val="nil"/>
              <w:left w:val="nil"/>
              <w:bottom w:val="nil"/>
              <w:right w:val="nil"/>
            </w:tcBorders>
            <w:shd w:val="clear" w:color="auto" w:fill="auto"/>
            <w:noWrap/>
            <w:vAlign w:val="center"/>
            <w:hideMark/>
          </w:tcPr>
          <w:p w14:paraId="04994700" w14:textId="77777777" w:rsidR="00F30B53" w:rsidRPr="00F30B53" w:rsidRDefault="00F30B53" w:rsidP="00F30B53">
            <w:pPr>
              <w:spacing w:line="240" w:lineRule="auto"/>
              <w:jc w:val="center"/>
              <w:rPr>
                <w:rFonts w:eastAsia="Times New Roman" w:cs="Times New Roman"/>
                <w:sz w:val="16"/>
                <w:szCs w:val="16"/>
                <w:lang w:val="en-GB" w:eastAsia="zh-CN"/>
              </w:rPr>
            </w:pPr>
            <w:r w:rsidRPr="00F30B53">
              <w:rPr>
                <w:rFonts w:eastAsia="Times New Roman" w:cs="Times New Roman"/>
                <w:sz w:val="16"/>
                <w:szCs w:val="16"/>
                <w:lang w:val="en-GB" w:eastAsia="zh-CN"/>
              </w:rPr>
              <w:t>[0.574, 1.132]</w:t>
            </w:r>
          </w:p>
        </w:tc>
        <w:tc>
          <w:tcPr>
            <w:tcW w:w="0" w:type="auto"/>
            <w:tcBorders>
              <w:top w:val="nil"/>
              <w:left w:val="nil"/>
              <w:bottom w:val="nil"/>
              <w:right w:val="nil"/>
            </w:tcBorders>
            <w:shd w:val="clear" w:color="auto" w:fill="auto"/>
            <w:noWrap/>
            <w:vAlign w:val="center"/>
            <w:hideMark/>
          </w:tcPr>
          <w:p w14:paraId="074580F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0.473*</w:t>
            </w:r>
          </w:p>
        </w:tc>
        <w:tc>
          <w:tcPr>
            <w:tcW w:w="0" w:type="auto"/>
            <w:tcBorders>
              <w:top w:val="nil"/>
              <w:left w:val="nil"/>
              <w:bottom w:val="nil"/>
              <w:right w:val="nil"/>
            </w:tcBorders>
            <w:shd w:val="clear" w:color="auto" w:fill="auto"/>
            <w:noWrap/>
            <w:vAlign w:val="center"/>
            <w:hideMark/>
          </w:tcPr>
          <w:p w14:paraId="1070BBB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0.089</w:t>
            </w:r>
          </w:p>
        </w:tc>
        <w:tc>
          <w:tcPr>
            <w:tcW w:w="0" w:type="auto"/>
            <w:tcBorders>
              <w:top w:val="nil"/>
              <w:left w:val="nil"/>
              <w:bottom w:val="nil"/>
              <w:right w:val="nil"/>
            </w:tcBorders>
            <w:shd w:val="clear" w:color="auto" w:fill="auto"/>
            <w:noWrap/>
            <w:vAlign w:val="center"/>
            <w:hideMark/>
          </w:tcPr>
          <w:p w14:paraId="4FDE930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[0.297, 0.648]</w:t>
            </w:r>
          </w:p>
        </w:tc>
        <w:tc>
          <w:tcPr>
            <w:tcW w:w="0" w:type="auto"/>
            <w:tcBorders>
              <w:top w:val="nil"/>
              <w:left w:val="nil"/>
              <w:bottom w:val="nil"/>
              <w:right w:val="nil"/>
            </w:tcBorders>
            <w:shd w:val="clear" w:color="auto" w:fill="auto"/>
            <w:noWrap/>
            <w:vAlign w:val="bottom"/>
            <w:hideMark/>
          </w:tcPr>
          <w:p w14:paraId="28BC5AA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0.850*</w:t>
            </w:r>
          </w:p>
        </w:tc>
        <w:tc>
          <w:tcPr>
            <w:tcW w:w="0" w:type="auto"/>
            <w:tcBorders>
              <w:top w:val="nil"/>
              <w:left w:val="nil"/>
              <w:bottom w:val="nil"/>
              <w:right w:val="nil"/>
            </w:tcBorders>
            <w:shd w:val="clear" w:color="auto" w:fill="auto"/>
            <w:noWrap/>
            <w:vAlign w:val="bottom"/>
            <w:hideMark/>
          </w:tcPr>
          <w:p w14:paraId="5CEF697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0.143</w:t>
            </w:r>
          </w:p>
        </w:tc>
        <w:tc>
          <w:tcPr>
            <w:tcW w:w="0" w:type="auto"/>
            <w:tcBorders>
              <w:top w:val="nil"/>
              <w:left w:val="nil"/>
              <w:bottom w:val="nil"/>
              <w:right w:val="nil"/>
            </w:tcBorders>
            <w:shd w:val="clear" w:color="auto" w:fill="auto"/>
            <w:noWrap/>
            <w:vAlign w:val="bottom"/>
            <w:hideMark/>
          </w:tcPr>
          <w:p w14:paraId="67AE43D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[0.571, 1.130]</w:t>
            </w:r>
          </w:p>
        </w:tc>
      </w:tr>
      <w:tr w:rsidR="00F30B53" w:rsidRPr="00F30B53" w14:paraId="16B908AA" w14:textId="77777777" w:rsidTr="00F30B53">
        <w:trPr>
          <w:trHeight w:val="215"/>
        </w:trPr>
        <w:tc>
          <w:tcPr>
            <w:tcW w:w="0" w:type="auto"/>
            <w:tcBorders>
              <w:top w:val="nil"/>
              <w:left w:val="nil"/>
              <w:bottom w:val="nil"/>
              <w:right w:val="nil"/>
            </w:tcBorders>
            <w:shd w:val="clear" w:color="auto" w:fill="auto"/>
            <w:noWrap/>
            <w:vAlign w:val="bottom"/>
            <w:hideMark/>
          </w:tcPr>
          <w:p w14:paraId="58B07DE0"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Communication-mixed</w:t>
            </w:r>
          </w:p>
        </w:tc>
        <w:tc>
          <w:tcPr>
            <w:tcW w:w="0" w:type="auto"/>
            <w:tcBorders>
              <w:top w:val="nil"/>
              <w:left w:val="nil"/>
              <w:bottom w:val="nil"/>
              <w:right w:val="nil"/>
            </w:tcBorders>
            <w:shd w:val="clear" w:color="auto" w:fill="auto"/>
            <w:noWrap/>
            <w:vAlign w:val="center"/>
            <w:hideMark/>
          </w:tcPr>
          <w:p w14:paraId="05D9DE7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0.424</w:t>
            </w:r>
          </w:p>
        </w:tc>
        <w:tc>
          <w:tcPr>
            <w:tcW w:w="0" w:type="auto"/>
            <w:tcBorders>
              <w:top w:val="nil"/>
              <w:left w:val="nil"/>
              <w:bottom w:val="nil"/>
              <w:right w:val="nil"/>
            </w:tcBorders>
            <w:shd w:val="clear" w:color="auto" w:fill="auto"/>
            <w:noWrap/>
            <w:vAlign w:val="center"/>
            <w:hideMark/>
          </w:tcPr>
          <w:p w14:paraId="1238E1F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0.347</w:t>
            </w:r>
          </w:p>
        </w:tc>
        <w:tc>
          <w:tcPr>
            <w:tcW w:w="0" w:type="auto"/>
            <w:tcBorders>
              <w:top w:val="nil"/>
              <w:left w:val="nil"/>
              <w:bottom w:val="nil"/>
              <w:right w:val="nil"/>
            </w:tcBorders>
            <w:shd w:val="clear" w:color="auto" w:fill="auto"/>
            <w:noWrap/>
            <w:vAlign w:val="center"/>
            <w:hideMark/>
          </w:tcPr>
          <w:p w14:paraId="2B40721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[–0.257, 1.105]</w:t>
            </w:r>
          </w:p>
        </w:tc>
        <w:tc>
          <w:tcPr>
            <w:tcW w:w="0" w:type="auto"/>
            <w:tcBorders>
              <w:top w:val="nil"/>
              <w:left w:val="nil"/>
              <w:bottom w:val="nil"/>
              <w:right w:val="nil"/>
            </w:tcBorders>
            <w:shd w:val="clear" w:color="auto" w:fill="auto"/>
            <w:noWrap/>
            <w:vAlign w:val="center"/>
            <w:hideMark/>
          </w:tcPr>
          <w:p w14:paraId="6265447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0.410</w:t>
            </w:r>
          </w:p>
        </w:tc>
        <w:tc>
          <w:tcPr>
            <w:tcW w:w="0" w:type="auto"/>
            <w:tcBorders>
              <w:top w:val="nil"/>
              <w:left w:val="nil"/>
              <w:bottom w:val="nil"/>
              <w:right w:val="nil"/>
            </w:tcBorders>
            <w:shd w:val="clear" w:color="auto" w:fill="auto"/>
            <w:noWrap/>
            <w:vAlign w:val="center"/>
            <w:hideMark/>
          </w:tcPr>
          <w:p w14:paraId="61FFF22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0.223</w:t>
            </w:r>
          </w:p>
        </w:tc>
        <w:tc>
          <w:tcPr>
            <w:tcW w:w="0" w:type="auto"/>
            <w:tcBorders>
              <w:top w:val="nil"/>
              <w:left w:val="nil"/>
              <w:bottom w:val="nil"/>
              <w:right w:val="nil"/>
            </w:tcBorders>
            <w:shd w:val="clear" w:color="auto" w:fill="auto"/>
            <w:noWrap/>
            <w:vAlign w:val="center"/>
            <w:hideMark/>
          </w:tcPr>
          <w:p w14:paraId="32F99E1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[–0.028, 0.847]</w:t>
            </w:r>
          </w:p>
        </w:tc>
        <w:tc>
          <w:tcPr>
            <w:tcW w:w="0" w:type="auto"/>
            <w:tcBorders>
              <w:top w:val="nil"/>
              <w:left w:val="nil"/>
              <w:bottom w:val="nil"/>
              <w:right w:val="nil"/>
            </w:tcBorders>
            <w:shd w:val="clear" w:color="auto" w:fill="auto"/>
            <w:noWrap/>
            <w:vAlign w:val="bottom"/>
            <w:hideMark/>
          </w:tcPr>
          <w:p w14:paraId="2D3346C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0.408</w:t>
            </w:r>
          </w:p>
        </w:tc>
        <w:tc>
          <w:tcPr>
            <w:tcW w:w="0" w:type="auto"/>
            <w:tcBorders>
              <w:top w:val="nil"/>
              <w:left w:val="nil"/>
              <w:bottom w:val="nil"/>
              <w:right w:val="nil"/>
            </w:tcBorders>
            <w:shd w:val="clear" w:color="auto" w:fill="auto"/>
            <w:noWrap/>
            <w:vAlign w:val="bottom"/>
            <w:hideMark/>
          </w:tcPr>
          <w:p w14:paraId="232F196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0.362</w:t>
            </w:r>
          </w:p>
        </w:tc>
        <w:tc>
          <w:tcPr>
            <w:tcW w:w="0" w:type="auto"/>
            <w:tcBorders>
              <w:top w:val="nil"/>
              <w:left w:val="nil"/>
              <w:bottom w:val="nil"/>
              <w:right w:val="nil"/>
            </w:tcBorders>
            <w:shd w:val="clear" w:color="auto" w:fill="auto"/>
            <w:noWrap/>
            <w:vAlign w:val="bottom"/>
            <w:hideMark/>
          </w:tcPr>
          <w:p w14:paraId="60ED9D5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[–0.301, 1.117]</w:t>
            </w:r>
          </w:p>
        </w:tc>
      </w:tr>
      <w:tr w:rsidR="00F30B53" w:rsidRPr="00F30B53" w14:paraId="0245B156" w14:textId="77777777" w:rsidTr="00F30B53">
        <w:trPr>
          <w:trHeight w:val="215"/>
        </w:trPr>
        <w:tc>
          <w:tcPr>
            <w:tcW w:w="0" w:type="auto"/>
            <w:tcBorders>
              <w:top w:val="nil"/>
              <w:left w:val="nil"/>
              <w:bottom w:val="nil"/>
              <w:right w:val="nil"/>
            </w:tcBorders>
            <w:shd w:val="clear" w:color="auto" w:fill="auto"/>
            <w:noWrap/>
            <w:vAlign w:val="bottom"/>
            <w:hideMark/>
          </w:tcPr>
          <w:p w14:paraId="538E2C3C" w14:textId="7EC4CC1C" w:rsidR="00F30B53" w:rsidRPr="00F30B53" w:rsidRDefault="009213F4" w:rsidP="00F30B53">
            <w:pPr>
              <w:spacing w:line="240" w:lineRule="auto"/>
              <w:ind w:firstLineChars="200" w:firstLine="320"/>
              <w:rPr>
                <w:rFonts w:eastAsia="Times New Roman" w:cs="Times New Roman"/>
                <w:color w:val="000000"/>
                <w:sz w:val="16"/>
                <w:szCs w:val="16"/>
                <w:lang w:val="en-GB" w:eastAsia="zh-CN"/>
              </w:rPr>
            </w:pPr>
            <w:r>
              <w:rPr>
                <w:rFonts w:eastAsia="Times New Roman" w:cs="Times New Roman"/>
                <w:color w:val="000000"/>
                <w:sz w:val="16"/>
                <w:szCs w:val="16"/>
                <w:lang w:val="en-GB" w:eastAsia="zh-CN"/>
              </w:rPr>
              <w:t>Matching design</w:t>
            </w:r>
            <w:r w:rsidR="00F30B53" w:rsidRPr="00F30B53">
              <w:rPr>
                <w:rFonts w:eastAsia="Times New Roman" w:cs="Times New Roman"/>
                <w:color w:val="000000"/>
                <w:sz w:val="16"/>
                <w:szCs w:val="16"/>
                <w:lang w:val="en-GB" w:eastAsia="zh-CN"/>
              </w:rPr>
              <w:t>-</w:t>
            </w:r>
            <w:r>
              <w:rPr>
                <w:rFonts w:eastAsia="Times New Roman" w:cs="Times New Roman"/>
                <w:color w:val="000000"/>
                <w:sz w:val="16"/>
                <w:szCs w:val="16"/>
                <w:lang w:val="en-GB" w:eastAsia="zh-CN"/>
              </w:rPr>
              <w:t>partner</w:t>
            </w:r>
          </w:p>
        </w:tc>
        <w:tc>
          <w:tcPr>
            <w:tcW w:w="0" w:type="auto"/>
            <w:tcBorders>
              <w:top w:val="nil"/>
              <w:left w:val="nil"/>
              <w:bottom w:val="nil"/>
              <w:right w:val="nil"/>
            </w:tcBorders>
            <w:shd w:val="clear" w:color="auto" w:fill="auto"/>
            <w:noWrap/>
            <w:vAlign w:val="center"/>
            <w:hideMark/>
          </w:tcPr>
          <w:p w14:paraId="1043E8C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845816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3D82B40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5A410EF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–0.321</w:t>
            </w:r>
          </w:p>
        </w:tc>
        <w:tc>
          <w:tcPr>
            <w:tcW w:w="0" w:type="auto"/>
            <w:tcBorders>
              <w:top w:val="nil"/>
              <w:left w:val="nil"/>
              <w:bottom w:val="nil"/>
              <w:right w:val="nil"/>
            </w:tcBorders>
            <w:shd w:val="clear" w:color="auto" w:fill="auto"/>
            <w:noWrap/>
            <w:vAlign w:val="center"/>
            <w:hideMark/>
          </w:tcPr>
          <w:p w14:paraId="0CE7E9D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0.364</w:t>
            </w:r>
          </w:p>
        </w:tc>
        <w:tc>
          <w:tcPr>
            <w:tcW w:w="0" w:type="auto"/>
            <w:tcBorders>
              <w:top w:val="nil"/>
              <w:left w:val="nil"/>
              <w:bottom w:val="nil"/>
              <w:right w:val="nil"/>
            </w:tcBorders>
            <w:shd w:val="clear" w:color="auto" w:fill="auto"/>
            <w:noWrap/>
            <w:vAlign w:val="center"/>
            <w:hideMark/>
          </w:tcPr>
          <w:p w14:paraId="38024A8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[–1.036, 0.394]</w:t>
            </w:r>
          </w:p>
        </w:tc>
        <w:tc>
          <w:tcPr>
            <w:tcW w:w="0" w:type="auto"/>
            <w:tcBorders>
              <w:top w:val="nil"/>
              <w:left w:val="nil"/>
              <w:bottom w:val="nil"/>
              <w:right w:val="nil"/>
            </w:tcBorders>
            <w:shd w:val="clear" w:color="auto" w:fill="auto"/>
            <w:noWrap/>
            <w:vAlign w:val="bottom"/>
            <w:hideMark/>
          </w:tcPr>
          <w:p w14:paraId="4AF1CEB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–0.217</w:t>
            </w:r>
          </w:p>
        </w:tc>
        <w:tc>
          <w:tcPr>
            <w:tcW w:w="0" w:type="auto"/>
            <w:tcBorders>
              <w:top w:val="nil"/>
              <w:left w:val="nil"/>
              <w:bottom w:val="nil"/>
              <w:right w:val="nil"/>
            </w:tcBorders>
            <w:shd w:val="clear" w:color="auto" w:fill="auto"/>
            <w:noWrap/>
            <w:vAlign w:val="bottom"/>
            <w:hideMark/>
          </w:tcPr>
          <w:p w14:paraId="3994531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0.116</w:t>
            </w:r>
          </w:p>
        </w:tc>
        <w:tc>
          <w:tcPr>
            <w:tcW w:w="0" w:type="auto"/>
            <w:tcBorders>
              <w:top w:val="nil"/>
              <w:left w:val="nil"/>
              <w:bottom w:val="nil"/>
              <w:right w:val="nil"/>
            </w:tcBorders>
            <w:shd w:val="clear" w:color="auto" w:fill="auto"/>
            <w:noWrap/>
            <w:vAlign w:val="bottom"/>
            <w:hideMark/>
          </w:tcPr>
          <w:p w14:paraId="0A4488E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[–0.444, 0.011]</w:t>
            </w:r>
          </w:p>
        </w:tc>
      </w:tr>
      <w:tr w:rsidR="00F30B53" w:rsidRPr="00F30B53" w14:paraId="5B26B8B9" w14:textId="77777777" w:rsidTr="00F30B53">
        <w:trPr>
          <w:trHeight w:val="215"/>
        </w:trPr>
        <w:tc>
          <w:tcPr>
            <w:tcW w:w="0" w:type="auto"/>
            <w:tcBorders>
              <w:top w:val="nil"/>
              <w:left w:val="nil"/>
              <w:bottom w:val="nil"/>
              <w:right w:val="nil"/>
            </w:tcBorders>
            <w:shd w:val="clear" w:color="auto" w:fill="auto"/>
            <w:noWrap/>
            <w:vAlign w:val="bottom"/>
            <w:hideMark/>
          </w:tcPr>
          <w:p w14:paraId="46B0DD6D" w14:textId="6C196981" w:rsidR="00F30B53" w:rsidRPr="00F30B53" w:rsidRDefault="009213F4" w:rsidP="00F30B53">
            <w:pPr>
              <w:spacing w:line="240" w:lineRule="auto"/>
              <w:ind w:firstLineChars="200" w:firstLine="320"/>
              <w:rPr>
                <w:rFonts w:eastAsia="Times New Roman" w:cs="Times New Roman"/>
                <w:color w:val="000000"/>
                <w:sz w:val="16"/>
                <w:szCs w:val="16"/>
                <w:lang w:val="en-GB" w:eastAsia="zh-CN"/>
              </w:rPr>
            </w:pPr>
            <w:r>
              <w:rPr>
                <w:rFonts w:eastAsia="Times New Roman" w:cs="Times New Roman"/>
                <w:color w:val="000000"/>
                <w:sz w:val="16"/>
                <w:szCs w:val="16"/>
                <w:lang w:val="en-GB" w:eastAsia="zh-CN"/>
              </w:rPr>
              <w:t>Matching design</w:t>
            </w:r>
            <w:r w:rsidR="00F30B53" w:rsidRPr="00F30B53">
              <w:rPr>
                <w:rFonts w:eastAsia="Times New Roman" w:cs="Times New Roman"/>
                <w:color w:val="000000"/>
                <w:sz w:val="16"/>
                <w:szCs w:val="16"/>
                <w:lang w:val="en-GB" w:eastAsia="zh-CN"/>
              </w:rPr>
              <w:t>-mixed</w:t>
            </w:r>
          </w:p>
        </w:tc>
        <w:tc>
          <w:tcPr>
            <w:tcW w:w="0" w:type="auto"/>
            <w:tcBorders>
              <w:top w:val="nil"/>
              <w:left w:val="nil"/>
              <w:bottom w:val="nil"/>
              <w:right w:val="nil"/>
            </w:tcBorders>
            <w:shd w:val="clear" w:color="auto" w:fill="auto"/>
            <w:noWrap/>
            <w:vAlign w:val="center"/>
            <w:hideMark/>
          </w:tcPr>
          <w:p w14:paraId="0A2B666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3E03888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2899957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2707915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0.025</w:t>
            </w:r>
          </w:p>
        </w:tc>
        <w:tc>
          <w:tcPr>
            <w:tcW w:w="0" w:type="auto"/>
            <w:tcBorders>
              <w:top w:val="nil"/>
              <w:left w:val="nil"/>
              <w:bottom w:val="nil"/>
              <w:right w:val="nil"/>
            </w:tcBorders>
            <w:shd w:val="clear" w:color="auto" w:fill="auto"/>
            <w:noWrap/>
            <w:vAlign w:val="center"/>
            <w:hideMark/>
          </w:tcPr>
          <w:p w14:paraId="6860207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0.720</w:t>
            </w:r>
          </w:p>
        </w:tc>
        <w:tc>
          <w:tcPr>
            <w:tcW w:w="0" w:type="auto"/>
            <w:tcBorders>
              <w:top w:val="nil"/>
              <w:left w:val="nil"/>
              <w:bottom w:val="nil"/>
              <w:right w:val="nil"/>
            </w:tcBorders>
            <w:shd w:val="clear" w:color="auto" w:fill="auto"/>
            <w:noWrap/>
            <w:vAlign w:val="center"/>
            <w:hideMark/>
          </w:tcPr>
          <w:p w14:paraId="4AC9FE8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[–1.386, 1.437]</w:t>
            </w:r>
          </w:p>
        </w:tc>
        <w:tc>
          <w:tcPr>
            <w:tcW w:w="0" w:type="auto"/>
            <w:tcBorders>
              <w:top w:val="nil"/>
              <w:left w:val="nil"/>
              <w:bottom w:val="nil"/>
              <w:right w:val="nil"/>
            </w:tcBorders>
            <w:shd w:val="clear" w:color="auto" w:fill="auto"/>
            <w:noWrap/>
            <w:vAlign w:val="bottom"/>
            <w:hideMark/>
          </w:tcPr>
          <w:p w14:paraId="4236223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0.039</w:t>
            </w:r>
          </w:p>
        </w:tc>
        <w:tc>
          <w:tcPr>
            <w:tcW w:w="0" w:type="auto"/>
            <w:tcBorders>
              <w:top w:val="nil"/>
              <w:left w:val="nil"/>
              <w:bottom w:val="nil"/>
              <w:right w:val="nil"/>
            </w:tcBorders>
            <w:shd w:val="clear" w:color="auto" w:fill="auto"/>
            <w:noWrap/>
            <w:vAlign w:val="bottom"/>
            <w:hideMark/>
          </w:tcPr>
          <w:p w14:paraId="31CC438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0.358</w:t>
            </w:r>
          </w:p>
        </w:tc>
        <w:tc>
          <w:tcPr>
            <w:tcW w:w="0" w:type="auto"/>
            <w:tcBorders>
              <w:top w:val="nil"/>
              <w:left w:val="nil"/>
              <w:bottom w:val="nil"/>
              <w:right w:val="nil"/>
            </w:tcBorders>
            <w:shd w:val="clear" w:color="auto" w:fill="auto"/>
            <w:noWrap/>
            <w:vAlign w:val="bottom"/>
            <w:hideMark/>
          </w:tcPr>
          <w:p w14:paraId="04480CF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[–0.663, 0.741]</w:t>
            </w:r>
          </w:p>
        </w:tc>
      </w:tr>
      <w:tr w:rsidR="00F30B53" w:rsidRPr="00F30B53" w14:paraId="5502096A" w14:textId="77777777" w:rsidTr="00F30B53">
        <w:trPr>
          <w:trHeight w:val="215"/>
        </w:trPr>
        <w:tc>
          <w:tcPr>
            <w:tcW w:w="0" w:type="auto"/>
            <w:tcBorders>
              <w:top w:val="nil"/>
              <w:left w:val="nil"/>
              <w:bottom w:val="nil"/>
              <w:right w:val="nil"/>
            </w:tcBorders>
            <w:shd w:val="clear" w:color="auto" w:fill="auto"/>
            <w:noWrap/>
            <w:vAlign w:val="bottom"/>
            <w:hideMark/>
          </w:tcPr>
          <w:p w14:paraId="77896C3E"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Knowledge of end game-yes</w:t>
            </w:r>
          </w:p>
        </w:tc>
        <w:tc>
          <w:tcPr>
            <w:tcW w:w="0" w:type="auto"/>
            <w:tcBorders>
              <w:top w:val="nil"/>
              <w:left w:val="nil"/>
              <w:bottom w:val="nil"/>
              <w:right w:val="nil"/>
            </w:tcBorders>
            <w:shd w:val="clear" w:color="auto" w:fill="auto"/>
            <w:noWrap/>
            <w:vAlign w:val="center"/>
            <w:hideMark/>
          </w:tcPr>
          <w:p w14:paraId="6E0A7AF6"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–0.089</w:t>
            </w:r>
          </w:p>
        </w:tc>
        <w:tc>
          <w:tcPr>
            <w:tcW w:w="0" w:type="auto"/>
            <w:tcBorders>
              <w:top w:val="nil"/>
              <w:left w:val="nil"/>
              <w:bottom w:val="nil"/>
              <w:right w:val="nil"/>
            </w:tcBorders>
            <w:shd w:val="clear" w:color="auto" w:fill="auto"/>
            <w:noWrap/>
            <w:vAlign w:val="center"/>
            <w:hideMark/>
          </w:tcPr>
          <w:p w14:paraId="231C13B3"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0.042</w:t>
            </w:r>
          </w:p>
        </w:tc>
        <w:tc>
          <w:tcPr>
            <w:tcW w:w="0" w:type="auto"/>
            <w:tcBorders>
              <w:top w:val="nil"/>
              <w:left w:val="nil"/>
              <w:bottom w:val="nil"/>
              <w:right w:val="nil"/>
            </w:tcBorders>
            <w:shd w:val="clear" w:color="auto" w:fill="auto"/>
            <w:noWrap/>
            <w:vAlign w:val="center"/>
            <w:hideMark/>
          </w:tcPr>
          <w:p w14:paraId="072C75E6"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r w:rsidRPr="00F30B53">
              <w:rPr>
                <w:rFonts w:eastAsia="Times New Roman" w:cs="Times New Roman"/>
                <w:b/>
                <w:bCs/>
                <w:color w:val="000000"/>
                <w:sz w:val="16"/>
                <w:szCs w:val="16"/>
                <w:lang w:val="en-GB" w:eastAsia="zh-CN"/>
              </w:rPr>
              <w:t>[–0.171, –0.006]</w:t>
            </w:r>
          </w:p>
        </w:tc>
        <w:tc>
          <w:tcPr>
            <w:tcW w:w="0" w:type="auto"/>
            <w:tcBorders>
              <w:top w:val="nil"/>
              <w:left w:val="nil"/>
              <w:bottom w:val="nil"/>
              <w:right w:val="nil"/>
            </w:tcBorders>
            <w:shd w:val="clear" w:color="auto" w:fill="auto"/>
            <w:noWrap/>
            <w:vAlign w:val="center"/>
            <w:hideMark/>
          </w:tcPr>
          <w:p w14:paraId="4FB3B10D" w14:textId="77777777" w:rsidR="00F30B53" w:rsidRPr="00F30B53" w:rsidRDefault="00F30B53" w:rsidP="00F30B53">
            <w:pPr>
              <w:spacing w:line="240" w:lineRule="auto"/>
              <w:jc w:val="center"/>
              <w:rPr>
                <w:rFonts w:eastAsia="Times New Roman" w:cs="Times New Roman"/>
                <w:b/>
                <w:bCs/>
                <w:color w:val="000000"/>
                <w:sz w:val="16"/>
                <w:szCs w:val="16"/>
                <w:lang w:val="en-GB" w:eastAsia="zh-CN"/>
              </w:rPr>
            </w:pPr>
          </w:p>
        </w:tc>
        <w:tc>
          <w:tcPr>
            <w:tcW w:w="0" w:type="auto"/>
            <w:tcBorders>
              <w:top w:val="nil"/>
              <w:left w:val="nil"/>
              <w:bottom w:val="nil"/>
              <w:right w:val="nil"/>
            </w:tcBorders>
            <w:shd w:val="clear" w:color="auto" w:fill="auto"/>
            <w:noWrap/>
            <w:vAlign w:val="center"/>
            <w:hideMark/>
          </w:tcPr>
          <w:p w14:paraId="3B9C17EA"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6E4E3DD4"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bottom"/>
            <w:hideMark/>
          </w:tcPr>
          <w:p w14:paraId="4AA6D557"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bottom"/>
            <w:hideMark/>
          </w:tcPr>
          <w:p w14:paraId="7D535706"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bottom"/>
            <w:hideMark/>
          </w:tcPr>
          <w:p w14:paraId="013E7B04" w14:textId="77777777" w:rsidR="00F30B53" w:rsidRPr="00F30B53" w:rsidRDefault="00F30B53" w:rsidP="00F30B53">
            <w:pPr>
              <w:spacing w:line="240" w:lineRule="auto"/>
              <w:jc w:val="center"/>
              <w:rPr>
                <w:rFonts w:eastAsia="Times New Roman" w:cs="Times New Roman"/>
                <w:sz w:val="20"/>
                <w:szCs w:val="20"/>
                <w:lang w:val="en-GB" w:eastAsia="zh-CN"/>
              </w:rPr>
            </w:pPr>
          </w:p>
        </w:tc>
      </w:tr>
      <w:tr w:rsidR="00F30B53" w:rsidRPr="00F30B53" w14:paraId="085B6899" w14:textId="77777777" w:rsidTr="00F30B53">
        <w:trPr>
          <w:trHeight w:val="215"/>
        </w:trPr>
        <w:tc>
          <w:tcPr>
            <w:tcW w:w="0" w:type="auto"/>
            <w:tcBorders>
              <w:top w:val="nil"/>
              <w:left w:val="nil"/>
              <w:bottom w:val="nil"/>
              <w:right w:val="nil"/>
            </w:tcBorders>
            <w:shd w:val="clear" w:color="auto" w:fill="auto"/>
            <w:noWrap/>
            <w:vAlign w:val="bottom"/>
            <w:hideMark/>
          </w:tcPr>
          <w:p w14:paraId="4A3013DB"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Knowledge of end game-mixed</w:t>
            </w:r>
          </w:p>
        </w:tc>
        <w:tc>
          <w:tcPr>
            <w:tcW w:w="0" w:type="auto"/>
            <w:tcBorders>
              <w:top w:val="nil"/>
              <w:left w:val="nil"/>
              <w:bottom w:val="nil"/>
              <w:right w:val="nil"/>
            </w:tcBorders>
            <w:shd w:val="clear" w:color="auto" w:fill="auto"/>
            <w:noWrap/>
            <w:vAlign w:val="center"/>
            <w:hideMark/>
          </w:tcPr>
          <w:p w14:paraId="3176908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–0.124</w:t>
            </w:r>
          </w:p>
        </w:tc>
        <w:tc>
          <w:tcPr>
            <w:tcW w:w="0" w:type="auto"/>
            <w:tcBorders>
              <w:top w:val="nil"/>
              <w:left w:val="nil"/>
              <w:bottom w:val="nil"/>
              <w:right w:val="nil"/>
            </w:tcBorders>
            <w:shd w:val="clear" w:color="auto" w:fill="auto"/>
            <w:noWrap/>
            <w:vAlign w:val="center"/>
            <w:hideMark/>
          </w:tcPr>
          <w:p w14:paraId="2C9347F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0.118</w:t>
            </w:r>
          </w:p>
        </w:tc>
        <w:tc>
          <w:tcPr>
            <w:tcW w:w="0" w:type="auto"/>
            <w:tcBorders>
              <w:top w:val="nil"/>
              <w:left w:val="nil"/>
              <w:bottom w:val="nil"/>
              <w:right w:val="nil"/>
            </w:tcBorders>
            <w:shd w:val="clear" w:color="auto" w:fill="auto"/>
            <w:noWrap/>
            <w:vAlign w:val="center"/>
            <w:hideMark/>
          </w:tcPr>
          <w:p w14:paraId="293C75B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[–0.356, 0.107]</w:t>
            </w:r>
          </w:p>
        </w:tc>
        <w:tc>
          <w:tcPr>
            <w:tcW w:w="0" w:type="auto"/>
            <w:tcBorders>
              <w:top w:val="nil"/>
              <w:left w:val="nil"/>
              <w:bottom w:val="nil"/>
              <w:right w:val="nil"/>
            </w:tcBorders>
            <w:shd w:val="clear" w:color="auto" w:fill="auto"/>
            <w:noWrap/>
            <w:vAlign w:val="center"/>
            <w:hideMark/>
          </w:tcPr>
          <w:p w14:paraId="0F7BF28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p>
        </w:tc>
        <w:tc>
          <w:tcPr>
            <w:tcW w:w="0" w:type="auto"/>
            <w:tcBorders>
              <w:top w:val="nil"/>
              <w:left w:val="nil"/>
              <w:bottom w:val="nil"/>
              <w:right w:val="nil"/>
            </w:tcBorders>
            <w:shd w:val="clear" w:color="auto" w:fill="auto"/>
            <w:noWrap/>
            <w:vAlign w:val="center"/>
            <w:hideMark/>
          </w:tcPr>
          <w:p w14:paraId="2113D5C0"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10FBDCC7"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bottom"/>
            <w:hideMark/>
          </w:tcPr>
          <w:p w14:paraId="29517059"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bottom"/>
            <w:hideMark/>
          </w:tcPr>
          <w:p w14:paraId="344FC6B2"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bottom"/>
            <w:hideMark/>
          </w:tcPr>
          <w:p w14:paraId="738675A0" w14:textId="77777777" w:rsidR="00F30B53" w:rsidRPr="00F30B53" w:rsidRDefault="00F30B53" w:rsidP="00F30B53">
            <w:pPr>
              <w:spacing w:line="240" w:lineRule="auto"/>
              <w:jc w:val="center"/>
              <w:rPr>
                <w:rFonts w:eastAsia="Times New Roman" w:cs="Times New Roman"/>
                <w:sz w:val="20"/>
                <w:szCs w:val="20"/>
                <w:lang w:val="en-GB" w:eastAsia="zh-CN"/>
              </w:rPr>
            </w:pPr>
          </w:p>
        </w:tc>
      </w:tr>
      <w:tr w:rsidR="00F30B53" w:rsidRPr="00F30B53" w14:paraId="7663F20C" w14:textId="77777777" w:rsidTr="00F30B53">
        <w:trPr>
          <w:trHeight w:val="215"/>
        </w:trPr>
        <w:tc>
          <w:tcPr>
            <w:tcW w:w="0" w:type="auto"/>
            <w:tcBorders>
              <w:top w:val="nil"/>
              <w:left w:val="nil"/>
              <w:bottom w:val="nil"/>
              <w:right w:val="nil"/>
            </w:tcBorders>
            <w:shd w:val="clear" w:color="auto" w:fill="auto"/>
            <w:noWrap/>
            <w:vAlign w:val="bottom"/>
            <w:hideMark/>
          </w:tcPr>
          <w:p w14:paraId="35C87798"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Symmetry-symmetric</w:t>
            </w:r>
          </w:p>
        </w:tc>
        <w:tc>
          <w:tcPr>
            <w:tcW w:w="0" w:type="auto"/>
            <w:tcBorders>
              <w:top w:val="nil"/>
              <w:left w:val="nil"/>
              <w:bottom w:val="nil"/>
              <w:right w:val="nil"/>
            </w:tcBorders>
            <w:shd w:val="clear" w:color="auto" w:fill="auto"/>
            <w:noWrap/>
            <w:vAlign w:val="center"/>
            <w:hideMark/>
          </w:tcPr>
          <w:p w14:paraId="66A0DD0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0.055</w:t>
            </w:r>
          </w:p>
        </w:tc>
        <w:tc>
          <w:tcPr>
            <w:tcW w:w="0" w:type="auto"/>
            <w:tcBorders>
              <w:top w:val="nil"/>
              <w:left w:val="nil"/>
              <w:bottom w:val="nil"/>
              <w:right w:val="nil"/>
            </w:tcBorders>
            <w:shd w:val="clear" w:color="auto" w:fill="auto"/>
            <w:noWrap/>
            <w:vAlign w:val="center"/>
            <w:hideMark/>
          </w:tcPr>
          <w:p w14:paraId="444C5B7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0.073</w:t>
            </w:r>
          </w:p>
        </w:tc>
        <w:tc>
          <w:tcPr>
            <w:tcW w:w="0" w:type="auto"/>
            <w:tcBorders>
              <w:top w:val="nil"/>
              <w:left w:val="nil"/>
              <w:bottom w:val="nil"/>
              <w:right w:val="nil"/>
            </w:tcBorders>
            <w:shd w:val="clear" w:color="auto" w:fill="auto"/>
            <w:noWrap/>
            <w:vAlign w:val="center"/>
            <w:hideMark/>
          </w:tcPr>
          <w:p w14:paraId="405CC83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[–0.088, 0.199]</w:t>
            </w:r>
          </w:p>
        </w:tc>
        <w:tc>
          <w:tcPr>
            <w:tcW w:w="0" w:type="auto"/>
            <w:tcBorders>
              <w:top w:val="nil"/>
              <w:left w:val="nil"/>
              <w:bottom w:val="nil"/>
              <w:right w:val="nil"/>
            </w:tcBorders>
            <w:shd w:val="clear" w:color="auto" w:fill="auto"/>
            <w:noWrap/>
            <w:vAlign w:val="center"/>
            <w:hideMark/>
          </w:tcPr>
          <w:p w14:paraId="427A528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0.114</w:t>
            </w:r>
          </w:p>
        </w:tc>
        <w:tc>
          <w:tcPr>
            <w:tcW w:w="0" w:type="auto"/>
            <w:tcBorders>
              <w:top w:val="nil"/>
              <w:left w:val="nil"/>
              <w:bottom w:val="nil"/>
              <w:right w:val="nil"/>
            </w:tcBorders>
            <w:shd w:val="clear" w:color="auto" w:fill="auto"/>
            <w:noWrap/>
            <w:vAlign w:val="center"/>
            <w:hideMark/>
          </w:tcPr>
          <w:p w14:paraId="69BCEFB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0.069</w:t>
            </w:r>
          </w:p>
        </w:tc>
        <w:tc>
          <w:tcPr>
            <w:tcW w:w="0" w:type="auto"/>
            <w:tcBorders>
              <w:top w:val="nil"/>
              <w:left w:val="nil"/>
              <w:bottom w:val="nil"/>
              <w:right w:val="nil"/>
            </w:tcBorders>
            <w:shd w:val="clear" w:color="auto" w:fill="auto"/>
            <w:noWrap/>
            <w:vAlign w:val="center"/>
            <w:hideMark/>
          </w:tcPr>
          <w:p w14:paraId="104618A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[–0.021, 0.250]</w:t>
            </w:r>
          </w:p>
        </w:tc>
        <w:tc>
          <w:tcPr>
            <w:tcW w:w="0" w:type="auto"/>
            <w:tcBorders>
              <w:top w:val="nil"/>
              <w:left w:val="nil"/>
              <w:bottom w:val="nil"/>
              <w:right w:val="nil"/>
            </w:tcBorders>
            <w:shd w:val="clear" w:color="auto" w:fill="auto"/>
            <w:noWrap/>
            <w:vAlign w:val="bottom"/>
            <w:hideMark/>
          </w:tcPr>
          <w:p w14:paraId="6C2D77B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0.043</w:t>
            </w:r>
          </w:p>
        </w:tc>
        <w:tc>
          <w:tcPr>
            <w:tcW w:w="0" w:type="auto"/>
            <w:tcBorders>
              <w:top w:val="nil"/>
              <w:left w:val="nil"/>
              <w:bottom w:val="nil"/>
              <w:right w:val="nil"/>
            </w:tcBorders>
            <w:shd w:val="clear" w:color="auto" w:fill="auto"/>
            <w:noWrap/>
            <w:vAlign w:val="bottom"/>
            <w:hideMark/>
          </w:tcPr>
          <w:p w14:paraId="2756A3A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0.073</w:t>
            </w:r>
          </w:p>
        </w:tc>
        <w:tc>
          <w:tcPr>
            <w:tcW w:w="0" w:type="auto"/>
            <w:tcBorders>
              <w:top w:val="nil"/>
              <w:left w:val="nil"/>
              <w:bottom w:val="nil"/>
              <w:right w:val="nil"/>
            </w:tcBorders>
            <w:shd w:val="clear" w:color="auto" w:fill="auto"/>
            <w:noWrap/>
            <w:vAlign w:val="bottom"/>
            <w:hideMark/>
          </w:tcPr>
          <w:p w14:paraId="41D07D4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[–0.100, 0.186]</w:t>
            </w:r>
          </w:p>
        </w:tc>
      </w:tr>
      <w:tr w:rsidR="00F30B53" w:rsidRPr="00F30B53" w14:paraId="615D5B4A" w14:textId="77777777" w:rsidTr="00F30B53">
        <w:trPr>
          <w:trHeight w:val="215"/>
        </w:trPr>
        <w:tc>
          <w:tcPr>
            <w:tcW w:w="0" w:type="auto"/>
            <w:tcBorders>
              <w:top w:val="nil"/>
              <w:left w:val="nil"/>
              <w:bottom w:val="nil"/>
              <w:right w:val="nil"/>
            </w:tcBorders>
            <w:shd w:val="clear" w:color="auto" w:fill="auto"/>
            <w:noWrap/>
            <w:vAlign w:val="bottom"/>
            <w:hideMark/>
          </w:tcPr>
          <w:p w14:paraId="7349B8F5"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Symmetry-mixed</w:t>
            </w:r>
          </w:p>
        </w:tc>
        <w:tc>
          <w:tcPr>
            <w:tcW w:w="0" w:type="auto"/>
            <w:tcBorders>
              <w:top w:val="nil"/>
              <w:left w:val="nil"/>
              <w:bottom w:val="nil"/>
              <w:right w:val="nil"/>
            </w:tcBorders>
            <w:shd w:val="clear" w:color="auto" w:fill="auto"/>
            <w:noWrap/>
            <w:vAlign w:val="center"/>
            <w:hideMark/>
          </w:tcPr>
          <w:p w14:paraId="6E497FE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–0.203</w:t>
            </w:r>
          </w:p>
        </w:tc>
        <w:tc>
          <w:tcPr>
            <w:tcW w:w="0" w:type="auto"/>
            <w:tcBorders>
              <w:top w:val="nil"/>
              <w:left w:val="nil"/>
              <w:bottom w:val="nil"/>
              <w:right w:val="nil"/>
            </w:tcBorders>
            <w:shd w:val="clear" w:color="auto" w:fill="auto"/>
            <w:noWrap/>
            <w:vAlign w:val="center"/>
            <w:hideMark/>
          </w:tcPr>
          <w:p w14:paraId="14BD506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0.146</w:t>
            </w:r>
          </w:p>
        </w:tc>
        <w:tc>
          <w:tcPr>
            <w:tcW w:w="0" w:type="auto"/>
            <w:tcBorders>
              <w:top w:val="nil"/>
              <w:left w:val="nil"/>
              <w:bottom w:val="nil"/>
              <w:right w:val="nil"/>
            </w:tcBorders>
            <w:shd w:val="clear" w:color="auto" w:fill="auto"/>
            <w:noWrap/>
            <w:vAlign w:val="center"/>
            <w:hideMark/>
          </w:tcPr>
          <w:p w14:paraId="3DC19CB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[–0.489, 0.083]</w:t>
            </w:r>
          </w:p>
        </w:tc>
        <w:tc>
          <w:tcPr>
            <w:tcW w:w="0" w:type="auto"/>
            <w:tcBorders>
              <w:top w:val="nil"/>
              <w:left w:val="nil"/>
              <w:bottom w:val="nil"/>
              <w:right w:val="nil"/>
            </w:tcBorders>
            <w:shd w:val="clear" w:color="auto" w:fill="auto"/>
            <w:noWrap/>
            <w:vAlign w:val="center"/>
            <w:hideMark/>
          </w:tcPr>
          <w:p w14:paraId="47A6D00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0.005</w:t>
            </w:r>
          </w:p>
        </w:tc>
        <w:tc>
          <w:tcPr>
            <w:tcW w:w="0" w:type="auto"/>
            <w:tcBorders>
              <w:top w:val="nil"/>
              <w:left w:val="nil"/>
              <w:bottom w:val="nil"/>
              <w:right w:val="nil"/>
            </w:tcBorders>
            <w:shd w:val="clear" w:color="auto" w:fill="auto"/>
            <w:noWrap/>
            <w:vAlign w:val="center"/>
            <w:hideMark/>
          </w:tcPr>
          <w:p w14:paraId="6587A6C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0.155</w:t>
            </w:r>
          </w:p>
        </w:tc>
        <w:tc>
          <w:tcPr>
            <w:tcW w:w="0" w:type="auto"/>
            <w:tcBorders>
              <w:top w:val="nil"/>
              <w:left w:val="nil"/>
              <w:bottom w:val="nil"/>
              <w:right w:val="nil"/>
            </w:tcBorders>
            <w:shd w:val="clear" w:color="auto" w:fill="auto"/>
            <w:noWrap/>
            <w:vAlign w:val="center"/>
            <w:hideMark/>
          </w:tcPr>
          <w:p w14:paraId="20164BB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[–0.299, 0.310]</w:t>
            </w:r>
          </w:p>
        </w:tc>
        <w:tc>
          <w:tcPr>
            <w:tcW w:w="0" w:type="auto"/>
            <w:tcBorders>
              <w:top w:val="nil"/>
              <w:left w:val="nil"/>
              <w:bottom w:val="nil"/>
              <w:right w:val="nil"/>
            </w:tcBorders>
            <w:shd w:val="clear" w:color="auto" w:fill="auto"/>
            <w:noWrap/>
            <w:vAlign w:val="bottom"/>
            <w:hideMark/>
          </w:tcPr>
          <w:p w14:paraId="12640F3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–0.237</w:t>
            </w:r>
          </w:p>
        </w:tc>
        <w:tc>
          <w:tcPr>
            <w:tcW w:w="0" w:type="auto"/>
            <w:tcBorders>
              <w:top w:val="nil"/>
              <w:left w:val="nil"/>
              <w:bottom w:val="nil"/>
              <w:right w:val="nil"/>
            </w:tcBorders>
            <w:shd w:val="clear" w:color="auto" w:fill="auto"/>
            <w:noWrap/>
            <w:vAlign w:val="bottom"/>
            <w:hideMark/>
          </w:tcPr>
          <w:p w14:paraId="23A77E8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0.145</w:t>
            </w:r>
          </w:p>
        </w:tc>
        <w:tc>
          <w:tcPr>
            <w:tcW w:w="0" w:type="auto"/>
            <w:tcBorders>
              <w:top w:val="nil"/>
              <w:left w:val="nil"/>
              <w:bottom w:val="nil"/>
              <w:right w:val="nil"/>
            </w:tcBorders>
            <w:shd w:val="clear" w:color="auto" w:fill="auto"/>
            <w:noWrap/>
            <w:vAlign w:val="bottom"/>
            <w:hideMark/>
          </w:tcPr>
          <w:p w14:paraId="6BACDB1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[–0.521, 0.047]</w:t>
            </w:r>
          </w:p>
        </w:tc>
      </w:tr>
      <w:tr w:rsidR="00F30B53" w:rsidRPr="00F30B53" w14:paraId="4A456F34" w14:textId="77777777" w:rsidTr="00F30B53">
        <w:trPr>
          <w:trHeight w:val="215"/>
        </w:trPr>
        <w:tc>
          <w:tcPr>
            <w:tcW w:w="0" w:type="auto"/>
            <w:tcBorders>
              <w:top w:val="nil"/>
              <w:left w:val="nil"/>
              <w:bottom w:val="nil"/>
              <w:right w:val="nil"/>
            </w:tcBorders>
            <w:shd w:val="clear" w:color="auto" w:fill="auto"/>
            <w:noWrap/>
            <w:vAlign w:val="bottom"/>
            <w:hideMark/>
          </w:tcPr>
          <w:p w14:paraId="55841B98"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proofErr w:type="spellStart"/>
            <w:r w:rsidRPr="00F30B53">
              <w:rPr>
                <w:rFonts w:eastAsia="Times New Roman" w:cs="Times New Roman"/>
                <w:color w:val="000000"/>
                <w:sz w:val="16"/>
                <w:szCs w:val="16"/>
                <w:lang w:val="en-GB" w:eastAsia="zh-CN"/>
              </w:rPr>
              <w:t>Sequentiality</w:t>
            </w:r>
            <w:proofErr w:type="spellEnd"/>
            <w:r w:rsidRPr="00F30B53">
              <w:rPr>
                <w:rFonts w:eastAsia="Times New Roman" w:cs="Times New Roman"/>
                <w:color w:val="000000"/>
                <w:sz w:val="16"/>
                <w:szCs w:val="16"/>
                <w:lang w:val="en-GB" w:eastAsia="zh-CN"/>
              </w:rPr>
              <w:t>-simultaneous</w:t>
            </w:r>
          </w:p>
        </w:tc>
        <w:tc>
          <w:tcPr>
            <w:tcW w:w="0" w:type="auto"/>
            <w:tcBorders>
              <w:top w:val="nil"/>
              <w:left w:val="nil"/>
              <w:bottom w:val="nil"/>
              <w:right w:val="nil"/>
            </w:tcBorders>
            <w:shd w:val="clear" w:color="auto" w:fill="auto"/>
            <w:noWrap/>
            <w:vAlign w:val="center"/>
            <w:hideMark/>
          </w:tcPr>
          <w:p w14:paraId="48237DC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0.053</w:t>
            </w:r>
          </w:p>
        </w:tc>
        <w:tc>
          <w:tcPr>
            <w:tcW w:w="0" w:type="auto"/>
            <w:tcBorders>
              <w:top w:val="nil"/>
              <w:left w:val="nil"/>
              <w:bottom w:val="nil"/>
              <w:right w:val="nil"/>
            </w:tcBorders>
            <w:shd w:val="clear" w:color="auto" w:fill="auto"/>
            <w:noWrap/>
            <w:vAlign w:val="center"/>
            <w:hideMark/>
          </w:tcPr>
          <w:p w14:paraId="149CC97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0.065</w:t>
            </w:r>
          </w:p>
        </w:tc>
        <w:tc>
          <w:tcPr>
            <w:tcW w:w="0" w:type="auto"/>
            <w:tcBorders>
              <w:top w:val="nil"/>
              <w:left w:val="nil"/>
              <w:bottom w:val="nil"/>
              <w:right w:val="nil"/>
            </w:tcBorders>
            <w:shd w:val="clear" w:color="auto" w:fill="auto"/>
            <w:noWrap/>
            <w:vAlign w:val="center"/>
            <w:hideMark/>
          </w:tcPr>
          <w:p w14:paraId="5DE94DA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[–0.074, 0.180]</w:t>
            </w:r>
          </w:p>
        </w:tc>
        <w:tc>
          <w:tcPr>
            <w:tcW w:w="0" w:type="auto"/>
            <w:tcBorders>
              <w:top w:val="nil"/>
              <w:left w:val="nil"/>
              <w:bottom w:val="nil"/>
              <w:right w:val="nil"/>
            </w:tcBorders>
            <w:shd w:val="clear" w:color="auto" w:fill="auto"/>
            <w:noWrap/>
            <w:vAlign w:val="center"/>
            <w:hideMark/>
          </w:tcPr>
          <w:p w14:paraId="5A54790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0.129</w:t>
            </w:r>
          </w:p>
        </w:tc>
        <w:tc>
          <w:tcPr>
            <w:tcW w:w="0" w:type="auto"/>
            <w:tcBorders>
              <w:top w:val="nil"/>
              <w:left w:val="nil"/>
              <w:bottom w:val="nil"/>
              <w:right w:val="nil"/>
            </w:tcBorders>
            <w:shd w:val="clear" w:color="auto" w:fill="auto"/>
            <w:noWrap/>
            <w:vAlign w:val="center"/>
            <w:hideMark/>
          </w:tcPr>
          <w:p w14:paraId="75B2C87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0.093</w:t>
            </w:r>
          </w:p>
        </w:tc>
        <w:tc>
          <w:tcPr>
            <w:tcW w:w="0" w:type="auto"/>
            <w:tcBorders>
              <w:top w:val="nil"/>
              <w:left w:val="nil"/>
              <w:bottom w:val="nil"/>
              <w:right w:val="nil"/>
            </w:tcBorders>
            <w:shd w:val="clear" w:color="auto" w:fill="auto"/>
            <w:noWrap/>
            <w:vAlign w:val="center"/>
            <w:hideMark/>
          </w:tcPr>
          <w:p w14:paraId="66C18AC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[–0.053, 0.311]</w:t>
            </w:r>
          </w:p>
        </w:tc>
        <w:tc>
          <w:tcPr>
            <w:tcW w:w="0" w:type="auto"/>
            <w:tcBorders>
              <w:top w:val="nil"/>
              <w:left w:val="nil"/>
              <w:bottom w:val="nil"/>
              <w:right w:val="nil"/>
            </w:tcBorders>
            <w:shd w:val="clear" w:color="auto" w:fill="auto"/>
            <w:noWrap/>
            <w:vAlign w:val="bottom"/>
            <w:hideMark/>
          </w:tcPr>
          <w:p w14:paraId="29F5860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0.066</w:t>
            </w:r>
          </w:p>
        </w:tc>
        <w:tc>
          <w:tcPr>
            <w:tcW w:w="0" w:type="auto"/>
            <w:tcBorders>
              <w:top w:val="nil"/>
              <w:left w:val="nil"/>
              <w:bottom w:val="nil"/>
              <w:right w:val="nil"/>
            </w:tcBorders>
            <w:shd w:val="clear" w:color="auto" w:fill="auto"/>
            <w:noWrap/>
            <w:vAlign w:val="bottom"/>
            <w:hideMark/>
          </w:tcPr>
          <w:p w14:paraId="4B247C6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0.065</w:t>
            </w:r>
          </w:p>
        </w:tc>
        <w:tc>
          <w:tcPr>
            <w:tcW w:w="0" w:type="auto"/>
            <w:tcBorders>
              <w:top w:val="nil"/>
              <w:left w:val="nil"/>
              <w:bottom w:val="nil"/>
              <w:right w:val="nil"/>
            </w:tcBorders>
            <w:shd w:val="clear" w:color="auto" w:fill="auto"/>
            <w:noWrap/>
            <w:vAlign w:val="bottom"/>
            <w:hideMark/>
          </w:tcPr>
          <w:p w14:paraId="51C694C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[–0.061, 0.194]</w:t>
            </w:r>
          </w:p>
        </w:tc>
      </w:tr>
      <w:tr w:rsidR="00F30B53" w:rsidRPr="00F30B53" w14:paraId="2ED1F95A" w14:textId="77777777" w:rsidTr="00F30B53">
        <w:trPr>
          <w:trHeight w:val="215"/>
        </w:trPr>
        <w:tc>
          <w:tcPr>
            <w:tcW w:w="0" w:type="auto"/>
            <w:tcBorders>
              <w:top w:val="nil"/>
              <w:left w:val="nil"/>
              <w:bottom w:val="nil"/>
              <w:right w:val="nil"/>
            </w:tcBorders>
            <w:shd w:val="clear" w:color="auto" w:fill="auto"/>
            <w:noWrap/>
            <w:vAlign w:val="bottom"/>
            <w:hideMark/>
          </w:tcPr>
          <w:p w14:paraId="64C7F57B"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proofErr w:type="spellStart"/>
            <w:r w:rsidRPr="00F30B53">
              <w:rPr>
                <w:rFonts w:eastAsia="Times New Roman" w:cs="Times New Roman"/>
                <w:color w:val="000000"/>
                <w:sz w:val="16"/>
                <w:szCs w:val="16"/>
                <w:lang w:val="en-GB" w:eastAsia="zh-CN"/>
              </w:rPr>
              <w:t>Sequentiality</w:t>
            </w:r>
            <w:proofErr w:type="spellEnd"/>
            <w:r w:rsidRPr="00F30B53">
              <w:rPr>
                <w:rFonts w:eastAsia="Times New Roman" w:cs="Times New Roman"/>
                <w:color w:val="000000"/>
                <w:sz w:val="16"/>
                <w:szCs w:val="16"/>
                <w:lang w:val="en-GB" w:eastAsia="zh-CN"/>
              </w:rPr>
              <w:t>-mixed</w:t>
            </w:r>
          </w:p>
        </w:tc>
        <w:tc>
          <w:tcPr>
            <w:tcW w:w="0" w:type="auto"/>
            <w:tcBorders>
              <w:top w:val="nil"/>
              <w:left w:val="nil"/>
              <w:bottom w:val="nil"/>
              <w:right w:val="nil"/>
            </w:tcBorders>
            <w:shd w:val="clear" w:color="auto" w:fill="auto"/>
            <w:noWrap/>
            <w:vAlign w:val="center"/>
            <w:hideMark/>
          </w:tcPr>
          <w:p w14:paraId="6621567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0.009</w:t>
            </w:r>
          </w:p>
        </w:tc>
        <w:tc>
          <w:tcPr>
            <w:tcW w:w="0" w:type="auto"/>
            <w:tcBorders>
              <w:top w:val="nil"/>
              <w:left w:val="nil"/>
              <w:bottom w:val="nil"/>
              <w:right w:val="nil"/>
            </w:tcBorders>
            <w:shd w:val="clear" w:color="auto" w:fill="auto"/>
            <w:noWrap/>
            <w:vAlign w:val="center"/>
            <w:hideMark/>
          </w:tcPr>
          <w:p w14:paraId="27FFB4F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0.134</w:t>
            </w:r>
          </w:p>
        </w:tc>
        <w:tc>
          <w:tcPr>
            <w:tcW w:w="0" w:type="auto"/>
            <w:tcBorders>
              <w:top w:val="nil"/>
              <w:left w:val="nil"/>
              <w:bottom w:val="nil"/>
              <w:right w:val="nil"/>
            </w:tcBorders>
            <w:shd w:val="clear" w:color="auto" w:fill="auto"/>
            <w:noWrap/>
            <w:vAlign w:val="center"/>
            <w:hideMark/>
          </w:tcPr>
          <w:p w14:paraId="17CEC42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[–0.255, 0.273]</w:t>
            </w:r>
          </w:p>
        </w:tc>
        <w:tc>
          <w:tcPr>
            <w:tcW w:w="0" w:type="auto"/>
            <w:tcBorders>
              <w:top w:val="nil"/>
              <w:left w:val="nil"/>
              <w:bottom w:val="nil"/>
              <w:right w:val="nil"/>
            </w:tcBorders>
            <w:shd w:val="clear" w:color="auto" w:fill="auto"/>
            <w:noWrap/>
            <w:vAlign w:val="center"/>
            <w:hideMark/>
          </w:tcPr>
          <w:p w14:paraId="72488E4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–0.080</w:t>
            </w:r>
          </w:p>
        </w:tc>
        <w:tc>
          <w:tcPr>
            <w:tcW w:w="0" w:type="auto"/>
            <w:tcBorders>
              <w:top w:val="nil"/>
              <w:left w:val="nil"/>
              <w:bottom w:val="nil"/>
              <w:right w:val="nil"/>
            </w:tcBorders>
            <w:shd w:val="clear" w:color="auto" w:fill="auto"/>
            <w:noWrap/>
            <w:vAlign w:val="center"/>
            <w:hideMark/>
          </w:tcPr>
          <w:p w14:paraId="6487C9E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0.182</w:t>
            </w:r>
          </w:p>
        </w:tc>
        <w:tc>
          <w:tcPr>
            <w:tcW w:w="0" w:type="auto"/>
            <w:tcBorders>
              <w:top w:val="nil"/>
              <w:left w:val="nil"/>
              <w:bottom w:val="nil"/>
              <w:right w:val="nil"/>
            </w:tcBorders>
            <w:shd w:val="clear" w:color="auto" w:fill="auto"/>
            <w:noWrap/>
            <w:vAlign w:val="center"/>
            <w:hideMark/>
          </w:tcPr>
          <w:p w14:paraId="485AA4E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[–0.436, 0.277]</w:t>
            </w:r>
          </w:p>
        </w:tc>
        <w:tc>
          <w:tcPr>
            <w:tcW w:w="0" w:type="auto"/>
            <w:tcBorders>
              <w:top w:val="nil"/>
              <w:left w:val="nil"/>
              <w:bottom w:val="nil"/>
              <w:right w:val="nil"/>
            </w:tcBorders>
            <w:shd w:val="clear" w:color="auto" w:fill="auto"/>
            <w:noWrap/>
            <w:vAlign w:val="bottom"/>
            <w:hideMark/>
          </w:tcPr>
          <w:p w14:paraId="5873F10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–0.012</w:t>
            </w:r>
          </w:p>
        </w:tc>
        <w:tc>
          <w:tcPr>
            <w:tcW w:w="0" w:type="auto"/>
            <w:tcBorders>
              <w:top w:val="nil"/>
              <w:left w:val="nil"/>
              <w:bottom w:val="nil"/>
              <w:right w:val="nil"/>
            </w:tcBorders>
            <w:shd w:val="clear" w:color="auto" w:fill="auto"/>
            <w:noWrap/>
            <w:vAlign w:val="bottom"/>
            <w:hideMark/>
          </w:tcPr>
          <w:p w14:paraId="72F36B1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0.136</w:t>
            </w:r>
          </w:p>
        </w:tc>
        <w:tc>
          <w:tcPr>
            <w:tcW w:w="0" w:type="auto"/>
            <w:tcBorders>
              <w:top w:val="nil"/>
              <w:left w:val="nil"/>
              <w:bottom w:val="nil"/>
              <w:right w:val="nil"/>
            </w:tcBorders>
            <w:shd w:val="clear" w:color="auto" w:fill="auto"/>
            <w:noWrap/>
            <w:vAlign w:val="bottom"/>
            <w:hideMark/>
          </w:tcPr>
          <w:p w14:paraId="7F605CB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[–0.279, 0.255]</w:t>
            </w:r>
          </w:p>
        </w:tc>
      </w:tr>
      <w:tr w:rsidR="00F30B53" w:rsidRPr="00F30B53" w14:paraId="38A5B5E7" w14:textId="77777777" w:rsidTr="00F30B53">
        <w:trPr>
          <w:trHeight w:val="215"/>
        </w:trPr>
        <w:tc>
          <w:tcPr>
            <w:tcW w:w="0" w:type="auto"/>
            <w:tcBorders>
              <w:top w:val="nil"/>
              <w:left w:val="nil"/>
              <w:bottom w:val="nil"/>
              <w:right w:val="nil"/>
            </w:tcBorders>
            <w:shd w:val="clear" w:color="auto" w:fill="auto"/>
            <w:noWrap/>
            <w:vAlign w:val="bottom"/>
            <w:hideMark/>
          </w:tcPr>
          <w:p w14:paraId="4857CAEF"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Show up fee-yes</w:t>
            </w:r>
          </w:p>
        </w:tc>
        <w:tc>
          <w:tcPr>
            <w:tcW w:w="0" w:type="auto"/>
            <w:tcBorders>
              <w:top w:val="nil"/>
              <w:left w:val="nil"/>
              <w:bottom w:val="nil"/>
              <w:right w:val="nil"/>
            </w:tcBorders>
            <w:shd w:val="clear" w:color="auto" w:fill="auto"/>
            <w:noWrap/>
            <w:vAlign w:val="center"/>
            <w:hideMark/>
          </w:tcPr>
          <w:p w14:paraId="6B11197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&lt;.001</w:t>
            </w:r>
          </w:p>
        </w:tc>
        <w:tc>
          <w:tcPr>
            <w:tcW w:w="0" w:type="auto"/>
            <w:tcBorders>
              <w:top w:val="nil"/>
              <w:left w:val="nil"/>
              <w:bottom w:val="nil"/>
              <w:right w:val="nil"/>
            </w:tcBorders>
            <w:shd w:val="clear" w:color="auto" w:fill="auto"/>
            <w:noWrap/>
            <w:vAlign w:val="center"/>
            <w:hideMark/>
          </w:tcPr>
          <w:p w14:paraId="0A0B315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0.042</w:t>
            </w:r>
          </w:p>
        </w:tc>
        <w:tc>
          <w:tcPr>
            <w:tcW w:w="0" w:type="auto"/>
            <w:tcBorders>
              <w:top w:val="nil"/>
              <w:left w:val="nil"/>
              <w:bottom w:val="nil"/>
              <w:right w:val="nil"/>
            </w:tcBorders>
            <w:shd w:val="clear" w:color="auto" w:fill="auto"/>
            <w:noWrap/>
            <w:vAlign w:val="center"/>
            <w:hideMark/>
          </w:tcPr>
          <w:p w14:paraId="6A6FBBB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[–0.083, 0.083]</w:t>
            </w:r>
          </w:p>
        </w:tc>
        <w:tc>
          <w:tcPr>
            <w:tcW w:w="0" w:type="auto"/>
            <w:tcBorders>
              <w:top w:val="nil"/>
              <w:left w:val="nil"/>
              <w:bottom w:val="nil"/>
              <w:right w:val="nil"/>
            </w:tcBorders>
            <w:shd w:val="clear" w:color="auto" w:fill="auto"/>
            <w:noWrap/>
            <w:vAlign w:val="center"/>
            <w:hideMark/>
          </w:tcPr>
          <w:p w14:paraId="5B81BD7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0.042</w:t>
            </w:r>
          </w:p>
        </w:tc>
        <w:tc>
          <w:tcPr>
            <w:tcW w:w="0" w:type="auto"/>
            <w:tcBorders>
              <w:top w:val="nil"/>
              <w:left w:val="nil"/>
              <w:bottom w:val="nil"/>
              <w:right w:val="nil"/>
            </w:tcBorders>
            <w:shd w:val="clear" w:color="auto" w:fill="auto"/>
            <w:noWrap/>
            <w:vAlign w:val="center"/>
            <w:hideMark/>
          </w:tcPr>
          <w:p w14:paraId="1B4E517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0.054</w:t>
            </w:r>
          </w:p>
        </w:tc>
        <w:tc>
          <w:tcPr>
            <w:tcW w:w="0" w:type="auto"/>
            <w:tcBorders>
              <w:top w:val="nil"/>
              <w:left w:val="nil"/>
              <w:bottom w:val="nil"/>
              <w:right w:val="nil"/>
            </w:tcBorders>
            <w:shd w:val="clear" w:color="auto" w:fill="auto"/>
            <w:noWrap/>
            <w:vAlign w:val="center"/>
            <w:hideMark/>
          </w:tcPr>
          <w:p w14:paraId="2698879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[–0.064, 0.148]</w:t>
            </w:r>
          </w:p>
        </w:tc>
        <w:tc>
          <w:tcPr>
            <w:tcW w:w="0" w:type="auto"/>
            <w:tcBorders>
              <w:top w:val="nil"/>
              <w:left w:val="nil"/>
              <w:bottom w:val="nil"/>
              <w:right w:val="nil"/>
            </w:tcBorders>
            <w:shd w:val="clear" w:color="auto" w:fill="auto"/>
            <w:noWrap/>
            <w:vAlign w:val="bottom"/>
            <w:hideMark/>
          </w:tcPr>
          <w:p w14:paraId="449696A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0.001</w:t>
            </w:r>
          </w:p>
        </w:tc>
        <w:tc>
          <w:tcPr>
            <w:tcW w:w="0" w:type="auto"/>
            <w:tcBorders>
              <w:top w:val="nil"/>
              <w:left w:val="nil"/>
              <w:bottom w:val="nil"/>
              <w:right w:val="nil"/>
            </w:tcBorders>
            <w:shd w:val="clear" w:color="auto" w:fill="auto"/>
            <w:noWrap/>
            <w:vAlign w:val="bottom"/>
            <w:hideMark/>
          </w:tcPr>
          <w:p w14:paraId="601D721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0.042</w:t>
            </w:r>
          </w:p>
        </w:tc>
        <w:tc>
          <w:tcPr>
            <w:tcW w:w="0" w:type="auto"/>
            <w:tcBorders>
              <w:top w:val="nil"/>
              <w:left w:val="nil"/>
              <w:bottom w:val="nil"/>
              <w:right w:val="nil"/>
            </w:tcBorders>
            <w:shd w:val="clear" w:color="auto" w:fill="auto"/>
            <w:noWrap/>
            <w:vAlign w:val="bottom"/>
            <w:hideMark/>
          </w:tcPr>
          <w:p w14:paraId="64AF6AE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[–0.082, 0.084]</w:t>
            </w:r>
          </w:p>
        </w:tc>
      </w:tr>
      <w:tr w:rsidR="00F30B53" w:rsidRPr="00F30B53" w14:paraId="74688E0C" w14:textId="77777777" w:rsidTr="00F30B53">
        <w:trPr>
          <w:trHeight w:val="215"/>
        </w:trPr>
        <w:tc>
          <w:tcPr>
            <w:tcW w:w="0" w:type="auto"/>
            <w:tcBorders>
              <w:top w:val="nil"/>
              <w:left w:val="nil"/>
              <w:bottom w:val="nil"/>
              <w:right w:val="nil"/>
            </w:tcBorders>
            <w:shd w:val="clear" w:color="auto" w:fill="auto"/>
            <w:noWrap/>
            <w:vAlign w:val="bottom"/>
            <w:hideMark/>
          </w:tcPr>
          <w:p w14:paraId="48403469"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Show up fee-mixed</w:t>
            </w:r>
          </w:p>
        </w:tc>
        <w:tc>
          <w:tcPr>
            <w:tcW w:w="0" w:type="auto"/>
            <w:tcBorders>
              <w:top w:val="nil"/>
              <w:left w:val="nil"/>
              <w:bottom w:val="nil"/>
              <w:right w:val="nil"/>
            </w:tcBorders>
            <w:shd w:val="clear" w:color="auto" w:fill="auto"/>
            <w:noWrap/>
            <w:vAlign w:val="center"/>
            <w:hideMark/>
          </w:tcPr>
          <w:p w14:paraId="622783A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0.037</w:t>
            </w:r>
          </w:p>
        </w:tc>
        <w:tc>
          <w:tcPr>
            <w:tcW w:w="0" w:type="auto"/>
            <w:tcBorders>
              <w:top w:val="nil"/>
              <w:left w:val="nil"/>
              <w:bottom w:val="nil"/>
              <w:right w:val="nil"/>
            </w:tcBorders>
            <w:shd w:val="clear" w:color="auto" w:fill="auto"/>
            <w:noWrap/>
            <w:vAlign w:val="center"/>
            <w:hideMark/>
          </w:tcPr>
          <w:p w14:paraId="20F2598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0.156</w:t>
            </w:r>
          </w:p>
        </w:tc>
        <w:tc>
          <w:tcPr>
            <w:tcW w:w="0" w:type="auto"/>
            <w:tcBorders>
              <w:top w:val="nil"/>
              <w:left w:val="nil"/>
              <w:bottom w:val="nil"/>
              <w:right w:val="nil"/>
            </w:tcBorders>
            <w:shd w:val="clear" w:color="auto" w:fill="auto"/>
            <w:noWrap/>
            <w:vAlign w:val="center"/>
            <w:hideMark/>
          </w:tcPr>
          <w:p w14:paraId="0C61BBA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[–0.268, 0.342]</w:t>
            </w:r>
          </w:p>
        </w:tc>
        <w:tc>
          <w:tcPr>
            <w:tcW w:w="0" w:type="auto"/>
            <w:tcBorders>
              <w:top w:val="nil"/>
              <w:left w:val="nil"/>
              <w:bottom w:val="nil"/>
              <w:right w:val="nil"/>
            </w:tcBorders>
            <w:shd w:val="clear" w:color="auto" w:fill="auto"/>
            <w:noWrap/>
            <w:vAlign w:val="center"/>
            <w:hideMark/>
          </w:tcPr>
          <w:p w14:paraId="1C67E7A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–0.035</w:t>
            </w:r>
          </w:p>
        </w:tc>
        <w:tc>
          <w:tcPr>
            <w:tcW w:w="0" w:type="auto"/>
            <w:tcBorders>
              <w:top w:val="nil"/>
              <w:left w:val="nil"/>
              <w:bottom w:val="nil"/>
              <w:right w:val="nil"/>
            </w:tcBorders>
            <w:shd w:val="clear" w:color="auto" w:fill="auto"/>
            <w:noWrap/>
            <w:vAlign w:val="center"/>
            <w:hideMark/>
          </w:tcPr>
          <w:p w14:paraId="592FD00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0.241</w:t>
            </w:r>
          </w:p>
        </w:tc>
        <w:tc>
          <w:tcPr>
            <w:tcW w:w="0" w:type="auto"/>
            <w:tcBorders>
              <w:top w:val="nil"/>
              <w:left w:val="nil"/>
              <w:bottom w:val="nil"/>
              <w:right w:val="nil"/>
            </w:tcBorders>
            <w:shd w:val="clear" w:color="auto" w:fill="auto"/>
            <w:noWrap/>
            <w:vAlign w:val="center"/>
            <w:hideMark/>
          </w:tcPr>
          <w:p w14:paraId="1A4CAA3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[–0.507, 0.437]</w:t>
            </w:r>
          </w:p>
        </w:tc>
        <w:tc>
          <w:tcPr>
            <w:tcW w:w="0" w:type="auto"/>
            <w:tcBorders>
              <w:top w:val="nil"/>
              <w:left w:val="nil"/>
              <w:bottom w:val="nil"/>
              <w:right w:val="nil"/>
            </w:tcBorders>
            <w:shd w:val="clear" w:color="auto" w:fill="auto"/>
            <w:noWrap/>
            <w:vAlign w:val="bottom"/>
            <w:hideMark/>
          </w:tcPr>
          <w:p w14:paraId="0A2B85C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0.081</w:t>
            </w:r>
          </w:p>
        </w:tc>
        <w:tc>
          <w:tcPr>
            <w:tcW w:w="0" w:type="auto"/>
            <w:tcBorders>
              <w:top w:val="nil"/>
              <w:left w:val="nil"/>
              <w:bottom w:val="nil"/>
              <w:right w:val="nil"/>
            </w:tcBorders>
            <w:shd w:val="clear" w:color="auto" w:fill="auto"/>
            <w:noWrap/>
            <w:vAlign w:val="bottom"/>
            <w:hideMark/>
          </w:tcPr>
          <w:p w14:paraId="42B8162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0.157</w:t>
            </w:r>
          </w:p>
        </w:tc>
        <w:tc>
          <w:tcPr>
            <w:tcW w:w="0" w:type="auto"/>
            <w:tcBorders>
              <w:top w:val="nil"/>
              <w:left w:val="nil"/>
              <w:bottom w:val="nil"/>
              <w:right w:val="nil"/>
            </w:tcBorders>
            <w:shd w:val="clear" w:color="auto" w:fill="auto"/>
            <w:noWrap/>
            <w:vAlign w:val="bottom"/>
            <w:hideMark/>
          </w:tcPr>
          <w:p w14:paraId="2B36E7D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[–0.226, 0.389]</w:t>
            </w:r>
          </w:p>
        </w:tc>
      </w:tr>
      <w:tr w:rsidR="00F30B53" w:rsidRPr="00F30B53" w14:paraId="40A9B3B9" w14:textId="77777777" w:rsidTr="00F30B53">
        <w:trPr>
          <w:trHeight w:val="215"/>
        </w:trPr>
        <w:tc>
          <w:tcPr>
            <w:tcW w:w="0" w:type="auto"/>
            <w:tcBorders>
              <w:top w:val="nil"/>
              <w:left w:val="nil"/>
              <w:bottom w:val="nil"/>
              <w:right w:val="nil"/>
            </w:tcBorders>
            <w:shd w:val="clear" w:color="auto" w:fill="auto"/>
            <w:noWrap/>
            <w:vAlign w:val="bottom"/>
            <w:hideMark/>
          </w:tcPr>
          <w:p w14:paraId="6A1E60FC"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Game incentive-yes</w:t>
            </w:r>
          </w:p>
        </w:tc>
        <w:tc>
          <w:tcPr>
            <w:tcW w:w="0" w:type="auto"/>
            <w:tcBorders>
              <w:top w:val="nil"/>
              <w:left w:val="nil"/>
              <w:bottom w:val="nil"/>
              <w:right w:val="nil"/>
            </w:tcBorders>
            <w:shd w:val="clear" w:color="auto" w:fill="auto"/>
            <w:noWrap/>
            <w:vAlign w:val="center"/>
            <w:hideMark/>
          </w:tcPr>
          <w:p w14:paraId="2A7BA2D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–0.062</w:t>
            </w:r>
          </w:p>
        </w:tc>
        <w:tc>
          <w:tcPr>
            <w:tcW w:w="0" w:type="auto"/>
            <w:tcBorders>
              <w:top w:val="nil"/>
              <w:left w:val="nil"/>
              <w:bottom w:val="nil"/>
              <w:right w:val="nil"/>
            </w:tcBorders>
            <w:shd w:val="clear" w:color="auto" w:fill="auto"/>
            <w:noWrap/>
            <w:vAlign w:val="center"/>
            <w:hideMark/>
          </w:tcPr>
          <w:p w14:paraId="64234FF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0.061</w:t>
            </w:r>
          </w:p>
        </w:tc>
        <w:tc>
          <w:tcPr>
            <w:tcW w:w="0" w:type="auto"/>
            <w:tcBorders>
              <w:top w:val="nil"/>
              <w:left w:val="nil"/>
              <w:bottom w:val="nil"/>
              <w:right w:val="nil"/>
            </w:tcBorders>
            <w:shd w:val="clear" w:color="auto" w:fill="auto"/>
            <w:noWrap/>
            <w:vAlign w:val="center"/>
            <w:hideMark/>
          </w:tcPr>
          <w:p w14:paraId="39BFE7F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[–0.183, 0.058]</w:t>
            </w:r>
          </w:p>
        </w:tc>
        <w:tc>
          <w:tcPr>
            <w:tcW w:w="0" w:type="auto"/>
            <w:tcBorders>
              <w:top w:val="nil"/>
              <w:left w:val="nil"/>
              <w:bottom w:val="nil"/>
              <w:right w:val="nil"/>
            </w:tcBorders>
            <w:shd w:val="clear" w:color="auto" w:fill="auto"/>
            <w:noWrap/>
            <w:vAlign w:val="center"/>
            <w:hideMark/>
          </w:tcPr>
          <w:p w14:paraId="1231ABE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–0.263</w:t>
            </w:r>
          </w:p>
        </w:tc>
        <w:tc>
          <w:tcPr>
            <w:tcW w:w="0" w:type="auto"/>
            <w:tcBorders>
              <w:top w:val="nil"/>
              <w:left w:val="nil"/>
              <w:bottom w:val="nil"/>
              <w:right w:val="nil"/>
            </w:tcBorders>
            <w:shd w:val="clear" w:color="auto" w:fill="auto"/>
            <w:noWrap/>
            <w:vAlign w:val="center"/>
            <w:hideMark/>
          </w:tcPr>
          <w:p w14:paraId="169D260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0.127</w:t>
            </w:r>
          </w:p>
        </w:tc>
        <w:tc>
          <w:tcPr>
            <w:tcW w:w="0" w:type="auto"/>
            <w:tcBorders>
              <w:top w:val="nil"/>
              <w:left w:val="nil"/>
              <w:bottom w:val="nil"/>
              <w:right w:val="nil"/>
            </w:tcBorders>
            <w:shd w:val="clear" w:color="auto" w:fill="auto"/>
            <w:noWrap/>
            <w:vAlign w:val="center"/>
            <w:hideMark/>
          </w:tcPr>
          <w:p w14:paraId="25C86AE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[–0.513, –0.013]</w:t>
            </w:r>
          </w:p>
        </w:tc>
        <w:tc>
          <w:tcPr>
            <w:tcW w:w="0" w:type="auto"/>
            <w:tcBorders>
              <w:top w:val="nil"/>
              <w:left w:val="nil"/>
              <w:bottom w:val="nil"/>
              <w:right w:val="nil"/>
            </w:tcBorders>
            <w:shd w:val="clear" w:color="auto" w:fill="auto"/>
            <w:noWrap/>
            <w:vAlign w:val="bottom"/>
            <w:hideMark/>
          </w:tcPr>
          <w:p w14:paraId="14B9042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–0.139</w:t>
            </w:r>
          </w:p>
        </w:tc>
        <w:tc>
          <w:tcPr>
            <w:tcW w:w="0" w:type="auto"/>
            <w:tcBorders>
              <w:top w:val="nil"/>
              <w:left w:val="nil"/>
              <w:bottom w:val="nil"/>
              <w:right w:val="nil"/>
            </w:tcBorders>
            <w:shd w:val="clear" w:color="auto" w:fill="auto"/>
            <w:noWrap/>
            <w:vAlign w:val="bottom"/>
            <w:hideMark/>
          </w:tcPr>
          <w:p w14:paraId="18E0C11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0.086</w:t>
            </w:r>
          </w:p>
        </w:tc>
        <w:tc>
          <w:tcPr>
            <w:tcW w:w="0" w:type="auto"/>
            <w:tcBorders>
              <w:top w:val="nil"/>
              <w:left w:val="nil"/>
              <w:bottom w:val="nil"/>
              <w:right w:val="nil"/>
            </w:tcBorders>
            <w:shd w:val="clear" w:color="auto" w:fill="auto"/>
            <w:noWrap/>
            <w:vAlign w:val="bottom"/>
            <w:hideMark/>
          </w:tcPr>
          <w:p w14:paraId="015BFA9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[–0.308, 0.030]</w:t>
            </w:r>
          </w:p>
        </w:tc>
      </w:tr>
      <w:tr w:rsidR="00F30B53" w:rsidRPr="00F30B53" w14:paraId="4C09B70F" w14:textId="77777777" w:rsidTr="00F30B53">
        <w:trPr>
          <w:trHeight w:val="215"/>
        </w:trPr>
        <w:tc>
          <w:tcPr>
            <w:tcW w:w="0" w:type="auto"/>
            <w:tcBorders>
              <w:top w:val="nil"/>
              <w:left w:val="nil"/>
              <w:bottom w:val="nil"/>
              <w:right w:val="nil"/>
            </w:tcBorders>
            <w:shd w:val="clear" w:color="auto" w:fill="auto"/>
            <w:noWrap/>
            <w:vAlign w:val="bottom"/>
            <w:hideMark/>
          </w:tcPr>
          <w:p w14:paraId="49608884"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Game incentive-mixed</w:t>
            </w:r>
          </w:p>
        </w:tc>
        <w:tc>
          <w:tcPr>
            <w:tcW w:w="0" w:type="auto"/>
            <w:tcBorders>
              <w:top w:val="nil"/>
              <w:left w:val="nil"/>
              <w:bottom w:val="nil"/>
              <w:right w:val="nil"/>
            </w:tcBorders>
            <w:shd w:val="clear" w:color="auto" w:fill="auto"/>
            <w:noWrap/>
            <w:vAlign w:val="center"/>
            <w:hideMark/>
          </w:tcPr>
          <w:p w14:paraId="1761F9C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–0.025</w:t>
            </w:r>
          </w:p>
        </w:tc>
        <w:tc>
          <w:tcPr>
            <w:tcW w:w="0" w:type="auto"/>
            <w:tcBorders>
              <w:top w:val="nil"/>
              <w:left w:val="nil"/>
              <w:bottom w:val="nil"/>
              <w:right w:val="nil"/>
            </w:tcBorders>
            <w:shd w:val="clear" w:color="auto" w:fill="auto"/>
            <w:noWrap/>
            <w:vAlign w:val="center"/>
            <w:hideMark/>
          </w:tcPr>
          <w:p w14:paraId="24B75E1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0.290</w:t>
            </w:r>
          </w:p>
        </w:tc>
        <w:tc>
          <w:tcPr>
            <w:tcW w:w="0" w:type="auto"/>
            <w:tcBorders>
              <w:top w:val="nil"/>
              <w:left w:val="nil"/>
              <w:bottom w:val="nil"/>
              <w:right w:val="nil"/>
            </w:tcBorders>
            <w:shd w:val="clear" w:color="auto" w:fill="auto"/>
            <w:noWrap/>
            <w:vAlign w:val="center"/>
            <w:hideMark/>
          </w:tcPr>
          <w:p w14:paraId="29A197A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[–0.594, 0.543]</w:t>
            </w:r>
          </w:p>
        </w:tc>
        <w:tc>
          <w:tcPr>
            <w:tcW w:w="0" w:type="auto"/>
            <w:tcBorders>
              <w:top w:val="nil"/>
              <w:left w:val="nil"/>
              <w:bottom w:val="nil"/>
              <w:right w:val="nil"/>
            </w:tcBorders>
            <w:shd w:val="clear" w:color="auto" w:fill="auto"/>
            <w:noWrap/>
            <w:vAlign w:val="center"/>
            <w:hideMark/>
          </w:tcPr>
          <w:p w14:paraId="3743F92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–1.512*</w:t>
            </w:r>
          </w:p>
        </w:tc>
        <w:tc>
          <w:tcPr>
            <w:tcW w:w="0" w:type="auto"/>
            <w:tcBorders>
              <w:top w:val="nil"/>
              <w:left w:val="nil"/>
              <w:bottom w:val="nil"/>
              <w:right w:val="nil"/>
            </w:tcBorders>
            <w:shd w:val="clear" w:color="auto" w:fill="auto"/>
            <w:noWrap/>
            <w:vAlign w:val="center"/>
            <w:hideMark/>
          </w:tcPr>
          <w:p w14:paraId="45BAF17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0.403</w:t>
            </w:r>
          </w:p>
        </w:tc>
        <w:tc>
          <w:tcPr>
            <w:tcW w:w="0" w:type="auto"/>
            <w:tcBorders>
              <w:top w:val="nil"/>
              <w:left w:val="nil"/>
              <w:bottom w:val="nil"/>
              <w:right w:val="nil"/>
            </w:tcBorders>
            <w:shd w:val="clear" w:color="auto" w:fill="auto"/>
            <w:noWrap/>
            <w:vAlign w:val="center"/>
            <w:hideMark/>
          </w:tcPr>
          <w:p w14:paraId="2FCE2BF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[–2.302, –0.722]</w:t>
            </w:r>
          </w:p>
        </w:tc>
        <w:tc>
          <w:tcPr>
            <w:tcW w:w="0" w:type="auto"/>
            <w:tcBorders>
              <w:top w:val="nil"/>
              <w:left w:val="nil"/>
              <w:bottom w:val="nil"/>
              <w:right w:val="nil"/>
            </w:tcBorders>
            <w:shd w:val="clear" w:color="auto" w:fill="auto"/>
            <w:noWrap/>
            <w:vAlign w:val="bottom"/>
            <w:hideMark/>
          </w:tcPr>
          <w:p w14:paraId="13794C0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–0.274</w:t>
            </w:r>
          </w:p>
        </w:tc>
        <w:tc>
          <w:tcPr>
            <w:tcW w:w="0" w:type="auto"/>
            <w:tcBorders>
              <w:top w:val="nil"/>
              <w:left w:val="nil"/>
              <w:bottom w:val="nil"/>
              <w:right w:val="nil"/>
            </w:tcBorders>
            <w:shd w:val="clear" w:color="auto" w:fill="auto"/>
            <w:noWrap/>
            <w:vAlign w:val="bottom"/>
            <w:hideMark/>
          </w:tcPr>
          <w:p w14:paraId="2F66128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0.354</w:t>
            </w:r>
          </w:p>
        </w:tc>
        <w:tc>
          <w:tcPr>
            <w:tcW w:w="0" w:type="auto"/>
            <w:tcBorders>
              <w:top w:val="nil"/>
              <w:left w:val="nil"/>
              <w:bottom w:val="nil"/>
              <w:right w:val="nil"/>
            </w:tcBorders>
            <w:shd w:val="clear" w:color="auto" w:fill="auto"/>
            <w:noWrap/>
            <w:vAlign w:val="bottom"/>
            <w:hideMark/>
          </w:tcPr>
          <w:p w14:paraId="79E11C5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[–0.968, 0.421]</w:t>
            </w:r>
          </w:p>
        </w:tc>
      </w:tr>
      <w:tr w:rsidR="00F30B53" w:rsidRPr="00F30B53" w14:paraId="369A3E5C" w14:textId="77777777" w:rsidTr="00F30B53">
        <w:trPr>
          <w:trHeight w:val="215"/>
        </w:trPr>
        <w:tc>
          <w:tcPr>
            <w:tcW w:w="0" w:type="auto"/>
            <w:tcBorders>
              <w:top w:val="nil"/>
              <w:left w:val="nil"/>
              <w:bottom w:val="nil"/>
              <w:right w:val="nil"/>
            </w:tcBorders>
            <w:shd w:val="clear" w:color="auto" w:fill="auto"/>
            <w:noWrap/>
            <w:hideMark/>
          </w:tcPr>
          <w:p w14:paraId="2BC098C9"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Deception-yes</w:t>
            </w:r>
          </w:p>
        </w:tc>
        <w:tc>
          <w:tcPr>
            <w:tcW w:w="0" w:type="auto"/>
            <w:tcBorders>
              <w:top w:val="nil"/>
              <w:left w:val="nil"/>
              <w:bottom w:val="nil"/>
              <w:right w:val="nil"/>
            </w:tcBorders>
            <w:shd w:val="clear" w:color="auto" w:fill="auto"/>
            <w:noWrap/>
            <w:vAlign w:val="center"/>
            <w:hideMark/>
          </w:tcPr>
          <w:p w14:paraId="16B224C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0.127*</w:t>
            </w:r>
          </w:p>
        </w:tc>
        <w:tc>
          <w:tcPr>
            <w:tcW w:w="0" w:type="auto"/>
            <w:tcBorders>
              <w:top w:val="nil"/>
              <w:left w:val="nil"/>
              <w:bottom w:val="nil"/>
              <w:right w:val="nil"/>
            </w:tcBorders>
            <w:shd w:val="clear" w:color="auto" w:fill="auto"/>
            <w:noWrap/>
            <w:vAlign w:val="center"/>
            <w:hideMark/>
          </w:tcPr>
          <w:p w14:paraId="4B3A6E6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0.042</w:t>
            </w:r>
          </w:p>
        </w:tc>
        <w:tc>
          <w:tcPr>
            <w:tcW w:w="0" w:type="auto"/>
            <w:tcBorders>
              <w:top w:val="nil"/>
              <w:left w:val="nil"/>
              <w:bottom w:val="nil"/>
              <w:right w:val="nil"/>
            </w:tcBorders>
            <w:shd w:val="clear" w:color="auto" w:fill="auto"/>
            <w:noWrap/>
            <w:vAlign w:val="center"/>
            <w:hideMark/>
          </w:tcPr>
          <w:p w14:paraId="1BAABD3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[0.045, 0.210]</w:t>
            </w:r>
          </w:p>
        </w:tc>
        <w:tc>
          <w:tcPr>
            <w:tcW w:w="0" w:type="auto"/>
            <w:tcBorders>
              <w:top w:val="nil"/>
              <w:left w:val="nil"/>
              <w:bottom w:val="nil"/>
              <w:right w:val="nil"/>
            </w:tcBorders>
            <w:shd w:val="clear" w:color="auto" w:fill="auto"/>
            <w:noWrap/>
            <w:vAlign w:val="center"/>
            <w:hideMark/>
          </w:tcPr>
          <w:p w14:paraId="00299F4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0.126</w:t>
            </w:r>
          </w:p>
        </w:tc>
        <w:tc>
          <w:tcPr>
            <w:tcW w:w="0" w:type="auto"/>
            <w:tcBorders>
              <w:top w:val="nil"/>
              <w:left w:val="nil"/>
              <w:bottom w:val="nil"/>
              <w:right w:val="nil"/>
            </w:tcBorders>
            <w:shd w:val="clear" w:color="auto" w:fill="auto"/>
            <w:noWrap/>
            <w:vAlign w:val="center"/>
            <w:hideMark/>
          </w:tcPr>
          <w:p w14:paraId="57CF43E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0.071</w:t>
            </w:r>
          </w:p>
        </w:tc>
        <w:tc>
          <w:tcPr>
            <w:tcW w:w="0" w:type="auto"/>
            <w:tcBorders>
              <w:top w:val="nil"/>
              <w:left w:val="nil"/>
              <w:bottom w:val="nil"/>
              <w:right w:val="nil"/>
            </w:tcBorders>
            <w:shd w:val="clear" w:color="auto" w:fill="auto"/>
            <w:noWrap/>
            <w:vAlign w:val="center"/>
            <w:hideMark/>
          </w:tcPr>
          <w:p w14:paraId="456CACB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[–0.013, 0.266]</w:t>
            </w:r>
          </w:p>
        </w:tc>
        <w:tc>
          <w:tcPr>
            <w:tcW w:w="0" w:type="auto"/>
            <w:tcBorders>
              <w:top w:val="nil"/>
              <w:left w:val="nil"/>
              <w:bottom w:val="nil"/>
              <w:right w:val="nil"/>
            </w:tcBorders>
            <w:shd w:val="clear" w:color="auto" w:fill="auto"/>
            <w:noWrap/>
            <w:vAlign w:val="bottom"/>
            <w:hideMark/>
          </w:tcPr>
          <w:p w14:paraId="752BC33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0.152*</w:t>
            </w:r>
          </w:p>
        </w:tc>
        <w:tc>
          <w:tcPr>
            <w:tcW w:w="0" w:type="auto"/>
            <w:tcBorders>
              <w:top w:val="nil"/>
              <w:left w:val="nil"/>
              <w:bottom w:val="nil"/>
              <w:right w:val="nil"/>
            </w:tcBorders>
            <w:shd w:val="clear" w:color="auto" w:fill="auto"/>
            <w:noWrap/>
            <w:vAlign w:val="bottom"/>
            <w:hideMark/>
          </w:tcPr>
          <w:p w14:paraId="2AEE3A0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0.041</w:t>
            </w:r>
          </w:p>
        </w:tc>
        <w:tc>
          <w:tcPr>
            <w:tcW w:w="0" w:type="auto"/>
            <w:tcBorders>
              <w:top w:val="nil"/>
              <w:left w:val="nil"/>
              <w:bottom w:val="nil"/>
              <w:right w:val="nil"/>
            </w:tcBorders>
            <w:shd w:val="clear" w:color="auto" w:fill="auto"/>
            <w:noWrap/>
            <w:vAlign w:val="bottom"/>
            <w:hideMark/>
          </w:tcPr>
          <w:p w14:paraId="1034046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[0.071, 0.233]</w:t>
            </w:r>
          </w:p>
        </w:tc>
      </w:tr>
      <w:tr w:rsidR="00F30B53" w:rsidRPr="00F30B53" w14:paraId="1C10018C" w14:textId="77777777" w:rsidTr="00F30B53">
        <w:trPr>
          <w:trHeight w:val="215"/>
        </w:trPr>
        <w:tc>
          <w:tcPr>
            <w:tcW w:w="0" w:type="auto"/>
            <w:tcBorders>
              <w:top w:val="nil"/>
              <w:left w:val="nil"/>
              <w:bottom w:val="nil"/>
              <w:right w:val="nil"/>
            </w:tcBorders>
            <w:shd w:val="clear" w:color="auto" w:fill="auto"/>
            <w:noWrap/>
            <w:hideMark/>
          </w:tcPr>
          <w:p w14:paraId="56571FD2"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Deception-mixed</w:t>
            </w:r>
          </w:p>
        </w:tc>
        <w:tc>
          <w:tcPr>
            <w:tcW w:w="0" w:type="auto"/>
            <w:tcBorders>
              <w:top w:val="nil"/>
              <w:left w:val="nil"/>
              <w:bottom w:val="nil"/>
              <w:right w:val="nil"/>
            </w:tcBorders>
            <w:shd w:val="clear" w:color="auto" w:fill="auto"/>
            <w:noWrap/>
            <w:vAlign w:val="center"/>
            <w:hideMark/>
          </w:tcPr>
          <w:p w14:paraId="676C914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0.082</w:t>
            </w:r>
          </w:p>
        </w:tc>
        <w:tc>
          <w:tcPr>
            <w:tcW w:w="0" w:type="auto"/>
            <w:tcBorders>
              <w:top w:val="nil"/>
              <w:left w:val="nil"/>
              <w:bottom w:val="nil"/>
              <w:right w:val="nil"/>
            </w:tcBorders>
            <w:shd w:val="clear" w:color="auto" w:fill="auto"/>
            <w:noWrap/>
            <w:vAlign w:val="center"/>
            <w:hideMark/>
          </w:tcPr>
          <w:p w14:paraId="4B0F4B4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0.216</w:t>
            </w:r>
          </w:p>
        </w:tc>
        <w:tc>
          <w:tcPr>
            <w:tcW w:w="0" w:type="auto"/>
            <w:tcBorders>
              <w:top w:val="nil"/>
              <w:left w:val="nil"/>
              <w:bottom w:val="nil"/>
              <w:right w:val="nil"/>
            </w:tcBorders>
            <w:shd w:val="clear" w:color="auto" w:fill="auto"/>
            <w:noWrap/>
            <w:vAlign w:val="center"/>
            <w:hideMark/>
          </w:tcPr>
          <w:p w14:paraId="24C6E85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[–0.342, 0.506]</w:t>
            </w:r>
          </w:p>
        </w:tc>
        <w:tc>
          <w:tcPr>
            <w:tcW w:w="0" w:type="auto"/>
            <w:tcBorders>
              <w:top w:val="nil"/>
              <w:left w:val="nil"/>
              <w:bottom w:val="nil"/>
              <w:right w:val="nil"/>
            </w:tcBorders>
            <w:shd w:val="clear" w:color="auto" w:fill="auto"/>
            <w:noWrap/>
            <w:vAlign w:val="center"/>
            <w:hideMark/>
          </w:tcPr>
          <w:p w14:paraId="7DCCF2E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–0.050</w:t>
            </w:r>
          </w:p>
        </w:tc>
        <w:tc>
          <w:tcPr>
            <w:tcW w:w="0" w:type="auto"/>
            <w:tcBorders>
              <w:top w:val="nil"/>
              <w:left w:val="nil"/>
              <w:bottom w:val="nil"/>
              <w:right w:val="nil"/>
            </w:tcBorders>
            <w:shd w:val="clear" w:color="auto" w:fill="auto"/>
            <w:noWrap/>
            <w:vAlign w:val="center"/>
            <w:hideMark/>
          </w:tcPr>
          <w:p w14:paraId="3A8F6DD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0.252</w:t>
            </w:r>
          </w:p>
        </w:tc>
        <w:tc>
          <w:tcPr>
            <w:tcW w:w="0" w:type="auto"/>
            <w:tcBorders>
              <w:top w:val="nil"/>
              <w:left w:val="nil"/>
              <w:bottom w:val="nil"/>
              <w:right w:val="nil"/>
            </w:tcBorders>
            <w:shd w:val="clear" w:color="auto" w:fill="auto"/>
            <w:noWrap/>
            <w:vAlign w:val="center"/>
            <w:hideMark/>
          </w:tcPr>
          <w:p w14:paraId="2B74EC5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[–0.543, 0.444]</w:t>
            </w:r>
          </w:p>
        </w:tc>
        <w:tc>
          <w:tcPr>
            <w:tcW w:w="0" w:type="auto"/>
            <w:tcBorders>
              <w:top w:val="nil"/>
              <w:left w:val="nil"/>
              <w:bottom w:val="nil"/>
              <w:right w:val="nil"/>
            </w:tcBorders>
            <w:shd w:val="clear" w:color="auto" w:fill="auto"/>
            <w:noWrap/>
            <w:vAlign w:val="bottom"/>
            <w:hideMark/>
          </w:tcPr>
          <w:p w14:paraId="3F9B209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0.131</w:t>
            </w:r>
          </w:p>
        </w:tc>
        <w:tc>
          <w:tcPr>
            <w:tcW w:w="0" w:type="auto"/>
            <w:tcBorders>
              <w:top w:val="nil"/>
              <w:left w:val="nil"/>
              <w:bottom w:val="nil"/>
              <w:right w:val="nil"/>
            </w:tcBorders>
            <w:shd w:val="clear" w:color="auto" w:fill="auto"/>
            <w:noWrap/>
            <w:vAlign w:val="bottom"/>
            <w:hideMark/>
          </w:tcPr>
          <w:p w14:paraId="3D3E250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0.214</w:t>
            </w:r>
          </w:p>
        </w:tc>
        <w:tc>
          <w:tcPr>
            <w:tcW w:w="0" w:type="auto"/>
            <w:tcBorders>
              <w:top w:val="nil"/>
              <w:left w:val="nil"/>
              <w:bottom w:val="nil"/>
              <w:right w:val="nil"/>
            </w:tcBorders>
            <w:shd w:val="clear" w:color="auto" w:fill="auto"/>
            <w:noWrap/>
            <w:vAlign w:val="bottom"/>
            <w:hideMark/>
          </w:tcPr>
          <w:p w14:paraId="141F9E7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[–0.288, 0.551]</w:t>
            </w:r>
          </w:p>
        </w:tc>
      </w:tr>
      <w:tr w:rsidR="00F30B53" w:rsidRPr="00F30B53" w14:paraId="68EF9240" w14:textId="77777777" w:rsidTr="00F30B53">
        <w:trPr>
          <w:trHeight w:val="215"/>
        </w:trPr>
        <w:tc>
          <w:tcPr>
            <w:tcW w:w="0" w:type="auto"/>
            <w:tcBorders>
              <w:top w:val="nil"/>
              <w:left w:val="nil"/>
              <w:bottom w:val="nil"/>
              <w:right w:val="nil"/>
            </w:tcBorders>
            <w:shd w:val="clear" w:color="auto" w:fill="auto"/>
            <w:noWrap/>
            <w:hideMark/>
          </w:tcPr>
          <w:p w14:paraId="2D180D0F" w14:textId="77777777" w:rsidR="00F30B53" w:rsidRPr="00F30B53" w:rsidRDefault="00F30B53" w:rsidP="00F30B53">
            <w:pPr>
              <w:spacing w:line="240" w:lineRule="auto"/>
              <w:rPr>
                <w:rFonts w:eastAsia="Times New Roman" w:cs="Times New Roman"/>
                <w:i/>
                <w:iCs/>
                <w:color w:val="000000"/>
                <w:sz w:val="16"/>
                <w:szCs w:val="16"/>
                <w:lang w:val="en-GB" w:eastAsia="zh-CN"/>
              </w:rPr>
            </w:pPr>
            <w:r w:rsidRPr="00F30B53">
              <w:rPr>
                <w:rFonts w:eastAsia="Times New Roman" w:cs="Times New Roman"/>
                <w:i/>
                <w:iCs/>
                <w:color w:val="000000"/>
                <w:sz w:val="16"/>
                <w:szCs w:val="16"/>
                <w:lang w:val="en-GB" w:eastAsia="zh-CN"/>
              </w:rPr>
              <w:lastRenderedPageBreak/>
              <w:t>Interactions</w:t>
            </w:r>
          </w:p>
        </w:tc>
        <w:tc>
          <w:tcPr>
            <w:tcW w:w="0" w:type="auto"/>
            <w:tcBorders>
              <w:top w:val="nil"/>
              <w:left w:val="nil"/>
              <w:bottom w:val="nil"/>
              <w:right w:val="nil"/>
            </w:tcBorders>
            <w:shd w:val="clear" w:color="auto" w:fill="auto"/>
            <w:noWrap/>
            <w:vAlign w:val="center"/>
            <w:hideMark/>
          </w:tcPr>
          <w:p w14:paraId="0EB9D0F1" w14:textId="77777777" w:rsidR="00F30B53" w:rsidRPr="00F30B53" w:rsidRDefault="00F30B53" w:rsidP="00F30B53">
            <w:pPr>
              <w:spacing w:line="240" w:lineRule="auto"/>
              <w:rPr>
                <w:rFonts w:eastAsia="Times New Roman" w:cs="Times New Roman"/>
                <w:i/>
                <w:iCs/>
                <w:color w:val="000000"/>
                <w:sz w:val="16"/>
                <w:szCs w:val="16"/>
                <w:lang w:val="en-GB" w:eastAsia="zh-CN"/>
              </w:rPr>
            </w:pPr>
          </w:p>
        </w:tc>
        <w:tc>
          <w:tcPr>
            <w:tcW w:w="0" w:type="auto"/>
            <w:tcBorders>
              <w:top w:val="nil"/>
              <w:left w:val="nil"/>
              <w:bottom w:val="nil"/>
              <w:right w:val="nil"/>
            </w:tcBorders>
            <w:shd w:val="clear" w:color="auto" w:fill="auto"/>
            <w:noWrap/>
            <w:vAlign w:val="center"/>
            <w:hideMark/>
          </w:tcPr>
          <w:p w14:paraId="099174E3"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2C3DD8F2"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5BB88365"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50959E78"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16ED4733"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bottom"/>
            <w:hideMark/>
          </w:tcPr>
          <w:p w14:paraId="27D12EB2"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bottom"/>
            <w:hideMark/>
          </w:tcPr>
          <w:p w14:paraId="1EF91ADD"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bottom"/>
            <w:hideMark/>
          </w:tcPr>
          <w:p w14:paraId="55884C9A" w14:textId="77777777" w:rsidR="00F30B53" w:rsidRPr="00F30B53" w:rsidRDefault="00F30B53" w:rsidP="00F30B53">
            <w:pPr>
              <w:spacing w:line="240" w:lineRule="auto"/>
              <w:jc w:val="center"/>
              <w:rPr>
                <w:rFonts w:eastAsia="Times New Roman" w:cs="Times New Roman"/>
                <w:sz w:val="20"/>
                <w:szCs w:val="20"/>
                <w:lang w:val="en-GB" w:eastAsia="zh-CN"/>
              </w:rPr>
            </w:pPr>
          </w:p>
        </w:tc>
      </w:tr>
      <w:tr w:rsidR="00F30B53" w:rsidRPr="00F30B53" w14:paraId="206AAA55" w14:textId="77777777" w:rsidTr="00F30B53">
        <w:trPr>
          <w:trHeight w:val="215"/>
        </w:trPr>
        <w:tc>
          <w:tcPr>
            <w:tcW w:w="0" w:type="auto"/>
            <w:tcBorders>
              <w:top w:val="nil"/>
              <w:left w:val="nil"/>
              <w:bottom w:val="nil"/>
              <w:right w:val="nil"/>
            </w:tcBorders>
            <w:shd w:val="clear" w:color="auto" w:fill="auto"/>
            <w:noWrap/>
            <w:vAlign w:val="bottom"/>
            <w:hideMark/>
          </w:tcPr>
          <w:p w14:paraId="49CA8714" w14:textId="36163390" w:rsidR="00F30B53" w:rsidRPr="00F30B53" w:rsidRDefault="009213F4" w:rsidP="00F30B53">
            <w:pPr>
              <w:spacing w:line="240" w:lineRule="auto"/>
              <w:ind w:firstLineChars="200" w:firstLine="320"/>
              <w:rPr>
                <w:rFonts w:eastAsia="Times New Roman" w:cs="Times New Roman"/>
                <w:color w:val="000000"/>
                <w:sz w:val="16"/>
                <w:szCs w:val="16"/>
                <w:lang w:val="en-GB" w:eastAsia="zh-CN"/>
              </w:rPr>
            </w:pPr>
            <w:r>
              <w:rPr>
                <w:rFonts w:eastAsia="Times New Roman" w:cs="Times New Roman"/>
                <w:color w:val="000000"/>
                <w:sz w:val="16"/>
                <w:szCs w:val="16"/>
                <w:lang w:val="en-GB" w:eastAsia="zh-CN"/>
              </w:rPr>
              <w:t>Matching design</w:t>
            </w:r>
            <w:r w:rsidRPr="00F30B53">
              <w:rPr>
                <w:rFonts w:eastAsia="Times New Roman" w:cs="Times New Roman"/>
                <w:color w:val="000000"/>
                <w:sz w:val="16"/>
                <w:szCs w:val="16"/>
                <w:lang w:val="en-GB" w:eastAsia="zh-CN"/>
              </w:rPr>
              <w:t>-</w:t>
            </w:r>
            <w:r>
              <w:rPr>
                <w:rFonts w:eastAsia="Times New Roman" w:cs="Times New Roman"/>
                <w:color w:val="000000"/>
                <w:sz w:val="16"/>
                <w:szCs w:val="16"/>
                <w:lang w:val="en-GB" w:eastAsia="zh-CN"/>
              </w:rPr>
              <w:t>partner</w:t>
            </w:r>
            <w:r w:rsidR="00F30B53" w:rsidRPr="00F30B53">
              <w:rPr>
                <w:rFonts w:eastAsia="Times New Roman" w:cs="Times New Roman"/>
                <w:color w:val="000000"/>
                <w:sz w:val="16"/>
                <w:szCs w:val="16"/>
                <w:lang w:val="en-GB" w:eastAsia="zh-CN"/>
              </w:rPr>
              <w:t>*Game incentive-yes</w:t>
            </w:r>
          </w:p>
        </w:tc>
        <w:tc>
          <w:tcPr>
            <w:tcW w:w="0" w:type="auto"/>
            <w:tcBorders>
              <w:top w:val="nil"/>
              <w:left w:val="nil"/>
              <w:bottom w:val="nil"/>
              <w:right w:val="nil"/>
            </w:tcBorders>
            <w:shd w:val="clear" w:color="auto" w:fill="auto"/>
            <w:noWrap/>
            <w:vAlign w:val="center"/>
            <w:hideMark/>
          </w:tcPr>
          <w:p w14:paraId="79ACDE5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77DA5B6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EF2BB9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112887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0.338</w:t>
            </w:r>
          </w:p>
        </w:tc>
        <w:tc>
          <w:tcPr>
            <w:tcW w:w="0" w:type="auto"/>
            <w:tcBorders>
              <w:top w:val="nil"/>
              <w:left w:val="nil"/>
              <w:bottom w:val="nil"/>
              <w:right w:val="nil"/>
            </w:tcBorders>
            <w:shd w:val="clear" w:color="auto" w:fill="auto"/>
            <w:noWrap/>
            <w:vAlign w:val="center"/>
            <w:hideMark/>
          </w:tcPr>
          <w:p w14:paraId="0F09E81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0.366</w:t>
            </w:r>
          </w:p>
        </w:tc>
        <w:tc>
          <w:tcPr>
            <w:tcW w:w="0" w:type="auto"/>
            <w:tcBorders>
              <w:top w:val="nil"/>
              <w:left w:val="nil"/>
              <w:bottom w:val="nil"/>
              <w:right w:val="nil"/>
            </w:tcBorders>
            <w:shd w:val="clear" w:color="auto" w:fill="auto"/>
            <w:noWrap/>
            <w:vAlign w:val="center"/>
            <w:hideMark/>
          </w:tcPr>
          <w:p w14:paraId="0A19904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[–0.379, 1.056]</w:t>
            </w:r>
          </w:p>
        </w:tc>
        <w:tc>
          <w:tcPr>
            <w:tcW w:w="0" w:type="auto"/>
            <w:tcBorders>
              <w:top w:val="nil"/>
              <w:left w:val="nil"/>
              <w:bottom w:val="nil"/>
              <w:right w:val="nil"/>
            </w:tcBorders>
            <w:shd w:val="clear" w:color="auto" w:fill="auto"/>
            <w:noWrap/>
            <w:vAlign w:val="bottom"/>
            <w:hideMark/>
          </w:tcPr>
          <w:p w14:paraId="11C19A9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0.226</w:t>
            </w:r>
          </w:p>
        </w:tc>
        <w:tc>
          <w:tcPr>
            <w:tcW w:w="0" w:type="auto"/>
            <w:tcBorders>
              <w:top w:val="nil"/>
              <w:left w:val="nil"/>
              <w:bottom w:val="nil"/>
              <w:right w:val="nil"/>
            </w:tcBorders>
            <w:shd w:val="clear" w:color="auto" w:fill="auto"/>
            <w:noWrap/>
            <w:vAlign w:val="bottom"/>
            <w:hideMark/>
          </w:tcPr>
          <w:p w14:paraId="4B534FD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0.119</w:t>
            </w:r>
          </w:p>
        </w:tc>
        <w:tc>
          <w:tcPr>
            <w:tcW w:w="0" w:type="auto"/>
            <w:tcBorders>
              <w:top w:val="nil"/>
              <w:left w:val="nil"/>
              <w:bottom w:val="nil"/>
              <w:right w:val="nil"/>
            </w:tcBorders>
            <w:shd w:val="clear" w:color="auto" w:fill="auto"/>
            <w:noWrap/>
            <w:vAlign w:val="bottom"/>
            <w:hideMark/>
          </w:tcPr>
          <w:p w14:paraId="5629E60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[–0.008, 0.460]</w:t>
            </w:r>
          </w:p>
        </w:tc>
      </w:tr>
      <w:tr w:rsidR="00F30B53" w:rsidRPr="00F30B53" w14:paraId="59028302" w14:textId="77777777" w:rsidTr="00F30B53">
        <w:trPr>
          <w:trHeight w:val="215"/>
        </w:trPr>
        <w:tc>
          <w:tcPr>
            <w:tcW w:w="0" w:type="auto"/>
            <w:tcBorders>
              <w:top w:val="nil"/>
              <w:left w:val="nil"/>
              <w:bottom w:val="nil"/>
              <w:right w:val="nil"/>
            </w:tcBorders>
            <w:shd w:val="clear" w:color="auto" w:fill="auto"/>
            <w:noWrap/>
            <w:vAlign w:val="bottom"/>
            <w:hideMark/>
          </w:tcPr>
          <w:p w14:paraId="37154829" w14:textId="1E2657C3" w:rsidR="00F30B53" w:rsidRPr="00F30B53" w:rsidRDefault="009213F4" w:rsidP="00F30B53">
            <w:pPr>
              <w:spacing w:line="240" w:lineRule="auto"/>
              <w:ind w:firstLineChars="200" w:firstLine="320"/>
              <w:rPr>
                <w:rFonts w:eastAsia="Times New Roman" w:cs="Times New Roman"/>
                <w:color w:val="000000"/>
                <w:sz w:val="16"/>
                <w:szCs w:val="16"/>
                <w:lang w:val="en-GB" w:eastAsia="zh-CN"/>
              </w:rPr>
            </w:pPr>
            <w:r>
              <w:rPr>
                <w:rFonts w:eastAsia="Times New Roman" w:cs="Times New Roman"/>
                <w:color w:val="000000"/>
                <w:sz w:val="16"/>
                <w:szCs w:val="16"/>
                <w:lang w:val="en-GB" w:eastAsia="zh-CN"/>
              </w:rPr>
              <w:t>Matching design</w:t>
            </w:r>
            <w:r w:rsidRPr="00F30B53">
              <w:rPr>
                <w:rFonts w:eastAsia="Times New Roman" w:cs="Times New Roman"/>
                <w:color w:val="000000"/>
                <w:sz w:val="16"/>
                <w:szCs w:val="16"/>
                <w:lang w:val="en-GB" w:eastAsia="zh-CN"/>
              </w:rPr>
              <w:t>-mixed</w:t>
            </w:r>
            <w:r w:rsidR="00F30B53" w:rsidRPr="00F30B53">
              <w:rPr>
                <w:rFonts w:eastAsia="Times New Roman" w:cs="Times New Roman"/>
                <w:color w:val="000000"/>
                <w:sz w:val="16"/>
                <w:szCs w:val="16"/>
                <w:lang w:val="en-GB" w:eastAsia="zh-CN"/>
              </w:rPr>
              <w:t>*Game incentive-yes</w:t>
            </w:r>
          </w:p>
        </w:tc>
        <w:tc>
          <w:tcPr>
            <w:tcW w:w="0" w:type="auto"/>
            <w:tcBorders>
              <w:top w:val="nil"/>
              <w:left w:val="nil"/>
              <w:bottom w:val="nil"/>
              <w:right w:val="nil"/>
            </w:tcBorders>
            <w:shd w:val="clear" w:color="auto" w:fill="auto"/>
            <w:noWrap/>
            <w:vAlign w:val="center"/>
            <w:hideMark/>
          </w:tcPr>
          <w:p w14:paraId="467E191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6E95A38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7DAE7A6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2999D87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–0.298</w:t>
            </w:r>
          </w:p>
        </w:tc>
        <w:tc>
          <w:tcPr>
            <w:tcW w:w="0" w:type="auto"/>
            <w:tcBorders>
              <w:top w:val="nil"/>
              <w:left w:val="nil"/>
              <w:bottom w:val="nil"/>
              <w:right w:val="nil"/>
            </w:tcBorders>
            <w:shd w:val="clear" w:color="auto" w:fill="auto"/>
            <w:noWrap/>
            <w:vAlign w:val="center"/>
            <w:hideMark/>
          </w:tcPr>
          <w:p w14:paraId="0E1154F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0.737</w:t>
            </w:r>
          </w:p>
        </w:tc>
        <w:tc>
          <w:tcPr>
            <w:tcW w:w="0" w:type="auto"/>
            <w:tcBorders>
              <w:top w:val="nil"/>
              <w:left w:val="nil"/>
              <w:bottom w:val="nil"/>
              <w:right w:val="nil"/>
            </w:tcBorders>
            <w:shd w:val="clear" w:color="auto" w:fill="auto"/>
            <w:noWrap/>
            <w:vAlign w:val="center"/>
            <w:hideMark/>
          </w:tcPr>
          <w:p w14:paraId="49F599D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[–1.744, 1.148]</w:t>
            </w:r>
          </w:p>
        </w:tc>
        <w:tc>
          <w:tcPr>
            <w:tcW w:w="0" w:type="auto"/>
            <w:tcBorders>
              <w:top w:val="nil"/>
              <w:left w:val="nil"/>
              <w:bottom w:val="nil"/>
              <w:right w:val="nil"/>
            </w:tcBorders>
            <w:shd w:val="clear" w:color="auto" w:fill="auto"/>
            <w:noWrap/>
            <w:vAlign w:val="bottom"/>
            <w:hideMark/>
          </w:tcPr>
          <w:p w14:paraId="6E1BAE9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–0.114</w:t>
            </w:r>
          </w:p>
        </w:tc>
        <w:tc>
          <w:tcPr>
            <w:tcW w:w="0" w:type="auto"/>
            <w:tcBorders>
              <w:top w:val="nil"/>
              <w:left w:val="nil"/>
              <w:bottom w:val="nil"/>
              <w:right w:val="nil"/>
            </w:tcBorders>
            <w:shd w:val="clear" w:color="auto" w:fill="auto"/>
            <w:noWrap/>
            <w:vAlign w:val="bottom"/>
            <w:hideMark/>
          </w:tcPr>
          <w:p w14:paraId="3705966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0.382</w:t>
            </w:r>
          </w:p>
        </w:tc>
        <w:tc>
          <w:tcPr>
            <w:tcW w:w="0" w:type="auto"/>
            <w:tcBorders>
              <w:top w:val="nil"/>
              <w:left w:val="nil"/>
              <w:bottom w:val="nil"/>
              <w:right w:val="nil"/>
            </w:tcBorders>
            <w:shd w:val="clear" w:color="auto" w:fill="auto"/>
            <w:noWrap/>
            <w:vAlign w:val="bottom"/>
            <w:hideMark/>
          </w:tcPr>
          <w:p w14:paraId="6C677BB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[–0.864, 0.636]</w:t>
            </w:r>
          </w:p>
        </w:tc>
      </w:tr>
      <w:tr w:rsidR="00F30B53" w:rsidRPr="00F30B53" w14:paraId="5A491543" w14:textId="77777777" w:rsidTr="00F30B53">
        <w:trPr>
          <w:trHeight w:val="215"/>
        </w:trPr>
        <w:tc>
          <w:tcPr>
            <w:tcW w:w="0" w:type="auto"/>
            <w:tcBorders>
              <w:top w:val="nil"/>
              <w:left w:val="nil"/>
              <w:bottom w:val="nil"/>
              <w:right w:val="nil"/>
            </w:tcBorders>
            <w:shd w:val="clear" w:color="auto" w:fill="auto"/>
            <w:noWrap/>
            <w:vAlign w:val="bottom"/>
            <w:hideMark/>
          </w:tcPr>
          <w:p w14:paraId="5068C80E" w14:textId="28CFAB77" w:rsidR="00F30B53" w:rsidRPr="00F30B53" w:rsidRDefault="009213F4" w:rsidP="00F30B53">
            <w:pPr>
              <w:spacing w:line="240" w:lineRule="auto"/>
              <w:ind w:firstLineChars="200" w:firstLine="320"/>
              <w:rPr>
                <w:rFonts w:eastAsia="Times New Roman" w:cs="Times New Roman"/>
                <w:color w:val="000000"/>
                <w:sz w:val="16"/>
                <w:szCs w:val="16"/>
                <w:lang w:val="en-GB" w:eastAsia="zh-CN"/>
              </w:rPr>
            </w:pPr>
            <w:r>
              <w:rPr>
                <w:rFonts w:eastAsia="Times New Roman" w:cs="Times New Roman"/>
                <w:color w:val="000000"/>
                <w:sz w:val="16"/>
                <w:szCs w:val="16"/>
                <w:lang w:val="en-GB" w:eastAsia="zh-CN"/>
              </w:rPr>
              <w:t>Matching design</w:t>
            </w:r>
            <w:r w:rsidRPr="00F30B53">
              <w:rPr>
                <w:rFonts w:eastAsia="Times New Roman" w:cs="Times New Roman"/>
                <w:color w:val="000000"/>
                <w:sz w:val="16"/>
                <w:szCs w:val="16"/>
                <w:lang w:val="en-GB" w:eastAsia="zh-CN"/>
              </w:rPr>
              <w:t>-</w:t>
            </w:r>
            <w:r>
              <w:rPr>
                <w:rFonts w:eastAsia="Times New Roman" w:cs="Times New Roman"/>
                <w:color w:val="000000"/>
                <w:sz w:val="16"/>
                <w:szCs w:val="16"/>
                <w:lang w:val="en-GB" w:eastAsia="zh-CN"/>
              </w:rPr>
              <w:t>partner</w:t>
            </w:r>
            <w:r w:rsidR="00F30B53" w:rsidRPr="00F30B53">
              <w:rPr>
                <w:rFonts w:eastAsia="Times New Roman" w:cs="Times New Roman"/>
                <w:color w:val="000000"/>
                <w:sz w:val="16"/>
                <w:szCs w:val="16"/>
                <w:lang w:val="en-GB" w:eastAsia="zh-CN"/>
              </w:rPr>
              <w:t>*Game incentive-mixed</w:t>
            </w:r>
          </w:p>
        </w:tc>
        <w:tc>
          <w:tcPr>
            <w:tcW w:w="0" w:type="auto"/>
            <w:tcBorders>
              <w:top w:val="nil"/>
              <w:left w:val="nil"/>
              <w:bottom w:val="nil"/>
              <w:right w:val="nil"/>
            </w:tcBorders>
            <w:shd w:val="clear" w:color="auto" w:fill="auto"/>
            <w:noWrap/>
            <w:vAlign w:val="center"/>
            <w:hideMark/>
          </w:tcPr>
          <w:p w14:paraId="5ECFA33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5EB6596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49113D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CB230B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1.522</w:t>
            </w:r>
          </w:p>
        </w:tc>
        <w:tc>
          <w:tcPr>
            <w:tcW w:w="0" w:type="auto"/>
            <w:tcBorders>
              <w:top w:val="nil"/>
              <w:left w:val="nil"/>
              <w:bottom w:val="nil"/>
              <w:right w:val="nil"/>
            </w:tcBorders>
            <w:shd w:val="clear" w:color="auto" w:fill="auto"/>
            <w:noWrap/>
            <w:vAlign w:val="center"/>
            <w:hideMark/>
          </w:tcPr>
          <w:p w14:paraId="7B04872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0.845</w:t>
            </w:r>
          </w:p>
        </w:tc>
        <w:tc>
          <w:tcPr>
            <w:tcW w:w="0" w:type="auto"/>
            <w:tcBorders>
              <w:top w:val="nil"/>
              <w:left w:val="nil"/>
              <w:bottom w:val="nil"/>
              <w:right w:val="nil"/>
            </w:tcBorders>
            <w:shd w:val="clear" w:color="auto" w:fill="auto"/>
            <w:noWrap/>
            <w:vAlign w:val="center"/>
            <w:hideMark/>
          </w:tcPr>
          <w:p w14:paraId="77C1710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[–0.136, 3.179]</w:t>
            </w:r>
          </w:p>
        </w:tc>
        <w:tc>
          <w:tcPr>
            <w:tcW w:w="0" w:type="auto"/>
            <w:tcBorders>
              <w:top w:val="nil"/>
              <w:left w:val="nil"/>
              <w:bottom w:val="nil"/>
              <w:right w:val="nil"/>
            </w:tcBorders>
            <w:shd w:val="clear" w:color="auto" w:fill="auto"/>
            <w:noWrap/>
            <w:vAlign w:val="bottom"/>
            <w:hideMark/>
          </w:tcPr>
          <w:p w14:paraId="531A0A9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0.638</w:t>
            </w:r>
          </w:p>
        </w:tc>
        <w:tc>
          <w:tcPr>
            <w:tcW w:w="0" w:type="auto"/>
            <w:tcBorders>
              <w:top w:val="nil"/>
              <w:left w:val="nil"/>
              <w:bottom w:val="nil"/>
              <w:right w:val="nil"/>
            </w:tcBorders>
            <w:shd w:val="clear" w:color="auto" w:fill="auto"/>
            <w:noWrap/>
            <w:vAlign w:val="bottom"/>
            <w:hideMark/>
          </w:tcPr>
          <w:p w14:paraId="2915E04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0.660</w:t>
            </w:r>
          </w:p>
        </w:tc>
        <w:tc>
          <w:tcPr>
            <w:tcW w:w="0" w:type="auto"/>
            <w:tcBorders>
              <w:top w:val="nil"/>
              <w:left w:val="nil"/>
              <w:bottom w:val="nil"/>
              <w:right w:val="nil"/>
            </w:tcBorders>
            <w:shd w:val="clear" w:color="auto" w:fill="auto"/>
            <w:noWrap/>
            <w:vAlign w:val="bottom"/>
            <w:hideMark/>
          </w:tcPr>
          <w:p w14:paraId="474918C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[–0.655, 1.932]</w:t>
            </w:r>
          </w:p>
        </w:tc>
      </w:tr>
      <w:tr w:rsidR="00F30B53" w:rsidRPr="00F30B53" w14:paraId="3630C282" w14:textId="77777777" w:rsidTr="00F30B53">
        <w:trPr>
          <w:trHeight w:val="215"/>
        </w:trPr>
        <w:tc>
          <w:tcPr>
            <w:tcW w:w="0" w:type="auto"/>
            <w:tcBorders>
              <w:top w:val="nil"/>
              <w:left w:val="nil"/>
              <w:bottom w:val="nil"/>
              <w:right w:val="nil"/>
            </w:tcBorders>
            <w:shd w:val="clear" w:color="auto" w:fill="auto"/>
            <w:noWrap/>
            <w:vAlign w:val="bottom"/>
            <w:hideMark/>
          </w:tcPr>
          <w:p w14:paraId="40C18C4C" w14:textId="7DA9E507" w:rsidR="00F30B53" w:rsidRPr="00F30B53" w:rsidRDefault="009213F4" w:rsidP="00F30B53">
            <w:pPr>
              <w:spacing w:line="240" w:lineRule="auto"/>
              <w:ind w:firstLineChars="200" w:firstLine="320"/>
              <w:rPr>
                <w:rFonts w:eastAsia="Times New Roman" w:cs="Times New Roman"/>
                <w:color w:val="000000"/>
                <w:sz w:val="16"/>
                <w:szCs w:val="16"/>
                <w:lang w:val="en-GB" w:eastAsia="zh-CN"/>
              </w:rPr>
            </w:pPr>
            <w:r>
              <w:rPr>
                <w:rFonts w:eastAsia="Times New Roman" w:cs="Times New Roman"/>
                <w:color w:val="000000"/>
                <w:sz w:val="16"/>
                <w:szCs w:val="16"/>
                <w:lang w:val="en-GB" w:eastAsia="zh-CN"/>
              </w:rPr>
              <w:t>Matching design</w:t>
            </w:r>
            <w:r w:rsidRPr="00F30B53">
              <w:rPr>
                <w:rFonts w:eastAsia="Times New Roman" w:cs="Times New Roman"/>
                <w:color w:val="000000"/>
                <w:sz w:val="16"/>
                <w:szCs w:val="16"/>
                <w:lang w:val="en-GB" w:eastAsia="zh-CN"/>
              </w:rPr>
              <w:t>-mixed</w:t>
            </w:r>
            <w:r w:rsidR="00F30B53" w:rsidRPr="00F30B53">
              <w:rPr>
                <w:rFonts w:eastAsia="Times New Roman" w:cs="Times New Roman"/>
                <w:color w:val="000000"/>
                <w:sz w:val="16"/>
                <w:szCs w:val="16"/>
                <w:lang w:val="en-GB" w:eastAsia="zh-CN"/>
              </w:rPr>
              <w:t>*Game incentive-mixed</w:t>
            </w:r>
          </w:p>
        </w:tc>
        <w:tc>
          <w:tcPr>
            <w:tcW w:w="0" w:type="auto"/>
            <w:tcBorders>
              <w:top w:val="nil"/>
              <w:left w:val="nil"/>
              <w:bottom w:val="nil"/>
              <w:right w:val="nil"/>
            </w:tcBorders>
            <w:shd w:val="clear" w:color="auto" w:fill="auto"/>
            <w:noWrap/>
            <w:vAlign w:val="center"/>
            <w:hideMark/>
          </w:tcPr>
          <w:p w14:paraId="5C301B1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3C8C5F9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703C88C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5D57774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7F88DCD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408D782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bottom"/>
            <w:hideMark/>
          </w:tcPr>
          <w:p w14:paraId="0E474BC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0.234</w:t>
            </w:r>
          </w:p>
        </w:tc>
        <w:tc>
          <w:tcPr>
            <w:tcW w:w="0" w:type="auto"/>
            <w:tcBorders>
              <w:top w:val="nil"/>
              <w:left w:val="nil"/>
              <w:bottom w:val="nil"/>
              <w:right w:val="nil"/>
            </w:tcBorders>
            <w:shd w:val="clear" w:color="auto" w:fill="auto"/>
            <w:noWrap/>
            <w:vAlign w:val="bottom"/>
            <w:hideMark/>
          </w:tcPr>
          <w:p w14:paraId="6033FD4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0.803</w:t>
            </w:r>
          </w:p>
        </w:tc>
        <w:tc>
          <w:tcPr>
            <w:tcW w:w="0" w:type="auto"/>
            <w:tcBorders>
              <w:top w:val="nil"/>
              <w:left w:val="nil"/>
              <w:bottom w:val="nil"/>
              <w:right w:val="nil"/>
            </w:tcBorders>
            <w:shd w:val="clear" w:color="auto" w:fill="auto"/>
            <w:noWrap/>
            <w:vAlign w:val="bottom"/>
            <w:hideMark/>
          </w:tcPr>
          <w:p w14:paraId="45890FD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[–1.341, 1.808]</w:t>
            </w:r>
          </w:p>
        </w:tc>
      </w:tr>
      <w:tr w:rsidR="00F30B53" w:rsidRPr="00F30B53" w14:paraId="5D10901C" w14:textId="77777777" w:rsidTr="00F30B53">
        <w:trPr>
          <w:trHeight w:val="215"/>
        </w:trPr>
        <w:tc>
          <w:tcPr>
            <w:tcW w:w="0" w:type="auto"/>
            <w:tcBorders>
              <w:top w:val="nil"/>
              <w:left w:val="nil"/>
              <w:bottom w:val="nil"/>
              <w:right w:val="nil"/>
            </w:tcBorders>
            <w:shd w:val="clear" w:color="auto" w:fill="auto"/>
            <w:noWrap/>
            <w:vAlign w:val="bottom"/>
            <w:hideMark/>
          </w:tcPr>
          <w:p w14:paraId="07A2B931" w14:textId="38A51AE0"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Sanction-yes*</w:t>
            </w:r>
            <w:r w:rsidR="009213F4">
              <w:rPr>
                <w:rFonts w:eastAsia="Times New Roman" w:cs="Times New Roman"/>
                <w:color w:val="000000"/>
                <w:sz w:val="16"/>
                <w:szCs w:val="16"/>
                <w:lang w:val="en-GB" w:eastAsia="zh-CN"/>
              </w:rPr>
              <w:t>Matching design</w:t>
            </w:r>
            <w:r w:rsidR="009213F4" w:rsidRPr="00F30B53">
              <w:rPr>
                <w:rFonts w:eastAsia="Times New Roman" w:cs="Times New Roman"/>
                <w:color w:val="000000"/>
                <w:sz w:val="16"/>
                <w:szCs w:val="16"/>
                <w:lang w:val="en-GB" w:eastAsia="zh-CN"/>
              </w:rPr>
              <w:t>-</w:t>
            </w:r>
            <w:r w:rsidR="009213F4">
              <w:rPr>
                <w:rFonts w:eastAsia="Times New Roman" w:cs="Times New Roman"/>
                <w:color w:val="000000"/>
                <w:sz w:val="16"/>
                <w:szCs w:val="16"/>
                <w:lang w:val="en-GB" w:eastAsia="zh-CN"/>
              </w:rPr>
              <w:t>partner</w:t>
            </w:r>
          </w:p>
        </w:tc>
        <w:tc>
          <w:tcPr>
            <w:tcW w:w="0" w:type="auto"/>
            <w:tcBorders>
              <w:top w:val="nil"/>
              <w:left w:val="nil"/>
              <w:bottom w:val="nil"/>
              <w:right w:val="nil"/>
            </w:tcBorders>
            <w:shd w:val="clear" w:color="auto" w:fill="auto"/>
            <w:noWrap/>
            <w:vAlign w:val="center"/>
            <w:hideMark/>
          </w:tcPr>
          <w:p w14:paraId="08A7369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1E6E62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621813B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50B98AD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0.283*</w:t>
            </w:r>
          </w:p>
        </w:tc>
        <w:tc>
          <w:tcPr>
            <w:tcW w:w="0" w:type="auto"/>
            <w:tcBorders>
              <w:top w:val="nil"/>
              <w:left w:val="nil"/>
              <w:bottom w:val="nil"/>
              <w:right w:val="nil"/>
            </w:tcBorders>
            <w:shd w:val="clear" w:color="auto" w:fill="auto"/>
            <w:noWrap/>
            <w:vAlign w:val="center"/>
            <w:hideMark/>
          </w:tcPr>
          <w:p w14:paraId="790FD30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0.101</w:t>
            </w:r>
          </w:p>
        </w:tc>
        <w:tc>
          <w:tcPr>
            <w:tcW w:w="0" w:type="auto"/>
            <w:tcBorders>
              <w:top w:val="nil"/>
              <w:left w:val="nil"/>
              <w:bottom w:val="nil"/>
              <w:right w:val="nil"/>
            </w:tcBorders>
            <w:shd w:val="clear" w:color="auto" w:fill="auto"/>
            <w:noWrap/>
            <w:vAlign w:val="center"/>
            <w:hideMark/>
          </w:tcPr>
          <w:p w14:paraId="6F20E3C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[0.086, 0.481]</w:t>
            </w:r>
          </w:p>
        </w:tc>
        <w:tc>
          <w:tcPr>
            <w:tcW w:w="0" w:type="auto"/>
            <w:tcBorders>
              <w:top w:val="nil"/>
              <w:left w:val="nil"/>
              <w:bottom w:val="nil"/>
              <w:right w:val="nil"/>
            </w:tcBorders>
            <w:shd w:val="clear" w:color="auto" w:fill="auto"/>
            <w:noWrap/>
            <w:vAlign w:val="bottom"/>
            <w:hideMark/>
          </w:tcPr>
          <w:p w14:paraId="5BD02B5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0.212*</w:t>
            </w:r>
          </w:p>
        </w:tc>
        <w:tc>
          <w:tcPr>
            <w:tcW w:w="0" w:type="auto"/>
            <w:tcBorders>
              <w:top w:val="nil"/>
              <w:left w:val="nil"/>
              <w:bottom w:val="nil"/>
              <w:right w:val="nil"/>
            </w:tcBorders>
            <w:shd w:val="clear" w:color="auto" w:fill="auto"/>
            <w:noWrap/>
            <w:vAlign w:val="bottom"/>
            <w:hideMark/>
          </w:tcPr>
          <w:p w14:paraId="5C1B191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0.093</w:t>
            </w:r>
          </w:p>
        </w:tc>
        <w:tc>
          <w:tcPr>
            <w:tcW w:w="0" w:type="auto"/>
            <w:tcBorders>
              <w:top w:val="nil"/>
              <w:left w:val="nil"/>
              <w:bottom w:val="nil"/>
              <w:right w:val="nil"/>
            </w:tcBorders>
            <w:shd w:val="clear" w:color="auto" w:fill="auto"/>
            <w:noWrap/>
            <w:vAlign w:val="bottom"/>
            <w:hideMark/>
          </w:tcPr>
          <w:p w14:paraId="169E96E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[0.030, 0.394]</w:t>
            </w:r>
          </w:p>
        </w:tc>
      </w:tr>
      <w:tr w:rsidR="00F30B53" w:rsidRPr="00F30B53" w14:paraId="167BF7F7" w14:textId="77777777" w:rsidTr="00F30B53">
        <w:trPr>
          <w:trHeight w:val="215"/>
        </w:trPr>
        <w:tc>
          <w:tcPr>
            <w:tcW w:w="0" w:type="auto"/>
            <w:tcBorders>
              <w:top w:val="nil"/>
              <w:left w:val="nil"/>
              <w:bottom w:val="nil"/>
              <w:right w:val="nil"/>
            </w:tcBorders>
            <w:shd w:val="clear" w:color="auto" w:fill="auto"/>
            <w:noWrap/>
            <w:vAlign w:val="bottom"/>
            <w:hideMark/>
          </w:tcPr>
          <w:p w14:paraId="5F755ABC" w14:textId="1256BF2C"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Sanction-mixed*</w:t>
            </w:r>
            <w:r w:rsidR="009213F4">
              <w:rPr>
                <w:rFonts w:eastAsia="Times New Roman" w:cs="Times New Roman"/>
                <w:color w:val="000000"/>
                <w:sz w:val="16"/>
                <w:szCs w:val="16"/>
                <w:lang w:val="en-GB" w:eastAsia="zh-CN"/>
              </w:rPr>
              <w:t>Matching design</w:t>
            </w:r>
            <w:r w:rsidR="009213F4" w:rsidRPr="00F30B53">
              <w:rPr>
                <w:rFonts w:eastAsia="Times New Roman" w:cs="Times New Roman"/>
                <w:color w:val="000000"/>
                <w:sz w:val="16"/>
                <w:szCs w:val="16"/>
                <w:lang w:val="en-GB" w:eastAsia="zh-CN"/>
              </w:rPr>
              <w:t>-</w:t>
            </w:r>
            <w:r w:rsidR="009213F4">
              <w:rPr>
                <w:rFonts w:eastAsia="Times New Roman" w:cs="Times New Roman"/>
                <w:color w:val="000000"/>
                <w:sz w:val="16"/>
                <w:szCs w:val="16"/>
                <w:lang w:val="en-GB" w:eastAsia="zh-CN"/>
              </w:rPr>
              <w:t>partner</w:t>
            </w:r>
          </w:p>
        </w:tc>
        <w:tc>
          <w:tcPr>
            <w:tcW w:w="0" w:type="auto"/>
            <w:tcBorders>
              <w:top w:val="nil"/>
              <w:left w:val="nil"/>
              <w:bottom w:val="nil"/>
              <w:right w:val="nil"/>
            </w:tcBorders>
            <w:shd w:val="clear" w:color="auto" w:fill="auto"/>
            <w:noWrap/>
            <w:vAlign w:val="center"/>
            <w:hideMark/>
          </w:tcPr>
          <w:p w14:paraId="3426D2F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5077FA1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25C20C3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205B54E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–0.113</w:t>
            </w:r>
          </w:p>
        </w:tc>
        <w:tc>
          <w:tcPr>
            <w:tcW w:w="0" w:type="auto"/>
            <w:tcBorders>
              <w:top w:val="nil"/>
              <w:left w:val="nil"/>
              <w:bottom w:val="nil"/>
              <w:right w:val="nil"/>
            </w:tcBorders>
            <w:shd w:val="clear" w:color="auto" w:fill="auto"/>
            <w:noWrap/>
            <w:vAlign w:val="center"/>
            <w:hideMark/>
          </w:tcPr>
          <w:p w14:paraId="6AD3E65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0.316</w:t>
            </w:r>
          </w:p>
        </w:tc>
        <w:tc>
          <w:tcPr>
            <w:tcW w:w="0" w:type="auto"/>
            <w:tcBorders>
              <w:top w:val="nil"/>
              <w:left w:val="nil"/>
              <w:bottom w:val="nil"/>
              <w:right w:val="nil"/>
            </w:tcBorders>
            <w:shd w:val="clear" w:color="auto" w:fill="auto"/>
            <w:noWrap/>
            <w:vAlign w:val="center"/>
            <w:hideMark/>
          </w:tcPr>
          <w:p w14:paraId="5E39B1E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[–0.733, 0.506]</w:t>
            </w:r>
          </w:p>
        </w:tc>
        <w:tc>
          <w:tcPr>
            <w:tcW w:w="0" w:type="auto"/>
            <w:tcBorders>
              <w:top w:val="nil"/>
              <w:left w:val="nil"/>
              <w:bottom w:val="nil"/>
              <w:right w:val="nil"/>
            </w:tcBorders>
            <w:shd w:val="clear" w:color="auto" w:fill="auto"/>
            <w:noWrap/>
            <w:vAlign w:val="bottom"/>
            <w:hideMark/>
          </w:tcPr>
          <w:p w14:paraId="666B2AF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–0.182</w:t>
            </w:r>
          </w:p>
        </w:tc>
        <w:tc>
          <w:tcPr>
            <w:tcW w:w="0" w:type="auto"/>
            <w:tcBorders>
              <w:top w:val="nil"/>
              <w:left w:val="nil"/>
              <w:bottom w:val="nil"/>
              <w:right w:val="nil"/>
            </w:tcBorders>
            <w:shd w:val="clear" w:color="auto" w:fill="auto"/>
            <w:noWrap/>
            <w:vAlign w:val="bottom"/>
            <w:hideMark/>
          </w:tcPr>
          <w:p w14:paraId="385BE7C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0.287</w:t>
            </w:r>
          </w:p>
        </w:tc>
        <w:tc>
          <w:tcPr>
            <w:tcW w:w="0" w:type="auto"/>
            <w:tcBorders>
              <w:top w:val="nil"/>
              <w:left w:val="nil"/>
              <w:bottom w:val="nil"/>
              <w:right w:val="nil"/>
            </w:tcBorders>
            <w:shd w:val="clear" w:color="auto" w:fill="auto"/>
            <w:noWrap/>
            <w:vAlign w:val="bottom"/>
            <w:hideMark/>
          </w:tcPr>
          <w:p w14:paraId="38D6760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[–0.745, 0.381]</w:t>
            </w:r>
          </w:p>
        </w:tc>
      </w:tr>
      <w:tr w:rsidR="00F30B53" w:rsidRPr="00F30B53" w14:paraId="648C6AC5" w14:textId="77777777" w:rsidTr="00F30B53">
        <w:trPr>
          <w:trHeight w:val="215"/>
        </w:trPr>
        <w:tc>
          <w:tcPr>
            <w:tcW w:w="0" w:type="auto"/>
            <w:tcBorders>
              <w:top w:val="nil"/>
              <w:left w:val="nil"/>
              <w:bottom w:val="nil"/>
              <w:right w:val="nil"/>
            </w:tcBorders>
            <w:shd w:val="clear" w:color="auto" w:fill="auto"/>
            <w:noWrap/>
            <w:vAlign w:val="bottom"/>
            <w:hideMark/>
          </w:tcPr>
          <w:p w14:paraId="2CE48264" w14:textId="3116FBA2"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Sanction-yes*</w:t>
            </w:r>
            <w:r w:rsidR="009213F4">
              <w:rPr>
                <w:rFonts w:eastAsia="Times New Roman" w:cs="Times New Roman"/>
                <w:color w:val="000000"/>
                <w:sz w:val="16"/>
                <w:szCs w:val="16"/>
                <w:lang w:val="en-GB" w:eastAsia="zh-CN"/>
              </w:rPr>
              <w:t>Matching design</w:t>
            </w:r>
            <w:r w:rsidR="009213F4" w:rsidRPr="00F30B53">
              <w:rPr>
                <w:rFonts w:eastAsia="Times New Roman" w:cs="Times New Roman"/>
                <w:color w:val="000000"/>
                <w:sz w:val="16"/>
                <w:szCs w:val="16"/>
                <w:lang w:val="en-GB" w:eastAsia="zh-CN"/>
              </w:rPr>
              <w:t>-mixed</w:t>
            </w:r>
          </w:p>
        </w:tc>
        <w:tc>
          <w:tcPr>
            <w:tcW w:w="0" w:type="auto"/>
            <w:tcBorders>
              <w:top w:val="nil"/>
              <w:left w:val="nil"/>
              <w:bottom w:val="nil"/>
              <w:right w:val="nil"/>
            </w:tcBorders>
            <w:shd w:val="clear" w:color="auto" w:fill="auto"/>
            <w:noWrap/>
            <w:vAlign w:val="center"/>
            <w:hideMark/>
          </w:tcPr>
          <w:p w14:paraId="556B10F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777B1E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5EF8A7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219E96A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1.298*</w:t>
            </w:r>
          </w:p>
        </w:tc>
        <w:tc>
          <w:tcPr>
            <w:tcW w:w="0" w:type="auto"/>
            <w:tcBorders>
              <w:top w:val="nil"/>
              <w:left w:val="nil"/>
              <w:bottom w:val="nil"/>
              <w:right w:val="nil"/>
            </w:tcBorders>
            <w:shd w:val="clear" w:color="auto" w:fill="auto"/>
            <w:noWrap/>
            <w:vAlign w:val="center"/>
            <w:hideMark/>
          </w:tcPr>
          <w:p w14:paraId="5C070FDC"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0.618</w:t>
            </w:r>
          </w:p>
        </w:tc>
        <w:tc>
          <w:tcPr>
            <w:tcW w:w="0" w:type="auto"/>
            <w:tcBorders>
              <w:top w:val="nil"/>
              <w:left w:val="nil"/>
              <w:bottom w:val="nil"/>
              <w:right w:val="nil"/>
            </w:tcBorders>
            <w:shd w:val="clear" w:color="auto" w:fill="auto"/>
            <w:noWrap/>
            <w:vAlign w:val="center"/>
            <w:hideMark/>
          </w:tcPr>
          <w:p w14:paraId="15F860C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[0.086, 2.510]</w:t>
            </w:r>
          </w:p>
        </w:tc>
        <w:tc>
          <w:tcPr>
            <w:tcW w:w="0" w:type="auto"/>
            <w:tcBorders>
              <w:top w:val="nil"/>
              <w:left w:val="nil"/>
              <w:bottom w:val="nil"/>
              <w:right w:val="nil"/>
            </w:tcBorders>
            <w:shd w:val="clear" w:color="auto" w:fill="auto"/>
            <w:noWrap/>
            <w:vAlign w:val="bottom"/>
            <w:hideMark/>
          </w:tcPr>
          <w:p w14:paraId="74A5CE2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1.024*</w:t>
            </w:r>
          </w:p>
        </w:tc>
        <w:tc>
          <w:tcPr>
            <w:tcW w:w="0" w:type="auto"/>
            <w:tcBorders>
              <w:top w:val="nil"/>
              <w:left w:val="nil"/>
              <w:bottom w:val="nil"/>
              <w:right w:val="nil"/>
            </w:tcBorders>
            <w:shd w:val="clear" w:color="auto" w:fill="auto"/>
            <w:noWrap/>
            <w:vAlign w:val="bottom"/>
            <w:hideMark/>
          </w:tcPr>
          <w:p w14:paraId="17E2341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0.462</w:t>
            </w:r>
          </w:p>
        </w:tc>
        <w:tc>
          <w:tcPr>
            <w:tcW w:w="0" w:type="auto"/>
            <w:tcBorders>
              <w:top w:val="nil"/>
              <w:left w:val="nil"/>
              <w:bottom w:val="nil"/>
              <w:right w:val="nil"/>
            </w:tcBorders>
            <w:shd w:val="clear" w:color="auto" w:fill="auto"/>
            <w:noWrap/>
            <w:vAlign w:val="bottom"/>
            <w:hideMark/>
          </w:tcPr>
          <w:p w14:paraId="5BF5175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[0.117, 1.931]</w:t>
            </w:r>
          </w:p>
        </w:tc>
      </w:tr>
      <w:tr w:rsidR="00F30B53" w:rsidRPr="00F30B53" w14:paraId="08EB4379" w14:textId="77777777" w:rsidTr="00F30B53">
        <w:trPr>
          <w:trHeight w:val="215"/>
        </w:trPr>
        <w:tc>
          <w:tcPr>
            <w:tcW w:w="0" w:type="auto"/>
            <w:tcBorders>
              <w:top w:val="nil"/>
              <w:left w:val="nil"/>
              <w:bottom w:val="nil"/>
              <w:right w:val="nil"/>
            </w:tcBorders>
            <w:shd w:val="clear" w:color="auto" w:fill="auto"/>
            <w:noWrap/>
            <w:vAlign w:val="bottom"/>
            <w:hideMark/>
          </w:tcPr>
          <w:p w14:paraId="79E8FA6E" w14:textId="61D212E3"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Sanction-mixed*</w:t>
            </w:r>
            <w:r w:rsidR="009213F4">
              <w:rPr>
                <w:rFonts w:eastAsia="Times New Roman" w:cs="Times New Roman"/>
                <w:color w:val="000000"/>
                <w:sz w:val="16"/>
                <w:szCs w:val="16"/>
                <w:lang w:val="en-GB" w:eastAsia="zh-CN"/>
              </w:rPr>
              <w:t>Matching design</w:t>
            </w:r>
            <w:r w:rsidR="009213F4" w:rsidRPr="00F30B53">
              <w:rPr>
                <w:rFonts w:eastAsia="Times New Roman" w:cs="Times New Roman"/>
                <w:color w:val="000000"/>
                <w:sz w:val="16"/>
                <w:szCs w:val="16"/>
                <w:lang w:val="en-GB" w:eastAsia="zh-CN"/>
              </w:rPr>
              <w:t>-mixed</w:t>
            </w:r>
          </w:p>
        </w:tc>
        <w:tc>
          <w:tcPr>
            <w:tcW w:w="0" w:type="auto"/>
            <w:tcBorders>
              <w:top w:val="nil"/>
              <w:left w:val="nil"/>
              <w:bottom w:val="nil"/>
              <w:right w:val="nil"/>
            </w:tcBorders>
            <w:shd w:val="clear" w:color="auto" w:fill="auto"/>
            <w:noWrap/>
            <w:vAlign w:val="center"/>
            <w:hideMark/>
          </w:tcPr>
          <w:p w14:paraId="79DC394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08D7704"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E1B866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210109B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1.169</w:t>
            </w:r>
          </w:p>
        </w:tc>
        <w:tc>
          <w:tcPr>
            <w:tcW w:w="0" w:type="auto"/>
            <w:tcBorders>
              <w:top w:val="nil"/>
              <w:left w:val="nil"/>
              <w:bottom w:val="nil"/>
              <w:right w:val="nil"/>
            </w:tcBorders>
            <w:shd w:val="clear" w:color="auto" w:fill="auto"/>
            <w:noWrap/>
            <w:vAlign w:val="center"/>
            <w:hideMark/>
          </w:tcPr>
          <w:p w14:paraId="3FDEB6E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0.796</w:t>
            </w:r>
          </w:p>
        </w:tc>
        <w:tc>
          <w:tcPr>
            <w:tcW w:w="0" w:type="auto"/>
            <w:tcBorders>
              <w:top w:val="nil"/>
              <w:left w:val="nil"/>
              <w:bottom w:val="nil"/>
              <w:right w:val="nil"/>
            </w:tcBorders>
            <w:shd w:val="clear" w:color="auto" w:fill="auto"/>
            <w:noWrap/>
            <w:vAlign w:val="center"/>
            <w:hideMark/>
          </w:tcPr>
          <w:p w14:paraId="5E1C8F3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[–0.393, 2.731]</w:t>
            </w:r>
          </w:p>
        </w:tc>
        <w:tc>
          <w:tcPr>
            <w:tcW w:w="0" w:type="auto"/>
            <w:tcBorders>
              <w:top w:val="nil"/>
              <w:left w:val="nil"/>
              <w:bottom w:val="nil"/>
              <w:right w:val="nil"/>
            </w:tcBorders>
            <w:shd w:val="clear" w:color="auto" w:fill="auto"/>
            <w:noWrap/>
            <w:vAlign w:val="bottom"/>
            <w:hideMark/>
          </w:tcPr>
          <w:p w14:paraId="08AE36A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0.856</w:t>
            </w:r>
          </w:p>
        </w:tc>
        <w:tc>
          <w:tcPr>
            <w:tcW w:w="0" w:type="auto"/>
            <w:tcBorders>
              <w:top w:val="nil"/>
              <w:left w:val="nil"/>
              <w:bottom w:val="nil"/>
              <w:right w:val="nil"/>
            </w:tcBorders>
            <w:shd w:val="clear" w:color="auto" w:fill="auto"/>
            <w:noWrap/>
            <w:vAlign w:val="bottom"/>
            <w:hideMark/>
          </w:tcPr>
          <w:p w14:paraId="1E725A3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0.765</w:t>
            </w:r>
          </w:p>
        </w:tc>
        <w:tc>
          <w:tcPr>
            <w:tcW w:w="0" w:type="auto"/>
            <w:tcBorders>
              <w:top w:val="nil"/>
              <w:left w:val="nil"/>
              <w:bottom w:val="nil"/>
              <w:right w:val="nil"/>
            </w:tcBorders>
            <w:shd w:val="clear" w:color="auto" w:fill="auto"/>
            <w:noWrap/>
            <w:vAlign w:val="bottom"/>
            <w:hideMark/>
          </w:tcPr>
          <w:p w14:paraId="23FBAB6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[–0.645, 2.356]</w:t>
            </w:r>
          </w:p>
        </w:tc>
      </w:tr>
      <w:tr w:rsidR="00F30B53" w:rsidRPr="00F30B53" w14:paraId="0F03A747" w14:textId="77777777" w:rsidTr="00F30B53">
        <w:trPr>
          <w:trHeight w:val="215"/>
        </w:trPr>
        <w:tc>
          <w:tcPr>
            <w:tcW w:w="0" w:type="auto"/>
            <w:tcBorders>
              <w:top w:val="nil"/>
              <w:left w:val="nil"/>
              <w:bottom w:val="nil"/>
              <w:right w:val="nil"/>
            </w:tcBorders>
            <w:shd w:val="clear" w:color="auto" w:fill="auto"/>
            <w:noWrap/>
            <w:vAlign w:val="bottom"/>
            <w:hideMark/>
          </w:tcPr>
          <w:p w14:paraId="44881D26"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Communication-yes*Conflict of interests-step level PGD</w:t>
            </w:r>
          </w:p>
        </w:tc>
        <w:tc>
          <w:tcPr>
            <w:tcW w:w="0" w:type="auto"/>
            <w:tcBorders>
              <w:top w:val="nil"/>
              <w:left w:val="nil"/>
              <w:bottom w:val="nil"/>
              <w:right w:val="nil"/>
            </w:tcBorders>
            <w:shd w:val="clear" w:color="auto" w:fill="auto"/>
            <w:noWrap/>
            <w:vAlign w:val="center"/>
            <w:hideMark/>
          </w:tcPr>
          <w:p w14:paraId="34D30A6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–0.684*</w:t>
            </w:r>
          </w:p>
        </w:tc>
        <w:tc>
          <w:tcPr>
            <w:tcW w:w="0" w:type="auto"/>
            <w:tcBorders>
              <w:top w:val="nil"/>
              <w:left w:val="nil"/>
              <w:bottom w:val="nil"/>
              <w:right w:val="nil"/>
            </w:tcBorders>
            <w:shd w:val="clear" w:color="auto" w:fill="auto"/>
            <w:noWrap/>
            <w:vAlign w:val="center"/>
            <w:hideMark/>
          </w:tcPr>
          <w:p w14:paraId="1F42015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0.275</w:t>
            </w:r>
          </w:p>
        </w:tc>
        <w:tc>
          <w:tcPr>
            <w:tcW w:w="0" w:type="auto"/>
            <w:tcBorders>
              <w:top w:val="nil"/>
              <w:left w:val="nil"/>
              <w:bottom w:val="nil"/>
              <w:right w:val="nil"/>
            </w:tcBorders>
            <w:shd w:val="clear" w:color="auto" w:fill="auto"/>
            <w:noWrap/>
            <w:vAlign w:val="center"/>
            <w:hideMark/>
          </w:tcPr>
          <w:p w14:paraId="4239E867"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[–1.223, –0.146]</w:t>
            </w:r>
          </w:p>
        </w:tc>
        <w:tc>
          <w:tcPr>
            <w:tcW w:w="0" w:type="auto"/>
            <w:tcBorders>
              <w:top w:val="nil"/>
              <w:left w:val="nil"/>
              <w:bottom w:val="nil"/>
              <w:right w:val="nil"/>
            </w:tcBorders>
            <w:shd w:val="clear" w:color="auto" w:fill="auto"/>
            <w:noWrap/>
            <w:vAlign w:val="center"/>
            <w:hideMark/>
          </w:tcPr>
          <w:p w14:paraId="42959F0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–0.404*</w:t>
            </w:r>
          </w:p>
        </w:tc>
        <w:tc>
          <w:tcPr>
            <w:tcW w:w="0" w:type="auto"/>
            <w:tcBorders>
              <w:top w:val="nil"/>
              <w:left w:val="nil"/>
              <w:bottom w:val="nil"/>
              <w:right w:val="nil"/>
            </w:tcBorders>
            <w:shd w:val="clear" w:color="auto" w:fill="auto"/>
            <w:noWrap/>
            <w:vAlign w:val="center"/>
            <w:hideMark/>
          </w:tcPr>
          <w:p w14:paraId="01034AD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0.183</w:t>
            </w:r>
          </w:p>
        </w:tc>
        <w:tc>
          <w:tcPr>
            <w:tcW w:w="0" w:type="auto"/>
            <w:tcBorders>
              <w:top w:val="nil"/>
              <w:left w:val="nil"/>
              <w:bottom w:val="nil"/>
              <w:right w:val="nil"/>
            </w:tcBorders>
            <w:shd w:val="clear" w:color="auto" w:fill="auto"/>
            <w:noWrap/>
            <w:vAlign w:val="center"/>
            <w:hideMark/>
          </w:tcPr>
          <w:p w14:paraId="765B6F9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[–0.762, –0.045]</w:t>
            </w:r>
          </w:p>
        </w:tc>
        <w:tc>
          <w:tcPr>
            <w:tcW w:w="0" w:type="auto"/>
            <w:tcBorders>
              <w:top w:val="nil"/>
              <w:left w:val="nil"/>
              <w:bottom w:val="nil"/>
              <w:right w:val="nil"/>
            </w:tcBorders>
            <w:shd w:val="clear" w:color="auto" w:fill="auto"/>
            <w:noWrap/>
            <w:vAlign w:val="bottom"/>
            <w:hideMark/>
          </w:tcPr>
          <w:p w14:paraId="2CD4473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–0.653*</w:t>
            </w:r>
          </w:p>
        </w:tc>
        <w:tc>
          <w:tcPr>
            <w:tcW w:w="0" w:type="auto"/>
            <w:tcBorders>
              <w:top w:val="nil"/>
              <w:left w:val="nil"/>
              <w:bottom w:val="nil"/>
              <w:right w:val="nil"/>
            </w:tcBorders>
            <w:shd w:val="clear" w:color="auto" w:fill="auto"/>
            <w:noWrap/>
            <w:vAlign w:val="bottom"/>
            <w:hideMark/>
          </w:tcPr>
          <w:p w14:paraId="66BC4B0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0.276</w:t>
            </w:r>
          </w:p>
        </w:tc>
        <w:tc>
          <w:tcPr>
            <w:tcW w:w="0" w:type="auto"/>
            <w:tcBorders>
              <w:top w:val="nil"/>
              <w:left w:val="nil"/>
              <w:bottom w:val="nil"/>
              <w:right w:val="nil"/>
            </w:tcBorders>
            <w:shd w:val="clear" w:color="auto" w:fill="auto"/>
            <w:noWrap/>
            <w:vAlign w:val="bottom"/>
            <w:hideMark/>
          </w:tcPr>
          <w:p w14:paraId="6096A9F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[–1.194, –0.111]</w:t>
            </w:r>
          </w:p>
        </w:tc>
      </w:tr>
      <w:tr w:rsidR="00F30B53" w:rsidRPr="00F30B53" w14:paraId="357A12F0" w14:textId="77777777" w:rsidTr="00F30B53">
        <w:trPr>
          <w:trHeight w:val="215"/>
        </w:trPr>
        <w:tc>
          <w:tcPr>
            <w:tcW w:w="0" w:type="auto"/>
            <w:tcBorders>
              <w:top w:val="nil"/>
              <w:left w:val="nil"/>
              <w:bottom w:val="nil"/>
              <w:right w:val="nil"/>
            </w:tcBorders>
            <w:shd w:val="clear" w:color="auto" w:fill="auto"/>
            <w:noWrap/>
            <w:vAlign w:val="bottom"/>
            <w:hideMark/>
          </w:tcPr>
          <w:p w14:paraId="1A34FEE6"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Communication-mixed*Conflict of interests-step level PGD</w:t>
            </w:r>
          </w:p>
        </w:tc>
        <w:tc>
          <w:tcPr>
            <w:tcW w:w="0" w:type="auto"/>
            <w:tcBorders>
              <w:top w:val="nil"/>
              <w:left w:val="nil"/>
              <w:bottom w:val="nil"/>
              <w:right w:val="nil"/>
            </w:tcBorders>
            <w:shd w:val="clear" w:color="auto" w:fill="auto"/>
            <w:noWrap/>
            <w:vAlign w:val="center"/>
            <w:hideMark/>
          </w:tcPr>
          <w:p w14:paraId="7E23888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–0.119</w:t>
            </w:r>
          </w:p>
        </w:tc>
        <w:tc>
          <w:tcPr>
            <w:tcW w:w="0" w:type="auto"/>
            <w:tcBorders>
              <w:top w:val="nil"/>
              <w:left w:val="nil"/>
              <w:bottom w:val="nil"/>
              <w:right w:val="nil"/>
            </w:tcBorders>
            <w:shd w:val="clear" w:color="auto" w:fill="auto"/>
            <w:noWrap/>
            <w:vAlign w:val="center"/>
            <w:hideMark/>
          </w:tcPr>
          <w:p w14:paraId="343AA8F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0.731</w:t>
            </w:r>
          </w:p>
        </w:tc>
        <w:tc>
          <w:tcPr>
            <w:tcW w:w="0" w:type="auto"/>
            <w:tcBorders>
              <w:top w:val="nil"/>
              <w:left w:val="nil"/>
              <w:bottom w:val="nil"/>
              <w:right w:val="nil"/>
            </w:tcBorders>
            <w:shd w:val="clear" w:color="auto" w:fill="auto"/>
            <w:noWrap/>
            <w:vAlign w:val="center"/>
            <w:hideMark/>
          </w:tcPr>
          <w:p w14:paraId="497115D3"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[–1.553, 1.315]</w:t>
            </w:r>
          </w:p>
        </w:tc>
        <w:tc>
          <w:tcPr>
            <w:tcW w:w="0" w:type="auto"/>
            <w:tcBorders>
              <w:top w:val="nil"/>
              <w:left w:val="nil"/>
              <w:bottom w:val="nil"/>
              <w:right w:val="nil"/>
            </w:tcBorders>
            <w:shd w:val="clear" w:color="auto" w:fill="auto"/>
            <w:noWrap/>
            <w:vAlign w:val="center"/>
            <w:hideMark/>
          </w:tcPr>
          <w:p w14:paraId="125F106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–0.727</w:t>
            </w:r>
          </w:p>
        </w:tc>
        <w:tc>
          <w:tcPr>
            <w:tcW w:w="0" w:type="auto"/>
            <w:tcBorders>
              <w:top w:val="nil"/>
              <w:left w:val="nil"/>
              <w:bottom w:val="nil"/>
              <w:right w:val="nil"/>
            </w:tcBorders>
            <w:shd w:val="clear" w:color="auto" w:fill="auto"/>
            <w:noWrap/>
            <w:vAlign w:val="center"/>
            <w:hideMark/>
          </w:tcPr>
          <w:p w14:paraId="6405F81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0.729</w:t>
            </w:r>
          </w:p>
        </w:tc>
        <w:tc>
          <w:tcPr>
            <w:tcW w:w="0" w:type="auto"/>
            <w:tcBorders>
              <w:top w:val="nil"/>
              <w:left w:val="nil"/>
              <w:bottom w:val="nil"/>
              <w:right w:val="nil"/>
            </w:tcBorders>
            <w:shd w:val="clear" w:color="auto" w:fill="auto"/>
            <w:noWrap/>
            <w:vAlign w:val="center"/>
            <w:hideMark/>
          </w:tcPr>
          <w:p w14:paraId="540B8A0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[–2.157, 0.704]</w:t>
            </w:r>
          </w:p>
        </w:tc>
        <w:tc>
          <w:tcPr>
            <w:tcW w:w="0" w:type="auto"/>
            <w:tcBorders>
              <w:top w:val="nil"/>
              <w:left w:val="nil"/>
              <w:bottom w:val="nil"/>
              <w:right w:val="nil"/>
            </w:tcBorders>
            <w:shd w:val="clear" w:color="auto" w:fill="auto"/>
            <w:noWrap/>
            <w:vAlign w:val="bottom"/>
            <w:hideMark/>
          </w:tcPr>
          <w:p w14:paraId="59BB4286"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–0.050</w:t>
            </w:r>
          </w:p>
        </w:tc>
        <w:tc>
          <w:tcPr>
            <w:tcW w:w="0" w:type="auto"/>
            <w:tcBorders>
              <w:top w:val="nil"/>
              <w:left w:val="nil"/>
              <w:bottom w:val="nil"/>
              <w:right w:val="nil"/>
            </w:tcBorders>
            <w:shd w:val="clear" w:color="auto" w:fill="auto"/>
            <w:noWrap/>
            <w:vAlign w:val="bottom"/>
            <w:hideMark/>
          </w:tcPr>
          <w:p w14:paraId="7FF404EA"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0.772</w:t>
            </w:r>
          </w:p>
        </w:tc>
        <w:tc>
          <w:tcPr>
            <w:tcW w:w="0" w:type="auto"/>
            <w:tcBorders>
              <w:top w:val="nil"/>
              <w:left w:val="nil"/>
              <w:bottom w:val="nil"/>
              <w:right w:val="nil"/>
            </w:tcBorders>
            <w:shd w:val="clear" w:color="auto" w:fill="auto"/>
            <w:noWrap/>
            <w:vAlign w:val="bottom"/>
            <w:hideMark/>
          </w:tcPr>
          <w:p w14:paraId="4F6D76F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[–1.564, 1.465]</w:t>
            </w:r>
          </w:p>
        </w:tc>
      </w:tr>
      <w:tr w:rsidR="00F30B53" w:rsidRPr="00F30B53" w14:paraId="330A458B" w14:textId="77777777" w:rsidTr="00F30B53">
        <w:trPr>
          <w:trHeight w:val="215"/>
        </w:trPr>
        <w:tc>
          <w:tcPr>
            <w:tcW w:w="0" w:type="auto"/>
            <w:tcBorders>
              <w:top w:val="nil"/>
              <w:left w:val="nil"/>
              <w:bottom w:val="nil"/>
              <w:right w:val="nil"/>
            </w:tcBorders>
            <w:shd w:val="clear" w:color="auto" w:fill="auto"/>
            <w:noWrap/>
            <w:vAlign w:val="bottom"/>
            <w:hideMark/>
          </w:tcPr>
          <w:p w14:paraId="27354AEB" w14:textId="77777777" w:rsidR="00F30B53" w:rsidRPr="00F30B53" w:rsidRDefault="00F30B53" w:rsidP="00F30B53">
            <w:pPr>
              <w:spacing w:line="240" w:lineRule="auto"/>
              <w:rPr>
                <w:rFonts w:eastAsia="Times New Roman" w:cs="Times New Roman"/>
                <w:i/>
                <w:iCs/>
                <w:color w:val="000000"/>
                <w:sz w:val="16"/>
                <w:szCs w:val="16"/>
                <w:lang w:val="en-GB" w:eastAsia="zh-CN"/>
              </w:rPr>
            </w:pPr>
            <w:r w:rsidRPr="00F30B53">
              <w:rPr>
                <w:rFonts w:eastAsia="Times New Roman" w:cs="Times New Roman"/>
                <w:i/>
                <w:iCs/>
                <w:color w:val="000000"/>
                <w:sz w:val="16"/>
                <w:szCs w:val="16"/>
                <w:lang w:val="en-GB" w:eastAsia="zh-CN"/>
              </w:rPr>
              <w:t>Model statistics</w:t>
            </w:r>
          </w:p>
        </w:tc>
        <w:tc>
          <w:tcPr>
            <w:tcW w:w="0" w:type="auto"/>
            <w:tcBorders>
              <w:top w:val="nil"/>
              <w:left w:val="nil"/>
              <w:bottom w:val="nil"/>
              <w:right w:val="nil"/>
            </w:tcBorders>
            <w:shd w:val="clear" w:color="auto" w:fill="auto"/>
            <w:noWrap/>
            <w:vAlign w:val="center"/>
            <w:hideMark/>
          </w:tcPr>
          <w:p w14:paraId="4287E905" w14:textId="77777777" w:rsidR="00F30B53" w:rsidRPr="00F30B53" w:rsidRDefault="00F30B53" w:rsidP="00F30B53">
            <w:pPr>
              <w:spacing w:line="240" w:lineRule="auto"/>
              <w:rPr>
                <w:rFonts w:eastAsia="Times New Roman" w:cs="Times New Roman"/>
                <w:i/>
                <w:iCs/>
                <w:color w:val="000000"/>
                <w:sz w:val="16"/>
                <w:szCs w:val="16"/>
                <w:lang w:val="en-GB" w:eastAsia="zh-CN"/>
              </w:rPr>
            </w:pPr>
          </w:p>
        </w:tc>
        <w:tc>
          <w:tcPr>
            <w:tcW w:w="0" w:type="auto"/>
            <w:tcBorders>
              <w:top w:val="nil"/>
              <w:left w:val="nil"/>
              <w:bottom w:val="nil"/>
              <w:right w:val="nil"/>
            </w:tcBorders>
            <w:shd w:val="clear" w:color="auto" w:fill="auto"/>
            <w:noWrap/>
            <w:vAlign w:val="center"/>
            <w:hideMark/>
          </w:tcPr>
          <w:p w14:paraId="730341E0"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5F031F24"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15CE9028"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307D0D79"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487AA49D"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bottom"/>
            <w:hideMark/>
          </w:tcPr>
          <w:p w14:paraId="2409E3B8"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bottom"/>
            <w:hideMark/>
          </w:tcPr>
          <w:p w14:paraId="2A71C4AA" w14:textId="77777777" w:rsidR="00F30B53" w:rsidRPr="00F30B53" w:rsidRDefault="00F30B53" w:rsidP="00F30B53">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bottom"/>
            <w:hideMark/>
          </w:tcPr>
          <w:p w14:paraId="699277C9" w14:textId="77777777" w:rsidR="00F30B53" w:rsidRPr="00F30B53" w:rsidRDefault="00F30B53" w:rsidP="00F30B53">
            <w:pPr>
              <w:spacing w:line="240" w:lineRule="auto"/>
              <w:jc w:val="center"/>
              <w:rPr>
                <w:rFonts w:eastAsia="Times New Roman" w:cs="Times New Roman"/>
                <w:sz w:val="20"/>
                <w:szCs w:val="20"/>
                <w:lang w:val="en-GB" w:eastAsia="zh-CN"/>
              </w:rPr>
            </w:pPr>
          </w:p>
        </w:tc>
      </w:tr>
      <w:tr w:rsidR="00F30B53" w:rsidRPr="00F30B53" w14:paraId="75B13598" w14:textId="77777777" w:rsidTr="00F30B53">
        <w:trPr>
          <w:trHeight w:val="245"/>
        </w:trPr>
        <w:tc>
          <w:tcPr>
            <w:tcW w:w="0" w:type="auto"/>
            <w:tcBorders>
              <w:top w:val="nil"/>
              <w:left w:val="nil"/>
              <w:bottom w:val="nil"/>
              <w:right w:val="nil"/>
            </w:tcBorders>
            <w:shd w:val="clear" w:color="auto" w:fill="auto"/>
            <w:noWrap/>
            <w:vAlign w:val="bottom"/>
            <w:hideMark/>
          </w:tcPr>
          <w:p w14:paraId="2C1AB213"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proofErr w:type="spellStart"/>
            <w:r w:rsidRPr="00F30B53">
              <w:rPr>
                <w:rFonts w:eastAsia="Times New Roman" w:cs="Times New Roman"/>
                <w:i/>
                <w:iCs/>
                <w:color w:val="000000"/>
                <w:sz w:val="16"/>
                <w:szCs w:val="16"/>
                <w:lang w:val="en-GB" w:eastAsia="zh-CN"/>
              </w:rPr>
              <w:t>Q</w:t>
            </w:r>
            <w:r w:rsidRPr="00F30B53">
              <w:rPr>
                <w:rFonts w:eastAsia="Times New Roman" w:cs="Times New Roman"/>
                <w:color w:val="000000"/>
                <w:sz w:val="16"/>
                <w:szCs w:val="16"/>
                <w:vertAlign w:val="subscript"/>
                <w:lang w:val="en-GB" w:eastAsia="zh-CN"/>
              </w:rPr>
              <w:t>residual</w:t>
            </w:r>
            <w:proofErr w:type="spellEnd"/>
            <w:r w:rsidRPr="00F30B53">
              <w:rPr>
                <w:rFonts w:eastAsia="Times New Roman" w:cs="Times New Roman"/>
                <w:color w:val="000000"/>
                <w:sz w:val="16"/>
                <w:szCs w:val="16"/>
                <w:lang w:val="en-GB" w:eastAsia="zh-CN"/>
              </w:rPr>
              <w:t>(</w:t>
            </w:r>
            <w:proofErr w:type="spellStart"/>
            <w:r w:rsidRPr="00F30B53">
              <w:rPr>
                <w:rFonts w:eastAsia="Times New Roman" w:cs="Times New Roman"/>
                <w:i/>
                <w:iCs/>
                <w:color w:val="000000"/>
                <w:sz w:val="16"/>
                <w:szCs w:val="16"/>
                <w:lang w:val="en-GB" w:eastAsia="zh-CN"/>
              </w:rPr>
              <w:t>df</w:t>
            </w:r>
            <w:proofErr w:type="spellEnd"/>
            <w:r w:rsidRPr="00F30B53">
              <w:rPr>
                <w:rFonts w:eastAsia="Times New Roman" w:cs="Times New Roman"/>
                <w:color w:val="000000"/>
                <w:sz w:val="16"/>
                <w:szCs w:val="16"/>
                <w:lang w:val="en-GB" w:eastAsia="zh-CN"/>
              </w:rPr>
              <w:t>)</w:t>
            </w:r>
          </w:p>
        </w:tc>
        <w:tc>
          <w:tcPr>
            <w:tcW w:w="0" w:type="auto"/>
            <w:gridSpan w:val="3"/>
            <w:tcBorders>
              <w:top w:val="nil"/>
              <w:left w:val="nil"/>
              <w:bottom w:val="nil"/>
              <w:right w:val="nil"/>
            </w:tcBorders>
            <w:shd w:val="clear" w:color="auto" w:fill="auto"/>
            <w:noWrap/>
            <w:vAlign w:val="center"/>
            <w:hideMark/>
          </w:tcPr>
          <w:p w14:paraId="172E4EC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65116.03 (2308)*</w:t>
            </w:r>
          </w:p>
        </w:tc>
        <w:tc>
          <w:tcPr>
            <w:tcW w:w="0" w:type="auto"/>
            <w:gridSpan w:val="3"/>
            <w:tcBorders>
              <w:top w:val="nil"/>
              <w:left w:val="nil"/>
              <w:bottom w:val="nil"/>
              <w:right w:val="nil"/>
            </w:tcBorders>
            <w:shd w:val="clear" w:color="auto" w:fill="auto"/>
            <w:noWrap/>
            <w:vAlign w:val="center"/>
            <w:hideMark/>
          </w:tcPr>
          <w:p w14:paraId="66920EB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65611.11 (1448)*</w:t>
            </w:r>
          </w:p>
        </w:tc>
        <w:tc>
          <w:tcPr>
            <w:tcW w:w="0" w:type="auto"/>
            <w:gridSpan w:val="3"/>
            <w:tcBorders>
              <w:top w:val="nil"/>
              <w:left w:val="nil"/>
              <w:bottom w:val="nil"/>
              <w:right w:val="nil"/>
            </w:tcBorders>
            <w:shd w:val="clear" w:color="auto" w:fill="auto"/>
            <w:noWrap/>
            <w:vAlign w:val="bottom"/>
            <w:hideMark/>
          </w:tcPr>
          <w:p w14:paraId="0C4CB46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64823.71 (2303)*</w:t>
            </w:r>
          </w:p>
        </w:tc>
      </w:tr>
      <w:tr w:rsidR="00F30B53" w:rsidRPr="00F30B53" w14:paraId="304EC1B9" w14:textId="77777777" w:rsidTr="00F30B53">
        <w:trPr>
          <w:trHeight w:val="245"/>
        </w:trPr>
        <w:tc>
          <w:tcPr>
            <w:tcW w:w="0" w:type="auto"/>
            <w:tcBorders>
              <w:top w:val="nil"/>
              <w:left w:val="nil"/>
              <w:bottom w:val="nil"/>
              <w:right w:val="nil"/>
            </w:tcBorders>
            <w:shd w:val="clear" w:color="auto" w:fill="auto"/>
            <w:noWrap/>
            <w:vAlign w:val="bottom"/>
            <w:hideMark/>
          </w:tcPr>
          <w:p w14:paraId="2A61FD2F"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proofErr w:type="spellStart"/>
            <w:r w:rsidRPr="00F30B53">
              <w:rPr>
                <w:rFonts w:eastAsia="Times New Roman" w:cs="Times New Roman"/>
                <w:i/>
                <w:iCs/>
                <w:color w:val="000000"/>
                <w:sz w:val="16"/>
                <w:szCs w:val="16"/>
                <w:lang w:val="en-GB" w:eastAsia="zh-CN"/>
              </w:rPr>
              <w:t>F</w:t>
            </w:r>
            <w:r w:rsidRPr="00F30B53">
              <w:rPr>
                <w:rFonts w:eastAsia="Times New Roman" w:cs="Times New Roman"/>
                <w:color w:val="000000"/>
                <w:sz w:val="16"/>
                <w:szCs w:val="16"/>
                <w:vertAlign w:val="subscript"/>
                <w:lang w:val="en-GB" w:eastAsia="zh-CN"/>
              </w:rPr>
              <w:t>moderators</w:t>
            </w:r>
            <w:proofErr w:type="spellEnd"/>
            <w:r w:rsidRPr="00F30B53">
              <w:rPr>
                <w:rFonts w:eastAsia="Times New Roman" w:cs="Times New Roman"/>
                <w:color w:val="000000"/>
                <w:sz w:val="16"/>
                <w:szCs w:val="16"/>
                <w:lang w:val="en-GB" w:eastAsia="zh-CN"/>
              </w:rPr>
              <w:t>(</w:t>
            </w:r>
            <w:r w:rsidRPr="00F30B53">
              <w:rPr>
                <w:rFonts w:eastAsia="Times New Roman" w:cs="Times New Roman"/>
                <w:i/>
                <w:iCs/>
                <w:color w:val="000000"/>
                <w:sz w:val="16"/>
                <w:szCs w:val="16"/>
                <w:lang w:val="en-GB" w:eastAsia="zh-CN"/>
              </w:rPr>
              <w:t>df1</w:t>
            </w:r>
            <w:r w:rsidRPr="00F30B53">
              <w:rPr>
                <w:rFonts w:eastAsia="Times New Roman" w:cs="Times New Roman"/>
                <w:color w:val="000000"/>
                <w:sz w:val="16"/>
                <w:szCs w:val="16"/>
                <w:lang w:val="en-GB" w:eastAsia="zh-CN"/>
              </w:rPr>
              <w:t xml:space="preserve">, </w:t>
            </w:r>
            <w:r w:rsidRPr="00F30B53">
              <w:rPr>
                <w:rFonts w:eastAsia="Times New Roman" w:cs="Times New Roman"/>
                <w:i/>
                <w:iCs/>
                <w:color w:val="000000"/>
                <w:sz w:val="16"/>
                <w:szCs w:val="16"/>
                <w:lang w:val="en-GB" w:eastAsia="zh-CN"/>
              </w:rPr>
              <w:t>df2</w:t>
            </w:r>
            <w:r w:rsidRPr="00F30B53">
              <w:rPr>
                <w:rFonts w:eastAsia="Times New Roman" w:cs="Times New Roman"/>
                <w:color w:val="000000"/>
                <w:sz w:val="16"/>
                <w:szCs w:val="16"/>
                <w:lang w:val="en-GB" w:eastAsia="zh-CN"/>
              </w:rPr>
              <w:t>)</w:t>
            </w:r>
          </w:p>
        </w:tc>
        <w:tc>
          <w:tcPr>
            <w:tcW w:w="0" w:type="auto"/>
            <w:gridSpan w:val="3"/>
            <w:tcBorders>
              <w:top w:val="nil"/>
              <w:left w:val="nil"/>
              <w:bottom w:val="nil"/>
              <w:right w:val="nil"/>
            </w:tcBorders>
            <w:shd w:val="clear" w:color="auto" w:fill="auto"/>
            <w:noWrap/>
            <w:vAlign w:val="center"/>
            <w:hideMark/>
          </w:tcPr>
          <w:p w14:paraId="0C3ABC6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12.09 (31, 2308)*</w:t>
            </w:r>
          </w:p>
        </w:tc>
        <w:tc>
          <w:tcPr>
            <w:tcW w:w="0" w:type="auto"/>
            <w:gridSpan w:val="3"/>
            <w:tcBorders>
              <w:top w:val="nil"/>
              <w:left w:val="nil"/>
              <w:bottom w:val="nil"/>
              <w:right w:val="nil"/>
            </w:tcBorders>
            <w:shd w:val="clear" w:color="auto" w:fill="auto"/>
            <w:noWrap/>
            <w:vAlign w:val="center"/>
            <w:hideMark/>
          </w:tcPr>
          <w:p w14:paraId="4459B9F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6.75 (37, 1448)*</w:t>
            </w:r>
          </w:p>
        </w:tc>
        <w:tc>
          <w:tcPr>
            <w:tcW w:w="0" w:type="auto"/>
            <w:gridSpan w:val="3"/>
            <w:tcBorders>
              <w:top w:val="nil"/>
              <w:left w:val="nil"/>
              <w:bottom w:val="nil"/>
              <w:right w:val="nil"/>
            </w:tcBorders>
            <w:shd w:val="clear" w:color="auto" w:fill="auto"/>
            <w:noWrap/>
            <w:vAlign w:val="bottom"/>
            <w:hideMark/>
          </w:tcPr>
          <w:p w14:paraId="413F312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10.58 (36, 2303)*</w:t>
            </w:r>
          </w:p>
        </w:tc>
      </w:tr>
      <w:tr w:rsidR="00F30B53" w:rsidRPr="00F30B53" w14:paraId="6433A7E5" w14:textId="77777777" w:rsidTr="00F30B53">
        <w:trPr>
          <w:trHeight w:val="245"/>
        </w:trPr>
        <w:tc>
          <w:tcPr>
            <w:tcW w:w="0" w:type="auto"/>
            <w:tcBorders>
              <w:top w:val="nil"/>
              <w:left w:val="nil"/>
              <w:bottom w:val="nil"/>
              <w:right w:val="nil"/>
            </w:tcBorders>
            <w:shd w:val="clear" w:color="auto" w:fill="auto"/>
            <w:noWrap/>
            <w:vAlign w:val="bottom"/>
            <w:hideMark/>
          </w:tcPr>
          <w:p w14:paraId="586AB464"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τ</w:t>
            </w:r>
            <w:r w:rsidRPr="00F30B53">
              <w:rPr>
                <w:rFonts w:eastAsia="Times New Roman" w:cs="Times New Roman"/>
                <w:color w:val="000000"/>
                <w:sz w:val="16"/>
                <w:szCs w:val="16"/>
                <w:vertAlign w:val="superscript"/>
                <w:lang w:val="en-GB" w:eastAsia="zh-CN"/>
              </w:rPr>
              <w:t>2</w:t>
            </w:r>
          </w:p>
        </w:tc>
        <w:tc>
          <w:tcPr>
            <w:tcW w:w="0" w:type="auto"/>
            <w:gridSpan w:val="3"/>
            <w:tcBorders>
              <w:top w:val="nil"/>
              <w:left w:val="nil"/>
              <w:bottom w:val="nil"/>
              <w:right w:val="nil"/>
            </w:tcBorders>
            <w:shd w:val="clear" w:color="auto" w:fill="auto"/>
            <w:noWrap/>
            <w:vAlign w:val="center"/>
            <w:hideMark/>
          </w:tcPr>
          <w:p w14:paraId="10974689"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0.45</w:t>
            </w:r>
          </w:p>
        </w:tc>
        <w:tc>
          <w:tcPr>
            <w:tcW w:w="0" w:type="auto"/>
            <w:gridSpan w:val="3"/>
            <w:tcBorders>
              <w:top w:val="nil"/>
              <w:left w:val="nil"/>
              <w:bottom w:val="nil"/>
              <w:right w:val="nil"/>
            </w:tcBorders>
            <w:shd w:val="clear" w:color="auto" w:fill="auto"/>
            <w:noWrap/>
            <w:vAlign w:val="center"/>
            <w:hideMark/>
          </w:tcPr>
          <w:p w14:paraId="16799FF5"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0.47</w:t>
            </w:r>
          </w:p>
        </w:tc>
        <w:tc>
          <w:tcPr>
            <w:tcW w:w="0" w:type="auto"/>
            <w:gridSpan w:val="3"/>
            <w:tcBorders>
              <w:top w:val="nil"/>
              <w:left w:val="nil"/>
              <w:bottom w:val="nil"/>
              <w:right w:val="nil"/>
            </w:tcBorders>
            <w:shd w:val="clear" w:color="auto" w:fill="auto"/>
            <w:noWrap/>
            <w:vAlign w:val="bottom"/>
            <w:hideMark/>
          </w:tcPr>
          <w:p w14:paraId="52FA3798"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0.45</w:t>
            </w:r>
          </w:p>
        </w:tc>
      </w:tr>
      <w:tr w:rsidR="00F30B53" w:rsidRPr="00F30B53" w14:paraId="180DBE30" w14:textId="77777777" w:rsidTr="00F30B53">
        <w:trPr>
          <w:trHeight w:val="240"/>
        </w:trPr>
        <w:tc>
          <w:tcPr>
            <w:tcW w:w="0" w:type="auto"/>
            <w:tcBorders>
              <w:top w:val="nil"/>
              <w:left w:val="nil"/>
              <w:bottom w:val="nil"/>
              <w:right w:val="nil"/>
            </w:tcBorders>
            <w:shd w:val="clear" w:color="auto" w:fill="auto"/>
            <w:noWrap/>
            <w:vAlign w:val="bottom"/>
            <w:hideMark/>
          </w:tcPr>
          <w:p w14:paraId="2CBCE8B0"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i/>
                <w:iCs/>
                <w:color w:val="000000"/>
                <w:sz w:val="16"/>
                <w:szCs w:val="16"/>
                <w:lang w:val="en-GB" w:eastAsia="zh-CN"/>
              </w:rPr>
              <w:t>I</w:t>
            </w:r>
            <w:r w:rsidRPr="00F30B53">
              <w:rPr>
                <w:rFonts w:eastAsia="Times New Roman" w:cs="Times New Roman"/>
                <w:i/>
                <w:iCs/>
                <w:color w:val="000000"/>
                <w:sz w:val="16"/>
                <w:szCs w:val="16"/>
                <w:vertAlign w:val="superscript"/>
                <w:lang w:val="en-GB" w:eastAsia="zh-CN"/>
              </w:rPr>
              <w:t>2</w:t>
            </w:r>
            <w:r w:rsidRPr="00F30B53">
              <w:rPr>
                <w:rFonts w:eastAsia="Times New Roman" w:cs="Times New Roman"/>
                <w:color w:val="000000"/>
                <w:sz w:val="16"/>
                <w:szCs w:val="16"/>
                <w:lang w:val="en-GB" w:eastAsia="zh-CN"/>
              </w:rPr>
              <w:t>: between-study level (%)</w:t>
            </w:r>
          </w:p>
        </w:tc>
        <w:tc>
          <w:tcPr>
            <w:tcW w:w="0" w:type="auto"/>
            <w:gridSpan w:val="3"/>
            <w:tcBorders>
              <w:top w:val="nil"/>
              <w:left w:val="nil"/>
              <w:bottom w:val="nil"/>
              <w:right w:val="nil"/>
            </w:tcBorders>
            <w:shd w:val="clear" w:color="auto" w:fill="auto"/>
            <w:noWrap/>
            <w:vAlign w:val="center"/>
            <w:hideMark/>
          </w:tcPr>
          <w:p w14:paraId="66378260"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53.58</w:t>
            </w:r>
          </w:p>
        </w:tc>
        <w:tc>
          <w:tcPr>
            <w:tcW w:w="0" w:type="auto"/>
            <w:gridSpan w:val="3"/>
            <w:tcBorders>
              <w:top w:val="nil"/>
              <w:left w:val="nil"/>
              <w:bottom w:val="nil"/>
              <w:right w:val="nil"/>
            </w:tcBorders>
            <w:shd w:val="clear" w:color="auto" w:fill="auto"/>
            <w:noWrap/>
            <w:vAlign w:val="center"/>
            <w:hideMark/>
          </w:tcPr>
          <w:p w14:paraId="7A917FE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50.08</w:t>
            </w:r>
          </w:p>
        </w:tc>
        <w:tc>
          <w:tcPr>
            <w:tcW w:w="0" w:type="auto"/>
            <w:gridSpan w:val="3"/>
            <w:tcBorders>
              <w:top w:val="nil"/>
              <w:left w:val="nil"/>
              <w:bottom w:val="nil"/>
              <w:right w:val="nil"/>
            </w:tcBorders>
            <w:shd w:val="clear" w:color="auto" w:fill="auto"/>
            <w:noWrap/>
            <w:vAlign w:val="bottom"/>
            <w:hideMark/>
          </w:tcPr>
          <w:p w14:paraId="3AE5AC3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53.71</w:t>
            </w:r>
          </w:p>
        </w:tc>
      </w:tr>
      <w:tr w:rsidR="00F30B53" w:rsidRPr="00F30B53" w14:paraId="4EEFBBDD" w14:textId="77777777" w:rsidTr="00F30B53">
        <w:trPr>
          <w:trHeight w:val="240"/>
        </w:trPr>
        <w:tc>
          <w:tcPr>
            <w:tcW w:w="0" w:type="auto"/>
            <w:tcBorders>
              <w:top w:val="nil"/>
              <w:left w:val="nil"/>
              <w:bottom w:val="nil"/>
              <w:right w:val="nil"/>
            </w:tcBorders>
            <w:shd w:val="clear" w:color="auto" w:fill="auto"/>
            <w:noWrap/>
            <w:vAlign w:val="bottom"/>
            <w:hideMark/>
          </w:tcPr>
          <w:p w14:paraId="6245EDFC"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i/>
                <w:iCs/>
                <w:color w:val="000000"/>
                <w:sz w:val="16"/>
                <w:szCs w:val="16"/>
                <w:lang w:val="en-GB" w:eastAsia="zh-CN"/>
              </w:rPr>
              <w:t>I</w:t>
            </w:r>
            <w:r w:rsidRPr="00F30B53">
              <w:rPr>
                <w:rFonts w:eastAsia="Times New Roman" w:cs="Times New Roman"/>
                <w:i/>
                <w:iCs/>
                <w:color w:val="000000"/>
                <w:sz w:val="16"/>
                <w:szCs w:val="16"/>
                <w:vertAlign w:val="superscript"/>
                <w:lang w:val="en-GB" w:eastAsia="zh-CN"/>
              </w:rPr>
              <w:t>2</w:t>
            </w:r>
            <w:r w:rsidRPr="00F30B53">
              <w:rPr>
                <w:rFonts w:eastAsia="Times New Roman" w:cs="Times New Roman"/>
                <w:color w:val="000000"/>
                <w:sz w:val="16"/>
                <w:szCs w:val="16"/>
                <w:lang w:val="en-GB" w:eastAsia="zh-CN"/>
              </w:rPr>
              <w:t>: within-study level (%)</w:t>
            </w:r>
          </w:p>
        </w:tc>
        <w:tc>
          <w:tcPr>
            <w:tcW w:w="0" w:type="auto"/>
            <w:gridSpan w:val="3"/>
            <w:tcBorders>
              <w:top w:val="nil"/>
              <w:left w:val="nil"/>
              <w:bottom w:val="nil"/>
              <w:right w:val="nil"/>
            </w:tcBorders>
            <w:shd w:val="clear" w:color="auto" w:fill="auto"/>
            <w:noWrap/>
            <w:vAlign w:val="center"/>
            <w:hideMark/>
          </w:tcPr>
          <w:p w14:paraId="2FC7BF61"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43.69</w:t>
            </w:r>
          </w:p>
        </w:tc>
        <w:tc>
          <w:tcPr>
            <w:tcW w:w="0" w:type="auto"/>
            <w:gridSpan w:val="3"/>
            <w:tcBorders>
              <w:top w:val="nil"/>
              <w:left w:val="nil"/>
              <w:bottom w:val="nil"/>
              <w:right w:val="nil"/>
            </w:tcBorders>
            <w:shd w:val="clear" w:color="auto" w:fill="auto"/>
            <w:noWrap/>
            <w:vAlign w:val="center"/>
            <w:hideMark/>
          </w:tcPr>
          <w:p w14:paraId="1D05B61F"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48.16</w:t>
            </w:r>
          </w:p>
        </w:tc>
        <w:tc>
          <w:tcPr>
            <w:tcW w:w="0" w:type="auto"/>
            <w:gridSpan w:val="3"/>
            <w:tcBorders>
              <w:top w:val="nil"/>
              <w:left w:val="nil"/>
              <w:bottom w:val="nil"/>
              <w:right w:val="nil"/>
            </w:tcBorders>
            <w:shd w:val="clear" w:color="auto" w:fill="auto"/>
            <w:noWrap/>
            <w:vAlign w:val="bottom"/>
            <w:hideMark/>
          </w:tcPr>
          <w:p w14:paraId="7F287A7B"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43.57</w:t>
            </w:r>
          </w:p>
        </w:tc>
      </w:tr>
      <w:tr w:rsidR="00F30B53" w:rsidRPr="00F30B53" w14:paraId="4D7EB86D" w14:textId="77777777" w:rsidTr="00F30B53">
        <w:trPr>
          <w:trHeight w:val="240"/>
        </w:trPr>
        <w:tc>
          <w:tcPr>
            <w:tcW w:w="0" w:type="auto"/>
            <w:tcBorders>
              <w:top w:val="nil"/>
              <w:left w:val="nil"/>
              <w:bottom w:val="single" w:sz="4" w:space="0" w:color="auto"/>
              <w:right w:val="nil"/>
            </w:tcBorders>
            <w:shd w:val="clear" w:color="auto" w:fill="auto"/>
            <w:noWrap/>
            <w:vAlign w:val="bottom"/>
            <w:hideMark/>
          </w:tcPr>
          <w:p w14:paraId="5E06FECD" w14:textId="77777777" w:rsidR="00F30B53" w:rsidRPr="00F30B53" w:rsidRDefault="00F30B53" w:rsidP="00F30B53">
            <w:pPr>
              <w:spacing w:line="240" w:lineRule="auto"/>
              <w:ind w:firstLineChars="200" w:firstLine="320"/>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 xml:space="preserve">pseudo </w:t>
            </w:r>
            <w:r w:rsidRPr="00F30B53">
              <w:rPr>
                <w:rFonts w:eastAsia="Times New Roman" w:cs="Times New Roman"/>
                <w:i/>
                <w:iCs/>
                <w:color w:val="000000"/>
                <w:sz w:val="16"/>
                <w:szCs w:val="16"/>
                <w:lang w:val="en-GB" w:eastAsia="zh-CN"/>
              </w:rPr>
              <w:t>R</w:t>
            </w:r>
            <w:r w:rsidRPr="00F30B53">
              <w:rPr>
                <w:rFonts w:eastAsia="Times New Roman" w:cs="Times New Roman"/>
                <w:i/>
                <w:iCs/>
                <w:color w:val="000000"/>
                <w:sz w:val="16"/>
                <w:szCs w:val="16"/>
                <w:vertAlign w:val="superscript"/>
                <w:lang w:val="en-GB" w:eastAsia="zh-CN"/>
              </w:rPr>
              <w:t>2</w:t>
            </w:r>
          </w:p>
        </w:tc>
        <w:tc>
          <w:tcPr>
            <w:tcW w:w="0" w:type="auto"/>
            <w:gridSpan w:val="3"/>
            <w:tcBorders>
              <w:top w:val="nil"/>
              <w:left w:val="nil"/>
              <w:bottom w:val="single" w:sz="4" w:space="0" w:color="auto"/>
              <w:right w:val="nil"/>
            </w:tcBorders>
            <w:shd w:val="clear" w:color="auto" w:fill="auto"/>
            <w:noWrap/>
            <w:vAlign w:val="center"/>
            <w:hideMark/>
          </w:tcPr>
          <w:p w14:paraId="4D69DF6E"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0.1054</w:t>
            </w:r>
          </w:p>
        </w:tc>
        <w:tc>
          <w:tcPr>
            <w:tcW w:w="0" w:type="auto"/>
            <w:gridSpan w:val="3"/>
            <w:tcBorders>
              <w:top w:val="nil"/>
              <w:left w:val="nil"/>
              <w:bottom w:val="single" w:sz="4" w:space="0" w:color="auto"/>
              <w:right w:val="nil"/>
            </w:tcBorders>
            <w:shd w:val="clear" w:color="auto" w:fill="auto"/>
            <w:noWrap/>
            <w:vAlign w:val="center"/>
            <w:hideMark/>
          </w:tcPr>
          <w:p w14:paraId="71AD5A72"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0.1115</w:t>
            </w:r>
          </w:p>
        </w:tc>
        <w:tc>
          <w:tcPr>
            <w:tcW w:w="0" w:type="auto"/>
            <w:gridSpan w:val="3"/>
            <w:tcBorders>
              <w:top w:val="nil"/>
              <w:left w:val="nil"/>
              <w:bottom w:val="single" w:sz="4" w:space="0" w:color="auto"/>
              <w:right w:val="nil"/>
            </w:tcBorders>
            <w:shd w:val="clear" w:color="auto" w:fill="auto"/>
            <w:noWrap/>
            <w:vAlign w:val="bottom"/>
            <w:hideMark/>
          </w:tcPr>
          <w:p w14:paraId="2273BF4D" w14:textId="77777777" w:rsidR="00F30B53" w:rsidRPr="00F30B53" w:rsidRDefault="00F30B53" w:rsidP="00F30B53">
            <w:pPr>
              <w:spacing w:line="240" w:lineRule="auto"/>
              <w:jc w:val="center"/>
              <w:rPr>
                <w:rFonts w:eastAsia="Times New Roman" w:cs="Times New Roman"/>
                <w:color w:val="000000"/>
                <w:sz w:val="16"/>
                <w:szCs w:val="16"/>
                <w:lang w:val="en-GB" w:eastAsia="zh-CN"/>
              </w:rPr>
            </w:pPr>
            <w:r w:rsidRPr="00F30B53">
              <w:rPr>
                <w:rFonts w:eastAsia="Times New Roman" w:cs="Times New Roman"/>
                <w:color w:val="000000"/>
                <w:sz w:val="16"/>
                <w:szCs w:val="16"/>
                <w:lang w:val="en-GB" w:eastAsia="zh-CN"/>
              </w:rPr>
              <w:t>0.1054</w:t>
            </w:r>
          </w:p>
        </w:tc>
      </w:tr>
    </w:tbl>
    <w:p w14:paraId="5FD1DF0B" w14:textId="4C4F1420" w:rsidR="00FE3401" w:rsidRPr="003A247E" w:rsidRDefault="00FE3401" w:rsidP="00CD0784">
      <w:pPr>
        <w:spacing w:line="240" w:lineRule="auto"/>
        <w:rPr>
          <w:rFonts w:cs="Times New Roman"/>
        </w:rPr>
      </w:pPr>
      <w:r w:rsidRPr="005A7088">
        <w:rPr>
          <w:rFonts w:cs="Times New Roman"/>
          <w:i/>
        </w:rPr>
        <w:t>Note.</w:t>
      </w:r>
      <w:r w:rsidRPr="005A7088">
        <w:rPr>
          <w:rFonts w:cs="Times New Roman"/>
        </w:rPr>
        <w:t xml:space="preserve"> </w:t>
      </w:r>
      <w:r w:rsidR="004E65AE">
        <w:rPr>
          <w:rFonts w:cs="Times New Roman"/>
        </w:rPr>
        <w:t>K index, g</w:t>
      </w:r>
      <w:r w:rsidRPr="003A247E">
        <w:rPr>
          <w:rFonts w:cs="Times New Roman"/>
        </w:rPr>
        <w:t xml:space="preserve">roup size, age, gender and year of data collection are continuous variables, others are dummy variables. The </w:t>
      </w:r>
      <w:r w:rsidR="004B190E">
        <w:rPr>
          <w:rFonts w:cs="Times New Roman"/>
        </w:rPr>
        <w:t>reference</w:t>
      </w:r>
      <w:r w:rsidR="004B190E" w:rsidRPr="003A247E">
        <w:rPr>
          <w:rFonts w:cs="Times New Roman"/>
        </w:rPr>
        <w:t xml:space="preserve"> </w:t>
      </w:r>
      <w:r w:rsidRPr="003A247E">
        <w:rPr>
          <w:rFonts w:cs="Times New Roman"/>
        </w:rPr>
        <w:t xml:space="preserve">group for </w:t>
      </w:r>
      <w:r w:rsidR="008E740D">
        <w:rPr>
          <w:rFonts w:cs="Times New Roman"/>
        </w:rPr>
        <w:t>p</w:t>
      </w:r>
      <w:r w:rsidR="008E740D" w:rsidRPr="008E740D">
        <w:rPr>
          <w:rFonts w:cs="Times New Roman"/>
        </w:rPr>
        <w:t>ublication status</w:t>
      </w:r>
      <w:r w:rsidRPr="003A247E">
        <w:rPr>
          <w:rFonts w:cs="Times New Roman"/>
        </w:rPr>
        <w:t xml:space="preserve">, sanction, </w:t>
      </w:r>
      <w:r w:rsidR="005503FA">
        <w:rPr>
          <w:rFonts w:cs="Times New Roman"/>
        </w:rPr>
        <w:t>communication</w:t>
      </w:r>
      <w:r w:rsidRPr="003A247E">
        <w:rPr>
          <w:rFonts w:cs="Times New Roman"/>
        </w:rPr>
        <w:t xml:space="preserve">, show up fee, game incentive, and deception was </w:t>
      </w:r>
      <w:r w:rsidR="0042110F">
        <w:rPr>
          <w:rFonts w:cs="Times New Roman"/>
        </w:rPr>
        <w:t>“n</w:t>
      </w:r>
      <w:r w:rsidRPr="003A247E">
        <w:rPr>
          <w:rFonts w:cs="Times New Roman"/>
        </w:rPr>
        <w:t>o</w:t>
      </w:r>
      <w:r w:rsidR="0042110F">
        <w:rPr>
          <w:rFonts w:cs="Times New Roman"/>
        </w:rPr>
        <w:t>”</w:t>
      </w:r>
      <w:r w:rsidRPr="003A247E">
        <w:rPr>
          <w:rFonts w:cs="Times New Roman"/>
        </w:rPr>
        <w:t xml:space="preserve">, for choice type was </w:t>
      </w:r>
      <w:r w:rsidR="0042110F">
        <w:rPr>
          <w:rFonts w:cs="Times New Roman"/>
        </w:rPr>
        <w:t>“</w:t>
      </w:r>
      <w:r w:rsidRPr="003A247E">
        <w:rPr>
          <w:rFonts w:cs="Times New Roman"/>
        </w:rPr>
        <w:t>dichotomous</w:t>
      </w:r>
      <w:r w:rsidR="0042110F">
        <w:rPr>
          <w:rFonts w:cs="Times New Roman"/>
        </w:rPr>
        <w:t>”</w:t>
      </w:r>
      <w:r w:rsidRPr="003A247E">
        <w:rPr>
          <w:rFonts w:cs="Times New Roman"/>
        </w:rPr>
        <w:t xml:space="preserve">, for experimental setting was </w:t>
      </w:r>
      <w:r w:rsidR="0042110F">
        <w:rPr>
          <w:rFonts w:cs="Times New Roman"/>
        </w:rPr>
        <w:t>“</w:t>
      </w:r>
      <w:r w:rsidRPr="003A247E">
        <w:rPr>
          <w:rFonts w:cs="Times New Roman"/>
        </w:rPr>
        <w:t>lab</w:t>
      </w:r>
      <w:r w:rsidR="0042110F">
        <w:rPr>
          <w:rFonts w:cs="Times New Roman"/>
        </w:rPr>
        <w:t>”</w:t>
      </w:r>
      <w:r w:rsidRPr="003A247E">
        <w:rPr>
          <w:rFonts w:cs="Times New Roman"/>
        </w:rPr>
        <w:t xml:space="preserve">, for trial of cooperation was </w:t>
      </w:r>
      <w:r w:rsidR="0042110F">
        <w:rPr>
          <w:rFonts w:cs="Times New Roman"/>
        </w:rPr>
        <w:t>“</w:t>
      </w:r>
      <w:r w:rsidRPr="003A247E">
        <w:rPr>
          <w:rFonts w:cs="Times New Roman"/>
        </w:rPr>
        <w:t>all</w:t>
      </w:r>
      <w:r w:rsidR="0042110F">
        <w:rPr>
          <w:rFonts w:cs="Times New Roman"/>
        </w:rPr>
        <w:t>”</w:t>
      </w:r>
      <w:r w:rsidRPr="003A247E">
        <w:rPr>
          <w:rFonts w:cs="Times New Roman"/>
        </w:rPr>
        <w:t>, for discipline wa</w:t>
      </w:r>
      <w:r>
        <w:rPr>
          <w:rFonts w:cs="Times New Roman"/>
        </w:rPr>
        <w:t xml:space="preserve">s </w:t>
      </w:r>
      <w:r w:rsidR="0042110F">
        <w:rPr>
          <w:rFonts w:cs="Times New Roman"/>
        </w:rPr>
        <w:t>“</w:t>
      </w:r>
      <w:r>
        <w:rPr>
          <w:rFonts w:cs="Times New Roman"/>
        </w:rPr>
        <w:t>economics</w:t>
      </w:r>
      <w:r w:rsidR="0042110F">
        <w:rPr>
          <w:rFonts w:cs="Times New Roman"/>
        </w:rPr>
        <w:t>”</w:t>
      </w:r>
      <w:r w:rsidRPr="003A247E">
        <w:rPr>
          <w:rFonts w:cs="Times New Roman"/>
        </w:rPr>
        <w:t xml:space="preserve">, </w:t>
      </w:r>
      <w:r>
        <w:rPr>
          <w:rFonts w:cs="Times New Roman"/>
        </w:rPr>
        <w:t xml:space="preserve">for conflict of interests was </w:t>
      </w:r>
      <w:r w:rsidR="0042110F">
        <w:rPr>
          <w:rFonts w:cs="Times New Roman"/>
        </w:rPr>
        <w:t>“</w:t>
      </w:r>
      <w:r>
        <w:rPr>
          <w:rFonts w:cs="Times New Roman"/>
        </w:rPr>
        <w:t>continuous PGD</w:t>
      </w:r>
      <w:r w:rsidR="0042110F">
        <w:rPr>
          <w:rFonts w:cs="Times New Roman"/>
        </w:rPr>
        <w:t>”</w:t>
      </w:r>
      <w:r>
        <w:rPr>
          <w:rFonts w:cs="Times New Roman"/>
        </w:rPr>
        <w:t xml:space="preserve">, </w:t>
      </w:r>
      <w:r w:rsidRPr="003A247E">
        <w:rPr>
          <w:rFonts w:cs="Times New Roman"/>
        </w:rPr>
        <w:t xml:space="preserve">for </w:t>
      </w:r>
      <w:r w:rsidR="00C96099">
        <w:rPr>
          <w:rFonts w:cs="Times New Roman"/>
        </w:rPr>
        <w:t>matching design</w:t>
      </w:r>
      <w:r w:rsidRPr="003A247E">
        <w:rPr>
          <w:rFonts w:cs="Times New Roman"/>
        </w:rPr>
        <w:t xml:space="preserve"> was </w:t>
      </w:r>
      <w:r w:rsidR="0042110F">
        <w:rPr>
          <w:rFonts w:cs="Times New Roman"/>
        </w:rPr>
        <w:t>“</w:t>
      </w:r>
      <w:r w:rsidR="00C96099">
        <w:rPr>
          <w:rFonts w:cs="Times New Roman"/>
        </w:rPr>
        <w:t>stranger-matching</w:t>
      </w:r>
      <w:r w:rsidR="0042110F">
        <w:rPr>
          <w:rFonts w:cs="Times New Roman"/>
        </w:rPr>
        <w:t>”</w:t>
      </w:r>
      <w:r w:rsidRPr="003A247E">
        <w:rPr>
          <w:rFonts w:cs="Times New Roman"/>
        </w:rPr>
        <w:t xml:space="preserve">, for symmetry was </w:t>
      </w:r>
      <w:r w:rsidR="0042110F">
        <w:rPr>
          <w:rFonts w:cs="Times New Roman"/>
        </w:rPr>
        <w:t>“</w:t>
      </w:r>
      <w:r w:rsidRPr="003A247E">
        <w:rPr>
          <w:rFonts w:cs="Times New Roman"/>
        </w:rPr>
        <w:t>asymmetric</w:t>
      </w:r>
      <w:r w:rsidR="0042110F">
        <w:rPr>
          <w:rFonts w:cs="Times New Roman"/>
        </w:rPr>
        <w:t>”</w:t>
      </w:r>
      <w:r w:rsidRPr="003A247E">
        <w:rPr>
          <w:rFonts w:cs="Times New Roman"/>
        </w:rPr>
        <w:t xml:space="preserve">, for </w:t>
      </w:r>
      <w:proofErr w:type="spellStart"/>
      <w:r w:rsidRPr="003A247E">
        <w:rPr>
          <w:rFonts w:cs="Times New Roman"/>
        </w:rPr>
        <w:t>sequentiality</w:t>
      </w:r>
      <w:proofErr w:type="spellEnd"/>
      <w:r w:rsidRPr="003A247E">
        <w:rPr>
          <w:rFonts w:cs="Times New Roman"/>
        </w:rPr>
        <w:t xml:space="preserve"> was </w:t>
      </w:r>
      <w:r w:rsidR="0042110F">
        <w:rPr>
          <w:rFonts w:cs="Times New Roman"/>
        </w:rPr>
        <w:t>“</w:t>
      </w:r>
      <w:r w:rsidRPr="003A247E">
        <w:rPr>
          <w:rFonts w:cs="Times New Roman"/>
        </w:rPr>
        <w:t>sequenti</w:t>
      </w:r>
      <w:r>
        <w:rPr>
          <w:rFonts w:cs="Times New Roman" w:hint="eastAsia"/>
        </w:rPr>
        <w:t>al</w:t>
      </w:r>
      <w:r w:rsidR="0042110F">
        <w:rPr>
          <w:rFonts w:cs="Times New Roman"/>
        </w:rPr>
        <w:t>”</w:t>
      </w:r>
      <w:r>
        <w:rPr>
          <w:rFonts w:cs="Times New Roman"/>
        </w:rPr>
        <w:t>.</w:t>
      </w:r>
    </w:p>
    <w:p w14:paraId="3413DAC4" w14:textId="73E04F75" w:rsidR="00404DAD" w:rsidRDefault="00FE3401" w:rsidP="00404DAD">
      <w:pPr>
        <w:spacing w:line="240" w:lineRule="auto"/>
        <w:rPr>
          <w:rFonts w:cs="Times New Roman"/>
        </w:rPr>
        <w:sectPr w:rsidR="00404DAD" w:rsidSect="00F63796">
          <w:pgSz w:w="15840" w:h="12240" w:orient="landscape"/>
          <w:pgMar w:top="1440" w:right="1440" w:bottom="1440" w:left="1440" w:header="708" w:footer="708" w:gutter="0"/>
          <w:cols w:space="708"/>
          <w:docGrid w:linePitch="326"/>
        </w:sectPr>
      </w:pPr>
      <w:r w:rsidRPr="00785660">
        <w:rPr>
          <w:rFonts w:cs="Times New Roman"/>
        </w:rPr>
        <w:t xml:space="preserve">* </w:t>
      </w:r>
      <w:r w:rsidRPr="00B14319">
        <w:rPr>
          <w:rFonts w:cs="Times New Roman"/>
          <w:i/>
        </w:rPr>
        <w:t>p</w:t>
      </w:r>
      <w:r w:rsidRPr="00785660">
        <w:rPr>
          <w:rFonts w:cs="Times New Roman"/>
        </w:rPr>
        <w:t xml:space="preserve"> &lt; .05</w:t>
      </w:r>
    </w:p>
    <w:p w14:paraId="64C21117" w14:textId="6D5DEDF2" w:rsidR="00862B88" w:rsidRPr="00404DAD" w:rsidRDefault="00862B88" w:rsidP="00404DAD">
      <w:pPr>
        <w:spacing w:after="160" w:line="259" w:lineRule="auto"/>
        <w:rPr>
          <w:rFonts w:cs="Times New Roman"/>
        </w:rPr>
      </w:pPr>
      <w:r>
        <w:rPr>
          <w:rFonts w:eastAsiaTheme="minorEastAsia" w:cs="Times New Roman"/>
          <w:b/>
          <w:szCs w:val="22"/>
          <w:lang w:eastAsia="zh-CN"/>
        </w:rPr>
        <w:lastRenderedPageBreak/>
        <w:t>Table S</w:t>
      </w:r>
      <w:r w:rsidR="000555C4">
        <w:rPr>
          <w:rFonts w:eastAsiaTheme="minorEastAsia" w:cs="Times New Roman"/>
          <w:b/>
          <w:szCs w:val="22"/>
          <w:lang w:eastAsia="zh-CN"/>
        </w:rPr>
        <w:t>7-2</w:t>
      </w:r>
    </w:p>
    <w:p w14:paraId="51EA4622" w14:textId="597AF416" w:rsidR="00404DAD" w:rsidRDefault="00862B88" w:rsidP="009B7F5D">
      <w:pPr>
        <w:rPr>
          <w:rFonts w:eastAsiaTheme="minorEastAsia" w:cs="Times New Roman"/>
          <w:i/>
          <w:szCs w:val="22"/>
          <w:lang w:eastAsia="zh-CN"/>
        </w:rPr>
      </w:pPr>
      <w:r w:rsidRPr="00172421">
        <w:rPr>
          <w:rFonts w:eastAsiaTheme="minorEastAsia" w:cs="Times New Roman"/>
          <w:i/>
          <w:szCs w:val="22"/>
          <w:lang w:eastAsia="zh-CN"/>
        </w:rPr>
        <w:t>Summary of Meta-</w:t>
      </w:r>
      <w:r>
        <w:rPr>
          <w:rFonts w:eastAsiaTheme="minorEastAsia" w:cs="Times New Roman"/>
          <w:i/>
          <w:szCs w:val="22"/>
          <w:lang w:eastAsia="zh-CN"/>
        </w:rPr>
        <w:t>R</w:t>
      </w:r>
      <w:r w:rsidRPr="00172421">
        <w:rPr>
          <w:rFonts w:eastAsiaTheme="minorEastAsia" w:cs="Times New Roman"/>
          <w:i/>
          <w:szCs w:val="22"/>
          <w:lang w:eastAsia="zh-CN"/>
        </w:rPr>
        <w:t>egression Results in Additional Analyses</w:t>
      </w:r>
      <w:r>
        <w:rPr>
          <w:rFonts w:eastAsiaTheme="minorEastAsia" w:cs="Times New Roman"/>
          <w:i/>
          <w:szCs w:val="22"/>
          <w:lang w:eastAsia="zh-CN"/>
        </w:rPr>
        <w:t xml:space="preserve"> (Study 1)</w:t>
      </w:r>
      <w:bookmarkStart w:id="33" w:name="_Toc61988290"/>
    </w:p>
    <w:tbl>
      <w:tblPr>
        <w:tblW w:w="0" w:type="auto"/>
        <w:tblLook w:val="04A0" w:firstRow="1" w:lastRow="0" w:firstColumn="1" w:lastColumn="0" w:noHBand="0" w:noVBand="1"/>
      </w:tblPr>
      <w:tblGrid>
        <w:gridCol w:w="3700"/>
        <w:gridCol w:w="656"/>
        <w:gridCol w:w="576"/>
        <w:gridCol w:w="1203"/>
        <w:gridCol w:w="656"/>
        <w:gridCol w:w="576"/>
        <w:gridCol w:w="1203"/>
      </w:tblGrid>
      <w:tr w:rsidR="0017678B" w:rsidRPr="0017678B" w14:paraId="0D0118C5" w14:textId="77777777" w:rsidTr="00D24263">
        <w:trPr>
          <w:trHeight w:val="225"/>
        </w:trPr>
        <w:tc>
          <w:tcPr>
            <w:tcW w:w="0" w:type="auto"/>
            <w:vMerge w:val="restart"/>
            <w:tcBorders>
              <w:top w:val="single" w:sz="4" w:space="0" w:color="auto"/>
              <w:left w:val="nil"/>
              <w:bottom w:val="single" w:sz="4" w:space="0" w:color="000000"/>
              <w:right w:val="nil"/>
            </w:tcBorders>
            <w:shd w:val="clear" w:color="auto" w:fill="auto"/>
            <w:noWrap/>
            <w:vAlign w:val="center"/>
            <w:hideMark/>
          </w:tcPr>
          <w:p w14:paraId="4A731BDD" w14:textId="77777777" w:rsidR="0017678B" w:rsidRPr="0017678B" w:rsidRDefault="0017678B" w:rsidP="0017678B">
            <w:pPr>
              <w:spacing w:line="240" w:lineRule="auto"/>
              <w:jc w:val="center"/>
              <w:rPr>
                <w:rFonts w:eastAsia="Times New Roman" w:cs="Times New Roman"/>
                <w:b/>
                <w:bCs/>
                <w:color w:val="000000"/>
                <w:sz w:val="16"/>
                <w:szCs w:val="16"/>
                <w:lang w:val="en-GB" w:eastAsia="zh-CN"/>
              </w:rPr>
            </w:pPr>
            <w:r w:rsidRPr="0017678B">
              <w:rPr>
                <w:rFonts w:eastAsia="Times New Roman" w:cs="Times New Roman"/>
                <w:b/>
                <w:bCs/>
                <w:color w:val="000000"/>
                <w:sz w:val="16"/>
                <w:szCs w:val="16"/>
                <w:lang w:val="en-GB" w:eastAsia="zh-CN"/>
              </w:rPr>
              <w:t>Variables</w:t>
            </w:r>
          </w:p>
        </w:tc>
        <w:tc>
          <w:tcPr>
            <w:tcW w:w="0" w:type="auto"/>
            <w:gridSpan w:val="3"/>
            <w:tcBorders>
              <w:top w:val="single" w:sz="4" w:space="0" w:color="auto"/>
              <w:left w:val="nil"/>
              <w:bottom w:val="single" w:sz="4" w:space="0" w:color="auto"/>
              <w:right w:val="nil"/>
            </w:tcBorders>
            <w:shd w:val="clear" w:color="auto" w:fill="auto"/>
            <w:noWrap/>
            <w:vAlign w:val="center"/>
            <w:hideMark/>
          </w:tcPr>
          <w:p w14:paraId="3D00CB65" w14:textId="77777777" w:rsidR="0017678B" w:rsidRPr="0017678B" w:rsidRDefault="0017678B" w:rsidP="0017678B">
            <w:pPr>
              <w:spacing w:line="240" w:lineRule="auto"/>
              <w:jc w:val="center"/>
              <w:rPr>
                <w:rFonts w:eastAsia="Times New Roman" w:cs="Times New Roman"/>
                <w:b/>
                <w:bCs/>
                <w:color w:val="000000"/>
                <w:sz w:val="16"/>
                <w:szCs w:val="16"/>
                <w:lang w:val="en-GB" w:eastAsia="zh-CN"/>
              </w:rPr>
            </w:pPr>
            <w:r w:rsidRPr="0017678B">
              <w:rPr>
                <w:rFonts w:eastAsia="Times New Roman" w:cs="Times New Roman"/>
                <w:b/>
                <w:bCs/>
                <w:color w:val="000000"/>
                <w:sz w:val="16"/>
                <w:szCs w:val="16"/>
                <w:lang w:val="en-GB" w:eastAsia="zh-CN"/>
              </w:rPr>
              <w:t>Model 6</w:t>
            </w:r>
          </w:p>
        </w:tc>
        <w:tc>
          <w:tcPr>
            <w:tcW w:w="0" w:type="auto"/>
            <w:gridSpan w:val="3"/>
            <w:tcBorders>
              <w:top w:val="single" w:sz="4" w:space="0" w:color="auto"/>
              <w:left w:val="nil"/>
              <w:bottom w:val="single" w:sz="4" w:space="0" w:color="auto"/>
              <w:right w:val="nil"/>
            </w:tcBorders>
            <w:shd w:val="clear" w:color="auto" w:fill="auto"/>
            <w:noWrap/>
            <w:vAlign w:val="center"/>
            <w:hideMark/>
          </w:tcPr>
          <w:p w14:paraId="6287C0EC" w14:textId="77777777" w:rsidR="0017678B" w:rsidRPr="0017678B" w:rsidRDefault="0017678B" w:rsidP="0017678B">
            <w:pPr>
              <w:spacing w:line="240" w:lineRule="auto"/>
              <w:jc w:val="center"/>
              <w:rPr>
                <w:rFonts w:eastAsia="Times New Roman" w:cs="Times New Roman"/>
                <w:b/>
                <w:bCs/>
                <w:color w:val="000000"/>
                <w:sz w:val="16"/>
                <w:szCs w:val="16"/>
                <w:lang w:val="en-GB" w:eastAsia="zh-CN"/>
              </w:rPr>
            </w:pPr>
            <w:r w:rsidRPr="0017678B">
              <w:rPr>
                <w:rFonts w:eastAsia="Times New Roman" w:cs="Times New Roman"/>
                <w:b/>
                <w:bCs/>
                <w:color w:val="000000"/>
                <w:sz w:val="16"/>
                <w:szCs w:val="16"/>
                <w:lang w:val="en-GB" w:eastAsia="zh-CN"/>
              </w:rPr>
              <w:t>Model 7</w:t>
            </w:r>
          </w:p>
        </w:tc>
      </w:tr>
      <w:tr w:rsidR="0017678B" w:rsidRPr="0017678B" w14:paraId="7B058888" w14:textId="77777777" w:rsidTr="00D24263">
        <w:trPr>
          <w:trHeight w:val="225"/>
        </w:trPr>
        <w:tc>
          <w:tcPr>
            <w:tcW w:w="0" w:type="auto"/>
            <w:vMerge/>
            <w:tcBorders>
              <w:top w:val="single" w:sz="4" w:space="0" w:color="auto"/>
              <w:left w:val="nil"/>
              <w:bottom w:val="single" w:sz="4" w:space="0" w:color="000000"/>
              <w:right w:val="nil"/>
            </w:tcBorders>
            <w:vAlign w:val="center"/>
            <w:hideMark/>
          </w:tcPr>
          <w:p w14:paraId="7E1FFAC8" w14:textId="77777777" w:rsidR="0017678B" w:rsidRPr="0017678B" w:rsidRDefault="0017678B" w:rsidP="0017678B">
            <w:pPr>
              <w:spacing w:line="240" w:lineRule="auto"/>
              <w:rPr>
                <w:rFonts w:eastAsia="Times New Roman" w:cs="Times New Roman"/>
                <w:b/>
                <w:bCs/>
                <w:color w:val="000000"/>
                <w:sz w:val="16"/>
                <w:szCs w:val="16"/>
                <w:lang w:val="en-GB" w:eastAsia="zh-CN"/>
              </w:rPr>
            </w:pPr>
          </w:p>
        </w:tc>
        <w:tc>
          <w:tcPr>
            <w:tcW w:w="0" w:type="auto"/>
            <w:tcBorders>
              <w:top w:val="nil"/>
              <w:left w:val="nil"/>
              <w:bottom w:val="single" w:sz="4" w:space="0" w:color="auto"/>
              <w:right w:val="nil"/>
            </w:tcBorders>
            <w:shd w:val="clear" w:color="auto" w:fill="auto"/>
            <w:noWrap/>
            <w:vAlign w:val="center"/>
            <w:hideMark/>
          </w:tcPr>
          <w:p w14:paraId="2BE4B3DB" w14:textId="77777777" w:rsidR="0017678B" w:rsidRPr="0017678B" w:rsidRDefault="0017678B" w:rsidP="0017678B">
            <w:pPr>
              <w:spacing w:line="240" w:lineRule="auto"/>
              <w:jc w:val="center"/>
              <w:rPr>
                <w:rFonts w:eastAsia="Times New Roman" w:cs="Times New Roman"/>
                <w:b/>
                <w:bCs/>
                <w:i/>
                <w:iCs/>
                <w:color w:val="000000"/>
                <w:sz w:val="16"/>
                <w:szCs w:val="16"/>
                <w:lang w:val="en-GB" w:eastAsia="zh-CN"/>
              </w:rPr>
            </w:pPr>
            <w:r w:rsidRPr="0017678B">
              <w:rPr>
                <w:rFonts w:eastAsia="Times New Roman" w:cs="Times New Roman"/>
                <w:b/>
                <w:bCs/>
                <w:i/>
                <w:iCs/>
                <w:color w:val="000000"/>
                <w:sz w:val="16"/>
                <w:szCs w:val="16"/>
                <w:lang w:val="en-GB" w:eastAsia="zh-CN"/>
              </w:rPr>
              <w:t>b</w:t>
            </w:r>
          </w:p>
        </w:tc>
        <w:tc>
          <w:tcPr>
            <w:tcW w:w="0" w:type="auto"/>
            <w:tcBorders>
              <w:top w:val="nil"/>
              <w:left w:val="nil"/>
              <w:bottom w:val="single" w:sz="4" w:space="0" w:color="auto"/>
              <w:right w:val="nil"/>
            </w:tcBorders>
            <w:shd w:val="clear" w:color="auto" w:fill="auto"/>
            <w:noWrap/>
            <w:vAlign w:val="center"/>
            <w:hideMark/>
          </w:tcPr>
          <w:p w14:paraId="7FD4B34B" w14:textId="77777777" w:rsidR="0017678B" w:rsidRPr="0017678B" w:rsidRDefault="0017678B" w:rsidP="0017678B">
            <w:pPr>
              <w:spacing w:line="240" w:lineRule="auto"/>
              <w:jc w:val="center"/>
              <w:rPr>
                <w:rFonts w:eastAsia="Times New Roman" w:cs="Times New Roman"/>
                <w:b/>
                <w:bCs/>
                <w:i/>
                <w:iCs/>
                <w:color w:val="000000"/>
                <w:sz w:val="16"/>
                <w:szCs w:val="16"/>
                <w:lang w:val="en-GB" w:eastAsia="zh-CN"/>
              </w:rPr>
            </w:pPr>
            <w:r w:rsidRPr="0017678B">
              <w:rPr>
                <w:rFonts w:eastAsia="Times New Roman" w:cs="Times New Roman"/>
                <w:b/>
                <w:bCs/>
                <w:i/>
                <w:iCs/>
                <w:color w:val="000000"/>
                <w:sz w:val="16"/>
                <w:szCs w:val="16"/>
                <w:lang w:val="en-GB" w:eastAsia="zh-CN"/>
              </w:rPr>
              <w:t>SE</w:t>
            </w:r>
          </w:p>
        </w:tc>
        <w:tc>
          <w:tcPr>
            <w:tcW w:w="0" w:type="auto"/>
            <w:tcBorders>
              <w:top w:val="nil"/>
              <w:left w:val="nil"/>
              <w:bottom w:val="single" w:sz="4" w:space="0" w:color="auto"/>
              <w:right w:val="nil"/>
            </w:tcBorders>
            <w:shd w:val="clear" w:color="auto" w:fill="auto"/>
            <w:noWrap/>
            <w:vAlign w:val="center"/>
            <w:hideMark/>
          </w:tcPr>
          <w:p w14:paraId="1DEF432D" w14:textId="77777777" w:rsidR="0017678B" w:rsidRPr="0017678B" w:rsidRDefault="0017678B" w:rsidP="0017678B">
            <w:pPr>
              <w:spacing w:line="240" w:lineRule="auto"/>
              <w:jc w:val="center"/>
              <w:rPr>
                <w:rFonts w:eastAsia="Times New Roman" w:cs="Times New Roman"/>
                <w:b/>
                <w:bCs/>
                <w:color w:val="000000"/>
                <w:sz w:val="16"/>
                <w:szCs w:val="16"/>
                <w:lang w:val="en-GB" w:eastAsia="zh-CN"/>
              </w:rPr>
            </w:pPr>
            <w:r w:rsidRPr="0017678B">
              <w:rPr>
                <w:rFonts w:eastAsia="Times New Roman" w:cs="Times New Roman"/>
                <w:b/>
                <w:bCs/>
                <w:color w:val="000000"/>
                <w:sz w:val="16"/>
                <w:szCs w:val="16"/>
                <w:lang w:val="en-GB" w:eastAsia="zh-CN"/>
              </w:rPr>
              <w:t>95% CI</w:t>
            </w:r>
          </w:p>
        </w:tc>
        <w:tc>
          <w:tcPr>
            <w:tcW w:w="0" w:type="auto"/>
            <w:tcBorders>
              <w:top w:val="nil"/>
              <w:left w:val="nil"/>
              <w:bottom w:val="single" w:sz="4" w:space="0" w:color="auto"/>
              <w:right w:val="nil"/>
            </w:tcBorders>
            <w:shd w:val="clear" w:color="auto" w:fill="auto"/>
            <w:noWrap/>
            <w:vAlign w:val="center"/>
            <w:hideMark/>
          </w:tcPr>
          <w:p w14:paraId="7EF0E3CB" w14:textId="77777777" w:rsidR="0017678B" w:rsidRPr="0017678B" w:rsidRDefault="0017678B" w:rsidP="0017678B">
            <w:pPr>
              <w:spacing w:line="240" w:lineRule="auto"/>
              <w:jc w:val="center"/>
              <w:rPr>
                <w:rFonts w:eastAsia="Times New Roman" w:cs="Times New Roman"/>
                <w:b/>
                <w:bCs/>
                <w:i/>
                <w:iCs/>
                <w:color w:val="000000"/>
                <w:sz w:val="16"/>
                <w:szCs w:val="16"/>
                <w:lang w:val="en-GB" w:eastAsia="zh-CN"/>
              </w:rPr>
            </w:pPr>
            <w:r w:rsidRPr="0017678B">
              <w:rPr>
                <w:rFonts w:eastAsia="Times New Roman" w:cs="Times New Roman"/>
                <w:b/>
                <w:bCs/>
                <w:i/>
                <w:iCs/>
                <w:color w:val="000000"/>
                <w:sz w:val="16"/>
                <w:szCs w:val="16"/>
                <w:lang w:val="en-GB" w:eastAsia="zh-CN"/>
              </w:rPr>
              <w:t>b</w:t>
            </w:r>
          </w:p>
        </w:tc>
        <w:tc>
          <w:tcPr>
            <w:tcW w:w="0" w:type="auto"/>
            <w:tcBorders>
              <w:top w:val="nil"/>
              <w:left w:val="nil"/>
              <w:bottom w:val="single" w:sz="4" w:space="0" w:color="auto"/>
              <w:right w:val="nil"/>
            </w:tcBorders>
            <w:shd w:val="clear" w:color="auto" w:fill="auto"/>
            <w:noWrap/>
            <w:vAlign w:val="center"/>
            <w:hideMark/>
          </w:tcPr>
          <w:p w14:paraId="7A5FE9C3" w14:textId="77777777" w:rsidR="0017678B" w:rsidRPr="0017678B" w:rsidRDefault="0017678B" w:rsidP="0017678B">
            <w:pPr>
              <w:spacing w:line="240" w:lineRule="auto"/>
              <w:jc w:val="center"/>
              <w:rPr>
                <w:rFonts w:eastAsia="Times New Roman" w:cs="Times New Roman"/>
                <w:b/>
                <w:bCs/>
                <w:i/>
                <w:iCs/>
                <w:color w:val="000000"/>
                <w:sz w:val="16"/>
                <w:szCs w:val="16"/>
                <w:lang w:val="en-GB" w:eastAsia="zh-CN"/>
              </w:rPr>
            </w:pPr>
            <w:r w:rsidRPr="0017678B">
              <w:rPr>
                <w:rFonts w:eastAsia="Times New Roman" w:cs="Times New Roman"/>
                <w:b/>
                <w:bCs/>
                <w:i/>
                <w:iCs/>
                <w:color w:val="000000"/>
                <w:sz w:val="16"/>
                <w:szCs w:val="16"/>
                <w:lang w:val="en-GB" w:eastAsia="zh-CN"/>
              </w:rPr>
              <w:t>SE</w:t>
            </w:r>
          </w:p>
        </w:tc>
        <w:tc>
          <w:tcPr>
            <w:tcW w:w="0" w:type="auto"/>
            <w:tcBorders>
              <w:top w:val="nil"/>
              <w:left w:val="nil"/>
              <w:bottom w:val="single" w:sz="4" w:space="0" w:color="auto"/>
              <w:right w:val="nil"/>
            </w:tcBorders>
            <w:shd w:val="clear" w:color="auto" w:fill="auto"/>
            <w:noWrap/>
            <w:vAlign w:val="center"/>
            <w:hideMark/>
          </w:tcPr>
          <w:p w14:paraId="4C97EA54" w14:textId="77777777" w:rsidR="0017678B" w:rsidRPr="0017678B" w:rsidRDefault="0017678B" w:rsidP="0017678B">
            <w:pPr>
              <w:spacing w:line="240" w:lineRule="auto"/>
              <w:jc w:val="center"/>
              <w:rPr>
                <w:rFonts w:eastAsia="Times New Roman" w:cs="Times New Roman"/>
                <w:b/>
                <w:bCs/>
                <w:color w:val="000000"/>
                <w:sz w:val="16"/>
                <w:szCs w:val="16"/>
                <w:lang w:val="en-GB" w:eastAsia="zh-CN"/>
              </w:rPr>
            </w:pPr>
            <w:r w:rsidRPr="0017678B">
              <w:rPr>
                <w:rFonts w:eastAsia="Times New Roman" w:cs="Times New Roman"/>
                <w:b/>
                <w:bCs/>
                <w:color w:val="000000"/>
                <w:sz w:val="16"/>
                <w:szCs w:val="16"/>
                <w:lang w:val="en-GB" w:eastAsia="zh-CN"/>
              </w:rPr>
              <w:t>95% CI</w:t>
            </w:r>
          </w:p>
        </w:tc>
      </w:tr>
      <w:tr w:rsidR="0017678B" w:rsidRPr="0017678B" w14:paraId="4D2AAC1F" w14:textId="77777777" w:rsidTr="00D24263">
        <w:trPr>
          <w:trHeight w:val="225"/>
        </w:trPr>
        <w:tc>
          <w:tcPr>
            <w:tcW w:w="0" w:type="auto"/>
            <w:tcBorders>
              <w:top w:val="nil"/>
              <w:left w:val="nil"/>
              <w:bottom w:val="nil"/>
              <w:right w:val="nil"/>
            </w:tcBorders>
            <w:shd w:val="clear" w:color="auto" w:fill="auto"/>
            <w:noWrap/>
            <w:vAlign w:val="center"/>
            <w:hideMark/>
          </w:tcPr>
          <w:p w14:paraId="1E53B874" w14:textId="77777777" w:rsidR="0017678B" w:rsidRPr="0017678B" w:rsidRDefault="0017678B" w:rsidP="0017678B">
            <w:pPr>
              <w:spacing w:line="240" w:lineRule="auto"/>
              <w:rPr>
                <w:rFonts w:eastAsia="Times New Roman" w:cs="Times New Roman"/>
                <w:i/>
                <w:iCs/>
                <w:color w:val="000000"/>
                <w:sz w:val="16"/>
                <w:szCs w:val="16"/>
                <w:lang w:val="en-GB" w:eastAsia="zh-CN"/>
              </w:rPr>
            </w:pPr>
            <w:r w:rsidRPr="0017678B">
              <w:rPr>
                <w:rFonts w:eastAsia="Times New Roman" w:cs="Times New Roman"/>
                <w:i/>
                <w:iCs/>
                <w:color w:val="000000"/>
                <w:sz w:val="16"/>
                <w:szCs w:val="16"/>
                <w:lang w:val="en-GB" w:eastAsia="zh-CN"/>
              </w:rPr>
              <w:t>Control variables</w:t>
            </w:r>
          </w:p>
        </w:tc>
        <w:tc>
          <w:tcPr>
            <w:tcW w:w="0" w:type="auto"/>
            <w:tcBorders>
              <w:top w:val="nil"/>
              <w:left w:val="nil"/>
              <w:bottom w:val="nil"/>
              <w:right w:val="nil"/>
            </w:tcBorders>
            <w:shd w:val="clear" w:color="auto" w:fill="auto"/>
            <w:noWrap/>
            <w:vAlign w:val="center"/>
            <w:hideMark/>
          </w:tcPr>
          <w:p w14:paraId="0CD7F51D" w14:textId="77777777" w:rsidR="0017678B" w:rsidRPr="0017678B" w:rsidRDefault="0017678B" w:rsidP="0017678B">
            <w:pPr>
              <w:spacing w:line="240" w:lineRule="auto"/>
              <w:rPr>
                <w:rFonts w:eastAsia="Times New Roman" w:cs="Times New Roman"/>
                <w:i/>
                <w:iCs/>
                <w:color w:val="000000"/>
                <w:sz w:val="16"/>
                <w:szCs w:val="16"/>
                <w:lang w:val="en-GB" w:eastAsia="zh-CN"/>
              </w:rPr>
            </w:pPr>
          </w:p>
        </w:tc>
        <w:tc>
          <w:tcPr>
            <w:tcW w:w="0" w:type="auto"/>
            <w:tcBorders>
              <w:top w:val="nil"/>
              <w:left w:val="nil"/>
              <w:bottom w:val="nil"/>
              <w:right w:val="nil"/>
            </w:tcBorders>
            <w:shd w:val="clear" w:color="auto" w:fill="auto"/>
            <w:noWrap/>
            <w:vAlign w:val="center"/>
            <w:hideMark/>
          </w:tcPr>
          <w:p w14:paraId="53E30B23" w14:textId="77777777" w:rsidR="0017678B" w:rsidRPr="0017678B" w:rsidRDefault="0017678B" w:rsidP="0017678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482F20FF" w14:textId="77777777" w:rsidR="0017678B" w:rsidRPr="0017678B" w:rsidRDefault="0017678B" w:rsidP="0017678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5311A3F6" w14:textId="77777777" w:rsidR="0017678B" w:rsidRPr="0017678B" w:rsidRDefault="0017678B" w:rsidP="0017678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66CBFF96" w14:textId="77777777" w:rsidR="0017678B" w:rsidRPr="0017678B" w:rsidRDefault="0017678B" w:rsidP="0017678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3B191AEC" w14:textId="77777777" w:rsidR="0017678B" w:rsidRPr="0017678B" w:rsidRDefault="0017678B" w:rsidP="0017678B">
            <w:pPr>
              <w:spacing w:line="240" w:lineRule="auto"/>
              <w:jc w:val="center"/>
              <w:rPr>
                <w:rFonts w:eastAsia="Times New Roman" w:cs="Times New Roman"/>
                <w:sz w:val="20"/>
                <w:szCs w:val="20"/>
                <w:lang w:val="en-GB" w:eastAsia="zh-CN"/>
              </w:rPr>
            </w:pPr>
          </w:p>
        </w:tc>
      </w:tr>
      <w:tr w:rsidR="0017678B" w:rsidRPr="0017678B" w14:paraId="1DF8E50F" w14:textId="77777777" w:rsidTr="00D24263">
        <w:trPr>
          <w:trHeight w:val="225"/>
        </w:trPr>
        <w:tc>
          <w:tcPr>
            <w:tcW w:w="0" w:type="auto"/>
            <w:tcBorders>
              <w:top w:val="nil"/>
              <w:left w:val="nil"/>
              <w:bottom w:val="nil"/>
              <w:right w:val="nil"/>
            </w:tcBorders>
            <w:shd w:val="clear" w:color="auto" w:fill="auto"/>
            <w:noWrap/>
            <w:vAlign w:val="bottom"/>
            <w:hideMark/>
          </w:tcPr>
          <w:p w14:paraId="7919F9AD"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Choice type</w:t>
            </w:r>
          </w:p>
        </w:tc>
        <w:tc>
          <w:tcPr>
            <w:tcW w:w="0" w:type="auto"/>
            <w:tcBorders>
              <w:top w:val="nil"/>
              <w:left w:val="nil"/>
              <w:bottom w:val="nil"/>
              <w:right w:val="nil"/>
            </w:tcBorders>
            <w:shd w:val="clear" w:color="auto" w:fill="auto"/>
            <w:noWrap/>
            <w:vAlign w:val="center"/>
            <w:hideMark/>
          </w:tcPr>
          <w:p w14:paraId="748C4892"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0.115</w:t>
            </w:r>
          </w:p>
        </w:tc>
        <w:tc>
          <w:tcPr>
            <w:tcW w:w="0" w:type="auto"/>
            <w:tcBorders>
              <w:top w:val="nil"/>
              <w:left w:val="nil"/>
              <w:bottom w:val="nil"/>
              <w:right w:val="nil"/>
            </w:tcBorders>
            <w:shd w:val="clear" w:color="auto" w:fill="auto"/>
            <w:noWrap/>
            <w:vAlign w:val="center"/>
            <w:hideMark/>
          </w:tcPr>
          <w:p w14:paraId="44C90A71"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0.109</w:t>
            </w:r>
          </w:p>
        </w:tc>
        <w:tc>
          <w:tcPr>
            <w:tcW w:w="0" w:type="auto"/>
            <w:tcBorders>
              <w:top w:val="nil"/>
              <w:left w:val="nil"/>
              <w:bottom w:val="nil"/>
              <w:right w:val="nil"/>
            </w:tcBorders>
            <w:shd w:val="clear" w:color="auto" w:fill="auto"/>
            <w:noWrap/>
            <w:vAlign w:val="center"/>
            <w:hideMark/>
          </w:tcPr>
          <w:p w14:paraId="6FA25F33"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[–0.098, 0.327]</w:t>
            </w:r>
          </w:p>
        </w:tc>
        <w:tc>
          <w:tcPr>
            <w:tcW w:w="0" w:type="auto"/>
            <w:tcBorders>
              <w:top w:val="nil"/>
              <w:left w:val="nil"/>
              <w:bottom w:val="nil"/>
              <w:right w:val="nil"/>
            </w:tcBorders>
            <w:shd w:val="clear" w:color="auto" w:fill="auto"/>
            <w:noWrap/>
            <w:vAlign w:val="center"/>
            <w:hideMark/>
          </w:tcPr>
          <w:p w14:paraId="432B12AD"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0.131*</w:t>
            </w:r>
          </w:p>
        </w:tc>
        <w:tc>
          <w:tcPr>
            <w:tcW w:w="0" w:type="auto"/>
            <w:tcBorders>
              <w:top w:val="nil"/>
              <w:left w:val="nil"/>
              <w:bottom w:val="nil"/>
              <w:right w:val="nil"/>
            </w:tcBorders>
            <w:shd w:val="clear" w:color="auto" w:fill="auto"/>
            <w:noWrap/>
            <w:vAlign w:val="center"/>
            <w:hideMark/>
          </w:tcPr>
          <w:p w14:paraId="66784718"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0.054</w:t>
            </w:r>
          </w:p>
        </w:tc>
        <w:tc>
          <w:tcPr>
            <w:tcW w:w="0" w:type="auto"/>
            <w:tcBorders>
              <w:top w:val="nil"/>
              <w:left w:val="nil"/>
              <w:bottom w:val="nil"/>
              <w:right w:val="nil"/>
            </w:tcBorders>
            <w:shd w:val="clear" w:color="auto" w:fill="auto"/>
            <w:noWrap/>
            <w:vAlign w:val="center"/>
            <w:hideMark/>
          </w:tcPr>
          <w:p w14:paraId="2F4C522A"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[0.024, 0.238]</w:t>
            </w:r>
          </w:p>
        </w:tc>
      </w:tr>
      <w:tr w:rsidR="0017678B" w:rsidRPr="0017678B" w14:paraId="7FCD3524" w14:textId="77777777" w:rsidTr="00D24263">
        <w:trPr>
          <w:trHeight w:val="225"/>
        </w:trPr>
        <w:tc>
          <w:tcPr>
            <w:tcW w:w="0" w:type="auto"/>
            <w:tcBorders>
              <w:top w:val="nil"/>
              <w:left w:val="nil"/>
              <w:bottom w:val="nil"/>
              <w:right w:val="nil"/>
            </w:tcBorders>
            <w:shd w:val="clear" w:color="auto" w:fill="auto"/>
            <w:noWrap/>
            <w:vAlign w:val="bottom"/>
            <w:hideMark/>
          </w:tcPr>
          <w:p w14:paraId="70783515"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Experimental setting-online</w:t>
            </w:r>
          </w:p>
        </w:tc>
        <w:tc>
          <w:tcPr>
            <w:tcW w:w="0" w:type="auto"/>
            <w:tcBorders>
              <w:top w:val="nil"/>
              <w:left w:val="nil"/>
              <w:bottom w:val="nil"/>
              <w:right w:val="nil"/>
            </w:tcBorders>
            <w:shd w:val="clear" w:color="auto" w:fill="auto"/>
            <w:noWrap/>
            <w:vAlign w:val="center"/>
            <w:hideMark/>
          </w:tcPr>
          <w:p w14:paraId="4E994F27"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0.186</w:t>
            </w:r>
          </w:p>
        </w:tc>
        <w:tc>
          <w:tcPr>
            <w:tcW w:w="0" w:type="auto"/>
            <w:tcBorders>
              <w:top w:val="nil"/>
              <w:left w:val="nil"/>
              <w:bottom w:val="nil"/>
              <w:right w:val="nil"/>
            </w:tcBorders>
            <w:shd w:val="clear" w:color="auto" w:fill="auto"/>
            <w:noWrap/>
            <w:vAlign w:val="center"/>
            <w:hideMark/>
          </w:tcPr>
          <w:p w14:paraId="6A7E73FE"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0.122</w:t>
            </w:r>
          </w:p>
        </w:tc>
        <w:tc>
          <w:tcPr>
            <w:tcW w:w="0" w:type="auto"/>
            <w:tcBorders>
              <w:top w:val="nil"/>
              <w:left w:val="nil"/>
              <w:bottom w:val="nil"/>
              <w:right w:val="nil"/>
            </w:tcBorders>
            <w:shd w:val="clear" w:color="auto" w:fill="auto"/>
            <w:noWrap/>
            <w:vAlign w:val="center"/>
            <w:hideMark/>
          </w:tcPr>
          <w:p w14:paraId="1034B589"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[–0.053, 0.425]</w:t>
            </w:r>
          </w:p>
        </w:tc>
        <w:tc>
          <w:tcPr>
            <w:tcW w:w="0" w:type="auto"/>
            <w:tcBorders>
              <w:top w:val="nil"/>
              <w:left w:val="nil"/>
              <w:bottom w:val="nil"/>
              <w:right w:val="nil"/>
            </w:tcBorders>
            <w:shd w:val="clear" w:color="auto" w:fill="auto"/>
            <w:noWrap/>
            <w:vAlign w:val="center"/>
            <w:hideMark/>
          </w:tcPr>
          <w:p w14:paraId="51250F93"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0.292*</w:t>
            </w:r>
          </w:p>
        </w:tc>
        <w:tc>
          <w:tcPr>
            <w:tcW w:w="0" w:type="auto"/>
            <w:tcBorders>
              <w:top w:val="nil"/>
              <w:left w:val="nil"/>
              <w:bottom w:val="nil"/>
              <w:right w:val="nil"/>
            </w:tcBorders>
            <w:shd w:val="clear" w:color="auto" w:fill="auto"/>
            <w:noWrap/>
            <w:vAlign w:val="center"/>
            <w:hideMark/>
          </w:tcPr>
          <w:p w14:paraId="15D36D32"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0.107</w:t>
            </w:r>
          </w:p>
        </w:tc>
        <w:tc>
          <w:tcPr>
            <w:tcW w:w="0" w:type="auto"/>
            <w:tcBorders>
              <w:top w:val="nil"/>
              <w:left w:val="nil"/>
              <w:bottom w:val="nil"/>
              <w:right w:val="nil"/>
            </w:tcBorders>
            <w:shd w:val="clear" w:color="auto" w:fill="auto"/>
            <w:noWrap/>
            <w:vAlign w:val="center"/>
            <w:hideMark/>
          </w:tcPr>
          <w:p w14:paraId="6B10D521"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[0.083, 0.501]</w:t>
            </w:r>
          </w:p>
        </w:tc>
      </w:tr>
      <w:tr w:rsidR="0017678B" w:rsidRPr="0017678B" w14:paraId="177CD639" w14:textId="77777777" w:rsidTr="00D24263">
        <w:trPr>
          <w:trHeight w:val="225"/>
        </w:trPr>
        <w:tc>
          <w:tcPr>
            <w:tcW w:w="0" w:type="auto"/>
            <w:tcBorders>
              <w:top w:val="nil"/>
              <w:left w:val="nil"/>
              <w:bottom w:val="nil"/>
              <w:right w:val="nil"/>
            </w:tcBorders>
            <w:shd w:val="clear" w:color="auto" w:fill="auto"/>
            <w:noWrap/>
            <w:vAlign w:val="bottom"/>
            <w:hideMark/>
          </w:tcPr>
          <w:p w14:paraId="7E7CA47B"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Experimental setting-other</w:t>
            </w:r>
          </w:p>
        </w:tc>
        <w:tc>
          <w:tcPr>
            <w:tcW w:w="0" w:type="auto"/>
            <w:tcBorders>
              <w:top w:val="nil"/>
              <w:left w:val="nil"/>
              <w:bottom w:val="nil"/>
              <w:right w:val="nil"/>
            </w:tcBorders>
            <w:shd w:val="clear" w:color="auto" w:fill="auto"/>
            <w:noWrap/>
            <w:vAlign w:val="center"/>
            <w:hideMark/>
          </w:tcPr>
          <w:p w14:paraId="0EBEED03"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0.169</w:t>
            </w:r>
          </w:p>
        </w:tc>
        <w:tc>
          <w:tcPr>
            <w:tcW w:w="0" w:type="auto"/>
            <w:tcBorders>
              <w:top w:val="nil"/>
              <w:left w:val="nil"/>
              <w:bottom w:val="nil"/>
              <w:right w:val="nil"/>
            </w:tcBorders>
            <w:shd w:val="clear" w:color="auto" w:fill="auto"/>
            <w:noWrap/>
            <w:vAlign w:val="center"/>
            <w:hideMark/>
          </w:tcPr>
          <w:p w14:paraId="4D9735F9"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0.112</w:t>
            </w:r>
          </w:p>
        </w:tc>
        <w:tc>
          <w:tcPr>
            <w:tcW w:w="0" w:type="auto"/>
            <w:tcBorders>
              <w:top w:val="nil"/>
              <w:left w:val="nil"/>
              <w:bottom w:val="nil"/>
              <w:right w:val="nil"/>
            </w:tcBorders>
            <w:shd w:val="clear" w:color="auto" w:fill="auto"/>
            <w:noWrap/>
            <w:vAlign w:val="center"/>
            <w:hideMark/>
          </w:tcPr>
          <w:p w14:paraId="3CFE7FE7"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[–0.050, 0.389]</w:t>
            </w:r>
          </w:p>
        </w:tc>
        <w:tc>
          <w:tcPr>
            <w:tcW w:w="0" w:type="auto"/>
            <w:tcBorders>
              <w:top w:val="nil"/>
              <w:left w:val="nil"/>
              <w:bottom w:val="nil"/>
              <w:right w:val="nil"/>
            </w:tcBorders>
            <w:shd w:val="clear" w:color="auto" w:fill="auto"/>
            <w:noWrap/>
            <w:vAlign w:val="center"/>
            <w:hideMark/>
          </w:tcPr>
          <w:p w14:paraId="0A7D90B8"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0.152</w:t>
            </w:r>
          </w:p>
        </w:tc>
        <w:tc>
          <w:tcPr>
            <w:tcW w:w="0" w:type="auto"/>
            <w:tcBorders>
              <w:top w:val="nil"/>
              <w:left w:val="nil"/>
              <w:bottom w:val="nil"/>
              <w:right w:val="nil"/>
            </w:tcBorders>
            <w:shd w:val="clear" w:color="auto" w:fill="auto"/>
            <w:noWrap/>
            <w:vAlign w:val="center"/>
            <w:hideMark/>
          </w:tcPr>
          <w:p w14:paraId="0E25A77B"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0.086</w:t>
            </w:r>
          </w:p>
        </w:tc>
        <w:tc>
          <w:tcPr>
            <w:tcW w:w="0" w:type="auto"/>
            <w:tcBorders>
              <w:top w:val="nil"/>
              <w:left w:val="nil"/>
              <w:bottom w:val="nil"/>
              <w:right w:val="nil"/>
            </w:tcBorders>
            <w:shd w:val="clear" w:color="auto" w:fill="auto"/>
            <w:noWrap/>
            <w:vAlign w:val="center"/>
            <w:hideMark/>
          </w:tcPr>
          <w:p w14:paraId="5596DBD8"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[–0.016, 0.321]</w:t>
            </w:r>
          </w:p>
        </w:tc>
      </w:tr>
      <w:tr w:rsidR="0017678B" w:rsidRPr="0017678B" w14:paraId="475C66E0" w14:textId="77777777" w:rsidTr="00D24263">
        <w:trPr>
          <w:trHeight w:val="225"/>
        </w:trPr>
        <w:tc>
          <w:tcPr>
            <w:tcW w:w="0" w:type="auto"/>
            <w:tcBorders>
              <w:top w:val="nil"/>
              <w:left w:val="nil"/>
              <w:bottom w:val="nil"/>
              <w:right w:val="nil"/>
            </w:tcBorders>
            <w:shd w:val="clear" w:color="auto" w:fill="auto"/>
            <w:noWrap/>
            <w:vAlign w:val="bottom"/>
            <w:hideMark/>
          </w:tcPr>
          <w:p w14:paraId="2B32F9A3"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Published or not-yes</w:t>
            </w:r>
          </w:p>
        </w:tc>
        <w:tc>
          <w:tcPr>
            <w:tcW w:w="0" w:type="auto"/>
            <w:tcBorders>
              <w:top w:val="nil"/>
              <w:left w:val="nil"/>
              <w:bottom w:val="nil"/>
              <w:right w:val="nil"/>
            </w:tcBorders>
            <w:shd w:val="clear" w:color="auto" w:fill="auto"/>
            <w:noWrap/>
            <w:vAlign w:val="center"/>
            <w:hideMark/>
          </w:tcPr>
          <w:p w14:paraId="5D9FAD24"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0.151</w:t>
            </w:r>
          </w:p>
        </w:tc>
        <w:tc>
          <w:tcPr>
            <w:tcW w:w="0" w:type="auto"/>
            <w:tcBorders>
              <w:top w:val="nil"/>
              <w:left w:val="nil"/>
              <w:bottom w:val="nil"/>
              <w:right w:val="nil"/>
            </w:tcBorders>
            <w:shd w:val="clear" w:color="auto" w:fill="auto"/>
            <w:noWrap/>
            <w:vAlign w:val="center"/>
            <w:hideMark/>
          </w:tcPr>
          <w:p w14:paraId="51C2307E"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0.107</w:t>
            </w:r>
          </w:p>
        </w:tc>
        <w:tc>
          <w:tcPr>
            <w:tcW w:w="0" w:type="auto"/>
            <w:tcBorders>
              <w:top w:val="nil"/>
              <w:left w:val="nil"/>
              <w:bottom w:val="nil"/>
              <w:right w:val="nil"/>
            </w:tcBorders>
            <w:shd w:val="clear" w:color="auto" w:fill="auto"/>
            <w:noWrap/>
            <w:vAlign w:val="center"/>
            <w:hideMark/>
          </w:tcPr>
          <w:p w14:paraId="21CB39A0"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[–0.060, 0.361]</w:t>
            </w:r>
          </w:p>
        </w:tc>
        <w:tc>
          <w:tcPr>
            <w:tcW w:w="0" w:type="auto"/>
            <w:tcBorders>
              <w:top w:val="nil"/>
              <w:left w:val="nil"/>
              <w:bottom w:val="nil"/>
              <w:right w:val="nil"/>
            </w:tcBorders>
            <w:shd w:val="clear" w:color="auto" w:fill="auto"/>
            <w:noWrap/>
            <w:vAlign w:val="center"/>
            <w:hideMark/>
          </w:tcPr>
          <w:p w14:paraId="0C6E7F87"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0.013</w:t>
            </w:r>
          </w:p>
        </w:tc>
        <w:tc>
          <w:tcPr>
            <w:tcW w:w="0" w:type="auto"/>
            <w:tcBorders>
              <w:top w:val="nil"/>
              <w:left w:val="nil"/>
              <w:bottom w:val="nil"/>
              <w:right w:val="nil"/>
            </w:tcBorders>
            <w:shd w:val="clear" w:color="auto" w:fill="auto"/>
            <w:noWrap/>
            <w:vAlign w:val="center"/>
            <w:hideMark/>
          </w:tcPr>
          <w:p w14:paraId="061F0DB4"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0.091</w:t>
            </w:r>
          </w:p>
        </w:tc>
        <w:tc>
          <w:tcPr>
            <w:tcW w:w="0" w:type="auto"/>
            <w:tcBorders>
              <w:top w:val="nil"/>
              <w:left w:val="nil"/>
              <w:bottom w:val="nil"/>
              <w:right w:val="nil"/>
            </w:tcBorders>
            <w:shd w:val="clear" w:color="auto" w:fill="auto"/>
            <w:noWrap/>
            <w:vAlign w:val="center"/>
            <w:hideMark/>
          </w:tcPr>
          <w:p w14:paraId="705D5395"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[–0.166, 0.192]</w:t>
            </w:r>
          </w:p>
        </w:tc>
      </w:tr>
      <w:tr w:rsidR="0017678B" w:rsidRPr="0017678B" w14:paraId="1DDF57EC" w14:textId="77777777" w:rsidTr="00D24263">
        <w:trPr>
          <w:trHeight w:val="225"/>
        </w:trPr>
        <w:tc>
          <w:tcPr>
            <w:tcW w:w="0" w:type="auto"/>
            <w:tcBorders>
              <w:top w:val="nil"/>
              <w:left w:val="nil"/>
              <w:bottom w:val="nil"/>
              <w:right w:val="nil"/>
            </w:tcBorders>
            <w:shd w:val="clear" w:color="auto" w:fill="auto"/>
            <w:noWrap/>
            <w:vAlign w:val="bottom"/>
            <w:hideMark/>
          </w:tcPr>
          <w:p w14:paraId="3EE38102"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Trial of cooperation-first</w:t>
            </w:r>
          </w:p>
        </w:tc>
        <w:tc>
          <w:tcPr>
            <w:tcW w:w="0" w:type="auto"/>
            <w:tcBorders>
              <w:top w:val="nil"/>
              <w:left w:val="nil"/>
              <w:bottom w:val="nil"/>
              <w:right w:val="nil"/>
            </w:tcBorders>
            <w:shd w:val="clear" w:color="auto" w:fill="auto"/>
            <w:noWrap/>
            <w:vAlign w:val="center"/>
            <w:hideMark/>
          </w:tcPr>
          <w:p w14:paraId="38D8F734"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0.187</w:t>
            </w:r>
          </w:p>
        </w:tc>
        <w:tc>
          <w:tcPr>
            <w:tcW w:w="0" w:type="auto"/>
            <w:tcBorders>
              <w:top w:val="nil"/>
              <w:left w:val="nil"/>
              <w:bottom w:val="nil"/>
              <w:right w:val="nil"/>
            </w:tcBorders>
            <w:shd w:val="clear" w:color="auto" w:fill="auto"/>
            <w:noWrap/>
            <w:vAlign w:val="center"/>
            <w:hideMark/>
          </w:tcPr>
          <w:p w14:paraId="769058AF"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0.187</w:t>
            </w:r>
          </w:p>
        </w:tc>
        <w:tc>
          <w:tcPr>
            <w:tcW w:w="0" w:type="auto"/>
            <w:tcBorders>
              <w:top w:val="nil"/>
              <w:left w:val="nil"/>
              <w:bottom w:val="nil"/>
              <w:right w:val="nil"/>
            </w:tcBorders>
            <w:shd w:val="clear" w:color="auto" w:fill="auto"/>
            <w:noWrap/>
            <w:vAlign w:val="center"/>
            <w:hideMark/>
          </w:tcPr>
          <w:p w14:paraId="1AA726C4"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[–0.181, 0.554]</w:t>
            </w:r>
          </w:p>
        </w:tc>
        <w:tc>
          <w:tcPr>
            <w:tcW w:w="0" w:type="auto"/>
            <w:tcBorders>
              <w:top w:val="nil"/>
              <w:left w:val="nil"/>
              <w:bottom w:val="nil"/>
              <w:right w:val="nil"/>
            </w:tcBorders>
            <w:shd w:val="clear" w:color="auto" w:fill="auto"/>
            <w:noWrap/>
            <w:vAlign w:val="center"/>
            <w:hideMark/>
          </w:tcPr>
          <w:p w14:paraId="1986E3FA"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0.082</w:t>
            </w:r>
          </w:p>
        </w:tc>
        <w:tc>
          <w:tcPr>
            <w:tcW w:w="0" w:type="auto"/>
            <w:tcBorders>
              <w:top w:val="nil"/>
              <w:left w:val="nil"/>
              <w:bottom w:val="nil"/>
              <w:right w:val="nil"/>
            </w:tcBorders>
            <w:shd w:val="clear" w:color="auto" w:fill="auto"/>
            <w:noWrap/>
            <w:vAlign w:val="center"/>
            <w:hideMark/>
          </w:tcPr>
          <w:p w14:paraId="66E4BF31"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0.137</w:t>
            </w:r>
          </w:p>
        </w:tc>
        <w:tc>
          <w:tcPr>
            <w:tcW w:w="0" w:type="auto"/>
            <w:tcBorders>
              <w:top w:val="nil"/>
              <w:left w:val="nil"/>
              <w:bottom w:val="nil"/>
              <w:right w:val="nil"/>
            </w:tcBorders>
            <w:shd w:val="clear" w:color="auto" w:fill="auto"/>
            <w:noWrap/>
            <w:vAlign w:val="center"/>
            <w:hideMark/>
          </w:tcPr>
          <w:p w14:paraId="70879EAD"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[–0.187, 0.352]</w:t>
            </w:r>
          </w:p>
        </w:tc>
      </w:tr>
      <w:tr w:rsidR="0017678B" w:rsidRPr="0017678B" w14:paraId="47AC5075" w14:textId="77777777" w:rsidTr="00D24263">
        <w:trPr>
          <w:trHeight w:val="225"/>
        </w:trPr>
        <w:tc>
          <w:tcPr>
            <w:tcW w:w="0" w:type="auto"/>
            <w:tcBorders>
              <w:top w:val="nil"/>
              <w:left w:val="nil"/>
              <w:bottom w:val="nil"/>
              <w:right w:val="nil"/>
            </w:tcBorders>
            <w:shd w:val="clear" w:color="auto" w:fill="auto"/>
            <w:noWrap/>
            <w:vAlign w:val="bottom"/>
            <w:hideMark/>
          </w:tcPr>
          <w:p w14:paraId="1C3CC2FE"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Year of data collection</w:t>
            </w:r>
          </w:p>
        </w:tc>
        <w:tc>
          <w:tcPr>
            <w:tcW w:w="0" w:type="auto"/>
            <w:tcBorders>
              <w:top w:val="nil"/>
              <w:left w:val="nil"/>
              <w:bottom w:val="nil"/>
              <w:right w:val="nil"/>
            </w:tcBorders>
            <w:shd w:val="clear" w:color="auto" w:fill="auto"/>
            <w:noWrap/>
            <w:vAlign w:val="center"/>
            <w:hideMark/>
          </w:tcPr>
          <w:p w14:paraId="62113DF9"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0.009</w:t>
            </w:r>
          </w:p>
        </w:tc>
        <w:tc>
          <w:tcPr>
            <w:tcW w:w="0" w:type="auto"/>
            <w:tcBorders>
              <w:top w:val="nil"/>
              <w:left w:val="nil"/>
              <w:bottom w:val="nil"/>
              <w:right w:val="nil"/>
            </w:tcBorders>
            <w:shd w:val="clear" w:color="auto" w:fill="auto"/>
            <w:noWrap/>
            <w:vAlign w:val="center"/>
            <w:hideMark/>
          </w:tcPr>
          <w:p w14:paraId="4A836009"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0.004</w:t>
            </w:r>
          </w:p>
        </w:tc>
        <w:tc>
          <w:tcPr>
            <w:tcW w:w="0" w:type="auto"/>
            <w:tcBorders>
              <w:top w:val="nil"/>
              <w:left w:val="nil"/>
              <w:bottom w:val="nil"/>
              <w:right w:val="nil"/>
            </w:tcBorders>
            <w:shd w:val="clear" w:color="auto" w:fill="auto"/>
            <w:noWrap/>
            <w:vAlign w:val="center"/>
            <w:hideMark/>
          </w:tcPr>
          <w:p w14:paraId="2D08064C"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 0.017]</w:t>
            </w:r>
          </w:p>
        </w:tc>
        <w:tc>
          <w:tcPr>
            <w:tcW w:w="0" w:type="auto"/>
            <w:tcBorders>
              <w:top w:val="nil"/>
              <w:left w:val="nil"/>
              <w:bottom w:val="nil"/>
              <w:right w:val="nil"/>
            </w:tcBorders>
            <w:shd w:val="clear" w:color="auto" w:fill="auto"/>
            <w:noWrap/>
            <w:vAlign w:val="center"/>
            <w:hideMark/>
          </w:tcPr>
          <w:p w14:paraId="27E660F6"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0.008*</w:t>
            </w:r>
          </w:p>
        </w:tc>
        <w:tc>
          <w:tcPr>
            <w:tcW w:w="0" w:type="auto"/>
            <w:tcBorders>
              <w:top w:val="nil"/>
              <w:left w:val="nil"/>
              <w:bottom w:val="nil"/>
              <w:right w:val="nil"/>
            </w:tcBorders>
            <w:shd w:val="clear" w:color="auto" w:fill="auto"/>
            <w:noWrap/>
            <w:vAlign w:val="center"/>
            <w:hideMark/>
          </w:tcPr>
          <w:p w14:paraId="4C227E8E"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0.002</w:t>
            </w:r>
          </w:p>
        </w:tc>
        <w:tc>
          <w:tcPr>
            <w:tcW w:w="0" w:type="auto"/>
            <w:tcBorders>
              <w:top w:val="nil"/>
              <w:left w:val="nil"/>
              <w:bottom w:val="nil"/>
              <w:right w:val="nil"/>
            </w:tcBorders>
            <w:shd w:val="clear" w:color="auto" w:fill="auto"/>
            <w:noWrap/>
            <w:vAlign w:val="center"/>
            <w:hideMark/>
          </w:tcPr>
          <w:p w14:paraId="625DE879"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[0.003, 0.012]</w:t>
            </w:r>
          </w:p>
        </w:tc>
      </w:tr>
      <w:tr w:rsidR="0017678B" w:rsidRPr="0017678B" w14:paraId="35D53B8E" w14:textId="77777777" w:rsidTr="00D24263">
        <w:trPr>
          <w:trHeight w:val="225"/>
        </w:trPr>
        <w:tc>
          <w:tcPr>
            <w:tcW w:w="0" w:type="auto"/>
            <w:tcBorders>
              <w:top w:val="nil"/>
              <w:left w:val="nil"/>
              <w:bottom w:val="nil"/>
              <w:right w:val="nil"/>
            </w:tcBorders>
            <w:shd w:val="clear" w:color="auto" w:fill="auto"/>
            <w:noWrap/>
            <w:vAlign w:val="bottom"/>
            <w:hideMark/>
          </w:tcPr>
          <w:p w14:paraId="389784ED" w14:textId="77777777" w:rsidR="0017678B" w:rsidRPr="0017678B" w:rsidRDefault="0017678B" w:rsidP="0017678B">
            <w:pPr>
              <w:spacing w:line="240" w:lineRule="auto"/>
              <w:rPr>
                <w:rFonts w:eastAsia="Times New Roman" w:cs="Times New Roman"/>
                <w:i/>
                <w:iCs/>
                <w:color w:val="000000"/>
                <w:sz w:val="16"/>
                <w:szCs w:val="16"/>
                <w:lang w:val="en-GB" w:eastAsia="zh-CN"/>
              </w:rPr>
            </w:pPr>
            <w:r w:rsidRPr="0017678B">
              <w:rPr>
                <w:rFonts w:eastAsia="Times New Roman" w:cs="Times New Roman"/>
                <w:i/>
                <w:iCs/>
                <w:color w:val="000000"/>
                <w:sz w:val="16"/>
                <w:szCs w:val="16"/>
                <w:lang w:val="en-GB" w:eastAsia="zh-CN"/>
              </w:rPr>
              <w:t>Sample variables</w:t>
            </w:r>
          </w:p>
        </w:tc>
        <w:tc>
          <w:tcPr>
            <w:tcW w:w="0" w:type="auto"/>
            <w:tcBorders>
              <w:top w:val="nil"/>
              <w:left w:val="nil"/>
              <w:bottom w:val="nil"/>
              <w:right w:val="nil"/>
            </w:tcBorders>
            <w:shd w:val="clear" w:color="auto" w:fill="auto"/>
            <w:noWrap/>
            <w:vAlign w:val="center"/>
            <w:hideMark/>
          </w:tcPr>
          <w:p w14:paraId="27D34B92" w14:textId="77777777" w:rsidR="0017678B" w:rsidRPr="0017678B" w:rsidRDefault="0017678B" w:rsidP="0017678B">
            <w:pPr>
              <w:spacing w:line="240" w:lineRule="auto"/>
              <w:rPr>
                <w:rFonts w:eastAsia="Times New Roman" w:cs="Times New Roman"/>
                <w:i/>
                <w:iCs/>
                <w:color w:val="000000"/>
                <w:sz w:val="16"/>
                <w:szCs w:val="16"/>
                <w:lang w:val="en-GB" w:eastAsia="zh-CN"/>
              </w:rPr>
            </w:pPr>
          </w:p>
        </w:tc>
        <w:tc>
          <w:tcPr>
            <w:tcW w:w="0" w:type="auto"/>
            <w:tcBorders>
              <w:top w:val="nil"/>
              <w:left w:val="nil"/>
              <w:bottom w:val="nil"/>
              <w:right w:val="nil"/>
            </w:tcBorders>
            <w:shd w:val="clear" w:color="auto" w:fill="auto"/>
            <w:noWrap/>
            <w:vAlign w:val="center"/>
            <w:hideMark/>
          </w:tcPr>
          <w:p w14:paraId="7006E0D9" w14:textId="77777777" w:rsidR="0017678B" w:rsidRPr="0017678B" w:rsidRDefault="0017678B" w:rsidP="0017678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52ECE99B" w14:textId="77777777" w:rsidR="0017678B" w:rsidRPr="0017678B" w:rsidRDefault="0017678B" w:rsidP="0017678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65CAB40D" w14:textId="77777777" w:rsidR="0017678B" w:rsidRPr="0017678B" w:rsidRDefault="0017678B" w:rsidP="0017678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2C6A4146" w14:textId="77777777" w:rsidR="0017678B" w:rsidRPr="0017678B" w:rsidRDefault="0017678B" w:rsidP="0017678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0356D926" w14:textId="77777777" w:rsidR="0017678B" w:rsidRPr="0017678B" w:rsidRDefault="0017678B" w:rsidP="0017678B">
            <w:pPr>
              <w:spacing w:line="240" w:lineRule="auto"/>
              <w:jc w:val="center"/>
              <w:rPr>
                <w:rFonts w:eastAsia="Times New Roman" w:cs="Times New Roman"/>
                <w:sz w:val="20"/>
                <w:szCs w:val="20"/>
                <w:lang w:val="en-GB" w:eastAsia="zh-CN"/>
              </w:rPr>
            </w:pPr>
          </w:p>
        </w:tc>
      </w:tr>
      <w:tr w:rsidR="0017678B" w:rsidRPr="0017678B" w14:paraId="39CDB808" w14:textId="77777777" w:rsidTr="00D24263">
        <w:trPr>
          <w:trHeight w:val="225"/>
        </w:trPr>
        <w:tc>
          <w:tcPr>
            <w:tcW w:w="0" w:type="auto"/>
            <w:tcBorders>
              <w:top w:val="nil"/>
              <w:left w:val="nil"/>
              <w:bottom w:val="nil"/>
              <w:right w:val="nil"/>
            </w:tcBorders>
            <w:shd w:val="clear" w:color="auto" w:fill="auto"/>
            <w:noWrap/>
            <w:vAlign w:val="bottom"/>
            <w:hideMark/>
          </w:tcPr>
          <w:p w14:paraId="505A8BA1"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Age (Mean)</w:t>
            </w:r>
          </w:p>
        </w:tc>
        <w:tc>
          <w:tcPr>
            <w:tcW w:w="0" w:type="auto"/>
            <w:tcBorders>
              <w:top w:val="nil"/>
              <w:left w:val="nil"/>
              <w:bottom w:val="nil"/>
              <w:right w:val="nil"/>
            </w:tcBorders>
            <w:shd w:val="clear" w:color="auto" w:fill="auto"/>
            <w:noWrap/>
            <w:vAlign w:val="center"/>
            <w:hideMark/>
          </w:tcPr>
          <w:p w14:paraId="3CAB7F8C"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–0.004</w:t>
            </w:r>
          </w:p>
        </w:tc>
        <w:tc>
          <w:tcPr>
            <w:tcW w:w="0" w:type="auto"/>
            <w:tcBorders>
              <w:top w:val="nil"/>
              <w:left w:val="nil"/>
              <w:bottom w:val="nil"/>
              <w:right w:val="nil"/>
            </w:tcBorders>
            <w:shd w:val="clear" w:color="auto" w:fill="auto"/>
            <w:noWrap/>
            <w:vAlign w:val="center"/>
            <w:hideMark/>
          </w:tcPr>
          <w:p w14:paraId="1A48F275"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0.005</w:t>
            </w:r>
          </w:p>
        </w:tc>
        <w:tc>
          <w:tcPr>
            <w:tcW w:w="0" w:type="auto"/>
            <w:tcBorders>
              <w:top w:val="nil"/>
              <w:left w:val="nil"/>
              <w:bottom w:val="nil"/>
              <w:right w:val="nil"/>
            </w:tcBorders>
            <w:shd w:val="clear" w:color="auto" w:fill="auto"/>
            <w:noWrap/>
            <w:vAlign w:val="center"/>
            <w:hideMark/>
          </w:tcPr>
          <w:p w14:paraId="7B8A28C0"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[–0.014, 0.007]</w:t>
            </w:r>
          </w:p>
        </w:tc>
        <w:tc>
          <w:tcPr>
            <w:tcW w:w="0" w:type="auto"/>
            <w:tcBorders>
              <w:top w:val="nil"/>
              <w:left w:val="nil"/>
              <w:bottom w:val="nil"/>
              <w:right w:val="nil"/>
            </w:tcBorders>
            <w:shd w:val="clear" w:color="auto" w:fill="auto"/>
            <w:noWrap/>
            <w:vAlign w:val="center"/>
            <w:hideMark/>
          </w:tcPr>
          <w:p w14:paraId="7E4A3B11"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0.001</w:t>
            </w:r>
          </w:p>
        </w:tc>
        <w:tc>
          <w:tcPr>
            <w:tcW w:w="0" w:type="auto"/>
            <w:tcBorders>
              <w:top w:val="nil"/>
              <w:left w:val="nil"/>
              <w:bottom w:val="nil"/>
              <w:right w:val="nil"/>
            </w:tcBorders>
            <w:shd w:val="clear" w:color="auto" w:fill="auto"/>
            <w:noWrap/>
            <w:vAlign w:val="center"/>
            <w:hideMark/>
          </w:tcPr>
          <w:p w14:paraId="00C8FBFB"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0.004</w:t>
            </w:r>
          </w:p>
        </w:tc>
        <w:tc>
          <w:tcPr>
            <w:tcW w:w="0" w:type="auto"/>
            <w:tcBorders>
              <w:top w:val="nil"/>
              <w:left w:val="nil"/>
              <w:bottom w:val="nil"/>
              <w:right w:val="nil"/>
            </w:tcBorders>
            <w:shd w:val="clear" w:color="auto" w:fill="auto"/>
            <w:noWrap/>
            <w:vAlign w:val="center"/>
            <w:hideMark/>
          </w:tcPr>
          <w:p w14:paraId="397788F3"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[–0.007, 0.009]</w:t>
            </w:r>
          </w:p>
        </w:tc>
      </w:tr>
      <w:tr w:rsidR="0017678B" w:rsidRPr="0017678B" w14:paraId="481F4654" w14:textId="77777777" w:rsidTr="00D24263">
        <w:trPr>
          <w:trHeight w:val="225"/>
        </w:trPr>
        <w:tc>
          <w:tcPr>
            <w:tcW w:w="0" w:type="auto"/>
            <w:tcBorders>
              <w:top w:val="nil"/>
              <w:left w:val="nil"/>
              <w:bottom w:val="nil"/>
              <w:right w:val="nil"/>
            </w:tcBorders>
            <w:shd w:val="clear" w:color="auto" w:fill="auto"/>
            <w:noWrap/>
            <w:vAlign w:val="bottom"/>
            <w:hideMark/>
          </w:tcPr>
          <w:p w14:paraId="2419E379"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Discipline-psychology</w:t>
            </w:r>
          </w:p>
        </w:tc>
        <w:tc>
          <w:tcPr>
            <w:tcW w:w="0" w:type="auto"/>
            <w:tcBorders>
              <w:top w:val="nil"/>
              <w:left w:val="nil"/>
              <w:bottom w:val="nil"/>
              <w:right w:val="nil"/>
            </w:tcBorders>
            <w:shd w:val="clear" w:color="auto" w:fill="auto"/>
            <w:noWrap/>
            <w:vAlign w:val="center"/>
            <w:hideMark/>
          </w:tcPr>
          <w:p w14:paraId="10386743"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0.109</w:t>
            </w:r>
          </w:p>
        </w:tc>
        <w:tc>
          <w:tcPr>
            <w:tcW w:w="0" w:type="auto"/>
            <w:tcBorders>
              <w:top w:val="nil"/>
              <w:left w:val="nil"/>
              <w:bottom w:val="nil"/>
              <w:right w:val="nil"/>
            </w:tcBorders>
            <w:shd w:val="clear" w:color="auto" w:fill="auto"/>
            <w:noWrap/>
            <w:vAlign w:val="center"/>
            <w:hideMark/>
          </w:tcPr>
          <w:p w14:paraId="5EDE21B2"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0.110</w:t>
            </w:r>
          </w:p>
        </w:tc>
        <w:tc>
          <w:tcPr>
            <w:tcW w:w="0" w:type="auto"/>
            <w:tcBorders>
              <w:top w:val="nil"/>
              <w:left w:val="nil"/>
              <w:bottom w:val="nil"/>
              <w:right w:val="nil"/>
            </w:tcBorders>
            <w:shd w:val="clear" w:color="auto" w:fill="auto"/>
            <w:noWrap/>
            <w:vAlign w:val="center"/>
            <w:hideMark/>
          </w:tcPr>
          <w:p w14:paraId="0ABF97E3"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[–0.107, 0.325]</w:t>
            </w:r>
          </w:p>
        </w:tc>
        <w:tc>
          <w:tcPr>
            <w:tcW w:w="0" w:type="auto"/>
            <w:tcBorders>
              <w:top w:val="nil"/>
              <w:left w:val="nil"/>
              <w:bottom w:val="nil"/>
              <w:right w:val="nil"/>
            </w:tcBorders>
            <w:shd w:val="clear" w:color="auto" w:fill="auto"/>
            <w:noWrap/>
            <w:vAlign w:val="center"/>
            <w:hideMark/>
          </w:tcPr>
          <w:p w14:paraId="73329A5B"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0.217</w:t>
            </w:r>
          </w:p>
        </w:tc>
        <w:tc>
          <w:tcPr>
            <w:tcW w:w="0" w:type="auto"/>
            <w:tcBorders>
              <w:top w:val="nil"/>
              <w:left w:val="nil"/>
              <w:bottom w:val="nil"/>
              <w:right w:val="nil"/>
            </w:tcBorders>
            <w:shd w:val="clear" w:color="auto" w:fill="auto"/>
            <w:noWrap/>
            <w:vAlign w:val="center"/>
            <w:hideMark/>
          </w:tcPr>
          <w:p w14:paraId="77588C6B"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0.088</w:t>
            </w:r>
          </w:p>
        </w:tc>
        <w:tc>
          <w:tcPr>
            <w:tcW w:w="0" w:type="auto"/>
            <w:tcBorders>
              <w:top w:val="nil"/>
              <w:left w:val="nil"/>
              <w:bottom w:val="nil"/>
              <w:right w:val="nil"/>
            </w:tcBorders>
            <w:shd w:val="clear" w:color="auto" w:fill="auto"/>
            <w:noWrap/>
            <w:vAlign w:val="center"/>
            <w:hideMark/>
          </w:tcPr>
          <w:p w14:paraId="1B0FCC5A"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[0.045, 0.389]</w:t>
            </w:r>
          </w:p>
        </w:tc>
      </w:tr>
      <w:tr w:rsidR="0017678B" w:rsidRPr="0017678B" w14:paraId="5D630AC5" w14:textId="77777777" w:rsidTr="00D24263">
        <w:trPr>
          <w:trHeight w:val="225"/>
        </w:trPr>
        <w:tc>
          <w:tcPr>
            <w:tcW w:w="0" w:type="auto"/>
            <w:tcBorders>
              <w:top w:val="nil"/>
              <w:left w:val="nil"/>
              <w:bottom w:val="nil"/>
              <w:right w:val="nil"/>
            </w:tcBorders>
            <w:shd w:val="clear" w:color="auto" w:fill="auto"/>
            <w:noWrap/>
            <w:vAlign w:val="bottom"/>
            <w:hideMark/>
          </w:tcPr>
          <w:p w14:paraId="72D9CFBE"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Discipline-other</w:t>
            </w:r>
          </w:p>
        </w:tc>
        <w:tc>
          <w:tcPr>
            <w:tcW w:w="0" w:type="auto"/>
            <w:tcBorders>
              <w:top w:val="nil"/>
              <w:left w:val="nil"/>
              <w:bottom w:val="nil"/>
              <w:right w:val="nil"/>
            </w:tcBorders>
            <w:shd w:val="clear" w:color="auto" w:fill="auto"/>
            <w:noWrap/>
            <w:vAlign w:val="center"/>
            <w:hideMark/>
          </w:tcPr>
          <w:p w14:paraId="290393F3"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–0.032</w:t>
            </w:r>
          </w:p>
        </w:tc>
        <w:tc>
          <w:tcPr>
            <w:tcW w:w="0" w:type="auto"/>
            <w:tcBorders>
              <w:top w:val="nil"/>
              <w:left w:val="nil"/>
              <w:bottom w:val="nil"/>
              <w:right w:val="nil"/>
            </w:tcBorders>
            <w:shd w:val="clear" w:color="auto" w:fill="auto"/>
            <w:noWrap/>
            <w:vAlign w:val="center"/>
            <w:hideMark/>
          </w:tcPr>
          <w:p w14:paraId="094FA8B9"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0.072</w:t>
            </w:r>
          </w:p>
        </w:tc>
        <w:tc>
          <w:tcPr>
            <w:tcW w:w="0" w:type="auto"/>
            <w:tcBorders>
              <w:top w:val="nil"/>
              <w:left w:val="nil"/>
              <w:bottom w:val="nil"/>
              <w:right w:val="nil"/>
            </w:tcBorders>
            <w:shd w:val="clear" w:color="auto" w:fill="auto"/>
            <w:noWrap/>
            <w:vAlign w:val="center"/>
            <w:hideMark/>
          </w:tcPr>
          <w:p w14:paraId="500873B5"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[–0.174, 0.109]</w:t>
            </w:r>
          </w:p>
        </w:tc>
        <w:tc>
          <w:tcPr>
            <w:tcW w:w="0" w:type="auto"/>
            <w:tcBorders>
              <w:top w:val="nil"/>
              <w:left w:val="nil"/>
              <w:bottom w:val="nil"/>
              <w:right w:val="nil"/>
            </w:tcBorders>
            <w:shd w:val="clear" w:color="auto" w:fill="auto"/>
            <w:noWrap/>
            <w:vAlign w:val="center"/>
            <w:hideMark/>
          </w:tcPr>
          <w:p w14:paraId="6F4BD0ED"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–0.064</w:t>
            </w:r>
          </w:p>
        </w:tc>
        <w:tc>
          <w:tcPr>
            <w:tcW w:w="0" w:type="auto"/>
            <w:tcBorders>
              <w:top w:val="nil"/>
              <w:left w:val="nil"/>
              <w:bottom w:val="nil"/>
              <w:right w:val="nil"/>
            </w:tcBorders>
            <w:shd w:val="clear" w:color="auto" w:fill="auto"/>
            <w:noWrap/>
            <w:vAlign w:val="center"/>
            <w:hideMark/>
          </w:tcPr>
          <w:p w14:paraId="4A9AFCB2"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0.067</w:t>
            </w:r>
          </w:p>
        </w:tc>
        <w:tc>
          <w:tcPr>
            <w:tcW w:w="0" w:type="auto"/>
            <w:tcBorders>
              <w:top w:val="nil"/>
              <w:left w:val="nil"/>
              <w:bottom w:val="nil"/>
              <w:right w:val="nil"/>
            </w:tcBorders>
            <w:shd w:val="clear" w:color="auto" w:fill="auto"/>
            <w:noWrap/>
            <w:vAlign w:val="center"/>
            <w:hideMark/>
          </w:tcPr>
          <w:p w14:paraId="36DD2862"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[–0.195, 0.067]</w:t>
            </w:r>
          </w:p>
        </w:tc>
      </w:tr>
      <w:tr w:rsidR="0017678B" w:rsidRPr="0017678B" w14:paraId="75567A3E" w14:textId="77777777" w:rsidTr="00D24263">
        <w:trPr>
          <w:trHeight w:val="225"/>
        </w:trPr>
        <w:tc>
          <w:tcPr>
            <w:tcW w:w="0" w:type="auto"/>
            <w:tcBorders>
              <w:top w:val="nil"/>
              <w:left w:val="nil"/>
              <w:bottom w:val="nil"/>
              <w:right w:val="nil"/>
            </w:tcBorders>
            <w:shd w:val="clear" w:color="auto" w:fill="auto"/>
            <w:noWrap/>
            <w:vAlign w:val="bottom"/>
            <w:hideMark/>
          </w:tcPr>
          <w:p w14:paraId="3BA1193C"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Discipline-non-student sample</w:t>
            </w:r>
          </w:p>
        </w:tc>
        <w:tc>
          <w:tcPr>
            <w:tcW w:w="0" w:type="auto"/>
            <w:tcBorders>
              <w:top w:val="nil"/>
              <w:left w:val="nil"/>
              <w:bottom w:val="nil"/>
              <w:right w:val="nil"/>
            </w:tcBorders>
            <w:shd w:val="clear" w:color="auto" w:fill="auto"/>
            <w:noWrap/>
            <w:vAlign w:val="center"/>
            <w:hideMark/>
          </w:tcPr>
          <w:p w14:paraId="2E51DB54"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0.083</w:t>
            </w:r>
          </w:p>
        </w:tc>
        <w:tc>
          <w:tcPr>
            <w:tcW w:w="0" w:type="auto"/>
            <w:tcBorders>
              <w:top w:val="nil"/>
              <w:left w:val="nil"/>
              <w:bottom w:val="nil"/>
              <w:right w:val="nil"/>
            </w:tcBorders>
            <w:shd w:val="clear" w:color="auto" w:fill="auto"/>
            <w:noWrap/>
            <w:vAlign w:val="center"/>
            <w:hideMark/>
          </w:tcPr>
          <w:p w14:paraId="1557F8C4"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0.099</w:t>
            </w:r>
          </w:p>
        </w:tc>
        <w:tc>
          <w:tcPr>
            <w:tcW w:w="0" w:type="auto"/>
            <w:tcBorders>
              <w:top w:val="nil"/>
              <w:left w:val="nil"/>
              <w:bottom w:val="nil"/>
              <w:right w:val="nil"/>
            </w:tcBorders>
            <w:shd w:val="clear" w:color="auto" w:fill="auto"/>
            <w:noWrap/>
            <w:vAlign w:val="center"/>
            <w:hideMark/>
          </w:tcPr>
          <w:p w14:paraId="6AEF231C"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[–0.112, 0.278]</w:t>
            </w:r>
          </w:p>
        </w:tc>
        <w:tc>
          <w:tcPr>
            <w:tcW w:w="0" w:type="auto"/>
            <w:tcBorders>
              <w:top w:val="nil"/>
              <w:left w:val="nil"/>
              <w:bottom w:val="nil"/>
              <w:right w:val="nil"/>
            </w:tcBorders>
            <w:shd w:val="clear" w:color="auto" w:fill="auto"/>
            <w:noWrap/>
            <w:vAlign w:val="center"/>
            <w:hideMark/>
          </w:tcPr>
          <w:p w14:paraId="7322D3F1"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–0.078</w:t>
            </w:r>
          </w:p>
        </w:tc>
        <w:tc>
          <w:tcPr>
            <w:tcW w:w="0" w:type="auto"/>
            <w:tcBorders>
              <w:top w:val="nil"/>
              <w:left w:val="nil"/>
              <w:bottom w:val="nil"/>
              <w:right w:val="nil"/>
            </w:tcBorders>
            <w:shd w:val="clear" w:color="auto" w:fill="auto"/>
            <w:noWrap/>
            <w:vAlign w:val="center"/>
            <w:hideMark/>
          </w:tcPr>
          <w:p w14:paraId="1A29BE9D"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0.086</w:t>
            </w:r>
          </w:p>
        </w:tc>
        <w:tc>
          <w:tcPr>
            <w:tcW w:w="0" w:type="auto"/>
            <w:tcBorders>
              <w:top w:val="nil"/>
              <w:left w:val="nil"/>
              <w:bottom w:val="nil"/>
              <w:right w:val="nil"/>
            </w:tcBorders>
            <w:shd w:val="clear" w:color="auto" w:fill="auto"/>
            <w:noWrap/>
            <w:vAlign w:val="center"/>
            <w:hideMark/>
          </w:tcPr>
          <w:p w14:paraId="4E823C77"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[–0.248, 0.091]</w:t>
            </w:r>
          </w:p>
        </w:tc>
      </w:tr>
      <w:tr w:rsidR="0017678B" w:rsidRPr="0017678B" w14:paraId="179E3B20" w14:textId="77777777" w:rsidTr="00D24263">
        <w:trPr>
          <w:trHeight w:val="225"/>
        </w:trPr>
        <w:tc>
          <w:tcPr>
            <w:tcW w:w="0" w:type="auto"/>
            <w:tcBorders>
              <w:top w:val="nil"/>
              <w:left w:val="nil"/>
              <w:bottom w:val="nil"/>
              <w:right w:val="nil"/>
            </w:tcBorders>
            <w:shd w:val="clear" w:color="auto" w:fill="auto"/>
            <w:noWrap/>
            <w:vAlign w:val="center"/>
            <w:hideMark/>
          </w:tcPr>
          <w:p w14:paraId="119C94A3"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Gender (Male %)</w:t>
            </w:r>
          </w:p>
        </w:tc>
        <w:tc>
          <w:tcPr>
            <w:tcW w:w="0" w:type="auto"/>
            <w:tcBorders>
              <w:top w:val="nil"/>
              <w:left w:val="nil"/>
              <w:bottom w:val="nil"/>
              <w:right w:val="nil"/>
            </w:tcBorders>
            <w:shd w:val="clear" w:color="auto" w:fill="auto"/>
            <w:noWrap/>
            <w:vAlign w:val="center"/>
            <w:hideMark/>
          </w:tcPr>
          <w:p w14:paraId="3EFEEB49"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–0.182</w:t>
            </w:r>
          </w:p>
        </w:tc>
        <w:tc>
          <w:tcPr>
            <w:tcW w:w="0" w:type="auto"/>
            <w:tcBorders>
              <w:top w:val="nil"/>
              <w:left w:val="nil"/>
              <w:bottom w:val="nil"/>
              <w:right w:val="nil"/>
            </w:tcBorders>
            <w:shd w:val="clear" w:color="auto" w:fill="auto"/>
            <w:noWrap/>
            <w:vAlign w:val="center"/>
            <w:hideMark/>
          </w:tcPr>
          <w:p w14:paraId="54952097"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0.116</w:t>
            </w:r>
          </w:p>
        </w:tc>
        <w:tc>
          <w:tcPr>
            <w:tcW w:w="0" w:type="auto"/>
            <w:tcBorders>
              <w:top w:val="nil"/>
              <w:left w:val="nil"/>
              <w:bottom w:val="nil"/>
              <w:right w:val="nil"/>
            </w:tcBorders>
            <w:shd w:val="clear" w:color="auto" w:fill="auto"/>
            <w:noWrap/>
            <w:vAlign w:val="center"/>
            <w:hideMark/>
          </w:tcPr>
          <w:p w14:paraId="78102F39"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[–0.410, 0.046]</w:t>
            </w:r>
          </w:p>
        </w:tc>
        <w:tc>
          <w:tcPr>
            <w:tcW w:w="0" w:type="auto"/>
            <w:tcBorders>
              <w:top w:val="nil"/>
              <w:left w:val="nil"/>
              <w:bottom w:val="nil"/>
              <w:right w:val="nil"/>
            </w:tcBorders>
            <w:shd w:val="clear" w:color="auto" w:fill="auto"/>
            <w:noWrap/>
            <w:vAlign w:val="center"/>
            <w:hideMark/>
          </w:tcPr>
          <w:p w14:paraId="1FF08CE7"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0.025</w:t>
            </w:r>
          </w:p>
        </w:tc>
        <w:tc>
          <w:tcPr>
            <w:tcW w:w="0" w:type="auto"/>
            <w:tcBorders>
              <w:top w:val="nil"/>
              <w:left w:val="nil"/>
              <w:bottom w:val="nil"/>
              <w:right w:val="nil"/>
            </w:tcBorders>
            <w:shd w:val="clear" w:color="auto" w:fill="auto"/>
            <w:noWrap/>
            <w:vAlign w:val="center"/>
            <w:hideMark/>
          </w:tcPr>
          <w:p w14:paraId="6A5A42AC"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0.086</w:t>
            </w:r>
          </w:p>
        </w:tc>
        <w:tc>
          <w:tcPr>
            <w:tcW w:w="0" w:type="auto"/>
            <w:tcBorders>
              <w:top w:val="nil"/>
              <w:left w:val="nil"/>
              <w:bottom w:val="nil"/>
              <w:right w:val="nil"/>
            </w:tcBorders>
            <w:shd w:val="clear" w:color="auto" w:fill="auto"/>
            <w:noWrap/>
            <w:vAlign w:val="center"/>
            <w:hideMark/>
          </w:tcPr>
          <w:p w14:paraId="23BCA8A3"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[–0.144, 0.194]</w:t>
            </w:r>
          </w:p>
        </w:tc>
      </w:tr>
      <w:tr w:rsidR="0017678B" w:rsidRPr="0017678B" w14:paraId="22740887" w14:textId="77777777" w:rsidTr="00D24263">
        <w:trPr>
          <w:trHeight w:val="225"/>
        </w:trPr>
        <w:tc>
          <w:tcPr>
            <w:tcW w:w="0" w:type="auto"/>
            <w:tcBorders>
              <w:top w:val="nil"/>
              <w:left w:val="nil"/>
              <w:bottom w:val="nil"/>
              <w:right w:val="nil"/>
            </w:tcBorders>
            <w:shd w:val="clear" w:color="auto" w:fill="auto"/>
            <w:noWrap/>
            <w:vAlign w:val="center"/>
            <w:hideMark/>
          </w:tcPr>
          <w:p w14:paraId="2C4F0029" w14:textId="77777777" w:rsidR="0017678B" w:rsidRPr="0017678B" w:rsidRDefault="0017678B" w:rsidP="0017678B">
            <w:pPr>
              <w:spacing w:line="240" w:lineRule="auto"/>
              <w:rPr>
                <w:rFonts w:eastAsia="Times New Roman" w:cs="Times New Roman"/>
                <w:i/>
                <w:iCs/>
                <w:color w:val="000000"/>
                <w:sz w:val="16"/>
                <w:szCs w:val="16"/>
                <w:lang w:val="en-GB" w:eastAsia="zh-CN"/>
              </w:rPr>
            </w:pPr>
            <w:r w:rsidRPr="0017678B">
              <w:rPr>
                <w:rFonts w:eastAsia="Times New Roman" w:cs="Times New Roman"/>
                <w:i/>
                <w:iCs/>
                <w:color w:val="000000"/>
                <w:sz w:val="16"/>
                <w:szCs w:val="16"/>
                <w:lang w:val="en-GB" w:eastAsia="zh-CN"/>
              </w:rPr>
              <w:t>Structural variables</w:t>
            </w:r>
          </w:p>
        </w:tc>
        <w:tc>
          <w:tcPr>
            <w:tcW w:w="0" w:type="auto"/>
            <w:tcBorders>
              <w:top w:val="nil"/>
              <w:left w:val="nil"/>
              <w:bottom w:val="nil"/>
              <w:right w:val="nil"/>
            </w:tcBorders>
            <w:shd w:val="clear" w:color="auto" w:fill="auto"/>
            <w:noWrap/>
            <w:vAlign w:val="center"/>
            <w:hideMark/>
          </w:tcPr>
          <w:p w14:paraId="6DC5EDF2" w14:textId="77777777" w:rsidR="0017678B" w:rsidRPr="0017678B" w:rsidRDefault="0017678B" w:rsidP="0017678B">
            <w:pPr>
              <w:spacing w:line="240" w:lineRule="auto"/>
              <w:rPr>
                <w:rFonts w:eastAsia="Times New Roman" w:cs="Times New Roman"/>
                <w:i/>
                <w:iCs/>
                <w:color w:val="000000"/>
                <w:sz w:val="16"/>
                <w:szCs w:val="16"/>
                <w:lang w:val="en-GB" w:eastAsia="zh-CN"/>
              </w:rPr>
            </w:pPr>
          </w:p>
        </w:tc>
        <w:tc>
          <w:tcPr>
            <w:tcW w:w="0" w:type="auto"/>
            <w:tcBorders>
              <w:top w:val="nil"/>
              <w:left w:val="nil"/>
              <w:bottom w:val="nil"/>
              <w:right w:val="nil"/>
            </w:tcBorders>
            <w:shd w:val="clear" w:color="auto" w:fill="auto"/>
            <w:noWrap/>
            <w:vAlign w:val="center"/>
            <w:hideMark/>
          </w:tcPr>
          <w:p w14:paraId="5D4660F0" w14:textId="77777777" w:rsidR="0017678B" w:rsidRPr="0017678B" w:rsidRDefault="0017678B" w:rsidP="0017678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7001B31F" w14:textId="77777777" w:rsidR="0017678B" w:rsidRPr="0017678B" w:rsidRDefault="0017678B" w:rsidP="0017678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0C41A799" w14:textId="77777777" w:rsidR="0017678B" w:rsidRPr="0017678B" w:rsidRDefault="0017678B" w:rsidP="0017678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4DC74B75" w14:textId="77777777" w:rsidR="0017678B" w:rsidRPr="0017678B" w:rsidRDefault="0017678B" w:rsidP="0017678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71A6AE27" w14:textId="77777777" w:rsidR="0017678B" w:rsidRPr="0017678B" w:rsidRDefault="0017678B" w:rsidP="0017678B">
            <w:pPr>
              <w:spacing w:line="240" w:lineRule="auto"/>
              <w:jc w:val="center"/>
              <w:rPr>
                <w:rFonts w:eastAsia="Times New Roman" w:cs="Times New Roman"/>
                <w:sz w:val="20"/>
                <w:szCs w:val="20"/>
                <w:lang w:val="en-GB" w:eastAsia="zh-CN"/>
              </w:rPr>
            </w:pPr>
          </w:p>
        </w:tc>
      </w:tr>
      <w:tr w:rsidR="0017678B" w:rsidRPr="0017678B" w14:paraId="63F09EDC" w14:textId="77777777" w:rsidTr="00D24263">
        <w:trPr>
          <w:trHeight w:val="225"/>
        </w:trPr>
        <w:tc>
          <w:tcPr>
            <w:tcW w:w="0" w:type="auto"/>
            <w:tcBorders>
              <w:top w:val="nil"/>
              <w:left w:val="nil"/>
              <w:bottom w:val="nil"/>
              <w:right w:val="nil"/>
            </w:tcBorders>
            <w:shd w:val="clear" w:color="auto" w:fill="auto"/>
            <w:noWrap/>
            <w:vAlign w:val="bottom"/>
            <w:hideMark/>
          </w:tcPr>
          <w:p w14:paraId="5877EE58"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Conflict of interests (K index)</w:t>
            </w:r>
          </w:p>
        </w:tc>
        <w:tc>
          <w:tcPr>
            <w:tcW w:w="0" w:type="auto"/>
            <w:tcBorders>
              <w:top w:val="nil"/>
              <w:left w:val="nil"/>
              <w:bottom w:val="nil"/>
              <w:right w:val="nil"/>
            </w:tcBorders>
            <w:shd w:val="clear" w:color="auto" w:fill="auto"/>
            <w:noWrap/>
            <w:vAlign w:val="center"/>
            <w:hideMark/>
          </w:tcPr>
          <w:p w14:paraId="0BFF94DE"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66FEB587"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5486F4AD"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58657B9F" w14:textId="77777777" w:rsidR="0017678B" w:rsidRPr="0017678B" w:rsidRDefault="0017678B" w:rsidP="0017678B">
            <w:pPr>
              <w:spacing w:line="240" w:lineRule="auto"/>
              <w:jc w:val="center"/>
              <w:rPr>
                <w:rFonts w:eastAsia="Times New Roman" w:cs="Times New Roman"/>
                <w:b/>
                <w:bCs/>
                <w:color w:val="000000"/>
                <w:sz w:val="16"/>
                <w:szCs w:val="16"/>
                <w:lang w:val="en-GB" w:eastAsia="zh-CN"/>
              </w:rPr>
            </w:pPr>
            <w:r w:rsidRPr="0017678B">
              <w:rPr>
                <w:rFonts w:eastAsia="Times New Roman" w:cs="Times New Roman"/>
                <w:b/>
                <w:bCs/>
                <w:color w:val="000000"/>
                <w:sz w:val="16"/>
                <w:szCs w:val="16"/>
                <w:lang w:val="en-GB" w:eastAsia="zh-CN"/>
              </w:rPr>
              <w:t>1.129*</w:t>
            </w:r>
          </w:p>
        </w:tc>
        <w:tc>
          <w:tcPr>
            <w:tcW w:w="0" w:type="auto"/>
            <w:tcBorders>
              <w:top w:val="nil"/>
              <w:left w:val="nil"/>
              <w:bottom w:val="nil"/>
              <w:right w:val="nil"/>
            </w:tcBorders>
            <w:shd w:val="clear" w:color="auto" w:fill="auto"/>
            <w:noWrap/>
            <w:vAlign w:val="center"/>
            <w:hideMark/>
          </w:tcPr>
          <w:p w14:paraId="48445662" w14:textId="77777777" w:rsidR="0017678B" w:rsidRPr="0017678B" w:rsidRDefault="0017678B" w:rsidP="0017678B">
            <w:pPr>
              <w:spacing w:line="240" w:lineRule="auto"/>
              <w:jc w:val="center"/>
              <w:rPr>
                <w:rFonts w:eastAsia="Times New Roman" w:cs="Times New Roman"/>
                <w:b/>
                <w:bCs/>
                <w:color w:val="000000"/>
                <w:sz w:val="16"/>
                <w:szCs w:val="16"/>
                <w:lang w:val="en-GB" w:eastAsia="zh-CN"/>
              </w:rPr>
            </w:pPr>
            <w:r w:rsidRPr="0017678B">
              <w:rPr>
                <w:rFonts w:eastAsia="Times New Roman" w:cs="Times New Roman"/>
                <w:b/>
                <w:bCs/>
                <w:color w:val="000000"/>
                <w:sz w:val="16"/>
                <w:szCs w:val="16"/>
                <w:lang w:val="en-GB" w:eastAsia="zh-CN"/>
              </w:rPr>
              <w:t>0.114</w:t>
            </w:r>
          </w:p>
        </w:tc>
        <w:tc>
          <w:tcPr>
            <w:tcW w:w="0" w:type="auto"/>
            <w:tcBorders>
              <w:top w:val="nil"/>
              <w:left w:val="nil"/>
              <w:bottom w:val="nil"/>
              <w:right w:val="nil"/>
            </w:tcBorders>
            <w:shd w:val="clear" w:color="auto" w:fill="auto"/>
            <w:noWrap/>
            <w:vAlign w:val="center"/>
            <w:hideMark/>
          </w:tcPr>
          <w:p w14:paraId="00B2BC5B" w14:textId="77777777" w:rsidR="0017678B" w:rsidRPr="0017678B" w:rsidRDefault="0017678B" w:rsidP="0017678B">
            <w:pPr>
              <w:spacing w:line="240" w:lineRule="auto"/>
              <w:jc w:val="center"/>
              <w:rPr>
                <w:rFonts w:eastAsia="Times New Roman" w:cs="Times New Roman"/>
                <w:b/>
                <w:bCs/>
                <w:color w:val="000000"/>
                <w:sz w:val="16"/>
                <w:szCs w:val="16"/>
                <w:lang w:val="en-GB" w:eastAsia="zh-CN"/>
              </w:rPr>
            </w:pPr>
            <w:r w:rsidRPr="0017678B">
              <w:rPr>
                <w:rFonts w:eastAsia="Times New Roman" w:cs="Times New Roman"/>
                <w:b/>
                <w:bCs/>
                <w:color w:val="000000"/>
                <w:sz w:val="16"/>
                <w:szCs w:val="16"/>
                <w:lang w:val="en-GB" w:eastAsia="zh-CN"/>
              </w:rPr>
              <w:t>[0.905, 1.353]</w:t>
            </w:r>
          </w:p>
        </w:tc>
      </w:tr>
      <w:tr w:rsidR="0017678B" w:rsidRPr="0017678B" w14:paraId="4FC75011" w14:textId="77777777" w:rsidTr="00D24263">
        <w:trPr>
          <w:trHeight w:val="225"/>
        </w:trPr>
        <w:tc>
          <w:tcPr>
            <w:tcW w:w="0" w:type="auto"/>
            <w:tcBorders>
              <w:top w:val="nil"/>
              <w:left w:val="nil"/>
              <w:bottom w:val="nil"/>
              <w:right w:val="nil"/>
            </w:tcBorders>
            <w:shd w:val="clear" w:color="auto" w:fill="auto"/>
            <w:noWrap/>
            <w:vAlign w:val="bottom"/>
            <w:hideMark/>
          </w:tcPr>
          <w:p w14:paraId="210B59C8"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Conflict of interests (MPCR)</w:t>
            </w:r>
          </w:p>
        </w:tc>
        <w:tc>
          <w:tcPr>
            <w:tcW w:w="0" w:type="auto"/>
            <w:tcBorders>
              <w:top w:val="nil"/>
              <w:left w:val="nil"/>
              <w:bottom w:val="nil"/>
              <w:right w:val="nil"/>
            </w:tcBorders>
            <w:shd w:val="clear" w:color="auto" w:fill="auto"/>
            <w:noWrap/>
            <w:vAlign w:val="center"/>
            <w:hideMark/>
          </w:tcPr>
          <w:p w14:paraId="4B801643" w14:textId="77777777" w:rsidR="0017678B" w:rsidRPr="0017678B" w:rsidRDefault="0017678B" w:rsidP="0017678B">
            <w:pPr>
              <w:spacing w:line="240" w:lineRule="auto"/>
              <w:jc w:val="center"/>
              <w:rPr>
                <w:rFonts w:eastAsia="Times New Roman" w:cs="Times New Roman"/>
                <w:b/>
                <w:bCs/>
                <w:color w:val="000000"/>
                <w:sz w:val="16"/>
                <w:szCs w:val="16"/>
                <w:lang w:val="en-GB" w:eastAsia="zh-CN"/>
              </w:rPr>
            </w:pPr>
            <w:r w:rsidRPr="0017678B">
              <w:rPr>
                <w:rFonts w:eastAsia="Times New Roman" w:cs="Times New Roman"/>
                <w:b/>
                <w:bCs/>
                <w:color w:val="000000"/>
                <w:sz w:val="16"/>
                <w:szCs w:val="16"/>
                <w:lang w:val="en-GB" w:eastAsia="zh-CN"/>
              </w:rPr>
              <w:t>0.729*</w:t>
            </w:r>
          </w:p>
        </w:tc>
        <w:tc>
          <w:tcPr>
            <w:tcW w:w="0" w:type="auto"/>
            <w:tcBorders>
              <w:top w:val="nil"/>
              <w:left w:val="nil"/>
              <w:bottom w:val="nil"/>
              <w:right w:val="nil"/>
            </w:tcBorders>
            <w:shd w:val="clear" w:color="auto" w:fill="auto"/>
            <w:noWrap/>
            <w:vAlign w:val="center"/>
            <w:hideMark/>
          </w:tcPr>
          <w:p w14:paraId="0BE2E28F" w14:textId="77777777" w:rsidR="0017678B" w:rsidRPr="0017678B" w:rsidRDefault="0017678B" w:rsidP="0017678B">
            <w:pPr>
              <w:spacing w:line="240" w:lineRule="auto"/>
              <w:jc w:val="center"/>
              <w:rPr>
                <w:rFonts w:eastAsia="Times New Roman" w:cs="Times New Roman"/>
                <w:b/>
                <w:bCs/>
                <w:color w:val="000000"/>
                <w:sz w:val="16"/>
                <w:szCs w:val="16"/>
                <w:lang w:val="en-GB" w:eastAsia="zh-CN"/>
              </w:rPr>
            </w:pPr>
            <w:r w:rsidRPr="0017678B">
              <w:rPr>
                <w:rFonts w:eastAsia="Times New Roman" w:cs="Times New Roman"/>
                <w:b/>
                <w:bCs/>
                <w:color w:val="000000"/>
                <w:sz w:val="16"/>
                <w:szCs w:val="16"/>
                <w:lang w:val="en-GB" w:eastAsia="zh-CN"/>
              </w:rPr>
              <w:t>0.192</w:t>
            </w:r>
          </w:p>
        </w:tc>
        <w:tc>
          <w:tcPr>
            <w:tcW w:w="0" w:type="auto"/>
            <w:tcBorders>
              <w:top w:val="nil"/>
              <w:left w:val="nil"/>
              <w:bottom w:val="nil"/>
              <w:right w:val="nil"/>
            </w:tcBorders>
            <w:shd w:val="clear" w:color="auto" w:fill="auto"/>
            <w:noWrap/>
            <w:vAlign w:val="center"/>
            <w:hideMark/>
          </w:tcPr>
          <w:p w14:paraId="1A1A2FBD" w14:textId="77777777" w:rsidR="0017678B" w:rsidRPr="0017678B" w:rsidRDefault="0017678B" w:rsidP="0017678B">
            <w:pPr>
              <w:spacing w:line="240" w:lineRule="auto"/>
              <w:jc w:val="center"/>
              <w:rPr>
                <w:rFonts w:eastAsia="Times New Roman" w:cs="Times New Roman"/>
                <w:b/>
                <w:bCs/>
                <w:color w:val="000000"/>
                <w:sz w:val="16"/>
                <w:szCs w:val="16"/>
                <w:lang w:val="en-GB" w:eastAsia="zh-CN"/>
              </w:rPr>
            </w:pPr>
            <w:r w:rsidRPr="0017678B">
              <w:rPr>
                <w:rFonts w:eastAsia="Times New Roman" w:cs="Times New Roman"/>
                <w:b/>
                <w:bCs/>
                <w:color w:val="000000"/>
                <w:sz w:val="16"/>
                <w:szCs w:val="16"/>
                <w:lang w:val="en-GB" w:eastAsia="zh-CN"/>
              </w:rPr>
              <w:t>[0.353, 1.105]</w:t>
            </w:r>
          </w:p>
        </w:tc>
        <w:tc>
          <w:tcPr>
            <w:tcW w:w="0" w:type="auto"/>
            <w:tcBorders>
              <w:top w:val="nil"/>
              <w:left w:val="nil"/>
              <w:bottom w:val="nil"/>
              <w:right w:val="nil"/>
            </w:tcBorders>
            <w:shd w:val="clear" w:color="auto" w:fill="auto"/>
            <w:noWrap/>
            <w:vAlign w:val="center"/>
            <w:hideMark/>
          </w:tcPr>
          <w:p w14:paraId="79A62A71"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76B72782"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6B73AD2C"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r>
      <w:tr w:rsidR="0017678B" w:rsidRPr="0017678B" w14:paraId="4CECFE4D" w14:textId="77777777" w:rsidTr="00D24263">
        <w:trPr>
          <w:trHeight w:val="225"/>
        </w:trPr>
        <w:tc>
          <w:tcPr>
            <w:tcW w:w="0" w:type="auto"/>
            <w:tcBorders>
              <w:top w:val="nil"/>
              <w:left w:val="nil"/>
              <w:bottom w:val="nil"/>
              <w:right w:val="nil"/>
            </w:tcBorders>
            <w:shd w:val="clear" w:color="auto" w:fill="auto"/>
            <w:noWrap/>
            <w:vAlign w:val="bottom"/>
            <w:hideMark/>
          </w:tcPr>
          <w:p w14:paraId="2C578959"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Group size</w:t>
            </w:r>
          </w:p>
        </w:tc>
        <w:tc>
          <w:tcPr>
            <w:tcW w:w="0" w:type="auto"/>
            <w:tcBorders>
              <w:top w:val="nil"/>
              <w:left w:val="nil"/>
              <w:bottom w:val="nil"/>
              <w:right w:val="nil"/>
            </w:tcBorders>
            <w:shd w:val="clear" w:color="auto" w:fill="auto"/>
            <w:noWrap/>
            <w:vAlign w:val="center"/>
            <w:hideMark/>
          </w:tcPr>
          <w:p w14:paraId="353CE7C3" w14:textId="77777777" w:rsidR="0017678B" w:rsidRPr="0017678B" w:rsidRDefault="0017678B" w:rsidP="0017678B">
            <w:pPr>
              <w:spacing w:line="240" w:lineRule="auto"/>
              <w:jc w:val="center"/>
              <w:rPr>
                <w:rFonts w:eastAsia="Times New Roman" w:cs="Times New Roman"/>
                <w:b/>
                <w:bCs/>
                <w:color w:val="000000"/>
                <w:sz w:val="16"/>
                <w:szCs w:val="16"/>
                <w:lang w:val="en-GB" w:eastAsia="zh-CN"/>
              </w:rPr>
            </w:pPr>
            <w:r w:rsidRPr="0017678B">
              <w:rPr>
                <w:rFonts w:eastAsia="Times New Roman" w:cs="Times New Roman"/>
                <w:b/>
                <w:bCs/>
                <w:color w:val="000000"/>
                <w:sz w:val="16"/>
                <w:szCs w:val="16"/>
                <w:lang w:val="en-GB" w:eastAsia="zh-CN"/>
              </w:rPr>
              <w:t>0.008</w:t>
            </w:r>
          </w:p>
        </w:tc>
        <w:tc>
          <w:tcPr>
            <w:tcW w:w="0" w:type="auto"/>
            <w:tcBorders>
              <w:top w:val="nil"/>
              <w:left w:val="nil"/>
              <w:bottom w:val="nil"/>
              <w:right w:val="nil"/>
            </w:tcBorders>
            <w:shd w:val="clear" w:color="auto" w:fill="auto"/>
            <w:noWrap/>
            <w:vAlign w:val="center"/>
            <w:hideMark/>
          </w:tcPr>
          <w:p w14:paraId="7C93E1CD" w14:textId="77777777" w:rsidR="0017678B" w:rsidRPr="0017678B" w:rsidRDefault="0017678B" w:rsidP="0017678B">
            <w:pPr>
              <w:spacing w:line="240" w:lineRule="auto"/>
              <w:jc w:val="center"/>
              <w:rPr>
                <w:rFonts w:eastAsia="Times New Roman" w:cs="Times New Roman"/>
                <w:b/>
                <w:bCs/>
                <w:color w:val="000000"/>
                <w:sz w:val="16"/>
                <w:szCs w:val="16"/>
                <w:lang w:val="en-GB" w:eastAsia="zh-CN"/>
              </w:rPr>
            </w:pPr>
            <w:r w:rsidRPr="0017678B">
              <w:rPr>
                <w:rFonts w:eastAsia="Times New Roman" w:cs="Times New Roman"/>
                <w:b/>
                <w:bCs/>
                <w:color w:val="000000"/>
                <w:sz w:val="16"/>
                <w:szCs w:val="16"/>
                <w:lang w:val="en-GB" w:eastAsia="zh-CN"/>
              </w:rPr>
              <w:t>0.004</w:t>
            </w:r>
          </w:p>
        </w:tc>
        <w:tc>
          <w:tcPr>
            <w:tcW w:w="0" w:type="auto"/>
            <w:tcBorders>
              <w:top w:val="nil"/>
              <w:left w:val="nil"/>
              <w:bottom w:val="nil"/>
              <w:right w:val="nil"/>
            </w:tcBorders>
            <w:shd w:val="clear" w:color="auto" w:fill="auto"/>
            <w:noWrap/>
            <w:vAlign w:val="center"/>
            <w:hideMark/>
          </w:tcPr>
          <w:p w14:paraId="504A7DFE" w14:textId="77777777" w:rsidR="0017678B" w:rsidRPr="0017678B" w:rsidRDefault="0017678B" w:rsidP="0017678B">
            <w:pPr>
              <w:spacing w:line="240" w:lineRule="auto"/>
              <w:jc w:val="center"/>
              <w:rPr>
                <w:rFonts w:eastAsia="Times New Roman" w:cs="Times New Roman"/>
                <w:b/>
                <w:bCs/>
                <w:color w:val="000000"/>
                <w:sz w:val="16"/>
                <w:szCs w:val="16"/>
                <w:lang w:val="en-GB" w:eastAsia="zh-CN"/>
              </w:rPr>
            </w:pPr>
            <w:r w:rsidRPr="0017678B">
              <w:rPr>
                <w:rFonts w:eastAsia="Times New Roman" w:cs="Times New Roman"/>
                <w:b/>
                <w:bCs/>
                <w:color w:val="000000"/>
                <w:sz w:val="16"/>
                <w:szCs w:val="16"/>
                <w:lang w:val="en-GB" w:eastAsia="zh-CN"/>
              </w:rPr>
              <w:t>[0, 0.016]</w:t>
            </w:r>
          </w:p>
        </w:tc>
        <w:tc>
          <w:tcPr>
            <w:tcW w:w="0" w:type="auto"/>
            <w:tcBorders>
              <w:top w:val="nil"/>
              <w:left w:val="nil"/>
              <w:bottom w:val="nil"/>
              <w:right w:val="nil"/>
            </w:tcBorders>
            <w:shd w:val="clear" w:color="auto" w:fill="auto"/>
            <w:noWrap/>
            <w:vAlign w:val="center"/>
            <w:hideMark/>
          </w:tcPr>
          <w:p w14:paraId="54D05150"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56CC544F"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77CB4A44"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r>
      <w:tr w:rsidR="0017678B" w:rsidRPr="0017678B" w14:paraId="5FE1B57F" w14:textId="77777777" w:rsidTr="00D24263">
        <w:trPr>
          <w:trHeight w:val="225"/>
        </w:trPr>
        <w:tc>
          <w:tcPr>
            <w:tcW w:w="0" w:type="auto"/>
            <w:tcBorders>
              <w:top w:val="nil"/>
              <w:left w:val="nil"/>
              <w:bottom w:val="nil"/>
              <w:right w:val="nil"/>
            </w:tcBorders>
            <w:shd w:val="clear" w:color="auto" w:fill="auto"/>
            <w:noWrap/>
            <w:vAlign w:val="bottom"/>
            <w:hideMark/>
          </w:tcPr>
          <w:p w14:paraId="3AE4A385"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Group size (log-transformed)</w:t>
            </w:r>
          </w:p>
        </w:tc>
        <w:tc>
          <w:tcPr>
            <w:tcW w:w="0" w:type="auto"/>
            <w:tcBorders>
              <w:top w:val="nil"/>
              <w:left w:val="nil"/>
              <w:bottom w:val="nil"/>
              <w:right w:val="nil"/>
            </w:tcBorders>
            <w:shd w:val="clear" w:color="auto" w:fill="auto"/>
            <w:noWrap/>
            <w:vAlign w:val="center"/>
            <w:hideMark/>
          </w:tcPr>
          <w:p w14:paraId="7061ED18"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77D1B25E"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42B4BBB5"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2A91D676"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–0.058</w:t>
            </w:r>
          </w:p>
        </w:tc>
        <w:tc>
          <w:tcPr>
            <w:tcW w:w="0" w:type="auto"/>
            <w:tcBorders>
              <w:top w:val="nil"/>
              <w:left w:val="nil"/>
              <w:bottom w:val="nil"/>
              <w:right w:val="nil"/>
            </w:tcBorders>
            <w:shd w:val="clear" w:color="auto" w:fill="auto"/>
            <w:noWrap/>
            <w:vAlign w:val="center"/>
            <w:hideMark/>
          </w:tcPr>
          <w:p w14:paraId="37DD4030"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0.043</w:t>
            </w:r>
          </w:p>
        </w:tc>
        <w:tc>
          <w:tcPr>
            <w:tcW w:w="0" w:type="auto"/>
            <w:tcBorders>
              <w:top w:val="nil"/>
              <w:left w:val="nil"/>
              <w:bottom w:val="nil"/>
              <w:right w:val="nil"/>
            </w:tcBorders>
            <w:shd w:val="clear" w:color="auto" w:fill="auto"/>
            <w:noWrap/>
            <w:vAlign w:val="center"/>
            <w:hideMark/>
          </w:tcPr>
          <w:p w14:paraId="3DF44AAD"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[–0.142, 0.026]</w:t>
            </w:r>
          </w:p>
        </w:tc>
      </w:tr>
      <w:tr w:rsidR="0017678B" w:rsidRPr="0017678B" w14:paraId="63207B05" w14:textId="77777777" w:rsidTr="00D24263">
        <w:trPr>
          <w:trHeight w:val="225"/>
        </w:trPr>
        <w:tc>
          <w:tcPr>
            <w:tcW w:w="0" w:type="auto"/>
            <w:tcBorders>
              <w:top w:val="nil"/>
              <w:left w:val="nil"/>
              <w:bottom w:val="nil"/>
              <w:right w:val="nil"/>
            </w:tcBorders>
            <w:shd w:val="clear" w:color="auto" w:fill="auto"/>
            <w:noWrap/>
            <w:vAlign w:val="bottom"/>
            <w:hideMark/>
          </w:tcPr>
          <w:p w14:paraId="70FCC37E"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Sanction-yes</w:t>
            </w:r>
          </w:p>
        </w:tc>
        <w:tc>
          <w:tcPr>
            <w:tcW w:w="0" w:type="auto"/>
            <w:tcBorders>
              <w:top w:val="nil"/>
              <w:left w:val="nil"/>
              <w:bottom w:val="nil"/>
              <w:right w:val="nil"/>
            </w:tcBorders>
            <w:shd w:val="clear" w:color="auto" w:fill="auto"/>
            <w:noWrap/>
            <w:vAlign w:val="center"/>
            <w:hideMark/>
          </w:tcPr>
          <w:p w14:paraId="2BE4AA5E"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0.297*</w:t>
            </w:r>
          </w:p>
        </w:tc>
        <w:tc>
          <w:tcPr>
            <w:tcW w:w="0" w:type="auto"/>
            <w:tcBorders>
              <w:top w:val="nil"/>
              <w:left w:val="nil"/>
              <w:bottom w:val="nil"/>
              <w:right w:val="nil"/>
            </w:tcBorders>
            <w:shd w:val="clear" w:color="auto" w:fill="auto"/>
            <w:noWrap/>
            <w:vAlign w:val="center"/>
            <w:hideMark/>
          </w:tcPr>
          <w:p w14:paraId="7E6899B5"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0.093</w:t>
            </w:r>
          </w:p>
        </w:tc>
        <w:tc>
          <w:tcPr>
            <w:tcW w:w="0" w:type="auto"/>
            <w:tcBorders>
              <w:top w:val="nil"/>
              <w:left w:val="nil"/>
              <w:bottom w:val="nil"/>
              <w:right w:val="nil"/>
            </w:tcBorders>
            <w:shd w:val="clear" w:color="auto" w:fill="auto"/>
            <w:noWrap/>
            <w:vAlign w:val="center"/>
            <w:hideMark/>
          </w:tcPr>
          <w:p w14:paraId="0DDDB27D"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[0.113, 0.480]</w:t>
            </w:r>
          </w:p>
        </w:tc>
        <w:tc>
          <w:tcPr>
            <w:tcW w:w="0" w:type="auto"/>
            <w:tcBorders>
              <w:top w:val="nil"/>
              <w:left w:val="nil"/>
              <w:bottom w:val="nil"/>
              <w:right w:val="nil"/>
            </w:tcBorders>
            <w:shd w:val="clear" w:color="auto" w:fill="auto"/>
            <w:noWrap/>
            <w:vAlign w:val="center"/>
            <w:hideMark/>
          </w:tcPr>
          <w:p w14:paraId="0D151119" w14:textId="77777777" w:rsidR="0017678B" w:rsidRPr="0017678B" w:rsidRDefault="0017678B" w:rsidP="0017678B">
            <w:pPr>
              <w:spacing w:line="240" w:lineRule="auto"/>
              <w:jc w:val="center"/>
              <w:rPr>
                <w:rFonts w:eastAsia="Times New Roman" w:cs="Times New Roman"/>
                <w:b/>
                <w:bCs/>
                <w:color w:val="000000"/>
                <w:sz w:val="16"/>
                <w:szCs w:val="16"/>
                <w:lang w:val="en-GB" w:eastAsia="zh-CN"/>
              </w:rPr>
            </w:pPr>
            <w:r w:rsidRPr="0017678B">
              <w:rPr>
                <w:rFonts w:eastAsia="Times New Roman" w:cs="Times New Roman"/>
                <w:b/>
                <w:bCs/>
                <w:color w:val="000000"/>
                <w:sz w:val="16"/>
                <w:szCs w:val="16"/>
                <w:lang w:val="en-GB" w:eastAsia="zh-CN"/>
              </w:rPr>
              <w:t>0.322*</w:t>
            </w:r>
          </w:p>
        </w:tc>
        <w:tc>
          <w:tcPr>
            <w:tcW w:w="0" w:type="auto"/>
            <w:tcBorders>
              <w:top w:val="nil"/>
              <w:left w:val="nil"/>
              <w:bottom w:val="nil"/>
              <w:right w:val="nil"/>
            </w:tcBorders>
            <w:shd w:val="clear" w:color="auto" w:fill="auto"/>
            <w:noWrap/>
            <w:vAlign w:val="center"/>
            <w:hideMark/>
          </w:tcPr>
          <w:p w14:paraId="7C3D9B95" w14:textId="77777777" w:rsidR="0017678B" w:rsidRPr="0017678B" w:rsidRDefault="0017678B" w:rsidP="0017678B">
            <w:pPr>
              <w:spacing w:line="240" w:lineRule="auto"/>
              <w:jc w:val="center"/>
              <w:rPr>
                <w:rFonts w:eastAsia="Times New Roman" w:cs="Times New Roman"/>
                <w:b/>
                <w:bCs/>
                <w:color w:val="000000"/>
                <w:sz w:val="16"/>
                <w:szCs w:val="16"/>
                <w:lang w:val="en-GB" w:eastAsia="zh-CN"/>
              </w:rPr>
            </w:pPr>
            <w:r w:rsidRPr="0017678B">
              <w:rPr>
                <w:rFonts w:eastAsia="Times New Roman" w:cs="Times New Roman"/>
                <w:b/>
                <w:bCs/>
                <w:color w:val="000000"/>
                <w:sz w:val="16"/>
                <w:szCs w:val="16"/>
                <w:lang w:val="en-GB" w:eastAsia="zh-CN"/>
              </w:rPr>
              <w:t>0.092</w:t>
            </w:r>
          </w:p>
        </w:tc>
        <w:tc>
          <w:tcPr>
            <w:tcW w:w="0" w:type="auto"/>
            <w:tcBorders>
              <w:top w:val="nil"/>
              <w:left w:val="nil"/>
              <w:bottom w:val="nil"/>
              <w:right w:val="nil"/>
            </w:tcBorders>
            <w:shd w:val="clear" w:color="auto" w:fill="auto"/>
            <w:noWrap/>
            <w:vAlign w:val="center"/>
            <w:hideMark/>
          </w:tcPr>
          <w:p w14:paraId="6286A979" w14:textId="77777777" w:rsidR="0017678B" w:rsidRPr="0017678B" w:rsidRDefault="0017678B" w:rsidP="0017678B">
            <w:pPr>
              <w:spacing w:line="240" w:lineRule="auto"/>
              <w:jc w:val="center"/>
              <w:rPr>
                <w:rFonts w:eastAsia="Times New Roman" w:cs="Times New Roman"/>
                <w:b/>
                <w:bCs/>
                <w:color w:val="000000"/>
                <w:sz w:val="16"/>
                <w:szCs w:val="16"/>
                <w:lang w:val="en-GB" w:eastAsia="zh-CN"/>
              </w:rPr>
            </w:pPr>
            <w:r w:rsidRPr="0017678B">
              <w:rPr>
                <w:rFonts w:eastAsia="Times New Roman" w:cs="Times New Roman"/>
                <w:b/>
                <w:bCs/>
                <w:color w:val="000000"/>
                <w:sz w:val="16"/>
                <w:szCs w:val="16"/>
                <w:lang w:val="en-GB" w:eastAsia="zh-CN"/>
              </w:rPr>
              <w:t>[0.141, 0.502]</w:t>
            </w:r>
          </w:p>
        </w:tc>
      </w:tr>
      <w:tr w:rsidR="0017678B" w:rsidRPr="0017678B" w14:paraId="1000D547" w14:textId="77777777" w:rsidTr="00D24263">
        <w:trPr>
          <w:trHeight w:val="225"/>
        </w:trPr>
        <w:tc>
          <w:tcPr>
            <w:tcW w:w="0" w:type="auto"/>
            <w:tcBorders>
              <w:top w:val="nil"/>
              <w:left w:val="nil"/>
              <w:bottom w:val="nil"/>
              <w:right w:val="nil"/>
            </w:tcBorders>
            <w:shd w:val="clear" w:color="auto" w:fill="auto"/>
            <w:noWrap/>
            <w:vAlign w:val="bottom"/>
            <w:hideMark/>
          </w:tcPr>
          <w:p w14:paraId="701C5684"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Sanction-mixed</w:t>
            </w:r>
          </w:p>
        </w:tc>
        <w:tc>
          <w:tcPr>
            <w:tcW w:w="0" w:type="auto"/>
            <w:tcBorders>
              <w:top w:val="nil"/>
              <w:left w:val="nil"/>
              <w:bottom w:val="nil"/>
              <w:right w:val="nil"/>
            </w:tcBorders>
            <w:shd w:val="clear" w:color="auto" w:fill="auto"/>
            <w:noWrap/>
            <w:vAlign w:val="center"/>
            <w:hideMark/>
          </w:tcPr>
          <w:p w14:paraId="0A2FEEC8"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–0.109</w:t>
            </w:r>
          </w:p>
        </w:tc>
        <w:tc>
          <w:tcPr>
            <w:tcW w:w="0" w:type="auto"/>
            <w:tcBorders>
              <w:top w:val="nil"/>
              <w:left w:val="nil"/>
              <w:bottom w:val="nil"/>
              <w:right w:val="nil"/>
            </w:tcBorders>
            <w:shd w:val="clear" w:color="auto" w:fill="auto"/>
            <w:noWrap/>
            <w:vAlign w:val="center"/>
            <w:hideMark/>
          </w:tcPr>
          <w:p w14:paraId="6BE826A0"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0.388</w:t>
            </w:r>
          </w:p>
        </w:tc>
        <w:tc>
          <w:tcPr>
            <w:tcW w:w="0" w:type="auto"/>
            <w:tcBorders>
              <w:top w:val="nil"/>
              <w:left w:val="nil"/>
              <w:bottom w:val="nil"/>
              <w:right w:val="nil"/>
            </w:tcBorders>
            <w:shd w:val="clear" w:color="auto" w:fill="auto"/>
            <w:noWrap/>
            <w:vAlign w:val="center"/>
            <w:hideMark/>
          </w:tcPr>
          <w:p w14:paraId="441EBC44"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[–0.871, 0.652]</w:t>
            </w:r>
          </w:p>
        </w:tc>
        <w:tc>
          <w:tcPr>
            <w:tcW w:w="0" w:type="auto"/>
            <w:tcBorders>
              <w:top w:val="nil"/>
              <w:left w:val="nil"/>
              <w:bottom w:val="nil"/>
              <w:right w:val="nil"/>
            </w:tcBorders>
            <w:shd w:val="clear" w:color="auto" w:fill="auto"/>
            <w:noWrap/>
            <w:vAlign w:val="center"/>
            <w:hideMark/>
          </w:tcPr>
          <w:p w14:paraId="6A294528"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0.216</w:t>
            </w:r>
          </w:p>
        </w:tc>
        <w:tc>
          <w:tcPr>
            <w:tcW w:w="0" w:type="auto"/>
            <w:tcBorders>
              <w:top w:val="nil"/>
              <w:left w:val="nil"/>
              <w:bottom w:val="nil"/>
              <w:right w:val="nil"/>
            </w:tcBorders>
            <w:shd w:val="clear" w:color="auto" w:fill="auto"/>
            <w:noWrap/>
            <w:vAlign w:val="center"/>
            <w:hideMark/>
          </w:tcPr>
          <w:p w14:paraId="4C4F022C"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0.270</w:t>
            </w:r>
          </w:p>
        </w:tc>
        <w:tc>
          <w:tcPr>
            <w:tcW w:w="0" w:type="auto"/>
            <w:tcBorders>
              <w:top w:val="nil"/>
              <w:left w:val="nil"/>
              <w:bottom w:val="nil"/>
              <w:right w:val="nil"/>
            </w:tcBorders>
            <w:shd w:val="clear" w:color="auto" w:fill="auto"/>
            <w:noWrap/>
            <w:vAlign w:val="center"/>
            <w:hideMark/>
          </w:tcPr>
          <w:p w14:paraId="0E132861"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[–0.314, 0.746]</w:t>
            </w:r>
          </w:p>
        </w:tc>
      </w:tr>
      <w:tr w:rsidR="0017678B" w:rsidRPr="0017678B" w14:paraId="2DD67316" w14:textId="77777777" w:rsidTr="00D24263">
        <w:trPr>
          <w:trHeight w:val="225"/>
        </w:trPr>
        <w:tc>
          <w:tcPr>
            <w:tcW w:w="0" w:type="auto"/>
            <w:tcBorders>
              <w:top w:val="nil"/>
              <w:left w:val="nil"/>
              <w:bottom w:val="nil"/>
              <w:right w:val="nil"/>
            </w:tcBorders>
            <w:shd w:val="clear" w:color="auto" w:fill="auto"/>
            <w:noWrap/>
            <w:vAlign w:val="bottom"/>
            <w:hideMark/>
          </w:tcPr>
          <w:p w14:paraId="0B02B593"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Discussion-yes</w:t>
            </w:r>
          </w:p>
        </w:tc>
        <w:tc>
          <w:tcPr>
            <w:tcW w:w="0" w:type="auto"/>
            <w:tcBorders>
              <w:top w:val="nil"/>
              <w:left w:val="nil"/>
              <w:bottom w:val="nil"/>
              <w:right w:val="nil"/>
            </w:tcBorders>
            <w:shd w:val="clear" w:color="auto" w:fill="auto"/>
            <w:noWrap/>
            <w:vAlign w:val="center"/>
            <w:hideMark/>
          </w:tcPr>
          <w:p w14:paraId="01FC8566"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0.575</w:t>
            </w:r>
          </w:p>
        </w:tc>
        <w:tc>
          <w:tcPr>
            <w:tcW w:w="0" w:type="auto"/>
            <w:tcBorders>
              <w:top w:val="nil"/>
              <w:left w:val="nil"/>
              <w:bottom w:val="nil"/>
              <w:right w:val="nil"/>
            </w:tcBorders>
            <w:shd w:val="clear" w:color="auto" w:fill="auto"/>
            <w:noWrap/>
            <w:vAlign w:val="center"/>
            <w:hideMark/>
          </w:tcPr>
          <w:p w14:paraId="4F9647FC"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0.282</w:t>
            </w:r>
          </w:p>
        </w:tc>
        <w:tc>
          <w:tcPr>
            <w:tcW w:w="0" w:type="auto"/>
            <w:tcBorders>
              <w:top w:val="nil"/>
              <w:left w:val="nil"/>
              <w:bottom w:val="nil"/>
              <w:right w:val="nil"/>
            </w:tcBorders>
            <w:shd w:val="clear" w:color="auto" w:fill="auto"/>
            <w:noWrap/>
            <w:vAlign w:val="center"/>
            <w:hideMark/>
          </w:tcPr>
          <w:p w14:paraId="535475A6"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[0.022, 1.127]</w:t>
            </w:r>
          </w:p>
        </w:tc>
        <w:tc>
          <w:tcPr>
            <w:tcW w:w="0" w:type="auto"/>
            <w:tcBorders>
              <w:top w:val="nil"/>
              <w:left w:val="nil"/>
              <w:bottom w:val="nil"/>
              <w:right w:val="nil"/>
            </w:tcBorders>
            <w:shd w:val="clear" w:color="auto" w:fill="auto"/>
            <w:noWrap/>
            <w:vAlign w:val="center"/>
            <w:hideMark/>
          </w:tcPr>
          <w:p w14:paraId="6A324FBF" w14:textId="77777777" w:rsidR="0017678B" w:rsidRPr="0017678B" w:rsidRDefault="0017678B" w:rsidP="0017678B">
            <w:pPr>
              <w:spacing w:line="240" w:lineRule="auto"/>
              <w:jc w:val="center"/>
              <w:rPr>
                <w:rFonts w:eastAsia="Times New Roman" w:cs="Times New Roman"/>
                <w:b/>
                <w:bCs/>
                <w:color w:val="000000"/>
                <w:sz w:val="16"/>
                <w:szCs w:val="16"/>
                <w:lang w:val="en-GB" w:eastAsia="zh-CN"/>
              </w:rPr>
            </w:pPr>
            <w:r w:rsidRPr="0017678B">
              <w:rPr>
                <w:rFonts w:eastAsia="Times New Roman" w:cs="Times New Roman"/>
                <w:b/>
                <w:bCs/>
                <w:color w:val="000000"/>
                <w:sz w:val="16"/>
                <w:szCs w:val="16"/>
                <w:lang w:val="en-GB" w:eastAsia="zh-CN"/>
              </w:rPr>
              <w:t>0.953*</w:t>
            </w:r>
          </w:p>
        </w:tc>
        <w:tc>
          <w:tcPr>
            <w:tcW w:w="0" w:type="auto"/>
            <w:tcBorders>
              <w:top w:val="nil"/>
              <w:left w:val="nil"/>
              <w:bottom w:val="nil"/>
              <w:right w:val="nil"/>
            </w:tcBorders>
            <w:shd w:val="clear" w:color="auto" w:fill="auto"/>
            <w:noWrap/>
            <w:vAlign w:val="center"/>
            <w:hideMark/>
          </w:tcPr>
          <w:p w14:paraId="272A488D" w14:textId="77777777" w:rsidR="0017678B" w:rsidRPr="0017678B" w:rsidRDefault="0017678B" w:rsidP="0017678B">
            <w:pPr>
              <w:spacing w:line="240" w:lineRule="auto"/>
              <w:jc w:val="center"/>
              <w:rPr>
                <w:rFonts w:eastAsia="Times New Roman" w:cs="Times New Roman"/>
                <w:b/>
                <w:bCs/>
                <w:color w:val="000000"/>
                <w:sz w:val="16"/>
                <w:szCs w:val="16"/>
                <w:lang w:val="en-GB" w:eastAsia="zh-CN"/>
              </w:rPr>
            </w:pPr>
            <w:r w:rsidRPr="0017678B">
              <w:rPr>
                <w:rFonts w:eastAsia="Times New Roman" w:cs="Times New Roman"/>
                <w:b/>
                <w:bCs/>
                <w:color w:val="000000"/>
                <w:sz w:val="16"/>
                <w:szCs w:val="16"/>
                <w:lang w:val="en-GB" w:eastAsia="zh-CN"/>
              </w:rPr>
              <w:t>0.191</w:t>
            </w:r>
          </w:p>
        </w:tc>
        <w:tc>
          <w:tcPr>
            <w:tcW w:w="0" w:type="auto"/>
            <w:tcBorders>
              <w:top w:val="nil"/>
              <w:left w:val="nil"/>
              <w:bottom w:val="nil"/>
              <w:right w:val="nil"/>
            </w:tcBorders>
            <w:shd w:val="clear" w:color="auto" w:fill="auto"/>
            <w:noWrap/>
            <w:vAlign w:val="center"/>
            <w:hideMark/>
          </w:tcPr>
          <w:p w14:paraId="1C2E0DDC" w14:textId="77777777" w:rsidR="0017678B" w:rsidRPr="0017678B" w:rsidRDefault="0017678B" w:rsidP="0017678B">
            <w:pPr>
              <w:spacing w:line="240" w:lineRule="auto"/>
              <w:jc w:val="center"/>
              <w:rPr>
                <w:rFonts w:eastAsia="Times New Roman" w:cs="Times New Roman"/>
                <w:b/>
                <w:bCs/>
                <w:color w:val="000000"/>
                <w:sz w:val="16"/>
                <w:szCs w:val="16"/>
                <w:lang w:val="en-GB" w:eastAsia="zh-CN"/>
              </w:rPr>
            </w:pPr>
            <w:r w:rsidRPr="0017678B">
              <w:rPr>
                <w:rFonts w:eastAsia="Times New Roman" w:cs="Times New Roman"/>
                <w:b/>
                <w:bCs/>
                <w:color w:val="000000"/>
                <w:sz w:val="16"/>
                <w:szCs w:val="16"/>
                <w:lang w:val="en-GB" w:eastAsia="zh-CN"/>
              </w:rPr>
              <w:t>[0.578, 1.328]</w:t>
            </w:r>
          </w:p>
        </w:tc>
      </w:tr>
      <w:tr w:rsidR="0017678B" w:rsidRPr="0017678B" w14:paraId="0F2BE8F3" w14:textId="77777777" w:rsidTr="00D24263">
        <w:trPr>
          <w:trHeight w:val="225"/>
        </w:trPr>
        <w:tc>
          <w:tcPr>
            <w:tcW w:w="0" w:type="auto"/>
            <w:tcBorders>
              <w:top w:val="nil"/>
              <w:left w:val="nil"/>
              <w:bottom w:val="nil"/>
              <w:right w:val="nil"/>
            </w:tcBorders>
            <w:shd w:val="clear" w:color="auto" w:fill="auto"/>
            <w:noWrap/>
            <w:vAlign w:val="bottom"/>
            <w:hideMark/>
          </w:tcPr>
          <w:p w14:paraId="1709D562"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Discussion-mixed</w:t>
            </w:r>
          </w:p>
        </w:tc>
        <w:tc>
          <w:tcPr>
            <w:tcW w:w="0" w:type="auto"/>
            <w:tcBorders>
              <w:top w:val="nil"/>
              <w:left w:val="nil"/>
              <w:bottom w:val="nil"/>
              <w:right w:val="nil"/>
            </w:tcBorders>
            <w:shd w:val="clear" w:color="auto" w:fill="auto"/>
            <w:noWrap/>
            <w:vAlign w:val="center"/>
            <w:hideMark/>
          </w:tcPr>
          <w:p w14:paraId="6F4BC187"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–0.276</w:t>
            </w:r>
          </w:p>
        </w:tc>
        <w:tc>
          <w:tcPr>
            <w:tcW w:w="0" w:type="auto"/>
            <w:tcBorders>
              <w:top w:val="nil"/>
              <w:left w:val="nil"/>
              <w:bottom w:val="nil"/>
              <w:right w:val="nil"/>
            </w:tcBorders>
            <w:shd w:val="clear" w:color="auto" w:fill="auto"/>
            <w:noWrap/>
            <w:vAlign w:val="center"/>
            <w:hideMark/>
          </w:tcPr>
          <w:p w14:paraId="484C4956"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0.818</w:t>
            </w:r>
          </w:p>
        </w:tc>
        <w:tc>
          <w:tcPr>
            <w:tcW w:w="0" w:type="auto"/>
            <w:tcBorders>
              <w:top w:val="nil"/>
              <w:left w:val="nil"/>
              <w:bottom w:val="nil"/>
              <w:right w:val="nil"/>
            </w:tcBorders>
            <w:shd w:val="clear" w:color="auto" w:fill="auto"/>
            <w:noWrap/>
            <w:vAlign w:val="center"/>
            <w:hideMark/>
          </w:tcPr>
          <w:p w14:paraId="31A6344C"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[–1.881, 1.330]</w:t>
            </w:r>
          </w:p>
        </w:tc>
        <w:tc>
          <w:tcPr>
            <w:tcW w:w="0" w:type="auto"/>
            <w:tcBorders>
              <w:top w:val="nil"/>
              <w:left w:val="nil"/>
              <w:bottom w:val="nil"/>
              <w:right w:val="nil"/>
            </w:tcBorders>
            <w:shd w:val="clear" w:color="auto" w:fill="auto"/>
            <w:noWrap/>
            <w:vAlign w:val="center"/>
            <w:hideMark/>
          </w:tcPr>
          <w:p w14:paraId="50310919"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0.401</w:t>
            </w:r>
          </w:p>
        </w:tc>
        <w:tc>
          <w:tcPr>
            <w:tcW w:w="0" w:type="auto"/>
            <w:tcBorders>
              <w:top w:val="nil"/>
              <w:left w:val="nil"/>
              <w:bottom w:val="nil"/>
              <w:right w:val="nil"/>
            </w:tcBorders>
            <w:shd w:val="clear" w:color="auto" w:fill="auto"/>
            <w:noWrap/>
            <w:vAlign w:val="center"/>
            <w:hideMark/>
          </w:tcPr>
          <w:p w14:paraId="0436D47C"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0.376</w:t>
            </w:r>
          </w:p>
        </w:tc>
        <w:tc>
          <w:tcPr>
            <w:tcW w:w="0" w:type="auto"/>
            <w:tcBorders>
              <w:top w:val="nil"/>
              <w:left w:val="nil"/>
              <w:bottom w:val="nil"/>
              <w:right w:val="nil"/>
            </w:tcBorders>
            <w:shd w:val="clear" w:color="auto" w:fill="auto"/>
            <w:noWrap/>
            <w:vAlign w:val="center"/>
            <w:hideMark/>
          </w:tcPr>
          <w:p w14:paraId="468248B4"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[–0.336, 1.139]</w:t>
            </w:r>
          </w:p>
        </w:tc>
      </w:tr>
      <w:tr w:rsidR="0017678B" w:rsidRPr="0017678B" w14:paraId="35353983" w14:textId="77777777" w:rsidTr="00D24263">
        <w:trPr>
          <w:trHeight w:val="225"/>
        </w:trPr>
        <w:tc>
          <w:tcPr>
            <w:tcW w:w="0" w:type="auto"/>
            <w:tcBorders>
              <w:top w:val="nil"/>
              <w:left w:val="nil"/>
              <w:bottom w:val="nil"/>
              <w:right w:val="nil"/>
            </w:tcBorders>
            <w:shd w:val="clear" w:color="auto" w:fill="auto"/>
            <w:noWrap/>
            <w:vAlign w:val="bottom"/>
            <w:hideMark/>
          </w:tcPr>
          <w:p w14:paraId="229477AA"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Matching design-partner</w:t>
            </w:r>
          </w:p>
        </w:tc>
        <w:tc>
          <w:tcPr>
            <w:tcW w:w="0" w:type="auto"/>
            <w:tcBorders>
              <w:top w:val="nil"/>
              <w:left w:val="nil"/>
              <w:bottom w:val="nil"/>
              <w:right w:val="nil"/>
            </w:tcBorders>
            <w:shd w:val="clear" w:color="auto" w:fill="auto"/>
            <w:noWrap/>
            <w:vAlign w:val="center"/>
            <w:hideMark/>
          </w:tcPr>
          <w:p w14:paraId="34BF6FE1"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–0.272</w:t>
            </w:r>
          </w:p>
        </w:tc>
        <w:tc>
          <w:tcPr>
            <w:tcW w:w="0" w:type="auto"/>
            <w:tcBorders>
              <w:top w:val="nil"/>
              <w:left w:val="nil"/>
              <w:bottom w:val="nil"/>
              <w:right w:val="nil"/>
            </w:tcBorders>
            <w:shd w:val="clear" w:color="auto" w:fill="auto"/>
            <w:noWrap/>
            <w:vAlign w:val="center"/>
            <w:hideMark/>
          </w:tcPr>
          <w:p w14:paraId="2F33CA47"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0.439</w:t>
            </w:r>
          </w:p>
        </w:tc>
        <w:tc>
          <w:tcPr>
            <w:tcW w:w="0" w:type="auto"/>
            <w:tcBorders>
              <w:top w:val="nil"/>
              <w:left w:val="nil"/>
              <w:bottom w:val="nil"/>
              <w:right w:val="nil"/>
            </w:tcBorders>
            <w:shd w:val="clear" w:color="auto" w:fill="auto"/>
            <w:noWrap/>
            <w:vAlign w:val="center"/>
            <w:hideMark/>
          </w:tcPr>
          <w:p w14:paraId="70E3E0D4"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[–1.133, 0.589]</w:t>
            </w:r>
          </w:p>
        </w:tc>
        <w:tc>
          <w:tcPr>
            <w:tcW w:w="0" w:type="auto"/>
            <w:tcBorders>
              <w:top w:val="nil"/>
              <w:left w:val="nil"/>
              <w:bottom w:val="nil"/>
              <w:right w:val="nil"/>
            </w:tcBorders>
            <w:shd w:val="clear" w:color="auto" w:fill="auto"/>
            <w:noWrap/>
            <w:vAlign w:val="center"/>
            <w:hideMark/>
          </w:tcPr>
          <w:p w14:paraId="71351974"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–0.248</w:t>
            </w:r>
          </w:p>
        </w:tc>
        <w:tc>
          <w:tcPr>
            <w:tcW w:w="0" w:type="auto"/>
            <w:tcBorders>
              <w:top w:val="nil"/>
              <w:left w:val="nil"/>
              <w:bottom w:val="nil"/>
              <w:right w:val="nil"/>
            </w:tcBorders>
            <w:shd w:val="clear" w:color="auto" w:fill="auto"/>
            <w:noWrap/>
            <w:vAlign w:val="center"/>
            <w:hideMark/>
          </w:tcPr>
          <w:p w14:paraId="1D1E5B79"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0.232</w:t>
            </w:r>
          </w:p>
        </w:tc>
        <w:tc>
          <w:tcPr>
            <w:tcW w:w="0" w:type="auto"/>
            <w:tcBorders>
              <w:top w:val="nil"/>
              <w:left w:val="nil"/>
              <w:bottom w:val="nil"/>
              <w:right w:val="nil"/>
            </w:tcBorders>
            <w:shd w:val="clear" w:color="auto" w:fill="auto"/>
            <w:noWrap/>
            <w:vAlign w:val="center"/>
            <w:hideMark/>
          </w:tcPr>
          <w:p w14:paraId="30A7ECD3"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[–0.703, 0.208]</w:t>
            </w:r>
          </w:p>
        </w:tc>
      </w:tr>
      <w:tr w:rsidR="0017678B" w:rsidRPr="0017678B" w14:paraId="3181DC9A" w14:textId="77777777" w:rsidTr="00D24263">
        <w:trPr>
          <w:trHeight w:val="225"/>
        </w:trPr>
        <w:tc>
          <w:tcPr>
            <w:tcW w:w="0" w:type="auto"/>
            <w:tcBorders>
              <w:top w:val="nil"/>
              <w:left w:val="nil"/>
              <w:bottom w:val="nil"/>
              <w:right w:val="nil"/>
            </w:tcBorders>
            <w:shd w:val="clear" w:color="auto" w:fill="auto"/>
            <w:noWrap/>
            <w:vAlign w:val="bottom"/>
            <w:hideMark/>
          </w:tcPr>
          <w:p w14:paraId="55EC2EC8"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Matching design-mixed</w:t>
            </w:r>
          </w:p>
        </w:tc>
        <w:tc>
          <w:tcPr>
            <w:tcW w:w="0" w:type="auto"/>
            <w:tcBorders>
              <w:top w:val="nil"/>
              <w:left w:val="nil"/>
              <w:bottom w:val="nil"/>
              <w:right w:val="nil"/>
            </w:tcBorders>
            <w:shd w:val="clear" w:color="auto" w:fill="auto"/>
            <w:noWrap/>
            <w:vAlign w:val="center"/>
            <w:hideMark/>
          </w:tcPr>
          <w:p w14:paraId="60CB807A"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0.148</w:t>
            </w:r>
          </w:p>
        </w:tc>
        <w:tc>
          <w:tcPr>
            <w:tcW w:w="0" w:type="auto"/>
            <w:tcBorders>
              <w:top w:val="nil"/>
              <w:left w:val="nil"/>
              <w:bottom w:val="nil"/>
              <w:right w:val="nil"/>
            </w:tcBorders>
            <w:shd w:val="clear" w:color="auto" w:fill="auto"/>
            <w:noWrap/>
            <w:vAlign w:val="center"/>
            <w:hideMark/>
          </w:tcPr>
          <w:p w14:paraId="7A0CAFA5"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0.747</w:t>
            </w:r>
          </w:p>
        </w:tc>
        <w:tc>
          <w:tcPr>
            <w:tcW w:w="0" w:type="auto"/>
            <w:tcBorders>
              <w:top w:val="nil"/>
              <w:left w:val="nil"/>
              <w:bottom w:val="nil"/>
              <w:right w:val="nil"/>
            </w:tcBorders>
            <w:shd w:val="clear" w:color="auto" w:fill="auto"/>
            <w:noWrap/>
            <w:vAlign w:val="center"/>
            <w:hideMark/>
          </w:tcPr>
          <w:p w14:paraId="53BB3949"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[–1.317, 1.613]</w:t>
            </w:r>
          </w:p>
        </w:tc>
        <w:tc>
          <w:tcPr>
            <w:tcW w:w="0" w:type="auto"/>
            <w:tcBorders>
              <w:top w:val="nil"/>
              <w:left w:val="nil"/>
              <w:bottom w:val="nil"/>
              <w:right w:val="nil"/>
            </w:tcBorders>
            <w:shd w:val="clear" w:color="auto" w:fill="auto"/>
            <w:noWrap/>
            <w:vAlign w:val="center"/>
            <w:hideMark/>
          </w:tcPr>
          <w:p w14:paraId="50919889"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–0.086</w:t>
            </w:r>
          </w:p>
        </w:tc>
        <w:tc>
          <w:tcPr>
            <w:tcW w:w="0" w:type="auto"/>
            <w:tcBorders>
              <w:top w:val="nil"/>
              <w:left w:val="nil"/>
              <w:bottom w:val="nil"/>
              <w:right w:val="nil"/>
            </w:tcBorders>
            <w:shd w:val="clear" w:color="auto" w:fill="auto"/>
            <w:noWrap/>
            <w:vAlign w:val="center"/>
            <w:hideMark/>
          </w:tcPr>
          <w:p w14:paraId="7C9592A3"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0.540</w:t>
            </w:r>
          </w:p>
        </w:tc>
        <w:tc>
          <w:tcPr>
            <w:tcW w:w="0" w:type="auto"/>
            <w:tcBorders>
              <w:top w:val="nil"/>
              <w:left w:val="nil"/>
              <w:bottom w:val="nil"/>
              <w:right w:val="nil"/>
            </w:tcBorders>
            <w:shd w:val="clear" w:color="auto" w:fill="auto"/>
            <w:noWrap/>
            <w:vAlign w:val="center"/>
            <w:hideMark/>
          </w:tcPr>
          <w:p w14:paraId="11277360"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[–1.146, 0.974]</w:t>
            </w:r>
          </w:p>
        </w:tc>
      </w:tr>
      <w:tr w:rsidR="0017678B" w:rsidRPr="0017678B" w14:paraId="0A23F033" w14:textId="77777777" w:rsidTr="00D24263">
        <w:trPr>
          <w:trHeight w:val="225"/>
        </w:trPr>
        <w:tc>
          <w:tcPr>
            <w:tcW w:w="0" w:type="auto"/>
            <w:tcBorders>
              <w:top w:val="nil"/>
              <w:left w:val="nil"/>
              <w:bottom w:val="nil"/>
              <w:right w:val="nil"/>
            </w:tcBorders>
            <w:shd w:val="clear" w:color="auto" w:fill="auto"/>
            <w:noWrap/>
            <w:vAlign w:val="bottom"/>
            <w:hideMark/>
          </w:tcPr>
          <w:p w14:paraId="5DF8D8A9"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Symmetry-symmetric</w:t>
            </w:r>
          </w:p>
        </w:tc>
        <w:tc>
          <w:tcPr>
            <w:tcW w:w="0" w:type="auto"/>
            <w:tcBorders>
              <w:top w:val="nil"/>
              <w:left w:val="nil"/>
              <w:bottom w:val="nil"/>
              <w:right w:val="nil"/>
            </w:tcBorders>
            <w:shd w:val="clear" w:color="auto" w:fill="auto"/>
            <w:noWrap/>
            <w:vAlign w:val="center"/>
            <w:hideMark/>
          </w:tcPr>
          <w:p w14:paraId="2E9CA7A2"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0.077</w:t>
            </w:r>
          </w:p>
        </w:tc>
        <w:tc>
          <w:tcPr>
            <w:tcW w:w="0" w:type="auto"/>
            <w:tcBorders>
              <w:top w:val="nil"/>
              <w:left w:val="nil"/>
              <w:bottom w:val="nil"/>
              <w:right w:val="nil"/>
            </w:tcBorders>
            <w:shd w:val="clear" w:color="auto" w:fill="auto"/>
            <w:noWrap/>
            <w:vAlign w:val="center"/>
            <w:hideMark/>
          </w:tcPr>
          <w:p w14:paraId="4AD7BC54"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0.098</w:t>
            </w:r>
          </w:p>
        </w:tc>
        <w:tc>
          <w:tcPr>
            <w:tcW w:w="0" w:type="auto"/>
            <w:tcBorders>
              <w:top w:val="nil"/>
              <w:left w:val="nil"/>
              <w:bottom w:val="nil"/>
              <w:right w:val="nil"/>
            </w:tcBorders>
            <w:shd w:val="clear" w:color="auto" w:fill="auto"/>
            <w:noWrap/>
            <w:vAlign w:val="center"/>
            <w:hideMark/>
          </w:tcPr>
          <w:p w14:paraId="5160D17C"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[–0.115, 0.270]</w:t>
            </w:r>
          </w:p>
        </w:tc>
        <w:tc>
          <w:tcPr>
            <w:tcW w:w="0" w:type="auto"/>
            <w:tcBorders>
              <w:top w:val="nil"/>
              <w:left w:val="nil"/>
              <w:bottom w:val="nil"/>
              <w:right w:val="nil"/>
            </w:tcBorders>
            <w:shd w:val="clear" w:color="auto" w:fill="auto"/>
            <w:noWrap/>
            <w:vAlign w:val="center"/>
            <w:hideMark/>
          </w:tcPr>
          <w:p w14:paraId="0A515C44"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0.119</w:t>
            </w:r>
          </w:p>
        </w:tc>
        <w:tc>
          <w:tcPr>
            <w:tcW w:w="0" w:type="auto"/>
            <w:tcBorders>
              <w:top w:val="nil"/>
              <w:left w:val="nil"/>
              <w:bottom w:val="nil"/>
              <w:right w:val="nil"/>
            </w:tcBorders>
            <w:shd w:val="clear" w:color="auto" w:fill="auto"/>
            <w:noWrap/>
            <w:vAlign w:val="center"/>
            <w:hideMark/>
          </w:tcPr>
          <w:p w14:paraId="6E4D447D"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0.092</w:t>
            </w:r>
          </w:p>
        </w:tc>
        <w:tc>
          <w:tcPr>
            <w:tcW w:w="0" w:type="auto"/>
            <w:tcBorders>
              <w:top w:val="nil"/>
              <w:left w:val="nil"/>
              <w:bottom w:val="nil"/>
              <w:right w:val="nil"/>
            </w:tcBorders>
            <w:shd w:val="clear" w:color="auto" w:fill="auto"/>
            <w:noWrap/>
            <w:vAlign w:val="center"/>
            <w:hideMark/>
          </w:tcPr>
          <w:p w14:paraId="25495A8F"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[–0.062, 0.299]</w:t>
            </w:r>
          </w:p>
        </w:tc>
      </w:tr>
      <w:tr w:rsidR="0017678B" w:rsidRPr="0017678B" w14:paraId="48346657" w14:textId="77777777" w:rsidTr="00D24263">
        <w:trPr>
          <w:trHeight w:val="225"/>
        </w:trPr>
        <w:tc>
          <w:tcPr>
            <w:tcW w:w="0" w:type="auto"/>
            <w:tcBorders>
              <w:top w:val="nil"/>
              <w:left w:val="nil"/>
              <w:bottom w:val="nil"/>
              <w:right w:val="nil"/>
            </w:tcBorders>
            <w:shd w:val="clear" w:color="auto" w:fill="auto"/>
            <w:noWrap/>
            <w:vAlign w:val="bottom"/>
            <w:hideMark/>
          </w:tcPr>
          <w:p w14:paraId="1FC29C9C"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Symmetry-mixed</w:t>
            </w:r>
          </w:p>
        </w:tc>
        <w:tc>
          <w:tcPr>
            <w:tcW w:w="0" w:type="auto"/>
            <w:tcBorders>
              <w:top w:val="nil"/>
              <w:left w:val="nil"/>
              <w:bottom w:val="nil"/>
              <w:right w:val="nil"/>
            </w:tcBorders>
            <w:shd w:val="clear" w:color="auto" w:fill="auto"/>
            <w:noWrap/>
            <w:vAlign w:val="center"/>
            <w:hideMark/>
          </w:tcPr>
          <w:p w14:paraId="07FEDC79"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–0.029</w:t>
            </w:r>
          </w:p>
        </w:tc>
        <w:tc>
          <w:tcPr>
            <w:tcW w:w="0" w:type="auto"/>
            <w:tcBorders>
              <w:top w:val="nil"/>
              <w:left w:val="nil"/>
              <w:bottom w:val="nil"/>
              <w:right w:val="nil"/>
            </w:tcBorders>
            <w:shd w:val="clear" w:color="auto" w:fill="auto"/>
            <w:noWrap/>
            <w:vAlign w:val="center"/>
            <w:hideMark/>
          </w:tcPr>
          <w:p w14:paraId="575CD297"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0.173</w:t>
            </w:r>
          </w:p>
        </w:tc>
        <w:tc>
          <w:tcPr>
            <w:tcW w:w="0" w:type="auto"/>
            <w:tcBorders>
              <w:top w:val="nil"/>
              <w:left w:val="nil"/>
              <w:bottom w:val="nil"/>
              <w:right w:val="nil"/>
            </w:tcBorders>
            <w:shd w:val="clear" w:color="auto" w:fill="auto"/>
            <w:noWrap/>
            <w:vAlign w:val="center"/>
            <w:hideMark/>
          </w:tcPr>
          <w:p w14:paraId="1F07D362"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[–0.369, 0.310]</w:t>
            </w:r>
          </w:p>
        </w:tc>
        <w:tc>
          <w:tcPr>
            <w:tcW w:w="0" w:type="auto"/>
            <w:tcBorders>
              <w:top w:val="nil"/>
              <w:left w:val="nil"/>
              <w:bottom w:val="nil"/>
              <w:right w:val="nil"/>
            </w:tcBorders>
            <w:shd w:val="clear" w:color="auto" w:fill="auto"/>
            <w:noWrap/>
            <w:vAlign w:val="center"/>
            <w:hideMark/>
          </w:tcPr>
          <w:p w14:paraId="0A4518FE"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–0.005</w:t>
            </w:r>
          </w:p>
        </w:tc>
        <w:tc>
          <w:tcPr>
            <w:tcW w:w="0" w:type="auto"/>
            <w:tcBorders>
              <w:top w:val="nil"/>
              <w:left w:val="nil"/>
              <w:bottom w:val="nil"/>
              <w:right w:val="nil"/>
            </w:tcBorders>
            <w:shd w:val="clear" w:color="auto" w:fill="auto"/>
            <w:noWrap/>
            <w:vAlign w:val="center"/>
            <w:hideMark/>
          </w:tcPr>
          <w:p w14:paraId="17DC7934"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0.176</w:t>
            </w:r>
          </w:p>
        </w:tc>
        <w:tc>
          <w:tcPr>
            <w:tcW w:w="0" w:type="auto"/>
            <w:tcBorders>
              <w:top w:val="nil"/>
              <w:left w:val="nil"/>
              <w:bottom w:val="nil"/>
              <w:right w:val="nil"/>
            </w:tcBorders>
            <w:shd w:val="clear" w:color="auto" w:fill="auto"/>
            <w:noWrap/>
            <w:vAlign w:val="center"/>
            <w:hideMark/>
          </w:tcPr>
          <w:p w14:paraId="00228AD3"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[–0.350, 0.340]</w:t>
            </w:r>
          </w:p>
        </w:tc>
      </w:tr>
      <w:tr w:rsidR="0017678B" w:rsidRPr="0017678B" w14:paraId="444A77FB" w14:textId="77777777" w:rsidTr="00D24263">
        <w:trPr>
          <w:trHeight w:val="225"/>
        </w:trPr>
        <w:tc>
          <w:tcPr>
            <w:tcW w:w="0" w:type="auto"/>
            <w:tcBorders>
              <w:top w:val="nil"/>
              <w:left w:val="nil"/>
              <w:bottom w:val="nil"/>
              <w:right w:val="nil"/>
            </w:tcBorders>
            <w:shd w:val="clear" w:color="auto" w:fill="auto"/>
            <w:noWrap/>
            <w:vAlign w:val="bottom"/>
            <w:hideMark/>
          </w:tcPr>
          <w:p w14:paraId="1D46FF76"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proofErr w:type="spellStart"/>
            <w:r w:rsidRPr="0017678B">
              <w:rPr>
                <w:rFonts w:eastAsia="Times New Roman" w:cs="Times New Roman"/>
                <w:color w:val="000000"/>
                <w:sz w:val="16"/>
                <w:szCs w:val="16"/>
                <w:lang w:val="en-GB" w:eastAsia="zh-CN"/>
              </w:rPr>
              <w:t>Sequentiality</w:t>
            </w:r>
            <w:proofErr w:type="spellEnd"/>
            <w:r w:rsidRPr="0017678B">
              <w:rPr>
                <w:rFonts w:eastAsia="Times New Roman" w:cs="Times New Roman"/>
                <w:color w:val="000000"/>
                <w:sz w:val="16"/>
                <w:szCs w:val="16"/>
                <w:lang w:val="en-GB" w:eastAsia="zh-CN"/>
              </w:rPr>
              <w:t>-simultaneous</w:t>
            </w:r>
          </w:p>
        </w:tc>
        <w:tc>
          <w:tcPr>
            <w:tcW w:w="0" w:type="auto"/>
            <w:tcBorders>
              <w:top w:val="nil"/>
              <w:left w:val="nil"/>
              <w:bottom w:val="nil"/>
              <w:right w:val="nil"/>
            </w:tcBorders>
            <w:shd w:val="clear" w:color="auto" w:fill="auto"/>
            <w:noWrap/>
            <w:vAlign w:val="center"/>
            <w:hideMark/>
          </w:tcPr>
          <w:p w14:paraId="47C30A4A"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0.075</w:t>
            </w:r>
          </w:p>
        </w:tc>
        <w:tc>
          <w:tcPr>
            <w:tcW w:w="0" w:type="auto"/>
            <w:tcBorders>
              <w:top w:val="nil"/>
              <w:left w:val="nil"/>
              <w:bottom w:val="nil"/>
              <w:right w:val="nil"/>
            </w:tcBorders>
            <w:shd w:val="clear" w:color="auto" w:fill="auto"/>
            <w:noWrap/>
            <w:vAlign w:val="center"/>
            <w:hideMark/>
          </w:tcPr>
          <w:p w14:paraId="206E8A1B"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0.122</w:t>
            </w:r>
          </w:p>
        </w:tc>
        <w:tc>
          <w:tcPr>
            <w:tcW w:w="0" w:type="auto"/>
            <w:tcBorders>
              <w:top w:val="nil"/>
              <w:left w:val="nil"/>
              <w:bottom w:val="nil"/>
              <w:right w:val="nil"/>
            </w:tcBorders>
            <w:shd w:val="clear" w:color="auto" w:fill="auto"/>
            <w:noWrap/>
            <w:vAlign w:val="center"/>
            <w:hideMark/>
          </w:tcPr>
          <w:p w14:paraId="4BB503C0"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[–0.164, 0.315]</w:t>
            </w:r>
          </w:p>
        </w:tc>
        <w:tc>
          <w:tcPr>
            <w:tcW w:w="0" w:type="auto"/>
            <w:tcBorders>
              <w:top w:val="nil"/>
              <w:left w:val="nil"/>
              <w:bottom w:val="nil"/>
              <w:right w:val="nil"/>
            </w:tcBorders>
            <w:shd w:val="clear" w:color="auto" w:fill="auto"/>
            <w:noWrap/>
            <w:vAlign w:val="center"/>
            <w:hideMark/>
          </w:tcPr>
          <w:p w14:paraId="7A5DC3B3"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0.163</w:t>
            </w:r>
          </w:p>
        </w:tc>
        <w:tc>
          <w:tcPr>
            <w:tcW w:w="0" w:type="auto"/>
            <w:tcBorders>
              <w:top w:val="nil"/>
              <w:left w:val="nil"/>
              <w:bottom w:val="nil"/>
              <w:right w:val="nil"/>
            </w:tcBorders>
            <w:shd w:val="clear" w:color="auto" w:fill="auto"/>
            <w:noWrap/>
            <w:vAlign w:val="center"/>
            <w:hideMark/>
          </w:tcPr>
          <w:p w14:paraId="7A2999E4"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0.093</w:t>
            </w:r>
          </w:p>
        </w:tc>
        <w:tc>
          <w:tcPr>
            <w:tcW w:w="0" w:type="auto"/>
            <w:tcBorders>
              <w:top w:val="nil"/>
              <w:left w:val="nil"/>
              <w:bottom w:val="nil"/>
              <w:right w:val="nil"/>
            </w:tcBorders>
            <w:shd w:val="clear" w:color="auto" w:fill="auto"/>
            <w:noWrap/>
            <w:vAlign w:val="center"/>
            <w:hideMark/>
          </w:tcPr>
          <w:p w14:paraId="2901C760"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[–0.021, 0.346]</w:t>
            </w:r>
          </w:p>
        </w:tc>
      </w:tr>
      <w:tr w:rsidR="0017678B" w:rsidRPr="0017678B" w14:paraId="673D47E0" w14:textId="77777777" w:rsidTr="00D24263">
        <w:trPr>
          <w:trHeight w:val="225"/>
        </w:trPr>
        <w:tc>
          <w:tcPr>
            <w:tcW w:w="0" w:type="auto"/>
            <w:tcBorders>
              <w:top w:val="nil"/>
              <w:left w:val="nil"/>
              <w:bottom w:val="nil"/>
              <w:right w:val="nil"/>
            </w:tcBorders>
            <w:shd w:val="clear" w:color="auto" w:fill="auto"/>
            <w:noWrap/>
            <w:vAlign w:val="bottom"/>
            <w:hideMark/>
          </w:tcPr>
          <w:p w14:paraId="77E9A44F"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proofErr w:type="spellStart"/>
            <w:r w:rsidRPr="0017678B">
              <w:rPr>
                <w:rFonts w:eastAsia="Times New Roman" w:cs="Times New Roman"/>
                <w:color w:val="000000"/>
                <w:sz w:val="16"/>
                <w:szCs w:val="16"/>
                <w:lang w:val="en-GB" w:eastAsia="zh-CN"/>
              </w:rPr>
              <w:t>Sequentiality</w:t>
            </w:r>
            <w:proofErr w:type="spellEnd"/>
            <w:r w:rsidRPr="0017678B">
              <w:rPr>
                <w:rFonts w:eastAsia="Times New Roman" w:cs="Times New Roman"/>
                <w:color w:val="000000"/>
                <w:sz w:val="16"/>
                <w:szCs w:val="16"/>
                <w:lang w:val="en-GB" w:eastAsia="zh-CN"/>
              </w:rPr>
              <w:t>-mixed</w:t>
            </w:r>
          </w:p>
        </w:tc>
        <w:tc>
          <w:tcPr>
            <w:tcW w:w="0" w:type="auto"/>
            <w:tcBorders>
              <w:top w:val="nil"/>
              <w:left w:val="nil"/>
              <w:bottom w:val="nil"/>
              <w:right w:val="nil"/>
            </w:tcBorders>
            <w:shd w:val="clear" w:color="auto" w:fill="auto"/>
            <w:noWrap/>
            <w:vAlign w:val="center"/>
            <w:hideMark/>
          </w:tcPr>
          <w:p w14:paraId="59515984"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–0.165</w:t>
            </w:r>
          </w:p>
        </w:tc>
        <w:tc>
          <w:tcPr>
            <w:tcW w:w="0" w:type="auto"/>
            <w:tcBorders>
              <w:top w:val="nil"/>
              <w:left w:val="nil"/>
              <w:bottom w:val="nil"/>
              <w:right w:val="nil"/>
            </w:tcBorders>
            <w:shd w:val="clear" w:color="auto" w:fill="auto"/>
            <w:noWrap/>
            <w:vAlign w:val="center"/>
            <w:hideMark/>
          </w:tcPr>
          <w:p w14:paraId="20E40FAC"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0.226</w:t>
            </w:r>
          </w:p>
        </w:tc>
        <w:tc>
          <w:tcPr>
            <w:tcW w:w="0" w:type="auto"/>
            <w:tcBorders>
              <w:top w:val="nil"/>
              <w:left w:val="nil"/>
              <w:bottom w:val="nil"/>
              <w:right w:val="nil"/>
            </w:tcBorders>
            <w:shd w:val="clear" w:color="auto" w:fill="auto"/>
            <w:noWrap/>
            <w:vAlign w:val="center"/>
            <w:hideMark/>
          </w:tcPr>
          <w:p w14:paraId="6839F07B"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[–0.609, 0.278]</w:t>
            </w:r>
          </w:p>
        </w:tc>
        <w:tc>
          <w:tcPr>
            <w:tcW w:w="0" w:type="auto"/>
            <w:tcBorders>
              <w:top w:val="nil"/>
              <w:left w:val="nil"/>
              <w:bottom w:val="nil"/>
              <w:right w:val="nil"/>
            </w:tcBorders>
            <w:shd w:val="clear" w:color="auto" w:fill="auto"/>
            <w:noWrap/>
            <w:vAlign w:val="center"/>
            <w:hideMark/>
          </w:tcPr>
          <w:p w14:paraId="11CB84F7"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–0.033</w:t>
            </w:r>
          </w:p>
        </w:tc>
        <w:tc>
          <w:tcPr>
            <w:tcW w:w="0" w:type="auto"/>
            <w:tcBorders>
              <w:top w:val="nil"/>
              <w:left w:val="nil"/>
              <w:bottom w:val="nil"/>
              <w:right w:val="nil"/>
            </w:tcBorders>
            <w:shd w:val="clear" w:color="auto" w:fill="auto"/>
            <w:noWrap/>
            <w:vAlign w:val="center"/>
            <w:hideMark/>
          </w:tcPr>
          <w:p w14:paraId="47B8A8E2"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0.194</w:t>
            </w:r>
          </w:p>
        </w:tc>
        <w:tc>
          <w:tcPr>
            <w:tcW w:w="0" w:type="auto"/>
            <w:tcBorders>
              <w:top w:val="nil"/>
              <w:left w:val="nil"/>
              <w:bottom w:val="nil"/>
              <w:right w:val="nil"/>
            </w:tcBorders>
            <w:shd w:val="clear" w:color="auto" w:fill="auto"/>
            <w:noWrap/>
            <w:vAlign w:val="center"/>
            <w:hideMark/>
          </w:tcPr>
          <w:p w14:paraId="1233C5F0"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[–0.414, 0.348]</w:t>
            </w:r>
          </w:p>
        </w:tc>
      </w:tr>
      <w:tr w:rsidR="0017678B" w:rsidRPr="0017678B" w14:paraId="520415AE" w14:textId="77777777" w:rsidTr="00D24263">
        <w:trPr>
          <w:trHeight w:val="225"/>
        </w:trPr>
        <w:tc>
          <w:tcPr>
            <w:tcW w:w="0" w:type="auto"/>
            <w:tcBorders>
              <w:top w:val="nil"/>
              <w:left w:val="nil"/>
              <w:bottom w:val="nil"/>
              <w:right w:val="nil"/>
            </w:tcBorders>
            <w:shd w:val="clear" w:color="auto" w:fill="auto"/>
            <w:noWrap/>
            <w:vAlign w:val="bottom"/>
            <w:hideMark/>
          </w:tcPr>
          <w:p w14:paraId="34FB455A"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Show up fee-yes</w:t>
            </w:r>
          </w:p>
        </w:tc>
        <w:tc>
          <w:tcPr>
            <w:tcW w:w="0" w:type="auto"/>
            <w:tcBorders>
              <w:top w:val="nil"/>
              <w:left w:val="nil"/>
              <w:bottom w:val="nil"/>
              <w:right w:val="nil"/>
            </w:tcBorders>
            <w:shd w:val="clear" w:color="auto" w:fill="auto"/>
            <w:noWrap/>
            <w:vAlign w:val="center"/>
            <w:hideMark/>
          </w:tcPr>
          <w:p w14:paraId="26A05388"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0.074</w:t>
            </w:r>
          </w:p>
        </w:tc>
        <w:tc>
          <w:tcPr>
            <w:tcW w:w="0" w:type="auto"/>
            <w:tcBorders>
              <w:top w:val="nil"/>
              <w:left w:val="nil"/>
              <w:bottom w:val="nil"/>
              <w:right w:val="nil"/>
            </w:tcBorders>
            <w:shd w:val="clear" w:color="auto" w:fill="auto"/>
            <w:noWrap/>
            <w:vAlign w:val="center"/>
            <w:hideMark/>
          </w:tcPr>
          <w:p w14:paraId="6FB146F8"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0.062</w:t>
            </w:r>
          </w:p>
        </w:tc>
        <w:tc>
          <w:tcPr>
            <w:tcW w:w="0" w:type="auto"/>
            <w:tcBorders>
              <w:top w:val="nil"/>
              <w:left w:val="nil"/>
              <w:bottom w:val="nil"/>
              <w:right w:val="nil"/>
            </w:tcBorders>
            <w:shd w:val="clear" w:color="auto" w:fill="auto"/>
            <w:noWrap/>
            <w:vAlign w:val="center"/>
            <w:hideMark/>
          </w:tcPr>
          <w:p w14:paraId="7EFC8BA1"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[–0.047, 0.196]</w:t>
            </w:r>
          </w:p>
        </w:tc>
        <w:tc>
          <w:tcPr>
            <w:tcW w:w="0" w:type="auto"/>
            <w:tcBorders>
              <w:top w:val="nil"/>
              <w:left w:val="nil"/>
              <w:bottom w:val="nil"/>
              <w:right w:val="nil"/>
            </w:tcBorders>
            <w:shd w:val="clear" w:color="auto" w:fill="auto"/>
            <w:noWrap/>
            <w:vAlign w:val="center"/>
            <w:hideMark/>
          </w:tcPr>
          <w:p w14:paraId="3985A34A"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0.058</w:t>
            </w:r>
          </w:p>
        </w:tc>
        <w:tc>
          <w:tcPr>
            <w:tcW w:w="0" w:type="auto"/>
            <w:tcBorders>
              <w:top w:val="nil"/>
              <w:left w:val="nil"/>
              <w:bottom w:val="nil"/>
              <w:right w:val="nil"/>
            </w:tcBorders>
            <w:shd w:val="clear" w:color="auto" w:fill="auto"/>
            <w:noWrap/>
            <w:vAlign w:val="center"/>
            <w:hideMark/>
          </w:tcPr>
          <w:p w14:paraId="56D614D7"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0.050</w:t>
            </w:r>
          </w:p>
        </w:tc>
        <w:tc>
          <w:tcPr>
            <w:tcW w:w="0" w:type="auto"/>
            <w:tcBorders>
              <w:top w:val="nil"/>
              <w:left w:val="nil"/>
              <w:bottom w:val="nil"/>
              <w:right w:val="nil"/>
            </w:tcBorders>
            <w:shd w:val="clear" w:color="auto" w:fill="auto"/>
            <w:noWrap/>
            <w:vAlign w:val="center"/>
            <w:hideMark/>
          </w:tcPr>
          <w:p w14:paraId="6DEA5677"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[–0.04, 0.157]</w:t>
            </w:r>
          </w:p>
        </w:tc>
      </w:tr>
      <w:tr w:rsidR="0017678B" w:rsidRPr="0017678B" w14:paraId="3E6C8686" w14:textId="77777777" w:rsidTr="00D24263">
        <w:trPr>
          <w:trHeight w:val="225"/>
        </w:trPr>
        <w:tc>
          <w:tcPr>
            <w:tcW w:w="0" w:type="auto"/>
            <w:tcBorders>
              <w:top w:val="nil"/>
              <w:left w:val="nil"/>
              <w:bottom w:val="nil"/>
              <w:right w:val="nil"/>
            </w:tcBorders>
            <w:shd w:val="clear" w:color="auto" w:fill="auto"/>
            <w:noWrap/>
            <w:vAlign w:val="bottom"/>
            <w:hideMark/>
          </w:tcPr>
          <w:p w14:paraId="01C09732"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Show up fee-mixed</w:t>
            </w:r>
          </w:p>
        </w:tc>
        <w:tc>
          <w:tcPr>
            <w:tcW w:w="0" w:type="auto"/>
            <w:tcBorders>
              <w:top w:val="nil"/>
              <w:left w:val="nil"/>
              <w:bottom w:val="nil"/>
              <w:right w:val="nil"/>
            </w:tcBorders>
            <w:shd w:val="clear" w:color="auto" w:fill="auto"/>
            <w:noWrap/>
            <w:vAlign w:val="center"/>
            <w:hideMark/>
          </w:tcPr>
          <w:p w14:paraId="54750A9E"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292524BF"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0FF7999"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33E89DA0"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0.193</w:t>
            </w:r>
          </w:p>
        </w:tc>
        <w:tc>
          <w:tcPr>
            <w:tcW w:w="0" w:type="auto"/>
            <w:tcBorders>
              <w:top w:val="nil"/>
              <w:left w:val="nil"/>
              <w:bottom w:val="nil"/>
              <w:right w:val="nil"/>
            </w:tcBorders>
            <w:shd w:val="clear" w:color="auto" w:fill="auto"/>
            <w:noWrap/>
            <w:vAlign w:val="center"/>
            <w:hideMark/>
          </w:tcPr>
          <w:p w14:paraId="7DF3E20E"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0.171</w:t>
            </w:r>
          </w:p>
        </w:tc>
        <w:tc>
          <w:tcPr>
            <w:tcW w:w="0" w:type="auto"/>
            <w:tcBorders>
              <w:top w:val="nil"/>
              <w:left w:val="nil"/>
              <w:bottom w:val="nil"/>
              <w:right w:val="nil"/>
            </w:tcBorders>
            <w:shd w:val="clear" w:color="auto" w:fill="auto"/>
            <w:noWrap/>
            <w:vAlign w:val="center"/>
            <w:hideMark/>
          </w:tcPr>
          <w:p w14:paraId="1034389D"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[–0.142, 0.529]</w:t>
            </w:r>
          </w:p>
        </w:tc>
      </w:tr>
      <w:tr w:rsidR="0017678B" w:rsidRPr="0017678B" w14:paraId="3AFC84D0" w14:textId="77777777" w:rsidTr="00D24263">
        <w:trPr>
          <w:trHeight w:val="225"/>
        </w:trPr>
        <w:tc>
          <w:tcPr>
            <w:tcW w:w="0" w:type="auto"/>
            <w:tcBorders>
              <w:top w:val="nil"/>
              <w:left w:val="nil"/>
              <w:bottom w:val="nil"/>
              <w:right w:val="nil"/>
            </w:tcBorders>
            <w:shd w:val="clear" w:color="auto" w:fill="auto"/>
            <w:noWrap/>
            <w:vAlign w:val="bottom"/>
            <w:hideMark/>
          </w:tcPr>
          <w:p w14:paraId="647191F4"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Game incentive-yes</w:t>
            </w:r>
          </w:p>
        </w:tc>
        <w:tc>
          <w:tcPr>
            <w:tcW w:w="0" w:type="auto"/>
            <w:tcBorders>
              <w:top w:val="nil"/>
              <w:left w:val="nil"/>
              <w:bottom w:val="nil"/>
              <w:right w:val="nil"/>
            </w:tcBorders>
            <w:shd w:val="clear" w:color="auto" w:fill="auto"/>
            <w:noWrap/>
            <w:vAlign w:val="center"/>
            <w:hideMark/>
          </w:tcPr>
          <w:p w14:paraId="73F91E38"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–0.117</w:t>
            </w:r>
          </w:p>
        </w:tc>
        <w:tc>
          <w:tcPr>
            <w:tcW w:w="0" w:type="auto"/>
            <w:tcBorders>
              <w:top w:val="nil"/>
              <w:left w:val="nil"/>
              <w:bottom w:val="nil"/>
              <w:right w:val="nil"/>
            </w:tcBorders>
            <w:shd w:val="clear" w:color="auto" w:fill="auto"/>
            <w:noWrap/>
            <w:vAlign w:val="center"/>
            <w:hideMark/>
          </w:tcPr>
          <w:p w14:paraId="37094FB8"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0.183</w:t>
            </w:r>
          </w:p>
        </w:tc>
        <w:tc>
          <w:tcPr>
            <w:tcW w:w="0" w:type="auto"/>
            <w:tcBorders>
              <w:top w:val="nil"/>
              <w:left w:val="nil"/>
              <w:bottom w:val="nil"/>
              <w:right w:val="nil"/>
            </w:tcBorders>
            <w:shd w:val="clear" w:color="auto" w:fill="auto"/>
            <w:noWrap/>
            <w:vAlign w:val="center"/>
            <w:hideMark/>
          </w:tcPr>
          <w:p w14:paraId="7B44059B"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[–0.476, 0.241]</w:t>
            </w:r>
          </w:p>
        </w:tc>
        <w:tc>
          <w:tcPr>
            <w:tcW w:w="0" w:type="auto"/>
            <w:tcBorders>
              <w:top w:val="nil"/>
              <w:left w:val="nil"/>
              <w:bottom w:val="nil"/>
              <w:right w:val="nil"/>
            </w:tcBorders>
            <w:shd w:val="clear" w:color="auto" w:fill="auto"/>
            <w:noWrap/>
            <w:vAlign w:val="center"/>
            <w:hideMark/>
          </w:tcPr>
          <w:p w14:paraId="7B97FB40"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–0.141</w:t>
            </w:r>
          </w:p>
        </w:tc>
        <w:tc>
          <w:tcPr>
            <w:tcW w:w="0" w:type="auto"/>
            <w:tcBorders>
              <w:top w:val="nil"/>
              <w:left w:val="nil"/>
              <w:bottom w:val="nil"/>
              <w:right w:val="nil"/>
            </w:tcBorders>
            <w:shd w:val="clear" w:color="auto" w:fill="auto"/>
            <w:noWrap/>
            <w:vAlign w:val="center"/>
            <w:hideMark/>
          </w:tcPr>
          <w:p w14:paraId="108EAE7A"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0.193</w:t>
            </w:r>
          </w:p>
        </w:tc>
        <w:tc>
          <w:tcPr>
            <w:tcW w:w="0" w:type="auto"/>
            <w:tcBorders>
              <w:top w:val="nil"/>
              <w:left w:val="nil"/>
              <w:bottom w:val="nil"/>
              <w:right w:val="nil"/>
            </w:tcBorders>
            <w:shd w:val="clear" w:color="auto" w:fill="auto"/>
            <w:noWrap/>
            <w:vAlign w:val="center"/>
            <w:hideMark/>
          </w:tcPr>
          <w:p w14:paraId="4CC84B45"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[–0.520, 0.238]</w:t>
            </w:r>
          </w:p>
        </w:tc>
      </w:tr>
      <w:tr w:rsidR="0017678B" w:rsidRPr="0017678B" w14:paraId="121F56EE" w14:textId="77777777" w:rsidTr="00D24263">
        <w:trPr>
          <w:trHeight w:val="225"/>
        </w:trPr>
        <w:tc>
          <w:tcPr>
            <w:tcW w:w="0" w:type="auto"/>
            <w:tcBorders>
              <w:top w:val="nil"/>
              <w:left w:val="nil"/>
              <w:bottom w:val="nil"/>
              <w:right w:val="nil"/>
            </w:tcBorders>
            <w:shd w:val="clear" w:color="auto" w:fill="auto"/>
            <w:noWrap/>
            <w:vAlign w:val="bottom"/>
            <w:hideMark/>
          </w:tcPr>
          <w:p w14:paraId="047FE4E0"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Game incentive-mixed</w:t>
            </w:r>
          </w:p>
        </w:tc>
        <w:tc>
          <w:tcPr>
            <w:tcW w:w="0" w:type="auto"/>
            <w:tcBorders>
              <w:top w:val="nil"/>
              <w:left w:val="nil"/>
              <w:bottom w:val="nil"/>
              <w:right w:val="nil"/>
            </w:tcBorders>
            <w:shd w:val="clear" w:color="auto" w:fill="auto"/>
            <w:noWrap/>
            <w:vAlign w:val="center"/>
            <w:hideMark/>
          </w:tcPr>
          <w:p w14:paraId="397C1987"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0.379</w:t>
            </w:r>
          </w:p>
        </w:tc>
        <w:tc>
          <w:tcPr>
            <w:tcW w:w="0" w:type="auto"/>
            <w:tcBorders>
              <w:top w:val="nil"/>
              <w:left w:val="nil"/>
              <w:bottom w:val="nil"/>
              <w:right w:val="nil"/>
            </w:tcBorders>
            <w:shd w:val="clear" w:color="auto" w:fill="auto"/>
            <w:noWrap/>
            <w:vAlign w:val="center"/>
            <w:hideMark/>
          </w:tcPr>
          <w:p w14:paraId="68EC13B3"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0.660</w:t>
            </w:r>
          </w:p>
        </w:tc>
        <w:tc>
          <w:tcPr>
            <w:tcW w:w="0" w:type="auto"/>
            <w:tcBorders>
              <w:top w:val="nil"/>
              <w:left w:val="nil"/>
              <w:bottom w:val="nil"/>
              <w:right w:val="nil"/>
            </w:tcBorders>
            <w:shd w:val="clear" w:color="auto" w:fill="auto"/>
            <w:noWrap/>
            <w:vAlign w:val="center"/>
            <w:hideMark/>
          </w:tcPr>
          <w:p w14:paraId="43BCBB0E"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[–0.916, 1.675]</w:t>
            </w:r>
          </w:p>
        </w:tc>
        <w:tc>
          <w:tcPr>
            <w:tcW w:w="0" w:type="auto"/>
            <w:tcBorders>
              <w:top w:val="nil"/>
              <w:left w:val="nil"/>
              <w:bottom w:val="nil"/>
              <w:right w:val="nil"/>
            </w:tcBorders>
            <w:shd w:val="clear" w:color="auto" w:fill="auto"/>
            <w:noWrap/>
            <w:vAlign w:val="center"/>
            <w:hideMark/>
          </w:tcPr>
          <w:p w14:paraId="3A60D9AF"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–0.230</w:t>
            </w:r>
          </w:p>
        </w:tc>
        <w:tc>
          <w:tcPr>
            <w:tcW w:w="0" w:type="auto"/>
            <w:tcBorders>
              <w:top w:val="nil"/>
              <w:left w:val="nil"/>
              <w:bottom w:val="nil"/>
              <w:right w:val="nil"/>
            </w:tcBorders>
            <w:shd w:val="clear" w:color="auto" w:fill="auto"/>
            <w:noWrap/>
            <w:vAlign w:val="center"/>
            <w:hideMark/>
          </w:tcPr>
          <w:p w14:paraId="308BE0FF"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0.494</w:t>
            </w:r>
          </w:p>
        </w:tc>
        <w:tc>
          <w:tcPr>
            <w:tcW w:w="0" w:type="auto"/>
            <w:tcBorders>
              <w:top w:val="nil"/>
              <w:left w:val="nil"/>
              <w:bottom w:val="nil"/>
              <w:right w:val="nil"/>
            </w:tcBorders>
            <w:shd w:val="clear" w:color="auto" w:fill="auto"/>
            <w:noWrap/>
            <w:vAlign w:val="center"/>
            <w:hideMark/>
          </w:tcPr>
          <w:p w14:paraId="014368FD"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[–1.199, 0.738]</w:t>
            </w:r>
          </w:p>
        </w:tc>
      </w:tr>
      <w:tr w:rsidR="0017678B" w:rsidRPr="0017678B" w14:paraId="5BC1373D" w14:textId="77777777" w:rsidTr="00D24263">
        <w:trPr>
          <w:trHeight w:val="225"/>
        </w:trPr>
        <w:tc>
          <w:tcPr>
            <w:tcW w:w="0" w:type="auto"/>
            <w:tcBorders>
              <w:top w:val="nil"/>
              <w:left w:val="nil"/>
              <w:bottom w:val="nil"/>
              <w:right w:val="nil"/>
            </w:tcBorders>
            <w:shd w:val="clear" w:color="auto" w:fill="auto"/>
            <w:noWrap/>
            <w:hideMark/>
          </w:tcPr>
          <w:p w14:paraId="57569199"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Deception-yes</w:t>
            </w:r>
          </w:p>
        </w:tc>
        <w:tc>
          <w:tcPr>
            <w:tcW w:w="0" w:type="auto"/>
            <w:tcBorders>
              <w:top w:val="nil"/>
              <w:left w:val="nil"/>
              <w:bottom w:val="nil"/>
              <w:right w:val="nil"/>
            </w:tcBorders>
            <w:shd w:val="clear" w:color="auto" w:fill="auto"/>
            <w:noWrap/>
            <w:vAlign w:val="center"/>
            <w:hideMark/>
          </w:tcPr>
          <w:p w14:paraId="2F1C7536"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0.134</w:t>
            </w:r>
          </w:p>
        </w:tc>
        <w:tc>
          <w:tcPr>
            <w:tcW w:w="0" w:type="auto"/>
            <w:tcBorders>
              <w:top w:val="nil"/>
              <w:left w:val="nil"/>
              <w:bottom w:val="nil"/>
              <w:right w:val="nil"/>
            </w:tcBorders>
            <w:shd w:val="clear" w:color="auto" w:fill="auto"/>
            <w:noWrap/>
            <w:vAlign w:val="center"/>
            <w:hideMark/>
          </w:tcPr>
          <w:p w14:paraId="71C95382"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0.094</w:t>
            </w:r>
          </w:p>
        </w:tc>
        <w:tc>
          <w:tcPr>
            <w:tcW w:w="0" w:type="auto"/>
            <w:tcBorders>
              <w:top w:val="nil"/>
              <w:left w:val="nil"/>
              <w:bottom w:val="nil"/>
              <w:right w:val="nil"/>
            </w:tcBorders>
            <w:shd w:val="clear" w:color="auto" w:fill="auto"/>
            <w:noWrap/>
            <w:vAlign w:val="center"/>
            <w:hideMark/>
          </w:tcPr>
          <w:p w14:paraId="53959996"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[–0.051, 0.319]</w:t>
            </w:r>
          </w:p>
        </w:tc>
        <w:tc>
          <w:tcPr>
            <w:tcW w:w="0" w:type="auto"/>
            <w:tcBorders>
              <w:top w:val="nil"/>
              <w:left w:val="nil"/>
              <w:bottom w:val="nil"/>
              <w:right w:val="nil"/>
            </w:tcBorders>
            <w:shd w:val="clear" w:color="auto" w:fill="auto"/>
            <w:noWrap/>
            <w:vAlign w:val="center"/>
            <w:hideMark/>
          </w:tcPr>
          <w:p w14:paraId="2D31F6F8"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0.090</w:t>
            </w:r>
          </w:p>
        </w:tc>
        <w:tc>
          <w:tcPr>
            <w:tcW w:w="0" w:type="auto"/>
            <w:tcBorders>
              <w:top w:val="nil"/>
              <w:left w:val="nil"/>
              <w:bottom w:val="nil"/>
              <w:right w:val="nil"/>
            </w:tcBorders>
            <w:shd w:val="clear" w:color="auto" w:fill="auto"/>
            <w:noWrap/>
            <w:vAlign w:val="center"/>
            <w:hideMark/>
          </w:tcPr>
          <w:p w14:paraId="70DC5C03"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0.136</w:t>
            </w:r>
          </w:p>
        </w:tc>
        <w:tc>
          <w:tcPr>
            <w:tcW w:w="0" w:type="auto"/>
            <w:tcBorders>
              <w:top w:val="nil"/>
              <w:left w:val="nil"/>
              <w:bottom w:val="nil"/>
              <w:right w:val="nil"/>
            </w:tcBorders>
            <w:shd w:val="clear" w:color="auto" w:fill="auto"/>
            <w:noWrap/>
            <w:vAlign w:val="center"/>
            <w:hideMark/>
          </w:tcPr>
          <w:p w14:paraId="50C2C9B6"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[–0.176, 0.357]</w:t>
            </w:r>
          </w:p>
        </w:tc>
      </w:tr>
      <w:tr w:rsidR="0017678B" w:rsidRPr="0017678B" w14:paraId="566CA10C" w14:textId="77777777" w:rsidTr="00D24263">
        <w:trPr>
          <w:trHeight w:val="225"/>
        </w:trPr>
        <w:tc>
          <w:tcPr>
            <w:tcW w:w="0" w:type="auto"/>
            <w:tcBorders>
              <w:top w:val="nil"/>
              <w:left w:val="nil"/>
              <w:bottom w:val="nil"/>
              <w:right w:val="nil"/>
            </w:tcBorders>
            <w:shd w:val="clear" w:color="auto" w:fill="auto"/>
            <w:noWrap/>
            <w:hideMark/>
          </w:tcPr>
          <w:p w14:paraId="1E70FD1F"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Deception-mixed</w:t>
            </w:r>
          </w:p>
        </w:tc>
        <w:tc>
          <w:tcPr>
            <w:tcW w:w="0" w:type="auto"/>
            <w:tcBorders>
              <w:top w:val="nil"/>
              <w:left w:val="nil"/>
              <w:bottom w:val="nil"/>
              <w:right w:val="nil"/>
            </w:tcBorders>
            <w:shd w:val="clear" w:color="auto" w:fill="auto"/>
            <w:noWrap/>
            <w:vAlign w:val="center"/>
            <w:hideMark/>
          </w:tcPr>
          <w:p w14:paraId="6FAB5F8E"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0.403</w:t>
            </w:r>
          </w:p>
        </w:tc>
        <w:tc>
          <w:tcPr>
            <w:tcW w:w="0" w:type="auto"/>
            <w:tcBorders>
              <w:top w:val="nil"/>
              <w:left w:val="nil"/>
              <w:bottom w:val="nil"/>
              <w:right w:val="nil"/>
            </w:tcBorders>
            <w:shd w:val="clear" w:color="auto" w:fill="auto"/>
            <w:noWrap/>
            <w:vAlign w:val="center"/>
            <w:hideMark/>
          </w:tcPr>
          <w:p w14:paraId="1C7DCDDD"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0.376</w:t>
            </w:r>
          </w:p>
        </w:tc>
        <w:tc>
          <w:tcPr>
            <w:tcW w:w="0" w:type="auto"/>
            <w:tcBorders>
              <w:top w:val="nil"/>
              <w:left w:val="nil"/>
              <w:bottom w:val="nil"/>
              <w:right w:val="nil"/>
            </w:tcBorders>
            <w:shd w:val="clear" w:color="auto" w:fill="auto"/>
            <w:noWrap/>
            <w:vAlign w:val="center"/>
            <w:hideMark/>
          </w:tcPr>
          <w:p w14:paraId="214F53C1"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[–0.335, 1.141]</w:t>
            </w:r>
          </w:p>
        </w:tc>
        <w:tc>
          <w:tcPr>
            <w:tcW w:w="0" w:type="auto"/>
            <w:tcBorders>
              <w:top w:val="nil"/>
              <w:left w:val="nil"/>
              <w:bottom w:val="nil"/>
              <w:right w:val="nil"/>
            </w:tcBorders>
            <w:shd w:val="clear" w:color="auto" w:fill="auto"/>
            <w:noWrap/>
            <w:vAlign w:val="center"/>
            <w:hideMark/>
          </w:tcPr>
          <w:p w14:paraId="7B4CDCFD"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0.446</w:t>
            </w:r>
          </w:p>
        </w:tc>
        <w:tc>
          <w:tcPr>
            <w:tcW w:w="0" w:type="auto"/>
            <w:tcBorders>
              <w:top w:val="nil"/>
              <w:left w:val="nil"/>
              <w:bottom w:val="nil"/>
              <w:right w:val="nil"/>
            </w:tcBorders>
            <w:shd w:val="clear" w:color="auto" w:fill="auto"/>
            <w:noWrap/>
            <w:vAlign w:val="center"/>
            <w:hideMark/>
          </w:tcPr>
          <w:p w14:paraId="4EC6D9DC"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0.622</w:t>
            </w:r>
          </w:p>
        </w:tc>
        <w:tc>
          <w:tcPr>
            <w:tcW w:w="0" w:type="auto"/>
            <w:tcBorders>
              <w:top w:val="nil"/>
              <w:left w:val="nil"/>
              <w:bottom w:val="nil"/>
              <w:right w:val="nil"/>
            </w:tcBorders>
            <w:shd w:val="clear" w:color="auto" w:fill="auto"/>
            <w:noWrap/>
            <w:vAlign w:val="center"/>
            <w:hideMark/>
          </w:tcPr>
          <w:p w14:paraId="3DA0A1D1"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[–0.775, 1.667]</w:t>
            </w:r>
          </w:p>
        </w:tc>
      </w:tr>
      <w:tr w:rsidR="0017678B" w:rsidRPr="0017678B" w14:paraId="1189D284" w14:textId="77777777" w:rsidTr="00D24263">
        <w:trPr>
          <w:trHeight w:val="225"/>
        </w:trPr>
        <w:tc>
          <w:tcPr>
            <w:tcW w:w="0" w:type="auto"/>
            <w:tcBorders>
              <w:top w:val="nil"/>
              <w:left w:val="nil"/>
              <w:bottom w:val="nil"/>
              <w:right w:val="nil"/>
            </w:tcBorders>
            <w:shd w:val="clear" w:color="auto" w:fill="auto"/>
            <w:noWrap/>
            <w:hideMark/>
          </w:tcPr>
          <w:p w14:paraId="206B2633" w14:textId="77777777" w:rsidR="0017678B" w:rsidRPr="0017678B" w:rsidRDefault="0017678B" w:rsidP="0017678B">
            <w:pPr>
              <w:spacing w:line="240" w:lineRule="auto"/>
              <w:rPr>
                <w:rFonts w:eastAsia="Times New Roman" w:cs="Times New Roman"/>
                <w:i/>
                <w:iCs/>
                <w:color w:val="000000"/>
                <w:sz w:val="16"/>
                <w:szCs w:val="16"/>
                <w:lang w:val="en-GB" w:eastAsia="zh-CN"/>
              </w:rPr>
            </w:pPr>
            <w:r w:rsidRPr="0017678B">
              <w:rPr>
                <w:rFonts w:eastAsia="Times New Roman" w:cs="Times New Roman"/>
                <w:i/>
                <w:iCs/>
                <w:color w:val="000000"/>
                <w:sz w:val="16"/>
                <w:szCs w:val="16"/>
                <w:lang w:val="en-GB" w:eastAsia="zh-CN"/>
              </w:rPr>
              <w:t>Interactions</w:t>
            </w:r>
          </w:p>
        </w:tc>
        <w:tc>
          <w:tcPr>
            <w:tcW w:w="0" w:type="auto"/>
            <w:tcBorders>
              <w:top w:val="nil"/>
              <w:left w:val="nil"/>
              <w:bottom w:val="nil"/>
              <w:right w:val="nil"/>
            </w:tcBorders>
            <w:shd w:val="clear" w:color="auto" w:fill="auto"/>
            <w:noWrap/>
            <w:vAlign w:val="center"/>
            <w:hideMark/>
          </w:tcPr>
          <w:p w14:paraId="49A52807" w14:textId="77777777" w:rsidR="0017678B" w:rsidRPr="0017678B" w:rsidRDefault="0017678B" w:rsidP="0017678B">
            <w:pPr>
              <w:spacing w:line="240" w:lineRule="auto"/>
              <w:rPr>
                <w:rFonts w:eastAsia="Times New Roman" w:cs="Times New Roman"/>
                <w:i/>
                <w:iCs/>
                <w:color w:val="000000"/>
                <w:sz w:val="16"/>
                <w:szCs w:val="16"/>
                <w:lang w:val="en-GB" w:eastAsia="zh-CN"/>
              </w:rPr>
            </w:pPr>
          </w:p>
        </w:tc>
        <w:tc>
          <w:tcPr>
            <w:tcW w:w="0" w:type="auto"/>
            <w:tcBorders>
              <w:top w:val="nil"/>
              <w:left w:val="nil"/>
              <w:bottom w:val="nil"/>
              <w:right w:val="nil"/>
            </w:tcBorders>
            <w:shd w:val="clear" w:color="auto" w:fill="auto"/>
            <w:noWrap/>
            <w:vAlign w:val="center"/>
            <w:hideMark/>
          </w:tcPr>
          <w:p w14:paraId="5FFD628B" w14:textId="77777777" w:rsidR="0017678B" w:rsidRPr="0017678B" w:rsidRDefault="0017678B" w:rsidP="0017678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16BA4BB6" w14:textId="77777777" w:rsidR="0017678B" w:rsidRPr="0017678B" w:rsidRDefault="0017678B" w:rsidP="0017678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03F73719" w14:textId="77777777" w:rsidR="0017678B" w:rsidRPr="0017678B" w:rsidRDefault="0017678B" w:rsidP="0017678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3E09737A" w14:textId="77777777" w:rsidR="0017678B" w:rsidRPr="0017678B" w:rsidRDefault="0017678B" w:rsidP="0017678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0B9FEE68" w14:textId="77777777" w:rsidR="0017678B" w:rsidRPr="0017678B" w:rsidRDefault="0017678B" w:rsidP="0017678B">
            <w:pPr>
              <w:spacing w:line="240" w:lineRule="auto"/>
              <w:jc w:val="center"/>
              <w:rPr>
                <w:rFonts w:eastAsia="Times New Roman" w:cs="Times New Roman"/>
                <w:sz w:val="20"/>
                <w:szCs w:val="20"/>
                <w:lang w:val="en-GB" w:eastAsia="zh-CN"/>
              </w:rPr>
            </w:pPr>
          </w:p>
        </w:tc>
      </w:tr>
      <w:tr w:rsidR="0017678B" w:rsidRPr="0017678B" w14:paraId="37ADCC28" w14:textId="77777777" w:rsidTr="00D24263">
        <w:trPr>
          <w:trHeight w:val="225"/>
        </w:trPr>
        <w:tc>
          <w:tcPr>
            <w:tcW w:w="0" w:type="auto"/>
            <w:tcBorders>
              <w:top w:val="nil"/>
              <w:left w:val="nil"/>
              <w:bottom w:val="nil"/>
              <w:right w:val="nil"/>
            </w:tcBorders>
            <w:shd w:val="clear" w:color="auto" w:fill="auto"/>
            <w:noWrap/>
            <w:vAlign w:val="bottom"/>
            <w:hideMark/>
          </w:tcPr>
          <w:p w14:paraId="6F5DD769"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Matching design-partner*Game incentive-yes</w:t>
            </w:r>
          </w:p>
        </w:tc>
        <w:tc>
          <w:tcPr>
            <w:tcW w:w="0" w:type="auto"/>
            <w:tcBorders>
              <w:top w:val="nil"/>
              <w:left w:val="nil"/>
              <w:bottom w:val="nil"/>
              <w:right w:val="nil"/>
            </w:tcBorders>
            <w:shd w:val="clear" w:color="auto" w:fill="auto"/>
            <w:noWrap/>
            <w:vAlign w:val="center"/>
            <w:hideMark/>
          </w:tcPr>
          <w:p w14:paraId="7E1DBF97"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0.301</w:t>
            </w:r>
          </w:p>
        </w:tc>
        <w:tc>
          <w:tcPr>
            <w:tcW w:w="0" w:type="auto"/>
            <w:tcBorders>
              <w:top w:val="nil"/>
              <w:left w:val="nil"/>
              <w:bottom w:val="nil"/>
              <w:right w:val="nil"/>
            </w:tcBorders>
            <w:shd w:val="clear" w:color="auto" w:fill="auto"/>
            <w:noWrap/>
            <w:vAlign w:val="center"/>
            <w:hideMark/>
          </w:tcPr>
          <w:p w14:paraId="564C0C26"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0.440</w:t>
            </w:r>
          </w:p>
        </w:tc>
        <w:tc>
          <w:tcPr>
            <w:tcW w:w="0" w:type="auto"/>
            <w:tcBorders>
              <w:top w:val="nil"/>
              <w:left w:val="nil"/>
              <w:bottom w:val="nil"/>
              <w:right w:val="nil"/>
            </w:tcBorders>
            <w:shd w:val="clear" w:color="auto" w:fill="auto"/>
            <w:noWrap/>
            <w:vAlign w:val="center"/>
            <w:hideMark/>
          </w:tcPr>
          <w:p w14:paraId="3E7AF73B"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[–0.562, 1.165]</w:t>
            </w:r>
          </w:p>
        </w:tc>
        <w:tc>
          <w:tcPr>
            <w:tcW w:w="0" w:type="auto"/>
            <w:tcBorders>
              <w:top w:val="nil"/>
              <w:left w:val="nil"/>
              <w:bottom w:val="nil"/>
              <w:right w:val="nil"/>
            </w:tcBorders>
            <w:shd w:val="clear" w:color="auto" w:fill="auto"/>
            <w:noWrap/>
            <w:vAlign w:val="center"/>
            <w:hideMark/>
          </w:tcPr>
          <w:p w14:paraId="0E6B5BB8"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0.297</w:t>
            </w:r>
          </w:p>
        </w:tc>
        <w:tc>
          <w:tcPr>
            <w:tcW w:w="0" w:type="auto"/>
            <w:tcBorders>
              <w:top w:val="nil"/>
              <w:left w:val="nil"/>
              <w:bottom w:val="nil"/>
              <w:right w:val="nil"/>
            </w:tcBorders>
            <w:shd w:val="clear" w:color="auto" w:fill="auto"/>
            <w:noWrap/>
            <w:vAlign w:val="center"/>
            <w:hideMark/>
          </w:tcPr>
          <w:p w14:paraId="47AA47AF"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0.235</w:t>
            </w:r>
          </w:p>
        </w:tc>
        <w:tc>
          <w:tcPr>
            <w:tcW w:w="0" w:type="auto"/>
            <w:tcBorders>
              <w:top w:val="nil"/>
              <w:left w:val="nil"/>
              <w:bottom w:val="nil"/>
              <w:right w:val="nil"/>
            </w:tcBorders>
            <w:shd w:val="clear" w:color="auto" w:fill="auto"/>
            <w:noWrap/>
            <w:vAlign w:val="center"/>
            <w:hideMark/>
          </w:tcPr>
          <w:p w14:paraId="6A8CD3FF"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[–0.163, 0.757]</w:t>
            </w:r>
          </w:p>
        </w:tc>
      </w:tr>
      <w:tr w:rsidR="0017678B" w:rsidRPr="0017678B" w14:paraId="58ABD85A" w14:textId="77777777" w:rsidTr="00D24263">
        <w:trPr>
          <w:trHeight w:val="225"/>
        </w:trPr>
        <w:tc>
          <w:tcPr>
            <w:tcW w:w="0" w:type="auto"/>
            <w:tcBorders>
              <w:top w:val="nil"/>
              <w:left w:val="nil"/>
              <w:bottom w:val="nil"/>
              <w:right w:val="nil"/>
            </w:tcBorders>
            <w:shd w:val="clear" w:color="auto" w:fill="auto"/>
            <w:noWrap/>
            <w:vAlign w:val="bottom"/>
            <w:hideMark/>
          </w:tcPr>
          <w:p w14:paraId="217DF14D"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Matching design-mixed*Game incentive-yes</w:t>
            </w:r>
          </w:p>
        </w:tc>
        <w:tc>
          <w:tcPr>
            <w:tcW w:w="0" w:type="auto"/>
            <w:tcBorders>
              <w:top w:val="nil"/>
              <w:left w:val="nil"/>
              <w:bottom w:val="nil"/>
              <w:right w:val="nil"/>
            </w:tcBorders>
            <w:shd w:val="clear" w:color="auto" w:fill="auto"/>
            <w:noWrap/>
            <w:vAlign w:val="center"/>
            <w:hideMark/>
          </w:tcPr>
          <w:p w14:paraId="779ED77C"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–0.379</w:t>
            </w:r>
          </w:p>
        </w:tc>
        <w:tc>
          <w:tcPr>
            <w:tcW w:w="0" w:type="auto"/>
            <w:tcBorders>
              <w:top w:val="nil"/>
              <w:left w:val="nil"/>
              <w:bottom w:val="nil"/>
              <w:right w:val="nil"/>
            </w:tcBorders>
            <w:shd w:val="clear" w:color="auto" w:fill="auto"/>
            <w:noWrap/>
            <w:vAlign w:val="center"/>
            <w:hideMark/>
          </w:tcPr>
          <w:p w14:paraId="23BD98F3"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0.778</w:t>
            </w:r>
          </w:p>
        </w:tc>
        <w:tc>
          <w:tcPr>
            <w:tcW w:w="0" w:type="auto"/>
            <w:tcBorders>
              <w:top w:val="nil"/>
              <w:left w:val="nil"/>
              <w:bottom w:val="nil"/>
              <w:right w:val="nil"/>
            </w:tcBorders>
            <w:shd w:val="clear" w:color="auto" w:fill="auto"/>
            <w:noWrap/>
            <w:vAlign w:val="center"/>
            <w:hideMark/>
          </w:tcPr>
          <w:p w14:paraId="3BA16125"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[–1.905, 1.147]</w:t>
            </w:r>
          </w:p>
        </w:tc>
        <w:tc>
          <w:tcPr>
            <w:tcW w:w="0" w:type="auto"/>
            <w:tcBorders>
              <w:top w:val="nil"/>
              <w:left w:val="nil"/>
              <w:bottom w:val="nil"/>
              <w:right w:val="nil"/>
            </w:tcBorders>
            <w:shd w:val="clear" w:color="auto" w:fill="auto"/>
            <w:noWrap/>
            <w:vAlign w:val="center"/>
            <w:hideMark/>
          </w:tcPr>
          <w:p w14:paraId="39188B21"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–0.046</w:t>
            </w:r>
          </w:p>
        </w:tc>
        <w:tc>
          <w:tcPr>
            <w:tcW w:w="0" w:type="auto"/>
            <w:tcBorders>
              <w:top w:val="nil"/>
              <w:left w:val="nil"/>
              <w:bottom w:val="nil"/>
              <w:right w:val="nil"/>
            </w:tcBorders>
            <w:shd w:val="clear" w:color="auto" w:fill="auto"/>
            <w:noWrap/>
            <w:vAlign w:val="center"/>
            <w:hideMark/>
          </w:tcPr>
          <w:p w14:paraId="7D9E3DC9"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0.560</w:t>
            </w:r>
          </w:p>
        </w:tc>
        <w:tc>
          <w:tcPr>
            <w:tcW w:w="0" w:type="auto"/>
            <w:tcBorders>
              <w:top w:val="nil"/>
              <w:left w:val="nil"/>
              <w:bottom w:val="nil"/>
              <w:right w:val="nil"/>
            </w:tcBorders>
            <w:shd w:val="clear" w:color="auto" w:fill="auto"/>
            <w:noWrap/>
            <w:vAlign w:val="center"/>
            <w:hideMark/>
          </w:tcPr>
          <w:p w14:paraId="3AB54F31"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[–1.145, 1.053]</w:t>
            </w:r>
          </w:p>
        </w:tc>
      </w:tr>
      <w:tr w:rsidR="0017678B" w:rsidRPr="0017678B" w14:paraId="6D14E6F8" w14:textId="77777777" w:rsidTr="00D24263">
        <w:trPr>
          <w:trHeight w:val="225"/>
        </w:trPr>
        <w:tc>
          <w:tcPr>
            <w:tcW w:w="0" w:type="auto"/>
            <w:tcBorders>
              <w:top w:val="nil"/>
              <w:left w:val="nil"/>
              <w:bottom w:val="nil"/>
              <w:right w:val="nil"/>
            </w:tcBorders>
            <w:shd w:val="clear" w:color="auto" w:fill="auto"/>
            <w:noWrap/>
            <w:vAlign w:val="bottom"/>
            <w:hideMark/>
          </w:tcPr>
          <w:p w14:paraId="5397CE75"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Matching design-partner*Game incentive-mixed</w:t>
            </w:r>
          </w:p>
        </w:tc>
        <w:tc>
          <w:tcPr>
            <w:tcW w:w="0" w:type="auto"/>
            <w:tcBorders>
              <w:top w:val="nil"/>
              <w:left w:val="nil"/>
              <w:bottom w:val="nil"/>
              <w:right w:val="nil"/>
            </w:tcBorders>
            <w:shd w:val="clear" w:color="auto" w:fill="auto"/>
            <w:noWrap/>
            <w:vAlign w:val="center"/>
            <w:hideMark/>
          </w:tcPr>
          <w:p w14:paraId="01D84F93"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–0.098</w:t>
            </w:r>
          </w:p>
        </w:tc>
        <w:tc>
          <w:tcPr>
            <w:tcW w:w="0" w:type="auto"/>
            <w:tcBorders>
              <w:top w:val="nil"/>
              <w:left w:val="nil"/>
              <w:bottom w:val="nil"/>
              <w:right w:val="nil"/>
            </w:tcBorders>
            <w:shd w:val="clear" w:color="auto" w:fill="auto"/>
            <w:noWrap/>
            <w:vAlign w:val="center"/>
            <w:hideMark/>
          </w:tcPr>
          <w:p w14:paraId="6271718C"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0.948</w:t>
            </w:r>
          </w:p>
        </w:tc>
        <w:tc>
          <w:tcPr>
            <w:tcW w:w="0" w:type="auto"/>
            <w:tcBorders>
              <w:top w:val="nil"/>
              <w:left w:val="nil"/>
              <w:bottom w:val="nil"/>
              <w:right w:val="nil"/>
            </w:tcBorders>
            <w:shd w:val="clear" w:color="auto" w:fill="auto"/>
            <w:noWrap/>
            <w:vAlign w:val="center"/>
            <w:hideMark/>
          </w:tcPr>
          <w:p w14:paraId="351DFC14"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[–1.957, 1.761]</w:t>
            </w:r>
          </w:p>
        </w:tc>
        <w:tc>
          <w:tcPr>
            <w:tcW w:w="0" w:type="auto"/>
            <w:tcBorders>
              <w:top w:val="nil"/>
              <w:left w:val="nil"/>
              <w:bottom w:val="nil"/>
              <w:right w:val="nil"/>
            </w:tcBorders>
            <w:shd w:val="clear" w:color="auto" w:fill="auto"/>
            <w:noWrap/>
            <w:vAlign w:val="center"/>
            <w:hideMark/>
          </w:tcPr>
          <w:p w14:paraId="5A5C4B2E"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0.572</w:t>
            </w:r>
          </w:p>
        </w:tc>
        <w:tc>
          <w:tcPr>
            <w:tcW w:w="0" w:type="auto"/>
            <w:tcBorders>
              <w:top w:val="nil"/>
              <w:left w:val="nil"/>
              <w:bottom w:val="nil"/>
              <w:right w:val="nil"/>
            </w:tcBorders>
            <w:shd w:val="clear" w:color="auto" w:fill="auto"/>
            <w:noWrap/>
            <w:vAlign w:val="center"/>
            <w:hideMark/>
          </w:tcPr>
          <w:p w14:paraId="21BCFB3B"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0.777</w:t>
            </w:r>
          </w:p>
        </w:tc>
        <w:tc>
          <w:tcPr>
            <w:tcW w:w="0" w:type="auto"/>
            <w:tcBorders>
              <w:top w:val="nil"/>
              <w:left w:val="nil"/>
              <w:bottom w:val="nil"/>
              <w:right w:val="nil"/>
            </w:tcBorders>
            <w:shd w:val="clear" w:color="auto" w:fill="auto"/>
            <w:noWrap/>
            <w:vAlign w:val="center"/>
            <w:hideMark/>
          </w:tcPr>
          <w:p w14:paraId="69FEBFE7"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[–0.953, 2.096]</w:t>
            </w:r>
          </w:p>
        </w:tc>
      </w:tr>
      <w:tr w:rsidR="0017678B" w:rsidRPr="0017678B" w14:paraId="2A6919A2" w14:textId="77777777" w:rsidTr="00D24263">
        <w:trPr>
          <w:trHeight w:val="225"/>
        </w:trPr>
        <w:tc>
          <w:tcPr>
            <w:tcW w:w="0" w:type="auto"/>
            <w:tcBorders>
              <w:top w:val="nil"/>
              <w:left w:val="nil"/>
              <w:bottom w:val="nil"/>
              <w:right w:val="nil"/>
            </w:tcBorders>
            <w:shd w:val="clear" w:color="auto" w:fill="auto"/>
            <w:noWrap/>
            <w:vAlign w:val="bottom"/>
            <w:hideMark/>
          </w:tcPr>
          <w:p w14:paraId="55EDA111"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Matching design-mixed*Game incentive-mixed</w:t>
            </w:r>
          </w:p>
        </w:tc>
        <w:tc>
          <w:tcPr>
            <w:tcW w:w="0" w:type="auto"/>
            <w:tcBorders>
              <w:top w:val="nil"/>
              <w:left w:val="nil"/>
              <w:bottom w:val="nil"/>
              <w:right w:val="nil"/>
            </w:tcBorders>
            <w:shd w:val="clear" w:color="auto" w:fill="auto"/>
            <w:noWrap/>
            <w:vAlign w:val="center"/>
            <w:hideMark/>
          </w:tcPr>
          <w:p w14:paraId="1848F573"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41FD0250"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224E801F"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3895DC8F"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–0.801</w:t>
            </w:r>
          </w:p>
        </w:tc>
        <w:tc>
          <w:tcPr>
            <w:tcW w:w="0" w:type="auto"/>
            <w:tcBorders>
              <w:top w:val="nil"/>
              <w:left w:val="nil"/>
              <w:bottom w:val="nil"/>
              <w:right w:val="nil"/>
            </w:tcBorders>
            <w:shd w:val="clear" w:color="auto" w:fill="auto"/>
            <w:noWrap/>
            <w:vAlign w:val="center"/>
            <w:hideMark/>
          </w:tcPr>
          <w:p w14:paraId="683B35BC"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0.777</w:t>
            </w:r>
          </w:p>
        </w:tc>
        <w:tc>
          <w:tcPr>
            <w:tcW w:w="0" w:type="auto"/>
            <w:tcBorders>
              <w:top w:val="nil"/>
              <w:left w:val="nil"/>
              <w:bottom w:val="nil"/>
              <w:right w:val="nil"/>
            </w:tcBorders>
            <w:shd w:val="clear" w:color="auto" w:fill="auto"/>
            <w:noWrap/>
            <w:vAlign w:val="center"/>
            <w:hideMark/>
          </w:tcPr>
          <w:p w14:paraId="42895AB1"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[–2.325, 0.722]</w:t>
            </w:r>
          </w:p>
        </w:tc>
      </w:tr>
      <w:tr w:rsidR="0017678B" w:rsidRPr="0017678B" w14:paraId="703B50D8" w14:textId="77777777" w:rsidTr="00D24263">
        <w:trPr>
          <w:trHeight w:val="225"/>
        </w:trPr>
        <w:tc>
          <w:tcPr>
            <w:tcW w:w="0" w:type="auto"/>
            <w:tcBorders>
              <w:top w:val="nil"/>
              <w:left w:val="nil"/>
              <w:bottom w:val="nil"/>
              <w:right w:val="nil"/>
            </w:tcBorders>
            <w:shd w:val="clear" w:color="auto" w:fill="auto"/>
            <w:noWrap/>
            <w:vAlign w:val="bottom"/>
            <w:hideMark/>
          </w:tcPr>
          <w:p w14:paraId="1D0933D2"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Sanction-yes*Matching design-partner</w:t>
            </w:r>
          </w:p>
        </w:tc>
        <w:tc>
          <w:tcPr>
            <w:tcW w:w="0" w:type="auto"/>
            <w:tcBorders>
              <w:top w:val="nil"/>
              <w:left w:val="nil"/>
              <w:bottom w:val="nil"/>
              <w:right w:val="nil"/>
            </w:tcBorders>
            <w:shd w:val="clear" w:color="auto" w:fill="auto"/>
            <w:noWrap/>
            <w:vAlign w:val="center"/>
            <w:hideMark/>
          </w:tcPr>
          <w:p w14:paraId="0515BC36"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0.238*</w:t>
            </w:r>
          </w:p>
        </w:tc>
        <w:tc>
          <w:tcPr>
            <w:tcW w:w="0" w:type="auto"/>
            <w:tcBorders>
              <w:top w:val="nil"/>
              <w:left w:val="nil"/>
              <w:bottom w:val="nil"/>
              <w:right w:val="nil"/>
            </w:tcBorders>
            <w:shd w:val="clear" w:color="auto" w:fill="auto"/>
            <w:noWrap/>
            <w:vAlign w:val="center"/>
            <w:hideMark/>
          </w:tcPr>
          <w:p w14:paraId="2DE20A95"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0.108</w:t>
            </w:r>
          </w:p>
        </w:tc>
        <w:tc>
          <w:tcPr>
            <w:tcW w:w="0" w:type="auto"/>
            <w:tcBorders>
              <w:top w:val="nil"/>
              <w:left w:val="nil"/>
              <w:bottom w:val="nil"/>
              <w:right w:val="nil"/>
            </w:tcBorders>
            <w:shd w:val="clear" w:color="auto" w:fill="auto"/>
            <w:noWrap/>
            <w:vAlign w:val="center"/>
            <w:hideMark/>
          </w:tcPr>
          <w:p w14:paraId="53BCBAFD"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[0.026, 0.450]</w:t>
            </w:r>
          </w:p>
        </w:tc>
        <w:tc>
          <w:tcPr>
            <w:tcW w:w="0" w:type="auto"/>
            <w:tcBorders>
              <w:top w:val="nil"/>
              <w:left w:val="nil"/>
              <w:bottom w:val="nil"/>
              <w:right w:val="nil"/>
            </w:tcBorders>
            <w:shd w:val="clear" w:color="auto" w:fill="auto"/>
            <w:noWrap/>
            <w:vAlign w:val="center"/>
            <w:hideMark/>
          </w:tcPr>
          <w:p w14:paraId="0A5E52FB" w14:textId="77777777" w:rsidR="0017678B" w:rsidRPr="0017678B" w:rsidRDefault="0017678B" w:rsidP="0017678B">
            <w:pPr>
              <w:spacing w:line="240" w:lineRule="auto"/>
              <w:jc w:val="center"/>
              <w:rPr>
                <w:rFonts w:eastAsia="Times New Roman" w:cs="Times New Roman"/>
                <w:b/>
                <w:bCs/>
                <w:color w:val="000000"/>
                <w:sz w:val="16"/>
                <w:szCs w:val="16"/>
                <w:lang w:val="en-GB" w:eastAsia="zh-CN"/>
              </w:rPr>
            </w:pPr>
            <w:r w:rsidRPr="0017678B">
              <w:rPr>
                <w:rFonts w:eastAsia="Times New Roman" w:cs="Times New Roman"/>
                <w:b/>
                <w:bCs/>
                <w:color w:val="000000"/>
                <w:sz w:val="16"/>
                <w:szCs w:val="16"/>
                <w:lang w:val="en-GB" w:eastAsia="zh-CN"/>
              </w:rPr>
              <w:t>0.231*</w:t>
            </w:r>
          </w:p>
        </w:tc>
        <w:tc>
          <w:tcPr>
            <w:tcW w:w="0" w:type="auto"/>
            <w:tcBorders>
              <w:top w:val="nil"/>
              <w:left w:val="nil"/>
              <w:bottom w:val="nil"/>
              <w:right w:val="nil"/>
            </w:tcBorders>
            <w:shd w:val="clear" w:color="auto" w:fill="auto"/>
            <w:noWrap/>
            <w:vAlign w:val="center"/>
            <w:hideMark/>
          </w:tcPr>
          <w:p w14:paraId="5FA21D35" w14:textId="77777777" w:rsidR="0017678B" w:rsidRPr="0017678B" w:rsidRDefault="0017678B" w:rsidP="0017678B">
            <w:pPr>
              <w:spacing w:line="240" w:lineRule="auto"/>
              <w:jc w:val="center"/>
              <w:rPr>
                <w:rFonts w:eastAsia="Times New Roman" w:cs="Times New Roman"/>
                <w:b/>
                <w:bCs/>
                <w:color w:val="000000"/>
                <w:sz w:val="16"/>
                <w:szCs w:val="16"/>
                <w:lang w:val="en-GB" w:eastAsia="zh-CN"/>
              </w:rPr>
            </w:pPr>
            <w:r w:rsidRPr="0017678B">
              <w:rPr>
                <w:rFonts w:eastAsia="Times New Roman" w:cs="Times New Roman"/>
                <w:b/>
                <w:bCs/>
                <w:color w:val="000000"/>
                <w:sz w:val="16"/>
                <w:szCs w:val="16"/>
                <w:lang w:val="en-GB" w:eastAsia="zh-CN"/>
              </w:rPr>
              <w:t>0.107</w:t>
            </w:r>
          </w:p>
        </w:tc>
        <w:tc>
          <w:tcPr>
            <w:tcW w:w="0" w:type="auto"/>
            <w:tcBorders>
              <w:top w:val="nil"/>
              <w:left w:val="nil"/>
              <w:bottom w:val="nil"/>
              <w:right w:val="nil"/>
            </w:tcBorders>
            <w:shd w:val="clear" w:color="auto" w:fill="auto"/>
            <w:noWrap/>
            <w:vAlign w:val="center"/>
            <w:hideMark/>
          </w:tcPr>
          <w:p w14:paraId="694752AB" w14:textId="77777777" w:rsidR="0017678B" w:rsidRPr="0017678B" w:rsidRDefault="0017678B" w:rsidP="0017678B">
            <w:pPr>
              <w:spacing w:line="240" w:lineRule="auto"/>
              <w:jc w:val="center"/>
              <w:rPr>
                <w:rFonts w:eastAsia="Times New Roman" w:cs="Times New Roman"/>
                <w:b/>
                <w:bCs/>
                <w:color w:val="000000"/>
                <w:sz w:val="16"/>
                <w:szCs w:val="16"/>
                <w:lang w:val="en-GB" w:eastAsia="zh-CN"/>
              </w:rPr>
            </w:pPr>
            <w:r w:rsidRPr="0017678B">
              <w:rPr>
                <w:rFonts w:eastAsia="Times New Roman" w:cs="Times New Roman"/>
                <w:b/>
                <w:bCs/>
                <w:color w:val="000000"/>
                <w:sz w:val="16"/>
                <w:szCs w:val="16"/>
                <w:lang w:val="en-GB" w:eastAsia="zh-CN"/>
              </w:rPr>
              <w:t>[0.020, 0.442]</w:t>
            </w:r>
          </w:p>
        </w:tc>
      </w:tr>
      <w:tr w:rsidR="0017678B" w:rsidRPr="0017678B" w14:paraId="43C1F7AC" w14:textId="77777777" w:rsidTr="00D24263">
        <w:trPr>
          <w:trHeight w:val="225"/>
        </w:trPr>
        <w:tc>
          <w:tcPr>
            <w:tcW w:w="0" w:type="auto"/>
            <w:tcBorders>
              <w:top w:val="nil"/>
              <w:left w:val="nil"/>
              <w:bottom w:val="nil"/>
              <w:right w:val="nil"/>
            </w:tcBorders>
            <w:shd w:val="clear" w:color="auto" w:fill="auto"/>
            <w:noWrap/>
            <w:vAlign w:val="bottom"/>
            <w:hideMark/>
          </w:tcPr>
          <w:p w14:paraId="2E996FCC"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Sanction-mixed*Matching design-partner</w:t>
            </w:r>
          </w:p>
        </w:tc>
        <w:tc>
          <w:tcPr>
            <w:tcW w:w="0" w:type="auto"/>
            <w:tcBorders>
              <w:top w:val="nil"/>
              <w:left w:val="nil"/>
              <w:bottom w:val="nil"/>
              <w:right w:val="nil"/>
            </w:tcBorders>
            <w:shd w:val="clear" w:color="auto" w:fill="auto"/>
            <w:noWrap/>
            <w:vAlign w:val="center"/>
            <w:hideMark/>
          </w:tcPr>
          <w:p w14:paraId="4F62AC5E"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0.231</w:t>
            </w:r>
          </w:p>
        </w:tc>
        <w:tc>
          <w:tcPr>
            <w:tcW w:w="0" w:type="auto"/>
            <w:tcBorders>
              <w:top w:val="nil"/>
              <w:left w:val="nil"/>
              <w:bottom w:val="nil"/>
              <w:right w:val="nil"/>
            </w:tcBorders>
            <w:shd w:val="clear" w:color="auto" w:fill="auto"/>
            <w:noWrap/>
            <w:vAlign w:val="center"/>
            <w:hideMark/>
          </w:tcPr>
          <w:p w14:paraId="177B6206"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0.424</w:t>
            </w:r>
          </w:p>
        </w:tc>
        <w:tc>
          <w:tcPr>
            <w:tcW w:w="0" w:type="auto"/>
            <w:tcBorders>
              <w:top w:val="nil"/>
              <w:left w:val="nil"/>
              <w:bottom w:val="nil"/>
              <w:right w:val="nil"/>
            </w:tcBorders>
            <w:shd w:val="clear" w:color="auto" w:fill="auto"/>
            <w:noWrap/>
            <w:vAlign w:val="center"/>
            <w:hideMark/>
          </w:tcPr>
          <w:p w14:paraId="736C4BC8"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[–0.602, 1.064]</w:t>
            </w:r>
          </w:p>
        </w:tc>
        <w:tc>
          <w:tcPr>
            <w:tcW w:w="0" w:type="auto"/>
            <w:tcBorders>
              <w:top w:val="nil"/>
              <w:left w:val="nil"/>
              <w:bottom w:val="nil"/>
              <w:right w:val="nil"/>
            </w:tcBorders>
            <w:shd w:val="clear" w:color="auto" w:fill="auto"/>
            <w:noWrap/>
            <w:vAlign w:val="center"/>
            <w:hideMark/>
          </w:tcPr>
          <w:p w14:paraId="1CA41C10"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–0.034</w:t>
            </w:r>
          </w:p>
        </w:tc>
        <w:tc>
          <w:tcPr>
            <w:tcW w:w="0" w:type="auto"/>
            <w:tcBorders>
              <w:top w:val="nil"/>
              <w:left w:val="nil"/>
              <w:bottom w:val="nil"/>
              <w:right w:val="nil"/>
            </w:tcBorders>
            <w:shd w:val="clear" w:color="auto" w:fill="auto"/>
            <w:noWrap/>
            <w:vAlign w:val="center"/>
            <w:hideMark/>
          </w:tcPr>
          <w:p w14:paraId="5ED55492"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0.310</w:t>
            </w:r>
          </w:p>
        </w:tc>
        <w:tc>
          <w:tcPr>
            <w:tcW w:w="0" w:type="auto"/>
            <w:tcBorders>
              <w:top w:val="nil"/>
              <w:left w:val="nil"/>
              <w:bottom w:val="nil"/>
              <w:right w:val="nil"/>
            </w:tcBorders>
            <w:shd w:val="clear" w:color="auto" w:fill="auto"/>
            <w:noWrap/>
            <w:vAlign w:val="center"/>
            <w:hideMark/>
          </w:tcPr>
          <w:p w14:paraId="391A5F2C"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[–0.643, 0.574]</w:t>
            </w:r>
          </w:p>
        </w:tc>
      </w:tr>
      <w:tr w:rsidR="0017678B" w:rsidRPr="0017678B" w14:paraId="6C9F27B8" w14:textId="77777777" w:rsidTr="00D24263">
        <w:trPr>
          <w:trHeight w:val="225"/>
        </w:trPr>
        <w:tc>
          <w:tcPr>
            <w:tcW w:w="0" w:type="auto"/>
            <w:tcBorders>
              <w:top w:val="nil"/>
              <w:left w:val="nil"/>
              <w:bottom w:val="nil"/>
              <w:right w:val="nil"/>
            </w:tcBorders>
            <w:shd w:val="clear" w:color="auto" w:fill="auto"/>
            <w:noWrap/>
            <w:vAlign w:val="bottom"/>
            <w:hideMark/>
          </w:tcPr>
          <w:p w14:paraId="03474F6A"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Sanction-yes*Matching design-mixed</w:t>
            </w:r>
          </w:p>
        </w:tc>
        <w:tc>
          <w:tcPr>
            <w:tcW w:w="0" w:type="auto"/>
            <w:tcBorders>
              <w:top w:val="nil"/>
              <w:left w:val="nil"/>
              <w:bottom w:val="nil"/>
              <w:right w:val="nil"/>
            </w:tcBorders>
            <w:shd w:val="clear" w:color="auto" w:fill="auto"/>
            <w:noWrap/>
            <w:vAlign w:val="center"/>
            <w:hideMark/>
          </w:tcPr>
          <w:p w14:paraId="61BE4563"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1.290*</w:t>
            </w:r>
          </w:p>
        </w:tc>
        <w:tc>
          <w:tcPr>
            <w:tcW w:w="0" w:type="auto"/>
            <w:tcBorders>
              <w:top w:val="nil"/>
              <w:left w:val="nil"/>
              <w:bottom w:val="nil"/>
              <w:right w:val="nil"/>
            </w:tcBorders>
            <w:shd w:val="clear" w:color="auto" w:fill="auto"/>
            <w:noWrap/>
            <w:vAlign w:val="center"/>
            <w:hideMark/>
          </w:tcPr>
          <w:p w14:paraId="5B78C36D"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0.611</w:t>
            </w:r>
          </w:p>
        </w:tc>
        <w:tc>
          <w:tcPr>
            <w:tcW w:w="0" w:type="auto"/>
            <w:tcBorders>
              <w:top w:val="nil"/>
              <w:left w:val="nil"/>
              <w:bottom w:val="nil"/>
              <w:right w:val="nil"/>
            </w:tcBorders>
            <w:shd w:val="clear" w:color="auto" w:fill="auto"/>
            <w:noWrap/>
            <w:vAlign w:val="center"/>
            <w:hideMark/>
          </w:tcPr>
          <w:p w14:paraId="42EE22FC"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[0.092, 2.488]</w:t>
            </w:r>
          </w:p>
        </w:tc>
        <w:tc>
          <w:tcPr>
            <w:tcW w:w="0" w:type="auto"/>
            <w:tcBorders>
              <w:top w:val="nil"/>
              <w:left w:val="nil"/>
              <w:bottom w:val="nil"/>
              <w:right w:val="nil"/>
            </w:tcBorders>
            <w:shd w:val="clear" w:color="auto" w:fill="auto"/>
            <w:noWrap/>
            <w:vAlign w:val="center"/>
            <w:hideMark/>
          </w:tcPr>
          <w:p w14:paraId="44C0F716"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1.073*</w:t>
            </w:r>
          </w:p>
        </w:tc>
        <w:tc>
          <w:tcPr>
            <w:tcW w:w="0" w:type="auto"/>
            <w:tcBorders>
              <w:top w:val="nil"/>
              <w:left w:val="nil"/>
              <w:bottom w:val="nil"/>
              <w:right w:val="nil"/>
            </w:tcBorders>
            <w:shd w:val="clear" w:color="auto" w:fill="auto"/>
            <w:noWrap/>
            <w:vAlign w:val="center"/>
            <w:hideMark/>
          </w:tcPr>
          <w:p w14:paraId="39D3E328"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0.490</w:t>
            </w:r>
          </w:p>
        </w:tc>
        <w:tc>
          <w:tcPr>
            <w:tcW w:w="0" w:type="auto"/>
            <w:tcBorders>
              <w:top w:val="nil"/>
              <w:left w:val="nil"/>
              <w:bottom w:val="nil"/>
              <w:right w:val="nil"/>
            </w:tcBorders>
            <w:shd w:val="clear" w:color="auto" w:fill="auto"/>
            <w:noWrap/>
            <w:vAlign w:val="center"/>
            <w:hideMark/>
          </w:tcPr>
          <w:p w14:paraId="10BE390B"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[0.112, 2.033]</w:t>
            </w:r>
          </w:p>
        </w:tc>
      </w:tr>
      <w:tr w:rsidR="0017678B" w:rsidRPr="0017678B" w14:paraId="2EB9388C" w14:textId="77777777" w:rsidTr="00D24263">
        <w:trPr>
          <w:trHeight w:val="225"/>
        </w:trPr>
        <w:tc>
          <w:tcPr>
            <w:tcW w:w="0" w:type="auto"/>
            <w:tcBorders>
              <w:top w:val="nil"/>
              <w:left w:val="nil"/>
              <w:bottom w:val="nil"/>
              <w:right w:val="nil"/>
            </w:tcBorders>
            <w:shd w:val="clear" w:color="auto" w:fill="auto"/>
            <w:noWrap/>
            <w:vAlign w:val="bottom"/>
            <w:hideMark/>
          </w:tcPr>
          <w:p w14:paraId="30C3BE0C"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Sanction-mixed*Matching design-mixed</w:t>
            </w:r>
          </w:p>
        </w:tc>
        <w:tc>
          <w:tcPr>
            <w:tcW w:w="0" w:type="auto"/>
            <w:tcBorders>
              <w:top w:val="nil"/>
              <w:left w:val="nil"/>
              <w:bottom w:val="nil"/>
              <w:right w:val="nil"/>
            </w:tcBorders>
            <w:shd w:val="clear" w:color="auto" w:fill="auto"/>
            <w:noWrap/>
            <w:vAlign w:val="center"/>
            <w:hideMark/>
          </w:tcPr>
          <w:p w14:paraId="605EA41B"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1.601</w:t>
            </w:r>
          </w:p>
        </w:tc>
        <w:tc>
          <w:tcPr>
            <w:tcW w:w="0" w:type="auto"/>
            <w:tcBorders>
              <w:top w:val="nil"/>
              <w:left w:val="nil"/>
              <w:bottom w:val="nil"/>
              <w:right w:val="nil"/>
            </w:tcBorders>
            <w:shd w:val="clear" w:color="auto" w:fill="auto"/>
            <w:noWrap/>
            <w:vAlign w:val="center"/>
            <w:hideMark/>
          </w:tcPr>
          <w:p w14:paraId="29CA802B"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0.857</w:t>
            </w:r>
          </w:p>
        </w:tc>
        <w:tc>
          <w:tcPr>
            <w:tcW w:w="0" w:type="auto"/>
            <w:tcBorders>
              <w:top w:val="nil"/>
              <w:left w:val="nil"/>
              <w:bottom w:val="nil"/>
              <w:right w:val="nil"/>
            </w:tcBorders>
            <w:shd w:val="clear" w:color="auto" w:fill="auto"/>
            <w:noWrap/>
            <w:vAlign w:val="center"/>
            <w:hideMark/>
          </w:tcPr>
          <w:p w14:paraId="58A3BBB9"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[–0.080, 3.282]</w:t>
            </w:r>
          </w:p>
        </w:tc>
        <w:tc>
          <w:tcPr>
            <w:tcW w:w="0" w:type="auto"/>
            <w:tcBorders>
              <w:top w:val="nil"/>
              <w:left w:val="nil"/>
              <w:bottom w:val="nil"/>
              <w:right w:val="nil"/>
            </w:tcBorders>
            <w:shd w:val="clear" w:color="auto" w:fill="auto"/>
            <w:noWrap/>
            <w:vAlign w:val="center"/>
            <w:hideMark/>
          </w:tcPr>
          <w:p w14:paraId="1C659AB3"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1.097</w:t>
            </w:r>
          </w:p>
        </w:tc>
        <w:tc>
          <w:tcPr>
            <w:tcW w:w="0" w:type="auto"/>
            <w:tcBorders>
              <w:top w:val="nil"/>
              <w:left w:val="nil"/>
              <w:bottom w:val="nil"/>
              <w:right w:val="nil"/>
            </w:tcBorders>
            <w:shd w:val="clear" w:color="auto" w:fill="auto"/>
            <w:noWrap/>
            <w:vAlign w:val="center"/>
            <w:hideMark/>
          </w:tcPr>
          <w:p w14:paraId="00EC8D7D"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0.799</w:t>
            </w:r>
          </w:p>
        </w:tc>
        <w:tc>
          <w:tcPr>
            <w:tcW w:w="0" w:type="auto"/>
            <w:tcBorders>
              <w:top w:val="nil"/>
              <w:left w:val="nil"/>
              <w:bottom w:val="nil"/>
              <w:right w:val="nil"/>
            </w:tcBorders>
            <w:shd w:val="clear" w:color="auto" w:fill="auto"/>
            <w:noWrap/>
            <w:vAlign w:val="center"/>
            <w:hideMark/>
          </w:tcPr>
          <w:p w14:paraId="0DFC9A54"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[–0.471, 2.666]</w:t>
            </w:r>
          </w:p>
        </w:tc>
      </w:tr>
      <w:tr w:rsidR="0017678B" w:rsidRPr="0017678B" w14:paraId="5B50DC43" w14:textId="77777777" w:rsidTr="00D24263">
        <w:trPr>
          <w:trHeight w:val="225"/>
        </w:trPr>
        <w:tc>
          <w:tcPr>
            <w:tcW w:w="0" w:type="auto"/>
            <w:tcBorders>
              <w:top w:val="nil"/>
              <w:left w:val="nil"/>
              <w:bottom w:val="nil"/>
              <w:right w:val="nil"/>
            </w:tcBorders>
            <w:shd w:val="clear" w:color="auto" w:fill="auto"/>
            <w:noWrap/>
            <w:vAlign w:val="bottom"/>
            <w:hideMark/>
          </w:tcPr>
          <w:p w14:paraId="12BB2266"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Discussion-yes*Conflict of interests (MPCR)</w:t>
            </w:r>
          </w:p>
        </w:tc>
        <w:tc>
          <w:tcPr>
            <w:tcW w:w="0" w:type="auto"/>
            <w:tcBorders>
              <w:top w:val="nil"/>
              <w:left w:val="nil"/>
              <w:bottom w:val="nil"/>
              <w:right w:val="nil"/>
            </w:tcBorders>
            <w:shd w:val="clear" w:color="auto" w:fill="auto"/>
            <w:noWrap/>
            <w:vAlign w:val="center"/>
            <w:hideMark/>
          </w:tcPr>
          <w:p w14:paraId="3023627C"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–0.110</w:t>
            </w:r>
          </w:p>
        </w:tc>
        <w:tc>
          <w:tcPr>
            <w:tcW w:w="0" w:type="auto"/>
            <w:tcBorders>
              <w:top w:val="nil"/>
              <w:left w:val="nil"/>
              <w:bottom w:val="nil"/>
              <w:right w:val="nil"/>
            </w:tcBorders>
            <w:shd w:val="clear" w:color="auto" w:fill="auto"/>
            <w:noWrap/>
            <w:vAlign w:val="center"/>
            <w:hideMark/>
          </w:tcPr>
          <w:p w14:paraId="5885EC73"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0.627</w:t>
            </w:r>
          </w:p>
        </w:tc>
        <w:tc>
          <w:tcPr>
            <w:tcW w:w="0" w:type="auto"/>
            <w:tcBorders>
              <w:top w:val="nil"/>
              <w:left w:val="nil"/>
              <w:bottom w:val="nil"/>
              <w:right w:val="nil"/>
            </w:tcBorders>
            <w:shd w:val="clear" w:color="auto" w:fill="auto"/>
            <w:noWrap/>
            <w:vAlign w:val="center"/>
            <w:hideMark/>
          </w:tcPr>
          <w:p w14:paraId="24CCDF38"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[–1.340, 1.120]</w:t>
            </w:r>
          </w:p>
        </w:tc>
        <w:tc>
          <w:tcPr>
            <w:tcW w:w="0" w:type="auto"/>
            <w:tcBorders>
              <w:top w:val="nil"/>
              <w:left w:val="nil"/>
              <w:bottom w:val="nil"/>
              <w:right w:val="nil"/>
            </w:tcBorders>
            <w:shd w:val="clear" w:color="auto" w:fill="auto"/>
            <w:noWrap/>
            <w:vAlign w:val="center"/>
            <w:hideMark/>
          </w:tcPr>
          <w:p w14:paraId="629C24A2"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B364B06"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CE8D570"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r>
      <w:tr w:rsidR="0017678B" w:rsidRPr="0017678B" w14:paraId="6BC08643" w14:textId="77777777" w:rsidTr="00D24263">
        <w:trPr>
          <w:trHeight w:val="225"/>
        </w:trPr>
        <w:tc>
          <w:tcPr>
            <w:tcW w:w="0" w:type="auto"/>
            <w:tcBorders>
              <w:top w:val="nil"/>
              <w:left w:val="nil"/>
              <w:bottom w:val="nil"/>
              <w:right w:val="nil"/>
            </w:tcBorders>
            <w:shd w:val="clear" w:color="auto" w:fill="auto"/>
            <w:noWrap/>
            <w:vAlign w:val="bottom"/>
            <w:hideMark/>
          </w:tcPr>
          <w:p w14:paraId="481EE77B"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Discussion-mixed*Conflict of interests (MPCR)</w:t>
            </w:r>
          </w:p>
        </w:tc>
        <w:tc>
          <w:tcPr>
            <w:tcW w:w="0" w:type="auto"/>
            <w:tcBorders>
              <w:top w:val="nil"/>
              <w:left w:val="nil"/>
              <w:bottom w:val="nil"/>
              <w:right w:val="nil"/>
            </w:tcBorders>
            <w:shd w:val="clear" w:color="auto" w:fill="auto"/>
            <w:noWrap/>
            <w:vAlign w:val="center"/>
            <w:hideMark/>
          </w:tcPr>
          <w:p w14:paraId="64A33E29"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1.765</w:t>
            </w:r>
          </w:p>
        </w:tc>
        <w:tc>
          <w:tcPr>
            <w:tcW w:w="0" w:type="auto"/>
            <w:tcBorders>
              <w:top w:val="nil"/>
              <w:left w:val="nil"/>
              <w:bottom w:val="nil"/>
              <w:right w:val="nil"/>
            </w:tcBorders>
            <w:shd w:val="clear" w:color="auto" w:fill="auto"/>
            <w:noWrap/>
            <w:vAlign w:val="center"/>
            <w:hideMark/>
          </w:tcPr>
          <w:p w14:paraId="65949AFC"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1.933</w:t>
            </w:r>
          </w:p>
        </w:tc>
        <w:tc>
          <w:tcPr>
            <w:tcW w:w="0" w:type="auto"/>
            <w:tcBorders>
              <w:top w:val="nil"/>
              <w:left w:val="nil"/>
              <w:bottom w:val="nil"/>
              <w:right w:val="nil"/>
            </w:tcBorders>
            <w:shd w:val="clear" w:color="auto" w:fill="auto"/>
            <w:noWrap/>
            <w:vAlign w:val="center"/>
            <w:hideMark/>
          </w:tcPr>
          <w:p w14:paraId="110AAB90"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[–2.028, 5.559]</w:t>
            </w:r>
          </w:p>
        </w:tc>
        <w:tc>
          <w:tcPr>
            <w:tcW w:w="0" w:type="auto"/>
            <w:tcBorders>
              <w:top w:val="nil"/>
              <w:left w:val="nil"/>
              <w:bottom w:val="nil"/>
              <w:right w:val="nil"/>
            </w:tcBorders>
            <w:shd w:val="clear" w:color="auto" w:fill="auto"/>
            <w:noWrap/>
            <w:vAlign w:val="center"/>
            <w:hideMark/>
          </w:tcPr>
          <w:p w14:paraId="61646A02"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6443BF7E"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6162CC7"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r>
      <w:tr w:rsidR="0017678B" w:rsidRPr="0017678B" w14:paraId="4406F57F" w14:textId="77777777" w:rsidTr="00D24263">
        <w:trPr>
          <w:trHeight w:val="225"/>
        </w:trPr>
        <w:tc>
          <w:tcPr>
            <w:tcW w:w="0" w:type="auto"/>
            <w:tcBorders>
              <w:top w:val="nil"/>
              <w:left w:val="nil"/>
              <w:bottom w:val="nil"/>
              <w:right w:val="nil"/>
            </w:tcBorders>
            <w:shd w:val="clear" w:color="auto" w:fill="auto"/>
            <w:noWrap/>
            <w:vAlign w:val="bottom"/>
            <w:hideMark/>
          </w:tcPr>
          <w:p w14:paraId="53EBAC7A"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Group size*Conflict of interests (MPCR)</w:t>
            </w:r>
          </w:p>
        </w:tc>
        <w:tc>
          <w:tcPr>
            <w:tcW w:w="0" w:type="auto"/>
            <w:tcBorders>
              <w:top w:val="nil"/>
              <w:left w:val="nil"/>
              <w:bottom w:val="nil"/>
              <w:right w:val="nil"/>
            </w:tcBorders>
            <w:shd w:val="clear" w:color="auto" w:fill="auto"/>
            <w:noWrap/>
            <w:vAlign w:val="center"/>
            <w:hideMark/>
          </w:tcPr>
          <w:p w14:paraId="1344B324" w14:textId="77777777" w:rsidR="0017678B" w:rsidRPr="0017678B" w:rsidRDefault="0017678B" w:rsidP="0017678B">
            <w:pPr>
              <w:spacing w:line="240" w:lineRule="auto"/>
              <w:jc w:val="center"/>
              <w:rPr>
                <w:rFonts w:eastAsia="Times New Roman" w:cs="Times New Roman"/>
                <w:b/>
                <w:bCs/>
                <w:color w:val="000000"/>
                <w:sz w:val="16"/>
                <w:szCs w:val="16"/>
                <w:lang w:val="en-GB" w:eastAsia="zh-CN"/>
              </w:rPr>
            </w:pPr>
            <w:r w:rsidRPr="0017678B">
              <w:rPr>
                <w:rFonts w:eastAsia="Times New Roman" w:cs="Times New Roman"/>
                <w:b/>
                <w:bCs/>
                <w:color w:val="000000"/>
                <w:sz w:val="16"/>
                <w:szCs w:val="16"/>
                <w:lang w:val="en-GB" w:eastAsia="zh-CN"/>
              </w:rPr>
              <w:t>–0.016</w:t>
            </w:r>
          </w:p>
        </w:tc>
        <w:tc>
          <w:tcPr>
            <w:tcW w:w="0" w:type="auto"/>
            <w:tcBorders>
              <w:top w:val="nil"/>
              <w:left w:val="nil"/>
              <w:bottom w:val="nil"/>
              <w:right w:val="nil"/>
            </w:tcBorders>
            <w:shd w:val="clear" w:color="auto" w:fill="auto"/>
            <w:noWrap/>
            <w:vAlign w:val="center"/>
            <w:hideMark/>
          </w:tcPr>
          <w:p w14:paraId="4D99385B" w14:textId="77777777" w:rsidR="0017678B" w:rsidRPr="0017678B" w:rsidRDefault="0017678B" w:rsidP="0017678B">
            <w:pPr>
              <w:spacing w:line="240" w:lineRule="auto"/>
              <w:jc w:val="center"/>
              <w:rPr>
                <w:rFonts w:eastAsia="Times New Roman" w:cs="Times New Roman"/>
                <w:b/>
                <w:bCs/>
                <w:color w:val="000000"/>
                <w:sz w:val="16"/>
                <w:szCs w:val="16"/>
                <w:lang w:val="en-GB" w:eastAsia="zh-CN"/>
              </w:rPr>
            </w:pPr>
            <w:r w:rsidRPr="0017678B">
              <w:rPr>
                <w:rFonts w:eastAsia="Times New Roman" w:cs="Times New Roman"/>
                <w:b/>
                <w:bCs/>
                <w:color w:val="000000"/>
                <w:sz w:val="16"/>
                <w:szCs w:val="16"/>
                <w:lang w:val="en-GB" w:eastAsia="zh-CN"/>
              </w:rPr>
              <w:t>0.019</w:t>
            </w:r>
          </w:p>
        </w:tc>
        <w:tc>
          <w:tcPr>
            <w:tcW w:w="0" w:type="auto"/>
            <w:tcBorders>
              <w:top w:val="nil"/>
              <w:left w:val="nil"/>
              <w:bottom w:val="nil"/>
              <w:right w:val="nil"/>
            </w:tcBorders>
            <w:shd w:val="clear" w:color="auto" w:fill="auto"/>
            <w:noWrap/>
            <w:vAlign w:val="center"/>
            <w:hideMark/>
          </w:tcPr>
          <w:p w14:paraId="0A13D174" w14:textId="77777777" w:rsidR="0017678B" w:rsidRPr="0017678B" w:rsidRDefault="0017678B" w:rsidP="0017678B">
            <w:pPr>
              <w:spacing w:line="240" w:lineRule="auto"/>
              <w:jc w:val="center"/>
              <w:rPr>
                <w:rFonts w:eastAsia="Times New Roman" w:cs="Times New Roman"/>
                <w:b/>
                <w:bCs/>
                <w:color w:val="000000"/>
                <w:sz w:val="16"/>
                <w:szCs w:val="16"/>
                <w:lang w:val="en-GB" w:eastAsia="zh-CN"/>
              </w:rPr>
            </w:pPr>
            <w:r w:rsidRPr="0017678B">
              <w:rPr>
                <w:rFonts w:eastAsia="Times New Roman" w:cs="Times New Roman"/>
                <w:b/>
                <w:bCs/>
                <w:color w:val="000000"/>
                <w:sz w:val="16"/>
                <w:szCs w:val="16"/>
                <w:lang w:val="en-GB" w:eastAsia="zh-CN"/>
              </w:rPr>
              <w:t>[–0.054, 0.021]</w:t>
            </w:r>
          </w:p>
        </w:tc>
        <w:tc>
          <w:tcPr>
            <w:tcW w:w="0" w:type="auto"/>
            <w:tcBorders>
              <w:top w:val="nil"/>
              <w:left w:val="nil"/>
              <w:bottom w:val="nil"/>
              <w:right w:val="nil"/>
            </w:tcBorders>
            <w:shd w:val="clear" w:color="auto" w:fill="auto"/>
            <w:noWrap/>
            <w:vAlign w:val="center"/>
            <w:hideMark/>
          </w:tcPr>
          <w:p w14:paraId="3557132D"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68877C7D"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30BFAAC4"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r>
      <w:tr w:rsidR="0017678B" w:rsidRPr="0017678B" w14:paraId="2B3B612D" w14:textId="77777777" w:rsidTr="00D24263">
        <w:trPr>
          <w:trHeight w:val="225"/>
        </w:trPr>
        <w:tc>
          <w:tcPr>
            <w:tcW w:w="0" w:type="auto"/>
            <w:tcBorders>
              <w:top w:val="nil"/>
              <w:left w:val="nil"/>
              <w:bottom w:val="nil"/>
              <w:right w:val="nil"/>
            </w:tcBorders>
            <w:shd w:val="clear" w:color="auto" w:fill="auto"/>
            <w:noWrap/>
            <w:vAlign w:val="bottom"/>
            <w:hideMark/>
          </w:tcPr>
          <w:p w14:paraId="5A04F03D"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Discussion-yes*Conflict of interests (K index)</w:t>
            </w:r>
          </w:p>
        </w:tc>
        <w:tc>
          <w:tcPr>
            <w:tcW w:w="0" w:type="auto"/>
            <w:tcBorders>
              <w:top w:val="nil"/>
              <w:left w:val="nil"/>
              <w:bottom w:val="nil"/>
              <w:right w:val="nil"/>
            </w:tcBorders>
            <w:shd w:val="clear" w:color="auto" w:fill="auto"/>
            <w:noWrap/>
            <w:vAlign w:val="center"/>
            <w:hideMark/>
          </w:tcPr>
          <w:p w14:paraId="0A812B9B"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8728BD0"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7D6A6E5F"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77191B1C"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–0.610</w:t>
            </w:r>
          </w:p>
        </w:tc>
        <w:tc>
          <w:tcPr>
            <w:tcW w:w="0" w:type="auto"/>
            <w:tcBorders>
              <w:top w:val="nil"/>
              <w:left w:val="nil"/>
              <w:bottom w:val="nil"/>
              <w:right w:val="nil"/>
            </w:tcBorders>
            <w:shd w:val="clear" w:color="auto" w:fill="auto"/>
            <w:noWrap/>
            <w:vAlign w:val="center"/>
            <w:hideMark/>
          </w:tcPr>
          <w:p w14:paraId="1931F0E5"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0.393</w:t>
            </w:r>
          </w:p>
        </w:tc>
        <w:tc>
          <w:tcPr>
            <w:tcW w:w="0" w:type="auto"/>
            <w:tcBorders>
              <w:top w:val="nil"/>
              <w:left w:val="nil"/>
              <w:bottom w:val="nil"/>
              <w:right w:val="nil"/>
            </w:tcBorders>
            <w:shd w:val="clear" w:color="auto" w:fill="auto"/>
            <w:noWrap/>
            <w:vAlign w:val="center"/>
            <w:hideMark/>
          </w:tcPr>
          <w:p w14:paraId="2BF32E13"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[–1.382, 0.161]</w:t>
            </w:r>
          </w:p>
        </w:tc>
      </w:tr>
      <w:tr w:rsidR="0017678B" w:rsidRPr="0017678B" w14:paraId="715CF57C" w14:textId="77777777" w:rsidTr="00D24263">
        <w:trPr>
          <w:trHeight w:val="225"/>
        </w:trPr>
        <w:tc>
          <w:tcPr>
            <w:tcW w:w="0" w:type="auto"/>
            <w:tcBorders>
              <w:top w:val="nil"/>
              <w:left w:val="nil"/>
              <w:bottom w:val="nil"/>
              <w:right w:val="nil"/>
            </w:tcBorders>
            <w:shd w:val="clear" w:color="auto" w:fill="auto"/>
            <w:noWrap/>
            <w:vAlign w:val="bottom"/>
            <w:hideMark/>
          </w:tcPr>
          <w:p w14:paraId="200BBFC2"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Discussion-mixed*Conflict of interests (K index)</w:t>
            </w:r>
          </w:p>
        </w:tc>
        <w:tc>
          <w:tcPr>
            <w:tcW w:w="0" w:type="auto"/>
            <w:tcBorders>
              <w:top w:val="nil"/>
              <w:left w:val="nil"/>
              <w:bottom w:val="nil"/>
              <w:right w:val="nil"/>
            </w:tcBorders>
            <w:shd w:val="clear" w:color="auto" w:fill="auto"/>
            <w:noWrap/>
            <w:vAlign w:val="center"/>
            <w:hideMark/>
          </w:tcPr>
          <w:p w14:paraId="7DC84918"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7A912D6"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7C444B9E"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6315EF39"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–0.012</w:t>
            </w:r>
          </w:p>
        </w:tc>
        <w:tc>
          <w:tcPr>
            <w:tcW w:w="0" w:type="auto"/>
            <w:tcBorders>
              <w:top w:val="nil"/>
              <w:left w:val="nil"/>
              <w:bottom w:val="nil"/>
              <w:right w:val="nil"/>
            </w:tcBorders>
            <w:shd w:val="clear" w:color="auto" w:fill="auto"/>
            <w:noWrap/>
            <w:vAlign w:val="center"/>
            <w:hideMark/>
          </w:tcPr>
          <w:p w14:paraId="5B873D3D"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0.820</w:t>
            </w:r>
          </w:p>
        </w:tc>
        <w:tc>
          <w:tcPr>
            <w:tcW w:w="0" w:type="auto"/>
            <w:tcBorders>
              <w:top w:val="nil"/>
              <w:left w:val="nil"/>
              <w:bottom w:val="nil"/>
              <w:right w:val="nil"/>
            </w:tcBorders>
            <w:shd w:val="clear" w:color="auto" w:fill="auto"/>
            <w:noWrap/>
            <w:vAlign w:val="center"/>
            <w:hideMark/>
          </w:tcPr>
          <w:p w14:paraId="6E453DB3"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[–1.620, 1.596]</w:t>
            </w:r>
          </w:p>
        </w:tc>
      </w:tr>
      <w:tr w:rsidR="0017678B" w:rsidRPr="0017678B" w14:paraId="3955D0CE" w14:textId="77777777" w:rsidTr="00D24263">
        <w:trPr>
          <w:trHeight w:val="225"/>
        </w:trPr>
        <w:tc>
          <w:tcPr>
            <w:tcW w:w="0" w:type="auto"/>
            <w:tcBorders>
              <w:top w:val="nil"/>
              <w:left w:val="nil"/>
              <w:bottom w:val="nil"/>
              <w:right w:val="nil"/>
            </w:tcBorders>
            <w:shd w:val="clear" w:color="auto" w:fill="auto"/>
            <w:noWrap/>
            <w:vAlign w:val="bottom"/>
            <w:hideMark/>
          </w:tcPr>
          <w:p w14:paraId="164280D3" w14:textId="77777777" w:rsidR="0017678B" w:rsidRPr="0017678B" w:rsidRDefault="0017678B" w:rsidP="0017678B">
            <w:pPr>
              <w:spacing w:line="240" w:lineRule="auto"/>
              <w:rPr>
                <w:rFonts w:eastAsia="Times New Roman" w:cs="Times New Roman"/>
                <w:i/>
                <w:iCs/>
                <w:color w:val="000000"/>
                <w:sz w:val="16"/>
                <w:szCs w:val="16"/>
                <w:lang w:val="en-GB" w:eastAsia="zh-CN"/>
              </w:rPr>
            </w:pPr>
            <w:r w:rsidRPr="0017678B">
              <w:rPr>
                <w:rFonts w:eastAsia="Times New Roman" w:cs="Times New Roman"/>
                <w:i/>
                <w:iCs/>
                <w:color w:val="000000"/>
                <w:sz w:val="16"/>
                <w:szCs w:val="16"/>
                <w:lang w:val="en-GB" w:eastAsia="zh-CN"/>
              </w:rPr>
              <w:t>Model statistics</w:t>
            </w:r>
          </w:p>
        </w:tc>
        <w:tc>
          <w:tcPr>
            <w:tcW w:w="0" w:type="auto"/>
            <w:tcBorders>
              <w:top w:val="nil"/>
              <w:left w:val="nil"/>
              <w:bottom w:val="nil"/>
              <w:right w:val="nil"/>
            </w:tcBorders>
            <w:shd w:val="clear" w:color="auto" w:fill="auto"/>
            <w:noWrap/>
            <w:vAlign w:val="center"/>
            <w:hideMark/>
          </w:tcPr>
          <w:p w14:paraId="1054CBFD" w14:textId="77777777" w:rsidR="0017678B" w:rsidRPr="0017678B" w:rsidRDefault="0017678B" w:rsidP="0017678B">
            <w:pPr>
              <w:spacing w:line="240" w:lineRule="auto"/>
              <w:rPr>
                <w:rFonts w:eastAsia="Times New Roman" w:cs="Times New Roman"/>
                <w:i/>
                <w:iCs/>
                <w:color w:val="000000"/>
                <w:sz w:val="16"/>
                <w:szCs w:val="16"/>
                <w:lang w:val="en-GB" w:eastAsia="zh-CN"/>
              </w:rPr>
            </w:pPr>
          </w:p>
        </w:tc>
        <w:tc>
          <w:tcPr>
            <w:tcW w:w="0" w:type="auto"/>
            <w:tcBorders>
              <w:top w:val="nil"/>
              <w:left w:val="nil"/>
              <w:bottom w:val="nil"/>
              <w:right w:val="nil"/>
            </w:tcBorders>
            <w:shd w:val="clear" w:color="auto" w:fill="auto"/>
            <w:noWrap/>
            <w:vAlign w:val="center"/>
            <w:hideMark/>
          </w:tcPr>
          <w:p w14:paraId="20225844" w14:textId="77777777" w:rsidR="0017678B" w:rsidRPr="0017678B" w:rsidRDefault="0017678B" w:rsidP="0017678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60A0FABF" w14:textId="77777777" w:rsidR="0017678B" w:rsidRPr="0017678B" w:rsidRDefault="0017678B" w:rsidP="0017678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1AC06D9F" w14:textId="77777777" w:rsidR="0017678B" w:rsidRPr="0017678B" w:rsidRDefault="0017678B" w:rsidP="0017678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633A2661" w14:textId="77777777" w:rsidR="0017678B" w:rsidRPr="0017678B" w:rsidRDefault="0017678B" w:rsidP="0017678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48DF4B3A" w14:textId="77777777" w:rsidR="0017678B" w:rsidRPr="0017678B" w:rsidRDefault="0017678B" w:rsidP="0017678B">
            <w:pPr>
              <w:spacing w:line="240" w:lineRule="auto"/>
              <w:jc w:val="center"/>
              <w:rPr>
                <w:rFonts w:eastAsia="Times New Roman" w:cs="Times New Roman"/>
                <w:sz w:val="20"/>
                <w:szCs w:val="20"/>
                <w:lang w:val="en-GB" w:eastAsia="zh-CN"/>
              </w:rPr>
            </w:pPr>
          </w:p>
        </w:tc>
      </w:tr>
      <w:tr w:rsidR="0017678B" w:rsidRPr="0017678B" w14:paraId="5F084ADE" w14:textId="77777777" w:rsidTr="00D24263">
        <w:trPr>
          <w:trHeight w:val="255"/>
        </w:trPr>
        <w:tc>
          <w:tcPr>
            <w:tcW w:w="0" w:type="auto"/>
            <w:tcBorders>
              <w:top w:val="nil"/>
              <w:left w:val="nil"/>
              <w:bottom w:val="nil"/>
              <w:right w:val="nil"/>
            </w:tcBorders>
            <w:shd w:val="clear" w:color="auto" w:fill="auto"/>
            <w:noWrap/>
            <w:vAlign w:val="bottom"/>
            <w:hideMark/>
          </w:tcPr>
          <w:p w14:paraId="2C38356C"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proofErr w:type="spellStart"/>
            <w:r w:rsidRPr="0017678B">
              <w:rPr>
                <w:rFonts w:eastAsia="Times New Roman" w:cs="Times New Roman"/>
                <w:i/>
                <w:iCs/>
                <w:color w:val="000000"/>
                <w:sz w:val="16"/>
                <w:szCs w:val="16"/>
                <w:lang w:val="en-GB" w:eastAsia="zh-CN"/>
              </w:rPr>
              <w:t>Q</w:t>
            </w:r>
            <w:r w:rsidRPr="0017678B">
              <w:rPr>
                <w:rFonts w:eastAsia="Times New Roman" w:cs="Times New Roman"/>
                <w:color w:val="000000"/>
                <w:sz w:val="16"/>
                <w:szCs w:val="16"/>
                <w:vertAlign w:val="subscript"/>
                <w:lang w:val="en-GB" w:eastAsia="zh-CN"/>
              </w:rPr>
              <w:t>residual</w:t>
            </w:r>
            <w:proofErr w:type="spellEnd"/>
            <w:r w:rsidRPr="0017678B">
              <w:rPr>
                <w:rFonts w:eastAsia="Times New Roman" w:cs="Times New Roman"/>
                <w:color w:val="000000"/>
                <w:sz w:val="16"/>
                <w:szCs w:val="16"/>
                <w:lang w:val="en-GB" w:eastAsia="zh-CN"/>
              </w:rPr>
              <w:t>(</w:t>
            </w:r>
            <w:proofErr w:type="spellStart"/>
            <w:r w:rsidRPr="0017678B">
              <w:rPr>
                <w:rFonts w:eastAsia="Times New Roman" w:cs="Times New Roman"/>
                <w:i/>
                <w:iCs/>
                <w:color w:val="000000"/>
                <w:sz w:val="16"/>
                <w:szCs w:val="16"/>
                <w:lang w:val="en-GB" w:eastAsia="zh-CN"/>
              </w:rPr>
              <w:t>df</w:t>
            </w:r>
            <w:proofErr w:type="spellEnd"/>
            <w:r w:rsidRPr="0017678B">
              <w:rPr>
                <w:rFonts w:eastAsia="Times New Roman" w:cs="Times New Roman"/>
                <w:color w:val="000000"/>
                <w:sz w:val="16"/>
                <w:szCs w:val="16"/>
                <w:lang w:val="en-GB" w:eastAsia="zh-CN"/>
              </w:rPr>
              <w:t>)</w:t>
            </w:r>
          </w:p>
        </w:tc>
        <w:tc>
          <w:tcPr>
            <w:tcW w:w="0" w:type="auto"/>
            <w:gridSpan w:val="3"/>
            <w:tcBorders>
              <w:top w:val="nil"/>
              <w:left w:val="nil"/>
              <w:bottom w:val="nil"/>
              <w:right w:val="nil"/>
            </w:tcBorders>
            <w:shd w:val="clear" w:color="auto" w:fill="auto"/>
            <w:noWrap/>
            <w:vAlign w:val="center"/>
            <w:hideMark/>
          </w:tcPr>
          <w:p w14:paraId="036627C3"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41578.52 (1072)*</w:t>
            </w:r>
          </w:p>
        </w:tc>
        <w:tc>
          <w:tcPr>
            <w:tcW w:w="0" w:type="auto"/>
            <w:gridSpan w:val="3"/>
            <w:tcBorders>
              <w:top w:val="nil"/>
              <w:left w:val="nil"/>
              <w:bottom w:val="nil"/>
              <w:right w:val="nil"/>
            </w:tcBorders>
            <w:shd w:val="clear" w:color="auto" w:fill="auto"/>
            <w:noWrap/>
            <w:vAlign w:val="center"/>
            <w:hideMark/>
          </w:tcPr>
          <w:p w14:paraId="011007CF"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52727.14 (1599)*</w:t>
            </w:r>
          </w:p>
        </w:tc>
      </w:tr>
      <w:tr w:rsidR="0017678B" w:rsidRPr="0017678B" w14:paraId="71D436A1" w14:textId="77777777" w:rsidTr="00D24263">
        <w:trPr>
          <w:trHeight w:val="255"/>
        </w:trPr>
        <w:tc>
          <w:tcPr>
            <w:tcW w:w="0" w:type="auto"/>
            <w:tcBorders>
              <w:top w:val="nil"/>
              <w:left w:val="nil"/>
              <w:bottom w:val="nil"/>
              <w:right w:val="nil"/>
            </w:tcBorders>
            <w:shd w:val="clear" w:color="auto" w:fill="auto"/>
            <w:noWrap/>
            <w:vAlign w:val="bottom"/>
            <w:hideMark/>
          </w:tcPr>
          <w:p w14:paraId="5C2D091B"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proofErr w:type="spellStart"/>
            <w:r w:rsidRPr="0017678B">
              <w:rPr>
                <w:rFonts w:eastAsia="Times New Roman" w:cs="Times New Roman"/>
                <w:i/>
                <w:iCs/>
                <w:color w:val="000000"/>
                <w:sz w:val="16"/>
                <w:szCs w:val="16"/>
                <w:lang w:val="en-GB" w:eastAsia="zh-CN"/>
              </w:rPr>
              <w:lastRenderedPageBreak/>
              <w:t>F</w:t>
            </w:r>
            <w:r w:rsidRPr="0017678B">
              <w:rPr>
                <w:rFonts w:eastAsia="Times New Roman" w:cs="Times New Roman"/>
                <w:color w:val="000000"/>
                <w:sz w:val="16"/>
                <w:szCs w:val="16"/>
                <w:vertAlign w:val="subscript"/>
                <w:lang w:val="en-GB" w:eastAsia="zh-CN"/>
              </w:rPr>
              <w:t>moderators</w:t>
            </w:r>
            <w:proofErr w:type="spellEnd"/>
            <w:r w:rsidRPr="0017678B">
              <w:rPr>
                <w:rFonts w:eastAsia="Times New Roman" w:cs="Times New Roman"/>
                <w:color w:val="000000"/>
                <w:sz w:val="16"/>
                <w:szCs w:val="16"/>
                <w:lang w:val="en-GB" w:eastAsia="zh-CN"/>
              </w:rPr>
              <w:t>(</w:t>
            </w:r>
            <w:r w:rsidRPr="0017678B">
              <w:rPr>
                <w:rFonts w:eastAsia="Times New Roman" w:cs="Times New Roman"/>
                <w:i/>
                <w:iCs/>
                <w:color w:val="000000"/>
                <w:sz w:val="16"/>
                <w:szCs w:val="16"/>
                <w:lang w:val="en-GB" w:eastAsia="zh-CN"/>
              </w:rPr>
              <w:t>df1</w:t>
            </w:r>
            <w:r w:rsidRPr="0017678B">
              <w:rPr>
                <w:rFonts w:eastAsia="Times New Roman" w:cs="Times New Roman"/>
                <w:color w:val="000000"/>
                <w:sz w:val="16"/>
                <w:szCs w:val="16"/>
                <w:lang w:val="en-GB" w:eastAsia="zh-CN"/>
              </w:rPr>
              <w:t xml:space="preserve">, </w:t>
            </w:r>
            <w:r w:rsidRPr="0017678B">
              <w:rPr>
                <w:rFonts w:eastAsia="Times New Roman" w:cs="Times New Roman"/>
                <w:i/>
                <w:iCs/>
                <w:color w:val="000000"/>
                <w:sz w:val="16"/>
                <w:szCs w:val="16"/>
                <w:lang w:val="en-GB" w:eastAsia="zh-CN"/>
              </w:rPr>
              <w:t>df2</w:t>
            </w:r>
            <w:r w:rsidRPr="0017678B">
              <w:rPr>
                <w:rFonts w:eastAsia="Times New Roman" w:cs="Times New Roman"/>
                <w:color w:val="000000"/>
                <w:sz w:val="16"/>
                <w:szCs w:val="16"/>
                <w:lang w:val="en-GB" w:eastAsia="zh-CN"/>
              </w:rPr>
              <w:t>)</w:t>
            </w:r>
          </w:p>
        </w:tc>
        <w:tc>
          <w:tcPr>
            <w:tcW w:w="0" w:type="auto"/>
            <w:gridSpan w:val="3"/>
            <w:tcBorders>
              <w:top w:val="nil"/>
              <w:left w:val="nil"/>
              <w:bottom w:val="nil"/>
              <w:right w:val="nil"/>
            </w:tcBorders>
            <w:shd w:val="clear" w:color="auto" w:fill="auto"/>
            <w:noWrap/>
            <w:vAlign w:val="center"/>
            <w:hideMark/>
          </w:tcPr>
          <w:p w14:paraId="46C329AC"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5.40 (37, 1072)*</w:t>
            </w:r>
          </w:p>
        </w:tc>
        <w:tc>
          <w:tcPr>
            <w:tcW w:w="0" w:type="auto"/>
            <w:gridSpan w:val="3"/>
            <w:tcBorders>
              <w:top w:val="nil"/>
              <w:left w:val="nil"/>
              <w:bottom w:val="nil"/>
              <w:right w:val="nil"/>
            </w:tcBorders>
            <w:shd w:val="clear" w:color="auto" w:fill="auto"/>
            <w:noWrap/>
            <w:vAlign w:val="center"/>
            <w:hideMark/>
          </w:tcPr>
          <w:p w14:paraId="482295A8"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9.87(38, 1599)*</w:t>
            </w:r>
          </w:p>
        </w:tc>
      </w:tr>
      <w:tr w:rsidR="0017678B" w:rsidRPr="0017678B" w14:paraId="46029A36" w14:textId="77777777" w:rsidTr="00D24263">
        <w:trPr>
          <w:trHeight w:val="225"/>
        </w:trPr>
        <w:tc>
          <w:tcPr>
            <w:tcW w:w="0" w:type="auto"/>
            <w:tcBorders>
              <w:top w:val="nil"/>
              <w:left w:val="nil"/>
              <w:bottom w:val="nil"/>
              <w:right w:val="nil"/>
            </w:tcBorders>
            <w:shd w:val="clear" w:color="auto" w:fill="auto"/>
            <w:noWrap/>
            <w:vAlign w:val="bottom"/>
            <w:hideMark/>
          </w:tcPr>
          <w:p w14:paraId="7540AE34"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τ</w:t>
            </w:r>
            <w:r w:rsidRPr="0017678B">
              <w:rPr>
                <w:rFonts w:eastAsia="Times New Roman" w:cs="Times New Roman"/>
                <w:color w:val="000000"/>
                <w:sz w:val="16"/>
                <w:szCs w:val="16"/>
                <w:vertAlign w:val="superscript"/>
                <w:lang w:val="en-GB" w:eastAsia="zh-CN"/>
              </w:rPr>
              <w:t>2</w:t>
            </w:r>
          </w:p>
        </w:tc>
        <w:tc>
          <w:tcPr>
            <w:tcW w:w="0" w:type="auto"/>
            <w:gridSpan w:val="3"/>
            <w:tcBorders>
              <w:top w:val="nil"/>
              <w:left w:val="nil"/>
              <w:bottom w:val="nil"/>
              <w:right w:val="nil"/>
            </w:tcBorders>
            <w:shd w:val="clear" w:color="auto" w:fill="auto"/>
            <w:noWrap/>
            <w:vAlign w:val="center"/>
            <w:hideMark/>
          </w:tcPr>
          <w:p w14:paraId="4D67FA80"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0.47</w:t>
            </w:r>
          </w:p>
        </w:tc>
        <w:tc>
          <w:tcPr>
            <w:tcW w:w="0" w:type="auto"/>
            <w:gridSpan w:val="3"/>
            <w:tcBorders>
              <w:top w:val="nil"/>
              <w:left w:val="nil"/>
              <w:bottom w:val="nil"/>
              <w:right w:val="nil"/>
            </w:tcBorders>
            <w:shd w:val="clear" w:color="auto" w:fill="auto"/>
            <w:noWrap/>
            <w:vAlign w:val="center"/>
            <w:hideMark/>
          </w:tcPr>
          <w:p w14:paraId="2901D2D9"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0.47</w:t>
            </w:r>
          </w:p>
        </w:tc>
      </w:tr>
      <w:tr w:rsidR="0017678B" w:rsidRPr="0017678B" w14:paraId="669AD8E7" w14:textId="77777777" w:rsidTr="00D24263">
        <w:trPr>
          <w:trHeight w:val="225"/>
        </w:trPr>
        <w:tc>
          <w:tcPr>
            <w:tcW w:w="0" w:type="auto"/>
            <w:tcBorders>
              <w:top w:val="nil"/>
              <w:left w:val="nil"/>
              <w:bottom w:val="nil"/>
              <w:right w:val="nil"/>
            </w:tcBorders>
            <w:shd w:val="clear" w:color="auto" w:fill="auto"/>
            <w:noWrap/>
            <w:vAlign w:val="bottom"/>
            <w:hideMark/>
          </w:tcPr>
          <w:p w14:paraId="6CE2D91D"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i/>
                <w:iCs/>
                <w:color w:val="000000"/>
                <w:sz w:val="16"/>
                <w:szCs w:val="16"/>
                <w:lang w:val="en-GB" w:eastAsia="zh-CN"/>
              </w:rPr>
              <w:t>I</w:t>
            </w:r>
            <w:r w:rsidRPr="0017678B">
              <w:rPr>
                <w:rFonts w:eastAsia="Times New Roman" w:cs="Times New Roman"/>
                <w:i/>
                <w:iCs/>
                <w:color w:val="000000"/>
                <w:sz w:val="16"/>
                <w:szCs w:val="16"/>
                <w:vertAlign w:val="superscript"/>
                <w:lang w:val="en-GB" w:eastAsia="zh-CN"/>
              </w:rPr>
              <w:t>2</w:t>
            </w:r>
            <w:r w:rsidRPr="0017678B">
              <w:rPr>
                <w:rFonts w:eastAsia="Times New Roman" w:cs="Times New Roman"/>
                <w:color w:val="000000"/>
                <w:sz w:val="16"/>
                <w:szCs w:val="16"/>
                <w:lang w:val="en-GB" w:eastAsia="zh-CN"/>
              </w:rPr>
              <w:t>: between-study level (%)</w:t>
            </w:r>
          </w:p>
        </w:tc>
        <w:tc>
          <w:tcPr>
            <w:tcW w:w="0" w:type="auto"/>
            <w:gridSpan w:val="3"/>
            <w:tcBorders>
              <w:top w:val="nil"/>
              <w:left w:val="nil"/>
              <w:bottom w:val="nil"/>
              <w:right w:val="nil"/>
            </w:tcBorders>
            <w:shd w:val="clear" w:color="auto" w:fill="auto"/>
            <w:noWrap/>
            <w:vAlign w:val="center"/>
            <w:hideMark/>
          </w:tcPr>
          <w:p w14:paraId="55B02306"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53.48</w:t>
            </w:r>
          </w:p>
        </w:tc>
        <w:tc>
          <w:tcPr>
            <w:tcW w:w="0" w:type="auto"/>
            <w:gridSpan w:val="3"/>
            <w:tcBorders>
              <w:top w:val="nil"/>
              <w:left w:val="nil"/>
              <w:bottom w:val="nil"/>
              <w:right w:val="nil"/>
            </w:tcBorders>
            <w:shd w:val="clear" w:color="auto" w:fill="auto"/>
            <w:noWrap/>
            <w:vAlign w:val="center"/>
            <w:hideMark/>
          </w:tcPr>
          <w:p w14:paraId="613C6FD3"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51.29</w:t>
            </w:r>
          </w:p>
        </w:tc>
      </w:tr>
      <w:tr w:rsidR="0017678B" w:rsidRPr="0017678B" w14:paraId="4DCAB99D" w14:textId="77777777" w:rsidTr="00D24263">
        <w:trPr>
          <w:trHeight w:val="225"/>
        </w:trPr>
        <w:tc>
          <w:tcPr>
            <w:tcW w:w="0" w:type="auto"/>
            <w:tcBorders>
              <w:top w:val="nil"/>
              <w:left w:val="nil"/>
              <w:bottom w:val="nil"/>
              <w:right w:val="nil"/>
            </w:tcBorders>
            <w:shd w:val="clear" w:color="auto" w:fill="auto"/>
            <w:noWrap/>
            <w:vAlign w:val="bottom"/>
            <w:hideMark/>
          </w:tcPr>
          <w:p w14:paraId="5D7FFB4B"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i/>
                <w:iCs/>
                <w:color w:val="000000"/>
                <w:sz w:val="16"/>
                <w:szCs w:val="16"/>
                <w:lang w:val="en-GB" w:eastAsia="zh-CN"/>
              </w:rPr>
              <w:t>I</w:t>
            </w:r>
            <w:r w:rsidRPr="0017678B">
              <w:rPr>
                <w:rFonts w:eastAsia="Times New Roman" w:cs="Times New Roman"/>
                <w:i/>
                <w:iCs/>
                <w:color w:val="000000"/>
                <w:sz w:val="16"/>
                <w:szCs w:val="16"/>
                <w:vertAlign w:val="superscript"/>
                <w:lang w:val="en-GB" w:eastAsia="zh-CN"/>
              </w:rPr>
              <w:t>2</w:t>
            </w:r>
            <w:r w:rsidRPr="0017678B">
              <w:rPr>
                <w:rFonts w:eastAsia="Times New Roman" w:cs="Times New Roman"/>
                <w:color w:val="000000"/>
                <w:sz w:val="16"/>
                <w:szCs w:val="16"/>
                <w:lang w:val="en-GB" w:eastAsia="zh-CN"/>
              </w:rPr>
              <w:t>: within-study level (%)</w:t>
            </w:r>
          </w:p>
        </w:tc>
        <w:tc>
          <w:tcPr>
            <w:tcW w:w="0" w:type="auto"/>
            <w:gridSpan w:val="3"/>
            <w:tcBorders>
              <w:top w:val="nil"/>
              <w:left w:val="nil"/>
              <w:bottom w:val="nil"/>
              <w:right w:val="nil"/>
            </w:tcBorders>
            <w:shd w:val="clear" w:color="auto" w:fill="auto"/>
            <w:noWrap/>
            <w:vAlign w:val="center"/>
            <w:hideMark/>
          </w:tcPr>
          <w:p w14:paraId="11D8633C"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44.64</w:t>
            </w:r>
          </w:p>
        </w:tc>
        <w:tc>
          <w:tcPr>
            <w:tcW w:w="0" w:type="auto"/>
            <w:gridSpan w:val="3"/>
            <w:tcBorders>
              <w:top w:val="nil"/>
              <w:left w:val="nil"/>
              <w:bottom w:val="nil"/>
              <w:right w:val="nil"/>
            </w:tcBorders>
            <w:shd w:val="clear" w:color="auto" w:fill="auto"/>
            <w:noWrap/>
            <w:vAlign w:val="center"/>
            <w:hideMark/>
          </w:tcPr>
          <w:p w14:paraId="3563B95B"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46.46</w:t>
            </w:r>
          </w:p>
        </w:tc>
      </w:tr>
      <w:tr w:rsidR="0017678B" w:rsidRPr="0017678B" w14:paraId="1AD9BC7B" w14:textId="77777777" w:rsidTr="00D24263">
        <w:trPr>
          <w:trHeight w:val="225"/>
        </w:trPr>
        <w:tc>
          <w:tcPr>
            <w:tcW w:w="0" w:type="auto"/>
            <w:tcBorders>
              <w:top w:val="nil"/>
              <w:left w:val="nil"/>
              <w:bottom w:val="single" w:sz="4" w:space="0" w:color="auto"/>
              <w:right w:val="nil"/>
            </w:tcBorders>
            <w:shd w:val="clear" w:color="auto" w:fill="auto"/>
            <w:noWrap/>
            <w:vAlign w:val="bottom"/>
            <w:hideMark/>
          </w:tcPr>
          <w:p w14:paraId="753FA8E7" w14:textId="77777777" w:rsidR="0017678B" w:rsidRPr="0017678B" w:rsidRDefault="0017678B" w:rsidP="0017678B">
            <w:pPr>
              <w:spacing w:line="240" w:lineRule="auto"/>
              <w:ind w:firstLineChars="200" w:firstLine="320"/>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 xml:space="preserve">pseudo </w:t>
            </w:r>
            <w:r w:rsidRPr="0017678B">
              <w:rPr>
                <w:rFonts w:eastAsia="Times New Roman" w:cs="Times New Roman"/>
                <w:i/>
                <w:iCs/>
                <w:color w:val="000000"/>
                <w:sz w:val="16"/>
                <w:szCs w:val="16"/>
                <w:lang w:val="en-GB" w:eastAsia="zh-CN"/>
              </w:rPr>
              <w:t>R</w:t>
            </w:r>
            <w:r w:rsidRPr="0017678B">
              <w:rPr>
                <w:rFonts w:eastAsia="Times New Roman" w:cs="Times New Roman"/>
                <w:i/>
                <w:iCs/>
                <w:color w:val="000000"/>
                <w:sz w:val="16"/>
                <w:szCs w:val="16"/>
                <w:vertAlign w:val="superscript"/>
                <w:lang w:val="en-GB" w:eastAsia="zh-CN"/>
              </w:rPr>
              <w:t>2</w:t>
            </w:r>
          </w:p>
        </w:tc>
        <w:tc>
          <w:tcPr>
            <w:tcW w:w="0" w:type="auto"/>
            <w:gridSpan w:val="3"/>
            <w:tcBorders>
              <w:top w:val="nil"/>
              <w:left w:val="nil"/>
              <w:bottom w:val="single" w:sz="4" w:space="0" w:color="auto"/>
              <w:right w:val="nil"/>
            </w:tcBorders>
            <w:shd w:val="clear" w:color="auto" w:fill="auto"/>
            <w:noWrap/>
            <w:vAlign w:val="center"/>
            <w:hideMark/>
          </w:tcPr>
          <w:p w14:paraId="263FA333"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0.0909</w:t>
            </w:r>
          </w:p>
        </w:tc>
        <w:tc>
          <w:tcPr>
            <w:tcW w:w="0" w:type="auto"/>
            <w:gridSpan w:val="3"/>
            <w:tcBorders>
              <w:top w:val="nil"/>
              <w:left w:val="nil"/>
              <w:bottom w:val="single" w:sz="4" w:space="0" w:color="auto"/>
              <w:right w:val="nil"/>
            </w:tcBorders>
            <w:shd w:val="clear" w:color="auto" w:fill="auto"/>
            <w:noWrap/>
            <w:vAlign w:val="center"/>
            <w:hideMark/>
          </w:tcPr>
          <w:p w14:paraId="7264A9F9" w14:textId="77777777" w:rsidR="0017678B" w:rsidRPr="0017678B" w:rsidRDefault="0017678B" w:rsidP="0017678B">
            <w:pPr>
              <w:spacing w:line="240" w:lineRule="auto"/>
              <w:jc w:val="center"/>
              <w:rPr>
                <w:rFonts w:eastAsia="Times New Roman" w:cs="Times New Roman"/>
                <w:color w:val="000000"/>
                <w:sz w:val="16"/>
                <w:szCs w:val="16"/>
                <w:lang w:val="en-GB" w:eastAsia="zh-CN"/>
              </w:rPr>
            </w:pPr>
            <w:r w:rsidRPr="0017678B">
              <w:rPr>
                <w:rFonts w:eastAsia="Times New Roman" w:cs="Times New Roman"/>
                <w:color w:val="000000"/>
                <w:sz w:val="16"/>
                <w:szCs w:val="16"/>
                <w:lang w:val="en-GB" w:eastAsia="zh-CN"/>
              </w:rPr>
              <w:t>0.1439</w:t>
            </w:r>
          </w:p>
        </w:tc>
      </w:tr>
    </w:tbl>
    <w:p w14:paraId="54C5E427" w14:textId="749CE5D9" w:rsidR="00D37826" w:rsidRPr="003A247E" w:rsidRDefault="00D37826" w:rsidP="00D37826">
      <w:pPr>
        <w:spacing w:line="240" w:lineRule="auto"/>
        <w:rPr>
          <w:rFonts w:cs="Times New Roman"/>
        </w:rPr>
      </w:pPr>
      <w:r w:rsidRPr="005A7088">
        <w:rPr>
          <w:rFonts w:cs="Times New Roman"/>
          <w:i/>
        </w:rPr>
        <w:t>Note.</w:t>
      </w:r>
      <w:r w:rsidRPr="005A7088">
        <w:rPr>
          <w:rFonts w:cs="Times New Roman"/>
        </w:rPr>
        <w:t xml:space="preserve"> </w:t>
      </w:r>
      <w:r w:rsidR="004E65AE">
        <w:rPr>
          <w:rFonts w:cs="Times New Roman"/>
        </w:rPr>
        <w:t>K index, MPCR, g</w:t>
      </w:r>
      <w:r w:rsidRPr="003A247E">
        <w:rPr>
          <w:rFonts w:cs="Times New Roman"/>
        </w:rPr>
        <w:t xml:space="preserve">roup size, age, gender and year of data collection are continuous variables, others are dummy variables. The </w:t>
      </w:r>
      <w:r>
        <w:rPr>
          <w:rFonts w:cs="Times New Roman"/>
        </w:rPr>
        <w:t>reference</w:t>
      </w:r>
      <w:r w:rsidRPr="003A247E">
        <w:rPr>
          <w:rFonts w:cs="Times New Roman"/>
        </w:rPr>
        <w:t xml:space="preserve"> group for </w:t>
      </w:r>
      <w:r>
        <w:rPr>
          <w:rFonts w:cs="Times New Roman"/>
        </w:rPr>
        <w:t>p</w:t>
      </w:r>
      <w:r w:rsidRPr="008E740D">
        <w:rPr>
          <w:rFonts w:cs="Times New Roman"/>
        </w:rPr>
        <w:t>ublication status</w:t>
      </w:r>
      <w:r w:rsidRPr="003A247E">
        <w:rPr>
          <w:rFonts w:cs="Times New Roman"/>
        </w:rPr>
        <w:t xml:space="preserve">, sanction, </w:t>
      </w:r>
      <w:r>
        <w:rPr>
          <w:rFonts w:cs="Times New Roman"/>
        </w:rPr>
        <w:t>communication</w:t>
      </w:r>
      <w:r w:rsidRPr="003A247E">
        <w:rPr>
          <w:rFonts w:cs="Times New Roman"/>
        </w:rPr>
        <w:t xml:space="preserve">, show up fee, game incentive, and deception was </w:t>
      </w:r>
      <w:r>
        <w:rPr>
          <w:rFonts w:cs="Times New Roman"/>
        </w:rPr>
        <w:t>“n</w:t>
      </w:r>
      <w:r w:rsidRPr="003A247E">
        <w:rPr>
          <w:rFonts w:cs="Times New Roman"/>
        </w:rPr>
        <w:t>o</w:t>
      </w:r>
      <w:r>
        <w:rPr>
          <w:rFonts w:cs="Times New Roman"/>
        </w:rPr>
        <w:t>”</w:t>
      </w:r>
      <w:r w:rsidRPr="003A247E">
        <w:rPr>
          <w:rFonts w:cs="Times New Roman"/>
        </w:rPr>
        <w:t xml:space="preserve">, for choice type was </w:t>
      </w:r>
      <w:r>
        <w:rPr>
          <w:rFonts w:cs="Times New Roman"/>
        </w:rPr>
        <w:t>“</w:t>
      </w:r>
      <w:r w:rsidRPr="003A247E">
        <w:rPr>
          <w:rFonts w:cs="Times New Roman"/>
        </w:rPr>
        <w:t>dichotomous</w:t>
      </w:r>
      <w:r>
        <w:rPr>
          <w:rFonts w:cs="Times New Roman"/>
        </w:rPr>
        <w:t>”</w:t>
      </w:r>
      <w:r w:rsidRPr="003A247E">
        <w:rPr>
          <w:rFonts w:cs="Times New Roman"/>
        </w:rPr>
        <w:t xml:space="preserve">, for experimental setting was </w:t>
      </w:r>
      <w:r>
        <w:rPr>
          <w:rFonts w:cs="Times New Roman"/>
        </w:rPr>
        <w:t>“</w:t>
      </w:r>
      <w:r w:rsidRPr="003A247E">
        <w:rPr>
          <w:rFonts w:cs="Times New Roman"/>
        </w:rPr>
        <w:t>lab</w:t>
      </w:r>
      <w:r>
        <w:rPr>
          <w:rFonts w:cs="Times New Roman"/>
        </w:rPr>
        <w:t>”</w:t>
      </w:r>
      <w:r w:rsidRPr="003A247E">
        <w:rPr>
          <w:rFonts w:cs="Times New Roman"/>
        </w:rPr>
        <w:t xml:space="preserve">, for trial of cooperation was </w:t>
      </w:r>
      <w:r>
        <w:rPr>
          <w:rFonts w:cs="Times New Roman"/>
        </w:rPr>
        <w:t>“</w:t>
      </w:r>
      <w:r w:rsidRPr="003A247E">
        <w:rPr>
          <w:rFonts w:cs="Times New Roman"/>
        </w:rPr>
        <w:t>all</w:t>
      </w:r>
      <w:r>
        <w:rPr>
          <w:rFonts w:cs="Times New Roman"/>
        </w:rPr>
        <w:t>”</w:t>
      </w:r>
      <w:r w:rsidRPr="003A247E">
        <w:rPr>
          <w:rFonts w:cs="Times New Roman"/>
        </w:rPr>
        <w:t>, for discipline wa</w:t>
      </w:r>
      <w:r>
        <w:rPr>
          <w:rFonts w:cs="Times New Roman"/>
        </w:rPr>
        <w:t xml:space="preserve">s “economics”, </w:t>
      </w:r>
      <w:r w:rsidRPr="003A247E">
        <w:rPr>
          <w:rFonts w:cs="Times New Roman"/>
        </w:rPr>
        <w:t xml:space="preserve">for </w:t>
      </w:r>
      <w:r>
        <w:rPr>
          <w:rFonts w:cs="Times New Roman"/>
        </w:rPr>
        <w:t>matching design</w:t>
      </w:r>
      <w:r w:rsidRPr="003A247E">
        <w:rPr>
          <w:rFonts w:cs="Times New Roman"/>
        </w:rPr>
        <w:t xml:space="preserve"> was </w:t>
      </w:r>
      <w:r>
        <w:rPr>
          <w:rFonts w:cs="Times New Roman"/>
        </w:rPr>
        <w:t>“stranger-matching”</w:t>
      </w:r>
      <w:r w:rsidRPr="003A247E">
        <w:rPr>
          <w:rFonts w:cs="Times New Roman"/>
        </w:rPr>
        <w:t xml:space="preserve">, for symmetry was </w:t>
      </w:r>
      <w:r>
        <w:rPr>
          <w:rFonts w:cs="Times New Roman"/>
        </w:rPr>
        <w:t>“</w:t>
      </w:r>
      <w:r w:rsidRPr="003A247E">
        <w:rPr>
          <w:rFonts w:cs="Times New Roman"/>
        </w:rPr>
        <w:t>asymmetric</w:t>
      </w:r>
      <w:r>
        <w:rPr>
          <w:rFonts w:cs="Times New Roman"/>
        </w:rPr>
        <w:t>”</w:t>
      </w:r>
      <w:r w:rsidRPr="003A247E">
        <w:rPr>
          <w:rFonts w:cs="Times New Roman"/>
        </w:rPr>
        <w:t xml:space="preserve">, for </w:t>
      </w:r>
      <w:proofErr w:type="spellStart"/>
      <w:r w:rsidRPr="003A247E">
        <w:rPr>
          <w:rFonts w:cs="Times New Roman"/>
        </w:rPr>
        <w:t>sequentiality</w:t>
      </w:r>
      <w:proofErr w:type="spellEnd"/>
      <w:r w:rsidRPr="003A247E">
        <w:rPr>
          <w:rFonts w:cs="Times New Roman"/>
        </w:rPr>
        <w:t xml:space="preserve"> was </w:t>
      </w:r>
      <w:r>
        <w:rPr>
          <w:rFonts w:cs="Times New Roman"/>
        </w:rPr>
        <w:t>“</w:t>
      </w:r>
      <w:r w:rsidRPr="003A247E">
        <w:rPr>
          <w:rFonts w:cs="Times New Roman"/>
        </w:rPr>
        <w:t>sequenti</w:t>
      </w:r>
      <w:r>
        <w:rPr>
          <w:rFonts w:cs="Times New Roman" w:hint="eastAsia"/>
        </w:rPr>
        <w:t>al</w:t>
      </w:r>
      <w:r>
        <w:rPr>
          <w:rFonts w:cs="Times New Roman"/>
        </w:rPr>
        <w:t>”.</w:t>
      </w:r>
    </w:p>
    <w:p w14:paraId="6D68D1AE" w14:textId="77777777" w:rsidR="009B7F5D" w:rsidRPr="009B7F5D" w:rsidRDefault="009B7F5D" w:rsidP="009B7F5D">
      <w:pPr>
        <w:rPr>
          <w:rFonts w:eastAsiaTheme="minorEastAsia" w:cs="Times New Roman"/>
          <w:i/>
          <w:szCs w:val="22"/>
          <w:lang w:eastAsia="zh-CN"/>
        </w:rPr>
      </w:pPr>
    </w:p>
    <w:p w14:paraId="1BD92154" w14:textId="77777777" w:rsidR="00404DAD" w:rsidRDefault="00404DAD">
      <w:pPr>
        <w:spacing w:after="160" w:line="259" w:lineRule="auto"/>
        <w:rPr>
          <w:rFonts w:eastAsiaTheme="majorEastAsia" w:cstheme="majorBidi"/>
          <w:b/>
          <w:szCs w:val="32"/>
          <w:lang w:val="en-GB"/>
        </w:rPr>
      </w:pPr>
      <w:r>
        <w:rPr>
          <w:lang w:val="en-GB"/>
        </w:rPr>
        <w:br w:type="page"/>
      </w:r>
    </w:p>
    <w:p w14:paraId="5E46FD38" w14:textId="2BA886C0" w:rsidR="00055BBD" w:rsidRDefault="00156901" w:rsidP="00CD38C6">
      <w:pPr>
        <w:pStyle w:val="Heading1"/>
      </w:pPr>
      <w:bookmarkStart w:id="34" w:name="_Toc169458485"/>
      <w:r>
        <w:rPr>
          <w:rFonts w:hint="eastAsia"/>
          <w:lang w:eastAsia="zh-CN"/>
        </w:rPr>
        <w:lastRenderedPageBreak/>
        <w:t>9</w:t>
      </w:r>
      <w:r w:rsidR="00055BBD">
        <w:t xml:space="preserve">. </w:t>
      </w:r>
      <w:r w:rsidR="00055BBD" w:rsidRPr="00055BBD">
        <w:t xml:space="preserve">Exploratory </w:t>
      </w:r>
      <w:r w:rsidR="00EF7690" w:rsidRPr="00CD0784">
        <w:t>A</w:t>
      </w:r>
      <w:r w:rsidR="00055BBD" w:rsidRPr="00CD0784">
        <w:t>nalyses</w:t>
      </w:r>
      <w:bookmarkStart w:id="35" w:name="_Toc61988291"/>
      <w:bookmarkEnd w:id="33"/>
      <w:r w:rsidR="00CD0784" w:rsidRPr="00CD0784">
        <w:rPr>
          <w:rFonts w:cs="Times New Roman"/>
          <w:bCs/>
        </w:rPr>
        <w:t xml:space="preserve"> Using a Machine Learning Approach</w:t>
      </w:r>
      <w:r w:rsidR="00CD38C6">
        <w:t xml:space="preserve">: </w:t>
      </w:r>
      <w:proofErr w:type="spellStart"/>
      <w:r w:rsidR="00055BBD">
        <w:t>MetaF</w:t>
      </w:r>
      <w:r w:rsidR="00055BBD" w:rsidRPr="00055BBD">
        <w:t>orest</w:t>
      </w:r>
      <w:bookmarkEnd w:id="34"/>
      <w:bookmarkEnd w:id="35"/>
      <w:proofErr w:type="spellEnd"/>
    </w:p>
    <w:p w14:paraId="3CD15564" w14:textId="13048B11" w:rsidR="00CD0784" w:rsidRDefault="00C12950" w:rsidP="00CD0784">
      <w:pPr>
        <w:ind w:firstLine="709"/>
        <w:rPr>
          <w:rFonts w:cs="Times New Roman"/>
          <w:bCs/>
        </w:rPr>
      </w:pPr>
      <w:r>
        <w:rPr>
          <w:rFonts w:cs="Times New Roman"/>
          <w:bCs/>
        </w:rPr>
        <w:t>In Study 1, w</w:t>
      </w:r>
      <w:r w:rsidR="00BB503F" w:rsidRPr="00BB503F">
        <w:rPr>
          <w:rFonts w:cs="Times New Roman"/>
          <w:bCs/>
        </w:rPr>
        <w:t xml:space="preserve">e also pre-registered to apply </w:t>
      </w:r>
      <w:proofErr w:type="spellStart"/>
      <w:r w:rsidR="00BB503F" w:rsidRPr="00BB503F">
        <w:rPr>
          <w:rFonts w:cs="Times New Roman"/>
          <w:bCs/>
        </w:rPr>
        <w:t>MetaForest</w:t>
      </w:r>
      <w:proofErr w:type="spellEnd"/>
      <w:r w:rsidR="00BB503F" w:rsidRPr="00BB503F">
        <w:rPr>
          <w:rFonts w:cs="Times New Roman"/>
          <w:bCs/>
        </w:rPr>
        <w:t xml:space="preserve"> as an exploratory approach to identify variables that are associated with cooperation. This technique uses a machine learning algorithm “random forests” to assess the importance of several variables in meta-analysis </w:t>
      </w:r>
      <w:r w:rsidR="005503FA" w:rsidRPr="005503FA">
        <w:rPr>
          <w:rFonts w:cs="Times New Roman"/>
        </w:rPr>
        <w:t>(Van Lissa, 2020)</w:t>
      </w:r>
      <w:r w:rsidR="00BB503F" w:rsidRPr="00BB503F">
        <w:rPr>
          <w:rFonts w:cs="Times New Roman"/>
          <w:bCs/>
        </w:rPr>
        <w:t xml:space="preserve">. </w:t>
      </w:r>
      <w:proofErr w:type="spellStart"/>
      <w:r w:rsidR="00BB503F" w:rsidRPr="00BB503F">
        <w:rPr>
          <w:rFonts w:cs="Times New Roman"/>
          <w:bCs/>
        </w:rPr>
        <w:t>MetaForest</w:t>
      </w:r>
      <w:proofErr w:type="spellEnd"/>
      <w:r w:rsidR="00BB503F" w:rsidRPr="00BB503F">
        <w:rPr>
          <w:rFonts w:cs="Times New Roman"/>
          <w:bCs/>
        </w:rPr>
        <w:t xml:space="preserve"> can capture non-linear relationships between the predictor variables and the cooperation estimates, or even higher-order interactions between predictor variables. This approach addresses overfitting and can be applied to small sample meta-analyses with relative large number of predictor variables.</w:t>
      </w:r>
    </w:p>
    <w:p w14:paraId="2F84CFEA" w14:textId="234972E1" w:rsidR="00CD0784" w:rsidRDefault="00BB503F" w:rsidP="00CD0784">
      <w:pPr>
        <w:ind w:firstLine="709"/>
        <w:rPr>
          <w:rFonts w:cs="Times New Roman"/>
          <w:bCs/>
        </w:rPr>
      </w:pPr>
      <w:r w:rsidRPr="00BB503F">
        <w:rPr>
          <w:rFonts w:cs="Times New Roman"/>
          <w:bCs/>
        </w:rPr>
        <w:t xml:space="preserve">This approach was performed using the </w:t>
      </w:r>
      <w:proofErr w:type="spellStart"/>
      <w:r w:rsidRPr="008326D3">
        <w:rPr>
          <w:rFonts w:cs="Times New Roman"/>
          <w:bCs/>
          <w:i/>
          <w:iCs/>
        </w:rPr>
        <w:t>metaforest</w:t>
      </w:r>
      <w:proofErr w:type="spellEnd"/>
      <w:r w:rsidRPr="00BB503F">
        <w:rPr>
          <w:rFonts w:cs="Times New Roman"/>
          <w:bCs/>
        </w:rPr>
        <w:t xml:space="preserve"> package </w:t>
      </w:r>
      <w:r w:rsidR="005503FA" w:rsidRPr="005503FA">
        <w:rPr>
          <w:rFonts w:cs="Times New Roman"/>
        </w:rPr>
        <w:t>(Van Lissa, 2020)</w:t>
      </w:r>
      <w:r w:rsidRPr="00BB503F">
        <w:rPr>
          <w:rFonts w:cs="Times New Roman"/>
          <w:bCs/>
        </w:rPr>
        <w:t>.</w:t>
      </w:r>
      <w:r w:rsidR="00CD0784">
        <w:rPr>
          <w:rFonts w:cs="Times New Roman"/>
          <w:bCs/>
        </w:rPr>
        <w:t xml:space="preserve"> </w:t>
      </w:r>
      <w:r w:rsidR="00CB2D78" w:rsidRPr="00CB2D78">
        <w:rPr>
          <w:rFonts w:cs="Times New Roman"/>
          <w:bCs/>
        </w:rPr>
        <w:t xml:space="preserve">Before running </w:t>
      </w:r>
      <w:proofErr w:type="spellStart"/>
      <w:r w:rsidR="00CB2D78" w:rsidRPr="00CB2D78">
        <w:rPr>
          <w:rFonts w:cs="Times New Roman"/>
          <w:bCs/>
        </w:rPr>
        <w:t>MetaForest</w:t>
      </w:r>
      <w:proofErr w:type="spellEnd"/>
      <w:r w:rsidR="00CB2D78" w:rsidRPr="00CB2D78">
        <w:rPr>
          <w:rFonts w:cs="Times New Roman"/>
          <w:bCs/>
        </w:rPr>
        <w:t xml:space="preserve"> analysis, we performed single imputation for missing data among the predictor variables using the </w:t>
      </w:r>
      <w:proofErr w:type="spellStart"/>
      <w:r w:rsidR="00CB2D78" w:rsidRPr="00CB2D78">
        <w:rPr>
          <w:rFonts w:cs="Times New Roman"/>
          <w:bCs/>
          <w:i/>
        </w:rPr>
        <w:t>missForest</w:t>
      </w:r>
      <w:proofErr w:type="spellEnd"/>
      <w:r w:rsidR="00CB2D78" w:rsidRPr="00CB2D78">
        <w:rPr>
          <w:rFonts w:cs="Times New Roman"/>
          <w:bCs/>
        </w:rPr>
        <w:t xml:space="preserve"> package in </w:t>
      </w:r>
      <w:r w:rsidR="00CB2D78" w:rsidRPr="00CB2D78">
        <w:rPr>
          <w:rFonts w:cs="Times New Roman"/>
          <w:bCs/>
          <w:i/>
        </w:rPr>
        <w:t>R</w:t>
      </w:r>
      <w:r w:rsidR="00CB2D78" w:rsidRPr="00CB2D78">
        <w:rPr>
          <w:rFonts w:cs="Times New Roman"/>
          <w:bCs/>
        </w:rPr>
        <w:t xml:space="preserve"> </w:t>
      </w:r>
      <w:r w:rsidR="005503FA" w:rsidRPr="005503FA">
        <w:rPr>
          <w:rFonts w:cs="Times New Roman"/>
        </w:rPr>
        <w:t>(</w:t>
      </w:r>
      <w:proofErr w:type="spellStart"/>
      <w:r w:rsidR="005503FA" w:rsidRPr="005503FA">
        <w:rPr>
          <w:rFonts w:cs="Times New Roman"/>
        </w:rPr>
        <w:t>Stekhoven</w:t>
      </w:r>
      <w:proofErr w:type="spellEnd"/>
      <w:r w:rsidR="005503FA" w:rsidRPr="005503FA">
        <w:rPr>
          <w:rFonts w:cs="Times New Roman"/>
        </w:rPr>
        <w:t xml:space="preserve"> &amp; </w:t>
      </w:r>
      <w:proofErr w:type="spellStart"/>
      <w:r w:rsidR="005503FA" w:rsidRPr="005503FA">
        <w:rPr>
          <w:rFonts w:cs="Times New Roman"/>
        </w:rPr>
        <w:t>Bühlmann</w:t>
      </w:r>
      <w:proofErr w:type="spellEnd"/>
      <w:r w:rsidR="005503FA" w:rsidRPr="005503FA">
        <w:rPr>
          <w:rFonts w:cs="Times New Roman"/>
        </w:rPr>
        <w:t>, 2012)</w:t>
      </w:r>
      <w:r w:rsidR="00CB2D78" w:rsidRPr="00CB2D78">
        <w:rPr>
          <w:rFonts w:cs="Times New Roman"/>
          <w:bCs/>
        </w:rPr>
        <w:t>.</w:t>
      </w:r>
      <w:r w:rsidR="00CD0784">
        <w:rPr>
          <w:rFonts w:cs="Times New Roman"/>
          <w:bCs/>
        </w:rPr>
        <w:t xml:space="preserve"> Specifically</w:t>
      </w:r>
      <w:r w:rsidR="00CB2D78" w:rsidRPr="00CB2D78">
        <w:rPr>
          <w:rFonts w:cs="Times New Roman"/>
          <w:bCs/>
        </w:rPr>
        <w:t xml:space="preserve">, we conducted random-effects weighted </w:t>
      </w:r>
      <w:proofErr w:type="spellStart"/>
      <w:r w:rsidR="00CB2D78" w:rsidRPr="00CB2D78">
        <w:rPr>
          <w:rFonts w:cs="Times New Roman"/>
          <w:bCs/>
        </w:rPr>
        <w:t>MetaForest</w:t>
      </w:r>
      <w:proofErr w:type="spellEnd"/>
      <w:r w:rsidR="00CB2D78" w:rsidRPr="00CB2D78">
        <w:rPr>
          <w:rFonts w:cs="Times New Roman"/>
          <w:bCs/>
        </w:rPr>
        <w:t xml:space="preserve"> with clustered boot-strapping to account for the multilevel structure of the data (</w:t>
      </w:r>
      <w:proofErr w:type="spellStart"/>
      <w:r w:rsidR="00CB2D78" w:rsidRPr="00CB2D78">
        <w:rPr>
          <w:rFonts w:cs="Times New Roman"/>
          <w:bCs/>
          <w:i/>
        </w:rPr>
        <w:t>n</w:t>
      </w:r>
      <w:r w:rsidR="00CB2D78" w:rsidRPr="00CB2D78">
        <w:rPr>
          <w:rFonts w:cs="Times New Roman"/>
          <w:bCs/>
          <w:vertAlign w:val="subscript"/>
        </w:rPr>
        <w:t>tree</w:t>
      </w:r>
      <w:proofErr w:type="spellEnd"/>
      <w:r w:rsidR="00CB2D78" w:rsidRPr="00CB2D78">
        <w:rPr>
          <w:rFonts w:cs="Times New Roman"/>
          <w:bCs/>
          <w:vertAlign w:val="subscript"/>
        </w:rPr>
        <w:t xml:space="preserve"> </w:t>
      </w:r>
      <w:r w:rsidR="00CB2D78" w:rsidRPr="00CB2D78">
        <w:rPr>
          <w:rFonts w:cs="Times New Roman"/>
          <w:bCs/>
        </w:rPr>
        <w:t xml:space="preserve">= 250, </w:t>
      </w:r>
      <w:proofErr w:type="spellStart"/>
      <w:r w:rsidR="00CB2D78" w:rsidRPr="00CB2D78">
        <w:rPr>
          <w:rFonts w:cs="Times New Roman"/>
          <w:bCs/>
          <w:i/>
        </w:rPr>
        <w:t>m</w:t>
      </w:r>
      <w:r w:rsidR="00CB2D78" w:rsidRPr="00CB2D78">
        <w:rPr>
          <w:rFonts w:cs="Times New Roman"/>
          <w:bCs/>
          <w:vertAlign w:val="subscript"/>
        </w:rPr>
        <w:t>try</w:t>
      </w:r>
      <w:proofErr w:type="spellEnd"/>
      <w:r w:rsidR="00CB2D78" w:rsidRPr="00CB2D78">
        <w:rPr>
          <w:rFonts w:cs="Times New Roman"/>
          <w:bCs/>
        </w:rPr>
        <w:t xml:space="preserve"> = 6). To weed out irrelevant predictors, we used 100-fold replicated feature selection, and retained only predictors with positive variable importance in &gt; 10% of replications. Results provided the predictive performance of the selected variables, suggesting that the model would have a positive estimate of explained variance among cooperation rates in new studies (</w:t>
      </w:r>
      <w:r w:rsidR="00CB2D78" w:rsidRPr="00CB2D78">
        <w:rPr>
          <w:rFonts w:cs="Times New Roman"/>
          <w:bCs/>
          <w:i/>
        </w:rPr>
        <w:t>R</w:t>
      </w:r>
      <w:r w:rsidR="00CB2D78" w:rsidRPr="00CB2D78">
        <w:rPr>
          <w:rFonts w:cs="Times New Roman"/>
          <w:bCs/>
          <w:i/>
          <w:vertAlign w:val="superscript"/>
        </w:rPr>
        <w:t>2</w:t>
      </w:r>
      <w:r w:rsidR="00CB2D78" w:rsidRPr="00CB2D78">
        <w:rPr>
          <w:rFonts w:cs="Times New Roman"/>
          <w:bCs/>
          <w:i/>
          <w:vertAlign w:val="subscript"/>
        </w:rPr>
        <w:t>oob</w:t>
      </w:r>
      <w:r w:rsidR="00CB2D78" w:rsidRPr="00CB2D78">
        <w:rPr>
          <w:rFonts w:cs="Times New Roman"/>
          <w:bCs/>
        </w:rPr>
        <w:t xml:space="preserve"> = .120, </w:t>
      </w:r>
      <w:bookmarkStart w:id="36" w:name="OLE_LINK9"/>
      <w:r w:rsidR="00CB2D78" w:rsidRPr="00CB2D78">
        <w:rPr>
          <w:rFonts w:cs="Times New Roman"/>
          <w:bCs/>
          <w:i/>
        </w:rPr>
        <w:t>R</w:t>
      </w:r>
      <w:r w:rsidR="00CB2D78" w:rsidRPr="00CB2D78">
        <w:rPr>
          <w:rFonts w:cs="Times New Roman"/>
          <w:bCs/>
          <w:i/>
          <w:vertAlign w:val="superscript"/>
        </w:rPr>
        <w:t>2</w:t>
      </w:r>
      <w:r w:rsidR="00CB2D78" w:rsidRPr="00CB2D78">
        <w:rPr>
          <w:rFonts w:cs="Times New Roman"/>
          <w:bCs/>
          <w:i/>
          <w:vertAlign w:val="subscript"/>
        </w:rPr>
        <w:t>cv</w:t>
      </w:r>
      <w:r w:rsidR="00CB2D78" w:rsidRPr="00CB2D78">
        <w:rPr>
          <w:rFonts w:cs="Times New Roman"/>
          <w:bCs/>
        </w:rPr>
        <w:t xml:space="preserve"> = .1</w:t>
      </w:r>
      <w:bookmarkEnd w:id="36"/>
      <w:r w:rsidR="00CB2D78" w:rsidRPr="00CB2D78">
        <w:rPr>
          <w:rFonts w:cs="Times New Roman"/>
          <w:bCs/>
        </w:rPr>
        <w:t>69)</w:t>
      </w:r>
      <w:r w:rsidR="00CB2D78" w:rsidRPr="002972E0">
        <w:rPr>
          <w:rStyle w:val="FootnoteReference"/>
        </w:rPr>
        <w:footnoteReference w:id="3"/>
      </w:r>
      <w:r w:rsidR="00CB2D78" w:rsidRPr="00CB2D78">
        <w:rPr>
          <w:rFonts w:cs="Times New Roman"/>
          <w:bCs/>
        </w:rPr>
        <w:t>.</w:t>
      </w:r>
      <w:r w:rsidR="00CD0784">
        <w:rPr>
          <w:rFonts w:cs="Times New Roman"/>
          <w:bCs/>
        </w:rPr>
        <w:t xml:space="preserve"> </w:t>
      </w:r>
      <w:r w:rsidR="00CB2D78" w:rsidRPr="00CB2D78">
        <w:rPr>
          <w:rFonts w:cs="Times New Roman"/>
          <w:bCs/>
        </w:rPr>
        <w:t xml:space="preserve">Variable importance metrics reflected that year of data collection, conflict of interest, mean age, group size, communication and sanction were the most important variables that contribute to the predictive power of the final </w:t>
      </w:r>
      <w:proofErr w:type="spellStart"/>
      <w:r w:rsidR="00CB2D78" w:rsidRPr="00CB2D78">
        <w:rPr>
          <w:rFonts w:cs="Times New Roman"/>
          <w:bCs/>
        </w:rPr>
        <w:t>MetaForest</w:t>
      </w:r>
      <w:proofErr w:type="spellEnd"/>
      <w:r w:rsidR="00CB2D78" w:rsidRPr="00CB2D78">
        <w:rPr>
          <w:rFonts w:cs="Times New Roman"/>
          <w:bCs/>
        </w:rPr>
        <w:t xml:space="preserve"> model (see Figure S</w:t>
      </w:r>
      <w:r w:rsidR="00CD0784">
        <w:rPr>
          <w:rFonts w:cs="Times New Roman"/>
          <w:bCs/>
        </w:rPr>
        <w:t>3</w:t>
      </w:r>
      <w:r w:rsidR="00CB2D78" w:rsidRPr="00CB2D78">
        <w:rPr>
          <w:rFonts w:cs="Times New Roman"/>
          <w:bCs/>
        </w:rPr>
        <w:t xml:space="preserve">). The shape of each predictor’s </w:t>
      </w:r>
      <w:r w:rsidR="00CB2D78" w:rsidRPr="00CB2D78">
        <w:rPr>
          <w:rFonts w:cs="Times New Roman"/>
          <w:bCs/>
        </w:rPr>
        <w:lastRenderedPageBreak/>
        <w:t>marginal relationship to cooperation, averaging over all values of all other predictor variables, is illustrated in Figure S</w:t>
      </w:r>
      <w:r w:rsidR="00CD0784">
        <w:rPr>
          <w:rFonts w:cs="Times New Roman"/>
          <w:bCs/>
        </w:rPr>
        <w:t>4</w:t>
      </w:r>
      <w:r w:rsidR="00CB2D78" w:rsidRPr="00CB2D78">
        <w:rPr>
          <w:rFonts w:cs="Times New Roman"/>
          <w:bCs/>
        </w:rPr>
        <w:t>.</w:t>
      </w:r>
    </w:p>
    <w:p w14:paraId="74D03B9E" w14:textId="77C43155" w:rsidR="00F90EE0" w:rsidRDefault="00F90EE0" w:rsidP="00F90EE0">
      <w:pPr>
        <w:ind w:firstLine="709"/>
        <w:rPr>
          <w:rFonts w:cs="Times New Roman"/>
          <w:bCs/>
        </w:rPr>
      </w:pPr>
      <w:r w:rsidRPr="00CB2D78">
        <w:rPr>
          <w:rFonts w:cs="Times New Roman"/>
          <w:bCs/>
        </w:rPr>
        <w:t xml:space="preserve">Following </w:t>
      </w:r>
      <w:proofErr w:type="spellStart"/>
      <w:r w:rsidRPr="00CB2D78">
        <w:rPr>
          <w:rFonts w:cs="Times New Roman"/>
          <w:bCs/>
        </w:rPr>
        <w:t>MetaForest</w:t>
      </w:r>
      <w:proofErr w:type="spellEnd"/>
      <w:r w:rsidRPr="00CB2D78">
        <w:rPr>
          <w:rFonts w:cs="Times New Roman"/>
          <w:bCs/>
        </w:rPr>
        <w:t xml:space="preserve"> analysis, we ran mixed-effect meta-regression focusing only on the relevant predictor variables identified by </w:t>
      </w:r>
      <w:proofErr w:type="spellStart"/>
      <w:r w:rsidRPr="00CB2D78">
        <w:rPr>
          <w:rFonts w:cs="Times New Roman"/>
          <w:bCs/>
        </w:rPr>
        <w:t>MetaForest</w:t>
      </w:r>
      <w:proofErr w:type="spellEnd"/>
      <w:r w:rsidRPr="00CB2D78">
        <w:rPr>
          <w:rFonts w:cs="Times New Roman"/>
          <w:bCs/>
        </w:rPr>
        <w:t xml:space="preserve"> (Model </w:t>
      </w:r>
      <w:r>
        <w:rPr>
          <w:rFonts w:cs="Times New Roman"/>
          <w:bCs/>
        </w:rPr>
        <w:t>6</w:t>
      </w:r>
      <w:r w:rsidRPr="00CB2D78">
        <w:rPr>
          <w:rFonts w:cs="Times New Roman"/>
          <w:bCs/>
        </w:rPr>
        <w:t>), and compared the predictive performance of this model with that of the theoretical model (i.e., main model, Model 1a). We found that higher amount of heterogeneity among cooperation rates was explained by the variables included due to theoretical considerations (</w:t>
      </w:r>
      <w:r w:rsidRPr="00CB2D78">
        <w:rPr>
          <w:rFonts w:cs="Times New Roman"/>
          <w:bCs/>
          <w:i/>
        </w:rPr>
        <w:t>R</w:t>
      </w:r>
      <w:r w:rsidRPr="00CB2D78">
        <w:rPr>
          <w:rFonts w:cs="Times New Roman"/>
          <w:bCs/>
          <w:i/>
          <w:vertAlign w:val="superscript"/>
        </w:rPr>
        <w:t>2</w:t>
      </w:r>
      <w:r w:rsidRPr="00CB2D78">
        <w:rPr>
          <w:rFonts w:cs="Times New Roman"/>
          <w:bCs/>
        </w:rPr>
        <w:t xml:space="preserve"> = .125, see Table </w:t>
      </w:r>
      <w:r>
        <w:rPr>
          <w:rFonts w:cs="Times New Roman"/>
          <w:bCs/>
        </w:rPr>
        <w:t>6</w:t>
      </w:r>
      <w:r w:rsidRPr="00CB2D78">
        <w:rPr>
          <w:rFonts w:cs="Times New Roman"/>
          <w:bCs/>
        </w:rPr>
        <w:t xml:space="preserve">), compared to the variables selected by </w:t>
      </w:r>
      <w:proofErr w:type="spellStart"/>
      <w:r w:rsidRPr="00CB2D78">
        <w:rPr>
          <w:rFonts w:cs="Times New Roman"/>
          <w:bCs/>
        </w:rPr>
        <w:t>MetaForest</w:t>
      </w:r>
      <w:proofErr w:type="spellEnd"/>
      <w:r w:rsidRPr="00CB2D78">
        <w:rPr>
          <w:rFonts w:cs="Times New Roman"/>
          <w:bCs/>
        </w:rPr>
        <w:t xml:space="preserve"> (</w:t>
      </w:r>
      <w:r w:rsidRPr="00CB2D78">
        <w:rPr>
          <w:rFonts w:cs="Times New Roman"/>
          <w:bCs/>
          <w:i/>
        </w:rPr>
        <w:t>R</w:t>
      </w:r>
      <w:r w:rsidRPr="00CB2D78">
        <w:rPr>
          <w:rFonts w:cs="Times New Roman"/>
          <w:bCs/>
          <w:i/>
          <w:vertAlign w:val="superscript"/>
        </w:rPr>
        <w:t>2</w:t>
      </w:r>
      <w:r w:rsidRPr="00CB2D78">
        <w:rPr>
          <w:rFonts w:cs="Times New Roman"/>
          <w:bCs/>
        </w:rPr>
        <w:t xml:space="preserve"> = .105, see Table S</w:t>
      </w:r>
      <w:r>
        <w:rPr>
          <w:rFonts w:cs="Times New Roman"/>
          <w:bCs/>
        </w:rPr>
        <w:t>8</w:t>
      </w:r>
      <w:r w:rsidRPr="00CB2D78">
        <w:rPr>
          <w:rFonts w:cs="Times New Roman"/>
          <w:bCs/>
        </w:rPr>
        <w:t>).</w:t>
      </w:r>
    </w:p>
    <w:p w14:paraId="0AD8F5CC" w14:textId="77777777" w:rsidR="00D27801" w:rsidRDefault="00D27801">
      <w:pPr>
        <w:spacing w:after="160" w:line="259" w:lineRule="auto"/>
        <w:rPr>
          <w:rFonts w:cs="Times New Roman"/>
          <w:b/>
        </w:rPr>
      </w:pPr>
      <w:r>
        <w:rPr>
          <w:rFonts w:cs="Times New Roman"/>
          <w:b/>
        </w:rPr>
        <w:br w:type="page"/>
      </w:r>
    </w:p>
    <w:p w14:paraId="7397FFC7" w14:textId="1F333730" w:rsidR="00F90EE0" w:rsidRPr="0020785E" w:rsidRDefault="00F90EE0" w:rsidP="00F90EE0">
      <w:pPr>
        <w:rPr>
          <w:rFonts w:cs="Times New Roman"/>
          <w:b/>
        </w:rPr>
      </w:pPr>
      <w:r>
        <w:rPr>
          <w:rFonts w:cs="Times New Roman"/>
          <w:b/>
        </w:rPr>
        <w:lastRenderedPageBreak/>
        <w:t>Figure S3</w:t>
      </w:r>
    </w:p>
    <w:p w14:paraId="293C5F3E" w14:textId="5531AACF" w:rsidR="00F90EE0" w:rsidRPr="0020785E" w:rsidRDefault="00F90EE0" w:rsidP="00F90EE0">
      <w:pPr>
        <w:rPr>
          <w:rFonts w:cs="Times New Roman"/>
          <w:i/>
        </w:rPr>
      </w:pPr>
      <w:r w:rsidRPr="0020785E">
        <w:rPr>
          <w:rFonts w:cs="Times New Roman"/>
          <w:i/>
        </w:rPr>
        <w:t>Predictor Importance Analyses</w:t>
      </w:r>
    </w:p>
    <w:p w14:paraId="0C1EA15F" w14:textId="486254F3" w:rsidR="00F90EE0" w:rsidRDefault="00CD7B2A" w:rsidP="00F90EE0">
      <w:pPr>
        <w:jc w:val="center"/>
        <w:rPr>
          <w:rFonts w:cs="Times New Roman"/>
        </w:rPr>
      </w:pPr>
      <w:r>
        <w:rPr>
          <w:rFonts w:cs="Times New Roman"/>
          <w:noProof/>
          <w:lang w:val="nl-NL" w:eastAsia="zh-CN"/>
        </w:rPr>
        <w:drawing>
          <wp:inline distT="0" distB="0" distL="0" distR="0" wp14:anchorId="29A99CD8" wp14:editId="78852666">
            <wp:extent cx="4572000" cy="4572000"/>
            <wp:effectExtent l="0" t="0" r="0" b="0"/>
            <wp:docPr id="1656961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14:paraId="0E2176CE" w14:textId="45B5895E" w:rsidR="00F90EE0" w:rsidRDefault="00F90EE0" w:rsidP="00F90EE0">
      <w:pPr>
        <w:spacing w:line="240" w:lineRule="auto"/>
        <w:rPr>
          <w:rFonts w:cs="Times New Roman"/>
        </w:rPr>
      </w:pPr>
      <w:r w:rsidRPr="00D176C9">
        <w:rPr>
          <w:rFonts w:cs="Times New Roman"/>
          <w:i/>
          <w:iCs/>
        </w:rPr>
        <w:t>Note.</w:t>
      </w:r>
      <w:r>
        <w:rPr>
          <w:rFonts w:cs="Times New Roman"/>
        </w:rPr>
        <w:t xml:space="preserve"> </w:t>
      </w:r>
      <w:proofErr w:type="spellStart"/>
      <w:r>
        <w:rPr>
          <w:rFonts w:cs="Times New Roman"/>
        </w:rPr>
        <w:t>Sequentiality</w:t>
      </w:r>
      <w:proofErr w:type="spellEnd"/>
      <w:r>
        <w:rPr>
          <w:rFonts w:cs="Times New Roman"/>
        </w:rPr>
        <w:t xml:space="preserve"> and game payment were dropped from the figure since their </w:t>
      </w:r>
      <w:r w:rsidRPr="00D176C9">
        <w:rPr>
          <w:rFonts w:cs="Times New Roman"/>
        </w:rPr>
        <w:t xml:space="preserve">variable importance </w:t>
      </w:r>
      <w:r>
        <w:rPr>
          <w:rFonts w:cs="Times New Roman"/>
        </w:rPr>
        <w:t>were positive only</w:t>
      </w:r>
      <w:r w:rsidRPr="00D176C9">
        <w:rPr>
          <w:rFonts w:cs="Times New Roman"/>
        </w:rPr>
        <w:t xml:space="preserve"> in </w:t>
      </w:r>
      <w:r>
        <w:rPr>
          <w:rFonts w:cs="Times New Roman"/>
        </w:rPr>
        <w:t>less than</w:t>
      </w:r>
      <w:r w:rsidRPr="00D176C9">
        <w:rPr>
          <w:rFonts w:cs="Times New Roman"/>
        </w:rPr>
        <w:t xml:space="preserve"> 10% of replications</w:t>
      </w:r>
      <w:r>
        <w:rPr>
          <w:rFonts w:cs="Times New Roman"/>
        </w:rPr>
        <w:t>.</w:t>
      </w:r>
    </w:p>
    <w:p w14:paraId="6063C4A5" w14:textId="22813A96" w:rsidR="00F90EE0" w:rsidRDefault="00F90EE0">
      <w:pPr>
        <w:spacing w:after="160" w:line="259" w:lineRule="auto"/>
        <w:rPr>
          <w:rFonts w:cs="Times New Roman"/>
        </w:rPr>
      </w:pPr>
    </w:p>
    <w:p w14:paraId="6152E5AC" w14:textId="77777777" w:rsidR="00D27801" w:rsidRDefault="00D27801">
      <w:pPr>
        <w:spacing w:after="160" w:line="259" w:lineRule="auto"/>
        <w:rPr>
          <w:rFonts w:cs="Times New Roman"/>
          <w:b/>
        </w:rPr>
      </w:pPr>
      <w:r>
        <w:rPr>
          <w:rFonts w:cs="Times New Roman"/>
          <w:b/>
        </w:rPr>
        <w:br w:type="page"/>
      </w:r>
    </w:p>
    <w:p w14:paraId="72A7E3D0" w14:textId="405A3FEB" w:rsidR="00F90EE0" w:rsidRPr="00B2101B" w:rsidRDefault="00F90EE0" w:rsidP="00F90EE0">
      <w:pPr>
        <w:rPr>
          <w:rFonts w:cs="Times New Roman"/>
          <w:b/>
        </w:rPr>
      </w:pPr>
      <w:r w:rsidRPr="00B2101B">
        <w:rPr>
          <w:rFonts w:cs="Times New Roman"/>
          <w:b/>
        </w:rPr>
        <w:lastRenderedPageBreak/>
        <w:t xml:space="preserve">Figure </w:t>
      </w:r>
      <w:r>
        <w:rPr>
          <w:rFonts w:cs="Times New Roman"/>
          <w:b/>
        </w:rPr>
        <w:t>S4</w:t>
      </w:r>
    </w:p>
    <w:p w14:paraId="2DDB8FBC" w14:textId="52937D0B" w:rsidR="00F90EE0" w:rsidRPr="00B2101B" w:rsidRDefault="00F90EE0" w:rsidP="00F90EE0">
      <w:pPr>
        <w:rPr>
          <w:rFonts w:cs="Times New Roman"/>
          <w:i/>
        </w:rPr>
      </w:pPr>
      <w:r w:rsidRPr="00B2101B">
        <w:rPr>
          <w:rFonts w:cs="Times New Roman"/>
          <w:i/>
        </w:rPr>
        <w:t>Partial Dependence Plots</w:t>
      </w:r>
    </w:p>
    <w:p w14:paraId="5B25EBCC" w14:textId="12A83192" w:rsidR="00F90EE0" w:rsidRDefault="00CD7B2A" w:rsidP="00F90EE0">
      <w:pPr>
        <w:jc w:val="center"/>
        <w:rPr>
          <w:rFonts w:cs="Times New Roman"/>
          <w:lang w:val="nl-NL"/>
        </w:rPr>
      </w:pPr>
      <w:r>
        <w:rPr>
          <w:rFonts w:cs="Times New Roman"/>
          <w:noProof/>
          <w:lang w:val="nl-NL" w:eastAsia="zh-CN"/>
        </w:rPr>
        <w:drawing>
          <wp:inline distT="0" distB="0" distL="0" distR="0" wp14:anchorId="3652D341" wp14:editId="5982585F">
            <wp:extent cx="5486400" cy="5486400"/>
            <wp:effectExtent l="0" t="0" r="0" b="0"/>
            <wp:docPr id="9087330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364D3A90" w14:textId="29E4B969" w:rsidR="00F90EE0" w:rsidRDefault="00F90EE0" w:rsidP="00F90EE0">
      <w:pPr>
        <w:spacing w:line="240" w:lineRule="auto"/>
        <w:rPr>
          <w:rFonts w:cs="Times New Roman"/>
        </w:rPr>
      </w:pPr>
      <w:r w:rsidRPr="00547834">
        <w:rPr>
          <w:rFonts w:cs="Times New Roman"/>
          <w:i/>
          <w:iCs/>
        </w:rPr>
        <w:t>Note.</w:t>
      </w:r>
      <w:r w:rsidRPr="00547834">
        <w:rPr>
          <w:rFonts w:cs="Times New Roman"/>
        </w:rPr>
        <w:t xml:space="preserve"> Year = Year of </w:t>
      </w:r>
      <w:r>
        <w:rPr>
          <w:rFonts w:cs="Times New Roman"/>
        </w:rPr>
        <w:t xml:space="preserve">data collection, </w:t>
      </w:r>
      <w:proofErr w:type="spellStart"/>
      <w:r>
        <w:rPr>
          <w:rFonts w:cs="Times New Roman"/>
        </w:rPr>
        <w:t>Prop.male</w:t>
      </w:r>
      <w:proofErr w:type="spellEnd"/>
      <w:r>
        <w:rPr>
          <w:rFonts w:cs="Times New Roman"/>
        </w:rPr>
        <w:t xml:space="preserve"> = Proportion of male, Endgame =  Knowledge of the end game, </w:t>
      </w:r>
      <w:r w:rsidR="00932A42">
        <w:rPr>
          <w:rFonts w:cs="Times New Roman"/>
        </w:rPr>
        <w:t>Matching</w:t>
      </w:r>
      <w:r>
        <w:rPr>
          <w:rFonts w:cs="Times New Roman"/>
        </w:rPr>
        <w:t xml:space="preserve"> = </w:t>
      </w:r>
      <w:r w:rsidR="00932A42">
        <w:rPr>
          <w:rFonts w:cs="Times New Roman"/>
        </w:rPr>
        <w:t>Matching design</w:t>
      </w:r>
      <w:r>
        <w:rPr>
          <w:rFonts w:cs="Times New Roman"/>
        </w:rPr>
        <w:t xml:space="preserve">, </w:t>
      </w:r>
      <w:proofErr w:type="spellStart"/>
      <w:r>
        <w:rPr>
          <w:rFonts w:cs="Times New Roman"/>
        </w:rPr>
        <w:t>Exp.setting</w:t>
      </w:r>
      <w:proofErr w:type="spellEnd"/>
      <w:r>
        <w:rPr>
          <w:rFonts w:cs="Times New Roman"/>
        </w:rPr>
        <w:t xml:space="preserve"> = Experimental setting, Trial = Trial of cooperation, Publication = Publication status. Group size was log transformed in the analysis. See Table 3 and 4 in the main text for coding system of the variables.</w:t>
      </w:r>
      <w:r>
        <w:rPr>
          <w:rFonts w:cs="Times New Roman"/>
        </w:rPr>
        <w:br w:type="page"/>
      </w:r>
    </w:p>
    <w:p w14:paraId="28EB56C4" w14:textId="450EDEA2" w:rsidR="001D58A8" w:rsidRPr="00F90EE0" w:rsidRDefault="001D58A8" w:rsidP="00F90EE0">
      <w:pPr>
        <w:spacing w:after="160" w:line="259" w:lineRule="auto"/>
        <w:rPr>
          <w:rFonts w:cs="Times New Roman"/>
          <w:b/>
        </w:rPr>
      </w:pPr>
      <w:bookmarkStart w:id="37" w:name="_Toc61988292"/>
      <w:r w:rsidRPr="001D58A8">
        <w:rPr>
          <w:rFonts w:eastAsiaTheme="minorEastAsia" w:cs="Times New Roman"/>
          <w:b/>
          <w:szCs w:val="22"/>
          <w:lang w:eastAsia="zh-CN"/>
        </w:rPr>
        <w:lastRenderedPageBreak/>
        <w:t xml:space="preserve">Table </w:t>
      </w:r>
      <w:r w:rsidR="0088670C">
        <w:rPr>
          <w:rFonts w:eastAsiaTheme="minorEastAsia" w:cs="Times New Roman"/>
          <w:b/>
          <w:szCs w:val="22"/>
          <w:lang w:eastAsia="zh-CN"/>
        </w:rPr>
        <w:t>S</w:t>
      </w:r>
      <w:r w:rsidR="00F90EE0">
        <w:rPr>
          <w:rFonts w:eastAsiaTheme="minorEastAsia" w:cs="Times New Roman"/>
          <w:b/>
          <w:szCs w:val="22"/>
          <w:lang w:eastAsia="zh-CN"/>
        </w:rPr>
        <w:t>8</w:t>
      </w:r>
    </w:p>
    <w:p w14:paraId="34AD14D1" w14:textId="43CF79E1" w:rsidR="006044F9" w:rsidRPr="006044F9" w:rsidRDefault="001D58A8" w:rsidP="00785660">
      <w:pPr>
        <w:rPr>
          <w:rFonts w:eastAsiaTheme="minorEastAsia" w:cs="Times New Roman"/>
          <w:i/>
          <w:szCs w:val="22"/>
          <w:lang w:eastAsia="zh-CN"/>
        </w:rPr>
      </w:pPr>
      <w:r>
        <w:rPr>
          <w:rFonts w:eastAsiaTheme="minorEastAsia" w:cs="Times New Roman"/>
          <w:i/>
          <w:szCs w:val="22"/>
          <w:lang w:eastAsia="zh-CN"/>
        </w:rPr>
        <w:t>Meta-</w:t>
      </w:r>
      <w:r w:rsidR="00D04993">
        <w:rPr>
          <w:rFonts w:eastAsiaTheme="minorEastAsia" w:cs="Times New Roman"/>
          <w:i/>
          <w:szCs w:val="22"/>
          <w:lang w:eastAsia="zh-CN"/>
        </w:rPr>
        <w:t>R</w:t>
      </w:r>
      <w:r>
        <w:rPr>
          <w:rFonts w:eastAsiaTheme="minorEastAsia" w:cs="Times New Roman"/>
          <w:i/>
          <w:szCs w:val="22"/>
          <w:lang w:eastAsia="zh-CN"/>
        </w:rPr>
        <w:t>egression Results of Models with Predictors I</w:t>
      </w:r>
      <w:r w:rsidRPr="001D58A8">
        <w:rPr>
          <w:rFonts w:eastAsiaTheme="minorEastAsia" w:cs="Times New Roman"/>
          <w:i/>
          <w:szCs w:val="22"/>
          <w:lang w:eastAsia="zh-CN"/>
        </w:rPr>
        <w:t xml:space="preserve">dentified by </w:t>
      </w:r>
      <w:proofErr w:type="spellStart"/>
      <w:r w:rsidRPr="001D58A8">
        <w:rPr>
          <w:rFonts w:eastAsiaTheme="minorEastAsia" w:cs="Times New Roman"/>
          <w:i/>
          <w:szCs w:val="22"/>
          <w:lang w:eastAsia="zh-CN"/>
        </w:rPr>
        <w:t>MetaForest</w:t>
      </w:r>
      <w:proofErr w:type="spellEnd"/>
    </w:p>
    <w:tbl>
      <w:tblPr>
        <w:tblW w:w="0" w:type="auto"/>
        <w:tblCellMar>
          <w:left w:w="70" w:type="dxa"/>
          <w:right w:w="70" w:type="dxa"/>
        </w:tblCellMar>
        <w:tblLook w:val="04A0" w:firstRow="1" w:lastRow="0" w:firstColumn="1" w:lastColumn="0" w:noHBand="0" w:noVBand="1"/>
      </w:tblPr>
      <w:tblGrid>
        <w:gridCol w:w="2990"/>
        <w:gridCol w:w="690"/>
        <w:gridCol w:w="590"/>
        <w:gridCol w:w="1374"/>
      </w:tblGrid>
      <w:tr w:rsidR="00CD0784" w:rsidRPr="00F90EE0" w14:paraId="02691D05" w14:textId="77777777" w:rsidTr="00CD0784">
        <w:trPr>
          <w:trHeight w:val="225"/>
        </w:trPr>
        <w:tc>
          <w:tcPr>
            <w:tcW w:w="0" w:type="auto"/>
            <w:vMerge w:val="restart"/>
            <w:tcBorders>
              <w:top w:val="single" w:sz="4" w:space="0" w:color="auto"/>
              <w:left w:val="nil"/>
              <w:bottom w:val="single" w:sz="4" w:space="0" w:color="000000"/>
              <w:right w:val="nil"/>
            </w:tcBorders>
            <w:shd w:val="clear" w:color="auto" w:fill="auto"/>
            <w:noWrap/>
            <w:vAlign w:val="center"/>
            <w:hideMark/>
          </w:tcPr>
          <w:p w14:paraId="6363BB51" w14:textId="18BD63DF" w:rsidR="00CD0784" w:rsidRPr="00F90EE0" w:rsidRDefault="00CD0784" w:rsidP="006044F9">
            <w:pPr>
              <w:spacing w:line="240" w:lineRule="auto"/>
              <w:jc w:val="center"/>
              <w:rPr>
                <w:rFonts w:eastAsia="Times New Roman" w:cs="Times New Roman"/>
                <w:b/>
                <w:bCs/>
                <w:color w:val="000000"/>
                <w:sz w:val="20"/>
                <w:szCs w:val="20"/>
                <w:lang w:val="nl-NL" w:eastAsia="zh-CN"/>
              </w:rPr>
            </w:pPr>
            <w:r w:rsidRPr="00F90EE0">
              <w:rPr>
                <w:rFonts w:eastAsia="Times New Roman" w:cs="Times New Roman"/>
                <w:b/>
                <w:bCs/>
                <w:color w:val="000000"/>
                <w:sz w:val="20"/>
                <w:szCs w:val="20"/>
                <w:lang w:val="nl-NL" w:eastAsia="zh-CN"/>
              </w:rPr>
              <w:t>Variables</w:t>
            </w:r>
          </w:p>
        </w:tc>
        <w:tc>
          <w:tcPr>
            <w:tcW w:w="0" w:type="auto"/>
            <w:gridSpan w:val="3"/>
            <w:tcBorders>
              <w:top w:val="single" w:sz="4" w:space="0" w:color="auto"/>
              <w:left w:val="nil"/>
              <w:bottom w:val="single" w:sz="4" w:space="0" w:color="auto"/>
              <w:right w:val="nil"/>
            </w:tcBorders>
            <w:shd w:val="clear" w:color="auto" w:fill="auto"/>
            <w:noWrap/>
            <w:vAlign w:val="center"/>
            <w:hideMark/>
          </w:tcPr>
          <w:p w14:paraId="0415EFDE" w14:textId="6E186008" w:rsidR="00CD0784" w:rsidRPr="00F90EE0" w:rsidRDefault="00CD0784" w:rsidP="006044F9">
            <w:pPr>
              <w:spacing w:line="240" w:lineRule="auto"/>
              <w:jc w:val="center"/>
              <w:rPr>
                <w:rFonts w:eastAsia="Times New Roman" w:cs="Times New Roman"/>
                <w:b/>
                <w:bCs/>
                <w:color w:val="000000"/>
                <w:sz w:val="20"/>
                <w:szCs w:val="20"/>
                <w:lang w:val="nl-NL" w:eastAsia="zh-CN"/>
              </w:rPr>
            </w:pPr>
            <w:r w:rsidRPr="00F90EE0">
              <w:rPr>
                <w:rFonts w:eastAsia="Times New Roman" w:cs="Times New Roman"/>
                <w:b/>
                <w:bCs/>
                <w:color w:val="000000"/>
                <w:sz w:val="20"/>
                <w:szCs w:val="20"/>
                <w:lang w:val="nl-NL" w:eastAsia="zh-CN"/>
              </w:rPr>
              <w:t xml:space="preserve">Model </w:t>
            </w:r>
            <w:r w:rsidR="00D84ABD">
              <w:rPr>
                <w:rFonts w:eastAsia="Times New Roman" w:cs="Times New Roman"/>
                <w:b/>
                <w:bCs/>
                <w:color w:val="000000"/>
                <w:sz w:val="20"/>
                <w:szCs w:val="20"/>
                <w:lang w:val="nl-NL" w:eastAsia="zh-CN"/>
              </w:rPr>
              <w:t>6</w:t>
            </w:r>
          </w:p>
        </w:tc>
      </w:tr>
      <w:tr w:rsidR="00CD0784" w:rsidRPr="00F90EE0" w14:paraId="6988AB4C" w14:textId="77777777" w:rsidTr="00CD0784">
        <w:trPr>
          <w:trHeight w:val="225"/>
        </w:trPr>
        <w:tc>
          <w:tcPr>
            <w:tcW w:w="0" w:type="auto"/>
            <w:vMerge/>
            <w:tcBorders>
              <w:top w:val="single" w:sz="4" w:space="0" w:color="auto"/>
              <w:left w:val="nil"/>
              <w:bottom w:val="single" w:sz="4" w:space="0" w:color="000000"/>
              <w:right w:val="nil"/>
            </w:tcBorders>
            <w:vAlign w:val="center"/>
            <w:hideMark/>
          </w:tcPr>
          <w:p w14:paraId="158B02AA" w14:textId="77777777" w:rsidR="00CD0784" w:rsidRPr="00F90EE0" w:rsidRDefault="00CD0784" w:rsidP="006044F9">
            <w:pPr>
              <w:spacing w:line="240" w:lineRule="auto"/>
              <w:rPr>
                <w:rFonts w:eastAsia="Times New Roman" w:cs="Times New Roman"/>
                <w:b/>
                <w:bCs/>
                <w:color w:val="000000"/>
                <w:sz w:val="20"/>
                <w:szCs w:val="20"/>
                <w:lang w:val="nl-NL" w:eastAsia="zh-CN"/>
              </w:rPr>
            </w:pPr>
          </w:p>
        </w:tc>
        <w:tc>
          <w:tcPr>
            <w:tcW w:w="0" w:type="auto"/>
            <w:tcBorders>
              <w:top w:val="nil"/>
              <w:left w:val="nil"/>
              <w:bottom w:val="single" w:sz="4" w:space="0" w:color="auto"/>
              <w:right w:val="nil"/>
            </w:tcBorders>
            <w:shd w:val="clear" w:color="auto" w:fill="auto"/>
            <w:noWrap/>
            <w:vAlign w:val="center"/>
            <w:hideMark/>
          </w:tcPr>
          <w:p w14:paraId="10F1EFEE" w14:textId="77777777" w:rsidR="00CD0784" w:rsidRPr="00F90EE0" w:rsidRDefault="00CD0784" w:rsidP="006044F9">
            <w:pPr>
              <w:spacing w:line="240" w:lineRule="auto"/>
              <w:jc w:val="center"/>
              <w:rPr>
                <w:rFonts w:eastAsia="Times New Roman" w:cs="Times New Roman"/>
                <w:b/>
                <w:bCs/>
                <w:i/>
                <w:iCs/>
                <w:color w:val="000000"/>
                <w:sz w:val="20"/>
                <w:szCs w:val="20"/>
                <w:lang w:val="nl-NL" w:eastAsia="zh-CN"/>
              </w:rPr>
            </w:pPr>
            <w:r w:rsidRPr="00F90EE0">
              <w:rPr>
                <w:rFonts w:eastAsia="Times New Roman" w:cs="Times New Roman"/>
                <w:b/>
                <w:bCs/>
                <w:i/>
                <w:iCs/>
                <w:color w:val="000000"/>
                <w:sz w:val="20"/>
                <w:szCs w:val="20"/>
                <w:lang w:val="nl-NL" w:eastAsia="zh-CN"/>
              </w:rPr>
              <w:t>b</w:t>
            </w:r>
          </w:p>
        </w:tc>
        <w:tc>
          <w:tcPr>
            <w:tcW w:w="0" w:type="auto"/>
            <w:tcBorders>
              <w:top w:val="nil"/>
              <w:left w:val="nil"/>
              <w:bottom w:val="single" w:sz="4" w:space="0" w:color="auto"/>
              <w:right w:val="nil"/>
            </w:tcBorders>
            <w:shd w:val="clear" w:color="auto" w:fill="auto"/>
            <w:noWrap/>
            <w:vAlign w:val="center"/>
            <w:hideMark/>
          </w:tcPr>
          <w:p w14:paraId="2C8E4279" w14:textId="77777777" w:rsidR="00CD0784" w:rsidRPr="00F90EE0" w:rsidRDefault="00CD0784" w:rsidP="006044F9">
            <w:pPr>
              <w:spacing w:line="240" w:lineRule="auto"/>
              <w:jc w:val="center"/>
              <w:rPr>
                <w:rFonts w:eastAsia="Times New Roman" w:cs="Times New Roman"/>
                <w:b/>
                <w:bCs/>
                <w:i/>
                <w:iCs/>
                <w:color w:val="000000"/>
                <w:sz w:val="20"/>
                <w:szCs w:val="20"/>
                <w:lang w:val="nl-NL" w:eastAsia="zh-CN"/>
              </w:rPr>
            </w:pPr>
            <w:r w:rsidRPr="00F90EE0">
              <w:rPr>
                <w:rFonts w:eastAsia="Times New Roman" w:cs="Times New Roman"/>
                <w:b/>
                <w:bCs/>
                <w:i/>
                <w:iCs/>
                <w:color w:val="000000"/>
                <w:sz w:val="20"/>
                <w:szCs w:val="20"/>
                <w:lang w:val="nl-NL" w:eastAsia="zh-CN"/>
              </w:rPr>
              <w:t>SE</w:t>
            </w:r>
          </w:p>
        </w:tc>
        <w:tc>
          <w:tcPr>
            <w:tcW w:w="0" w:type="auto"/>
            <w:tcBorders>
              <w:top w:val="nil"/>
              <w:left w:val="nil"/>
              <w:bottom w:val="single" w:sz="4" w:space="0" w:color="auto"/>
              <w:right w:val="nil"/>
            </w:tcBorders>
            <w:shd w:val="clear" w:color="auto" w:fill="auto"/>
            <w:noWrap/>
            <w:vAlign w:val="center"/>
            <w:hideMark/>
          </w:tcPr>
          <w:p w14:paraId="6898DA98" w14:textId="77777777" w:rsidR="00CD0784" w:rsidRPr="00F90EE0" w:rsidRDefault="00CD0784" w:rsidP="006044F9">
            <w:pPr>
              <w:spacing w:line="240" w:lineRule="auto"/>
              <w:jc w:val="center"/>
              <w:rPr>
                <w:rFonts w:eastAsia="Times New Roman" w:cs="Times New Roman"/>
                <w:b/>
                <w:bCs/>
                <w:color w:val="000000"/>
                <w:sz w:val="20"/>
                <w:szCs w:val="20"/>
                <w:lang w:val="nl-NL" w:eastAsia="zh-CN"/>
              </w:rPr>
            </w:pPr>
            <w:r w:rsidRPr="00F90EE0">
              <w:rPr>
                <w:rFonts w:eastAsia="Times New Roman" w:cs="Times New Roman"/>
                <w:b/>
                <w:bCs/>
                <w:color w:val="000000"/>
                <w:sz w:val="20"/>
                <w:szCs w:val="20"/>
                <w:lang w:val="nl-NL" w:eastAsia="zh-CN"/>
              </w:rPr>
              <w:t xml:space="preserve">95% </w:t>
            </w:r>
            <w:r w:rsidRPr="00F90EE0">
              <w:rPr>
                <w:rFonts w:eastAsia="Times New Roman" w:cs="Times New Roman"/>
                <w:b/>
                <w:bCs/>
                <w:i/>
                <w:iCs/>
                <w:color w:val="000000"/>
                <w:sz w:val="20"/>
                <w:szCs w:val="20"/>
                <w:lang w:val="nl-NL" w:eastAsia="zh-CN"/>
              </w:rPr>
              <w:t>CI</w:t>
            </w:r>
          </w:p>
        </w:tc>
      </w:tr>
      <w:tr w:rsidR="00CD0784" w:rsidRPr="00F90EE0" w14:paraId="4FB9FFD9" w14:textId="77777777" w:rsidTr="00CD0784">
        <w:trPr>
          <w:trHeight w:val="225"/>
        </w:trPr>
        <w:tc>
          <w:tcPr>
            <w:tcW w:w="0" w:type="auto"/>
            <w:tcBorders>
              <w:top w:val="nil"/>
              <w:left w:val="nil"/>
              <w:bottom w:val="nil"/>
              <w:right w:val="nil"/>
            </w:tcBorders>
            <w:shd w:val="clear" w:color="auto" w:fill="auto"/>
            <w:noWrap/>
            <w:vAlign w:val="center"/>
            <w:hideMark/>
          </w:tcPr>
          <w:p w14:paraId="3B2073D4" w14:textId="77777777" w:rsidR="00CD0784" w:rsidRPr="00F90EE0" w:rsidRDefault="00CD0784" w:rsidP="006044F9">
            <w:pPr>
              <w:spacing w:line="240" w:lineRule="auto"/>
              <w:rPr>
                <w:rFonts w:eastAsia="Times New Roman" w:cs="Times New Roman"/>
                <w:i/>
                <w:iCs/>
                <w:color w:val="000000"/>
                <w:sz w:val="20"/>
                <w:szCs w:val="20"/>
                <w:lang w:val="nl-NL" w:eastAsia="zh-CN"/>
              </w:rPr>
            </w:pPr>
            <w:r w:rsidRPr="00F90EE0">
              <w:rPr>
                <w:rFonts w:eastAsia="Times New Roman" w:cs="Times New Roman"/>
                <w:i/>
                <w:iCs/>
                <w:color w:val="000000"/>
                <w:sz w:val="20"/>
                <w:szCs w:val="20"/>
                <w:lang w:val="nl-NL" w:eastAsia="zh-CN"/>
              </w:rPr>
              <w:t>Control variables</w:t>
            </w:r>
          </w:p>
        </w:tc>
        <w:tc>
          <w:tcPr>
            <w:tcW w:w="0" w:type="auto"/>
            <w:tcBorders>
              <w:top w:val="nil"/>
              <w:left w:val="nil"/>
              <w:bottom w:val="nil"/>
              <w:right w:val="nil"/>
            </w:tcBorders>
            <w:shd w:val="clear" w:color="auto" w:fill="auto"/>
            <w:noWrap/>
            <w:vAlign w:val="center"/>
            <w:hideMark/>
          </w:tcPr>
          <w:p w14:paraId="67085119" w14:textId="77777777" w:rsidR="00CD0784" w:rsidRPr="00F90EE0" w:rsidRDefault="00CD0784" w:rsidP="006044F9">
            <w:pPr>
              <w:spacing w:line="240" w:lineRule="auto"/>
              <w:rPr>
                <w:rFonts w:eastAsia="Times New Roman" w:cs="Times New Roman"/>
                <w:i/>
                <w:iCs/>
                <w:color w:val="000000"/>
                <w:sz w:val="20"/>
                <w:szCs w:val="20"/>
                <w:lang w:val="nl-NL" w:eastAsia="zh-CN"/>
              </w:rPr>
            </w:pPr>
          </w:p>
        </w:tc>
        <w:tc>
          <w:tcPr>
            <w:tcW w:w="0" w:type="auto"/>
            <w:tcBorders>
              <w:top w:val="nil"/>
              <w:left w:val="nil"/>
              <w:bottom w:val="nil"/>
              <w:right w:val="nil"/>
            </w:tcBorders>
            <w:shd w:val="clear" w:color="auto" w:fill="auto"/>
            <w:noWrap/>
            <w:vAlign w:val="center"/>
            <w:hideMark/>
          </w:tcPr>
          <w:p w14:paraId="451C180E" w14:textId="77777777" w:rsidR="00CD0784" w:rsidRPr="00F90EE0" w:rsidRDefault="00CD0784" w:rsidP="006044F9">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61D3A11C" w14:textId="77777777" w:rsidR="00CD0784" w:rsidRPr="00F90EE0" w:rsidRDefault="00CD0784" w:rsidP="006044F9">
            <w:pPr>
              <w:spacing w:line="240" w:lineRule="auto"/>
              <w:jc w:val="center"/>
              <w:rPr>
                <w:rFonts w:eastAsia="Times New Roman" w:cs="Times New Roman"/>
                <w:sz w:val="20"/>
                <w:szCs w:val="20"/>
                <w:lang w:val="nl-NL" w:eastAsia="zh-CN"/>
              </w:rPr>
            </w:pPr>
          </w:p>
        </w:tc>
      </w:tr>
      <w:tr w:rsidR="00CD0784" w:rsidRPr="00F90EE0" w14:paraId="31016484" w14:textId="77777777" w:rsidTr="00CD0784">
        <w:trPr>
          <w:trHeight w:val="225"/>
        </w:trPr>
        <w:tc>
          <w:tcPr>
            <w:tcW w:w="0" w:type="auto"/>
            <w:tcBorders>
              <w:top w:val="nil"/>
              <w:left w:val="nil"/>
              <w:bottom w:val="nil"/>
              <w:right w:val="nil"/>
            </w:tcBorders>
            <w:shd w:val="clear" w:color="auto" w:fill="auto"/>
            <w:noWrap/>
            <w:vAlign w:val="bottom"/>
            <w:hideMark/>
          </w:tcPr>
          <w:p w14:paraId="2D9901AC" w14:textId="77777777" w:rsidR="00CD0784" w:rsidRPr="00F90EE0" w:rsidRDefault="00CD0784" w:rsidP="006044F9">
            <w:pPr>
              <w:spacing w:line="240" w:lineRule="auto"/>
              <w:ind w:firstLineChars="200" w:firstLine="400"/>
              <w:rPr>
                <w:rFonts w:eastAsia="Times New Roman" w:cs="Times New Roman"/>
                <w:color w:val="000000"/>
                <w:sz w:val="20"/>
                <w:szCs w:val="20"/>
                <w:lang w:val="nl-NL" w:eastAsia="zh-CN"/>
              </w:rPr>
            </w:pPr>
            <w:proofErr w:type="spellStart"/>
            <w:r w:rsidRPr="00F90EE0">
              <w:rPr>
                <w:rFonts w:eastAsia="Times New Roman" w:cs="Times New Roman"/>
                <w:color w:val="000000"/>
                <w:sz w:val="20"/>
                <w:szCs w:val="20"/>
                <w:lang w:val="nl-NL" w:eastAsia="zh-CN"/>
              </w:rPr>
              <w:t>Choice</w:t>
            </w:r>
            <w:proofErr w:type="spellEnd"/>
            <w:r w:rsidRPr="00F90EE0">
              <w:rPr>
                <w:rFonts w:eastAsia="Times New Roman" w:cs="Times New Roman"/>
                <w:color w:val="000000"/>
                <w:sz w:val="20"/>
                <w:szCs w:val="20"/>
                <w:lang w:val="nl-NL" w:eastAsia="zh-CN"/>
              </w:rPr>
              <w:t xml:space="preserve"> type</w:t>
            </w:r>
          </w:p>
        </w:tc>
        <w:tc>
          <w:tcPr>
            <w:tcW w:w="0" w:type="auto"/>
            <w:tcBorders>
              <w:top w:val="nil"/>
              <w:left w:val="nil"/>
              <w:bottom w:val="nil"/>
              <w:right w:val="nil"/>
            </w:tcBorders>
            <w:shd w:val="clear" w:color="auto" w:fill="auto"/>
            <w:noWrap/>
            <w:vAlign w:val="center"/>
            <w:hideMark/>
          </w:tcPr>
          <w:p w14:paraId="61E1F528"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0.115*</w:t>
            </w:r>
          </w:p>
        </w:tc>
        <w:tc>
          <w:tcPr>
            <w:tcW w:w="0" w:type="auto"/>
            <w:tcBorders>
              <w:top w:val="nil"/>
              <w:left w:val="nil"/>
              <w:bottom w:val="nil"/>
              <w:right w:val="nil"/>
            </w:tcBorders>
            <w:shd w:val="clear" w:color="auto" w:fill="auto"/>
            <w:noWrap/>
            <w:vAlign w:val="center"/>
            <w:hideMark/>
          </w:tcPr>
          <w:p w14:paraId="3486D8EC"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0.042</w:t>
            </w:r>
          </w:p>
        </w:tc>
        <w:tc>
          <w:tcPr>
            <w:tcW w:w="0" w:type="auto"/>
            <w:tcBorders>
              <w:top w:val="nil"/>
              <w:left w:val="nil"/>
              <w:bottom w:val="nil"/>
              <w:right w:val="nil"/>
            </w:tcBorders>
            <w:shd w:val="clear" w:color="auto" w:fill="auto"/>
            <w:noWrap/>
            <w:vAlign w:val="center"/>
            <w:hideMark/>
          </w:tcPr>
          <w:p w14:paraId="343CA3F6"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[0.032, 0.198]</w:t>
            </w:r>
          </w:p>
        </w:tc>
      </w:tr>
      <w:tr w:rsidR="00CD0784" w:rsidRPr="00F90EE0" w14:paraId="64E2E82E" w14:textId="77777777" w:rsidTr="00CD0784">
        <w:trPr>
          <w:trHeight w:val="225"/>
        </w:trPr>
        <w:tc>
          <w:tcPr>
            <w:tcW w:w="0" w:type="auto"/>
            <w:tcBorders>
              <w:top w:val="nil"/>
              <w:left w:val="nil"/>
              <w:bottom w:val="nil"/>
              <w:right w:val="nil"/>
            </w:tcBorders>
            <w:shd w:val="clear" w:color="auto" w:fill="auto"/>
            <w:noWrap/>
            <w:vAlign w:val="bottom"/>
            <w:hideMark/>
          </w:tcPr>
          <w:p w14:paraId="1D79F199" w14:textId="77777777" w:rsidR="00CD0784" w:rsidRPr="00F90EE0" w:rsidRDefault="00CD0784" w:rsidP="006044F9">
            <w:pPr>
              <w:spacing w:line="240" w:lineRule="auto"/>
              <w:ind w:firstLineChars="200" w:firstLine="400"/>
              <w:rPr>
                <w:rFonts w:eastAsia="Times New Roman" w:cs="Times New Roman"/>
                <w:color w:val="000000"/>
                <w:sz w:val="20"/>
                <w:szCs w:val="20"/>
                <w:lang w:val="nl-NL" w:eastAsia="zh-CN"/>
              </w:rPr>
            </w:pPr>
            <w:proofErr w:type="spellStart"/>
            <w:r w:rsidRPr="00F90EE0">
              <w:rPr>
                <w:rFonts w:eastAsia="Times New Roman" w:cs="Times New Roman"/>
                <w:color w:val="000000"/>
                <w:sz w:val="20"/>
                <w:szCs w:val="20"/>
                <w:lang w:val="nl-NL" w:eastAsia="zh-CN"/>
              </w:rPr>
              <w:t>Experimental</w:t>
            </w:r>
            <w:proofErr w:type="spellEnd"/>
            <w:r w:rsidRPr="00F90EE0">
              <w:rPr>
                <w:rFonts w:eastAsia="Times New Roman" w:cs="Times New Roman"/>
                <w:color w:val="000000"/>
                <w:sz w:val="20"/>
                <w:szCs w:val="20"/>
                <w:lang w:val="nl-NL" w:eastAsia="zh-CN"/>
              </w:rPr>
              <w:t xml:space="preserve"> setting-online</w:t>
            </w:r>
          </w:p>
        </w:tc>
        <w:tc>
          <w:tcPr>
            <w:tcW w:w="0" w:type="auto"/>
            <w:tcBorders>
              <w:top w:val="nil"/>
              <w:left w:val="nil"/>
              <w:bottom w:val="nil"/>
              <w:right w:val="nil"/>
            </w:tcBorders>
            <w:shd w:val="clear" w:color="auto" w:fill="auto"/>
            <w:noWrap/>
            <w:vAlign w:val="center"/>
            <w:hideMark/>
          </w:tcPr>
          <w:p w14:paraId="6A3645A8"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0.144</w:t>
            </w:r>
          </w:p>
        </w:tc>
        <w:tc>
          <w:tcPr>
            <w:tcW w:w="0" w:type="auto"/>
            <w:tcBorders>
              <w:top w:val="nil"/>
              <w:left w:val="nil"/>
              <w:bottom w:val="nil"/>
              <w:right w:val="nil"/>
            </w:tcBorders>
            <w:shd w:val="clear" w:color="auto" w:fill="auto"/>
            <w:noWrap/>
            <w:vAlign w:val="center"/>
            <w:hideMark/>
          </w:tcPr>
          <w:p w14:paraId="3F1B3E62"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0.081</w:t>
            </w:r>
          </w:p>
        </w:tc>
        <w:tc>
          <w:tcPr>
            <w:tcW w:w="0" w:type="auto"/>
            <w:tcBorders>
              <w:top w:val="nil"/>
              <w:left w:val="nil"/>
              <w:bottom w:val="nil"/>
              <w:right w:val="nil"/>
            </w:tcBorders>
            <w:shd w:val="clear" w:color="auto" w:fill="auto"/>
            <w:noWrap/>
            <w:vAlign w:val="center"/>
            <w:hideMark/>
          </w:tcPr>
          <w:p w14:paraId="13351537"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[–0.014, 0.303]</w:t>
            </w:r>
          </w:p>
        </w:tc>
      </w:tr>
      <w:tr w:rsidR="00CD0784" w:rsidRPr="00F90EE0" w14:paraId="198305EF" w14:textId="77777777" w:rsidTr="00CD0784">
        <w:trPr>
          <w:trHeight w:val="225"/>
        </w:trPr>
        <w:tc>
          <w:tcPr>
            <w:tcW w:w="0" w:type="auto"/>
            <w:tcBorders>
              <w:top w:val="nil"/>
              <w:left w:val="nil"/>
              <w:bottom w:val="nil"/>
              <w:right w:val="nil"/>
            </w:tcBorders>
            <w:shd w:val="clear" w:color="auto" w:fill="auto"/>
            <w:noWrap/>
            <w:vAlign w:val="bottom"/>
            <w:hideMark/>
          </w:tcPr>
          <w:p w14:paraId="6FF21010" w14:textId="77777777" w:rsidR="00CD0784" w:rsidRPr="00F90EE0" w:rsidRDefault="00CD0784" w:rsidP="006044F9">
            <w:pPr>
              <w:spacing w:line="240" w:lineRule="auto"/>
              <w:ind w:firstLineChars="200" w:firstLine="400"/>
              <w:rPr>
                <w:rFonts w:eastAsia="Times New Roman" w:cs="Times New Roman"/>
                <w:color w:val="000000"/>
                <w:sz w:val="20"/>
                <w:szCs w:val="20"/>
                <w:lang w:val="nl-NL" w:eastAsia="zh-CN"/>
              </w:rPr>
            </w:pPr>
            <w:proofErr w:type="spellStart"/>
            <w:r w:rsidRPr="00F90EE0">
              <w:rPr>
                <w:rFonts w:eastAsia="Times New Roman" w:cs="Times New Roman"/>
                <w:color w:val="000000"/>
                <w:sz w:val="20"/>
                <w:szCs w:val="20"/>
                <w:lang w:val="nl-NL" w:eastAsia="zh-CN"/>
              </w:rPr>
              <w:t>Experimental</w:t>
            </w:r>
            <w:proofErr w:type="spellEnd"/>
            <w:r w:rsidRPr="00F90EE0">
              <w:rPr>
                <w:rFonts w:eastAsia="Times New Roman" w:cs="Times New Roman"/>
                <w:color w:val="000000"/>
                <w:sz w:val="20"/>
                <w:szCs w:val="20"/>
                <w:lang w:val="nl-NL" w:eastAsia="zh-CN"/>
              </w:rPr>
              <w:t xml:space="preserve"> setting-</w:t>
            </w:r>
            <w:proofErr w:type="spellStart"/>
            <w:r w:rsidRPr="00F90EE0">
              <w:rPr>
                <w:rFonts w:eastAsia="Times New Roman" w:cs="Times New Roman"/>
                <w:color w:val="000000"/>
                <w:sz w:val="20"/>
                <w:szCs w:val="20"/>
                <w:lang w:val="nl-NL" w:eastAsia="zh-CN"/>
              </w:rPr>
              <w:t>other</w:t>
            </w:r>
            <w:proofErr w:type="spellEnd"/>
          </w:p>
        </w:tc>
        <w:tc>
          <w:tcPr>
            <w:tcW w:w="0" w:type="auto"/>
            <w:tcBorders>
              <w:top w:val="nil"/>
              <w:left w:val="nil"/>
              <w:bottom w:val="nil"/>
              <w:right w:val="nil"/>
            </w:tcBorders>
            <w:shd w:val="clear" w:color="auto" w:fill="auto"/>
            <w:noWrap/>
            <w:vAlign w:val="center"/>
            <w:hideMark/>
          </w:tcPr>
          <w:p w14:paraId="345F3079"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0.136</w:t>
            </w:r>
          </w:p>
        </w:tc>
        <w:tc>
          <w:tcPr>
            <w:tcW w:w="0" w:type="auto"/>
            <w:tcBorders>
              <w:top w:val="nil"/>
              <w:left w:val="nil"/>
              <w:bottom w:val="nil"/>
              <w:right w:val="nil"/>
            </w:tcBorders>
            <w:shd w:val="clear" w:color="auto" w:fill="auto"/>
            <w:noWrap/>
            <w:vAlign w:val="center"/>
            <w:hideMark/>
          </w:tcPr>
          <w:p w14:paraId="42D352C5"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0.073</w:t>
            </w:r>
          </w:p>
        </w:tc>
        <w:tc>
          <w:tcPr>
            <w:tcW w:w="0" w:type="auto"/>
            <w:tcBorders>
              <w:top w:val="nil"/>
              <w:left w:val="nil"/>
              <w:bottom w:val="nil"/>
              <w:right w:val="nil"/>
            </w:tcBorders>
            <w:shd w:val="clear" w:color="auto" w:fill="auto"/>
            <w:noWrap/>
            <w:vAlign w:val="center"/>
            <w:hideMark/>
          </w:tcPr>
          <w:p w14:paraId="401B2DFA"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[–0.008, 0.279]</w:t>
            </w:r>
          </w:p>
        </w:tc>
      </w:tr>
      <w:tr w:rsidR="00CD0784" w:rsidRPr="00F90EE0" w14:paraId="58E42542" w14:textId="77777777" w:rsidTr="00CD0784">
        <w:trPr>
          <w:trHeight w:val="225"/>
        </w:trPr>
        <w:tc>
          <w:tcPr>
            <w:tcW w:w="0" w:type="auto"/>
            <w:tcBorders>
              <w:top w:val="nil"/>
              <w:left w:val="nil"/>
              <w:bottom w:val="nil"/>
              <w:right w:val="nil"/>
            </w:tcBorders>
            <w:shd w:val="clear" w:color="auto" w:fill="auto"/>
            <w:noWrap/>
            <w:vAlign w:val="bottom"/>
            <w:hideMark/>
          </w:tcPr>
          <w:p w14:paraId="4A80AC4D" w14:textId="77777777" w:rsidR="00CD0784" w:rsidRPr="00F90EE0" w:rsidRDefault="00CD0784" w:rsidP="006044F9">
            <w:pPr>
              <w:spacing w:line="240" w:lineRule="auto"/>
              <w:ind w:firstLineChars="200" w:firstLine="400"/>
              <w:rPr>
                <w:rFonts w:eastAsia="Times New Roman" w:cs="Times New Roman"/>
                <w:color w:val="000000"/>
                <w:sz w:val="20"/>
                <w:szCs w:val="20"/>
                <w:lang w:val="nl-NL" w:eastAsia="zh-CN"/>
              </w:rPr>
            </w:pPr>
            <w:proofErr w:type="spellStart"/>
            <w:r w:rsidRPr="00F90EE0">
              <w:rPr>
                <w:rFonts w:eastAsia="Times New Roman" w:cs="Times New Roman"/>
                <w:color w:val="000000"/>
                <w:sz w:val="20"/>
                <w:szCs w:val="20"/>
                <w:lang w:val="nl-NL" w:eastAsia="zh-CN"/>
              </w:rPr>
              <w:t>Year</w:t>
            </w:r>
            <w:proofErr w:type="spellEnd"/>
            <w:r w:rsidRPr="00F90EE0">
              <w:rPr>
                <w:rFonts w:eastAsia="Times New Roman" w:cs="Times New Roman"/>
                <w:color w:val="000000"/>
                <w:sz w:val="20"/>
                <w:szCs w:val="20"/>
                <w:lang w:val="nl-NL" w:eastAsia="zh-CN"/>
              </w:rPr>
              <w:t xml:space="preserve"> of data </w:t>
            </w:r>
            <w:proofErr w:type="spellStart"/>
            <w:r w:rsidRPr="00F90EE0">
              <w:rPr>
                <w:rFonts w:eastAsia="Times New Roman" w:cs="Times New Roman"/>
                <w:color w:val="000000"/>
                <w:sz w:val="20"/>
                <w:szCs w:val="20"/>
                <w:lang w:val="nl-NL" w:eastAsia="zh-CN"/>
              </w:rPr>
              <w:t>collection</w:t>
            </w:r>
            <w:proofErr w:type="spellEnd"/>
          </w:p>
        </w:tc>
        <w:tc>
          <w:tcPr>
            <w:tcW w:w="0" w:type="auto"/>
            <w:tcBorders>
              <w:top w:val="nil"/>
              <w:left w:val="nil"/>
              <w:bottom w:val="nil"/>
              <w:right w:val="nil"/>
            </w:tcBorders>
            <w:shd w:val="clear" w:color="auto" w:fill="auto"/>
            <w:noWrap/>
            <w:vAlign w:val="center"/>
            <w:hideMark/>
          </w:tcPr>
          <w:p w14:paraId="455EE0A3"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0.006*</w:t>
            </w:r>
          </w:p>
        </w:tc>
        <w:tc>
          <w:tcPr>
            <w:tcW w:w="0" w:type="auto"/>
            <w:tcBorders>
              <w:top w:val="nil"/>
              <w:left w:val="nil"/>
              <w:bottom w:val="nil"/>
              <w:right w:val="nil"/>
            </w:tcBorders>
            <w:shd w:val="clear" w:color="auto" w:fill="auto"/>
            <w:noWrap/>
            <w:vAlign w:val="center"/>
            <w:hideMark/>
          </w:tcPr>
          <w:p w14:paraId="63DC9ECF"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0.002</w:t>
            </w:r>
          </w:p>
        </w:tc>
        <w:tc>
          <w:tcPr>
            <w:tcW w:w="0" w:type="auto"/>
            <w:tcBorders>
              <w:top w:val="nil"/>
              <w:left w:val="nil"/>
              <w:bottom w:val="nil"/>
              <w:right w:val="nil"/>
            </w:tcBorders>
            <w:shd w:val="clear" w:color="auto" w:fill="auto"/>
            <w:noWrap/>
            <w:vAlign w:val="center"/>
            <w:hideMark/>
          </w:tcPr>
          <w:p w14:paraId="21C563FC"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[0.003, 0.009]</w:t>
            </w:r>
          </w:p>
        </w:tc>
      </w:tr>
      <w:tr w:rsidR="00CD0784" w:rsidRPr="00F90EE0" w14:paraId="16B3AAEF" w14:textId="77777777" w:rsidTr="00CD0784">
        <w:trPr>
          <w:trHeight w:val="225"/>
        </w:trPr>
        <w:tc>
          <w:tcPr>
            <w:tcW w:w="0" w:type="auto"/>
            <w:tcBorders>
              <w:top w:val="nil"/>
              <w:left w:val="nil"/>
              <w:bottom w:val="nil"/>
              <w:right w:val="nil"/>
            </w:tcBorders>
            <w:shd w:val="clear" w:color="auto" w:fill="auto"/>
            <w:noWrap/>
            <w:vAlign w:val="bottom"/>
            <w:hideMark/>
          </w:tcPr>
          <w:p w14:paraId="4376279F" w14:textId="77777777" w:rsidR="00CD0784" w:rsidRPr="00F90EE0" w:rsidRDefault="00CD0784" w:rsidP="006044F9">
            <w:pPr>
              <w:spacing w:line="240" w:lineRule="auto"/>
              <w:rPr>
                <w:rFonts w:eastAsia="Times New Roman" w:cs="Times New Roman"/>
                <w:i/>
                <w:iCs/>
                <w:color w:val="000000"/>
                <w:sz w:val="20"/>
                <w:szCs w:val="20"/>
                <w:lang w:val="nl-NL" w:eastAsia="zh-CN"/>
              </w:rPr>
            </w:pPr>
            <w:r w:rsidRPr="00F90EE0">
              <w:rPr>
                <w:rFonts w:eastAsia="Times New Roman" w:cs="Times New Roman"/>
                <w:i/>
                <w:iCs/>
                <w:color w:val="000000"/>
                <w:sz w:val="20"/>
                <w:szCs w:val="20"/>
                <w:lang w:val="nl-NL" w:eastAsia="zh-CN"/>
              </w:rPr>
              <w:t>Sample variables</w:t>
            </w:r>
          </w:p>
        </w:tc>
        <w:tc>
          <w:tcPr>
            <w:tcW w:w="0" w:type="auto"/>
            <w:tcBorders>
              <w:top w:val="nil"/>
              <w:left w:val="nil"/>
              <w:bottom w:val="nil"/>
              <w:right w:val="nil"/>
            </w:tcBorders>
            <w:shd w:val="clear" w:color="auto" w:fill="auto"/>
            <w:noWrap/>
            <w:vAlign w:val="center"/>
            <w:hideMark/>
          </w:tcPr>
          <w:p w14:paraId="26DAE604" w14:textId="77777777" w:rsidR="00CD0784" w:rsidRPr="00F90EE0" w:rsidRDefault="00CD0784" w:rsidP="006044F9">
            <w:pPr>
              <w:spacing w:line="240" w:lineRule="auto"/>
              <w:rPr>
                <w:rFonts w:eastAsia="Times New Roman" w:cs="Times New Roman"/>
                <w:i/>
                <w:iCs/>
                <w:color w:val="000000"/>
                <w:sz w:val="20"/>
                <w:szCs w:val="20"/>
                <w:lang w:val="nl-NL" w:eastAsia="zh-CN"/>
              </w:rPr>
            </w:pPr>
          </w:p>
        </w:tc>
        <w:tc>
          <w:tcPr>
            <w:tcW w:w="0" w:type="auto"/>
            <w:tcBorders>
              <w:top w:val="nil"/>
              <w:left w:val="nil"/>
              <w:bottom w:val="nil"/>
              <w:right w:val="nil"/>
            </w:tcBorders>
            <w:shd w:val="clear" w:color="auto" w:fill="auto"/>
            <w:noWrap/>
            <w:vAlign w:val="center"/>
            <w:hideMark/>
          </w:tcPr>
          <w:p w14:paraId="36B6E678" w14:textId="77777777" w:rsidR="00CD0784" w:rsidRPr="00F90EE0" w:rsidRDefault="00CD0784" w:rsidP="006044F9">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21B45A38" w14:textId="77777777" w:rsidR="00CD0784" w:rsidRPr="00F90EE0" w:rsidRDefault="00CD0784" w:rsidP="006044F9">
            <w:pPr>
              <w:spacing w:line="240" w:lineRule="auto"/>
              <w:jc w:val="center"/>
              <w:rPr>
                <w:rFonts w:eastAsia="Times New Roman" w:cs="Times New Roman"/>
                <w:sz w:val="20"/>
                <w:szCs w:val="20"/>
                <w:lang w:val="nl-NL" w:eastAsia="zh-CN"/>
              </w:rPr>
            </w:pPr>
          </w:p>
        </w:tc>
      </w:tr>
      <w:tr w:rsidR="00CD0784" w:rsidRPr="00F90EE0" w14:paraId="0853D037" w14:textId="77777777" w:rsidTr="00CD0784">
        <w:trPr>
          <w:trHeight w:val="225"/>
        </w:trPr>
        <w:tc>
          <w:tcPr>
            <w:tcW w:w="0" w:type="auto"/>
            <w:tcBorders>
              <w:top w:val="nil"/>
              <w:left w:val="nil"/>
              <w:bottom w:val="nil"/>
              <w:right w:val="nil"/>
            </w:tcBorders>
            <w:shd w:val="clear" w:color="auto" w:fill="auto"/>
            <w:noWrap/>
            <w:vAlign w:val="bottom"/>
            <w:hideMark/>
          </w:tcPr>
          <w:p w14:paraId="05B16147" w14:textId="77777777" w:rsidR="00CD0784" w:rsidRPr="00F90EE0" w:rsidRDefault="00CD0784" w:rsidP="006044F9">
            <w:pPr>
              <w:spacing w:line="240" w:lineRule="auto"/>
              <w:ind w:firstLineChars="200" w:firstLine="400"/>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Age (</w:t>
            </w:r>
            <w:proofErr w:type="spellStart"/>
            <w:r w:rsidRPr="00F90EE0">
              <w:rPr>
                <w:rFonts w:eastAsia="Times New Roman" w:cs="Times New Roman"/>
                <w:color w:val="000000"/>
                <w:sz w:val="20"/>
                <w:szCs w:val="20"/>
                <w:lang w:val="nl-NL" w:eastAsia="zh-CN"/>
              </w:rPr>
              <w:t>Mean</w:t>
            </w:r>
            <w:proofErr w:type="spellEnd"/>
            <w:r w:rsidRPr="00F90EE0">
              <w:rPr>
                <w:rFonts w:eastAsia="Times New Roman" w:cs="Times New Roman"/>
                <w:color w:val="000000"/>
                <w:sz w:val="20"/>
                <w:szCs w:val="20"/>
                <w:lang w:val="nl-NL" w:eastAsia="zh-CN"/>
              </w:rPr>
              <w:t>)</w:t>
            </w:r>
          </w:p>
        </w:tc>
        <w:tc>
          <w:tcPr>
            <w:tcW w:w="0" w:type="auto"/>
            <w:tcBorders>
              <w:top w:val="nil"/>
              <w:left w:val="nil"/>
              <w:bottom w:val="nil"/>
              <w:right w:val="nil"/>
            </w:tcBorders>
            <w:shd w:val="clear" w:color="auto" w:fill="auto"/>
            <w:noWrap/>
            <w:vAlign w:val="center"/>
            <w:hideMark/>
          </w:tcPr>
          <w:p w14:paraId="00ED9B17"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–0.004</w:t>
            </w:r>
          </w:p>
        </w:tc>
        <w:tc>
          <w:tcPr>
            <w:tcW w:w="0" w:type="auto"/>
            <w:tcBorders>
              <w:top w:val="nil"/>
              <w:left w:val="nil"/>
              <w:bottom w:val="nil"/>
              <w:right w:val="nil"/>
            </w:tcBorders>
            <w:shd w:val="clear" w:color="auto" w:fill="auto"/>
            <w:noWrap/>
            <w:vAlign w:val="center"/>
            <w:hideMark/>
          </w:tcPr>
          <w:p w14:paraId="366380F8"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0.003</w:t>
            </w:r>
          </w:p>
        </w:tc>
        <w:tc>
          <w:tcPr>
            <w:tcW w:w="0" w:type="auto"/>
            <w:tcBorders>
              <w:top w:val="nil"/>
              <w:left w:val="nil"/>
              <w:bottom w:val="nil"/>
              <w:right w:val="nil"/>
            </w:tcBorders>
            <w:shd w:val="clear" w:color="auto" w:fill="auto"/>
            <w:noWrap/>
            <w:vAlign w:val="center"/>
            <w:hideMark/>
          </w:tcPr>
          <w:p w14:paraId="22578C1A"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[–0.011, 0.003]</w:t>
            </w:r>
          </w:p>
        </w:tc>
      </w:tr>
      <w:tr w:rsidR="00CD0784" w:rsidRPr="00F90EE0" w14:paraId="145F27E0" w14:textId="77777777" w:rsidTr="00CD0784">
        <w:trPr>
          <w:trHeight w:val="225"/>
        </w:trPr>
        <w:tc>
          <w:tcPr>
            <w:tcW w:w="0" w:type="auto"/>
            <w:tcBorders>
              <w:top w:val="nil"/>
              <w:left w:val="nil"/>
              <w:bottom w:val="nil"/>
              <w:right w:val="nil"/>
            </w:tcBorders>
            <w:shd w:val="clear" w:color="auto" w:fill="auto"/>
            <w:noWrap/>
            <w:vAlign w:val="bottom"/>
            <w:hideMark/>
          </w:tcPr>
          <w:p w14:paraId="12679145" w14:textId="77777777" w:rsidR="00CD0784" w:rsidRPr="00F90EE0" w:rsidRDefault="00CD0784" w:rsidP="006044F9">
            <w:pPr>
              <w:spacing w:line="240" w:lineRule="auto"/>
              <w:ind w:firstLineChars="200" w:firstLine="400"/>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Discipline-</w:t>
            </w:r>
            <w:proofErr w:type="spellStart"/>
            <w:r w:rsidRPr="00F90EE0">
              <w:rPr>
                <w:rFonts w:eastAsia="Times New Roman" w:cs="Times New Roman"/>
                <w:color w:val="000000"/>
                <w:sz w:val="20"/>
                <w:szCs w:val="20"/>
                <w:lang w:val="nl-NL" w:eastAsia="zh-CN"/>
              </w:rPr>
              <w:t>psychology</w:t>
            </w:r>
            <w:proofErr w:type="spellEnd"/>
          </w:p>
        </w:tc>
        <w:tc>
          <w:tcPr>
            <w:tcW w:w="0" w:type="auto"/>
            <w:tcBorders>
              <w:top w:val="nil"/>
              <w:left w:val="nil"/>
              <w:bottom w:val="nil"/>
              <w:right w:val="nil"/>
            </w:tcBorders>
            <w:shd w:val="clear" w:color="auto" w:fill="auto"/>
            <w:noWrap/>
            <w:vAlign w:val="center"/>
            <w:hideMark/>
          </w:tcPr>
          <w:p w14:paraId="2A3CBBE4"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0.091</w:t>
            </w:r>
          </w:p>
        </w:tc>
        <w:tc>
          <w:tcPr>
            <w:tcW w:w="0" w:type="auto"/>
            <w:tcBorders>
              <w:top w:val="nil"/>
              <w:left w:val="nil"/>
              <w:bottom w:val="nil"/>
              <w:right w:val="nil"/>
            </w:tcBorders>
            <w:shd w:val="clear" w:color="auto" w:fill="auto"/>
            <w:noWrap/>
            <w:vAlign w:val="center"/>
            <w:hideMark/>
          </w:tcPr>
          <w:p w14:paraId="7700D9AA"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0.068</w:t>
            </w:r>
          </w:p>
        </w:tc>
        <w:tc>
          <w:tcPr>
            <w:tcW w:w="0" w:type="auto"/>
            <w:tcBorders>
              <w:top w:val="nil"/>
              <w:left w:val="nil"/>
              <w:bottom w:val="nil"/>
              <w:right w:val="nil"/>
            </w:tcBorders>
            <w:shd w:val="clear" w:color="auto" w:fill="auto"/>
            <w:noWrap/>
            <w:vAlign w:val="center"/>
            <w:hideMark/>
          </w:tcPr>
          <w:p w14:paraId="76AB45AA"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[–0.043, 0.226]</w:t>
            </w:r>
          </w:p>
        </w:tc>
      </w:tr>
      <w:tr w:rsidR="00CD0784" w:rsidRPr="00F90EE0" w14:paraId="65C003FB" w14:textId="77777777" w:rsidTr="00CD0784">
        <w:trPr>
          <w:trHeight w:val="225"/>
        </w:trPr>
        <w:tc>
          <w:tcPr>
            <w:tcW w:w="0" w:type="auto"/>
            <w:tcBorders>
              <w:top w:val="nil"/>
              <w:left w:val="nil"/>
              <w:bottom w:val="nil"/>
              <w:right w:val="nil"/>
            </w:tcBorders>
            <w:shd w:val="clear" w:color="auto" w:fill="auto"/>
            <w:noWrap/>
            <w:vAlign w:val="bottom"/>
            <w:hideMark/>
          </w:tcPr>
          <w:p w14:paraId="218975FF" w14:textId="77777777" w:rsidR="00CD0784" w:rsidRPr="00F90EE0" w:rsidRDefault="00CD0784" w:rsidP="006044F9">
            <w:pPr>
              <w:spacing w:line="240" w:lineRule="auto"/>
              <w:ind w:firstLineChars="200" w:firstLine="400"/>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Discipline-</w:t>
            </w:r>
            <w:proofErr w:type="spellStart"/>
            <w:r w:rsidRPr="00F90EE0">
              <w:rPr>
                <w:rFonts w:eastAsia="Times New Roman" w:cs="Times New Roman"/>
                <w:color w:val="000000"/>
                <w:sz w:val="20"/>
                <w:szCs w:val="20"/>
                <w:lang w:val="nl-NL" w:eastAsia="zh-CN"/>
              </w:rPr>
              <w:t>other</w:t>
            </w:r>
            <w:proofErr w:type="spellEnd"/>
          </w:p>
        </w:tc>
        <w:tc>
          <w:tcPr>
            <w:tcW w:w="0" w:type="auto"/>
            <w:tcBorders>
              <w:top w:val="nil"/>
              <w:left w:val="nil"/>
              <w:bottom w:val="nil"/>
              <w:right w:val="nil"/>
            </w:tcBorders>
            <w:shd w:val="clear" w:color="auto" w:fill="auto"/>
            <w:noWrap/>
            <w:vAlign w:val="center"/>
            <w:hideMark/>
          </w:tcPr>
          <w:p w14:paraId="31808543"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0.015</w:t>
            </w:r>
          </w:p>
        </w:tc>
        <w:tc>
          <w:tcPr>
            <w:tcW w:w="0" w:type="auto"/>
            <w:tcBorders>
              <w:top w:val="nil"/>
              <w:left w:val="nil"/>
              <w:bottom w:val="nil"/>
              <w:right w:val="nil"/>
            </w:tcBorders>
            <w:shd w:val="clear" w:color="auto" w:fill="auto"/>
            <w:noWrap/>
            <w:vAlign w:val="center"/>
            <w:hideMark/>
          </w:tcPr>
          <w:p w14:paraId="2A853C13"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0.059</w:t>
            </w:r>
          </w:p>
        </w:tc>
        <w:tc>
          <w:tcPr>
            <w:tcW w:w="0" w:type="auto"/>
            <w:tcBorders>
              <w:top w:val="nil"/>
              <w:left w:val="nil"/>
              <w:bottom w:val="nil"/>
              <w:right w:val="nil"/>
            </w:tcBorders>
            <w:shd w:val="clear" w:color="auto" w:fill="auto"/>
            <w:noWrap/>
            <w:vAlign w:val="center"/>
            <w:hideMark/>
          </w:tcPr>
          <w:p w14:paraId="545E6B7C"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[–0.102, 0.131]</w:t>
            </w:r>
          </w:p>
        </w:tc>
      </w:tr>
      <w:tr w:rsidR="00CD0784" w:rsidRPr="00F90EE0" w14:paraId="1F48654B" w14:textId="77777777" w:rsidTr="00CD0784">
        <w:trPr>
          <w:trHeight w:val="225"/>
        </w:trPr>
        <w:tc>
          <w:tcPr>
            <w:tcW w:w="0" w:type="auto"/>
            <w:tcBorders>
              <w:top w:val="nil"/>
              <w:left w:val="nil"/>
              <w:bottom w:val="nil"/>
              <w:right w:val="nil"/>
            </w:tcBorders>
            <w:shd w:val="clear" w:color="auto" w:fill="auto"/>
            <w:noWrap/>
            <w:vAlign w:val="bottom"/>
            <w:hideMark/>
          </w:tcPr>
          <w:p w14:paraId="1265A7F3" w14:textId="77777777" w:rsidR="00CD0784" w:rsidRPr="00F90EE0" w:rsidRDefault="00CD0784" w:rsidP="006044F9">
            <w:pPr>
              <w:spacing w:line="240" w:lineRule="auto"/>
              <w:ind w:firstLineChars="200" w:firstLine="400"/>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Discipline-non-student sample</w:t>
            </w:r>
          </w:p>
        </w:tc>
        <w:tc>
          <w:tcPr>
            <w:tcW w:w="0" w:type="auto"/>
            <w:tcBorders>
              <w:top w:val="nil"/>
              <w:left w:val="nil"/>
              <w:bottom w:val="nil"/>
              <w:right w:val="nil"/>
            </w:tcBorders>
            <w:shd w:val="clear" w:color="auto" w:fill="auto"/>
            <w:noWrap/>
            <w:vAlign w:val="center"/>
            <w:hideMark/>
          </w:tcPr>
          <w:p w14:paraId="60E8E11A"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0.069</w:t>
            </w:r>
          </w:p>
        </w:tc>
        <w:tc>
          <w:tcPr>
            <w:tcW w:w="0" w:type="auto"/>
            <w:tcBorders>
              <w:top w:val="nil"/>
              <w:left w:val="nil"/>
              <w:bottom w:val="nil"/>
              <w:right w:val="nil"/>
            </w:tcBorders>
            <w:shd w:val="clear" w:color="auto" w:fill="auto"/>
            <w:noWrap/>
            <w:vAlign w:val="center"/>
            <w:hideMark/>
          </w:tcPr>
          <w:p w14:paraId="61109BC1"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0.071</w:t>
            </w:r>
          </w:p>
        </w:tc>
        <w:tc>
          <w:tcPr>
            <w:tcW w:w="0" w:type="auto"/>
            <w:tcBorders>
              <w:top w:val="nil"/>
              <w:left w:val="nil"/>
              <w:bottom w:val="nil"/>
              <w:right w:val="nil"/>
            </w:tcBorders>
            <w:shd w:val="clear" w:color="auto" w:fill="auto"/>
            <w:noWrap/>
            <w:vAlign w:val="center"/>
            <w:hideMark/>
          </w:tcPr>
          <w:p w14:paraId="553417E0"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[–0.071, 0.209]</w:t>
            </w:r>
          </w:p>
        </w:tc>
      </w:tr>
      <w:tr w:rsidR="00CD0784" w:rsidRPr="00F90EE0" w14:paraId="1FD5E383" w14:textId="77777777" w:rsidTr="00CD0784">
        <w:trPr>
          <w:trHeight w:val="225"/>
        </w:trPr>
        <w:tc>
          <w:tcPr>
            <w:tcW w:w="0" w:type="auto"/>
            <w:tcBorders>
              <w:top w:val="nil"/>
              <w:left w:val="nil"/>
              <w:bottom w:val="nil"/>
              <w:right w:val="nil"/>
            </w:tcBorders>
            <w:shd w:val="clear" w:color="auto" w:fill="auto"/>
            <w:noWrap/>
            <w:vAlign w:val="center"/>
            <w:hideMark/>
          </w:tcPr>
          <w:p w14:paraId="3762BC3F" w14:textId="77777777" w:rsidR="00CD0784" w:rsidRPr="00F90EE0" w:rsidRDefault="00CD0784" w:rsidP="006044F9">
            <w:pPr>
              <w:spacing w:line="240" w:lineRule="auto"/>
              <w:ind w:firstLineChars="200" w:firstLine="400"/>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Gender (Male %)</w:t>
            </w:r>
          </w:p>
        </w:tc>
        <w:tc>
          <w:tcPr>
            <w:tcW w:w="0" w:type="auto"/>
            <w:tcBorders>
              <w:top w:val="nil"/>
              <w:left w:val="nil"/>
              <w:bottom w:val="nil"/>
              <w:right w:val="nil"/>
            </w:tcBorders>
            <w:shd w:val="clear" w:color="auto" w:fill="auto"/>
            <w:noWrap/>
            <w:vAlign w:val="center"/>
            <w:hideMark/>
          </w:tcPr>
          <w:p w14:paraId="61DC9A19"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–0.108</w:t>
            </w:r>
          </w:p>
        </w:tc>
        <w:tc>
          <w:tcPr>
            <w:tcW w:w="0" w:type="auto"/>
            <w:tcBorders>
              <w:top w:val="nil"/>
              <w:left w:val="nil"/>
              <w:bottom w:val="nil"/>
              <w:right w:val="nil"/>
            </w:tcBorders>
            <w:shd w:val="clear" w:color="auto" w:fill="auto"/>
            <w:noWrap/>
            <w:vAlign w:val="center"/>
            <w:hideMark/>
          </w:tcPr>
          <w:p w14:paraId="6710896C"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0.065</w:t>
            </w:r>
          </w:p>
        </w:tc>
        <w:tc>
          <w:tcPr>
            <w:tcW w:w="0" w:type="auto"/>
            <w:tcBorders>
              <w:top w:val="nil"/>
              <w:left w:val="nil"/>
              <w:bottom w:val="nil"/>
              <w:right w:val="nil"/>
            </w:tcBorders>
            <w:shd w:val="clear" w:color="auto" w:fill="auto"/>
            <w:noWrap/>
            <w:vAlign w:val="center"/>
            <w:hideMark/>
          </w:tcPr>
          <w:p w14:paraId="0074D3FF"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[–0.235, 0.019]</w:t>
            </w:r>
          </w:p>
        </w:tc>
      </w:tr>
      <w:tr w:rsidR="00CD0784" w:rsidRPr="00F90EE0" w14:paraId="0B95672D" w14:textId="77777777" w:rsidTr="00CD0784">
        <w:trPr>
          <w:trHeight w:val="225"/>
        </w:trPr>
        <w:tc>
          <w:tcPr>
            <w:tcW w:w="0" w:type="auto"/>
            <w:tcBorders>
              <w:top w:val="nil"/>
              <w:left w:val="nil"/>
              <w:bottom w:val="nil"/>
              <w:right w:val="nil"/>
            </w:tcBorders>
            <w:shd w:val="clear" w:color="auto" w:fill="auto"/>
            <w:noWrap/>
            <w:vAlign w:val="center"/>
            <w:hideMark/>
          </w:tcPr>
          <w:p w14:paraId="6B85D461" w14:textId="77777777" w:rsidR="00CD0784" w:rsidRPr="00F90EE0" w:rsidRDefault="00CD0784" w:rsidP="006044F9">
            <w:pPr>
              <w:spacing w:line="240" w:lineRule="auto"/>
              <w:rPr>
                <w:rFonts w:eastAsia="Times New Roman" w:cs="Times New Roman"/>
                <w:i/>
                <w:iCs/>
                <w:color w:val="000000"/>
                <w:sz w:val="20"/>
                <w:szCs w:val="20"/>
                <w:lang w:val="nl-NL" w:eastAsia="zh-CN"/>
              </w:rPr>
            </w:pPr>
            <w:proofErr w:type="spellStart"/>
            <w:r w:rsidRPr="00F90EE0">
              <w:rPr>
                <w:rFonts w:eastAsia="Times New Roman" w:cs="Times New Roman"/>
                <w:i/>
                <w:iCs/>
                <w:color w:val="000000"/>
                <w:sz w:val="20"/>
                <w:szCs w:val="20"/>
                <w:lang w:val="nl-NL" w:eastAsia="zh-CN"/>
              </w:rPr>
              <w:t>Structural</w:t>
            </w:r>
            <w:proofErr w:type="spellEnd"/>
            <w:r w:rsidRPr="00F90EE0">
              <w:rPr>
                <w:rFonts w:eastAsia="Times New Roman" w:cs="Times New Roman"/>
                <w:i/>
                <w:iCs/>
                <w:color w:val="000000"/>
                <w:sz w:val="20"/>
                <w:szCs w:val="20"/>
                <w:lang w:val="nl-NL" w:eastAsia="zh-CN"/>
              </w:rPr>
              <w:t xml:space="preserve"> variables</w:t>
            </w:r>
          </w:p>
        </w:tc>
        <w:tc>
          <w:tcPr>
            <w:tcW w:w="0" w:type="auto"/>
            <w:tcBorders>
              <w:top w:val="nil"/>
              <w:left w:val="nil"/>
              <w:bottom w:val="nil"/>
              <w:right w:val="nil"/>
            </w:tcBorders>
            <w:shd w:val="clear" w:color="auto" w:fill="auto"/>
            <w:noWrap/>
            <w:vAlign w:val="center"/>
            <w:hideMark/>
          </w:tcPr>
          <w:p w14:paraId="08318B7F" w14:textId="77777777" w:rsidR="00CD0784" w:rsidRPr="00F90EE0" w:rsidRDefault="00CD0784" w:rsidP="006044F9">
            <w:pPr>
              <w:spacing w:line="240" w:lineRule="auto"/>
              <w:rPr>
                <w:rFonts w:eastAsia="Times New Roman" w:cs="Times New Roman"/>
                <w:i/>
                <w:iCs/>
                <w:color w:val="000000"/>
                <w:sz w:val="20"/>
                <w:szCs w:val="20"/>
                <w:lang w:val="nl-NL" w:eastAsia="zh-CN"/>
              </w:rPr>
            </w:pPr>
          </w:p>
        </w:tc>
        <w:tc>
          <w:tcPr>
            <w:tcW w:w="0" w:type="auto"/>
            <w:tcBorders>
              <w:top w:val="nil"/>
              <w:left w:val="nil"/>
              <w:bottom w:val="nil"/>
              <w:right w:val="nil"/>
            </w:tcBorders>
            <w:shd w:val="clear" w:color="auto" w:fill="auto"/>
            <w:noWrap/>
            <w:vAlign w:val="center"/>
            <w:hideMark/>
          </w:tcPr>
          <w:p w14:paraId="6FC13D28" w14:textId="77777777" w:rsidR="00CD0784" w:rsidRPr="00F90EE0" w:rsidRDefault="00CD0784" w:rsidP="006044F9">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6354264F" w14:textId="77777777" w:rsidR="00CD0784" w:rsidRPr="00F90EE0" w:rsidRDefault="00CD0784" w:rsidP="006044F9">
            <w:pPr>
              <w:spacing w:line="240" w:lineRule="auto"/>
              <w:jc w:val="center"/>
              <w:rPr>
                <w:rFonts w:eastAsia="Times New Roman" w:cs="Times New Roman"/>
                <w:sz w:val="20"/>
                <w:szCs w:val="20"/>
                <w:lang w:val="nl-NL" w:eastAsia="zh-CN"/>
              </w:rPr>
            </w:pPr>
          </w:p>
        </w:tc>
      </w:tr>
      <w:tr w:rsidR="00CD0784" w:rsidRPr="00F90EE0" w14:paraId="09ECE3AF" w14:textId="77777777" w:rsidTr="00CD0784">
        <w:trPr>
          <w:trHeight w:val="225"/>
        </w:trPr>
        <w:tc>
          <w:tcPr>
            <w:tcW w:w="0" w:type="auto"/>
            <w:tcBorders>
              <w:top w:val="nil"/>
              <w:left w:val="nil"/>
              <w:bottom w:val="nil"/>
              <w:right w:val="nil"/>
            </w:tcBorders>
            <w:shd w:val="clear" w:color="auto" w:fill="auto"/>
            <w:noWrap/>
            <w:vAlign w:val="bottom"/>
            <w:hideMark/>
          </w:tcPr>
          <w:p w14:paraId="7DA3D6D3" w14:textId="77777777" w:rsidR="00CD0784" w:rsidRPr="00F90EE0" w:rsidRDefault="00CD0784" w:rsidP="006044F9">
            <w:pPr>
              <w:spacing w:line="240" w:lineRule="auto"/>
              <w:ind w:firstLineChars="200" w:firstLine="400"/>
              <w:rPr>
                <w:rFonts w:eastAsia="Times New Roman" w:cs="Times New Roman"/>
                <w:color w:val="000000"/>
                <w:sz w:val="20"/>
                <w:szCs w:val="20"/>
                <w:lang w:eastAsia="zh-CN"/>
              </w:rPr>
            </w:pPr>
            <w:r w:rsidRPr="00F90EE0">
              <w:rPr>
                <w:rFonts w:eastAsia="Times New Roman" w:cs="Times New Roman"/>
                <w:color w:val="000000"/>
                <w:sz w:val="20"/>
                <w:szCs w:val="20"/>
                <w:lang w:eastAsia="zh-CN"/>
              </w:rPr>
              <w:t>Conflict of interests (K index)</w:t>
            </w:r>
          </w:p>
        </w:tc>
        <w:tc>
          <w:tcPr>
            <w:tcW w:w="0" w:type="auto"/>
            <w:tcBorders>
              <w:top w:val="nil"/>
              <w:left w:val="nil"/>
              <w:bottom w:val="nil"/>
              <w:right w:val="nil"/>
            </w:tcBorders>
            <w:shd w:val="clear" w:color="auto" w:fill="auto"/>
            <w:noWrap/>
            <w:vAlign w:val="center"/>
            <w:hideMark/>
          </w:tcPr>
          <w:p w14:paraId="117566AC"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0.817*</w:t>
            </w:r>
          </w:p>
        </w:tc>
        <w:tc>
          <w:tcPr>
            <w:tcW w:w="0" w:type="auto"/>
            <w:tcBorders>
              <w:top w:val="nil"/>
              <w:left w:val="nil"/>
              <w:bottom w:val="nil"/>
              <w:right w:val="nil"/>
            </w:tcBorders>
            <w:shd w:val="clear" w:color="auto" w:fill="auto"/>
            <w:noWrap/>
            <w:vAlign w:val="center"/>
            <w:hideMark/>
          </w:tcPr>
          <w:p w14:paraId="5FF09E70"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0.087</w:t>
            </w:r>
          </w:p>
        </w:tc>
        <w:tc>
          <w:tcPr>
            <w:tcW w:w="0" w:type="auto"/>
            <w:tcBorders>
              <w:top w:val="nil"/>
              <w:left w:val="nil"/>
              <w:bottom w:val="nil"/>
              <w:right w:val="nil"/>
            </w:tcBorders>
            <w:shd w:val="clear" w:color="auto" w:fill="auto"/>
            <w:noWrap/>
            <w:vAlign w:val="center"/>
            <w:hideMark/>
          </w:tcPr>
          <w:p w14:paraId="2CFB133E"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[0.646, 0.989]</w:t>
            </w:r>
          </w:p>
        </w:tc>
      </w:tr>
      <w:tr w:rsidR="00CD0784" w:rsidRPr="00F90EE0" w14:paraId="724DB7F9" w14:textId="77777777" w:rsidTr="00CD0784">
        <w:trPr>
          <w:trHeight w:val="225"/>
        </w:trPr>
        <w:tc>
          <w:tcPr>
            <w:tcW w:w="0" w:type="auto"/>
            <w:tcBorders>
              <w:top w:val="nil"/>
              <w:left w:val="nil"/>
              <w:bottom w:val="nil"/>
              <w:right w:val="nil"/>
            </w:tcBorders>
            <w:shd w:val="clear" w:color="auto" w:fill="auto"/>
            <w:noWrap/>
            <w:vAlign w:val="bottom"/>
            <w:hideMark/>
          </w:tcPr>
          <w:p w14:paraId="5FE75D9B" w14:textId="77777777" w:rsidR="00CD0784" w:rsidRPr="00F90EE0" w:rsidRDefault="00CD0784" w:rsidP="006044F9">
            <w:pPr>
              <w:spacing w:line="240" w:lineRule="auto"/>
              <w:ind w:firstLineChars="200" w:firstLine="400"/>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 xml:space="preserve">Group </w:t>
            </w:r>
            <w:proofErr w:type="spellStart"/>
            <w:r w:rsidRPr="00F90EE0">
              <w:rPr>
                <w:rFonts w:eastAsia="Times New Roman" w:cs="Times New Roman"/>
                <w:color w:val="000000"/>
                <w:sz w:val="20"/>
                <w:szCs w:val="20"/>
                <w:lang w:val="nl-NL" w:eastAsia="zh-CN"/>
              </w:rPr>
              <w:t>size</w:t>
            </w:r>
            <w:proofErr w:type="spellEnd"/>
          </w:p>
        </w:tc>
        <w:tc>
          <w:tcPr>
            <w:tcW w:w="0" w:type="auto"/>
            <w:tcBorders>
              <w:top w:val="nil"/>
              <w:left w:val="nil"/>
              <w:bottom w:val="nil"/>
              <w:right w:val="nil"/>
            </w:tcBorders>
            <w:shd w:val="clear" w:color="auto" w:fill="auto"/>
            <w:noWrap/>
            <w:vAlign w:val="center"/>
            <w:hideMark/>
          </w:tcPr>
          <w:p w14:paraId="49FEE384"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–0.039</w:t>
            </w:r>
          </w:p>
        </w:tc>
        <w:tc>
          <w:tcPr>
            <w:tcW w:w="0" w:type="auto"/>
            <w:tcBorders>
              <w:top w:val="nil"/>
              <w:left w:val="nil"/>
              <w:bottom w:val="nil"/>
              <w:right w:val="nil"/>
            </w:tcBorders>
            <w:shd w:val="clear" w:color="auto" w:fill="auto"/>
            <w:noWrap/>
            <w:vAlign w:val="center"/>
            <w:hideMark/>
          </w:tcPr>
          <w:p w14:paraId="526B217C"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0.031</w:t>
            </w:r>
          </w:p>
        </w:tc>
        <w:tc>
          <w:tcPr>
            <w:tcW w:w="0" w:type="auto"/>
            <w:tcBorders>
              <w:top w:val="nil"/>
              <w:left w:val="nil"/>
              <w:bottom w:val="nil"/>
              <w:right w:val="nil"/>
            </w:tcBorders>
            <w:shd w:val="clear" w:color="auto" w:fill="auto"/>
            <w:noWrap/>
            <w:vAlign w:val="center"/>
            <w:hideMark/>
          </w:tcPr>
          <w:p w14:paraId="72F0666A"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[–0.101, 0.022]</w:t>
            </w:r>
          </w:p>
        </w:tc>
      </w:tr>
      <w:tr w:rsidR="00CD0784" w:rsidRPr="00F90EE0" w14:paraId="246E3A32" w14:textId="77777777" w:rsidTr="00CD0784">
        <w:trPr>
          <w:trHeight w:val="225"/>
        </w:trPr>
        <w:tc>
          <w:tcPr>
            <w:tcW w:w="0" w:type="auto"/>
            <w:tcBorders>
              <w:top w:val="nil"/>
              <w:left w:val="nil"/>
              <w:bottom w:val="nil"/>
              <w:right w:val="nil"/>
            </w:tcBorders>
            <w:shd w:val="clear" w:color="auto" w:fill="auto"/>
            <w:noWrap/>
            <w:vAlign w:val="bottom"/>
            <w:hideMark/>
          </w:tcPr>
          <w:p w14:paraId="2A97C631" w14:textId="77777777" w:rsidR="00CD0784" w:rsidRPr="00F90EE0" w:rsidRDefault="00CD0784" w:rsidP="006044F9">
            <w:pPr>
              <w:spacing w:line="240" w:lineRule="auto"/>
              <w:ind w:firstLineChars="200" w:firstLine="400"/>
              <w:rPr>
                <w:rFonts w:eastAsia="Times New Roman" w:cs="Times New Roman"/>
                <w:color w:val="000000"/>
                <w:sz w:val="20"/>
                <w:szCs w:val="20"/>
                <w:lang w:val="nl-NL" w:eastAsia="zh-CN"/>
              </w:rPr>
            </w:pPr>
            <w:proofErr w:type="spellStart"/>
            <w:r w:rsidRPr="00F90EE0">
              <w:rPr>
                <w:rFonts w:eastAsia="Times New Roman" w:cs="Times New Roman"/>
                <w:color w:val="000000"/>
                <w:sz w:val="20"/>
                <w:szCs w:val="20"/>
                <w:lang w:val="nl-NL" w:eastAsia="zh-CN"/>
              </w:rPr>
              <w:t>Sanction</w:t>
            </w:r>
            <w:proofErr w:type="spellEnd"/>
            <w:r w:rsidRPr="00F90EE0">
              <w:rPr>
                <w:rFonts w:eastAsia="Times New Roman" w:cs="Times New Roman"/>
                <w:color w:val="000000"/>
                <w:sz w:val="20"/>
                <w:szCs w:val="20"/>
                <w:lang w:val="nl-NL" w:eastAsia="zh-CN"/>
              </w:rPr>
              <w:t>-yes</w:t>
            </w:r>
          </w:p>
        </w:tc>
        <w:tc>
          <w:tcPr>
            <w:tcW w:w="0" w:type="auto"/>
            <w:tcBorders>
              <w:top w:val="nil"/>
              <w:left w:val="nil"/>
              <w:bottom w:val="nil"/>
              <w:right w:val="nil"/>
            </w:tcBorders>
            <w:shd w:val="clear" w:color="auto" w:fill="auto"/>
            <w:noWrap/>
            <w:vAlign w:val="center"/>
            <w:hideMark/>
          </w:tcPr>
          <w:p w14:paraId="1B9B0DA9"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0.464*</w:t>
            </w:r>
          </w:p>
        </w:tc>
        <w:tc>
          <w:tcPr>
            <w:tcW w:w="0" w:type="auto"/>
            <w:tcBorders>
              <w:top w:val="nil"/>
              <w:left w:val="nil"/>
              <w:bottom w:val="nil"/>
              <w:right w:val="nil"/>
            </w:tcBorders>
            <w:shd w:val="clear" w:color="auto" w:fill="auto"/>
            <w:noWrap/>
            <w:vAlign w:val="center"/>
            <w:hideMark/>
          </w:tcPr>
          <w:p w14:paraId="2667C74A"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0.043</w:t>
            </w:r>
          </w:p>
        </w:tc>
        <w:tc>
          <w:tcPr>
            <w:tcW w:w="0" w:type="auto"/>
            <w:tcBorders>
              <w:top w:val="nil"/>
              <w:left w:val="nil"/>
              <w:bottom w:val="nil"/>
              <w:right w:val="nil"/>
            </w:tcBorders>
            <w:shd w:val="clear" w:color="auto" w:fill="auto"/>
            <w:noWrap/>
            <w:vAlign w:val="center"/>
            <w:hideMark/>
          </w:tcPr>
          <w:p w14:paraId="765532E1"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[0.379, 0.549]</w:t>
            </w:r>
          </w:p>
        </w:tc>
      </w:tr>
      <w:tr w:rsidR="00CD0784" w:rsidRPr="00F90EE0" w14:paraId="1BB96A52" w14:textId="77777777" w:rsidTr="00CD0784">
        <w:trPr>
          <w:trHeight w:val="225"/>
        </w:trPr>
        <w:tc>
          <w:tcPr>
            <w:tcW w:w="0" w:type="auto"/>
            <w:tcBorders>
              <w:top w:val="nil"/>
              <w:left w:val="nil"/>
              <w:bottom w:val="nil"/>
              <w:right w:val="nil"/>
            </w:tcBorders>
            <w:shd w:val="clear" w:color="auto" w:fill="auto"/>
            <w:noWrap/>
            <w:vAlign w:val="bottom"/>
            <w:hideMark/>
          </w:tcPr>
          <w:p w14:paraId="33BB4451" w14:textId="77777777" w:rsidR="00CD0784" w:rsidRPr="00F90EE0" w:rsidRDefault="00CD0784" w:rsidP="006044F9">
            <w:pPr>
              <w:spacing w:line="240" w:lineRule="auto"/>
              <w:ind w:firstLineChars="200" w:firstLine="400"/>
              <w:rPr>
                <w:rFonts w:eastAsia="Times New Roman" w:cs="Times New Roman"/>
                <w:color w:val="000000"/>
                <w:sz w:val="20"/>
                <w:szCs w:val="20"/>
                <w:lang w:val="nl-NL" w:eastAsia="zh-CN"/>
              </w:rPr>
            </w:pPr>
            <w:proofErr w:type="spellStart"/>
            <w:r w:rsidRPr="00F90EE0">
              <w:rPr>
                <w:rFonts w:eastAsia="Times New Roman" w:cs="Times New Roman"/>
                <w:color w:val="000000"/>
                <w:sz w:val="20"/>
                <w:szCs w:val="20"/>
                <w:lang w:val="nl-NL" w:eastAsia="zh-CN"/>
              </w:rPr>
              <w:t>Sanction</w:t>
            </w:r>
            <w:proofErr w:type="spellEnd"/>
            <w:r w:rsidRPr="00F90EE0">
              <w:rPr>
                <w:rFonts w:eastAsia="Times New Roman" w:cs="Times New Roman"/>
                <w:color w:val="000000"/>
                <w:sz w:val="20"/>
                <w:szCs w:val="20"/>
                <w:lang w:val="nl-NL" w:eastAsia="zh-CN"/>
              </w:rPr>
              <w:t>-mixed</w:t>
            </w:r>
          </w:p>
        </w:tc>
        <w:tc>
          <w:tcPr>
            <w:tcW w:w="0" w:type="auto"/>
            <w:tcBorders>
              <w:top w:val="nil"/>
              <w:left w:val="nil"/>
              <w:bottom w:val="nil"/>
              <w:right w:val="nil"/>
            </w:tcBorders>
            <w:shd w:val="clear" w:color="auto" w:fill="auto"/>
            <w:noWrap/>
            <w:vAlign w:val="center"/>
            <w:hideMark/>
          </w:tcPr>
          <w:p w14:paraId="32389B16"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0.212</w:t>
            </w:r>
          </w:p>
        </w:tc>
        <w:tc>
          <w:tcPr>
            <w:tcW w:w="0" w:type="auto"/>
            <w:tcBorders>
              <w:top w:val="nil"/>
              <w:left w:val="nil"/>
              <w:bottom w:val="nil"/>
              <w:right w:val="nil"/>
            </w:tcBorders>
            <w:shd w:val="clear" w:color="auto" w:fill="auto"/>
            <w:noWrap/>
            <w:vAlign w:val="center"/>
            <w:hideMark/>
          </w:tcPr>
          <w:p w14:paraId="40A275A8"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0.126</w:t>
            </w:r>
          </w:p>
        </w:tc>
        <w:tc>
          <w:tcPr>
            <w:tcW w:w="0" w:type="auto"/>
            <w:tcBorders>
              <w:top w:val="nil"/>
              <w:left w:val="nil"/>
              <w:bottom w:val="nil"/>
              <w:right w:val="nil"/>
            </w:tcBorders>
            <w:shd w:val="clear" w:color="auto" w:fill="auto"/>
            <w:noWrap/>
            <w:vAlign w:val="center"/>
            <w:hideMark/>
          </w:tcPr>
          <w:p w14:paraId="33887FA1"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[–0.035, 0.459]</w:t>
            </w:r>
          </w:p>
        </w:tc>
      </w:tr>
      <w:tr w:rsidR="00CD0784" w:rsidRPr="00F90EE0" w14:paraId="25D5858D" w14:textId="77777777" w:rsidTr="00CD0784">
        <w:trPr>
          <w:trHeight w:val="225"/>
        </w:trPr>
        <w:tc>
          <w:tcPr>
            <w:tcW w:w="0" w:type="auto"/>
            <w:tcBorders>
              <w:top w:val="nil"/>
              <w:left w:val="nil"/>
              <w:bottom w:val="nil"/>
              <w:right w:val="nil"/>
            </w:tcBorders>
            <w:shd w:val="clear" w:color="auto" w:fill="auto"/>
            <w:noWrap/>
            <w:vAlign w:val="bottom"/>
            <w:hideMark/>
          </w:tcPr>
          <w:p w14:paraId="3330827D" w14:textId="04669A1F" w:rsidR="00CD0784" w:rsidRPr="00F90EE0" w:rsidRDefault="00F90EE0" w:rsidP="006044F9">
            <w:pPr>
              <w:spacing w:line="240" w:lineRule="auto"/>
              <w:ind w:firstLineChars="200" w:firstLine="400"/>
              <w:rPr>
                <w:rFonts w:eastAsia="Times New Roman" w:cs="Times New Roman"/>
                <w:color w:val="000000"/>
                <w:sz w:val="20"/>
                <w:szCs w:val="20"/>
                <w:lang w:val="nl-NL" w:eastAsia="zh-CN"/>
              </w:rPr>
            </w:pPr>
            <w:r>
              <w:rPr>
                <w:rFonts w:eastAsia="Times New Roman" w:cs="Times New Roman"/>
                <w:color w:val="000000"/>
                <w:sz w:val="20"/>
                <w:szCs w:val="20"/>
                <w:lang w:val="nl-NL" w:eastAsia="zh-CN"/>
              </w:rPr>
              <w:t>Communication</w:t>
            </w:r>
            <w:r w:rsidR="00CD0784" w:rsidRPr="00F90EE0">
              <w:rPr>
                <w:rFonts w:eastAsia="Times New Roman" w:cs="Times New Roman"/>
                <w:color w:val="000000"/>
                <w:sz w:val="20"/>
                <w:szCs w:val="20"/>
                <w:lang w:val="nl-NL" w:eastAsia="zh-CN"/>
              </w:rPr>
              <w:t>-yes</w:t>
            </w:r>
          </w:p>
        </w:tc>
        <w:tc>
          <w:tcPr>
            <w:tcW w:w="0" w:type="auto"/>
            <w:tcBorders>
              <w:top w:val="nil"/>
              <w:left w:val="nil"/>
              <w:bottom w:val="nil"/>
              <w:right w:val="nil"/>
            </w:tcBorders>
            <w:shd w:val="clear" w:color="auto" w:fill="auto"/>
            <w:noWrap/>
            <w:vAlign w:val="center"/>
            <w:hideMark/>
          </w:tcPr>
          <w:p w14:paraId="670ABFD0"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0.530*</w:t>
            </w:r>
          </w:p>
        </w:tc>
        <w:tc>
          <w:tcPr>
            <w:tcW w:w="0" w:type="auto"/>
            <w:tcBorders>
              <w:top w:val="nil"/>
              <w:left w:val="nil"/>
              <w:bottom w:val="nil"/>
              <w:right w:val="nil"/>
            </w:tcBorders>
            <w:shd w:val="clear" w:color="auto" w:fill="auto"/>
            <w:noWrap/>
            <w:vAlign w:val="center"/>
            <w:hideMark/>
          </w:tcPr>
          <w:p w14:paraId="226D7691"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0.055</w:t>
            </w:r>
          </w:p>
        </w:tc>
        <w:tc>
          <w:tcPr>
            <w:tcW w:w="0" w:type="auto"/>
            <w:tcBorders>
              <w:top w:val="nil"/>
              <w:left w:val="nil"/>
              <w:bottom w:val="nil"/>
              <w:right w:val="nil"/>
            </w:tcBorders>
            <w:shd w:val="clear" w:color="auto" w:fill="auto"/>
            <w:noWrap/>
            <w:vAlign w:val="center"/>
            <w:hideMark/>
          </w:tcPr>
          <w:p w14:paraId="5C6A50A5"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[0.422, 0.638]</w:t>
            </w:r>
          </w:p>
        </w:tc>
      </w:tr>
      <w:tr w:rsidR="00CD0784" w:rsidRPr="00F90EE0" w14:paraId="652E4BFB" w14:textId="77777777" w:rsidTr="00CD0784">
        <w:trPr>
          <w:trHeight w:val="225"/>
        </w:trPr>
        <w:tc>
          <w:tcPr>
            <w:tcW w:w="0" w:type="auto"/>
            <w:tcBorders>
              <w:top w:val="nil"/>
              <w:left w:val="nil"/>
              <w:bottom w:val="nil"/>
              <w:right w:val="nil"/>
            </w:tcBorders>
            <w:shd w:val="clear" w:color="auto" w:fill="auto"/>
            <w:noWrap/>
            <w:vAlign w:val="bottom"/>
            <w:hideMark/>
          </w:tcPr>
          <w:p w14:paraId="0B713164" w14:textId="0A2339EF" w:rsidR="00CD0784" w:rsidRPr="00F90EE0" w:rsidRDefault="00F90EE0" w:rsidP="006044F9">
            <w:pPr>
              <w:spacing w:line="240" w:lineRule="auto"/>
              <w:ind w:firstLineChars="200" w:firstLine="400"/>
              <w:rPr>
                <w:rFonts w:eastAsia="Times New Roman" w:cs="Times New Roman"/>
                <w:color w:val="000000"/>
                <w:sz w:val="20"/>
                <w:szCs w:val="20"/>
                <w:lang w:val="nl-NL" w:eastAsia="zh-CN"/>
              </w:rPr>
            </w:pPr>
            <w:r>
              <w:rPr>
                <w:rFonts w:eastAsia="Times New Roman" w:cs="Times New Roman"/>
                <w:color w:val="000000"/>
                <w:sz w:val="20"/>
                <w:szCs w:val="20"/>
                <w:lang w:val="nl-NL" w:eastAsia="zh-CN"/>
              </w:rPr>
              <w:t>Communication</w:t>
            </w:r>
            <w:r w:rsidR="00CD0784" w:rsidRPr="00F90EE0">
              <w:rPr>
                <w:rFonts w:eastAsia="Times New Roman" w:cs="Times New Roman"/>
                <w:color w:val="000000"/>
                <w:sz w:val="20"/>
                <w:szCs w:val="20"/>
                <w:lang w:val="nl-NL" w:eastAsia="zh-CN"/>
              </w:rPr>
              <w:t>-mixed</w:t>
            </w:r>
          </w:p>
        </w:tc>
        <w:tc>
          <w:tcPr>
            <w:tcW w:w="0" w:type="auto"/>
            <w:tcBorders>
              <w:top w:val="nil"/>
              <w:left w:val="nil"/>
              <w:bottom w:val="nil"/>
              <w:right w:val="nil"/>
            </w:tcBorders>
            <w:shd w:val="clear" w:color="auto" w:fill="auto"/>
            <w:noWrap/>
            <w:vAlign w:val="center"/>
            <w:hideMark/>
          </w:tcPr>
          <w:p w14:paraId="10808187"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0.369*</w:t>
            </w:r>
          </w:p>
        </w:tc>
        <w:tc>
          <w:tcPr>
            <w:tcW w:w="0" w:type="auto"/>
            <w:tcBorders>
              <w:top w:val="nil"/>
              <w:left w:val="nil"/>
              <w:bottom w:val="nil"/>
              <w:right w:val="nil"/>
            </w:tcBorders>
            <w:shd w:val="clear" w:color="auto" w:fill="auto"/>
            <w:noWrap/>
            <w:vAlign w:val="center"/>
            <w:hideMark/>
          </w:tcPr>
          <w:p w14:paraId="2CF5D45D"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0.149</w:t>
            </w:r>
          </w:p>
        </w:tc>
        <w:tc>
          <w:tcPr>
            <w:tcW w:w="0" w:type="auto"/>
            <w:tcBorders>
              <w:top w:val="nil"/>
              <w:left w:val="nil"/>
              <w:bottom w:val="nil"/>
              <w:right w:val="nil"/>
            </w:tcBorders>
            <w:shd w:val="clear" w:color="auto" w:fill="auto"/>
            <w:noWrap/>
            <w:vAlign w:val="center"/>
            <w:hideMark/>
          </w:tcPr>
          <w:p w14:paraId="6DE0AFBA"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[0.077, 0.660]</w:t>
            </w:r>
          </w:p>
        </w:tc>
      </w:tr>
      <w:tr w:rsidR="00CD0784" w:rsidRPr="00F90EE0" w14:paraId="1134F239" w14:textId="77777777" w:rsidTr="00CD0784">
        <w:trPr>
          <w:trHeight w:val="225"/>
        </w:trPr>
        <w:tc>
          <w:tcPr>
            <w:tcW w:w="0" w:type="auto"/>
            <w:tcBorders>
              <w:top w:val="nil"/>
              <w:left w:val="nil"/>
              <w:bottom w:val="nil"/>
              <w:right w:val="nil"/>
            </w:tcBorders>
            <w:shd w:val="clear" w:color="auto" w:fill="auto"/>
            <w:noWrap/>
            <w:vAlign w:val="bottom"/>
            <w:hideMark/>
          </w:tcPr>
          <w:p w14:paraId="3C25DABD" w14:textId="20C073BB" w:rsidR="00CD0784" w:rsidRPr="00F90EE0" w:rsidRDefault="00537D3E" w:rsidP="006044F9">
            <w:pPr>
              <w:spacing w:line="240" w:lineRule="auto"/>
              <w:ind w:firstLineChars="200" w:firstLine="400"/>
              <w:rPr>
                <w:rFonts w:eastAsia="Times New Roman" w:cs="Times New Roman"/>
                <w:color w:val="000000"/>
                <w:sz w:val="20"/>
                <w:szCs w:val="20"/>
                <w:lang w:val="nl-NL" w:eastAsia="zh-CN"/>
              </w:rPr>
            </w:pPr>
            <w:r>
              <w:rPr>
                <w:rFonts w:eastAsia="Times New Roman" w:cs="Times New Roman"/>
                <w:color w:val="000000"/>
                <w:sz w:val="20"/>
                <w:szCs w:val="20"/>
                <w:lang w:val="nl-NL" w:eastAsia="zh-CN"/>
              </w:rPr>
              <w:t>Matching design</w:t>
            </w:r>
            <w:r w:rsidR="00CD0784" w:rsidRPr="00F90EE0">
              <w:rPr>
                <w:rFonts w:eastAsia="Times New Roman" w:cs="Times New Roman"/>
                <w:color w:val="000000"/>
                <w:sz w:val="20"/>
                <w:szCs w:val="20"/>
                <w:lang w:val="nl-NL" w:eastAsia="zh-CN"/>
              </w:rPr>
              <w:t>-</w:t>
            </w:r>
            <w:r>
              <w:rPr>
                <w:rFonts w:eastAsia="Times New Roman" w:cs="Times New Roman"/>
                <w:color w:val="000000"/>
                <w:sz w:val="20"/>
                <w:szCs w:val="20"/>
                <w:lang w:val="nl-NL" w:eastAsia="zh-CN"/>
              </w:rPr>
              <w:t>partner</w:t>
            </w:r>
          </w:p>
        </w:tc>
        <w:tc>
          <w:tcPr>
            <w:tcW w:w="0" w:type="auto"/>
            <w:tcBorders>
              <w:top w:val="nil"/>
              <w:left w:val="nil"/>
              <w:bottom w:val="nil"/>
              <w:right w:val="nil"/>
            </w:tcBorders>
            <w:shd w:val="clear" w:color="auto" w:fill="auto"/>
            <w:noWrap/>
            <w:vAlign w:val="center"/>
            <w:hideMark/>
          </w:tcPr>
          <w:p w14:paraId="1345567C"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0.015</w:t>
            </w:r>
          </w:p>
        </w:tc>
        <w:tc>
          <w:tcPr>
            <w:tcW w:w="0" w:type="auto"/>
            <w:tcBorders>
              <w:top w:val="nil"/>
              <w:left w:val="nil"/>
              <w:bottom w:val="nil"/>
              <w:right w:val="nil"/>
            </w:tcBorders>
            <w:shd w:val="clear" w:color="auto" w:fill="auto"/>
            <w:noWrap/>
            <w:vAlign w:val="center"/>
            <w:hideMark/>
          </w:tcPr>
          <w:p w14:paraId="66139402"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0.037</w:t>
            </w:r>
          </w:p>
        </w:tc>
        <w:tc>
          <w:tcPr>
            <w:tcW w:w="0" w:type="auto"/>
            <w:tcBorders>
              <w:top w:val="nil"/>
              <w:left w:val="nil"/>
              <w:bottom w:val="nil"/>
              <w:right w:val="nil"/>
            </w:tcBorders>
            <w:shd w:val="clear" w:color="auto" w:fill="auto"/>
            <w:noWrap/>
            <w:vAlign w:val="center"/>
            <w:hideMark/>
          </w:tcPr>
          <w:p w14:paraId="1821FD13"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[–0.057, 0.087]</w:t>
            </w:r>
          </w:p>
        </w:tc>
      </w:tr>
      <w:tr w:rsidR="00CD0784" w:rsidRPr="00F90EE0" w14:paraId="44FF8556" w14:textId="77777777" w:rsidTr="00CD0784">
        <w:trPr>
          <w:trHeight w:val="225"/>
        </w:trPr>
        <w:tc>
          <w:tcPr>
            <w:tcW w:w="0" w:type="auto"/>
            <w:tcBorders>
              <w:top w:val="nil"/>
              <w:left w:val="nil"/>
              <w:bottom w:val="nil"/>
              <w:right w:val="nil"/>
            </w:tcBorders>
            <w:shd w:val="clear" w:color="auto" w:fill="auto"/>
            <w:noWrap/>
            <w:vAlign w:val="bottom"/>
            <w:hideMark/>
          </w:tcPr>
          <w:p w14:paraId="373D2722" w14:textId="6EC5A55C" w:rsidR="00CD0784" w:rsidRPr="00F90EE0" w:rsidRDefault="00537D3E" w:rsidP="006044F9">
            <w:pPr>
              <w:spacing w:line="240" w:lineRule="auto"/>
              <w:ind w:firstLineChars="200" w:firstLine="400"/>
              <w:rPr>
                <w:rFonts w:eastAsia="Times New Roman" w:cs="Times New Roman"/>
                <w:color w:val="000000"/>
                <w:sz w:val="20"/>
                <w:szCs w:val="20"/>
                <w:lang w:val="nl-NL" w:eastAsia="zh-CN"/>
              </w:rPr>
            </w:pPr>
            <w:r>
              <w:rPr>
                <w:rFonts w:eastAsia="Times New Roman" w:cs="Times New Roman"/>
                <w:color w:val="000000"/>
                <w:sz w:val="20"/>
                <w:szCs w:val="20"/>
                <w:lang w:val="nl-NL" w:eastAsia="zh-CN"/>
              </w:rPr>
              <w:t>Matching design</w:t>
            </w:r>
            <w:r w:rsidR="00CD0784" w:rsidRPr="00F90EE0">
              <w:rPr>
                <w:rFonts w:eastAsia="Times New Roman" w:cs="Times New Roman"/>
                <w:color w:val="000000"/>
                <w:sz w:val="20"/>
                <w:szCs w:val="20"/>
                <w:lang w:val="nl-NL" w:eastAsia="zh-CN"/>
              </w:rPr>
              <w:t>-mixed</w:t>
            </w:r>
          </w:p>
        </w:tc>
        <w:tc>
          <w:tcPr>
            <w:tcW w:w="0" w:type="auto"/>
            <w:tcBorders>
              <w:top w:val="nil"/>
              <w:left w:val="nil"/>
              <w:bottom w:val="nil"/>
              <w:right w:val="nil"/>
            </w:tcBorders>
            <w:shd w:val="clear" w:color="auto" w:fill="auto"/>
            <w:noWrap/>
            <w:vAlign w:val="center"/>
            <w:hideMark/>
          </w:tcPr>
          <w:p w14:paraId="4013268F"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0.066</w:t>
            </w:r>
          </w:p>
        </w:tc>
        <w:tc>
          <w:tcPr>
            <w:tcW w:w="0" w:type="auto"/>
            <w:tcBorders>
              <w:top w:val="nil"/>
              <w:left w:val="nil"/>
              <w:bottom w:val="nil"/>
              <w:right w:val="nil"/>
            </w:tcBorders>
            <w:shd w:val="clear" w:color="auto" w:fill="auto"/>
            <w:noWrap/>
            <w:vAlign w:val="center"/>
            <w:hideMark/>
          </w:tcPr>
          <w:p w14:paraId="39BB024F"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0.145</w:t>
            </w:r>
          </w:p>
        </w:tc>
        <w:tc>
          <w:tcPr>
            <w:tcW w:w="0" w:type="auto"/>
            <w:tcBorders>
              <w:top w:val="nil"/>
              <w:left w:val="nil"/>
              <w:bottom w:val="nil"/>
              <w:right w:val="nil"/>
            </w:tcBorders>
            <w:shd w:val="clear" w:color="auto" w:fill="auto"/>
            <w:noWrap/>
            <w:vAlign w:val="center"/>
            <w:hideMark/>
          </w:tcPr>
          <w:p w14:paraId="565459AE"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[–0.217, 0.350]</w:t>
            </w:r>
          </w:p>
        </w:tc>
      </w:tr>
      <w:tr w:rsidR="00CD0784" w:rsidRPr="00F90EE0" w14:paraId="63D62050" w14:textId="77777777" w:rsidTr="00CD0784">
        <w:trPr>
          <w:trHeight w:val="225"/>
        </w:trPr>
        <w:tc>
          <w:tcPr>
            <w:tcW w:w="0" w:type="auto"/>
            <w:tcBorders>
              <w:top w:val="nil"/>
              <w:left w:val="nil"/>
              <w:bottom w:val="nil"/>
              <w:right w:val="nil"/>
            </w:tcBorders>
            <w:shd w:val="clear" w:color="auto" w:fill="auto"/>
            <w:noWrap/>
            <w:vAlign w:val="bottom"/>
            <w:hideMark/>
          </w:tcPr>
          <w:p w14:paraId="0604AD53" w14:textId="77777777" w:rsidR="00CD0784" w:rsidRPr="00F90EE0" w:rsidRDefault="00CD0784" w:rsidP="006044F9">
            <w:pPr>
              <w:spacing w:line="240" w:lineRule="auto"/>
              <w:ind w:firstLineChars="200" w:firstLine="400"/>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Show up fee-yes</w:t>
            </w:r>
          </w:p>
        </w:tc>
        <w:tc>
          <w:tcPr>
            <w:tcW w:w="0" w:type="auto"/>
            <w:tcBorders>
              <w:top w:val="nil"/>
              <w:left w:val="nil"/>
              <w:bottom w:val="nil"/>
              <w:right w:val="nil"/>
            </w:tcBorders>
            <w:shd w:val="clear" w:color="auto" w:fill="auto"/>
            <w:noWrap/>
            <w:vAlign w:val="center"/>
            <w:hideMark/>
          </w:tcPr>
          <w:p w14:paraId="7C79F74E"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0.006</w:t>
            </w:r>
          </w:p>
        </w:tc>
        <w:tc>
          <w:tcPr>
            <w:tcW w:w="0" w:type="auto"/>
            <w:tcBorders>
              <w:top w:val="nil"/>
              <w:left w:val="nil"/>
              <w:bottom w:val="nil"/>
              <w:right w:val="nil"/>
            </w:tcBorders>
            <w:shd w:val="clear" w:color="auto" w:fill="auto"/>
            <w:noWrap/>
            <w:vAlign w:val="center"/>
            <w:hideMark/>
          </w:tcPr>
          <w:p w14:paraId="6E116757"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0.042</w:t>
            </w:r>
          </w:p>
        </w:tc>
        <w:tc>
          <w:tcPr>
            <w:tcW w:w="0" w:type="auto"/>
            <w:tcBorders>
              <w:top w:val="nil"/>
              <w:left w:val="nil"/>
              <w:bottom w:val="nil"/>
              <w:right w:val="nil"/>
            </w:tcBorders>
            <w:shd w:val="clear" w:color="auto" w:fill="auto"/>
            <w:noWrap/>
            <w:vAlign w:val="center"/>
            <w:hideMark/>
          </w:tcPr>
          <w:p w14:paraId="2CB66620"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[–0.077, 0.089]</w:t>
            </w:r>
          </w:p>
        </w:tc>
      </w:tr>
      <w:tr w:rsidR="00CD0784" w:rsidRPr="00F90EE0" w14:paraId="335DC517" w14:textId="77777777" w:rsidTr="00CD0784">
        <w:trPr>
          <w:trHeight w:val="225"/>
        </w:trPr>
        <w:tc>
          <w:tcPr>
            <w:tcW w:w="0" w:type="auto"/>
            <w:tcBorders>
              <w:top w:val="nil"/>
              <w:left w:val="nil"/>
              <w:bottom w:val="nil"/>
              <w:right w:val="nil"/>
            </w:tcBorders>
            <w:shd w:val="clear" w:color="auto" w:fill="auto"/>
            <w:noWrap/>
            <w:vAlign w:val="bottom"/>
            <w:hideMark/>
          </w:tcPr>
          <w:p w14:paraId="28A28E22" w14:textId="77777777" w:rsidR="00CD0784" w:rsidRPr="00F90EE0" w:rsidRDefault="00CD0784" w:rsidP="006044F9">
            <w:pPr>
              <w:spacing w:line="240" w:lineRule="auto"/>
              <w:ind w:firstLineChars="200" w:firstLine="400"/>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Show up fee-mixed</w:t>
            </w:r>
          </w:p>
        </w:tc>
        <w:tc>
          <w:tcPr>
            <w:tcW w:w="0" w:type="auto"/>
            <w:tcBorders>
              <w:top w:val="nil"/>
              <w:left w:val="nil"/>
              <w:bottom w:val="nil"/>
              <w:right w:val="nil"/>
            </w:tcBorders>
            <w:shd w:val="clear" w:color="auto" w:fill="auto"/>
            <w:noWrap/>
            <w:vAlign w:val="center"/>
            <w:hideMark/>
          </w:tcPr>
          <w:p w14:paraId="7F33657F"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0.020</w:t>
            </w:r>
          </w:p>
        </w:tc>
        <w:tc>
          <w:tcPr>
            <w:tcW w:w="0" w:type="auto"/>
            <w:tcBorders>
              <w:top w:val="nil"/>
              <w:left w:val="nil"/>
              <w:bottom w:val="nil"/>
              <w:right w:val="nil"/>
            </w:tcBorders>
            <w:shd w:val="clear" w:color="auto" w:fill="auto"/>
            <w:noWrap/>
            <w:vAlign w:val="center"/>
            <w:hideMark/>
          </w:tcPr>
          <w:p w14:paraId="71C9AD59"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0.151</w:t>
            </w:r>
          </w:p>
        </w:tc>
        <w:tc>
          <w:tcPr>
            <w:tcW w:w="0" w:type="auto"/>
            <w:tcBorders>
              <w:top w:val="nil"/>
              <w:left w:val="nil"/>
              <w:bottom w:val="nil"/>
              <w:right w:val="nil"/>
            </w:tcBorders>
            <w:shd w:val="clear" w:color="auto" w:fill="auto"/>
            <w:noWrap/>
            <w:vAlign w:val="center"/>
            <w:hideMark/>
          </w:tcPr>
          <w:p w14:paraId="610C250B"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[–0.277, 0.317]</w:t>
            </w:r>
          </w:p>
        </w:tc>
      </w:tr>
      <w:tr w:rsidR="00CD0784" w:rsidRPr="00F90EE0" w14:paraId="2C58E294" w14:textId="77777777" w:rsidTr="00CD0784">
        <w:trPr>
          <w:trHeight w:val="225"/>
        </w:trPr>
        <w:tc>
          <w:tcPr>
            <w:tcW w:w="0" w:type="auto"/>
            <w:tcBorders>
              <w:top w:val="nil"/>
              <w:left w:val="nil"/>
              <w:bottom w:val="nil"/>
              <w:right w:val="nil"/>
            </w:tcBorders>
            <w:shd w:val="clear" w:color="auto" w:fill="auto"/>
            <w:noWrap/>
            <w:hideMark/>
          </w:tcPr>
          <w:p w14:paraId="045E6757" w14:textId="77777777" w:rsidR="00CD0784" w:rsidRPr="00F90EE0" w:rsidRDefault="00CD0784" w:rsidP="006044F9">
            <w:pPr>
              <w:spacing w:line="240" w:lineRule="auto"/>
              <w:ind w:firstLineChars="200" w:firstLine="400"/>
              <w:rPr>
                <w:rFonts w:eastAsia="Times New Roman" w:cs="Times New Roman"/>
                <w:color w:val="000000"/>
                <w:sz w:val="20"/>
                <w:szCs w:val="20"/>
                <w:lang w:val="nl-NL" w:eastAsia="zh-CN"/>
              </w:rPr>
            </w:pPr>
            <w:proofErr w:type="spellStart"/>
            <w:r w:rsidRPr="00F90EE0">
              <w:rPr>
                <w:rFonts w:eastAsia="Times New Roman" w:cs="Times New Roman"/>
                <w:color w:val="000000"/>
                <w:sz w:val="20"/>
                <w:szCs w:val="20"/>
                <w:lang w:val="nl-NL" w:eastAsia="zh-CN"/>
              </w:rPr>
              <w:t>Deception</w:t>
            </w:r>
            <w:proofErr w:type="spellEnd"/>
            <w:r w:rsidRPr="00F90EE0">
              <w:rPr>
                <w:rFonts w:eastAsia="Times New Roman" w:cs="Times New Roman"/>
                <w:color w:val="000000"/>
                <w:sz w:val="20"/>
                <w:szCs w:val="20"/>
                <w:lang w:val="nl-NL" w:eastAsia="zh-CN"/>
              </w:rPr>
              <w:t>-yes</w:t>
            </w:r>
          </w:p>
        </w:tc>
        <w:tc>
          <w:tcPr>
            <w:tcW w:w="0" w:type="auto"/>
            <w:tcBorders>
              <w:top w:val="nil"/>
              <w:left w:val="nil"/>
              <w:bottom w:val="nil"/>
              <w:right w:val="nil"/>
            </w:tcBorders>
            <w:shd w:val="clear" w:color="auto" w:fill="auto"/>
            <w:noWrap/>
            <w:vAlign w:val="center"/>
            <w:hideMark/>
          </w:tcPr>
          <w:p w14:paraId="34AF37BE"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0.124*</w:t>
            </w:r>
          </w:p>
        </w:tc>
        <w:tc>
          <w:tcPr>
            <w:tcW w:w="0" w:type="auto"/>
            <w:tcBorders>
              <w:top w:val="nil"/>
              <w:left w:val="nil"/>
              <w:bottom w:val="nil"/>
              <w:right w:val="nil"/>
            </w:tcBorders>
            <w:shd w:val="clear" w:color="auto" w:fill="auto"/>
            <w:noWrap/>
            <w:vAlign w:val="center"/>
            <w:hideMark/>
          </w:tcPr>
          <w:p w14:paraId="40FA4446"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0.042</w:t>
            </w:r>
          </w:p>
        </w:tc>
        <w:tc>
          <w:tcPr>
            <w:tcW w:w="0" w:type="auto"/>
            <w:tcBorders>
              <w:top w:val="nil"/>
              <w:left w:val="nil"/>
              <w:bottom w:val="nil"/>
              <w:right w:val="nil"/>
            </w:tcBorders>
            <w:shd w:val="clear" w:color="auto" w:fill="auto"/>
            <w:noWrap/>
            <w:vAlign w:val="center"/>
            <w:hideMark/>
          </w:tcPr>
          <w:p w14:paraId="5C19F982"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[0.042, 0.205]</w:t>
            </w:r>
          </w:p>
        </w:tc>
      </w:tr>
      <w:tr w:rsidR="00CD0784" w:rsidRPr="00F90EE0" w14:paraId="17E95131" w14:textId="77777777" w:rsidTr="00CD0784">
        <w:trPr>
          <w:trHeight w:val="225"/>
        </w:trPr>
        <w:tc>
          <w:tcPr>
            <w:tcW w:w="0" w:type="auto"/>
            <w:tcBorders>
              <w:top w:val="nil"/>
              <w:left w:val="nil"/>
              <w:bottom w:val="nil"/>
              <w:right w:val="nil"/>
            </w:tcBorders>
            <w:shd w:val="clear" w:color="auto" w:fill="auto"/>
            <w:noWrap/>
            <w:hideMark/>
          </w:tcPr>
          <w:p w14:paraId="68F91F34" w14:textId="77777777" w:rsidR="00CD0784" w:rsidRPr="00F90EE0" w:rsidRDefault="00CD0784" w:rsidP="006044F9">
            <w:pPr>
              <w:spacing w:line="240" w:lineRule="auto"/>
              <w:ind w:firstLineChars="200" w:firstLine="400"/>
              <w:rPr>
                <w:rFonts w:eastAsia="Times New Roman" w:cs="Times New Roman"/>
                <w:color w:val="000000"/>
                <w:sz w:val="20"/>
                <w:szCs w:val="20"/>
                <w:lang w:val="nl-NL" w:eastAsia="zh-CN"/>
              </w:rPr>
            </w:pPr>
            <w:proofErr w:type="spellStart"/>
            <w:r w:rsidRPr="00F90EE0">
              <w:rPr>
                <w:rFonts w:eastAsia="Times New Roman" w:cs="Times New Roman"/>
                <w:color w:val="000000"/>
                <w:sz w:val="20"/>
                <w:szCs w:val="20"/>
                <w:lang w:val="nl-NL" w:eastAsia="zh-CN"/>
              </w:rPr>
              <w:t>Deception</w:t>
            </w:r>
            <w:proofErr w:type="spellEnd"/>
            <w:r w:rsidRPr="00F90EE0">
              <w:rPr>
                <w:rFonts w:eastAsia="Times New Roman" w:cs="Times New Roman"/>
                <w:color w:val="000000"/>
                <w:sz w:val="20"/>
                <w:szCs w:val="20"/>
                <w:lang w:val="nl-NL" w:eastAsia="zh-CN"/>
              </w:rPr>
              <w:t>-mixed</w:t>
            </w:r>
          </w:p>
        </w:tc>
        <w:tc>
          <w:tcPr>
            <w:tcW w:w="0" w:type="auto"/>
            <w:tcBorders>
              <w:top w:val="nil"/>
              <w:left w:val="nil"/>
              <w:bottom w:val="nil"/>
              <w:right w:val="nil"/>
            </w:tcBorders>
            <w:shd w:val="clear" w:color="auto" w:fill="auto"/>
            <w:noWrap/>
            <w:vAlign w:val="center"/>
            <w:hideMark/>
          </w:tcPr>
          <w:p w14:paraId="382F0D1F"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0.060</w:t>
            </w:r>
          </w:p>
        </w:tc>
        <w:tc>
          <w:tcPr>
            <w:tcW w:w="0" w:type="auto"/>
            <w:tcBorders>
              <w:top w:val="nil"/>
              <w:left w:val="nil"/>
              <w:bottom w:val="nil"/>
              <w:right w:val="nil"/>
            </w:tcBorders>
            <w:shd w:val="clear" w:color="auto" w:fill="auto"/>
            <w:noWrap/>
            <w:vAlign w:val="center"/>
            <w:hideMark/>
          </w:tcPr>
          <w:p w14:paraId="00172213"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0.214</w:t>
            </w:r>
          </w:p>
        </w:tc>
        <w:tc>
          <w:tcPr>
            <w:tcW w:w="0" w:type="auto"/>
            <w:tcBorders>
              <w:top w:val="nil"/>
              <w:left w:val="nil"/>
              <w:bottom w:val="nil"/>
              <w:right w:val="nil"/>
            </w:tcBorders>
            <w:shd w:val="clear" w:color="auto" w:fill="auto"/>
            <w:noWrap/>
            <w:vAlign w:val="center"/>
            <w:hideMark/>
          </w:tcPr>
          <w:p w14:paraId="1282F524"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[–0.360, 0.480]</w:t>
            </w:r>
          </w:p>
        </w:tc>
      </w:tr>
      <w:tr w:rsidR="00CD0784" w:rsidRPr="00F90EE0" w14:paraId="79751FEA" w14:textId="77777777" w:rsidTr="00CD0784">
        <w:trPr>
          <w:trHeight w:val="225"/>
        </w:trPr>
        <w:tc>
          <w:tcPr>
            <w:tcW w:w="0" w:type="auto"/>
            <w:tcBorders>
              <w:top w:val="nil"/>
              <w:left w:val="nil"/>
              <w:bottom w:val="nil"/>
              <w:right w:val="nil"/>
            </w:tcBorders>
            <w:shd w:val="clear" w:color="auto" w:fill="auto"/>
            <w:noWrap/>
            <w:vAlign w:val="bottom"/>
            <w:hideMark/>
          </w:tcPr>
          <w:p w14:paraId="0C65125F" w14:textId="77777777" w:rsidR="00CD0784" w:rsidRPr="00F90EE0" w:rsidRDefault="00CD0784" w:rsidP="006044F9">
            <w:pPr>
              <w:spacing w:line="240" w:lineRule="auto"/>
              <w:rPr>
                <w:rFonts w:eastAsia="Times New Roman" w:cs="Times New Roman"/>
                <w:i/>
                <w:iCs/>
                <w:color w:val="000000"/>
                <w:sz w:val="20"/>
                <w:szCs w:val="20"/>
                <w:lang w:val="nl-NL" w:eastAsia="zh-CN"/>
              </w:rPr>
            </w:pPr>
            <w:r w:rsidRPr="00F90EE0">
              <w:rPr>
                <w:rFonts w:eastAsia="Times New Roman" w:cs="Times New Roman"/>
                <w:i/>
                <w:iCs/>
                <w:color w:val="000000"/>
                <w:sz w:val="20"/>
                <w:szCs w:val="20"/>
                <w:lang w:val="nl-NL" w:eastAsia="zh-CN"/>
              </w:rPr>
              <w:t xml:space="preserve">Model </w:t>
            </w:r>
            <w:proofErr w:type="spellStart"/>
            <w:r w:rsidRPr="00F90EE0">
              <w:rPr>
                <w:rFonts w:eastAsia="Times New Roman" w:cs="Times New Roman"/>
                <w:i/>
                <w:iCs/>
                <w:color w:val="000000"/>
                <w:sz w:val="20"/>
                <w:szCs w:val="20"/>
                <w:lang w:val="nl-NL" w:eastAsia="zh-CN"/>
              </w:rPr>
              <w:t>statistics</w:t>
            </w:r>
            <w:proofErr w:type="spellEnd"/>
          </w:p>
        </w:tc>
        <w:tc>
          <w:tcPr>
            <w:tcW w:w="0" w:type="auto"/>
            <w:tcBorders>
              <w:top w:val="nil"/>
              <w:left w:val="nil"/>
              <w:bottom w:val="nil"/>
              <w:right w:val="nil"/>
            </w:tcBorders>
            <w:shd w:val="clear" w:color="auto" w:fill="auto"/>
            <w:noWrap/>
            <w:vAlign w:val="center"/>
            <w:hideMark/>
          </w:tcPr>
          <w:p w14:paraId="1C7E8887" w14:textId="77777777" w:rsidR="00CD0784" w:rsidRPr="00F90EE0" w:rsidRDefault="00CD0784" w:rsidP="006044F9">
            <w:pPr>
              <w:spacing w:line="240" w:lineRule="auto"/>
              <w:rPr>
                <w:rFonts w:eastAsia="Times New Roman" w:cs="Times New Roman"/>
                <w:i/>
                <w:iCs/>
                <w:color w:val="000000"/>
                <w:sz w:val="20"/>
                <w:szCs w:val="20"/>
                <w:lang w:val="nl-NL" w:eastAsia="zh-CN"/>
              </w:rPr>
            </w:pPr>
          </w:p>
        </w:tc>
        <w:tc>
          <w:tcPr>
            <w:tcW w:w="0" w:type="auto"/>
            <w:tcBorders>
              <w:top w:val="nil"/>
              <w:left w:val="nil"/>
              <w:bottom w:val="nil"/>
              <w:right w:val="nil"/>
            </w:tcBorders>
            <w:shd w:val="clear" w:color="auto" w:fill="auto"/>
            <w:noWrap/>
            <w:vAlign w:val="center"/>
            <w:hideMark/>
          </w:tcPr>
          <w:p w14:paraId="3D48577E" w14:textId="77777777" w:rsidR="00CD0784" w:rsidRPr="00F90EE0" w:rsidRDefault="00CD0784" w:rsidP="006044F9">
            <w:pPr>
              <w:spacing w:line="240" w:lineRule="auto"/>
              <w:jc w:val="center"/>
              <w:rPr>
                <w:rFonts w:eastAsia="Times New Roman" w:cs="Times New Roman"/>
                <w:sz w:val="20"/>
                <w:szCs w:val="20"/>
                <w:lang w:val="nl-NL" w:eastAsia="zh-CN"/>
              </w:rPr>
            </w:pPr>
          </w:p>
        </w:tc>
        <w:tc>
          <w:tcPr>
            <w:tcW w:w="0" w:type="auto"/>
            <w:tcBorders>
              <w:top w:val="nil"/>
              <w:left w:val="nil"/>
              <w:bottom w:val="nil"/>
              <w:right w:val="nil"/>
            </w:tcBorders>
            <w:shd w:val="clear" w:color="auto" w:fill="auto"/>
            <w:noWrap/>
            <w:vAlign w:val="center"/>
            <w:hideMark/>
          </w:tcPr>
          <w:p w14:paraId="1B515C4F" w14:textId="77777777" w:rsidR="00CD0784" w:rsidRPr="00F90EE0" w:rsidRDefault="00CD0784" w:rsidP="006044F9">
            <w:pPr>
              <w:spacing w:line="240" w:lineRule="auto"/>
              <w:jc w:val="center"/>
              <w:rPr>
                <w:rFonts w:eastAsia="Times New Roman" w:cs="Times New Roman"/>
                <w:sz w:val="20"/>
                <w:szCs w:val="20"/>
                <w:lang w:val="nl-NL" w:eastAsia="zh-CN"/>
              </w:rPr>
            </w:pPr>
          </w:p>
        </w:tc>
      </w:tr>
      <w:tr w:rsidR="00CD0784" w:rsidRPr="00F90EE0" w14:paraId="74FCC193" w14:textId="77777777" w:rsidTr="00CD0784">
        <w:trPr>
          <w:trHeight w:val="255"/>
        </w:trPr>
        <w:tc>
          <w:tcPr>
            <w:tcW w:w="0" w:type="auto"/>
            <w:tcBorders>
              <w:top w:val="nil"/>
              <w:left w:val="nil"/>
              <w:bottom w:val="nil"/>
              <w:right w:val="nil"/>
            </w:tcBorders>
            <w:shd w:val="clear" w:color="auto" w:fill="auto"/>
            <w:noWrap/>
            <w:vAlign w:val="bottom"/>
            <w:hideMark/>
          </w:tcPr>
          <w:p w14:paraId="1D564D3F" w14:textId="77777777" w:rsidR="00CD0784" w:rsidRPr="00F90EE0" w:rsidRDefault="00CD0784" w:rsidP="006044F9">
            <w:pPr>
              <w:spacing w:line="240" w:lineRule="auto"/>
              <w:ind w:firstLineChars="200" w:firstLine="400"/>
              <w:rPr>
                <w:rFonts w:eastAsia="Times New Roman" w:cs="Times New Roman"/>
                <w:color w:val="000000"/>
                <w:sz w:val="20"/>
                <w:szCs w:val="20"/>
                <w:lang w:val="nl-NL" w:eastAsia="zh-CN"/>
              </w:rPr>
            </w:pPr>
            <w:proofErr w:type="spellStart"/>
            <w:r w:rsidRPr="00F90EE0">
              <w:rPr>
                <w:rFonts w:eastAsia="Times New Roman" w:cs="Times New Roman"/>
                <w:i/>
                <w:iCs/>
                <w:color w:val="000000"/>
                <w:sz w:val="20"/>
                <w:szCs w:val="20"/>
                <w:lang w:val="nl-NL" w:eastAsia="zh-CN"/>
              </w:rPr>
              <w:t>Q</w:t>
            </w:r>
            <w:r w:rsidRPr="00F90EE0">
              <w:rPr>
                <w:rFonts w:eastAsia="Times New Roman" w:cs="Times New Roman"/>
                <w:color w:val="000000"/>
                <w:sz w:val="20"/>
                <w:szCs w:val="20"/>
                <w:vertAlign w:val="subscript"/>
                <w:lang w:val="nl-NL" w:eastAsia="zh-CN"/>
              </w:rPr>
              <w:t>residual</w:t>
            </w:r>
            <w:proofErr w:type="spellEnd"/>
            <w:r w:rsidRPr="00F90EE0">
              <w:rPr>
                <w:rFonts w:eastAsia="Times New Roman" w:cs="Times New Roman"/>
                <w:color w:val="000000"/>
                <w:sz w:val="20"/>
                <w:szCs w:val="20"/>
                <w:lang w:val="nl-NL" w:eastAsia="zh-CN"/>
              </w:rPr>
              <w:t>(</w:t>
            </w:r>
            <w:proofErr w:type="spellStart"/>
            <w:r w:rsidRPr="00F90EE0">
              <w:rPr>
                <w:rFonts w:eastAsia="Times New Roman" w:cs="Times New Roman"/>
                <w:i/>
                <w:iCs/>
                <w:color w:val="000000"/>
                <w:sz w:val="20"/>
                <w:szCs w:val="20"/>
                <w:lang w:val="nl-NL" w:eastAsia="zh-CN"/>
              </w:rPr>
              <w:t>df</w:t>
            </w:r>
            <w:proofErr w:type="spellEnd"/>
            <w:r w:rsidRPr="00F90EE0">
              <w:rPr>
                <w:rFonts w:eastAsia="Times New Roman" w:cs="Times New Roman"/>
                <w:color w:val="000000"/>
                <w:sz w:val="20"/>
                <w:szCs w:val="20"/>
                <w:lang w:val="nl-NL" w:eastAsia="zh-CN"/>
              </w:rPr>
              <w:t>)</w:t>
            </w:r>
          </w:p>
        </w:tc>
        <w:tc>
          <w:tcPr>
            <w:tcW w:w="0" w:type="auto"/>
            <w:gridSpan w:val="3"/>
            <w:tcBorders>
              <w:top w:val="nil"/>
              <w:left w:val="nil"/>
              <w:bottom w:val="nil"/>
              <w:right w:val="nil"/>
            </w:tcBorders>
            <w:shd w:val="clear" w:color="auto" w:fill="auto"/>
            <w:noWrap/>
            <w:vAlign w:val="center"/>
            <w:hideMark/>
          </w:tcPr>
          <w:p w14:paraId="12DE1978"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67937.6 (2318)*</w:t>
            </w:r>
          </w:p>
        </w:tc>
      </w:tr>
      <w:tr w:rsidR="00CD0784" w:rsidRPr="00F90EE0" w14:paraId="4A0C2864" w14:textId="77777777" w:rsidTr="00CD0784">
        <w:trPr>
          <w:trHeight w:val="255"/>
        </w:trPr>
        <w:tc>
          <w:tcPr>
            <w:tcW w:w="0" w:type="auto"/>
            <w:tcBorders>
              <w:top w:val="nil"/>
              <w:left w:val="nil"/>
              <w:bottom w:val="nil"/>
              <w:right w:val="nil"/>
            </w:tcBorders>
            <w:shd w:val="clear" w:color="auto" w:fill="auto"/>
            <w:noWrap/>
            <w:vAlign w:val="bottom"/>
            <w:hideMark/>
          </w:tcPr>
          <w:p w14:paraId="1F9B2BF3" w14:textId="77777777" w:rsidR="00CD0784" w:rsidRPr="00F90EE0" w:rsidRDefault="00CD0784" w:rsidP="006044F9">
            <w:pPr>
              <w:spacing w:line="240" w:lineRule="auto"/>
              <w:ind w:firstLineChars="200" w:firstLine="400"/>
              <w:rPr>
                <w:rFonts w:eastAsia="Times New Roman" w:cs="Times New Roman"/>
                <w:color w:val="000000"/>
                <w:sz w:val="20"/>
                <w:szCs w:val="20"/>
                <w:lang w:val="nl-NL" w:eastAsia="zh-CN"/>
              </w:rPr>
            </w:pPr>
            <w:proofErr w:type="spellStart"/>
            <w:r w:rsidRPr="00F90EE0">
              <w:rPr>
                <w:rFonts w:eastAsia="Times New Roman" w:cs="Times New Roman"/>
                <w:i/>
                <w:iCs/>
                <w:color w:val="000000"/>
                <w:sz w:val="20"/>
                <w:szCs w:val="20"/>
                <w:lang w:val="nl-NL" w:eastAsia="zh-CN"/>
              </w:rPr>
              <w:t>F</w:t>
            </w:r>
            <w:r w:rsidRPr="00F90EE0">
              <w:rPr>
                <w:rFonts w:eastAsia="Times New Roman" w:cs="Times New Roman"/>
                <w:color w:val="000000"/>
                <w:sz w:val="20"/>
                <w:szCs w:val="20"/>
                <w:vertAlign w:val="subscript"/>
                <w:lang w:val="nl-NL" w:eastAsia="zh-CN"/>
              </w:rPr>
              <w:t>moderators</w:t>
            </w:r>
            <w:proofErr w:type="spellEnd"/>
            <w:r w:rsidRPr="00F90EE0">
              <w:rPr>
                <w:rFonts w:eastAsia="Times New Roman" w:cs="Times New Roman"/>
                <w:color w:val="000000"/>
                <w:sz w:val="20"/>
                <w:szCs w:val="20"/>
                <w:lang w:val="nl-NL" w:eastAsia="zh-CN"/>
              </w:rPr>
              <w:t>(</w:t>
            </w:r>
            <w:r w:rsidRPr="00F90EE0">
              <w:rPr>
                <w:rFonts w:eastAsia="Times New Roman" w:cs="Times New Roman"/>
                <w:i/>
                <w:iCs/>
                <w:color w:val="000000"/>
                <w:sz w:val="20"/>
                <w:szCs w:val="20"/>
                <w:lang w:val="nl-NL" w:eastAsia="zh-CN"/>
              </w:rPr>
              <w:t>df1</w:t>
            </w:r>
            <w:r w:rsidRPr="00F90EE0">
              <w:rPr>
                <w:rFonts w:eastAsia="Times New Roman" w:cs="Times New Roman"/>
                <w:color w:val="000000"/>
                <w:sz w:val="20"/>
                <w:szCs w:val="20"/>
                <w:lang w:val="nl-NL" w:eastAsia="zh-CN"/>
              </w:rPr>
              <w:t xml:space="preserve">, </w:t>
            </w:r>
            <w:r w:rsidRPr="00F90EE0">
              <w:rPr>
                <w:rFonts w:eastAsia="Times New Roman" w:cs="Times New Roman"/>
                <w:i/>
                <w:iCs/>
                <w:color w:val="000000"/>
                <w:sz w:val="20"/>
                <w:szCs w:val="20"/>
                <w:lang w:val="nl-NL" w:eastAsia="zh-CN"/>
              </w:rPr>
              <w:t>df2</w:t>
            </w:r>
            <w:r w:rsidRPr="00F90EE0">
              <w:rPr>
                <w:rFonts w:eastAsia="Times New Roman" w:cs="Times New Roman"/>
                <w:color w:val="000000"/>
                <w:sz w:val="20"/>
                <w:szCs w:val="20"/>
                <w:lang w:val="nl-NL" w:eastAsia="zh-CN"/>
              </w:rPr>
              <w:t>)</w:t>
            </w:r>
          </w:p>
        </w:tc>
        <w:tc>
          <w:tcPr>
            <w:tcW w:w="0" w:type="auto"/>
            <w:gridSpan w:val="3"/>
            <w:tcBorders>
              <w:top w:val="nil"/>
              <w:left w:val="nil"/>
              <w:bottom w:val="nil"/>
              <w:right w:val="nil"/>
            </w:tcBorders>
            <w:shd w:val="clear" w:color="auto" w:fill="auto"/>
            <w:noWrap/>
            <w:vAlign w:val="center"/>
            <w:hideMark/>
          </w:tcPr>
          <w:p w14:paraId="1EF1D362"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17.05 (21, 2318)*</w:t>
            </w:r>
          </w:p>
        </w:tc>
      </w:tr>
      <w:tr w:rsidR="00CD0784" w:rsidRPr="00F90EE0" w14:paraId="298AF5BE" w14:textId="77777777" w:rsidTr="00CD0784">
        <w:trPr>
          <w:trHeight w:val="225"/>
        </w:trPr>
        <w:tc>
          <w:tcPr>
            <w:tcW w:w="0" w:type="auto"/>
            <w:tcBorders>
              <w:top w:val="nil"/>
              <w:left w:val="nil"/>
              <w:bottom w:val="nil"/>
              <w:right w:val="nil"/>
            </w:tcBorders>
            <w:shd w:val="clear" w:color="auto" w:fill="auto"/>
            <w:noWrap/>
            <w:vAlign w:val="bottom"/>
            <w:hideMark/>
          </w:tcPr>
          <w:p w14:paraId="4F76509B" w14:textId="77777777" w:rsidR="00CD0784" w:rsidRPr="00F90EE0" w:rsidRDefault="00CD0784" w:rsidP="006044F9">
            <w:pPr>
              <w:spacing w:line="240" w:lineRule="auto"/>
              <w:ind w:firstLineChars="200" w:firstLine="400"/>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τ</w:t>
            </w:r>
            <w:r w:rsidRPr="00F90EE0">
              <w:rPr>
                <w:rFonts w:eastAsia="Times New Roman" w:cs="Times New Roman"/>
                <w:color w:val="000000"/>
                <w:sz w:val="20"/>
                <w:szCs w:val="20"/>
                <w:vertAlign w:val="superscript"/>
                <w:lang w:val="nl-NL" w:eastAsia="zh-CN"/>
              </w:rPr>
              <w:t>2</w:t>
            </w:r>
          </w:p>
        </w:tc>
        <w:tc>
          <w:tcPr>
            <w:tcW w:w="0" w:type="auto"/>
            <w:gridSpan w:val="3"/>
            <w:tcBorders>
              <w:top w:val="nil"/>
              <w:left w:val="nil"/>
              <w:bottom w:val="nil"/>
              <w:right w:val="nil"/>
            </w:tcBorders>
            <w:shd w:val="clear" w:color="auto" w:fill="auto"/>
            <w:noWrap/>
            <w:vAlign w:val="center"/>
            <w:hideMark/>
          </w:tcPr>
          <w:p w14:paraId="08FF20B4"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0.45</w:t>
            </w:r>
          </w:p>
        </w:tc>
      </w:tr>
      <w:tr w:rsidR="00CD0784" w:rsidRPr="00F90EE0" w14:paraId="4C1FE8DA" w14:textId="77777777" w:rsidTr="00CD0784">
        <w:trPr>
          <w:trHeight w:val="225"/>
        </w:trPr>
        <w:tc>
          <w:tcPr>
            <w:tcW w:w="0" w:type="auto"/>
            <w:tcBorders>
              <w:top w:val="nil"/>
              <w:left w:val="nil"/>
              <w:bottom w:val="nil"/>
              <w:right w:val="nil"/>
            </w:tcBorders>
            <w:shd w:val="clear" w:color="auto" w:fill="auto"/>
            <w:noWrap/>
            <w:vAlign w:val="bottom"/>
            <w:hideMark/>
          </w:tcPr>
          <w:p w14:paraId="53023704" w14:textId="77777777" w:rsidR="00CD0784" w:rsidRPr="00F90EE0" w:rsidRDefault="00CD0784" w:rsidP="006044F9">
            <w:pPr>
              <w:spacing w:line="240" w:lineRule="auto"/>
              <w:ind w:firstLineChars="200" w:firstLine="400"/>
              <w:rPr>
                <w:rFonts w:eastAsia="Times New Roman" w:cs="Times New Roman"/>
                <w:color w:val="000000"/>
                <w:sz w:val="20"/>
                <w:szCs w:val="20"/>
                <w:lang w:val="nl-NL" w:eastAsia="zh-CN"/>
              </w:rPr>
            </w:pPr>
            <w:r w:rsidRPr="00F90EE0">
              <w:rPr>
                <w:rFonts w:eastAsia="Times New Roman" w:cs="Times New Roman"/>
                <w:i/>
                <w:iCs/>
                <w:color w:val="000000"/>
                <w:sz w:val="20"/>
                <w:szCs w:val="20"/>
                <w:lang w:val="nl-NL" w:eastAsia="zh-CN"/>
              </w:rPr>
              <w:t>I</w:t>
            </w:r>
            <w:r w:rsidRPr="00F90EE0">
              <w:rPr>
                <w:rFonts w:eastAsia="Times New Roman" w:cs="Times New Roman"/>
                <w:i/>
                <w:iCs/>
                <w:color w:val="000000"/>
                <w:sz w:val="20"/>
                <w:szCs w:val="20"/>
                <w:vertAlign w:val="superscript"/>
                <w:lang w:val="nl-NL" w:eastAsia="zh-CN"/>
              </w:rPr>
              <w:t>2</w:t>
            </w:r>
            <w:r w:rsidRPr="00F90EE0">
              <w:rPr>
                <w:rFonts w:eastAsia="Times New Roman" w:cs="Times New Roman"/>
                <w:color w:val="000000"/>
                <w:sz w:val="20"/>
                <w:szCs w:val="20"/>
                <w:lang w:val="nl-NL" w:eastAsia="zh-CN"/>
              </w:rPr>
              <w:t xml:space="preserve">: </w:t>
            </w:r>
            <w:proofErr w:type="spellStart"/>
            <w:r w:rsidRPr="00F90EE0">
              <w:rPr>
                <w:rFonts w:eastAsia="Times New Roman" w:cs="Times New Roman"/>
                <w:color w:val="000000"/>
                <w:sz w:val="20"/>
                <w:szCs w:val="20"/>
                <w:lang w:val="nl-NL" w:eastAsia="zh-CN"/>
              </w:rPr>
              <w:t>between-study</w:t>
            </w:r>
            <w:proofErr w:type="spellEnd"/>
            <w:r w:rsidRPr="00F90EE0">
              <w:rPr>
                <w:rFonts w:eastAsia="Times New Roman" w:cs="Times New Roman"/>
                <w:color w:val="000000"/>
                <w:sz w:val="20"/>
                <w:szCs w:val="20"/>
                <w:lang w:val="nl-NL" w:eastAsia="zh-CN"/>
              </w:rPr>
              <w:t xml:space="preserve"> level (%)</w:t>
            </w:r>
          </w:p>
        </w:tc>
        <w:tc>
          <w:tcPr>
            <w:tcW w:w="0" w:type="auto"/>
            <w:gridSpan w:val="3"/>
            <w:tcBorders>
              <w:top w:val="nil"/>
              <w:left w:val="nil"/>
              <w:bottom w:val="nil"/>
              <w:right w:val="nil"/>
            </w:tcBorders>
            <w:shd w:val="clear" w:color="auto" w:fill="auto"/>
            <w:noWrap/>
            <w:vAlign w:val="center"/>
            <w:hideMark/>
          </w:tcPr>
          <w:p w14:paraId="170568C0"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53.86</w:t>
            </w:r>
          </w:p>
        </w:tc>
      </w:tr>
      <w:tr w:rsidR="00CD0784" w:rsidRPr="00F90EE0" w14:paraId="51F21203" w14:textId="77777777" w:rsidTr="00CD0784">
        <w:trPr>
          <w:trHeight w:val="225"/>
        </w:trPr>
        <w:tc>
          <w:tcPr>
            <w:tcW w:w="0" w:type="auto"/>
            <w:tcBorders>
              <w:top w:val="nil"/>
              <w:left w:val="nil"/>
              <w:bottom w:val="nil"/>
              <w:right w:val="nil"/>
            </w:tcBorders>
            <w:shd w:val="clear" w:color="auto" w:fill="auto"/>
            <w:noWrap/>
            <w:vAlign w:val="bottom"/>
            <w:hideMark/>
          </w:tcPr>
          <w:p w14:paraId="7F34CC0F" w14:textId="77777777" w:rsidR="00CD0784" w:rsidRPr="00F90EE0" w:rsidRDefault="00CD0784" w:rsidP="006044F9">
            <w:pPr>
              <w:spacing w:line="240" w:lineRule="auto"/>
              <w:ind w:firstLineChars="200" w:firstLine="400"/>
              <w:rPr>
                <w:rFonts w:eastAsia="Times New Roman" w:cs="Times New Roman"/>
                <w:color w:val="000000"/>
                <w:sz w:val="20"/>
                <w:szCs w:val="20"/>
                <w:lang w:val="nl-NL" w:eastAsia="zh-CN"/>
              </w:rPr>
            </w:pPr>
            <w:r w:rsidRPr="00F90EE0">
              <w:rPr>
                <w:rFonts w:eastAsia="Times New Roman" w:cs="Times New Roman"/>
                <w:i/>
                <w:iCs/>
                <w:color w:val="000000"/>
                <w:sz w:val="20"/>
                <w:szCs w:val="20"/>
                <w:lang w:val="nl-NL" w:eastAsia="zh-CN"/>
              </w:rPr>
              <w:t>I</w:t>
            </w:r>
            <w:r w:rsidRPr="00F90EE0">
              <w:rPr>
                <w:rFonts w:eastAsia="Times New Roman" w:cs="Times New Roman"/>
                <w:i/>
                <w:iCs/>
                <w:color w:val="000000"/>
                <w:sz w:val="20"/>
                <w:szCs w:val="20"/>
                <w:vertAlign w:val="superscript"/>
                <w:lang w:val="nl-NL" w:eastAsia="zh-CN"/>
              </w:rPr>
              <w:t>2</w:t>
            </w:r>
            <w:r w:rsidRPr="00F90EE0">
              <w:rPr>
                <w:rFonts w:eastAsia="Times New Roman" w:cs="Times New Roman"/>
                <w:color w:val="000000"/>
                <w:sz w:val="20"/>
                <w:szCs w:val="20"/>
                <w:lang w:val="nl-NL" w:eastAsia="zh-CN"/>
              </w:rPr>
              <w:t xml:space="preserve">: </w:t>
            </w:r>
            <w:proofErr w:type="spellStart"/>
            <w:r w:rsidRPr="00F90EE0">
              <w:rPr>
                <w:rFonts w:eastAsia="Times New Roman" w:cs="Times New Roman"/>
                <w:color w:val="000000"/>
                <w:sz w:val="20"/>
                <w:szCs w:val="20"/>
                <w:lang w:val="nl-NL" w:eastAsia="zh-CN"/>
              </w:rPr>
              <w:t>within-study</w:t>
            </w:r>
            <w:proofErr w:type="spellEnd"/>
            <w:r w:rsidRPr="00F90EE0">
              <w:rPr>
                <w:rFonts w:eastAsia="Times New Roman" w:cs="Times New Roman"/>
                <w:color w:val="000000"/>
                <w:sz w:val="20"/>
                <w:szCs w:val="20"/>
                <w:lang w:val="nl-NL" w:eastAsia="zh-CN"/>
              </w:rPr>
              <w:t xml:space="preserve"> level (%)</w:t>
            </w:r>
          </w:p>
        </w:tc>
        <w:tc>
          <w:tcPr>
            <w:tcW w:w="0" w:type="auto"/>
            <w:gridSpan w:val="3"/>
            <w:tcBorders>
              <w:top w:val="nil"/>
              <w:left w:val="nil"/>
              <w:bottom w:val="nil"/>
              <w:right w:val="nil"/>
            </w:tcBorders>
            <w:shd w:val="clear" w:color="auto" w:fill="auto"/>
            <w:noWrap/>
            <w:vAlign w:val="center"/>
            <w:hideMark/>
          </w:tcPr>
          <w:p w14:paraId="278545A0" w14:textId="77777777"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43.52</w:t>
            </w:r>
          </w:p>
        </w:tc>
      </w:tr>
      <w:tr w:rsidR="00CD0784" w:rsidRPr="00F90EE0" w14:paraId="02A5410E" w14:textId="77777777" w:rsidTr="00CD0784">
        <w:trPr>
          <w:trHeight w:val="225"/>
        </w:trPr>
        <w:tc>
          <w:tcPr>
            <w:tcW w:w="0" w:type="auto"/>
            <w:tcBorders>
              <w:top w:val="nil"/>
              <w:left w:val="nil"/>
              <w:bottom w:val="single" w:sz="4" w:space="0" w:color="auto"/>
              <w:right w:val="nil"/>
            </w:tcBorders>
            <w:shd w:val="clear" w:color="auto" w:fill="auto"/>
            <w:noWrap/>
            <w:vAlign w:val="bottom"/>
            <w:hideMark/>
          </w:tcPr>
          <w:p w14:paraId="4EA9CC23" w14:textId="77777777" w:rsidR="00CD0784" w:rsidRPr="00F90EE0" w:rsidRDefault="00CD0784" w:rsidP="006044F9">
            <w:pPr>
              <w:spacing w:line="240" w:lineRule="auto"/>
              <w:ind w:firstLineChars="200" w:firstLine="400"/>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 xml:space="preserve">pseudo </w:t>
            </w:r>
            <w:r w:rsidRPr="00F90EE0">
              <w:rPr>
                <w:rFonts w:eastAsia="Times New Roman" w:cs="Times New Roman"/>
                <w:i/>
                <w:iCs/>
                <w:color w:val="000000"/>
                <w:sz w:val="20"/>
                <w:szCs w:val="20"/>
                <w:lang w:val="nl-NL" w:eastAsia="zh-CN"/>
              </w:rPr>
              <w:t>R</w:t>
            </w:r>
            <w:r w:rsidRPr="00F90EE0">
              <w:rPr>
                <w:rFonts w:eastAsia="Times New Roman" w:cs="Times New Roman"/>
                <w:i/>
                <w:iCs/>
                <w:color w:val="000000"/>
                <w:sz w:val="20"/>
                <w:szCs w:val="20"/>
                <w:vertAlign w:val="superscript"/>
                <w:lang w:val="nl-NL" w:eastAsia="zh-CN"/>
              </w:rPr>
              <w:t>2</w:t>
            </w:r>
          </w:p>
        </w:tc>
        <w:tc>
          <w:tcPr>
            <w:tcW w:w="0" w:type="auto"/>
            <w:gridSpan w:val="3"/>
            <w:tcBorders>
              <w:top w:val="nil"/>
              <w:left w:val="nil"/>
              <w:bottom w:val="single" w:sz="4" w:space="0" w:color="auto"/>
              <w:right w:val="nil"/>
            </w:tcBorders>
            <w:shd w:val="clear" w:color="auto" w:fill="auto"/>
            <w:noWrap/>
            <w:vAlign w:val="center"/>
            <w:hideMark/>
          </w:tcPr>
          <w:p w14:paraId="63094CC1" w14:textId="6F007BEC" w:rsidR="00CD0784" w:rsidRPr="00F90EE0" w:rsidRDefault="00CD0784" w:rsidP="006044F9">
            <w:pPr>
              <w:spacing w:line="240" w:lineRule="auto"/>
              <w:jc w:val="center"/>
              <w:rPr>
                <w:rFonts w:eastAsia="Times New Roman" w:cs="Times New Roman"/>
                <w:color w:val="000000"/>
                <w:sz w:val="20"/>
                <w:szCs w:val="20"/>
                <w:lang w:val="nl-NL" w:eastAsia="zh-CN"/>
              </w:rPr>
            </w:pPr>
            <w:r w:rsidRPr="00F90EE0">
              <w:rPr>
                <w:rFonts w:eastAsia="Times New Roman" w:cs="Times New Roman"/>
                <w:color w:val="000000"/>
                <w:sz w:val="20"/>
                <w:szCs w:val="20"/>
                <w:lang w:val="nl-NL" w:eastAsia="zh-CN"/>
              </w:rPr>
              <w:t>.1054</w:t>
            </w:r>
          </w:p>
        </w:tc>
      </w:tr>
    </w:tbl>
    <w:p w14:paraId="214868EE" w14:textId="663DE655" w:rsidR="003E425A" w:rsidRDefault="00B50C7D" w:rsidP="00CD0784">
      <w:pPr>
        <w:spacing w:line="240" w:lineRule="auto"/>
        <w:rPr>
          <w:rFonts w:cs="Times New Roman"/>
        </w:rPr>
      </w:pPr>
      <w:r w:rsidRPr="005A7088">
        <w:rPr>
          <w:rFonts w:cs="Times New Roman"/>
          <w:i/>
        </w:rPr>
        <w:t>Note.</w:t>
      </w:r>
      <w:r w:rsidRPr="005A7088">
        <w:rPr>
          <w:rFonts w:cs="Times New Roman"/>
        </w:rPr>
        <w:t xml:space="preserve"> </w:t>
      </w:r>
      <w:r>
        <w:rPr>
          <w:rFonts w:cs="Times New Roman"/>
        </w:rPr>
        <w:t>K index, g</w:t>
      </w:r>
      <w:r w:rsidRPr="005A7088">
        <w:rPr>
          <w:rFonts w:cs="Times New Roman"/>
        </w:rPr>
        <w:t xml:space="preserve">roup size, age, gender and year of data collection are continuous variables, others are dummy variables. </w:t>
      </w:r>
      <w:r w:rsidRPr="00565825">
        <w:rPr>
          <w:rFonts w:cs="Times New Roman"/>
        </w:rPr>
        <w:t xml:space="preserve">The </w:t>
      </w:r>
      <w:r w:rsidR="004B190E">
        <w:rPr>
          <w:rFonts w:cs="Times New Roman"/>
        </w:rPr>
        <w:t xml:space="preserve">reference </w:t>
      </w:r>
      <w:r w:rsidR="005A5065">
        <w:rPr>
          <w:rFonts w:cs="Times New Roman"/>
        </w:rPr>
        <w:t xml:space="preserve">group for </w:t>
      </w:r>
      <w:r w:rsidRPr="00565825">
        <w:rPr>
          <w:rFonts w:cs="Times New Roman"/>
        </w:rPr>
        <w:t xml:space="preserve">sanction, </w:t>
      </w:r>
      <w:r w:rsidR="00F90EE0">
        <w:rPr>
          <w:rFonts w:cs="Times New Roman"/>
        </w:rPr>
        <w:t>communication</w:t>
      </w:r>
      <w:r w:rsidRPr="00565825">
        <w:rPr>
          <w:rFonts w:cs="Times New Roman"/>
        </w:rPr>
        <w:t>, s</w:t>
      </w:r>
      <w:r>
        <w:rPr>
          <w:rFonts w:cs="Times New Roman"/>
        </w:rPr>
        <w:t>how up fee</w:t>
      </w:r>
      <w:r w:rsidR="00F90EE0">
        <w:rPr>
          <w:rFonts w:cs="Times New Roman"/>
        </w:rPr>
        <w:t xml:space="preserve"> and </w:t>
      </w:r>
      <w:r w:rsidRPr="00565825">
        <w:rPr>
          <w:rFonts w:cs="Times New Roman"/>
        </w:rPr>
        <w:t>deception</w:t>
      </w:r>
      <w:r>
        <w:rPr>
          <w:rFonts w:cs="Times New Roman"/>
        </w:rPr>
        <w:t xml:space="preserve"> </w:t>
      </w:r>
      <w:r w:rsidRPr="00565825">
        <w:rPr>
          <w:rFonts w:cs="Times New Roman"/>
        </w:rPr>
        <w:t xml:space="preserve">was </w:t>
      </w:r>
      <w:r w:rsidR="005D3936">
        <w:rPr>
          <w:rFonts w:cs="Times New Roman"/>
        </w:rPr>
        <w:t>“n</w:t>
      </w:r>
      <w:r w:rsidRPr="00565825">
        <w:rPr>
          <w:rFonts w:cs="Times New Roman"/>
        </w:rPr>
        <w:t>o</w:t>
      </w:r>
      <w:r w:rsidR="005D3936">
        <w:rPr>
          <w:rFonts w:cs="Times New Roman"/>
        </w:rPr>
        <w:t>”</w:t>
      </w:r>
      <w:r w:rsidRPr="00565825">
        <w:rPr>
          <w:rFonts w:cs="Times New Roman"/>
        </w:rPr>
        <w:t xml:space="preserve">, for choice type was </w:t>
      </w:r>
      <w:r w:rsidR="005D3936">
        <w:rPr>
          <w:rFonts w:cs="Times New Roman"/>
        </w:rPr>
        <w:t>“</w:t>
      </w:r>
      <w:r w:rsidRPr="00565825">
        <w:rPr>
          <w:rFonts w:cs="Times New Roman"/>
        </w:rPr>
        <w:t>dichotomous</w:t>
      </w:r>
      <w:r w:rsidR="005D3936">
        <w:rPr>
          <w:rFonts w:cs="Times New Roman"/>
        </w:rPr>
        <w:t>”</w:t>
      </w:r>
      <w:r w:rsidRPr="00565825">
        <w:rPr>
          <w:rFonts w:cs="Times New Roman"/>
        </w:rPr>
        <w:t xml:space="preserve">, for experimental setting was </w:t>
      </w:r>
      <w:r w:rsidR="005D3936">
        <w:rPr>
          <w:rFonts w:cs="Times New Roman"/>
        </w:rPr>
        <w:t>“</w:t>
      </w:r>
      <w:r w:rsidRPr="00565825">
        <w:rPr>
          <w:rFonts w:cs="Times New Roman"/>
        </w:rPr>
        <w:t>lab</w:t>
      </w:r>
      <w:r w:rsidR="005D3936">
        <w:rPr>
          <w:rFonts w:cs="Times New Roman"/>
        </w:rPr>
        <w:t>”</w:t>
      </w:r>
      <w:r w:rsidRPr="00565825">
        <w:rPr>
          <w:rFonts w:cs="Times New Roman"/>
        </w:rPr>
        <w:t xml:space="preserve">, for discipline was </w:t>
      </w:r>
      <w:r w:rsidR="005D3936">
        <w:rPr>
          <w:rFonts w:cs="Times New Roman"/>
        </w:rPr>
        <w:t>“</w:t>
      </w:r>
      <w:r w:rsidRPr="00565825">
        <w:rPr>
          <w:rFonts w:cs="Times New Roman"/>
        </w:rPr>
        <w:t>economics</w:t>
      </w:r>
      <w:r w:rsidR="005D3936">
        <w:rPr>
          <w:rFonts w:cs="Times New Roman"/>
        </w:rPr>
        <w:t>”</w:t>
      </w:r>
      <w:r w:rsidRPr="00565825">
        <w:rPr>
          <w:rFonts w:cs="Times New Roman"/>
        </w:rPr>
        <w:t xml:space="preserve">, for </w:t>
      </w:r>
      <w:r w:rsidR="00537D3E">
        <w:rPr>
          <w:rFonts w:cs="Times New Roman"/>
        </w:rPr>
        <w:t>matching design</w:t>
      </w:r>
      <w:r w:rsidRPr="00565825">
        <w:rPr>
          <w:rFonts w:cs="Times New Roman"/>
        </w:rPr>
        <w:t xml:space="preserve"> was </w:t>
      </w:r>
      <w:r w:rsidR="005D3936">
        <w:rPr>
          <w:rFonts w:cs="Times New Roman"/>
        </w:rPr>
        <w:t>“</w:t>
      </w:r>
      <w:r w:rsidR="00537D3E">
        <w:rPr>
          <w:rFonts w:cs="Times New Roman"/>
        </w:rPr>
        <w:t>stranger-matching</w:t>
      </w:r>
      <w:r w:rsidR="005D3936">
        <w:rPr>
          <w:rFonts w:cs="Times New Roman"/>
        </w:rPr>
        <w:t>”</w:t>
      </w:r>
      <w:r w:rsidR="00B06E4C">
        <w:rPr>
          <w:rFonts w:cs="Times New Roman"/>
        </w:rPr>
        <w:t>.</w:t>
      </w:r>
    </w:p>
    <w:p w14:paraId="26A6FFA5" w14:textId="1ACB411C" w:rsidR="001C11A5" w:rsidRDefault="00785660" w:rsidP="00CD0784">
      <w:pPr>
        <w:spacing w:line="240" w:lineRule="auto"/>
        <w:rPr>
          <w:rFonts w:cs="Times New Roman"/>
        </w:rPr>
      </w:pPr>
      <w:r w:rsidRPr="00785660">
        <w:rPr>
          <w:rFonts w:cs="Times New Roman"/>
        </w:rPr>
        <w:t xml:space="preserve">* </w:t>
      </w:r>
      <w:r w:rsidRPr="00B14319">
        <w:rPr>
          <w:rFonts w:cs="Times New Roman"/>
          <w:i/>
        </w:rPr>
        <w:t>p</w:t>
      </w:r>
      <w:r w:rsidRPr="00785660">
        <w:rPr>
          <w:rFonts w:cs="Times New Roman"/>
        </w:rPr>
        <w:t xml:space="preserve"> &lt; .05</w:t>
      </w:r>
    </w:p>
    <w:p w14:paraId="028D8E57" w14:textId="77777777" w:rsidR="001C11A5" w:rsidRDefault="001C11A5">
      <w:pPr>
        <w:spacing w:after="160" w:line="259" w:lineRule="auto"/>
        <w:rPr>
          <w:rFonts w:cs="Times New Roman"/>
        </w:rPr>
      </w:pPr>
      <w:r>
        <w:rPr>
          <w:rFonts w:cs="Times New Roman"/>
        </w:rPr>
        <w:br w:type="page"/>
      </w:r>
    </w:p>
    <w:p w14:paraId="26321E6D" w14:textId="58828174" w:rsidR="001C11A5" w:rsidRPr="004961D9" w:rsidRDefault="00156901" w:rsidP="001C11A5">
      <w:pPr>
        <w:pStyle w:val="Heading1"/>
      </w:pPr>
      <w:bookmarkStart w:id="38" w:name="_Toc169458486"/>
      <w:r>
        <w:rPr>
          <w:rFonts w:hint="eastAsia"/>
          <w:lang w:eastAsia="zh-CN"/>
        </w:rPr>
        <w:lastRenderedPageBreak/>
        <w:t>10</w:t>
      </w:r>
      <w:r w:rsidR="001C11A5" w:rsidRPr="004961D9">
        <w:t xml:space="preserve">. </w:t>
      </w:r>
      <w:bookmarkStart w:id="39" w:name="_Toc61988293"/>
      <w:r w:rsidR="001C11A5" w:rsidRPr="004961D9">
        <w:t>Meta-</w:t>
      </w:r>
      <w:bookmarkEnd w:id="39"/>
      <w:r w:rsidR="001C11A5" w:rsidRPr="004961D9">
        <w:t>Analys</w:t>
      </w:r>
      <w:r w:rsidR="001C11A5">
        <w:t>e</w:t>
      </w:r>
      <w:r w:rsidR="001C11A5" w:rsidRPr="004961D9">
        <w:t xml:space="preserve">s </w:t>
      </w:r>
      <w:r w:rsidR="001C11A5">
        <w:t>of</w:t>
      </w:r>
      <w:r w:rsidR="001C11A5" w:rsidRPr="004961D9">
        <w:t xml:space="preserve"> Within-Study Effect Sizes</w:t>
      </w:r>
      <w:bookmarkEnd w:id="38"/>
    </w:p>
    <w:p w14:paraId="53F19598" w14:textId="44A6D4D2" w:rsidR="00203F38" w:rsidRDefault="00744B70" w:rsidP="00CB5888">
      <w:pPr>
        <w:ind w:firstLine="709"/>
        <w:rPr>
          <w:rFonts w:eastAsiaTheme="minorEastAsia" w:cstheme="minorBidi"/>
          <w:bCs/>
          <w:szCs w:val="22"/>
          <w:lang w:eastAsia="zh-CN"/>
        </w:rPr>
      </w:pPr>
      <w:r>
        <w:rPr>
          <w:rFonts w:eastAsiaTheme="minorEastAsia" w:cstheme="minorBidi"/>
          <w:bCs/>
          <w:szCs w:val="22"/>
          <w:lang w:eastAsia="zh-CN"/>
        </w:rPr>
        <w:t>I</w:t>
      </w:r>
      <w:r>
        <w:rPr>
          <w:rFonts w:eastAsiaTheme="minorEastAsia" w:cstheme="minorBidi" w:hint="eastAsia"/>
          <w:bCs/>
          <w:szCs w:val="22"/>
          <w:lang w:eastAsia="zh-CN"/>
        </w:rPr>
        <w:t>n</w:t>
      </w:r>
      <w:r>
        <w:rPr>
          <w:rFonts w:eastAsiaTheme="minorEastAsia" w:cstheme="minorBidi"/>
          <w:bCs/>
          <w:szCs w:val="22"/>
          <w:lang w:eastAsia="zh-CN"/>
        </w:rPr>
        <w:t xml:space="preserve"> Study 2, w</w:t>
      </w:r>
      <w:r w:rsidRPr="00744B70">
        <w:rPr>
          <w:rFonts w:eastAsiaTheme="minorEastAsia" w:cstheme="minorBidi"/>
          <w:bCs/>
          <w:szCs w:val="22"/>
          <w:lang w:eastAsia="zh-CN"/>
        </w:rPr>
        <w:t>e used an alternative meta-analytic approach to test our hypotheses, examining within-study effect sizes that estimate how a measured or manipulated variable relates to cooperation (i.e., correlation coefficient and standardized mean difference).</w:t>
      </w:r>
      <w:r>
        <w:rPr>
          <w:rFonts w:eastAsiaTheme="minorEastAsia" w:cstheme="minorBidi"/>
          <w:bCs/>
          <w:szCs w:val="22"/>
          <w:lang w:eastAsia="zh-CN"/>
        </w:rPr>
        <w:t xml:space="preserve"> </w:t>
      </w:r>
      <w:r w:rsidR="001C11A5">
        <w:rPr>
          <w:rFonts w:eastAsiaTheme="minorEastAsia" w:cstheme="minorBidi"/>
          <w:bCs/>
          <w:szCs w:val="22"/>
          <w:lang w:eastAsia="zh-CN"/>
        </w:rPr>
        <w:t xml:space="preserve">The </w:t>
      </w:r>
      <w:proofErr w:type="spellStart"/>
      <w:r w:rsidR="001C11A5">
        <w:rPr>
          <w:rFonts w:eastAsiaTheme="minorEastAsia" w:cstheme="minorBidi"/>
          <w:bCs/>
          <w:szCs w:val="22"/>
          <w:lang w:eastAsia="zh-CN"/>
        </w:rPr>
        <w:t>CoDa</w:t>
      </w:r>
      <w:proofErr w:type="spellEnd"/>
      <w:r w:rsidR="001C11A5">
        <w:rPr>
          <w:rFonts w:eastAsiaTheme="minorEastAsia" w:cstheme="minorBidi"/>
          <w:bCs/>
          <w:szCs w:val="22"/>
          <w:lang w:eastAsia="zh-CN"/>
        </w:rPr>
        <w:t xml:space="preserve"> research platform </w:t>
      </w:r>
      <w:r w:rsidRPr="00744B70">
        <w:rPr>
          <w:rFonts w:eastAsiaTheme="minorEastAsia" w:cstheme="minorBidi"/>
          <w:bCs/>
          <w:szCs w:val="22"/>
          <w:lang w:eastAsia="zh-CN"/>
        </w:rPr>
        <w:t>(https://app.cooperationdatabank.org/)</w:t>
      </w:r>
      <w:r>
        <w:rPr>
          <w:rFonts w:eastAsiaTheme="minorEastAsia" w:cstheme="minorBidi"/>
          <w:bCs/>
          <w:szCs w:val="22"/>
          <w:lang w:eastAsia="zh-CN"/>
        </w:rPr>
        <w:t xml:space="preserve"> </w:t>
      </w:r>
      <w:r w:rsidR="001C11A5">
        <w:rPr>
          <w:rFonts w:eastAsiaTheme="minorEastAsia" w:cstheme="minorBidi"/>
          <w:bCs/>
          <w:szCs w:val="22"/>
          <w:lang w:eastAsia="zh-CN"/>
        </w:rPr>
        <w:t xml:space="preserve">enables us to search and select data </w:t>
      </w:r>
      <w:r w:rsidR="001C11A5" w:rsidRPr="001C11A5">
        <w:rPr>
          <w:rFonts w:eastAsiaTheme="minorEastAsia" w:cstheme="minorBidi"/>
          <w:bCs/>
          <w:szCs w:val="22"/>
          <w:lang w:eastAsia="zh-CN"/>
        </w:rPr>
        <w:t>that have measured or manipulated one of the structural</w:t>
      </w:r>
      <w:r w:rsidR="001C11A5">
        <w:rPr>
          <w:rFonts w:eastAsiaTheme="minorEastAsia" w:cstheme="minorBidi"/>
          <w:bCs/>
          <w:szCs w:val="22"/>
          <w:lang w:eastAsia="zh-CN"/>
        </w:rPr>
        <w:t>/sample</w:t>
      </w:r>
      <w:r w:rsidR="001C11A5" w:rsidRPr="001C11A5">
        <w:rPr>
          <w:rFonts w:eastAsiaTheme="minorEastAsia" w:cstheme="minorBidi"/>
          <w:bCs/>
          <w:szCs w:val="22"/>
          <w:lang w:eastAsia="zh-CN"/>
        </w:rPr>
        <w:t xml:space="preserve"> variables</w:t>
      </w:r>
      <w:r w:rsidR="001C11A5">
        <w:rPr>
          <w:rFonts w:eastAsiaTheme="minorEastAsia" w:cstheme="minorBidi"/>
          <w:bCs/>
          <w:szCs w:val="22"/>
          <w:lang w:eastAsia="zh-CN"/>
        </w:rPr>
        <w:t>, and perform analyses on these studies from the search result.</w:t>
      </w:r>
      <w:r w:rsidR="0081213F">
        <w:rPr>
          <w:rFonts w:eastAsiaTheme="minorEastAsia" w:cstheme="minorBidi"/>
          <w:bCs/>
          <w:szCs w:val="22"/>
          <w:lang w:eastAsia="zh-CN"/>
        </w:rPr>
        <w:t xml:space="preserve"> </w:t>
      </w:r>
      <w:r>
        <w:rPr>
          <w:rFonts w:eastAsiaTheme="minorEastAsia" w:cstheme="minorBidi"/>
          <w:bCs/>
          <w:szCs w:val="22"/>
          <w:lang w:eastAsia="zh-CN"/>
        </w:rPr>
        <w:t>In total, we conducted 1</w:t>
      </w:r>
      <w:r w:rsidR="00CB5888">
        <w:rPr>
          <w:rFonts w:eastAsiaTheme="minorEastAsia" w:cstheme="minorBidi"/>
          <w:bCs/>
          <w:szCs w:val="22"/>
          <w:lang w:eastAsia="zh-CN"/>
        </w:rPr>
        <w:t>2</w:t>
      </w:r>
      <w:r>
        <w:rPr>
          <w:rFonts w:eastAsiaTheme="minorEastAsia" w:cstheme="minorBidi"/>
          <w:bCs/>
          <w:szCs w:val="22"/>
          <w:lang w:eastAsia="zh-CN"/>
        </w:rPr>
        <w:t xml:space="preserve"> meta-analyses</w:t>
      </w:r>
      <w:r w:rsidR="00B94B4D">
        <w:rPr>
          <w:rFonts w:eastAsiaTheme="minorEastAsia" w:cstheme="minorBidi"/>
          <w:bCs/>
          <w:szCs w:val="22"/>
          <w:lang w:eastAsia="zh-CN"/>
        </w:rPr>
        <w:t xml:space="preserve"> and </w:t>
      </w:r>
      <w:r w:rsidR="00861790">
        <w:rPr>
          <w:rFonts w:eastAsiaTheme="minorEastAsia" w:cstheme="minorBidi"/>
          <w:bCs/>
          <w:szCs w:val="22"/>
          <w:lang w:eastAsia="zh-CN"/>
        </w:rPr>
        <w:t>four</w:t>
      </w:r>
      <w:r w:rsidR="00B94B4D">
        <w:rPr>
          <w:rFonts w:eastAsiaTheme="minorEastAsia" w:cstheme="minorBidi"/>
          <w:bCs/>
          <w:szCs w:val="22"/>
          <w:lang w:eastAsia="zh-CN"/>
        </w:rPr>
        <w:t xml:space="preserve"> moderator analyses</w:t>
      </w:r>
      <w:r>
        <w:rPr>
          <w:rFonts w:eastAsiaTheme="minorEastAsia" w:cstheme="minorBidi"/>
          <w:bCs/>
          <w:szCs w:val="22"/>
          <w:lang w:eastAsia="zh-CN"/>
        </w:rPr>
        <w:t xml:space="preserve"> using the </w:t>
      </w:r>
      <w:proofErr w:type="spellStart"/>
      <w:r>
        <w:rPr>
          <w:rFonts w:eastAsiaTheme="minorEastAsia" w:cstheme="minorBidi"/>
          <w:bCs/>
          <w:szCs w:val="22"/>
          <w:lang w:eastAsia="zh-CN"/>
        </w:rPr>
        <w:t>CoDa</w:t>
      </w:r>
      <w:proofErr w:type="spellEnd"/>
      <w:r>
        <w:rPr>
          <w:rFonts w:eastAsiaTheme="minorEastAsia" w:cstheme="minorBidi"/>
          <w:bCs/>
          <w:szCs w:val="22"/>
          <w:lang w:eastAsia="zh-CN"/>
        </w:rPr>
        <w:t xml:space="preserve"> research platform</w:t>
      </w:r>
      <w:r w:rsidR="00B94B4D">
        <w:rPr>
          <w:rFonts w:eastAsiaTheme="minorEastAsia" w:cstheme="minorBidi"/>
          <w:bCs/>
          <w:szCs w:val="22"/>
          <w:lang w:eastAsia="zh-CN"/>
        </w:rPr>
        <w:t xml:space="preserve"> to test the effect of </w:t>
      </w:r>
      <w:r w:rsidR="00B94B4D" w:rsidRPr="00B94B4D">
        <w:rPr>
          <w:rFonts w:eastAsiaTheme="minorEastAsia" w:cstheme="minorBidi"/>
          <w:bCs/>
          <w:szCs w:val="22"/>
          <w:lang w:eastAsia="zh-CN"/>
        </w:rPr>
        <w:t>structural/sample variables</w:t>
      </w:r>
      <w:r w:rsidR="00B94B4D">
        <w:rPr>
          <w:rFonts w:eastAsiaTheme="minorEastAsia" w:cstheme="minorBidi"/>
          <w:bCs/>
          <w:szCs w:val="22"/>
          <w:lang w:eastAsia="zh-CN"/>
        </w:rPr>
        <w:t xml:space="preserve"> on cooperation</w:t>
      </w:r>
      <w:r w:rsidR="00BF7807">
        <w:rPr>
          <w:rFonts w:eastAsiaTheme="minorEastAsia" w:cstheme="minorBidi"/>
          <w:bCs/>
          <w:szCs w:val="22"/>
          <w:lang w:eastAsia="zh-CN"/>
        </w:rPr>
        <w:t xml:space="preserve"> (see Table S9</w:t>
      </w:r>
      <w:r w:rsidR="00C97B8A">
        <w:rPr>
          <w:rFonts w:eastAsiaTheme="minorEastAsia" w:cstheme="minorBidi"/>
          <w:bCs/>
          <w:szCs w:val="22"/>
          <w:lang w:eastAsia="zh-CN"/>
        </w:rPr>
        <w:t>-10</w:t>
      </w:r>
      <w:r w:rsidR="00BF7807">
        <w:rPr>
          <w:rFonts w:eastAsiaTheme="minorEastAsia" w:cstheme="minorBidi"/>
          <w:bCs/>
          <w:szCs w:val="22"/>
          <w:lang w:eastAsia="zh-CN"/>
        </w:rPr>
        <w:t>)</w:t>
      </w:r>
      <w:r w:rsidR="00B94B4D">
        <w:rPr>
          <w:rFonts w:eastAsiaTheme="minorEastAsia" w:cstheme="minorBidi"/>
          <w:bCs/>
          <w:szCs w:val="22"/>
          <w:lang w:eastAsia="zh-CN"/>
        </w:rPr>
        <w:t>, ten of which were reported in the main text (see Figure 3).</w:t>
      </w:r>
      <w:r w:rsidR="00636237">
        <w:rPr>
          <w:rFonts w:eastAsiaTheme="minorEastAsia" w:cstheme="minorBidi"/>
          <w:bCs/>
          <w:szCs w:val="22"/>
          <w:lang w:eastAsia="zh-CN"/>
        </w:rPr>
        <w:t xml:space="preserve"> </w:t>
      </w:r>
      <w:r w:rsidR="00861790">
        <w:rPr>
          <w:rFonts w:eastAsiaTheme="minorEastAsia" w:cstheme="minorBidi"/>
          <w:bCs/>
          <w:szCs w:val="22"/>
          <w:lang w:eastAsia="zh-CN"/>
        </w:rPr>
        <w:t>T</w:t>
      </w:r>
      <w:r w:rsidR="00384991">
        <w:rPr>
          <w:rFonts w:eastAsiaTheme="minorEastAsia" w:cstheme="minorBidi"/>
          <w:bCs/>
          <w:szCs w:val="22"/>
          <w:lang w:eastAsia="zh-CN"/>
        </w:rPr>
        <w:t>h</w:t>
      </w:r>
      <w:r w:rsidR="00BF7807">
        <w:rPr>
          <w:rFonts w:eastAsiaTheme="minorEastAsia" w:cstheme="minorBidi"/>
          <w:bCs/>
          <w:szCs w:val="22"/>
          <w:lang w:eastAsia="zh-CN"/>
        </w:rPr>
        <w:t>re</w:t>
      </w:r>
      <w:r w:rsidR="00384991">
        <w:rPr>
          <w:rFonts w:eastAsiaTheme="minorEastAsia" w:cstheme="minorBidi"/>
          <w:bCs/>
          <w:szCs w:val="22"/>
          <w:lang w:eastAsia="zh-CN"/>
        </w:rPr>
        <w:t>e</w:t>
      </w:r>
      <w:r w:rsidR="00B94B4D">
        <w:rPr>
          <w:rFonts w:eastAsiaTheme="minorEastAsia" w:cstheme="minorBidi"/>
          <w:bCs/>
          <w:szCs w:val="22"/>
          <w:lang w:eastAsia="zh-CN"/>
        </w:rPr>
        <w:t xml:space="preserve"> </w:t>
      </w:r>
      <w:r w:rsidR="00117CC6">
        <w:rPr>
          <w:rFonts w:eastAsiaTheme="minorEastAsia" w:cstheme="minorBidi"/>
          <w:bCs/>
          <w:szCs w:val="22"/>
          <w:lang w:eastAsia="zh-CN"/>
        </w:rPr>
        <w:t xml:space="preserve">general </w:t>
      </w:r>
      <w:r w:rsidR="00B94B4D">
        <w:rPr>
          <w:rFonts w:eastAsiaTheme="minorEastAsia" w:cstheme="minorBidi"/>
          <w:bCs/>
          <w:szCs w:val="22"/>
          <w:lang w:eastAsia="zh-CN"/>
        </w:rPr>
        <w:t xml:space="preserve">steps were involved </w:t>
      </w:r>
      <w:r w:rsidR="00D22F53">
        <w:rPr>
          <w:rFonts w:eastAsiaTheme="minorEastAsia" w:cstheme="minorBidi" w:hint="eastAsia"/>
          <w:bCs/>
          <w:szCs w:val="22"/>
          <w:lang w:eastAsia="zh-CN"/>
        </w:rPr>
        <w:t>in</w:t>
      </w:r>
      <w:r w:rsidR="00D22F53">
        <w:rPr>
          <w:rFonts w:eastAsiaTheme="minorEastAsia" w:cstheme="minorBidi"/>
          <w:bCs/>
          <w:szCs w:val="22"/>
          <w:lang w:eastAsia="zh-CN"/>
        </w:rPr>
        <w:t xml:space="preserve"> conducting these meta-analyses </w:t>
      </w:r>
      <w:r w:rsidR="00A1064D">
        <w:rPr>
          <w:rFonts w:eastAsiaTheme="minorEastAsia" w:cstheme="minorBidi"/>
          <w:bCs/>
          <w:szCs w:val="22"/>
          <w:lang w:eastAsia="zh-CN"/>
        </w:rPr>
        <w:t>using</w:t>
      </w:r>
      <w:r w:rsidR="00D22F53">
        <w:rPr>
          <w:rFonts w:eastAsiaTheme="minorEastAsia" w:cstheme="minorBidi"/>
          <w:bCs/>
          <w:szCs w:val="22"/>
          <w:lang w:eastAsia="zh-CN"/>
        </w:rPr>
        <w:t xml:space="preserve"> the </w:t>
      </w:r>
      <w:proofErr w:type="spellStart"/>
      <w:r w:rsidR="00D22F53">
        <w:rPr>
          <w:rFonts w:eastAsiaTheme="minorEastAsia" w:cstheme="minorBidi"/>
          <w:bCs/>
          <w:szCs w:val="22"/>
          <w:lang w:eastAsia="zh-CN"/>
        </w:rPr>
        <w:t>CoDa</w:t>
      </w:r>
      <w:proofErr w:type="spellEnd"/>
      <w:r w:rsidR="00D22F53">
        <w:rPr>
          <w:rFonts w:eastAsiaTheme="minorEastAsia" w:cstheme="minorBidi"/>
          <w:bCs/>
          <w:szCs w:val="22"/>
          <w:lang w:eastAsia="zh-CN"/>
        </w:rPr>
        <w:t xml:space="preserve"> research platform, </w:t>
      </w:r>
      <w:r w:rsidR="00117CC6">
        <w:rPr>
          <w:rFonts w:eastAsiaTheme="minorEastAsia" w:cstheme="minorBidi"/>
          <w:bCs/>
          <w:szCs w:val="22"/>
          <w:lang w:eastAsia="zh-CN"/>
        </w:rPr>
        <w:t xml:space="preserve">including (a) search and selection of studies, (b) </w:t>
      </w:r>
      <w:r w:rsidR="00861790">
        <w:rPr>
          <w:rFonts w:eastAsiaTheme="minorEastAsia" w:cstheme="minorBidi"/>
          <w:bCs/>
          <w:szCs w:val="22"/>
          <w:lang w:eastAsia="zh-CN"/>
        </w:rPr>
        <w:t>meta-</w:t>
      </w:r>
      <w:r w:rsidR="00117CC6">
        <w:rPr>
          <w:rFonts w:eastAsiaTheme="minorEastAsia" w:cstheme="minorBidi"/>
          <w:bCs/>
          <w:szCs w:val="22"/>
          <w:lang w:eastAsia="zh-CN"/>
        </w:rPr>
        <w:t xml:space="preserve">analyses of selected studies </w:t>
      </w:r>
      <w:r w:rsidR="00861790">
        <w:rPr>
          <w:rFonts w:eastAsiaTheme="minorEastAsia" w:cstheme="minorBidi"/>
          <w:bCs/>
          <w:szCs w:val="22"/>
          <w:lang w:eastAsia="zh-CN"/>
        </w:rPr>
        <w:t>(</w:t>
      </w:r>
      <w:r w:rsidR="00117CC6">
        <w:rPr>
          <w:rFonts w:eastAsiaTheme="minorEastAsia" w:cstheme="minorBidi"/>
          <w:bCs/>
          <w:szCs w:val="22"/>
          <w:lang w:eastAsia="zh-CN"/>
        </w:rPr>
        <w:t>and publication-bias analyses)</w:t>
      </w:r>
      <w:r w:rsidR="00384991">
        <w:rPr>
          <w:rFonts w:eastAsiaTheme="minorEastAsia" w:cstheme="minorBidi"/>
          <w:bCs/>
          <w:szCs w:val="22"/>
          <w:lang w:eastAsia="zh-CN"/>
        </w:rPr>
        <w:t>, and (c) moderator analysis</w:t>
      </w:r>
      <w:r w:rsidR="00590FC4">
        <w:rPr>
          <w:rFonts w:eastAsiaTheme="minorEastAsia" w:cstheme="minorBidi"/>
          <w:bCs/>
          <w:szCs w:val="22"/>
          <w:lang w:eastAsia="zh-CN"/>
        </w:rPr>
        <w:t xml:space="preserve"> </w:t>
      </w:r>
      <w:r w:rsidR="00384991">
        <w:rPr>
          <w:rFonts w:eastAsiaTheme="minorEastAsia" w:cstheme="minorBidi"/>
          <w:bCs/>
          <w:szCs w:val="22"/>
          <w:lang w:eastAsia="zh-CN"/>
        </w:rPr>
        <w:t>(if applicable).</w:t>
      </w:r>
      <w:r w:rsidR="00636237">
        <w:rPr>
          <w:rFonts w:eastAsiaTheme="minorEastAsia" w:cstheme="minorBidi"/>
          <w:bCs/>
          <w:szCs w:val="22"/>
          <w:lang w:eastAsia="zh-CN"/>
        </w:rPr>
        <w:t xml:space="preserve"> To ensure the reproducibility of these meta-analytic results, we have downloaded</w:t>
      </w:r>
      <w:r w:rsidR="00636237" w:rsidRPr="00636237">
        <w:rPr>
          <w:rFonts w:eastAsiaTheme="minorEastAsia" w:cstheme="minorBidi"/>
          <w:bCs/>
          <w:szCs w:val="22"/>
          <w:lang w:eastAsia="zh-CN"/>
        </w:rPr>
        <w:t xml:space="preserve"> dataset</w:t>
      </w:r>
      <w:r w:rsidR="00636237">
        <w:rPr>
          <w:rFonts w:eastAsiaTheme="minorEastAsia" w:cstheme="minorBidi"/>
          <w:bCs/>
          <w:szCs w:val="22"/>
          <w:lang w:eastAsia="zh-CN"/>
        </w:rPr>
        <w:t>s</w:t>
      </w:r>
      <w:r w:rsidR="00636237" w:rsidRPr="00636237">
        <w:rPr>
          <w:rFonts w:eastAsiaTheme="minorEastAsia" w:cstheme="minorBidi"/>
          <w:bCs/>
          <w:szCs w:val="22"/>
          <w:lang w:eastAsia="zh-CN"/>
        </w:rPr>
        <w:t xml:space="preserve"> </w:t>
      </w:r>
      <w:r w:rsidR="00636237">
        <w:rPr>
          <w:rFonts w:eastAsiaTheme="minorEastAsia" w:cstheme="minorBidi"/>
          <w:bCs/>
          <w:szCs w:val="22"/>
          <w:lang w:eastAsia="zh-CN"/>
        </w:rPr>
        <w:t>containing</w:t>
      </w:r>
      <w:r w:rsidR="00636237" w:rsidRPr="00636237">
        <w:rPr>
          <w:rFonts w:eastAsiaTheme="minorEastAsia" w:cstheme="minorBidi"/>
          <w:bCs/>
          <w:szCs w:val="22"/>
          <w:lang w:eastAsia="zh-CN"/>
        </w:rPr>
        <w:t xml:space="preserve"> </w:t>
      </w:r>
      <w:r w:rsidR="00636237">
        <w:rPr>
          <w:rFonts w:eastAsiaTheme="minorEastAsia" w:cstheme="minorBidi"/>
          <w:bCs/>
          <w:szCs w:val="22"/>
          <w:lang w:eastAsia="zh-CN"/>
        </w:rPr>
        <w:t xml:space="preserve">the </w:t>
      </w:r>
      <w:r w:rsidR="00636237" w:rsidRPr="00636237">
        <w:rPr>
          <w:rFonts w:eastAsiaTheme="minorEastAsia" w:cstheme="minorBidi"/>
          <w:bCs/>
          <w:szCs w:val="22"/>
          <w:lang w:eastAsia="zh-CN"/>
        </w:rPr>
        <w:t xml:space="preserve">selected studies </w:t>
      </w:r>
      <w:r w:rsidR="00636237">
        <w:rPr>
          <w:rFonts w:eastAsiaTheme="minorEastAsia" w:cstheme="minorBidi"/>
          <w:bCs/>
          <w:szCs w:val="22"/>
          <w:lang w:eastAsia="zh-CN"/>
        </w:rPr>
        <w:t>for each variable of interest</w:t>
      </w:r>
      <w:r w:rsidR="00425636">
        <w:rPr>
          <w:rFonts w:eastAsiaTheme="minorEastAsia" w:cstheme="minorBidi"/>
          <w:bCs/>
          <w:szCs w:val="22"/>
          <w:lang w:eastAsia="zh-CN"/>
        </w:rPr>
        <w:t xml:space="preserve">, </w:t>
      </w:r>
      <w:r w:rsidR="00C32ADD">
        <w:rPr>
          <w:rFonts w:eastAsiaTheme="minorEastAsia" w:cstheme="minorBidi"/>
          <w:bCs/>
          <w:szCs w:val="22"/>
          <w:lang w:eastAsia="zh-CN"/>
        </w:rPr>
        <w:t xml:space="preserve">conducted </w:t>
      </w:r>
      <w:r w:rsidR="00425636">
        <w:rPr>
          <w:rFonts w:eastAsiaTheme="minorEastAsia" w:cstheme="minorBidi"/>
          <w:bCs/>
          <w:szCs w:val="22"/>
          <w:lang w:eastAsia="zh-CN"/>
        </w:rPr>
        <w:t xml:space="preserve">these meta-analyses offline, and </w:t>
      </w:r>
      <w:r w:rsidR="00636237">
        <w:rPr>
          <w:rFonts w:eastAsiaTheme="minorEastAsia" w:cstheme="minorBidi"/>
          <w:bCs/>
          <w:szCs w:val="22"/>
          <w:lang w:eastAsia="zh-CN"/>
        </w:rPr>
        <w:t>uploaded the</w:t>
      </w:r>
      <w:r w:rsidR="00425636">
        <w:rPr>
          <w:rFonts w:eastAsiaTheme="minorEastAsia" w:cstheme="minorBidi"/>
          <w:bCs/>
          <w:szCs w:val="22"/>
          <w:lang w:eastAsia="zh-CN"/>
        </w:rPr>
        <w:t>se data and R syntax</w:t>
      </w:r>
      <w:r w:rsidR="00636237">
        <w:rPr>
          <w:rFonts w:eastAsiaTheme="minorEastAsia" w:cstheme="minorBidi"/>
          <w:bCs/>
          <w:szCs w:val="22"/>
          <w:lang w:eastAsia="zh-CN"/>
        </w:rPr>
        <w:t xml:space="preserve"> to</w:t>
      </w:r>
      <w:r w:rsidR="00636237" w:rsidRPr="00636237">
        <w:rPr>
          <w:rFonts w:eastAsiaTheme="minorEastAsia" w:cstheme="minorBidi"/>
          <w:bCs/>
          <w:szCs w:val="22"/>
          <w:lang w:eastAsia="zh-CN"/>
        </w:rPr>
        <w:t xml:space="preserve"> OSF</w:t>
      </w:r>
      <w:r w:rsidR="006523BD">
        <w:rPr>
          <w:rFonts w:eastAsiaTheme="minorEastAsia" w:cstheme="minorBidi" w:hint="eastAsia"/>
          <w:bCs/>
          <w:szCs w:val="22"/>
          <w:lang w:eastAsia="zh-CN"/>
        </w:rPr>
        <w:t xml:space="preserve"> (</w:t>
      </w:r>
      <w:r w:rsidR="00AD5427" w:rsidRPr="00AD5427">
        <w:rPr>
          <w:rFonts w:eastAsiaTheme="minorEastAsia" w:cstheme="minorBidi"/>
          <w:bCs/>
          <w:szCs w:val="22"/>
          <w:lang w:eastAsia="zh-CN"/>
        </w:rPr>
        <w:t>https://osf.io/m9hj2/</w:t>
      </w:r>
      <w:r w:rsidR="006523BD">
        <w:rPr>
          <w:rFonts w:eastAsiaTheme="minorEastAsia" w:cstheme="minorBidi" w:hint="eastAsia"/>
          <w:bCs/>
          <w:szCs w:val="22"/>
          <w:lang w:eastAsia="zh-CN"/>
        </w:rPr>
        <w:t>)</w:t>
      </w:r>
      <w:r w:rsidR="00636237" w:rsidRPr="00636237">
        <w:rPr>
          <w:rFonts w:eastAsiaTheme="minorEastAsia" w:cstheme="minorBidi"/>
          <w:bCs/>
          <w:szCs w:val="22"/>
          <w:lang w:eastAsia="zh-CN"/>
        </w:rPr>
        <w:t>.</w:t>
      </w:r>
    </w:p>
    <w:p w14:paraId="71A1EB3D" w14:textId="7BFA8206" w:rsidR="00EE6FAA" w:rsidRDefault="0081213F" w:rsidP="00384991">
      <w:pPr>
        <w:ind w:firstLine="709"/>
        <w:rPr>
          <w:rFonts w:eastAsiaTheme="minorEastAsia" w:cstheme="minorBidi"/>
          <w:bCs/>
          <w:szCs w:val="22"/>
          <w:lang w:eastAsia="zh-CN"/>
        </w:rPr>
      </w:pPr>
      <w:r>
        <w:rPr>
          <w:rFonts w:eastAsiaTheme="minorEastAsia" w:cstheme="minorBidi"/>
          <w:bCs/>
          <w:szCs w:val="22"/>
          <w:lang w:eastAsia="zh-CN"/>
        </w:rPr>
        <w:t xml:space="preserve">Here, we took </w:t>
      </w:r>
      <w:r w:rsidR="00CB5888">
        <w:rPr>
          <w:rFonts w:eastAsiaTheme="minorEastAsia" w:cstheme="minorBidi"/>
          <w:bCs/>
          <w:szCs w:val="22"/>
          <w:lang w:eastAsia="zh-CN"/>
        </w:rPr>
        <w:t>punishment</w:t>
      </w:r>
      <w:r>
        <w:rPr>
          <w:rFonts w:eastAsiaTheme="minorEastAsia" w:cstheme="minorBidi"/>
          <w:bCs/>
          <w:szCs w:val="22"/>
          <w:lang w:eastAsia="zh-CN"/>
        </w:rPr>
        <w:t xml:space="preserve"> as an example to illustrate how </w:t>
      </w:r>
      <w:r w:rsidR="00117CC6">
        <w:rPr>
          <w:rFonts w:eastAsiaTheme="minorEastAsia" w:cstheme="minorBidi"/>
          <w:bCs/>
          <w:szCs w:val="22"/>
          <w:lang w:eastAsia="zh-CN"/>
        </w:rPr>
        <w:t>these steps were conducted.</w:t>
      </w:r>
      <w:r w:rsidR="00203F38">
        <w:rPr>
          <w:rFonts w:eastAsiaTheme="minorEastAsia" w:cstheme="minorBidi"/>
          <w:bCs/>
          <w:szCs w:val="22"/>
          <w:lang w:eastAsia="zh-CN"/>
        </w:rPr>
        <w:t xml:space="preserve"> </w:t>
      </w:r>
      <w:r w:rsidR="00117CC6">
        <w:rPr>
          <w:rFonts w:eastAsiaTheme="minorEastAsia" w:cstheme="minorBidi"/>
          <w:bCs/>
          <w:szCs w:val="22"/>
          <w:lang w:eastAsia="zh-CN"/>
        </w:rPr>
        <w:t xml:space="preserve">First, </w:t>
      </w:r>
      <w:r w:rsidR="00BC6EC1">
        <w:rPr>
          <w:rFonts w:eastAsiaTheme="minorEastAsia" w:cstheme="minorBidi"/>
          <w:bCs/>
          <w:szCs w:val="22"/>
          <w:lang w:eastAsia="zh-CN"/>
        </w:rPr>
        <w:t xml:space="preserve">on the page </w:t>
      </w:r>
      <w:r w:rsidR="00590FC4" w:rsidRPr="00590FC4">
        <w:rPr>
          <w:rFonts w:eastAsiaTheme="minorEastAsia" w:cstheme="minorBidi"/>
          <w:bCs/>
          <w:i/>
          <w:iCs/>
          <w:szCs w:val="22"/>
          <w:lang w:eastAsia="zh-CN"/>
        </w:rPr>
        <w:t>Data overview</w:t>
      </w:r>
      <w:r w:rsidR="00E95E55">
        <w:rPr>
          <w:rFonts w:eastAsiaTheme="minorEastAsia" w:cstheme="minorBidi"/>
          <w:bCs/>
          <w:szCs w:val="22"/>
          <w:lang w:eastAsia="zh-CN"/>
        </w:rPr>
        <w:t xml:space="preserve">, </w:t>
      </w:r>
      <w:r w:rsidR="00203F38">
        <w:rPr>
          <w:rFonts w:eastAsiaTheme="minorEastAsia" w:cstheme="minorBidi"/>
          <w:bCs/>
          <w:szCs w:val="22"/>
          <w:lang w:eastAsia="zh-CN"/>
        </w:rPr>
        <w:t xml:space="preserve">we selected studies that examined the effect of </w:t>
      </w:r>
      <w:r w:rsidR="00CB5888">
        <w:rPr>
          <w:rFonts w:eastAsiaTheme="minorEastAsia" w:cstheme="minorBidi"/>
          <w:bCs/>
          <w:szCs w:val="22"/>
          <w:lang w:eastAsia="zh-CN"/>
        </w:rPr>
        <w:t xml:space="preserve">punishment </w:t>
      </w:r>
      <w:r w:rsidR="00203F38">
        <w:rPr>
          <w:rFonts w:eastAsiaTheme="minorEastAsia" w:cstheme="minorBidi"/>
          <w:bCs/>
          <w:szCs w:val="22"/>
          <w:lang w:eastAsia="zh-CN"/>
        </w:rPr>
        <w:t>on cooperation by</w:t>
      </w:r>
      <w:r w:rsidR="00590FC4">
        <w:rPr>
          <w:rFonts w:eastAsiaTheme="minorEastAsia" w:cstheme="minorBidi"/>
          <w:bCs/>
          <w:szCs w:val="22"/>
          <w:lang w:eastAsia="zh-CN"/>
        </w:rPr>
        <w:t xml:space="preserve"> specifying the generic independent variable (</w:t>
      </w:r>
      <w:r w:rsidR="005B5FC4">
        <w:rPr>
          <w:rFonts w:eastAsiaTheme="minorEastAsia" w:cstheme="minorBidi"/>
          <w:bCs/>
          <w:szCs w:val="22"/>
          <w:lang w:eastAsia="zh-CN"/>
        </w:rPr>
        <w:t xml:space="preserve">i.e., </w:t>
      </w:r>
      <w:r w:rsidR="00CB5888" w:rsidRPr="00CB5888">
        <w:rPr>
          <w:rFonts w:eastAsiaTheme="minorEastAsia" w:cstheme="minorBidi"/>
          <w:bCs/>
          <w:szCs w:val="22"/>
          <w:lang w:eastAsia="zh-CN"/>
        </w:rPr>
        <w:t>Punishment</w:t>
      </w:r>
      <w:r w:rsidR="00590FC4">
        <w:rPr>
          <w:rFonts w:eastAsiaTheme="minorEastAsia" w:cstheme="minorBidi"/>
          <w:bCs/>
          <w:szCs w:val="22"/>
          <w:lang w:eastAsia="zh-CN"/>
        </w:rPr>
        <w:t>), specific independent variable (</w:t>
      </w:r>
      <w:r w:rsidR="005B5FC4">
        <w:rPr>
          <w:rFonts w:eastAsiaTheme="minorEastAsia" w:cstheme="minorBidi"/>
          <w:bCs/>
          <w:szCs w:val="22"/>
          <w:lang w:eastAsia="zh-CN"/>
        </w:rPr>
        <w:t xml:space="preserve">i.e., </w:t>
      </w:r>
      <w:r w:rsidR="00CB5888" w:rsidRPr="00CB5888">
        <w:rPr>
          <w:rFonts w:eastAsiaTheme="minorEastAsia" w:cstheme="minorBidi"/>
          <w:bCs/>
          <w:szCs w:val="22"/>
          <w:lang w:eastAsia="zh-CN"/>
        </w:rPr>
        <w:t>Punishment treatment</w:t>
      </w:r>
      <w:r w:rsidR="00590FC4">
        <w:rPr>
          <w:rFonts w:eastAsiaTheme="minorEastAsia" w:cstheme="minorBidi"/>
          <w:bCs/>
          <w:szCs w:val="22"/>
          <w:lang w:eastAsia="zh-CN"/>
        </w:rPr>
        <w:t>) and values of the specific independent variable (</w:t>
      </w:r>
      <w:r w:rsidR="005B5FC4">
        <w:rPr>
          <w:rFonts w:eastAsiaTheme="minorEastAsia" w:cstheme="minorBidi"/>
          <w:bCs/>
          <w:szCs w:val="22"/>
          <w:lang w:eastAsia="zh-CN"/>
        </w:rPr>
        <w:t xml:space="preserve">i.e., </w:t>
      </w:r>
      <w:r w:rsidR="00CB5888">
        <w:rPr>
          <w:rFonts w:eastAsiaTheme="minorEastAsia" w:cstheme="minorBidi"/>
          <w:bCs/>
          <w:szCs w:val="22"/>
          <w:lang w:eastAsia="zh-CN"/>
        </w:rPr>
        <w:t>1</w:t>
      </w:r>
      <w:r w:rsidR="005B5FC4">
        <w:rPr>
          <w:rFonts w:eastAsiaTheme="minorEastAsia" w:cstheme="minorBidi"/>
          <w:bCs/>
          <w:szCs w:val="22"/>
          <w:lang w:eastAsia="zh-CN"/>
        </w:rPr>
        <w:t xml:space="preserve"> vs. </w:t>
      </w:r>
      <w:r w:rsidR="00CB5888" w:rsidRPr="00CB5888">
        <w:rPr>
          <w:rFonts w:eastAsiaTheme="minorEastAsia" w:cstheme="minorBidi"/>
          <w:bCs/>
          <w:szCs w:val="22"/>
          <w:lang w:eastAsia="zh-CN"/>
        </w:rPr>
        <w:t>–1</w:t>
      </w:r>
      <w:r w:rsidR="005B5FC4">
        <w:rPr>
          <w:rFonts w:eastAsiaTheme="minorEastAsia" w:cstheme="minorBidi"/>
          <w:bCs/>
          <w:szCs w:val="22"/>
          <w:lang w:eastAsia="zh-CN"/>
        </w:rPr>
        <w:t xml:space="preserve">) for </w:t>
      </w:r>
      <w:r w:rsidR="005B5FC4" w:rsidRPr="005B5FC4">
        <w:rPr>
          <w:rFonts w:eastAsiaTheme="minorEastAsia" w:cstheme="minorBidi"/>
          <w:bCs/>
          <w:szCs w:val="22"/>
          <w:lang w:eastAsia="zh-CN"/>
        </w:rPr>
        <w:t>Treatment 1</w:t>
      </w:r>
      <w:r w:rsidR="005B5FC4">
        <w:rPr>
          <w:rFonts w:eastAsiaTheme="minorEastAsia" w:cstheme="minorBidi"/>
          <w:bCs/>
          <w:szCs w:val="22"/>
          <w:lang w:eastAsia="zh-CN"/>
        </w:rPr>
        <w:t xml:space="preserve"> and</w:t>
      </w:r>
      <w:r w:rsidR="005B5FC4" w:rsidRPr="005B5FC4">
        <w:rPr>
          <w:rFonts w:eastAsiaTheme="minorEastAsia" w:cstheme="minorBidi"/>
          <w:bCs/>
          <w:szCs w:val="22"/>
          <w:lang w:eastAsia="zh-CN"/>
        </w:rPr>
        <w:t xml:space="preserve"> Treatment 2</w:t>
      </w:r>
      <w:r w:rsidR="005B5FC4">
        <w:rPr>
          <w:rFonts w:eastAsiaTheme="minorEastAsia" w:cstheme="minorBidi"/>
          <w:bCs/>
          <w:szCs w:val="22"/>
          <w:lang w:eastAsia="zh-CN"/>
        </w:rPr>
        <w:t xml:space="preserve">, respectively. </w:t>
      </w:r>
      <w:r w:rsidR="00CB5888">
        <w:rPr>
          <w:rFonts w:eastAsiaTheme="minorEastAsia" w:cstheme="minorBidi"/>
          <w:bCs/>
          <w:szCs w:val="22"/>
          <w:lang w:eastAsia="zh-CN"/>
        </w:rPr>
        <w:t xml:space="preserve">1 represents the punishment treatment, while </w:t>
      </w:r>
      <w:r w:rsidR="00CB5888" w:rsidRPr="00CB5888">
        <w:rPr>
          <w:rFonts w:eastAsiaTheme="minorEastAsia" w:cstheme="minorBidi"/>
          <w:bCs/>
          <w:szCs w:val="22"/>
          <w:lang w:eastAsia="zh-CN"/>
        </w:rPr>
        <w:t>–1</w:t>
      </w:r>
      <w:r w:rsidR="00CB5888">
        <w:rPr>
          <w:rFonts w:eastAsiaTheme="minorEastAsia" w:cstheme="minorBidi"/>
          <w:bCs/>
          <w:szCs w:val="22"/>
          <w:lang w:eastAsia="zh-CN"/>
        </w:rPr>
        <w:t xml:space="preserve"> indicates t</w:t>
      </w:r>
      <w:r w:rsidR="00CB5888" w:rsidRPr="00CB5888">
        <w:rPr>
          <w:rFonts w:eastAsiaTheme="minorEastAsia" w:cstheme="minorBidi"/>
          <w:bCs/>
          <w:szCs w:val="22"/>
          <w:lang w:eastAsia="zh-CN"/>
        </w:rPr>
        <w:t>he baseline treatment compared against any treatment coded as punishment treatmen</w:t>
      </w:r>
      <w:r w:rsidR="00CB5888">
        <w:rPr>
          <w:rFonts w:eastAsiaTheme="minorEastAsia" w:cstheme="minorBidi"/>
          <w:bCs/>
          <w:szCs w:val="22"/>
          <w:lang w:eastAsia="zh-CN"/>
        </w:rPr>
        <w:t xml:space="preserve">t. </w:t>
      </w:r>
      <w:r w:rsidR="00384991">
        <w:rPr>
          <w:rFonts w:eastAsiaTheme="minorEastAsia" w:cstheme="minorBidi"/>
          <w:bCs/>
          <w:szCs w:val="22"/>
          <w:lang w:eastAsia="zh-CN"/>
        </w:rPr>
        <w:t xml:space="preserve">On this </w:t>
      </w:r>
      <w:r w:rsidR="00384991" w:rsidRPr="00590FC4">
        <w:rPr>
          <w:rFonts w:eastAsiaTheme="minorEastAsia" w:cstheme="minorBidi"/>
          <w:bCs/>
          <w:i/>
          <w:iCs/>
          <w:szCs w:val="22"/>
          <w:lang w:eastAsia="zh-CN"/>
        </w:rPr>
        <w:t>Data overview</w:t>
      </w:r>
      <w:r w:rsidR="00384991" w:rsidRPr="00CB5888">
        <w:rPr>
          <w:rFonts w:eastAsiaTheme="minorEastAsia" w:cstheme="minorBidi"/>
          <w:bCs/>
          <w:szCs w:val="22"/>
          <w:lang w:eastAsia="zh-CN"/>
        </w:rPr>
        <w:t xml:space="preserve"> </w:t>
      </w:r>
      <w:r w:rsidR="00384991">
        <w:rPr>
          <w:rFonts w:eastAsiaTheme="minorEastAsia" w:cstheme="minorBidi"/>
          <w:bCs/>
          <w:szCs w:val="22"/>
          <w:lang w:eastAsia="zh-CN"/>
        </w:rPr>
        <w:t>page, s</w:t>
      </w:r>
      <w:r w:rsidR="00CB5888" w:rsidRPr="00CB5888">
        <w:rPr>
          <w:rFonts w:eastAsiaTheme="minorEastAsia" w:cstheme="minorBidi"/>
          <w:bCs/>
          <w:szCs w:val="22"/>
          <w:lang w:eastAsia="zh-CN"/>
        </w:rPr>
        <w:t xml:space="preserve">elected studies </w:t>
      </w:r>
      <w:r w:rsidR="00CB5888">
        <w:rPr>
          <w:rFonts w:eastAsiaTheme="minorEastAsia" w:cstheme="minorBidi"/>
          <w:bCs/>
          <w:szCs w:val="22"/>
          <w:lang w:eastAsia="zh-CN"/>
        </w:rPr>
        <w:t>can be</w:t>
      </w:r>
      <w:r w:rsidR="00CB5888" w:rsidRPr="00CB5888">
        <w:rPr>
          <w:rFonts w:eastAsiaTheme="minorEastAsia" w:cstheme="minorBidi"/>
          <w:bCs/>
          <w:szCs w:val="22"/>
          <w:lang w:eastAsia="zh-CN"/>
        </w:rPr>
        <w:t xml:space="preserve"> visualized according to the country/region where the studies were conducted, sample size per study, and year </w:t>
      </w:r>
      <w:r w:rsidR="00CE2107">
        <w:rPr>
          <w:rFonts w:eastAsiaTheme="minorEastAsia" w:cstheme="minorBidi"/>
          <w:bCs/>
          <w:szCs w:val="22"/>
          <w:lang w:eastAsia="zh-CN"/>
        </w:rPr>
        <w:t xml:space="preserve">when </w:t>
      </w:r>
      <w:r w:rsidR="00CB5888" w:rsidRPr="00CB5888">
        <w:rPr>
          <w:rFonts w:eastAsiaTheme="minorEastAsia" w:cstheme="minorBidi"/>
          <w:bCs/>
          <w:szCs w:val="22"/>
          <w:lang w:eastAsia="zh-CN"/>
        </w:rPr>
        <w:lastRenderedPageBreak/>
        <w:t>the study was conducted</w:t>
      </w:r>
      <w:r w:rsidR="00384991">
        <w:rPr>
          <w:rFonts w:eastAsiaTheme="minorEastAsia" w:cstheme="minorBidi"/>
          <w:bCs/>
          <w:szCs w:val="22"/>
          <w:lang w:eastAsia="zh-CN"/>
        </w:rPr>
        <w:t xml:space="preserve">. </w:t>
      </w:r>
      <w:r w:rsidR="00900AE1">
        <w:rPr>
          <w:rFonts w:eastAsiaTheme="minorEastAsia" w:cstheme="minorBidi"/>
          <w:bCs/>
          <w:szCs w:val="22"/>
          <w:lang w:eastAsia="zh-CN"/>
        </w:rPr>
        <w:t xml:space="preserve">At the bottom of this </w:t>
      </w:r>
      <w:r w:rsidR="00900AE1" w:rsidRPr="00590FC4">
        <w:rPr>
          <w:rFonts w:eastAsiaTheme="minorEastAsia" w:cstheme="minorBidi"/>
          <w:bCs/>
          <w:i/>
          <w:iCs/>
          <w:szCs w:val="22"/>
          <w:lang w:eastAsia="zh-CN"/>
        </w:rPr>
        <w:t>Data overview</w:t>
      </w:r>
      <w:r w:rsidR="00900AE1" w:rsidRPr="00CB5888">
        <w:rPr>
          <w:rFonts w:eastAsiaTheme="minorEastAsia" w:cstheme="minorBidi"/>
          <w:bCs/>
          <w:szCs w:val="22"/>
          <w:lang w:eastAsia="zh-CN"/>
        </w:rPr>
        <w:t xml:space="preserve"> </w:t>
      </w:r>
      <w:r w:rsidR="00900AE1">
        <w:rPr>
          <w:rFonts w:eastAsiaTheme="minorEastAsia" w:cstheme="minorBidi"/>
          <w:bCs/>
          <w:szCs w:val="22"/>
          <w:lang w:eastAsia="zh-CN"/>
        </w:rPr>
        <w:t>page, the APA references and the raw dataset</w:t>
      </w:r>
      <w:r w:rsidR="00A54E9F">
        <w:rPr>
          <w:rFonts w:eastAsiaTheme="minorEastAsia" w:cstheme="minorBidi"/>
          <w:bCs/>
          <w:szCs w:val="22"/>
          <w:lang w:eastAsia="zh-CN"/>
        </w:rPr>
        <w:t xml:space="preserve"> (containing all annotated variables)</w:t>
      </w:r>
      <w:r w:rsidR="00900AE1">
        <w:rPr>
          <w:rFonts w:eastAsiaTheme="minorEastAsia" w:cstheme="minorBidi"/>
          <w:bCs/>
          <w:szCs w:val="22"/>
          <w:lang w:eastAsia="zh-CN"/>
        </w:rPr>
        <w:t xml:space="preserve"> of these selected studies can be downloaded from the platform</w:t>
      </w:r>
      <w:r w:rsidR="007C2C60">
        <w:rPr>
          <w:rFonts w:eastAsiaTheme="minorEastAsia" w:cstheme="minorBidi"/>
          <w:bCs/>
          <w:szCs w:val="22"/>
          <w:lang w:eastAsia="zh-CN"/>
        </w:rPr>
        <w:t xml:space="preserve">. </w:t>
      </w:r>
    </w:p>
    <w:p w14:paraId="7529F202" w14:textId="5DB8EA6C" w:rsidR="00384991" w:rsidRDefault="005B5FC4" w:rsidP="00384991">
      <w:pPr>
        <w:ind w:firstLine="709"/>
        <w:rPr>
          <w:rFonts w:eastAsiaTheme="minorEastAsia" w:cstheme="minorBidi"/>
          <w:bCs/>
          <w:szCs w:val="22"/>
          <w:lang w:eastAsia="zh-CN"/>
        </w:rPr>
      </w:pPr>
      <w:r>
        <w:rPr>
          <w:rFonts w:eastAsiaTheme="minorEastAsia" w:cstheme="minorBidi"/>
          <w:bCs/>
          <w:szCs w:val="22"/>
          <w:lang w:eastAsia="zh-CN"/>
        </w:rPr>
        <w:t xml:space="preserve">Next, we moved to the page </w:t>
      </w:r>
      <w:r w:rsidRPr="005B5FC4">
        <w:rPr>
          <w:rFonts w:eastAsiaTheme="minorEastAsia" w:cstheme="minorBidi"/>
          <w:bCs/>
          <w:i/>
          <w:iCs/>
          <w:szCs w:val="22"/>
          <w:lang w:eastAsia="zh-CN"/>
        </w:rPr>
        <w:t>Meta-analyses</w:t>
      </w:r>
      <w:r>
        <w:rPr>
          <w:rFonts w:eastAsiaTheme="minorEastAsia" w:cstheme="minorBidi"/>
          <w:bCs/>
          <w:szCs w:val="22"/>
          <w:lang w:eastAsia="zh-CN"/>
        </w:rPr>
        <w:t xml:space="preserve"> to conduct analyses of the</w:t>
      </w:r>
      <w:r w:rsidR="00A54E9F">
        <w:rPr>
          <w:rFonts w:eastAsiaTheme="minorEastAsia" w:cstheme="minorBidi"/>
          <w:bCs/>
          <w:szCs w:val="22"/>
          <w:lang w:eastAsia="zh-CN"/>
        </w:rPr>
        <w:t>se</w:t>
      </w:r>
      <w:r>
        <w:rPr>
          <w:rFonts w:eastAsiaTheme="minorEastAsia" w:cstheme="minorBidi"/>
          <w:bCs/>
          <w:szCs w:val="22"/>
          <w:lang w:eastAsia="zh-CN"/>
        </w:rPr>
        <w:t xml:space="preserve"> selected studies. </w:t>
      </w:r>
      <w:r w:rsidRPr="005B5FC4">
        <w:rPr>
          <w:rFonts w:eastAsiaTheme="minorEastAsia" w:cstheme="minorBidi"/>
          <w:bCs/>
          <w:szCs w:val="22"/>
          <w:lang w:eastAsia="zh-CN"/>
        </w:rPr>
        <w:t>Standardized Mean Difference</w:t>
      </w:r>
      <w:r>
        <w:rPr>
          <w:rFonts w:eastAsiaTheme="minorEastAsia" w:cstheme="minorBidi"/>
          <w:bCs/>
          <w:szCs w:val="22"/>
          <w:lang w:eastAsia="zh-CN"/>
        </w:rPr>
        <w:t xml:space="preserve"> was chosen as the effect measure</w:t>
      </w:r>
      <w:r w:rsidR="00CA1CFF">
        <w:rPr>
          <w:rFonts w:eastAsiaTheme="minorEastAsia" w:cstheme="minorBidi"/>
          <w:bCs/>
          <w:szCs w:val="22"/>
          <w:lang w:eastAsia="zh-CN"/>
        </w:rPr>
        <w:t xml:space="preserve">. </w:t>
      </w:r>
      <w:r w:rsidR="00CA1CFF" w:rsidRPr="00CA1CFF">
        <w:rPr>
          <w:rFonts w:eastAsiaTheme="minorEastAsia" w:cstheme="minorBidi"/>
          <w:bCs/>
          <w:szCs w:val="22"/>
          <w:lang w:eastAsia="zh-CN"/>
        </w:rPr>
        <w:t xml:space="preserve">Three-level models with restricted ML estimator were conducted by selecting the cluster Study </w:t>
      </w:r>
      <w:r w:rsidR="00CA1CFF">
        <w:rPr>
          <w:rFonts w:eastAsiaTheme="minorEastAsia" w:cstheme="minorBidi"/>
          <w:bCs/>
          <w:szCs w:val="22"/>
          <w:lang w:eastAsia="zh-CN"/>
        </w:rPr>
        <w:t>among the available</w:t>
      </w:r>
      <w:r w:rsidR="00CA1CFF" w:rsidRPr="00CA1CFF">
        <w:rPr>
          <w:rFonts w:eastAsiaTheme="minorEastAsia" w:cstheme="minorBidi"/>
          <w:bCs/>
          <w:szCs w:val="22"/>
          <w:lang w:eastAsia="zh-CN"/>
        </w:rPr>
        <w:t xml:space="preserve"> Multilevel clusters</w:t>
      </w:r>
      <w:r w:rsidR="00CA1CFF">
        <w:rPr>
          <w:rFonts w:eastAsiaTheme="minorEastAsia" w:cstheme="minorBidi"/>
          <w:bCs/>
          <w:szCs w:val="22"/>
          <w:lang w:eastAsia="zh-CN"/>
        </w:rPr>
        <w:t xml:space="preserve"> options</w:t>
      </w:r>
      <w:r w:rsidR="00CA1CFF" w:rsidRPr="00CA1CFF">
        <w:rPr>
          <w:rFonts w:eastAsiaTheme="minorEastAsia" w:cstheme="minorBidi"/>
          <w:bCs/>
          <w:szCs w:val="22"/>
          <w:lang w:eastAsia="zh-CN"/>
        </w:rPr>
        <w:t>.</w:t>
      </w:r>
      <w:r w:rsidR="00CA1CFF">
        <w:rPr>
          <w:rFonts w:eastAsiaTheme="minorEastAsia" w:cstheme="minorBidi"/>
          <w:bCs/>
          <w:szCs w:val="22"/>
          <w:lang w:eastAsia="zh-CN"/>
        </w:rPr>
        <w:t xml:space="preserve"> Results were presented under the tab </w:t>
      </w:r>
      <w:r w:rsidR="00CA1CFF" w:rsidRPr="00CA1CFF">
        <w:rPr>
          <w:rFonts w:eastAsiaTheme="minorEastAsia" w:cstheme="minorBidi"/>
          <w:bCs/>
          <w:szCs w:val="22"/>
          <w:lang w:eastAsia="zh-CN"/>
        </w:rPr>
        <w:t>Meta-</w:t>
      </w:r>
      <w:r w:rsidR="00CA1CFF">
        <w:rPr>
          <w:rFonts w:eastAsiaTheme="minorEastAsia" w:cstheme="minorBidi"/>
          <w:bCs/>
          <w:szCs w:val="22"/>
          <w:lang w:eastAsia="zh-CN"/>
        </w:rPr>
        <w:t>a</w:t>
      </w:r>
      <w:r w:rsidR="00CA1CFF" w:rsidRPr="00CA1CFF">
        <w:rPr>
          <w:rFonts w:eastAsiaTheme="minorEastAsia" w:cstheme="minorBidi"/>
          <w:bCs/>
          <w:szCs w:val="22"/>
          <w:lang w:eastAsia="zh-CN"/>
        </w:rPr>
        <w:t>naly</w:t>
      </w:r>
      <w:r w:rsidR="00CA1CFF">
        <w:rPr>
          <w:rFonts w:eastAsiaTheme="minorEastAsia" w:cstheme="minorBidi"/>
          <w:bCs/>
          <w:szCs w:val="22"/>
          <w:lang w:eastAsia="zh-CN"/>
        </w:rPr>
        <w:t>tic</w:t>
      </w:r>
      <w:r w:rsidR="00CA1CFF" w:rsidRPr="00CA1CFF">
        <w:rPr>
          <w:rFonts w:eastAsiaTheme="minorEastAsia" w:cstheme="minorBidi"/>
          <w:bCs/>
          <w:szCs w:val="22"/>
          <w:lang w:eastAsia="zh-CN"/>
        </w:rPr>
        <w:t xml:space="preserve"> </w:t>
      </w:r>
      <w:r w:rsidR="00CA1CFF">
        <w:rPr>
          <w:rFonts w:eastAsiaTheme="minorEastAsia" w:cstheme="minorBidi"/>
          <w:bCs/>
          <w:szCs w:val="22"/>
          <w:lang w:eastAsia="zh-CN"/>
        </w:rPr>
        <w:t xml:space="preserve">models and Publication bias. </w:t>
      </w:r>
      <w:r w:rsidR="00384991" w:rsidRPr="00384991">
        <w:rPr>
          <w:rFonts w:eastAsiaTheme="minorEastAsia" w:cstheme="minorBidi"/>
          <w:bCs/>
          <w:szCs w:val="22"/>
          <w:lang w:eastAsia="zh-CN"/>
        </w:rPr>
        <w:t>Meta-analytic results revealed that people engaged in more cooperation in treatments that included punishment (</w:t>
      </w:r>
      <w:r w:rsidR="00F0193E" w:rsidRPr="00FE7423">
        <w:rPr>
          <w:i/>
        </w:rPr>
        <w:t>d</w:t>
      </w:r>
      <w:r w:rsidR="00F0193E">
        <w:t xml:space="preserve"> = </w:t>
      </w:r>
      <w:r w:rsidR="00F0193E" w:rsidRPr="00A0188B">
        <w:t>0.</w:t>
      </w:r>
      <w:r w:rsidR="00F0193E">
        <w:t xml:space="preserve">602, 95% </w:t>
      </w:r>
      <w:r w:rsidR="00F0193E" w:rsidRPr="00983171">
        <w:rPr>
          <w:i/>
        </w:rPr>
        <w:t>CI</w:t>
      </w:r>
      <w:r w:rsidR="00F0193E">
        <w:t xml:space="preserve"> =</w:t>
      </w:r>
      <w:r w:rsidR="00F0193E" w:rsidRPr="00026D80">
        <w:t xml:space="preserve"> [0.4</w:t>
      </w:r>
      <w:r w:rsidR="00F0193E">
        <w:t>91</w:t>
      </w:r>
      <w:r w:rsidR="00F0193E" w:rsidRPr="00026D80">
        <w:t>, 0.714]</w:t>
      </w:r>
      <w:r w:rsidR="00F0193E">
        <w:t xml:space="preserve">, 95% </w:t>
      </w:r>
      <w:r w:rsidR="00F0193E">
        <w:rPr>
          <w:i/>
        </w:rPr>
        <w:t>P</w:t>
      </w:r>
      <w:r w:rsidR="00F0193E" w:rsidRPr="00983171">
        <w:rPr>
          <w:i/>
        </w:rPr>
        <w:t>I</w:t>
      </w:r>
      <w:r w:rsidR="00F0193E">
        <w:t xml:space="preserve"> = </w:t>
      </w:r>
      <w:r w:rsidR="00F0193E" w:rsidRPr="00334DDE">
        <w:t>[–0.637, 1.841</w:t>
      </w:r>
      <w:r w:rsidR="00F0193E" w:rsidRPr="00FC5925">
        <w:t>]</w:t>
      </w:r>
      <w:r w:rsidR="00384991" w:rsidRPr="00384991">
        <w:rPr>
          <w:rFonts w:eastAsiaTheme="minorEastAsia" w:cstheme="minorBidi"/>
          <w:bCs/>
          <w:szCs w:val="22"/>
          <w:lang w:eastAsia="zh-CN"/>
        </w:rPr>
        <w:t>)</w:t>
      </w:r>
      <w:r w:rsidR="00384991">
        <w:rPr>
          <w:rFonts w:eastAsiaTheme="minorEastAsia" w:cstheme="minorBidi"/>
          <w:bCs/>
          <w:szCs w:val="22"/>
          <w:lang w:eastAsia="zh-CN"/>
        </w:rPr>
        <w:t>,</w:t>
      </w:r>
      <w:r w:rsidR="00384991" w:rsidRPr="00384991">
        <w:rPr>
          <w:rFonts w:eastAsiaTheme="minorEastAsia" w:cstheme="minorBidi"/>
          <w:bCs/>
          <w:szCs w:val="22"/>
          <w:lang w:eastAsia="zh-CN"/>
        </w:rPr>
        <w:t xml:space="preserve"> compared to a baseline treatment.</w:t>
      </w:r>
      <w:r w:rsidR="00384991">
        <w:rPr>
          <w:rFonts w:eastAsiaTheme="minorEastAsia" w:cstheme="minorBidi"/>
          <w:bCs/>
          <w:szCs w:val="22"/>
          <w:lang w:eastAsia="zh-CN"/>
        </w:rPr>
        <w:t xml:space="preserve"> This average effect size was obtained from 214 effect size estimates nested within 91 studies. </w:t>
      </w:r>
      <w:r w:rsidR="00CA1CFF" w:rsidRPr="00CA1CFF">
        <w:rPr>
          <w:rFonts w:eastAsiaTheme="minorEastAsia" w:cstheme="minorBidi"/>
          <w:bCs/>
          <w:szCs w:val="22"/>
          <w:lang w:eastAsia="zh-CN"/>
        </w:rPr>
        <w:t>Publication bias was assessed through rank correlation test and Egger's regression test for funnel plot asymmetry.</w:t>
      </w:r>
      <w:r w:rsidR="00384991">
        <w:rPr>
          <w:rFonts w:eastAsiaTheme="minorEastAsia" w:cstheme="minorBidi"/>
          <w:bCs/>
          <w:szCs w:val="22"/>
          <w:lang w:eastAsia="zh-CN"/>
        </w:rPr>
        <w:t xml:space="preserve"> </w:t>
      </w:r>
      <w:r w:rsidR="00384991" w:rsidRPr="00384991">
        <w:rPr>
          <w:rFonts w:eastAsiaTheme="minorEastAsia" w:cstheme="minorBidi"/>
          <w:bCs/>
          <w:szCs w:val="22"/>
          <w:lang w:eastAsia="zh-CN"/>
        </w:rPr>
        <w:t xml:space="preserve">The rank correlation test for funnel plot asymmetry was statistically non-significant </w:t>
      </w:r>
      <w:r w:rsidR="00384991">
        <w:rPr>
          <w:rFonts w:eastAsiaTheme="minorEastAsia" w:cstheme="minorBidi"/>
          <w:bCs/>
          <w:szCs w:val="22"/>
          <w:lang w:eastAsia="zh-CN"/>
        </w:rPr>
        <w:t>(</w:t>
      </w:r>
      <w:r w:rsidR="00384991" w:rsidRPr="00384991">
        <w:rPr>
          <w:rFonts w:eastAsiaTheme="minorEastAsia" w:cstheme="minorBidi"/>
          <w:bCs/>
          <w:szCs w:val="22"/>
          <w:lang w:eastAsia="zh-CN"/>
        </w:rPr>
        <w:t>Kendall</w:t>
      </w:r>
      <w:r w:rsidR="00384991">
        <w:rPr>
          <w:rFonts w:eastAsiaTheme="minorEastAsia" w:cstheme="minorBidi"/>
          <w:bCs/>
          <w:szCs w:val="22"/>
          <w:lang w:eastAsia="zh-CN"/>
        </w:rPr>
        <w:t>’</w:t>
      </w:r>
      <w:r w:rsidR="00384991" w:rsidRPr="00384991">
        <w:rPr>
          <w:rFonts w:eastAsiaTheme="minorEastAsia" w:cstheme="minorBidi"/>
          <w:bCs/>
          <w:szCs w:val="22"/>
          <w:lang w:eastAsia="zh-CN"/>
        </w:rPr>
        <w:t xml:space="preserve">s τ = 0.028, </w:t>
      </w:r>
      <w:r w:rsidR="00384991" w:rsidRPr="00384991">
        <w:rPr>
          <w:rFonts w:eastAsiaTheme="minorEastAsia" w:cstheme="minorBidi"/>
          <w:bCs/>
          <w:i/>
          <w:iCs/>
          <w:szCs w:val="22"/>
          <w:lang w:eastAsia="zh-CN"/>
        </w:rPr>
        <w:t>p</w:t>
      </w:r>
      <w:r w:rsidR="00384991" w:rsidRPr="00384991">
        <w:rPr>
          <w:rFonts w:eastAsiaTheme="minorEastAsia" w:cstheme="minorBidi"/>
          <w:bCs/>
          <w:szCs w:val="22"/>
          <w:lang w:eastAsia="zh-CN"/>
        </w:rPr>
        <w:t xml:space="preserve"> = .539</w:t>
      </w:r>
      <w:r w:rsidR="00384991">
        <w:rPr>
          <w:rFonts w:eastAsiaTheme="minorEastAsia" w:cstheme="minorBidi"/>
          <w:bCs/>
          <w:szCs w:val="22"/>
          <w:lang w:eastAsia="zh-CN"/>
        </w:rPr>
        <w:t>)</w:t>
      </w:r>
      <w:r w:rsidR="00384991" w:rsidRPr="00384991">
        <w:rPr>
          <w:rFonts w:eastAsiaTheme="minorEastAsia" w:cstheme="minorBidi"/>
          <w:bCs/>
          <w:szCs w:val="22"/>
          <w:lang w:eastAsia="zh-CN"/>
        </w:rPr>
        <w:t xml:space="preserve">. Egger's regression test for funnel plot asymmetry was statistically non-significant </w:t>
      </w:r>
      <w:r w:rsidR="00384991">
        <w:rPr>
          <w:rFonts w:eastAsiaTheme="minorEastAsia" w:cstheme="minorBidi"/>
          <w:bCs/>
          <w:szCs w:val="22"/>
          <w:lang w:eastAsia="zh-CN"/>
        </w:rPr>
        <w:t>(</w:t>
      </w:r>
      <w:r w:rsidR="00384991" w:rsidRPr="00384991">
        <w:rPr>
          <w:rFonts w:eastAsiaTheme="minorEastAsia" w:cstheme="minorBidi"/>
          <w:bCs/>
          <w:szCs w:val="22"/>
          <w:lang w:eastAsia="zh-CN"/>
        </w:rPr>
        <w:t xml:space="preserve">Z = 1.954, </w:t>
      </w:r>
      <w:r w:rsidR="00384991" w:rsidRPr="00384991">
        <w:rPr>
          <w:rFonts w:eastAsiaTheme="minorEastAsia" w:cstheme="minorBidi"/>
          <w:bCs/>
          <w:i/>
          <w:iCs/>
          <w:szCs w:val="22"/>
          <w:lang w:eastAsia="zh-CN"/>
        </w:rPr>
        <w:t>p</w:t>
      </w:r>
      <w:r w:rsidR="00384991" w:rsidRPr="00384991">
        <w:rPr>
          <w:rFonts w:eastAsiaTheme="minorEastAsia" w:cstheme="minorBidi"/>
          <w:bCs/>
          <w:szCs w:val="22"/>
          <w:lang w:eastAsia="zh-CN"/>
        </w:rPr>
        <w:t xml:space="preserve"> = .051</w:t>
      </w:r>
      <w:r w:rsidR="00384991">
        <w:rPr>
          <w:rFonts w:eastAsiaTheme="minorEastAsia" w:cstheme="minorBidi"/>
          <w:bCs/>
          <w:szCs w:val="22"/>
          <w:lang w:eastAsia="zh-CN"/>
        </w:rPr>
        <w:t>)</w:t>
      </w:r>
      <w:r w:rsidR="00384991" w:rsidRPr="00384991">
        <w:rPr>
          <w:rFonts w:eastAsiaTheme="minorEastAsia" w:cstheme="minorBidi"/>
          <w:bCs/>
          <w:szCs w:val="22"/>
          <w:lang w:eastAsia="zh-CN"/>
        </w:rPr>
        <w:t>.</w:t>
      </w:r>
      <w:r w:rsidR="00103C07">
        <w:rPr>
          <w:rFonts w:eastAsiaTheme="minorEastAsia" w:cstheme="minorBidi"/>
          <w:bCs/>
          <w:szCs w:val="22"/>
          <w:lang w:eastAsia="zh-CN"/>
        </w:rPr>
        <w:t xml:space="preserve"> </w:t>
      </w:r>
      <w:r w:rsidR="007C2C60">
        <w:rPr>
          <w:rFonts w:eastAsiaTheme="minorEastAsia" w:cstheme="minorBidi"/>
          <w:bCs/>
          <w:szCs w:val="22"/>
          <w:lang w:eastAsia="zh-CN"/>
        </w:rPr>
        <w:t xml:space="preserve">A forest plot </w:t>
      </w:r>
      <w:r w:rsidR="008E28AB">
        <w:rPr>
          <w:rFonts w:eastAsiaTheme="minorEastAsia" w:cstheme="minorBidi"/>
          <w:bCs/>
          <w:szCs w:val="22"/>
          <w:lang w:eastAsia="zh-CN"/>
        </w:rPr>
        <w:t>displaying</w:t>
      </w:r>
      <w:r w:rsidR="007C2C60">
        <w:rPr>
          <w:rFonts w:eastAsiaTheme="minorEastAsia" w:cstheme="minorBidi"/>
          <w:bCs/>
          <w:szCs w:val="22"/>
          <w:lang w:eastAsia="zh-CN"/>
        </w:rPr>
        <w:t xml:space="preserve"> all the effect sizes</w:t>
      </w:r>
      <w:r w:rsidR="008E28AB">
        <w:rPr>
          <w:rFonts w:eastAsiaTheme="minorEastAsia" w:cstheme="minorBidi"/>
          <w:bCs/>
          <w:szCs w:val="22"/>
          <w:lang w:eastAsia="zh-CN"/>
        </w:rPr>
        <w:t xml:space="preserve"> from the selected studies, including the overall result of the meta-analysis, </w:t>
      </w:r>
      <w:r w:rsidR="007C2C60">
        <w:rPr>
          <w:rFonts w:eastAsiaTheme="minorEastAsia" w:cstheme="minorBidi"/>
          <w:bCs/>
          <w:szCs w:val="22"/>
          <w:lang w:eastAsia="zh-CN"/>
        </w:rPr>
        <w:t xml:space="preserve">can be downloaded under the tab </w:t>
      </w:r>
      <w:r w:rsidR="008E28AB">
        <w:rPr>
          <w:rFonts w:eastAsiaTheme="minorEastAsia" w:cstheme="minorBidi"/>
          <w:bCs/>
          <w:szCs w:val="22"/>
          <w:lang w:eastAsia="zh-CN"/>
        </w:rPr>
        <w:t>visualization</w:t>
      </w:r>
      <w:r w:rsidR="007C2C60">
        <w:rPr>
          <w:rFonts w:eastAsiaTheme="minorEastAsia" w:cstheme="minorBidi"/>
          <w:bCs/>
          <w:szCs w:val="22"/>
          <w:lang w:eastAsia="zh-CN"/>
        </w:rPr>
        <w:t xml:space="preserve">. </w:t>
      </w:r>
    </w:p>
    <w:p w14:paraId="6CC86CF0" w14:textId="0B7BCD34" w:rsidR="00324B90" w:rsidRDefault="00BF7807" w:rsidP="00324B90">
      <w:pPr>
        <w:ind w:firstLine="709"/>
        <w:rPr>
          <w:rFonts w:eastAsiaTheme="minorEastAsia" w:cstheme="minorBidi"/>
          <w:bCs/>
          <w:szCs w:val="22"/>
          <w:lang w:eastAsia="zh-CN"/>
        </w:rPr>
      </w:pPr>
      <w:r>
        <w:rPr>
          <w:rFonts w:eastAsiaTheme="minorEastAsia" w:cstheme="minorBidi"/>
          <w:bCs/>
          <w:szCs w:val="22"/>
          <w:lang w:eastAsia="zh-CN"/>
        </w:rPr>
        <w:t>Finally, t</w:t>
      </w:r>
      <w:r w:rsidR="00EE6FAA">
        <w:rPr>
          <w:rFonts w:eastAsiaTheme="minorEastAsia" w:cstheme="minorBidi"/>
          <w:bCs/>
          <w:szCs w:val="22"/>
          <w:lang w:eastAsia="zh-CN"/>
        </w:rPr>
        <w:t xml:space="preserve">o test the potential moderator of </w:t>
      </w:r>
      <w:r w:rsidR="00846AE9">
        <w:rPr>
          <w:rFonts w:eastAsiaTheme="minorEastAsia" w:cstheme="minorBidi"/>
          <w:bCs/>
          <w:szCs w:val="22"/>
          <w:lang w:eastAsia="zh-CN"/>
        </w:rPr>
        <w:t>matching design</w:t>
      </w:r>
      <w:r w:rsidR="00EE6FAA">
        <w:rPr>
          <w:rFonts w:eastAsiaTheme="minorEastAsia" w:cstheme="minorBidi"/>
          <w:bCs/>
          <w:szCs w:val="22"/>
          <w:lang w:eastAsia="zh-CN"/>
        </w:rPr>
        <w:t xml:space="preserve">, we </w:t>
      </w:r>
      <w:r>
        <w:rPr>
          <w:rFonts w:eastAsiaTheme="minorEastAsia" w:cstheme="minorBidi"/>
          <w:bCs/>
          <w:szCs w:val="22"/>
          <w:lang w:eastAsia="zh-CN"/>
        </w:rPr>
        <w:t>selected</w:t>
      </w:r>
      <w:r w:rsidR="00EE6FAA">
        <w:rPr>
          <w:rFonts w:eastAsiaTheme="minorEastAsia" w:cstheme="minorBidi"/>
          <w:bCs/>
          <w:szCs w:val="22"/>
          <w:lang w:eastAsia="zh-CN"/>
        </w:rPr>
        <w:t xml:space="preserve"> </w:t>
      </w:r>
      <w:r>
        <w:rPr>
          <w:rFonts w:eastAsiaTheme="minorEastAsia" w:cstheme="minorBidi"/>
          <w:bCs/>
          <w:szCs w:val="22"/>
          <w:lang w:eastAsia="zh-CN"/>
        </w:rPr>
        <w:t xml:space="preserve">the variable </w:t>
      </w:r>
      <w:r w:rsidR="00EE6FAA" w:rsidRPr="00EE6FAA">
        <w:rPr>
          <w:rFonts w:eastAsiaTheme="minorEastAsia" w:cstheme="minorBidi"/>
          <w:bCs/>
          <w:szCs w:val="22"/>
          <w:lang w:eastAsia="zh-CN"/>
        </w:rPr>
        <w:t>One-shot vs repeated</w:t>
      </w:r>
      <w:r>
        <w:rPr>
          <w:rFonts w:eastAsiaTheme="minorEastAsia" w:cstheme="minorBidi"/>
          <w:bCs/>
          <w:szCs w:val="22"/>
          <w:lang w:eastAsia="zh-CN"/>
        </w:rPr>
        <w:t xml:space="preserve"> among the available Study mods. options. </w:t>
      </w:r>
      <w:r w:rsidRPr="00BF7807">
        <w:rPr>
          <w:rFonts w:eastAsiaTheme="minorEastAsia" w:cstheme="minorBidi"/>
          <w:bCs/>
          <w:szCs w:val="22"/>
          <w:lang w:eastAsia="zh-CN"/>
        </w:rPr>
        <w:t>In line with our hypothesis, the relation between punishment and cooperation was stronger in repeated interactions, compared to one-shot interactions (</w:t>
      </w:r>
      <w:r w:rsidRPr="00BF7807">
        <w:rPr>
          <w:rFonts w:eastAsiaTheme="minorEastAsia" w:cstheme="minorBidi"/>
          <w:bCs/>
          <w:i/>
          <w:szCs w:val="22"/>
          <w:lang w:eastAsia="zh-CN"/>
        </w:rPr>
        <w:t>b</w:t>
      </w:r>
      <w:r w:rsidRPr="00BF7807">
        <w:rPr>
          <w:rFonts w:eastAsiaTheme="minorEastAsia" w:cstheme="minorBidi"/>
          <w:bCs/>
          <w:szCs w:val="22"/>
          <w:lang w:eastAsia="zh-CN"/>
        </w:rPr>
        <w:t xml:space="preserve"> = 0.2</w:t>
      </w:r>
      <w:r w:rsidR="00F0193E">
        <w:rPr>
          <w:rFonts w:eastAsiaTheme="minorEastAsia" w:cstheme="minorBidi"/>
          <w:bCs/>
          <w:szCs w:val="22"/>
          <w:lang w:eastAsia="zh-CN"/>
        </w:rPr>
        <w:t>76</w:t>
      </w:r>
      <w:r w:rsidRPr="00BF7807">
        <w:rPr>
          <w:rFonts w:eastAsiaTheme="minorEastAsia" w:cstheme="minorBidi"/>
          <w:bCs/>
          <w:szCs w:val="22"/>
          <w:lang w:eastAsia="zh-CN"/>
        </w:rPr>
        <w:t xml:space="preserve">, </w:t>
      </w:r>
      <w:r w:rsidRPr="00BF7807">
        <w:rPr>
          <w:rFonts w:eastAsiaTheme="minorEastAsia" w:cstheme="minorBidi"/>
          <w:bCs/>
          <w:i/>
          <w:szCs w:val="22"/>
          <w:lang w:eastAsia="zh-CN"/>
        </w:rPr>
        <w:t>p</w:t>
      </w:r>
      <w:r w:rsidRPr="00BF7807">
        <w:rPr>
          <w:rFonts w:eastAsiaTheme="minorEastAsia" w:cstheme="minorBidi"/>
          <w:bCs/>
          <w:szCs w:val="22"/>
          <w:lang w:eastAsia="zh-CN"/>
        </w:rPr>
        <w:t xml:space="preserve"> = .02</w:t>
      </w:r>
      <w:r w:rsidR="00F0193E">
        <w:rPr>
          <w:rFonts w:eastAsiaTheme="minorEastAsia" w:cstheme="minorBidi"/>
          <w:bCs/>
          <w:szCs w:val="22"/>
          <w:lang w:eastAsia="zh-CN"/>
        </w:rPr>
        <w:t>9</w:t>
      </w:r>
      <w:r>
        <w:rPr>
          <w:rFonts w:eastAsiaTheme="minorEastAsia" w:cstheme="minorBidi"/>
          <w:bCs/>
          <w:szCs w:val="22"/>
          <w:lang w:eastAsia="zh-CN"/>
        </w:rPr>
        <w:t xml:space="preserve">, </w:t>
      </w:r>
      <w:r w:rsidR="00590FC4">
        <w:rPr>
          <w:rFonts w:eastAsiaTheme="minorEastAsia" w:cstheme="minorBidi"/>
          <w:bCs/>
          <w:szCs w:val="22"/>
          <w:lang w:eastAsia="zh-CN"/>
        </w:rPr>
        <w:t>see Table S</w:t>
      </w:r>
      <w:r w:rsidR="00115158">
        <w:rPr>
          <w:rFonts w:eastAsiaTheme="minorEastAsia" w:cstheme="minorBidi"/>
          <w:bCs/>
          <w:szCs w:val="22"/>
          <w:lang w:eastAsia="zh-CN"/>
        </w:rPr>
        <w:t>10</w:t>
      </w:r>
      <w:r w:rsidR="00590FC4">
        <w:rPr>
          <w:rFonts w:eastAsiaTheme="minorEastAsia" w:cstheme="minorBidi"/>
          <w:bCs/>
          <w:szCs w:val="22"/>
          <w:lang w:eastAsia="zh-CN"/>
        </w:rPr>
        <w:t>)</w:t>
      </w:r>
      <w:r>
        <w:rPr>
          <w:rFonts w:eastAsiaTheme="minorEastAsia" w:cstheme="minorBidi"/>
          <w:bCs/>
          <w:szCs w:val="22"/>
          <w:lang w:eastAsia="zh-CN"/>
        </w:rPr>
        <w:t>.</w:t>
      </w:r>
      <w:r w:rsidR="007C2C60" w:rsidRPr="007C2C60">
        <w:rPr>
          <w:rFonts w:eastAsiaTheme="minorEastAsia" w:cstheme="minorBidi"/>
          <w:bCs/>
          <w:szCs w:val="22"/>
          <w:lang w:eastAsia="zh-CN"/>
        </w:rPr>
        <w:t xml:space="preserve"> </w:t>
      </w:r>
    </w:p>
    <w:p w14:paraId="3571B775" w14:textId="77777777" w:rsidR="00324B90" w:rsidRDefault="00324B90" w:rsidP="00324B90">
      <w:pPr>
        <w:ind w:firstLine="709"/>
        <w:rPr>
          <w:rFonts w:eastAsiaTheme="minorEastAsia" w:cstheme="minorBidi"/>
          <w:bCs/>
          <w:szCs w:val="22"/>
          <w:lang w:eastAsia="zh-CN"/>
        </w:rPr>
      </w:pPr>
    </w:p>
    <w:p w14:paraId="2B3BC93D" w14:textId="7A101465" w:rsidR="00324B90" w:rsidRPr="001C11A5" w:rsidRDefault="00324B90" w:rsidP="00324B90">
      <w:pPr>
        <w:ind w:firstLine="709"/>
        <w:rPr>
          <w:rFonts w:eastAsiaTheme="minorEastAsia" w:cstheme="minorBidi"/>
          <w:bCs/>
          <w:szCs w:val="22"/>
          <w:lang w:eastAsia="zh-CN"/>
        </w:rPr>
        <w:sectPr w:rsidR="00324B90" w:rsidRPr="001C11A5" w:rsidSect="00F63796">
          <w:pgSz w:w="12240" w:h="15840"/>
          <w:pgMar w:top="1440" w:right="1440" w:bottom="1440" w:left="1440" w:header="708" w:footer="708" w:gutter="0"/>
          <w:cols w:space="708"/>
          <w:docGrid w:linePitch="326"/>
        </w:sectPr>
      </w:pPr>
    </w:p>
    <w:bookmarkEnd w:id="37"/>
    <w:p w14:paraId="512567C8" w14:textId="7000A62C" w:rsidR="00CE1AE8" w:rsidRPr="00CE1AE8" w:rsidRDefault="00CE1AE8" w:rsidP="00CE1AE8">
      <w:pPr>
        <w:rPr>
          <w:rFonts w:eastAsiaTheme="minorEastAsia" w:cstheme="minorBidi"/>
          <w:b/>
          <w:szCs w:val="22"/>
          <w:lang w:eastAsia="zh-CN"/>
        </w:rPr>
      </w:pPr>
      <w:r>
        <w:rPr>
          <w:rFonts w:eastAsiaTheme="minorEastAsia" w:cstheme="minorBidi"/>
          <w:b/>
          <w:szCs w:val="22"/>
          <w:lang w:eastAsia="zh-CN"/>
        </w:rPr>
        <w:lastRenderedPageBreak/>
        <w:t xml:space="preserve">Table </w:t>
      </w:r>
      <w:r w:rsidR="001F0D02">
        <w:rPr>
          <w:rFonts w:eastAsiaTheme="minorEastAsia" w:cstheme="minorBidi"/>
          <w:b/>
          <w:szCs w:val="22"/>
          <w:lang w:eastAsia="zh-CN"/>
        </w:rPr>
        <w:t>S</w:t>
      </w:r>
      <w:r w:rsidR="00B06E4C">
        <w:rPr>
          <w:rFonts w:eastAsiaTheme="minorEastAsia" w:cstheme="minorBidi"/>
          <w:b/>
          <w:szCs w:val="22"/>
          <w:lang w:eastAsia="zh-CN"/>
        </w:rPr>
        <w:t>9</w:t>
      </w:r>
    </w:p>
    <w:p w14:paraId="2AB5C7B0" w14:textId="7D52201F" w:rsidR="00CE1AE8" w:rsidRDefault="00324B90" w:rsidP="00CE1AE8">
      <w:pPr>
        <w:rPr>
          <w:rFonts w:eastAsiaTheme="minorEastAsia" w:cstheme="minorBidi"/>
          <w:i/>
          <w:szCs w:val="22"/>
          <w:lang w:eastAsia="zh-CN"/>
        </w:rPr>
      </w:pPr>
      <w:r w:rsidRPr="00324B90">
        <w:rPr>
          <w:rFonts w:eastAsiaTheme="minorEastAsia" w:cstheme="minorBidi"/>
          <w:i/>
          <w:szCs w:val="22"/>
          <w:lang w:eastAsia="zh-CN"/>
        </w:rPr>
        <w:t xml:space="preserve">Study Selection for Meta-Analyses of Within-Study Effect Sizes using </w:t>
      </w:r>
      <w:r>
        <w:rPr>
          <w:rFonts w:eastAsiaTheme="minorEastAsia" w:cstheme="minorBidi"/>
          <w:i/>
          <w:szCs w:val="22"/>
          <w:lang w:eastAsia="zh-CN"/>
        </w:rPr>
        <w:t xml:space="preserve">the </w:t>
      </w:r>
      <w:proofErr w:type="spellStart"/>
      <w:r w:rsidRPr="00324B90">
        <w:rPr>
          <w:rFonts w:eastAsiaTheme="minorEastAsia" w:cstheme="minorBidi"/>
          <w:i/>
          <w:szCs w:val="22"/>
          <w:lang w:eastAsia="zh-CN"/>
        </w:rPr>
        <w:t>CoDa</w:t>
      </w:r>
      <w:proofErr w:type="spellEnd"/>
      <w:r>
        <w:rPr>
          <w:rFonts w:eastAsiaTheme="minorEastAsia" w:cstheme="minorBidi"/>
          <w:i/>
          <w:szCs w:val="22"/>
          <w:lang w:eastAsia="zh-CN"/>
        </w:rPr>
        <w:t xml:space="preserve"> Research Platform</w:t>
      </w:r>
      <w:r w:rsidR="00C12950">
        <w:rPr>
          <w:rFonts w:eastAsiaTheme="minorEastAsia" w:cstheme="minorBidi"/>
          <w:i/>
          <w:szCs w:val="22"/>
          <w:lang w:eastAsia="zh-CN"/>
        </w:rPr>
        <w:t xml:space="preserve"> (Study 2)</w:t>
      </w:r>
    </w:p>
    <w:tbl>
      <w:tblPr>
        <w:tblW w:w="0" w:type="auto"/>
        <w:tblLayout w:type="fixed"/>
        <w:tblLook w:val="04A0" w:firstRow="1" w:lastRow="0" w:firstColumn="1" w:lastColumn="0" w:noHBand="0" w:noVBand="1"/>
      </w:tblPr>
      <w:tblGrid>
        <w:gridCol w:w="2268"/>
        <w:gridCol w:w="2268"/>
        <w:gridCol w:w="1985"/>
        <w:gridCol w:w="6439"/>
      </w:tblGrid>
      <w:tr w:rsidR="00863C83" w:rsidRPr="00324B90" w14:paraId="6F00F4D4" w14:textId="77777777" w:rsidTr="00A5383F">
        <w:trPr>
          <w:trHeight w:hRule="exact" w:val="249"/>
        </w:trPr>
        <w:tc>
          <w:tcPr>
            <w:tcW w:w="2268" w:type="dxa"/>
            <w:tcBorders>
              <w:top w:val="single" w:sz="4" w:space="0" w:color="auto"/>
              <w:left w:val="nil"/>
              <w:bottom w:val="single" w:sz="4" w:space="0" w:color="000000"/>
              <w:right w:val="nil"/>
            </w:tcBorders>
            <w:shd w:val="clear" w:color="auto" w:fill="auto"/>
            <w:noWrap/>
            <w:vAlign w:val="center"/>
            <w:hideMark/>
          </w:tcPr>
          <w:p w14:paraId="55070628" w14:textId="77777777" w:rsidR="00B23722" w:rsidRPr="00324B90" w:rsidRDefault="00B23722" w:rsidP="00324B90">
            <w:pPr>
              <w:spacing w:line="240" w:lineRule="auto"/>
              <w:jc w:val="center"/>
              <w:rPr>
                <w:rFonts w:asciiTheme="majorBidi" w:eastAsia="Times New Roman" w:hAnsiTheme="majorBidi" w:cstheme="majorBidi"/>
                <w:b/>
                <w:bCs/>
                <w:color w:val="000000"/>
                <w:sz w:val="16"/>
                <w:szCs w:val="16"/>
                <w:lang w:val="en-GB" w:eastAsia="zh-CN"/>
              </w:rPr>
            </w:pPr>
            <w:r w:rsidRPr="00324B90">
              <w:rPr>
                <w:rFonts w:asciiTheme="majorBidi" w:eastAsia="Times New Roman" w:hAnsiTheme="majorBidi" w:cstheme="majorBidi"/>
                <w:b/>
                <w:bCs/>
                <w:color w:val="000000"/>
                <w:sz w:val="16"/>
                <w:szCs w:val="16"/>
                <w:lang w:val="en-GB" w:eastAsia="zh-CN"/>
              </w:rPr>
              <w:t>Variables</w:t>
            </w:r>
          </w:p>
        </w:tc>
        <w:tc>
          <w:tcPr>
            <w:tcW w:w="2268" w:type="dxa"/>
            <w:tcBorders>
              <w:top w:val="single" w:sz="4" w:space="0" w:color="auto"/>
              <w:left w:val="nil"/>
              <w:bottom w:val="single" w:sz="4" w:space="0" w:color="000000"/>
              <w:right w:val="nil"/>
            </w:tcBorders>
            <w:shd w:val="clear" w:color="auto" w:fill="auto"/>
            <w:noWrap/>
            <w:vAlign w:val="center"/>
            <w:hideMark/>
          </w:tcPr>
          <w:p w14:paraId="0984137D" w14:textId="77777777" w:rsidR="00B23722" w:rsidRPr="00324B90" w:rsidRDefault="00B23722" w:rsidP="00324B90">
            <w:pPr>
              <w:spacing w:line="240" w:lineRule="auto"/>
              <w:jc w:val="center"/>
              <w:rPr>
                <w:rFonts w:asciiTheme="majorBidi" w:eastAsia="Times New Roman" w:hAnsiTheme="majorBidi" w:cstheme="majorBidi"/>
                <w:b/>
                <w:bCs/>
                <w:color w:val="000000"/>
                <w:sz w:val="16"/>
                <w:szCs w:val="16"/>
                <w:lang w:val="en-GB" w:eastAsia="zh-CN"/>
              </w:rPr>
            </w:pPr>
            <w:r w:rsidRPr="00324B90">
              <w:rPr>
                <w:rFonts w:asciiTheme="majorBidi" w:eastAsia="Times New Roman" w:hAnsiTheme="majorBidi" w:cstheme="majorBidi"/>
                <w:b/>
                <w:bCs/>
                <w:color w:val="000000"/>
                <w:sz w:val="16"/>
                <w:szCs w:val="16"/>
                <w:lang w:val="en-GB" w:eastAsia="zh-CN"/>
              </w:rPr>
              <w:t>GIV</w:t>
            </w:r>
          </w:p>
        </w:tc>
        <w:tc>
          <w:tcPr>
            <w:tcW w:w="1985" w:type="dxa"/>
            <w:tcBorders>
              <w:top w:val="single" w:sz="4" w:space="0" w:color="auto"/>
              <w:left w:val="nil"/>
              <w:bottom w:val="single" w:sz="4" w:space="0" w:color="000000"/>
              <w:right w:val="nil"/>
            </w:tcBorders>
            <w:shd w:val="clear" w:color="auto" w:fill="auto"/>
            <w:noWrap/>
            <w:vAlign w:val="center"/>
            <w:hideMark/>
          </w:tcPr>
          <w:p w14:paraId="2AEC458E" w14:textId="77777777" w:rsidR="00B23722" w:rsidRPr="00324B90" w:rsidRDefault="00B23722" w:rsidP="00324B90">
            <w:pPr>
              <w:spacing w:line="240" w:lineRule="auto"/>
              <w:jc w:val="center"/>
              <w:rPr>
                <w:rFonts w:asciiTheme="majorBidi" w:eastAsia="Times New Roman" w:hAnsiTheme="majorBidi" w:cstheme="majorBidi"/>
                <w:b/>
                <w:bCs/>
                <w:color w:val="000000"/>
                <w:sz w:val="16"/>
                <w:szCs w:val="16"/>
                <w:lang w:val="en-GB" w:eastAsia="zh-CN"/>
              </w:rPr>
            </w:pPr>
            <w:r w:rsidRPr="00324B90">
              <w:rPr>
                <w:rFonts w:asciiTheme="majorBidi" w:eastAsia="Times New Roman" w:hAnsiTheme="majorBidi" w:cstheme="majorBidi"/>
                <w:b/>
                <w:bCs/>
                <w:color w:val="000000"/>
                <w:sz w:val="16"/>
                <w:szCs w:val="16"/>
                <w:lang w:val="en-GB" w:eastAsia="zh-CN"/>
              </w:rPr>
              <w:t>SIV</w:t>
            </w:r>
          </w:p>
        </w:tc>
        <w:tc>
          <w:tcPr>
            <w:tcW w:w="6439" w:type="dxa"/>
            <w:tcBorders>
              <w:top w:val="single" w:sz="4" w:space="0" w:color="auto"/>
              <w:left w:val="nil"/>
              <w:bottom w:val="single" w:sz="4" w:space="0" w:color="000000"/>
              <w:right w:val="nil"/>
            </w:tcBorders>
            <w:shd w:val="clear" w:color="auto" w:fill="auto"/>
            <w:noWrap/>
            <w:vAlign w:val="center"/>
            <w:hideMark/>
          </w:tcPr>
          <w:p w14:paraId="203366F1" w14:textId="430AD824" w:rsidR="00B23722" w:rsidRPr="00324B90" w:rsidRDefault="006A3AA7" w:rsidP="00324B90">
            <w:pPr>
              <w:spacing w:line="240" w:lineRule="auto"/>
              <w:jc w:val="center"/>
              <w:rPr>
                <w:rFonts w:asciiTheme="majorBidi" w:eastAsia="Times New Roman" w:hAnsiTheme="majorBidi" w:cstheme="majorBidi"/>
                <w:b/>
                <w:bCs/>
                <w:color w:val="000000"/>
                <w:sz w:val="16"/>
                <w:szCs w:val="16"/>
                <w:lang w:val="en-GB" w:eastAsia="zh-CN"/>
              </w:rPr>
            </w:pPr>
            <w:r w:rsidRPr="00324B90">
              <w:rPr>
                <w:rFonts w:asciiTheme="majorBidi" w:eastAsia="Times New Roman" w:hAnsiTheme="majorBidi" w:cstheme="majorBidi"/>
                <w:b/>
                <w:bCs/>
                <w:color w:val="000000"/>
                <w:sz w:val="16"/>
                <w:szCs w:val="16"/>
                <w:lang w:val="en-GB" w:eastAsia="zh-CN"/>
              </w:rPr>
              <w:t>SIV</w:t>
            </w:r>
            <w:r w:rsidRPr="00324B90" w:rsidDel="00B23722">
              <w:rPr>
                <w:rFonts w:asciiTheme="majorBidi" w:eastAsia="Times New Roman" w:hAnsiTheme="majorBidi" w:cstheme="majorBidi"/>
                <w:b/>
                <w:bCs/>
                <w:color w:val="000000"/>
                <w:sz w:val="16"/>
                <w:szCs w:val="16"/>
                <w:lang w:val="en-GB" w:eastAsia="zh-CN"/>
              </w:rPr>
              <w:t xml:space="preserve"> </w:t>
            </w:r>
            <w:r w:rsidR="00DF007B">
              <w:rPr>
                <w:rFonts w:asciiTheme="majorBidi" w:eastAsia="Times New Roman" w:hAnsiTheme="majorBidi" w:cstheme="majorBidi"/>
                <w:b/>
                <w:bCs/>
                <w:color w:val="000000"/>
                <w:sz w:val="16"/>
                <w:szCs w:val="16"/>
                <w:lang w:val="en-GB" w:eastAsia="zh-CN"/>
              </w:rPr>
              <w:t>D</w:t>
            </w:r>
            <w:r w:rsidR="00B23722">
              <w:rPr>
                <w:rFonts w:asciiTheme="majorBidi" w:eastAsia="Times New Roman" w:hAnsiTheme="majorBidi" w:cstheme="majorBidi"/>
                <w:b/>
                <w:bCs/>
                <w:color w:val="000000"/>
                <w:sz w:val="16"/>
                <w:szCs w:val="16"/>
                <w:lang w:val="en-GB" w:eastAsia="zh-CN"/>
              </w:rPr>
              <w:t>efinition</w:t>
            </w:r>
          </w:p>
        </w:tc>
      </w:tr>
      <w:tr w:rsidR="00863C83" w:rsidRPr="00324B90" w14:paraId="342E900C" w14:textId="77777777" w:rsidTr="00A5383F">
        <w:trPr>
          <w:trHeight w:val="250"/>
        </w:trPr>
        <w:tc>
          <w:tcPr>
            <w:tcW w:w="2268" w:type="dxa"/>
            <w:tcBorders>
              <w:top w:val="nil"/>
              <w:left w:val="nil"/>
              <w:bottom w:val="nil"/>
              <w:right w:val="nil"/>
            </w:tcBorders>
            <w:shd w:val="clear" w:color="auto" w:fill="auto"/>
            <w:noWrap/>
            <w:vAlign w:val="center"/>
            <w:hideMark/>
          </w:tcPr>
          <w:p w14:paraId="08E4C706" w14:textId="77777777" w:rsidR="00B23722" w:rsidRPr="00324B90" w:rsidRDefault="00B23722" w:rsidP="00324B90">
            <w:pPr>
              <w:spacing w:line="240" w:lineRule="auto"/>
              <w:rPr>
                <w:rFonts w:asciiTheme="majorBidi" w:eastAsia="Times New Roman" w:hAnsiTheme="majorBidi" w:cstheme="majorBidi"/>
                <w:i/>
                <w:iCs/>
                <w:color w:val="000000"/>
                <w:sz w:val="16"/>
                <w:szCs w:val="16"/>
                <w:lang w:val="en-GB" w:eastAsia="zh-CN"/>
              </w:rPr>
            </w:pPr>
            <w:r w:rsidRPr="00324B90">
              <w:rPr>
                <w:rFonts w:asciiTheme="majorBidi" w:eastAsia="Times New Roman" w:hAnsiTheme="majorBidi" w:cstheme="majorBidi"/>
                <w:i/>
                <w:iCs/>
                <w:color w:val="000000"/>
                <w:sz w:val="16"/>
                <w:szCs w:val="16"/>
                <w:lang w:val="en-GB" w:eastAsia="zh-CN"/>
              </w:rPr>
              <w:t>Sample variables</w:t>
            </w:r>
          </w:p>
        </w:tc>
        <w:tc>
          <w:tcPr>
            <w:tcW w:w="2268" w:type="dxa"/>
            <w:tcBorders>
              <w:top w:val="nil"/>
              <w:left w:val="nil"/>
              <w:bottom w:val="nil"/>
              <w:right w:val="nil"/>
            </w:tcBorders>
            <w:shd w:val="clear" w:color="auto" w:fill="auto"/>
            <w:noWrap/>
            <w:vAlign w:val="center"/>
            <w:hideMark/>
          </w:tcPr>
          <w:p w14:paraId="4BB3E840" w14:textId="77777777" w:rsidR="00B23722" w:rsidRPr="00324B90" w:rsidRDefault="00B23722" w:rsidP="00324B90">
            <w:pPr>
              <w:spacing w:line="240" w:lineRule="auto"/>
              <w:rPr>
                <w:rFonts w:asciiTheme="majorBidi" w:eastAsia="Times New Roman" w:hAnsiTheme="majorBidi" w:cstheme="majorBidi"/>
                <w:i/>
                <w:iCs/>
                <w:color w:val="000000"/>
                <w:sz w:val="16"/>
                <w:szCs w:val="16"/>
                <w:lang w:val="en-GB" w:eastAsia="zh-CN"/>
              </w:rPr>
            </w:pPr>
          </w:p>
        </w:tc>
        <w:tc>
          <w:tcPr>
            <w:tcW w:w="1985" w:type="dxa"/>
            <w:tcBorders>
              <w:top w:val="nil"/>
              <w:left w:val="nil"/>
              <w:bottom w:val="nil"/>
              <w:right w:val="nil"/>
            </w:tcBorders>
            <w:shd w:val="clear" w:color="auto" w:fill="auto"/>
            <w:noWrap/>
            <w:vAlign w:val="center"/>
            <w:hideMark/>
          </w:tcPr>
          <w:p w14:paraId="4FE1CC7F" w14:textId="77777777" w:rsidR="00B23722" w:rsidRPr="00324B90" w:rsidRDefault="00B23722" w:rsidP="00324B90">
            <w:pPr>
              <w:spacing w:line="240" w:lineRule="auto"/>
              <w:jc w:val="center"/>
              <w:rPr>
                <w:rFonts w:asciiTheme="majorBidi" w:eastAsia="Times New Roman" w:hAnsiTheme="majorBidi" w:cstheme="majorBidi"/>
                <w:sz w:val="16"/>
                <w:szCs w:val="16"/>
                <w:lang w:val="en-GB" w:eastAsia="zh-CN"/>
              </w:rPr>
            </w:pPr>
          </w:p>
        </w:tc>
        <w:tc>
          <w:tcPr>
            <w:tcW w:w="6439" w:type="dxa"/>
            <w:tcBorders>
              <w:top w:val="nil"/>
              <w:left w:val="nil"/>
              <w:bottom w:val="nil"/>
              <w:right w:val="nil"/>
            </w:tcBorders>
            <w:shd w:val="clear" w:color="auto" w:fill="auto"/>
            <w:noWrap/>
            <w:vAlign w:val="center"/>
            <w:hideMark/>
          </w:tcPr>
          <w:p w14:paraId="3659F591" w14:textId="77777777" w:rsidR="00B23722" w:rsidRPr="00324B90" w:rsidRDefault="00B23722" w:rsidP="00653332">
            <w:pPr>
              <w:spacing w:line="240" w:lineRule="auto"/>
              <w:rPr>
                <w:rFonts w:asciiTheme="majorBidi" w:eastAsia="Times New Roman" w:hAnsiTheme="majorBidi" w:cstheme="majorBidi"/>
                <w:sz w:val="16"/>
                <w:szCs w:val="16"/>
                <w:lang w:val="en-GB" w:eastAsia="zh-CN"/>
              </w:rPr>
            </w:pPr>
          </w:p>
        </w:tc>
      </w:tr>
      <w:tr w:rsidR="00863C83" w:rsidRPr="00324B90" w14:paraId="006DDDDA" w14:textId="77777777" w:rsidTr="00A5383F">
        <w:trPr>
          <w:trHeight w:val="250"/>
        </w:trPr>
        <w:tc>
          <w:tcPr>
            <w:tcW w:w="2268" w:type="dxa"/>
            <w:tcBorders>
              <w:top w:val="nil"/>
              <w:left w:val="nil"/>
              <w:bottom w:val="nil"/>
              <w:right w:val="nil"/>
            </w:tcBorders>
            <w:shd w:val="clear" w:color="auto" w:fill="auto"/>
            <w:noWrap/>
            <w:vAlign w:val="center"/>
            <w:hideMark/>
          </w:tcPr>
          <w:p w14:paraId="7958E410" w14:textId="77777777" w:rsidR="00B23722" w:rsidRPr="00324B90" w:rsidRDefault="00B23722" w:rsidP="00324B90">
            <w:pPr>
              <w:spacing w:line="240" w:lineRule="auto"/>
              <w:ind w:firstLineChars="100" w:firstLine="16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Age</w:t>
            </w:r>
          </w:p>
        </w:tc>
        <w:tc>
          <w:tcPr>
            <w:tcW w:w="2268" w:type="dxa"/>
            <w:tcBorders>
              <w:top w:val="nil"/>
              <w:left w:val="nil"/>
              <w:bottom w:val="nil"/>
              <w:right w:val="nil"/>
            </w:tcBorders>
            <w:shd w:val="clear" w:color="auto" w:fill="auto"/>
            <w:noWrap/>
            <w:vAlign w:val="center"/>
            <w:hideMark/>
          </w:tcPr>
          <w:p w14:paraId="6232337F" w14:textId="77777777"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Age</w:t>
            </w:r>
          </w:p>
        </w:tc>
        <w:tc>
          <w:tcPr>
            <w:tcW w:w="1985" w:type="dxa"/>
            <w:tcBorders>
              <w:top w:val="nil"/>
              <w:left w:val="nil"/>
              <w:bottom w:val="nil"/>
              <w:right w:val="nil"/>
            </w:tcBorders>
            <w:shd w:val="clear" w:color="auto" w:fill="auto"/>
            <w:noWrap/>
            <w:vAlign w:val="center"/>
            <w:hideMark/>
          </w:tcPr>
          <w:p w14:paraId="3AEE6860" w14:textId="77777777"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Age</w:t>
            </w:r>
          </w:p>
        </w:tc>
        <w:tc>
          <w:tcPr>
            <w:tcW w:w="6439" w:type="dxa"/>
            <w:tcBorders>
              <w:top w:val="nil"/>
              <w:left w:val="nil"/>
              <w:bottom w:val="nil"/>
              <w:right w:val="nil"/>
            </w:tcBorders>
            <w:shd w:val="clear" w:color="auto" w:fill="auto"/>
            <w:noWrap/>
            <w:vAlign w:val="center"/>
            <w:hideMark/>
          </w:tcPr>
          <w:p w14:paraId="628416DC" w14:textId="1212A84F" w:rsidR="00B23722" w:rsidRPr="00324B90" w:rsidRDefault="00A75892" w:rsidP="00653332">
            <w:pPr>
              <w:spacing w:line="240" w:lineRule="auto"/>
              <w:rPr>
                <w:rFonts w:asciiTheme="majorBidi" w:eastAsia="Times New Roman" w:hAnsiTheme="majorBidi" w:cstheme="majorBidi"/>
                <w:color w:val="000000"/>
                <w:sz w:val="16"/>
                <w:szCs w:val="16"/>
                <w:lang w:val="en-GB" w:eastAsia="zh-CN"/>
              </w:rPr>
            </w:pPr>
            <w:r w:rsidRPr="00A75892">
              <w:rPr>
                <w:rFonts w:asciiTheme="majorBidi" w:eastAsia="Times New Roman" w:hAnsiTheme="majorBidi" w:cstheme="majorBidi"/>
                <w:color w:val="000000"/>
                <w:sz w:val="16"/>
                <w:szCs w:val="16"/>
                <w:lang w:val="en-GB" w:eastAsia="zh-CN"/>
              </w:rPr>
              <w:t>Participants</w:t>
            </w:r>
            <w:r>
              <w:rPr>
                <w:rFonts w:asciiTheme="majorBidi" w:eastAsia="Times New Roman" w:hAnsiTheme="majorBidi" w:cstheme="majorBidi"/>
                <w:color w:val="000000"/>
                <w:sz w:val="16"/>
                <w:szCs w:val="16"/>
                <w:lang w:val="en-GB" w:eastAsia="zh-CN"/>
              </w:rPr>
              <w:t>’</w:t>
            </w:r>
            <w:r w:rsidRPr="00A75892">
              <w:rPr>
                <w:rFonts w:asciiTheme="majorBidi" w:eastAsia="Times New Roman" w:hAnsiTheme="majorBidi" w:cstheme="majorBidi"/>
                <w:color w:val="000000"/>
                <w:sz w:val="16"/>
                <w:szCs w:val="16"/>
                <w:lang w:val="en-GB" w:eastAsia="zh-CN"/>
              </w:rPr>
              <w:t xml:space="preserve"> age, usually measured as self-reported participants</w:t>
            </w:r>
            <w:r>
              <w:rPr>
                <w:rFonts w:asciiTheme="majorBidi" w:eastAsia="Times New Roman" w:hAnsiTheme="majorBidi" w:cstheme="majorBidi"/>
                <w:color w:val="000000"/>
                <w:sz w:val="16"/>
                <w:szCs w:val="16"/>
                <w:lang w:val="en-GB" w:eastAsia="zh-CN"/>
              </w:rPr>
              <w:t>’</w:t>
            </w:r>
            <w:r w:rsidRPr="00A75892">
              <w:rPr>
                <w:rFonts w:asciiTheme="majorBidi" w:eastAsia="Times New Roman" w:hAnsiTheme="majorBidi" w:cstheme="majorBidi"/>
                <w:color w:val="000000"/>
                <w:sz w:val="16"/>
                <w:szCs w:val="16"/>
                <w:lang w:val="en-GB" w:eastAsia="zh-CN"/>
              </w:rPr>
              <w:t xml:space="preserve"> person years.</w:t>
            </w:r>
          </w:p>
        </w:tc>
      </w:tr>
      <w:tr w:rsidR="00863C83" w:rsidRPr="00324B90" w14:paraId="20ED24ED" w14:textId="77777777" w:rsidTr="00A5383F">
        <w:trPr>
          <w:trHeight w:val="250"/>
        </w:trPr>
        <w:tc>
          <w:tcPr>
            <w:tcW w:w="2268" w:type="dxa"/>
            <w:tcBorders>
              <w:top w:val="nil"/>
              <w:left w:val="nil"/>
              <w:bottom w:val="nil"/>
              <w:right w:val="nil"/>
            </w:tcBorders>
            <w:shd w:val="clear" w:color="auto" w:fill="auto"/>
            <w:noWrap/>
            <w:vAlign w:val="center"/>
            <w:hideMark/>
          </w:tcPr>
          <w:p w14:paraId="11E4A534" w14:textId="77777777" w:rsidR="00B23722" w:rsidRPr="00324B90" w:rsidRDefault="00B23722" w:rsidP="00324B90">
            <w:pPr>
              <w:spacing w:line="240" w:lineRule="auto"/>
              <w:ind w:firstLineChars="100" w:firstLine="16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Gender</w:t>
            </w:r>
          </w:p>
        </w:tc>
        <w:tc>
          <w:tcPr>
            <w:tcW w:w="2268" w:type="dxa"/>
            <w:tcBorders>
              <w:top w:val="nil"/>
              <w:left w:val="nil"/>
              <w:bottom w:val="nil"/>
              <w:right w:val="nil"/>
            </w:tcBorders>
            <w:shd w:val="clear" w:color="auto" w:fill="auto"/>
            <w:noWrap/>
            <w:vAlign w:val="center"/>
            <w:hideMark/>
          </w:tcPr>
          <w:p w14:paraId="0BA2676E" w14:textId="77777777"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Gender</w:t>
            </w:r>
          </w:p>
        </w:tc>
        <w:tc>
          <w:tcPr>
            <w:tcW w:w="1985" w:type="dxa"/>
            <w:tcBorders>
              <w:top w:val="nil"/>
              <w:left w:val="nil"/>
              <w:bottom w:val="nil"/>
              <w:right w:val="nil"/>
            </w:tcBorders>
            <w:shd w:val="clear" w:color="auto" w:fill="auto"/>
            <w:noWrap/>
            <w:vAlign w:val="center"/>
            <w:hideMark/>
          </w:tcPr>
          <w:p w14:paraId="70669407" w14:textId="77777777"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Gender</w:t>
            </w:r>
          </w:p>
        </w:tc>
        <w:tc>
          <w:tcPr>
            <w:tcW w:w="6439" w:type="dxa"/>
            <w:tcBorders>
              <w:top w:val="nil"/>
              <w:left w:val="nil"/>
              <w:bottom w:val="nil"/>
              <w:right w:val="nil"/>
            </w:tcBorders>
            <w:shd w:val="clear" w:color="auto" w:fill="auto"/>
            <w:noWrap/>
            <w:vAlign w:val="center"/>
            <w:hideMark/>
          </w:tcPr>
          <w:p w14:paraId="612D4641" w14:textId="70CFA042" w:rsidR="00B23722" w:rsidRPr="00324B90" w:rsidRDefault="00DF007B" w:rsidP="00653332">
            <w:pPr>
              <w:spacing w:line="240" w:lineRule="auto"/>
              <w:rPr>
                <w:rFonts w:asciiTheme="majorBidi" w:eastAsia="Times New Roman" w:hAnsiTheme="majorBidi" w:cstheme="majorBidi"/>
                <w:color w:val="000000"/>
                <w:sz w:val="16"/>
                <w:szCs w:val="16"/>
                <w:lang w:val="en-GB" w:eastAsia="zh-CN"/>
              </w:rPr>
            </w:pPr>
            <w:r w:rsidRPr="00DF007B">
              <w:rPr>
                <w:rFonts w:asciiTheme="majorBidi" w:eastAsia="Times New Roman" w:hAnsiTheme="majorBidi" w:cstheme="majorBidi"/>
                <w:color w:val="000000"/>
                <w:sz w:val="16"/>
                <w:szCs w:val="16"/>
                <w:lang w:val="en-GB" w:eastAsia="zh-CN"/>
              </w:rPr>
              <w:t>Participants</w:t>
            </w:r>
            <w:r w:rsidR="00A75892">
              <w:rPr>
                <w:rFonts w:asciiTheme="majorBidi" w:eastAsia="Times New Roman" w:hAnsiTheme="majorBidi" w:cstheme="majorBidi"/>
                <w:color w:val="000000"/>
                <w:sz w:val="16"/>
                <w:szCs w:val="16"/>
                <w:lang w:val="en-GB" w:eastAsia="zh-CN"/>
              </w:rPr>
              <w:t>’</w:t>
            </w:r>
            <w:r w:rsidRPr="00DF007B">
              <w:rPr>
                <w:rFonts w:asciiTheme="majorBidi" w:eastAsia="Times New Roman" w:hAnsiTheme="majorBidi" w:cstheme="majorBidi"/>
                <w:color w:val="000000"/>
                <w:sz w:val="16"/>
                <w:szCs w:val="16"/>
                <w:lang w:val="en-GB" w:eastAsia="zh-CN"/>
              </w:rPr>
              <w:t xml:space="preserve"> gender as reported in the paper. Positive correlations effect size always mean that men cooperated more than women.</w:t>
            </w:r>
          </w:p>
        </w:tc>
      </w:tr>
      <w:tr w:rsidR="00863C83" w:rsidRPr="00324B90" w14:paraId="140E8985" w14:textId="77777777" w:rsidTr="00A5383F">
        <w:trPr>
          <w:trHeight w:val="250"/>
        </w:trPr>
        <w:tc>
          <w:tcPr>
            <w:tcW w:w="2268" w:type="dxa"/>
            <w:tcBorders>
              <w:top w:val="nil"/>
              <w:left w:val="nil"/>
              <w:bottom w:val="nil"/>
              <w:right w:val="nil"/>
            </w:tcBorders>
            <w:shd w:val="clear" w:color="auto" w:fill="auto"/>
            <w:noWrap/>
            <w:vAlign w:val="center"/>
            <w:hideMark/>
          </w:tcPr>
          <w:p w14:paraId="44AE4E7F" w14:textId="77777777" w:rsidR="00B23722" w:rsidRPr="00324B90" w:rsidRDefault="00B23722" w:rsidP="00324B90">
            <w:pPr>
              <w:spacing w:line="240" w:lineRule="auto"/>
              <w:rPr>
                <w:rFonts w:asciiTheme="majorBidi" w:eastAsia="Times New Roman" w:hAnsiTheme="majorBidi" w:cstheme="majorBidi"/>
                <w:i/>
                <w:iCs/>
                <w:color w:val="000000"/>
                <w:sz w:val="16"/>
                <w:szCs w:val="16"/>
                <w:lang w:val="en-GB" w:eastAsia="zh-CN"/>
              </w:rPr>
            </w:pPr>
            <w:r w:rsidRPr="00324B90">
              <w:rPr>
                <w:rFonts w:asciiTheme="majorBidi" w:eastAsia="Times New Roman" w:hAnsiTheme="majorBidi" w:cstheme="majorBidi"/>
                <w:i/>
                <w:iCs/>
                <w:color w:val="000000"/>
                <w:sz w:val="16"/>
                <w:szCs w:val="16"/>
                <w:lang w:val="en-GB" w:eastAsia="zh-CN"/>
              </w:rPr>
              <w:t>Structural variables</w:t>
            </w:r>
          </w:p>
        </w:tc>
        <w:tc>
          <w:tcPr>
            <w:tcW w:w="2268" w:type="dxa"/>
            <w:tcBorders>
              <w:top w:val="nil"/>
              <w:left w:val="nil"/>
              <w:bottom w:val="nil"/>
              <w:right w:val="nil"/>
            </w:tcBorders>
            <w:shd w:val="clear" w:color="auto" w:fill="auto"/>
            <w:noWrap/>
            <w:vAlign w:val="center"/>
            <w:hideMark/>
          </w:tcPr>
          <w:p w14:paraId="6E063307" w14:textId="77777777" w:rsidR="00B23722" w:rsidRPr="00324B90" w:rsidRDefault="00B23722" w:rsidP="00324B90">
            <w:pPr>
              <w:spacing w:line="240" w:lineRule="auto"/>
              <w:rPr>
                <w:rFonts w:asciiTheme="majorBidi" w:eastAsia="Times New Roman" w:hAnsiTheme="majorBidi" w:cstheme="majorBidi"/>
                <w:i/>
                <w:iCs/>
                <w:color w:val="000000"/>
                <w:sz w:val="16"/>
                <w:szCs w:val="16"/>
                <w:lang w:val="en-GB" w:eastAsia="zh-CN"/>
              </w:rPr>
            </w:pPr>
          </w:p>
        </w:tc>
        <w:tc>
          <w:tcPr>
            <w:tcW w:w="1985" w:type="dxa"/>
            <w:tcBorders>
              <w:top w:val="nil"/>
              <w:left w:val="nil"/>
              <w:bottom w:val="nil"/>
              <w:right w:val="nil"/>
            </w:tcBorders>
            <w:shd w:val="clear" w:color="auto" w:fill="auto"/>
            <w:noWrap/>
            <w:vAlign w:val="center"/>
            <w:hideMark/>
          </w:tcPr>
          <w:p w14:paraId="7EE08C06" w14:textId="77777777" w:rsidR="00B23722" w:rsidRPr="00324B90" w:rsidRDefault="00B23722" w:rsidP="00324B90">
            <w:pPr>
              <w:spacing w:line="240" w:lineRule="auto"/>
              <w:jc w:val="center"/>
              <w:rPr>
                <w:rFonts w:asciiTheme="majorBidi" w:eastAsia="Times New Roman" w:hAnsiTheme="majorBidi" w:cstheme="majorBidi"/>
                <w:sz w:val="16"/>
                <w:szCs w:val="16"/>
                <w:lang w:val="en-GB" w:eastAsia="zh-CN"/>
              </w:rPr>
            </w:pPr>
          </w:p>
        </w:tc>
        <w:tc>
          <w:tcPr>
            <w:tcW w:w="6439" w:type="dxa"/>
            <w:tcBorders>
              <w:top w:val="nil"/>
              <w:left w:val="nil"/>
              <w:bottom w:val="nil"/>
              <w:right w:val="nil"/>
            </w:tcBorders>
            <w:shd w:val="clear" w:color="auto" w:fill="auto"/>
            <w:noWrap/>
            <w:vAlign w:val="center"/>
            <w:hideMark/>
          </w:tcPr>
          <w:p w14:paraId="2AB8F151" w14:textId="77777777" w:rsidR="00B23722" w:rsidRPr="00324B90" w:rsidRDefault="00B23722" w:rsidP="00653332">
            <w:pPr>
              <w:spacing w:line="240" w:lineRule="auto"/>
              <w:rPr>
                <w:rFonts w:asciiTheme="majorBidi" w:eastAsia="Times New Roman" w:hAnsiTheme="majorBidi" w:cstheme="majorBidi"/>
                <w:sz w:val="16"/>
                <w:szCs w:val="16"/>
                <w:lang w:val="en-GB" w:eastAsia="zh-CN"/>
              </w:rPr>
            </w:pPr>
          </w:p>
        </w:tc>
      </w:tr>
      <w:tr w:rsidR="00863C83" w:rsidRPr="00324B90" w14:paraId="19C86029" w14:textId="77777777" w:rsidTr="00A5383F">
        <w:trPr>
          <w:trHeight w:val="250"/>
        </w:trPr>
        <w:tc>
          <w:tcPr>
            <w:tcW w:w="2268" w:type="dxa"/>
            <w:tcBorders>
              <w:top w:val="nil"/>
              <w:left w:val="nil"/>
              <w:bottom w:val="nil"/>
              <w:right w:val="nil"/>
            </w:tcBorders>
            <w:shd w:val="clear" w:color="auto" w:fill="auto"/>
            <w:noWrap/>
            <w:vAlign w:val="center"/>
            <w:hideMark/>
          </w:tcPr>
          <w:p w14:paraId="0CBE65AC" w14:textId="77777777" w:rsidR="00B23722" w:rsidRPr="00324B90" w:rsidRDefault="00B23722" w:rsidP="00324B90">
            <w:pPr>
              <w:spacing w:line="240" w:lineRule="auto"/>
              <w:ind w:firstLineChars="100" w:firstLine="16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Conflict of interests</w:t>
            </w:r>
          </w:p>
        </w:tc>
        <w:tc>
          <w:tcPr>
            <w:tcW w:w="2268" w:type="dxa"/>
            <w:tcBorders>
              <w:top w:val="nil"/>
              <w:left w:val="nil"/>
              <w:bottom w:val="nil"/>
              <w:right w:val="nil"/>
            </w:tcBorders>
            <w:shd w:val="clear" w:color="auto" w:fill="auto"/>
            <w:noWrap/>
            <w:vAlign w:val="center"/>
            <w:hideMark/>
          </w:tcPr>
          <w:p w14:paraId="7F4F2D5B" w14:textId="77777777"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Degree of conflicting interests</w:t>
            </w:r>
          </w:p>
        </w:tc>
        <w:tc>
          <w:tcPr>
            <w:tcW w:w="1985" w:type="dxa"/>
            <w:tcBorders>
              <w:top w:val="nil"/>
              <w:left w:val="nil"/>
              <w:bottom w:val="nil"/>
              <w:right w:val="nil"/>
            </w:tcBorders>
            <w:shd w:val="clear" w:color="auto" w:fill="auto"/>
            <w:noWrap/>
            <w:vAlign w:val="center"/>
            <w:hideMark/>
          </w:tcPr>
          <w:p w14:paraId="1B8BECE7" w14:textId="77777777"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Conflict level</w:t>
            </w:r>
          </w:p>
        </w:tc>
        <w:tc>
          <w:tcPr>
            <w:tcW w:w="6439" w:type="dxa"/>
            <w:tcBorders>
              <w:top w:val="nil"/>
              <w:left w:val="nil"/>
              <w:bottom w:val="nil"/>
              <w:right w:val="nil"/>
            </w:tcBorders>
            <w:shd w:val="clear" w:color="auto" w:fill="auto"/>
            <w:noWrap/>
            <w:vAlign w:val="center"/>
            <w:hideMark/>
          </w:tcPr>
          <w:p w14:paraId="04A71B20" w14:textId="684401B4" w:rsidR="00B23722" w:rsidRPr="00324B90" w:rsidRDefault="00DF007B" w:rsidP="00653332">
            <w:pPr>
              <w:spacing w:line="240" w:lineRule="auto"/>
              <w:rPr>
                <w:rFonts w:asciiTheme="majorBidi" w:eastAsia="Times New Roman" w:hAnsiTheme="majorBidi" w:cstheme="majorBidi"/>
                <w:color w:val="000000"/>
                <w:sz w:val="16"/>
                <w:szCs w:val="16"/>
                <w:lang w:val="en-GB" w:eastAsia="zh-CN"/>
              </w:rPr>
            </w:pPr>
            <w:r w:rsidRPr="00DF007B">
              <w:rPr>
                <w:rFonts w:asciiTheme="majorBidi" w:eastAsia="Times New Roman" w:hAnsiTheme="majorBidi" w:cstheme="majorBidi"/>
                <w:color w:val="000000"/>
                <w:sz w:val="16"/>
                <w:szCs w:val="16"/>
                <w:lang w:val="en-GB" w:eastAsia="zh-CN"/>
              </w:rPr>
              <w:t>Relative level of the conflict of interests in the game.</w:t>
            </w:r>
          </w:p>
        </w:tc>
      </w:tr>
      <w:tr w:rsidR="00863C83" w:rsidRPr="00324B90" w14:paraId="283A6602" w14:textId="77777777" w:rsidTr="00A5383F">
        <w:trPr>
          <w:trHeight w:val="250"/>
        </w:trPr>
        <w:tc>
          <w:tcPr>
            <w:tcW w:w="2268" w:type="dxa"/>
            <w:tcBorders>
              <w:top w:val="nil"/>
              <w:left w:val="nil"/>
              <w:bottom w:val="nil"/>
              <w:right w:val="nil"/>
            </w:tcBorders>
            <w:shd w:val="clear" w:color="auto" w:fill="auto"/>
            <w:noWrap/>
            <w:vAlign w:val="center"/>
            <w:hideMark/>
          </w:tcPr>
          <w:p w14:paraId="371DCDF3" w14:textId="77777777" w:rsidR="00B23722" w:rsidRPr="00324B90" w:rsidRDefault="00B23722" w:rsidP="00324B90">
            <w:pPr>
              <w:spacing w:line="240" w:lineRule="auto"/>
              <w:ind w:firstLineChars="100" w:firstLine="16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Group size</w:t>
            </w:r>
          </w:p>
        </w:tc>
        <w:tc>
          <w:tcPr>
            <w:tcW w:w="2268" w:type="dxa"/>
            <w:tcBorders>
              <w:top w:val="nil"/>
              <w:left w:val="nil"/>
              <w:bottom w:val="nil"/>
              <w:right w:val="nil"/>
            </w:tcBorders>
            <w:shd w:val="clear" w:color="auto" w:fill="auto"/>
            <w:noWrap/>
            <w:vAlign w:val="center"/>
            <w:hideMark/>
          </w:tcPr>
          <w:p w14:paraId="0D72C0F1" w14:textId="7C85DEB2"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 xml:space="preserve">Group </w:t>
            </w:r>
            <w:r>
              <w:rPr>
                <w:rFonts w:asciiTheme="majorBidi" w:eastAsia="Times New Roman" w:hAnsiTheme="majorBidi" w:cstheme="majorBidi"/>
                <w:color w:val="000000"/>
                <w:sz w:val="16"/>
                <w:szCs w:val="16"/>
                <w:lang w:val="en-GB" w:eastAsia="zh-CN"/>
              </w:rPr>
              <w:t>s</w:t>
            </w:r>
            <w:r w:rsidRPr="00324B90">
              <w:rPr>
                <w:rFonts w:asciiTheme="majorBidi" w:eastAsia="Times New Roman" w:hAnsiTheme="majorBidi" w:cstheme="majorBidi"/>
                <w:color w:val="000000"/>
                <w:sz w:val="16"/>
                <w:szCs w:val="16"/>
                <w:lang w:val="en-GB" w:eastAsia="zh-CN"/>
              </w:rPr>
              <w:t>ize</w:t>
            </w:r>
          </w:p>
        </w:tc>
        <w:tc>
          <w:tcPr>
            <w:tcW w:w="1985" w:type="dxa"/>
            <w:tcBorders>
              <w:top w:val="nil"/>
              <w:left w:val="nil"/>
              <w:bottom w:val="nil"/>
              <w:right w:val="nil"/>
            </w:tcBorders>
            <w:shd w:val="clear" w:color="auto" w:fill="auto"/>
            <w:noWrap/>
            <w:vAlign w:val="center"/>
            <w:hideMark/>
          </w:tcPr>
          <w:p w14:paraId="066092FA" w14:textId="77777777"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Group size level</w:t>
            </w:r>
          </w:p>
        </w:tc>
        <w:tc>
          <w:tcPr>
            <w:tcW w:w="6439" w:type="dxa"/>
            <w:tcBorders>
              <w:top w:val="nil"/>
              <w:left w:val="nil"/>
              <w:bottom w:val="nil"/>
              <w:right w:val="nil"/>
            </w:tcBorders>
            <w:shd w:val="clear" w:color="auto" w:fill="auto"/>
            <w:noWrap/>
            <w:vAlign w:val="center"/>
            <w:hideMark/>
          </w:tcPr>
          <w:p w14:paraId="19E2AE03" w14:textId="14024ECE" w:rsidR="00B23722" w:rsidRPr="00324B90" w:rsidRDefault="00A75892" w:rsidP="00653332">
            <w:pPr>
              <w:spacing w:line="240" w:lineRule="auto"/>
              <w:rPr>
                <w:rFonts w:asciiTheme="majorBidi" w:eastAsia="Times New Roman" w:hAnsiTheme="majorBidi" w:cstheme="majorBidi"/>
                <w:color w:val="000000"/>
                <w:sz w:val="16"/>
                <w:szCs w:val="16"/>
                <w:lang w:val="en-GB" w:eastAsia="zh-CN"/>
              </w:rPr>
            </w:pPr>
            <w:r w:rsidRPr="00A75892">
              <w:rPr>
                <w:rFonts w:asciiTheme="majorBidi" w:eastAsia="Times New Roman" w:hAnsiTheme="majorBidi" w:cstheme="majorBidi"/>
                <w:color w:val="000000"/>
                <w:sz w:val="16"/>
                <w:szCs w:val="16"/>
                <w:lang w:val="en-GB" w:eastAsia="zh-CN"/>
              </w:rPr>
              <w:t>Relative size of the group, in case exact group size is not provided or it is not relevant (e.g., different group sizes are collapsed together and compared with others).</w:t>
            </w:r>
          </w:p>
        </w:tc>
      </w:tr>
      <w:tr w:rsidR="00863C83" w:rsidRPr="00324B90" w14:paraId="0AC80A81" w14:textId="77777777" w:rsidTr="00A5383F">
        <w:trPr>
          <w:trHeight w:val="250"/>
        </w:trPr>
        <w:tc>
          <w:tcPr>
            <w:tcW w:w="2268" w:type="dxa"/>
            <w:tcBorders>
              <w:top w:val="nil"/>
              <w:left w:val="nil"/>
              <w:bottom w:val="nil"/>
              <w:right w:val="nil"/>
            </w:tcBorders>
            <w:shd w:val="clear" w:color="auto" w:fill="auto"/>
            <w:noWrap/>
            <w:vAlign w:val="center"/>
            <w:hideMark/>
          </w:tcPr>
          <w:p w14:paraId="6368280D" w14:textId="77777777" w:rsidR="00B23722" w:rsidRPr="00324B90" w:rsidRDefault="00B23722" w:rsidP="00324B90">
            <w:pPr>
              <w:spacing w:line="240" w:lineRule="auto"/>
              <w:ind w:firstLineChars="100" w:firstLine="160"/>
              <w:rPr>
                <w:rFonts w:asciiTheme="majorBidi" w:eastAsia="Times New Roman" w:hAnsiTheme="majorBidi" w:cstheme="majorBidi"/>
                <w:color w:val="000000"/>
                <w:sz w:val="16"/>
                <w:szCs w:val="16"/>
                <w:lang w:val="en-GB" w:eastAsia="zh-CN"/>
              </w:rPr>
            </w:pPr>
            <w:proofErr w:type="spellStart"/>
            <w:r w:rsidRPr="00324B90">
              <w:rPr>
                <w:rFonts w:asciiTheme="majorBidi" w:eastAsia="Times New Roman" w:hAnsiTheme="majorBidi" w:cstheme="majorBidi"/>
                <w:color w:val="000000"/>
                <w:sz w:val="16"/>
                <w:szCs w:val="16"/>
                <w:lang w:val="en-GB" w:eastAsia="zh-CN"/>
              </w:rPr>
              <w:t>Sequentiality</w:t>
            </w:r>
            <w:proofErr w:type="spellEnd"/>
          </w:p>
        </w:tc>
        <w:tc>
          <w:tcPr>
            <w:tcW w:w="2268" w:type="dxa"/>
            <w:tcBorders>
              <w:top w:val="nil"/>
              <w:left w:val="nil"/>
              <w:bottom w:val="nil"/>
              <w:right w:val="nil"/>
            </w:tcBorders>
            <w:shd w:val="clear" w:color="auto" w:fill="auto"/>
            <w:noWrap/>
            <w:vAlign w:val="center"/>
            <w:hideMark/>
          </w:tcPr>
          <w:p w14:paraId="2DD565F2" w14:textId="77777777"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proofErr w:type="spellStart"/>
            <w:r w:rsidRPr="00324B90">
              <w:rPr>
                <w:rFonts w:asciiTheme="majorBidi" w:eastAsia="Times New Roman" w:hAnsiTheme="majorBidi" w:cstheme="majorBidi"/>
                <w:color w:val="000000"/>
                <w:sz w:val="16"/>
                <w:szCs w:val="16"/>
                <w:lang w:val="en-GB" w:eastAsia="zh-CN"/>
              </w:rPr>
              <w:t>Sequentiality</w:t>
            </w:r>
            <w:proofErr w:type="spellEnd"/>
          </w:p>
        </w:tc>
        <w:tc>
          <w:tcPr>
            <w:tcW w:w="1985" w:type="dxa"/>
            <w:tcBorders>
              <w:top w:val="nil"/>
              <w:left w:val="nil"/>
              <w:bottom w:val="nil"/>
              <w:right w:val="nil"/>
            </w:tcBorders>
            <w:shd w:val="clear" w:color="auto" w:fill="auto"/>
            <w:noWrap/>
            <w:vAlign w:val="center"/>
            <w:hideMark/>
          </w:tcPr>
          <w:p w14:paraId="6EB4CBFA" w14:textId="77777777"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proofErr w:type="spellStart"/>
            <w:r w:rsidRPr="00324B90">
              <w:rPr>
                <w:rFonts w:asciiTheme="majorBidi" w:eastAsia="Times New Roman" w:hAnsiTheme="majorBidi" w:cstheme="majorBidi"/>
                <w:color w:val="000000"/>
                <w:sz w:val="16"/>
                <w:szCs w:val="16"/>
                <w:lang w:val="en-GB" w:eastAsia="zh-CN"/>
              </w:rPr>
              <w:t>Sequentiality</w:t>
            </w:r>
            <w:proofErr w:type="spellEnd"/>
          </w:p>
        </w:tc>
        <w:tc>
          <w:tcPr>
            <w:tcW w:w="6439" w:type="dxa"/>
            <w:tcBorders>
              <w:top w:val="nil"/>
              <w:left w:val="nil"/>
              <w:bottom w:val="nil"/>
              <w:right w:val="nil"/>
            </w:tcBorders>
            <w:shd w:val="clear" w:color="auto" w:fill="auto"/>
            <w:noWrap/>
            <w:vAlign w:val="center"/>
            <w:hideMark/>
          </w:tcPr>
          <w:p w14:paraId="3C4A55BD" w14:textId="3795E457" w:rsidR="00B23722" w:rsidRPr="00324B90" w:rsidRDefault="00B23722" w:rsidP="00653332">
            <w:pPr>
              <w:spacing w:line="240" w:lineRule="auto"/>
              <w:rPr>
                <w:rFonts w:asciiTheme="majorBidi" w:eastAsia="Times New Roman" w:hAnsiTheme="majorBidi" w:cstheme="majorBidi"/>
                <w:color w:val="000000"/>
                <w:sz w:val="16"/>
                <w:szCs w:val="16"/>
                <w:lang w:val="en-GB" w:eastAsia="zh-CN"/>
              </w:rPr>
            </w:pPr>
            <w:r w:rsidRPr="00B23722">
              <w:rPr>
                <w:rFonts w:asciiTheme="majorBidi" w:eastAsia="Times New Roman" w:hAnsiTheme="majorBidi" w:cstheme="majorBidi"/>
                <w:color w:val="000000"/>
                <w:sz w:val="16"/>
                <w:szCs w:val="16"/>
                <w:lang w:val="en-GB" w:eastAsia="zh-CN"/>
              </w:rPr>
              <w:t>Whether group members make their decisions simultaneously or sequentially, i.e., whether participants take decisions one after another while receiving some form of feedback about preceding decisions.</w:t>
            </w:r>
          </w:p>
        </w:tc>
      </w:tr>
      <w:tr w:rsidR="00863C83" w:rsidRPr="00324B90" w14:paraId="6C572DDF" w14:textId="77777777" w:rsidTr="00A5383F">
        <w:trPr>
          <w:trHeight w:val="250"/>
        </w:trPr>
        <w:tc>
          <w:tcPr>
            <w:tcW w:w="2268" w:type="dxa"/>
            <w:tcBorders>
              <w:top w:val="nil"/>
              <w:left w:val="nil"/>
              <w:bottom w:val="nil"/>
              <w:right w:val="nil"/>
            </w:tcBorders>
            <w:shd w:val="clear" w:color="auto" w:fill="auto"/>
            <w:noWrap/>
            <w:vAlign w:val="center"/>
            <w:hideMark/>
          </w:tcPr>
          <w:p w14:paraId="3747BE59" w14:textId="77777777" w:rsidR="00B23722" w:rsidRPr="00324B90" w:rsidRDefault="00B23722" w:rsidP="00324B90">
            <w:pPr>
              <w:spacing w:line="240" w:lineRule="auto"/>
              <w:ind w:firstLineChars="100" w:firstLine="16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Communication</w:t>
            </w:r>
          </w:p>
        </w:tc>
        <w:tc>
          <w:tcPr>
            <w:tcW w:w="2268" w:type="dxa"/>
            <w:tcBorders>
              <w:top w:val="nil"/>
              <w:left w:val="nil"/>
              <w:bottom w:val="nil"/>
              <w:right w:val="nil"/>
            </w:tcBorders>
            <w:shd w:val="clear" w:color="auto" w:fill="auto"/>
            <w:noWrap/>
            <w:vAlign w:val="center"/>
            <w:hideMark/>
          </w:tcPr>
          <w:p w14:paraId="565E1ABF" w14:textId="77777777"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Communication</w:t>
            </w:r>
          </w:p>
        </w:tc>
        <w:tc>
          <w:tcPr>
            <w:tcW w:w="1985" w:type="dxa"/>
            <w:tcBorders>
              <w:top w:val="nil"/>
              <w:left w:val="nil"/>
              <w:bottom w:val="nil"/>
              <w:right w:val="nil"/>
            </w:tcBorders>
            <w:shd w:val="clear" w:color="auto" w:fill="auto"/>
            <w:noWrap/>
            <w:vAlign w:val="center"/>
            <w:hideMark/>
          </w:tcPr>
          <w:p w14:paraId="7334F6FD" w14:textId="77777777"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Communication treatment</w:t>
            </w:r>
          </w:p>
        </w:tc>
        <w:tc>
          <w:tcPr>
            <w:tcW w:w="6439" w:type="dxa"/>
            <w:tcBorders>
              <w:top w:val="nil"/>
              <w:left w:val="nil"/>
              <w:bottom w:val="nil"/>
              <w:right w:val="nil"/>
            </w:tcBorders>
            <w:shd w:val="clear" w:color="auto" w:fill="auto"/>
            <w:noWrap/>
            <w:vAlign w:val="center"/>
            <w:hideMark/>
          </w:tcPr>
          <w:p w14:paraId="0C993371" w14:textId="0C65BD98" w:rsidR="00B23722" w:rsidRPr="00324B90" w:rsidRDefault="006A3AA7" w:rsidP="00653332">
            <w:pPr>
              <w:spacing w:line="240" w:lineRule="auto"/>
              <w:rPr>
                <w:rFonts w:asciiTheme="majorBidi" w:eastAsia="Times New Roman" w:hAnsiTheme="majorBidi" w:cstheme="majorBidi"/>
                <w:color w:val="000000"/>
                <w:sz w:val="16"/>
                <w:szCs w:val="16"/>
                <w:lang w:val="en-GB" w:eastAsia="zh-CN"/>
              </w:rPr>
            </w:pPr>
            <w:r w:rsidRPr="006A3AA7">
              <w:rPr>
                <w:rFonts w:asciiTheme="majorBidi" w:eastAsia="Times New Roman" w:hAnsiTheme="majorBidi" w:cstheme="majorBidi"/>
                <w:color w:val="000000"/>
                <w:sz w:val="16"/>
                <w:szCs w:val="16"/>
                <w:lang w:val="en-GB" w:eastAsia="zh-CN"/>
              </w:rPr>
              <w:t>Whether communication was allowed between participants in the game.</w:t>
            </w:r>
          </w:p>
        </w:tc>
      </w:tr>
      <w:tr w:rsidR="00863C83" w:rsidRPr="00324B90" w14:paraId="06F46C06" w14:textId="77777777" w:rsidTr="00A5383F">
        <w:trPr>
          <w:trHeight w:val="250"/>
        </w:trPr>
        <w:tc>
          <w:tcPr>
            <w:tcW w:w="2268" w:type="dxa"/>
            <w:tcBorders>
              <w:top w:val="nil"/>
              <w:left w:val="nil"/>
              <w:bottom w:val="nil"/>
              <w:right w:val="nil"/>
            </w:tcBorders>
            <w:shd w:val="clear" w:color="auto" w:fill="auto"/>
            <w:noWrap/>
            <w:vAlign w:val="center"/>
            <w:hideMark/>
          </w:tcPr>
          <w:p w14:paraId="6787AA36" w14:textId="77777777" w:rsidR="00B23722" w:rsidRPr="00324B90" w:rsidRDefault="00B23722" w:rsidP="00324B90">
            <w:pPr>
              <w:spacing w:line="240" w:lineRule="auto"/>
              <w:ind w:firstLineChars="100" w:firstLine="16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Payment</w:t>
            </w:r>
          </w:p>
        </w:tc>
        <w:tc>
          <w:tcPr>
            <w:tcW w:w="2268" w:type="dxa"/>
            <w:tcBorders>
              <w:top w:val="nil"/>
              <w:left w:val="nil"/>
              <w:bottom w:val="nil"/>
              <w:right w:val="nil"/>
            </w:tcBorders>
            <w:shd w:val="clear" w:color="auto" w:fill="auto"/>
            <w:noWrap/>
            <w:vAlign w:val="center"/>
            <w:hideMark/>
          </w:tcPr>
          <w:p w14:paraId="5A99D087" w14:textId="77777777" w:rsidR="00B23722" w:rsidRPr="00324B90" w:rsidRDefault="00B23722" w:rsidP="00324B90">
            <w:pPr>
              <w:spacing w:line="240" w:lineRule="auto"/>
              <w:ind w:firstLineChars="100" w:firstLine="160"/>
              <w:rPr>
                <w:rFonts w:asciiTheme="majorBidi" w:eastAsia="Times New Roman" w:hAnsiTheme="majorBidi" w:cstheme="majorBidi"/>
                <w:color w:val="000000"/>
                <w:sz w:val="16"/>
                <w:szCs w:val="16"/>
                <w:lang w:val="en-GB" w:eastAsia="zh-CN"/>
              </w:rPr>
            </w:pPr>
          </w:p>
        </w:tc>
        <w:tc>
          <w:tcPr>
            <w:tcW w:w="1985" w:type="dxa"/>
            <w:tcBorders>
              <w:top w:val="nil"/>
              <w:left w:val="nil"/>
              <w:bottom w:val="nil"/>
              <w:right w:val="nil"/>
            </w:tcBorders>
            <w:shd w:val="clear" w:color="auto" w:fill="auto"/>
            <w:noWrap/>
            <w:vAlign w:val="center"/>
            <w:hideMark/>
          </w:tcPr>
          <w:p w14:paraId="59E1AEFF" w14:textId="77777777" w:rsidR="00B23722" w:rsidRPr="00324B90" w:rsidRDefault="00B23722" w:rsidP="00324B90">
            <w:pPr>
              <w:spacing w:line="240" w:lineRule="auto"/>
              <w:jc w:val="center"/>
              <w:rPr>
                <w:rFonts w:asciiTheme="majorBidi" w:eastAsia="Times New Roman" w:hAnsiTheme="majorBidi" w:cstheme="majorBidi"/>
                <w:sz w:val="16"/>
                <w:szCs w:val="16"/>
                <w:lang w:val="en-GB" w:eastAsia="zh-CN"/>
              </w:rPr>
            </w:pPr>
          </w:p>
        </w:tc>
        <w:tc>
          <w:tcPr>
            <w:tcW w:w="6439" w:type="dxa"/>
            <w:tcBorders>
              <w:top w:val="nil"/>
              <w:left w:val="nil"/>
              <w:bottom w:val="nil"/>
              <w:right w:val="nil"/>
            </w:tcBorders>
            <w:shd w:val="clear" w:color="auto" w:fill="auto"/>
            <w:noWrap/>
            <w:vAlign w:val="center"/>
            <w:hideMark/>
          </w:tcPr>
          <w:p w14:paraId="1BEA4F64" w14:textId="77777777" w:rsidR="00B23722" w:rsidRPr="00324B90" w:rsidRDefault="00B23722" w:rsidP="00653332">
            <w:pPr>
              <w:spacing w:line="240" w:lineRule="auto"/>
              <w:rPr>
                <w:rFonts w:asciiTheme="majorBidi" w:eastAsia="Times New Roman" w:hAnsiTheme="majorBidi" w:cstheme="majorBidi"/>
                <w:sz w:val="16"/>
                <w:szCs w:val="16"/>
                <w:lang w:val="en-GB" w:eastAsia="zh-CN"/>
              </w:rPr>
            </w:pPr>
          </w:p>
        </w:tc>
      </w:tr>
      <w:tr w:rsidR="00863C83" w:rsidRPr="00324B90" w14:paraId="4F4E400C" w14:textId="77777777" w:rsidTr="00A5383F">
        <w:trPr>
          <w:trHeight w:val="250"/>
        </w:trPr>
        <w:tc>
          <w:tcPr>
            <w:tcW w:w="2268" w:type="dxa"/>
            <w:tcBorders>
              <w:top w:val="nil"/>
              <w:left w:val="nil"/>
              <w:bottom w:val="nil"/>
              <w:right w:val="nil"/>
            </w:tcBorders>
            <w:shd w:val="clear" w:color="auto" w:fill="auto"/>
            <w:noWrap/>
            <w:vAlign w:val="center"/>
            <w:hideMark/>
          </w:tcPr>
          <w:p w14:paraId="69E0DA99" w14:textId="77777777" w:rsidR="00B23722" w:rsidRPr="00324B90" w:rsidRDefault="00B23722" w:rsidP="00324B90">
            <w:pPr>
              <w:spacing w:line="240" w:lineRule="auto"/>
              <w:ind w:firstLineChars="200" w:firstLine="32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Show up fee</w:t>
            </w:r>
          </w:p>
        </w:tc>
        <w:tc>
          <w:tcPr>
            <w:tcW w:w="2268" w:type="dxa"/>
            <w:tcBorders>
              <w:top w:val="nil"/>
              <w:left w:val="nil"/>
              <w:bottom w:val="nil"/>
              <w:right w:val="nil"/>
            </w:tcBorders>
            <w:shd w:val="clear" w:color="auto" w:fill="auto"/>
            <w:noWrap/>
            <w:vAlign w:val="center"/>
            <w:hideMark/>
          </w:tcPr>
          <w:p w14:paraId="722F172A" w14:textId="77777777"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Incentives</w:t>
            </w:r>
          </w:p>
        </w:tc>
        <w:tc>
          <w:tcPr>
            <w:tcW w:w="1985" w:type="dxa"/>
            <w:tcBorders>
              <w:top w:val="nil"/>
              <w:left w:val="nil"/>
              <w:bottom w:val="nil"/>
              <w:right w:val="nil"/>
            </w:tcBorders>
            <w:shd w:val="clear" w:color="auto" w:fill="auto"/>
            <w:noWrap/>
            <w:vAlign w:val="center"/>
            <w:hideMark/>
          </w:tcPr>
          <w:p w14:paraId="1398A291" w14:textId="77777777"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Show-up fee</w:t>
            </w:r>
          </w:p>
        </w:tc>
        <w:tc>
          <w:tcPr>
            <w:tcW w:w="6439" w:type="dxa"/>
            <w:tcBorders>
              <w:top w:val="nil"/>
              <w:left w:val="nil"/>
              <w:bottom w:val="nil"/>
              <w:right w:val="nil"/>
            </w:tcBorders>
            <w:shd w:val="clear" w:color="auto" w:fill="auto"/>
            <w:noWrap/>
            <w:vAlign w:val="center"/>
            <w:hideMark/>
          </w:tcPr>
          <w:p w14:paraId="783CCB40" w14:textId="3627177B" w:rsidR="00B23722" w:rsidRPr="00324B90" w:rsidRDefault="00060564" w:rsidP="00653332">
            <w:pPr>
              <w:spacing w:line="240" w:lineRule="auto"/>
              <w:rPr>
                <w:rFonts w:asciiTheme="majorBidi" w:eastAsia="Times New Roman" w:hAnsiTheme="majorBidi" w:cstheme="majorBidi"/>
                <w:color w:val="000000"/>
                <w:sz w:val="16"/>
                <w:szCs w:val="16"/>
                <w:lang w:val="en-GB" w:eastAsia="zh-CN"/>
              </w:rPr>
            </w:pPr>
            <w:r w:rsidRPr="00060564">
              <w:rPr>
                <w:rFonts w:asciiTheme="majorBidi" w:eastAsia="Times New Roman" w:hAnsiTheme="majorBidi" w:cstheme="majorBidi"/>
                <w:color w:val="000000"/>
                <w:sz w:val="16"/>
                <w:szCs w:val="16"/>
                <w:lang w:val="en-GB" w:eastAsia="zh-CN"/>
              </w:rPr>
              <w:t>Whether participants received a show-up fee for the study (i.e., a certain payment for participation).</w:t>
            </w:r>
          </w:p>
        </w:tc>
      </w:tr>
      <w:tr w:rsidR="00863C83" w:rsidRPr="00A26F5F" w14:paraId="2ABC1911" w14:textId="77777777" w:rsidTr="00A5383F">
        <w:trPr>
          <w:trHeight w:val="250"/>
        </w:trPr>
        <w:tc>
          <w:tcPr>
            <w:tcW w:w="2268" w:type="dxa"/>
            <w:tcBorders>
              <w:top w:val="nil"/>
              <w:left w:val="nil"/>
              <w:bottom w:val="nil"/>
              <w:right w:val="nil"/>
            </w:tcBorders>
            <w:shd w:val="clear" w:color="auto" w:fill="auto"/>
            <w:noWrap/>
            <w:vAlign w:val="center"/>
            <w:hideMark/>
          </w:tcPr>
          <w:p w14:paraId="07FBF87C" w14:textId="77777777" w:rsidR="00B23722" w:rsidRPr="00324B90" w:rsidRDefault="00B23722" w:rsidP="00324B90">
            <w:pPr>
              <w:spacing w:line="240" w:lineRule="auto"/>
              <w:ind w:firstLineChars="200" w:firstLine="32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Game payment</w:t>
            </w:r>
          </w:p>
        </w:tc>
        <w:tc>
          <w:tcPr>
            <w:tcW w:w="2268" w:type="dxa"/>
            <w:tcBorders>
              <w:top w:val="nil"/>
              <w:left w:val="nil"/>
              <w:bottom w:val="nil"/>
              <w:right w:val="nil"/>
            </w:tcBorders>
            <w:shd w:val="clear" w:color="auto" w:fill="auto"/>
            <w:noWrap/>
            <w:vAlign w:val="center"/>
            <w:hideMark/>
          </w:tcPr>
          <w:p w14:paraId="687864A4" w14:textId="77777777"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Incentives</w:t>
            </w:r>
          </w:p>
        </w:tc>
        <w:tc>
          <w:tcPr>
            <w:tcW w:w="1985" w:type="dxa"/>
            <w:tcBorders>
              <w:top w:val="nil"/>
              <w:left w:val="nil"/>
              <w:bottom w:val="nil"/>
              <w:right w:val="nil"/>
            </w:tcBorders>
            <w:shd w:val="clear" w:color="auto" w:fill="auto"/>
            <w:noWrap/>
            <w:vAlign w:val="center"/>
            <w:hideMark/>
          </w:tcPr>
          <w:p w14:paraId="6DB9DF3C" w14:textId="77777777"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Game incentive</w:t>
            </w:r>
          </w:p>
        </w:tc>
        <w:tc>
          <w:tcPr>
            <w:tcW w:w="6439" w:type="dxa"/>
            <w:tcBorders>
              <w:top w:val="nil"/>
              <w:left w:val="nil"/>
              <w:bottom w:val="nil"/>
              <w:right w:val="nil"/>
            </w:tcBorders>
            <w:shd w:val="clear" w:color="auto" w:fill="auto"/>
            <w:noWrap/>
            <w:vAlign w:val="center"/>
            <w:hideMark/>
          </w:tcPr>
          <w:p w14:paraId="29BF4B65" w14:textId="14BCAA6B" w:rsidR="00B23722" w:rsidRPr="00324B90" w:rsidRDefault="00A26F5F" w:rsidP="00653332">
            <w:pPr>
              <w:spacing w:line="240" w:lineRule="auto"/>
              <w:rPr>
                <w:rFonts w:asciiTheme="majorBidi" w:eastAsia="Times New Roman" w:hAnsiTheme="majorBidi" w:cstheme="majorBidi"/>
                <w:color w:val="000000"/>
                <w:sz w:val="16"/>
                <w:szCs w:val="16"/>
                <w:lang w:val="en-GB" w:eastAsia="zh-CN"/>
              </w:rPr>
            </w:pPr>
            <w:r w:rsidRPr="00A26F5F">
              <w:rPr>
                <w:rFonts w:asciiTheme="majorBidi" w:eastAsia="Times New Roman" w:hAnsiTheme="majorBidi" w:cstheme="majorBidi"/>
                <w:color w:val="000000"/>
                <w:sz w:val="16"/>
                <w:szCs w:val="16"/>
                <w:lang w:val="en-GB" w:eastAsia="zh-CN"/>
              </w:rPr>
              <w:t>Whether participants</w:t>
            </w:r>
            <w:r>
              <w:rPr>
                <w:rFonts w:asciiTheme="majorBidi" w:eastAsia="Times New Roman" w:hAnsiTheme="majorBidi" w:cstheme="majorBidi"/>
                <w:color w:val="000000"/>
                <w:sz w:val="16"/>
                <w:szCs w:val="16"/>
                <w:lang w:val="en-GB" w:eastAsia="zh-CN"/>
              </w:rPr>
              <w:t>’</w:t>
            </w:r>
            <w:r w:rsidRPr="00A26F5F">
              <w:rPr>
                <w:rFonts w:asciiTheme="majorBidi" w:eastAsia="Times New Roman" w:hAnsiTheme="majorBidi" w:cstheme="majorBidi"/>
                <w:color w:val="000000"/>
                <w:sz w:val="16"/>
                <w:szCs w:val="16"/>
                <w:lang w:val="en-GB" w:eastAsia="zh-CN"/>
              </w:rPr>
              <w:t xml:space="preserve"> decisions in the game determine their payoffs in different forms.</w:t>
            </w:r>
          </w:p>
        </w:tc>
      </w:tr>
      <w:tr w:rsidR="00863C83" w:rsidRPr="00324B90" w14:paraId="1D954EF0" w14:textId="77777777" w:rsidTr="00A5383F">
        <w:trPr>
          <w:trHeight w:val="250"/>
        </w:trPr>
        <w:tc>
          <w:tcPr>
            <w:tcW w:w="2268" w:type="dxa"/>
            <w:tcBorders>
              <w:top w:val="nil"/>
              <w:left w:val="nil"/>
              <w:bottom w:val="nil"/>
              <w:right w:val="nil"/>
            </w:tcBorders>
            <w:shd w:val="clear" w:color="auto" w:fill="auto"/>
            <w:noWrap/>
            <w:vAlign w:val="center"/>
            <w:hideMark/>
          </w:tcPr>
          <w:p w14:paraId="0D1A5D92" w14:textId="77777777" w:rsidR="00B23722" w:rsidRPr="00324B90" w:rsidRDefault="00B23722" w:rsidP="00324B90">
            <w:pPr>
              <w:spacing w:line="240" w:lineRule="auto"/>
              <w:ind w:firstLineChars="100" w:firstLine="16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Symmetry</w:t>
            </w:r>
          </w:p>
        </w:tc>
        <w:tc>
          <w:tcPr>
            <w:tcW w:w="2268" w:type="dxa"/>
            <w:tcBorders>
              <w:top w:val="nil"/>
              <w:left w:val="nil"/>
              <w:bottom w:val="nil"/>
              <w:right w:val="nil"/>
            </w:tcBorders>
            <w:shd w:val="clear" w:color="auto" w:fill="auto"/>
            <w:noWrap/>
            <w:vAlign w:val="center"/>
            <w:hideMark/>
          </w:tcPr>
          <w:p w14:paraId="47846CF3" w14:textId="77777777"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Symmetry</w:t>
            </w:r>
          </w:p>
        </w:tc>
        <w:tc>
          <w:tcPr>
            <w:tcW w:w="1985" w:type="dxa"/>
            <w:tcBorders>
              <w:top w:val="nil"/>
              <w:left w:val="nil"/>
              <w:bottom w:val="nil"/>
              <w:right w:val="nil"/>
            </w:tcBorders>
            <w:shd w:val="clear" w:color="auto" w:fill="auto"/>
            <w:noWrap/>
            <w:vAlign w:val="center"/>
            <w:hideMark/>
          </w:tcPr>
          <w:p w14:paraId="3E5487FC" w14:textId="77777777"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Symmetry</w:t>
            </w:r>
          </w:p>
        </w:tc>
        <w:tc>
          <w:tcPr>
            <w:tcW w:w="6439" w:type="dxa"/>
            <w:tcBorders>
              <w:top w:val="nil"/>
              <w:left w:val="nil"/>
              <w:bottom w:val="nil"/>
              <w:right w:val="nil"/>
            </w:tcBorders>
            <w:shd w:val="clear" w:color="auto" w:fill="auto"/>
            <w:noWrap/>
            <w:vAlign w:val="center"/>
            <w:hideMark/>
          </w:tcPr>
          <w:p w14:paraId="6CF21179" w14:textId="24E29175" w:rsidR="00B23722" w:rsidRPr="00324B90" w:rsidRDefault="00A26F5F" w:rsidP="00653332">
            <w:pPr>
              <w:spacing w:line="240" w:lineRule="auto"/>
              <w:rPr>
                <w:rFonts w:asciiTheme="majorBidi" w:eastAsia="Times New Roman" w:hAnsiTheme="majorBidi" w:cstheme="majorBidi"/>
                <w:color w:val="000000"/>
                <w:sz w:val="16"/>
                <w:szCs w:val="16"/>
                <w:lang w:val="en-GB" w:eastAsia="zh-CN"/>
              </w:rPr>
            </w:pPr>
            <w:r w:rsidRPr="00A26F5F">
              <w:rPr>
                <w:rFonts w:asciiTheme="majorBidi" w:eastAsia="Times New Roman" w:hAnsiTheme="majorBidi" w:cstheme="majorBidi"/>
                <w:color w:val="000000"/>
                <w:sz w:val="16"/>
                <w:szCs w:val="16"/>
                <w:lang w:val="en-GB" w:eastAsia="zh-CN"/>
              </w:rPr>
              <w:t>Whether specific aspects of the game that were different (i.e., asymmetric) for participants.</w:t>
            </w:r>
          </w:p>
        </w:tc>
      </w:tr>
      <w:tr w:rsidR="00863C83" w:rsidRPr="00324B90" w14:paraId="1EEE4C01" w14:textId="77777777" w:rsidTr="00A5383F">
        <w:trPr>
          <w:trHeight w:val="250"/>
        </w:trPr>
        <w:tc>
          <w:tcPr>
            <w:tcW w:w="2268" w:type="dxa"/>
            <w:tcBorders>
              <w:top w:val="nil"/>
              <w:left w:val="nil"/>
              <w:bottom w:val="nil"/>
              <w:right w:val="nil"/>
            </w:tcBorders>
            <w:shd w:val="clear" w:color="auto" w:fill="auto"/>
            <w:noWrap/>
            <w:vAlign w:val="center"/>
            <w:hideMark/>
          </w:tcPr>
          <w:p w14:paraId="040209F5" w14:textId="77777777" w:rsidR="00B23722" w:rsidRPr="00324B90" w:rsidRDefault="00B23722" w:rsidP="00324B90">
            <w:pPr>
              <w:spacing w:line="240" w:lineRule="auto"/>
              <w:ind w:firstLineChars="100" w:firstLine="16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Sanction</w:t>
            </w:r>
          </w:p>
        </w:tc>
        <w:tc>
          <w:tcPr>
            <w:tcW w:w="2268" w:type="dxa"/>
            <w:tcBorders>
              <w:top w:val="nil"/>
              <w:left w:val="nil"/>
              <w:bottom w:val="nil"/>
              <w:right w:val="nil"/>
            </w:tcBorders>
            <w:shd w:val="clear" w:color="auto" w:fill="auto"/>
            <w:noWrap/>
            <w:vAlign w:val="center"/>
            <w:hideMark/>
          </w:tcPr>
          <w:p w14:paraId="5D44BB64" w14:textId="77777777" w:rsidR="00B23722" w:rsidRPr="00324B90" w:rsidRDefault="00B23722" w:rsidP="00324B90">
            <w:pPr>
              <w:spacing w:line="240" w:lineRule="auto"/>
              <w:ind w:firstLineChars="100" w:firstLine="160"/>
              <w:rPr>
                <w:rFonts w:asciiTheme="majorBidi" w:eastAsia="Times New Roman" w:hAnsiTheme="majorBidi" w:cstheme="majorBidi"/>
                <w:color w:val="000000"/>
                <w:sz w:val="16"/>
                <w:szCs w:val="16"/>
                <w:lang w:val="en-GB" w:eastAsia="zh-CN"/>
              </w:rPr>
            </w:pPr>
          </w:p>
        </w:tc>
        <w:tc>
          <w:tcPr>
            <w:tcW w:w="1985" w:type="dxa"/>
            <w:tcBorders>
              <w:top w:val="nil"/>
              <w:left w:val="nil"/>
              <w:bottom w:val="nil"/>
              <w:right w:val="nil"/>
            </w:tcBorders>
            <w:shd w:val="clear" w:color="auto" w:fill="auto"/>
            <w:noWrap/>
            <w:vAlign w:val="center"/>
            <w:hideMark/>
          </w:tcPr>
          <w:p w14:paraId="30D5DECB" w14:textId="77777777" w:rsidR="00B23722" w:rsidRPr="00324B90" w:rsidRDefault="00B23722" w:rsidP="00324B90">
            <w:pPr>
              <w:spacing w:line="240" w:lineRule="auto"/>
              <w:jc w:val="center"/>
              <w:rPr>
                <w:rFonts w:asciiTheme="majorBidi" w:eastAsia="Times New Roman" w:hAnsiTheme="majorBidi" w:cstheme="majorBidi"/>
                <w:sz w:val="16"/>
                <w:szCs w:val="16"/>
                <w:lang w:val="en-GB" w:eastAsia="zh-CN"/>
              </w:rPr>
            </w:pPr>
          </w:p>
        </w:tc>
        <w:tc>
          <w:tcPr>
            <w:tcW w:w="6439" w:type="dxa"/>
            <w:tcBorders>
              <w:top w:val="nil"/>
              <w:left w:val="nil"/>
              <w:bottom w:val="nil"/>
              <w:right w:val="nil"/>
            </w:tcBorders>
            <w:shd w:val="clear" w:color="auto" w:fill="auto"/>
            <w:noWrap/>
            <w:vAlign w:val="center"/>
            <w:hideMark/>
          </w:tcPr>
          <w:p w14:paraId="3AC7D2C9" w14:textId="77777777" w:rsidR="00B23722" w:rsidRPr="00324B90" w:rsidRDefault="00B23722" w:rsidP="00653332">
            <w:pPr>
              <w:spacing w:line="240" w:lineRule="auto"/>
              <w:rPr>
                <w:rFonts w:asciiTheme="majorBidi" w:eastAsia="Times New Roman" w:hAnsiTheme="majorBidi" w:cstheme="majorBidi"/>
                <w:sz w:val="16"/>
                <w:szCs w:val="16"/>
                <w:lang w:val="en-GB" w:eastAsia="zh-CN"/>
              </w:rPr>
            </w:pPr>
          </w:p>
        </w:tc>
      </w:tr>
      <w:tr w:rsidR="00863C83" w:rsidRPr="00324B90" w14:paraId="5995F612" w14:textId="77777777" w:rsidTr="00A5383F">
        <w:trPr>
          <w:trHeight w:val="250"/>
        </w:trPr>
        <w:tc>
          <w:tcPr>
            <w:tcW w:w="2268" w:type="dxa"/>
            <w:tcBorders>
              <w:top w:val="nil"/>
              <w:left w:val="nil"/>
              <w:bottom w:val="nil"/>
              <w:right w:val="nil"/>
            </w:tcBorders>
            <w:shd w:val="clear" w:color="auto" w:fill="auto"/>
            <w:noWrap/>
            <w:vAlign w:val="center"/>
            <w:hideMark/>
          </w:tcPr>
          <w:p w14:paraId="36E673D1" w14:textId="77777777" w:rsidR="00B23722" w:rsidRPr="00324B90" w:rsidRDefault="00B23722" w:rsidP="00324B90">
            <w:pPr>
              <w:spacing w:line="240" w:lineRule="auto"/>
              <w:ind w:firstLineChars="200" w:firstLine="32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Punishment</w:t>
            </w:r>
          </w:p>
        </w:tc>
        <w:tc>
          <w:tcPr>
            <w:tcW w:w="2268" w:type="dxa"/>
            <w:tcBorders>
              <w:top w:val="nil"/>
              <w:left w:val="nil"/>
              <w:bottom w:val="nil"/>
              <w:right w:val="nil"/>
            </w:tcBorders>
            <w:shd w:val="clear" w:color="auto" w:fill="auto"/>
            <w:noWrap/>
            <w:vAlign w:val="center"/>
            <w:hideMark/>
          </w:tcPr>
          <w:p w14:paraId="41F5EE45" w14:textId="77777777"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Punishment</w:t>
            </w:r>
          </w:p>
        </w:tc>
        <w:tc>
          <w:tcPr>
            <w:tcW w:w="1985" w:type="dxa"/>
            <w:tcBorders>
              <w:top w:val="nil"/>
              <w:left w:val="nil"/>
              <w:bottom w:val="nil"/>
              <w:right w:val="nil"/>
            </w:tcBorders>
            <w:shd w:val="clear" w:color="auto" w:fill="auto"/>
            <w:noWrap/>
            <w:vAlign w:val="center"/>
            <w:hideMark/>
          </w:tcPr>
          <w:p w14:paraId="12C2A2A3" w14:textId="77777777"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Punishment treatment</w:t>
            </w:r>
          </w:p>
        </w:tc>
        <w:tc>
          <w:tcPr>
            <w:tcW w:w="6439" w:type="dxa"/>
            <w:tcBorders>
              <w:top w:val="nil"/>
              <w:left w:val="nil"/>
              <w:bottom w:val="nil"/>
              <w:right w:val="nil"/>
            </w:tcBorders>
            <w:shd w:val="clear" w:color="auto" w:fill="auto"/>
            <w:noWrap/>
            <w:vAlign w:val="center"/>
            <w:hideMark/>
          </w:tcPr>
          <w:p w14:paraId="7B99E292" w14:textId="22F2ED07" w:rsidR="00B23722" w:rsidRPr="00324B90" w:rsidRDefault="00A31A18" w:rsidP="00653332">
            <w:pPr>
              <w:spacing w:line="240" w:lineRule="auto"/>
              <w:rPr>
                <w:rFonts w:asciiTheme="majorBidi" w:eastAsia="Times New Roman" w:hAnsiTheme="majorBidi" w:cstheme="majorBidi"/>
                <w:color w:val="000000"/>
                <w:sz w:val="16"/>
                <w:szCs w:val="16"/>
                <w:lang w:val="en-GB" w:eastAsia="zh-CN"/>
              </w:rPr>
            </w:pPr>
            <w:r w:rsidRPr="00A31A18">
              <w:rPr>
                <w:rFonts w:asciiTheme="majorBidi" w:eastAsia="Times New Roman" w:hAnsiTheme="majorBidi" w:cstheme="majorBidi"/>
                <w:color w:val="000000"/>
                <w:sz w:val="16"/>
                <w:szCs w:val="16"/>
                <w:lang w:val="en-GB" w:eastAsia="zh-CN"/>
              </w:rPr>
              <w:t>Punishment is the (possible) imposition of negative payoffs on a specific participant after the regular round of play.</w:t>
            </w:r>
          </w:p>
        </w:tc>
      </w:tr>
      <w:tr w:rsidR="00863C83" w:rsidRPr="00324B90" w14:paraId="43B5D042" w14:textId="77777777" w:rsidTr="00A5383F">
        <w:trPr>
          <w:trHeight w:val="250"/>
        </w:trPr>
        <w:tc>
          <w:tcPr>
            <w:tcW w:w="2268" w:type="dxa"/>
            <w:tcBorders>
              <w:top w:val="nil"/>
              <w:left w:val="nil"/>
              <w:bottom w:val="nil"/>
              <w:right w:val="nil"/>
            </w:tcBorders>
            <w:shd w:val="clear" w:color="auto" w:fill="auto"/>
            <w:noWrap/>
            <w:vAlign w:val="center"/>
            <w:hideMark/>
          </w:tcPr>
          <w:p w14:paraId="690DF444" w14:textId="77777777" w:rsidR="00B23722" w:rsidRPr="00324B90" w:rsidRDefault="00B23722" w:rsidP="00324B90">
            <w:pPr>
              <w:spacing w:line="240" w:lineRule="auto"/>
              <w:ind w:firstLineChars="200" w:firstLine="32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Reward</w:t>
            </w:r>
          </w:p>
        </w:tc>
        <w:tc>
          <w:tcPr>
            <w:tcW w:w="2268" w:type="dxa"/>
            <w:tcBorders>
              <w:top w:val="nil"/>
              <w:left w:val="nil"/>
              <w:bottom w:val="nil"/>
              <w:right w:val="nil"/>
            </w:tcBorders>
            <w:shd w:val="clear" w:color="auto" w:fill="auto"/>
            <w:noWrap/>
            <w:vAlign w:val="center"/>
            <w:hideMark/>
          </w:tcPr>
          <w:p w14:paraId="5760CBD7" w14:textId="77777777"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Reward</w:t>
            </w:r>
          </w:p>
        </w:tc>
        <w:tc>
          <w:tcPr>
            <w:tcW w:w="1985" w:type="dxa"/>
            <w:tcBorders>
              <w:top w:val="nil"/>
              <w:left w:val="nil"/>
              <w:bottom w:val="nil"/>
              <w:right w:val="nil"/>
            </w:tcBorders>
            <w:shd w:val="clear" w:color="auto" w:fill="auto"/>
            <w:noWrap/>
            <w:vAlign w:val="center"/>
            <w:hideMark/>
          </w:tcPr>
          <w:p w14:paraId="3778C99A" w14:textId="77777777"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Reward treatment</w:t>
            </w:r>
          </w:p>
        </w:tc>
        <w:tc>
          <w:tcPr>
            <w:tcW w:w="6439" w:type="dxa"/>
            <w:tcBorders>
              <w:top w:val="nil"/>
              <w:left w:val="nil"/>
              <w:bottom w:val="nil"/>
              <w:right w:val="nil"/>
            </w:tcBorders>
            <w:shd w:val="clear" w:color="auto" w:fill="auto"/>
            <w:noWrap/>
            <w:vAlign w:val="center"/>
            <w:hideMark/>
          </w:tcPr>
          <w:p w14:paraId="1B05AC75" w14:textId="5C7BEFDF" w:rsidR="00B23722" w:rsidRPr="00324B90" w:rsidRDefault="00DE4C5F" w:rsidP="00653332">
            <w:pPr>
              <w:spacing w:line="240" w:lineRule="auto"/>
              <w:rPr>
                <w:rFonts w:asciiTheme="majorBidi" w:eastAsia="Times New Roman" w:hAnsiTheme="majorBidi" w:cstheme="majorBidi"/>
                <w:color w:val="000000"/>
                <w:sz w:val="16"/>
                <w:szCs w:val="16"/>
                <w:lang w:val="en-GB" w:eastAsia="zh-CN"/>
              </w:rPr>
            </w:pPr>
            <w:r w:rsidRPr="00DE4C5F">
              <w:rPr>
                <w:rFonts w:asciiTheme="majorBidi" w:eastAsia="Times New Roman" w:hAnsiTheme="majorBidi" w:cstheme="majorBidi"/>
                <w:color w:val="000000"/>
                <w:sz w:val="16"/>
                <w:szCs w:val="16"/>
                <w:lang w:val="en-GB" w:eastAsia="zh-CN"/>
              </w:rPr>
              <w:t>Reward is the imposition of positive payoffs on a specific player after a trial of the game.</w:t>
            </w:r>
          </w:p>
        </w:tc>
      </w:tr>
      <w:tr w:rsidR="00863C83" w:rsidRPr="00324B90" w14:paraId="2BFB54D3" w14:textId="77777777" w:rsidTr="00A5383F">
        <w:trPr>
          <w:trHeight w:val="250"/>
        </w:trPr>
        <w:tc>
          <w:tcPr>
            <w:tcW w:w="2268" w:type="dxa"/>
            <w:tcBorders>
              <w:top w:val="nil"/>
              <w:left w:val="nil"/>
              <w:bottom w:val="nil"/>
              <w:right w:val="nil"/>
            </w:tcBorders>
            <w:shd w:val="clear" w:color="auto" w:fill="auto"/>
            <w:noWrap/>
            <w:vAlign w:val="center"/>
            <w:hideMark/>
          </w:tcPr>
          <w:p w14:paraId="31033FF5" w14:textId="77777777" w:rsidR="00B23722" w:rsidRPr="00324B90" w:rsidRDefault="00B23722" w:rsidP="00324B90">
            <w:pPr>
              <w:spacing w:line="240" w:lineRule="auto"/>
              <w:ind w:firstLineChars="100" w:firstLine="16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Matching protocol</w:t>
            </w:r>
          </w:p>
        </w:tc>
        <w:tc>
          <w:tcPr>
            <w:tcW w:w="2268" w:type="dxa"/>
            <w:tcBorders>
              <w:top w:val="nil"/>
              <w:left w:val="nil"/>
              <w:bottom w:val="nil"/>
              <w:right w:val="nil"/>
            </w:tcBorders>
            <w:shd w:val="clear" w:color="auto" w:fill="auto"/>
            <w:noWrap/>
            <w:vAlign w:val="center"/>
            <w:hideMark/>
          </w:tcPr>
          <w:p w14:paraId="64B95485" w14:textId="77777777"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Matching</w:t>
            </w:r>
          </w:p>
        </w:tc>
        <w:tc>
          <w:tcPr>
            <w:tcW w:w="1985" w:type="dxa"/>
            <w:tcBorders>
              <w:top w:val="nil"/>
              <w:left w:val="nil"/>
              <w:bottom w:val="nil"/>
              <w:right w:val="nil"/>
            </w:tcBorders>
            <w:shd w:val="clear" w:color="auto" w:fill="auto"/>
            <w:noWrap/>
            <w:vAlign w:val="center"/>
            <w:hideMark/>
          </w:tcPr>
          <w:p w14:paraId="34EC6D33" w14:textId="77777777"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Matching</w:t>
            </w:r>
          </w:p>
        </w:tc>
        <w:tc>
          <w:tcPr>
            <w:tcW w:w="6439" w:type="dxa"/>
            <w:tcBorders>
              <w:top w:val="nil"/>
              <w:left w:val="nil"/>
              <w:bottom w:val="nil"/>
              <w:right w:val="nil"/>
            </w:tcBorders>
            <w:shd w:val="clear" w:color="auto" w:fill="auto"/>
            <w:noWrap/>
            <w:vAlign w:val="center"/>
            <w:hideMark/>
          </w:tcPr>
          <w:p w14:paraId="4DB821F3" w14:textId="19AE1F0C" w:rsidR="00B23722" w:rsidRPr="00324B90" w:rsidRDefault="00DE4C5F" w:rsidP="00653332">
            <w:pPr>
              <w:spacing w:line="240" w:lineRule="auto"/>
              <w:rPr>
                <w:rFonts w:asciiTheme="majorBidi" w:eastAsia="Times New Roman" w:hAnsiTheme="majorBidi" w:cstheme="majorBidi"/>
                <w:color w:val="000000"/>
                <w:sz w:val="16"/>
                <w:szCs w:val="16"/>
                <w:lang w:val="en-GB" w:eastAsia="zh-CN"/>
              </w:rPr>
            </w:pPr>
            <w:r w:rsidRPr="00DE4C5F">
              <w:rPr>
                <w:rFonts w:asciiTheme="majorBidi" w:eastAsia="Times New Roman" w:hAnsiTheme="majorBidi" w:cstheme="majorBidi"/>
                <w:color w:val="000000"/>
                <w:sz w:val="16"/>
                <w:szCs w:val="16"/>
                <w:lang w:val="en-GB" w:eastAsia="zh-CN"/>
              </w:rPr>
              <w:t>How participants are paired with others during interactions.</w:t>
            </w:r>
          </w:p>
        </w:tc>
      </w:tr>
      <w:tr w:rsidR="00863C83" w:rsidRPr="00324B90" w14:paraId="554F214B" w14:textId="77777777" w:rsidTr="00A5383F">
        <w:trPr>
          <w:trHeight w:val="250"/>
        </w:trPr>
        <w:tc>
          <w:tcPr>
            <w:tcW w:w="2268" w:type="dxa"/>
            <w:tcBorders>
              <w:top w:val="dotted" w:sz="4" w:space="0" w:color="auto"/>
              <w:left w:val="nil"/>
              <w:bottom w:val="dotted" w:sz="4" w:space="0" w:color="auto"/>
              <w:right w:val="nil"/>
            </w:tcBorders>
            <w:shd w:val="clear" w:color="auto" w:fill="auto"/>
            <w:noWrap/>
            <w:vAlign w:val="center"/>
            <w:hideMark/>
          </w:tcPr>
          <w:p w14:paraId="63F1EB8E" w14:textId="77777777" w:rsidR="00B23722" w:rsidRPr="00324B90" w:rsidRDefault="00B23722" w:rsidP="00324B90">
            <w:pPr>
              <w:spacing w:line="240" w:lineRule="auto"/>
              <w:ind w:firstLineChars="200" w:firstLine="321"/>
              <w:rPr>
                <w:rFonts w:asciiTheme="majorBidi" w:eastAsia="Times New Roman" w:hAnsiTheme="majorBidi" w:cstheme="majorBidi"/>
                <w:b/>
                <w:bCs/>
                <w:color w:val="000000"/>
                <w:sz w:val="16"/>
                <w:szCs w:val="16"/>
                <w:lang w:val="en-GB" w:eastAsia="zh-CN"/>
              </w:rPr>
            </w:pPr>
            <w:r w:rsidRPr="00324B90">
              <w:rPr>
                <w:rFonts w:asciiTheme="majorBidi" w:eastAsia="Times New Roman" w:hAnsiTheme="majorBidi" w:cstheme="majorBidi"/>
                <w:b/>
                <w:bCs/>
                <w:color w:val="000000"/>
                <w:sz w:val="16"/>
                <w:szCs w:val="16"/>
                <w:lang w:val="en-GB" w:eastAsia="zh-CN"/>
              </w:rPr>
              <w:t> </w:t>
            </w:r>
          </w:p>
        </w:tc>
        <w:tc>
          <w:tcPr>
            <w:tcW w:w="2268" w:type="dxa"/>
            <w:tcBorders>
              <w:top w:val="dotted" w:sz="4" w:space="0" w:color="auto"/>
              <w:left w:val="nil"/>
              <w:bottom w:val="dotted" w:sz="4" w:space="0" w:color="auto"/>
              <w:right w:val="nil"/>
            </w:tcBorders>
            <w:shd w:val="clear" w:color="auto" w:fill="auto"/>
            <w:noWrap/>
            <w:vAlign w:val="center"/>
            <w:hideMark/>
          </w:tcPr>
          <w:p w14:paraId="52E69CAC" w14:textId="77777777" w:rsidR="00B23722" w:rsidRPr="00324B90" w:rsidRDefault="00B23722" w:rsidP="00324B90">
            <w:pPr>
              <w:spacing w:line="240" w:lineRule="auto"/>
              <w:jc w:val="center"/>
              <w:rPr>
                <w:rFonts w:asciiTheme="majorBidi" w:eastAsia="Times New Roman" w:hAnsiTheme="majorBidi" w:cstheme="majorBidi"/>
                <w:b/>
                <w:bCs/>
                <w:color w:val="000000"/>
                <w:sz w:val="16"/>
                <w:szCs w:val="16"/>
                <w:lang w:val="en-GB" w:eastAsia="zh-CN"/>
              </w:rPr>
            </w:pPr>
            <w:r w:rsidRPr="00324B90">
              <w:rPr>
                <w:rFonts w:asciiTheme="majorBidi" w:eastAsia="Times New Roman" w:hAnsiTheme="majorBidi" w:cstheme="majorBidi"/>
                <w:b/>
                <w:bCs/>
                <w:color w:val="000000"/>
                <w:sz w:val="16"/>
                <w:szCs w:val="16"/>
                <w:lang w:val="en-GB" w:eastAsia="zh-CN"/>
              </w:rPr>
              <w:t> </w:t>
            </w:r>
          </w:p>
        </w:tc>
        <w:tc>
          <w:tcPr>
            <w:tcW w:w="1985" w:type="dxa"/>
            <w:tcBorders>
              <w:top w:val="dotted" w:sz="4" w:space="0" w:color="auto"/>
              <w:left w:val="nil"/>
              <w:bottom w:val="dotted" w:sz="4" w:space="0" w:color="auto"/>
              <w:right w:val="nil"/>
            </w:tcBorders>
            <w:shd w:val="clear" w:color="auto" w:fill="auto"/>
            <w:noWrap/>
            <w:vAlign w:val="center"/>
            <w:hideMark/>
          </w:tcPr>
          <w:p w14:paraId="74155683" w14:textId="77777777" w:rsidR="00B23722" w:rsidRPr="00324B90" w:rsidRDefault="00B23722" w:rsidP="00324B90">
            <w:pPr>
              <w:spacing w:line="240" w:lineRule="auto"/>
              <w:jc w:val="center"/>
              <w:rPr>
                <w:rFonts w:asciiTheme="majorBidi" w:eastAsia="Times New Roman" w:hAnsiTheme="majorBidi" w:cstheme="majorBidi"/>
                <w:b/>
                <w:bCs/>
                <w:color w:val="000000"/>
                <w:sz w:val="16"/>
                <w:szCs w:val="16"/>
                <w:lang w:val="en-GB" w:eastAsia="zh-CN"/>
              </w:rPr>
            </w:pPr>
            <w:r w:rsidRPr="00324B90">
              <w:rPr>
                <w:rFonts w:asciiTheme="majorBidi" w:eastAsia="Times New Roman" w:hAnsiTheme="majorBidi" w:cstheme="majorBidi"/>
                <w:b/>
                <w:bCs/>
                <w:color w:val="000000"/>
                <w:sz w:val="16"/>
                <w:szCs w:val="16"/>
                <w:lang w:val="en-GB" w:eastAsia="zh-CN"/>
              </w:rPr>
              <w:t> </w:t>
            </w:r>
          </w:p>
        </w:tc>
        <w:tc>
          <w:tcPr>
            <w:tcW w:w="6439" w:type="dxa"/>
            <w:tcBorders>
              <w:top w:val="dotted" w:sz="4" w:space="0" w:color="auto"/>
              <w:left w:val="nil"/>
              <w:bottom w:val="dotted" w:sz="4" w:space="0" w:color="auto"/>
              <w:right w:val="nil"/>
            </w:tcBorders>
            <w:shd w:val="clear" w:color="auto" w:fill="auto"/>
            <w:noWrap/>
            <w:vAlign w:val="center"/>
            <w:hideMark/>
          </w:tcPr>
          <w:p w14:paraId="4B31EC9D" w14:textId="77777777" w:rsidR="00B23722" w:rsidRPr="00324B90" w:rsidRDefault="00B23722" w:rsidP="00324B90">
            <w:pPr>
              <w:spacing w:line="240" w:lineRule="auto"/>
              <w:jc w:val="center"/>
              <w:rPr>
                <w:rFonts w:asciiTheme="majorBidi" w:eastAsia="Times New Roman" w:hAnsiTheme="majorBidi" w:cstheme="majorBidi"/>
                <w:b/>
                <w:bCs/>
                <w:color w:val="000000"/>
                <w:sz w:val="16"/>
                <w:szCs w:val="16"/>
                <w:lang w:val="en-GB" w:eastAsia="zh-CN"/>
              </w:rPr>
            </w:pPr>
            <w:r w:rsidRPr="00324B90">
              <w:rPr>
                <w:rFonts w:asciiTheme="majorBidi" w:eastAsia="Times New Roman" w:hAnsiTheme="majorBidi" w:cstheme="majorBidi"/>
                <w:b/>
                <w:bCs/>
                <w:color w:val="000000"/>
                <w:sz w:val="16"/>
                <w:szCs w:val="16"/>
                <w:lang w:val="en-GB" w:eastAsia="zh-CN"/>
              </w:rPr>
              <w:t> </w:t>
            </w:r>
          </w:p>
        </w:tc>
      </w:tr>
      <w:tr w:rsidR="00863C83" w:rsidRPr="00324B90" w14:paraId="5FF3863E" w14:textId="77777777" w:rsidTr="00A5383F">
        <w:trPr>
          <w:trHeight w:val="250"/>
        </w:trPr>
        <w:tc>
          <w:tcPr>
            <w:tcW w:w="2268" w:type="dxa"/>
            <w:tcBorders>
              <w:top w:val="nil"/>
              <w:left w:val="nil"/>
              <w:bottom w:val="nil"/>
              <w:right w:val="nil"/>
            </w:tcBorders>
            <w:shd w:val="clear" w:color="auto" w:fill="auto"/>
            <w:noWrap/>
            <w:vAlign w:val="center"/>
            <w:hideMark/>
          </w:tcPr>
          <w:p w14:paraId="57BD276A" w14:textId="77777777" w:rsidR="00B23722" w:rsidRPr="00324B90" w:rsidRDefault="00B23722" w:rsidP="00324B90">
            <w:pPr>
              <w:spacing w:line="240" w:lineRule="auto"/>
              <w:rPr>
                <w:rFonts w:asciiTheme="majorBidi" w:eastAsia="Times New Roman" w:hAnsiTheme="majorBidi" w:cstheme="majorBidi"/>
                <w:i/>
                <w:iCs/>
                <w:color w:val="000000"/>
                <w:sz w:val="16"/>
                <w:szCs w:val="16"/>
                <w:lang w:val="en-GB" w:eastAsia="zh-CN"/>
              </w:rPr>
            </w:pPr>
            <w:r w:rsidRPr="00324B90">
              <w:rPr>
                <w:rFonts w:asciiTheme="majorBidi" w:eastAsia="Times New Roman" w:hAnsiTheme="majorBidi" w:cstheme="majorBidi"/>
                <w:i/>
                <w:iCs/>
                <w:color w:val="000000"/>
                <w:sz w:val="16"/>
                <w:szCs w:val="16"/>
                <w:lang w:val="en-GB" w:eastAsia="zh-CN"/>
              </w:rPr>
              <w:t>Interactions</w:t>
            </w:r>
          </w:p>
        </w:tc>
        <w:tc>
          <w:tcPr>
            <w:tcW w:w="2268" w:type="dxa"/>
            <w:tcBorders>
              <w:top w:val="nil"/>
              <w:left w:val="nil"/>
              <w:bottom w:val="nil"/>
              <w:right w:val="nil"/>
            </w:tcBorders>
            <w:shd w:val="clear" w:color="auto" w:fill="auto"/>
            <w:noWrap/>
            <w:vAlign w:val="center"/>
            <w:hideMark/>
          </w:tcPr>
          <w:p w14:paraId="0E9E004D" w14:textId="77777777" w:rsidR="00B23722" w:rsidRPr="00324B90" w:rsidRDefault="00B23722" w:rsidP="00324B90">
            <w:pPr>
              <w:spacing w:line="240" w:lineRule="auto"/>
              <w:rPr>
                <w:rFonts w:asciiTheme="majorBidi" w:eastAsia="Times New Roman" w:hAnsiTheme="majorBidi" w:cstheme="majorBidi"/>
                <w:i/>
                <w:iCs/>
                <w:color w:val="000000"/>
                <w:sz w:val="16"/>
                <w:szCs w:val="16"/>
                <w:lang w:val="en-GB" w:eastAsia="zh-CN"/>
              </w:rPr>
            </w:pPr>
          </w:p>
        </w:tc>
        <w:tc>
          <w:tcPr>
            <w:tcW w:w="1985" w:type="dxa"/>
            <w:tcBorders>
              <w:top w:val="nil"/>
              <w:left w:val="nil"/>
              <w:bottom w:val="nil"/>
              <w:right w:val="nil"/>
            </w:tcBorders>
            <w:shd w:val="clear" w:color="auto" w:fill="auto"/>
            <w:noWrap/>
            <w:vAlign w:val="center"/>
            <w:hideMark/>
          </w:tcPr>
          <w:p w14:paraId="5E7E47F0" w14:textId="77777777" w:rsidR="00B23722" w:rsidRPr="00324B90" w:rsidRDefault="00B23722" w:rsidP="00324B90">
            <w:pPr>
              <w:spacing w:line="240" w:lineRule="auto"/>
              <w:jc w:val="center"/>
              <w:rPr>
                <w:rFonts w:asciiTheme="majorBidi" w:eastAsia="Times New Roman" w:hAnsiTheme="majorBidi" w:cstheme="majorBidi"/>
                <w:sz w:val="16"/>
                <w:szCs w:val="16"/>
                <w:lang w:val="en-GB" w:eastAsia="zh-CN"/>
              </w:rPr>
            </w:pPr>
          </w:p>
        </w:tc>
        <w:tc>
          <w:tcPr>
            <w:tcW w:w="6439" w:type="dxa"/>
            <w:tcBorders>
              <w:top w:val="nil"/>
              <w:left w:val="nil"/>
              <w:bottom w:val="nil"/>
              <w:right w:val="nil"/>
            </w:tcBorders>
            <w:shd w:val="clear" w:color="auto" w:fill="auto"/>
            <w:noWrap/>
            <w:vAlign w:val="center"/>
            <w:hideMark/>
          </w:tcPr>
          <w:p w14:paraId="262B233C" w14:textId="77777777" w:rsidR="00B23722" w:rsidRPr="00324B90" w:rsidRDefault="00B23722" w:rsidP="00324B90">
            <w:pPr>
              <w:spacing w:line="240" w:lineRule="auto"/>
              <w:jc w:val="center"/>
              <w:rPr>
                <w:rFonts w:asciiTheme="majorBidi" w:eastAsia="Times New Roman" w:hAnsiTheme="majorBidi" w:cstheme="majorBidi"/>
                <w:sz w:val="16"/>
                <w:szCs w:val="16"/>
                <w:lang w:val="en-GB" w:eastAsia="zh-CN"/>
              </w:rPr>
            </w:pPr>
          </w:p>
        </w:tc>
      </w:tr>
      <w:tr w:rsidR="00863C83" w:rsidRPr="00324B90" w14:paraId="77994621" w14:textId="77777777" w:rsidTr="00A5383F">
        <w:trPr>
          <w:trHeight w:val="250"/>
        </w:trPr>
        <w:tc>
          <w:tcPr>
            <w:tcW w:w="2268" w:type="dxa"/>
            <w:tcBorders>
              <w:top w:val="nil"/>
              <w:left w:val="nil"/>
              <w:bottom w:val="nil"/>
              <w:right w:val="nil"/>
            </w:tcBorders>
            <w:shd w:val="clear" w:color="auto" w:fill="auto"/>
            <w:noWrap/>
            <w:vAlign w:val="center"/>
            <w:hideMark/>
          </w:tcPr>
          <w:p w14:paraId="1C71E360" w14:textId="77777777" w:rsidR="00B23722" w:rsidRPr="00324B90" w:rsidRDefault="00B23722" w:rsidP="00324B90">
            <w:pPr>
              <w:spacing w:line="240" w:lineRule="auto"/>
              <w:ind w:firstLineChars="100" w:firstLine="16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Sanction × Repetition</w:t>
            </w:r>
          </w:p>
        </w:tc>
        <w:tc>
          <w:tcPr>
            <w:tcW w:w="2268" w:type="dxa"/>
            <w:tcBorders>
              <w:top w:val="nil"/>
              <w:left w:val="nil"/>
              <w:bottom w:val="nil"/>
              <w:right w:val="nil"/>
            </w:tcBorders>
            <w:shd w:val="clear" w:color="auto" w:fill="auto"/>
            <w:noWrap/>
            <w:vAlign w:val="center"/>
            <w:hideMark/>
          </w:tcPr>
          <w:p w14:paraId="582C8E19" w14:textId="77777777" w:rsidR="00B23722" w:rsidRPr="00324B90" w:rsidRDefault="00B23722" w:rsidP="00324B90">
            <w:pPr>
              <w:spacing w:line="240" w:lineRule="auto"/>
              <w:ind w:firstLineChars="100" w:firstLine="160"/>
              <w:rPr>
                <w:rFonts w:asciiTheme="majorBidi" w:eastAsia="Times New Roman" w:hAnsiTheme="majorBidi" w:cstheme="majorBidi"/>
                <w:color w:val="000000"/>
                <w:sz w:val="16"/>
                <w:szCs w:val="16"/>
                <w:lang w:val="en-GB" w:eastAsia="zh-CN"/>
              </w:rPr>
            </w:pPr>
          </w:p>
        </w:tc>
        <w:tc>
          <w:tcPr>
            <w:tcW w:w="1985" w:type="dxa"/>
            <w:tcBorders>
              <w:top w:val="nil"/>
              <w:left w:val="nil"/>
              <w:bottom w:val="nil"/>
              <w:right w:val="nil"/>
            </w:tcBorders>
            <w:shd w:val="clear" w:color="auto" w:fill="auto"/>
            <w:noWrap/>
            <w:vAlign w:val="center"/>
            <w:hideMark/>
          </w:tcPr>
          <w:p w14:paraId="40544613" w14:textId="77777777" w:rsidR="00B23722" w:rsidRPr="00324B90" w:rsidRDefault="00B23722" w:rsidP="00324B90">
            <w:pPr>
              <w:spacing w:line="240" w:lineRule="auto"/>
              <w:jc w:val="center"/>
              <w:rPr>
                <w:rFonts w:asciiTheme="majorBidi" w:eastAsia="Times New Roman" w:hAnsiTheme="majorBidi" w:cstheme="majorBidi"/>
                <w:sz w:val="16"/>
                <w:szCs w:val="16"/>
                <w:lang w:val="en-GB" w:eastAsia="zh-CN"/>
              </w:rPr>
            </w:pPr>
          </w:p>
        </w:tc>
        <w:tc>
          <w:tcPr>
            <w:tcW w:w="6439" w:type="dxa"/>
            <w:tcBorders>
              <w:top w:val="nil"/>
              <w:left w:val="nil"/>
              <w:bottom w:val="nil"/>
              <w:right w:val="nil"/>
            </w:tcBorders>
            <w:shd w:val="clear" w:color="auto" w:fill="auto"/>
            <w:noWrap/>
            <w:vAlign w:val="center"/>
            <w:hideMark/>
          </w:tcPr>
          <w:p w14:paraId="141B5504" w14:textId="77777777" w:rsidR="00B23722" w:rsidRPr="00324B90" w:rsidRDefault="00B23722" w:rsidP="00324B90">
            <w:pPr>
              <w:spacing w:line="240" w:lineRule="auto"/>
              <w:jc w:val="center"/>
              <w:rPr>
                <w:rFonts w:asciiTheme="majorBidi" w:eastAsia="Times New Roman" w:hAnsiTheme="majorBidi" w:cstheme="majorBidi"/>
                <w:sz w:val="16"/>
                <w:szCs w:val="16"/>
                <w:lang w:val="en-GB" w:eastAsia="zh-CN"/>
              </w:rPr>
            </w:pPr>
          </w:p>
        </w:tc>
      </w:tr>
      <w:tr w:rsidR="00863C83" w:rsidRPr="00324B90" w14:paraId="00DAD501" w14:textId="77777777" w:rsidTr="00A5383F">
        <w:trPr>
          <w:trHeight w:val="250"/>
        </w:trPr>
        <w:tc>
          <w:tcPr>
            <w:tcW w:w="2268" w:type="dxa"/>
            <w:tcBorders>
              <w:top w:val="nil"/>
              <w:left w:val="nil"/>
              <w:bottom w:val="nil"/>
              <w:right w:val="nil"/>
            </w:tcBorders>
            <w:shd w:val="clear" w:color="auto" w:fill="auto"/>
            <w:noWrap/>
            <w:vAlign w:val="center"/>
            <w:hideMark/>
          </w:tcPr>
          <w:p w14:paraId="4E244B5C" w14:textId="77777777" w:rsidR="00B23722" w:rsidRPr="00324B90" w:rsidRDefault="00B23722" w:rsidP="00324B90">
            <w:pPr>
              <w:spacing w:line="240" w:lineRule="auto"/>
              <w:ind w:firstLineChars="200" w:firstLine="32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Punishment × Repetition</w:t>
            </w:r>
          </w:p>
        </w:tc>
        <w:tc>
          <w:tcPr>
            <w:tcW w:w="2268" w:type="dxa"/>
            <w:tcBorders>
              <w:top w:val="nil"/>
              <w:left w:val="nil"/>
              <w:bottom w:val="nil"/>
              <w:right w:val="nil"/>
            </w:tcBorders>
            <w:shd w:val="clear" w:color="auto" w:fill="auto"/>
            <w:noWrap/>
            <w:vAlign w:val="center"/>
            <w:hideMark/>
          </w:tcPr>
          <w:p w14:paraId="616BED80" w14:textId="77777777"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Punishment</w:t>
            </w:r>
          </w:p>
        </w:tc>
        <w:tc>
          <w:tcPr>
            <w:tcW w:w="1985" w:type="dxa"/>
            <w:tcBorders>
              <w:top w:val="nil"/>
              <w:left w:val="nil"/>
              <w:bottom w:val="nil"/>
              <w:right w:val="nil"/>
            </w:tcBorders>
            <w:shd w:val="clear" w:color="auto" w:fill="auto"/>
            <w:noWrap/>
            <w:vAlign w:val="center"/>
            <w:hideMark/>
          </w:tcPr>
          <w:p w14:paraId="0483229E" w14:textId="77777777"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Punishment treatment</w:t>
            </w:r>
          </w:p>
        </w:tc>
        <w:tc>
          <w:tcPr>
            <w:tcW w:w="6439" w:type="dxa"/>
            <w:tcBorders>
              <w:top w:val="nil"/>
              <w:left w:val="nil"/>
              <w:bottom w:val="nil"/>
              <w:right w:val="nil"/>
            </w:tcBorders>
            <w:shd w:val="clear" w:color="auto" w:fill="auto"/>
            <w:noWrap/>
            <w:vAlign w:val="center"/>
          </w:tcPr>
          <w:p w14:paraId="258F2DC0" w14:textId="47E9CB74" w:rsidR="00B23722" w:rsidRPr="00324B90" w:rsidRDefault="00A31A18" w:rsidP="00324B90">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r>
      <w:tr w:rsidR="00863C83" w:rsidRPr="00324B90" w14:paraId="2FC0A82F" w14:textId="77777777" w:rsidTr="00A5383F">
        <w:trPr>
          <w:trHeight w:val="250"/>
        </w:trPr>
        <w:tc>
          <w:tcPr>
            <w:tcW w:w="2268" w:type="dxa"/>
            <w:tcBorders>
              <w:top w:val="nil"/>
              <w:left w:val="nil"/>
              <w:bottom w:val="nil"/>
              <w:right w:val="nil"/>
            </w:tcBorders>
            <w:shd w:val="clear" w:color="auto" w:fill="auto"/>
            <w:noWrap/>
            <w:vAlign w:val="center"/>
            <w:hideMark/>
          </w:tcPr>
          <w:p w14:paraId="662A27F5" w14:textId="77777777" w:rsidR="00B23722" w:rsidRPr="00324B90" w:rsidRDefault="00B23722" w:rsidP="00324B90">
            <w:pPr>
              <w:spacing w:line="240" w:lineRule="auto"/>
              <w:ind w:firstLineChars="200" w:firstLine="32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Reward × Repetition</w:t>
            </w:r>
          </w:p>
        </w:tc>
        <w:tc>
          <w:tcPr>
            <w:tcW w:w="2268" w:type="dxa"/>
            <w:tcBorders>
              <w:top w:val="nil"/>
              <w:left w:val="nil"/>
              <w:bottom w:val="nil"/>
              <w:right w:val="nil"/>
            </w:tcBorders>
            <w:shd w:val="clear" w:color="auto" w:fill="auto"/>
            <w:noWrap/>
            <w:vAlign w:val="center"/>
            <w:hideMark/>
          </w:tcPr>
          <w:p w14:paraId="7A4BBC5E" w14:textId="77777777"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Reward</w:t>
            </w:r>
          </w:p>
        </w:tc>
        <w:tc>
          <w:tcPr>
            <w:tcW w:w="1985" w:type="dxa"/>
            <w:tcBorders>
              <w:top w:val="nil"/>
              <w:left w:val="nil"/>
              <w:bottom w:val="nil"/>
              <w:right w:val="nil"/>
            </w:tcBorders>
            <w:shd w:val="clear" w:color="auto" w:fill="auto"/>
            <w:noWrap/>
            <w:vAlign w:val="center"/>
            <w:hideMark/>
          </w:tcPr>
          <w:p w14:paraId="468649B3" w14:textId="77777777"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Reward treatment</w:t>
            </w:r>
          </w:p>
        </w:tc>
        <w:tc>
          <w:tcPr>
            <w:tcW w:w="6439" w:type="dxa"/>
            <w:tcBorders>
              <w:top w:val="nil"/>
              <w:left w:val="nil"/>
              <w:bottom w:val="nil"/>
              <w:right w:val="nil"/>
            </w:tcBorders>
            <w:shd w:val="clear" w:color="auto" w:fill="auto"/>
            <w:noWrap/>
            <w:vAlign w:val="center"/>
          </w:tcPr>
          <w:p w14:paraId="1B4B386F" w14:textId="6F2EEE8A" w:rsidR="00B23722" w:rsidRPr="00324B90" w:rsidRDefault="00A31A18" w:rsidP="00324B90">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r>
      <w:tr w:rsidR="00863C83" w:rsidRPr="00324B90" w14:paraId="7B955930" w14:textId="77777777" w:rsidTr="00A5383F">
        <w:trPr>
          <w:trHeight w:val="250"/>
        </w:trPr>
        <w:tc>
          <w:tcPr>
            <w:tcW w:w="2268" w:type="dxa"/>
            <w:tcBorders>
              <w:top w:val="nil"/>
              <w:left w:val="nil"/>
              <w:bottom w:val="nil"/>
              <w:right w:val="nil"/>
            </w:tcBorders>
            <w:shd w:val="clear" w:color="auto" w:fill="auto"/>
            <w:noWrap/>
            <w:vAlign w:val="center"/>
            <w:hideMark/>
          </w:tcPr>
          <w:p w14:paraId="0D00CCD9" w14:textId="77777777" w:rsidR="00B23722" w:rsidRPr="00324B90" w:rsidRDefault="00B23722" w:rsidP="00324B90">
            <w:pPr>
              <w:spacing w:line="240" w:lineRule="auto"/>
              <w:ind w:firstLineChars="100" w:firstLine="16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Communication × K index</w:t>
            </w:r>
          </w:p>
        </w:tc>
        <w:tc>
          <w:tcPr>
            <w:tcW w:w="2268" w:type="dxa"/>
            <w:tcBorders>
              <w:top w:val="nil"/>
              <w:left w:val="nil"/>
              <w:bottom w:val="nil"/>
              <w:right w:val="nil"/>
            </w:tcBorders>
            <w:shd w:val="clear" w:color="auto" w:fill="auto"/>
            <w:noWrap/>
            <w:vAlign w:val="center"/>
            <w:hideMark/>
          </w:tcPr>
          <w:p w14:paraId="72BF5607" w14:textId="77777777"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Communication</w:t>
            </w:r>
          </w:p>
        </w:tc>
        <w:tc>
          <w:tcPr>
            <w:tcW w:w="1985" w:type="dxa"/>
            <w:tcBorders>
              <w:top w:val="nil"/>
              <w:left w:val="nil"/>
              <w:bottom w:val="nil"/>
              <w:right w:val="nil"/>
            </w:tcBorders>
            <w:shd w:val="clear" w:color="auto" w:fill="auto"/>
            <w:noWrap/>
            <w:vAlign w:val="center"/>
            <w:hideMark/>
          </w:tcPr>
          <w:p w14:paraId="31544966" w14:textId="77777777"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Communication treatment</w:t>
            </w:r>
          </w:p>
        </w:tc>
        <w:tc>
          <w:tcPr>
            <w:tcW w:w="6439" w:type="dxa"/>
            <w:tcBorders>
              <w:top w:val="nil"/>
              <w:left w:val="nil"/>
              <w:bottom w:val="nil"/>
              <w:right w:val="nil"/>
            </w:tcBorders>
            <w:shd w:val="clear" w:color="auto" w:fill="auto"/>
            <w:noWrap/>
            <w:vAlign w:val="center"/>
          </w:tcPr>
          <w:p w14:paraId="698DAF92" w14:textId="76821652" w:rsidR="00B23722" w:rsidRPr="00324B90" w:rsidRDefault="00A31A18" w:rsidP="00324B90">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r>
      <w:tr w:rsidR="00863C83" w:rsidRPr="00324B90" w14:paraId="185D4229" w14:textId="77777777" w:rsidTr="00A5383F">
        <w:trPr>
          <w:trHeight w:val="250"/>
        </w:trPr>
        <w:tc>
          <w:tcPr>
            <w:tcW w:w="2268" w:type="dxa"/>
            <w:tcBorders>
              <w:top w:val="nil"/>
              <w:left w:val="nil"/>
              <w:bottom w:val="single" w:sz="4" w:space="0" w:color="auto"/>
              <w:right w:val="nil"/>
            </w:tcBorders>
            <w:shd w:val="clear" w:color="auto" w:fill="auto"/>
            <w:noWrap/>
            <w:vAlign w:val="center"/>
            <w:hideMark/>
          </w:tcPr>
          <w:p w14:paraId="2B8B8EE2" w14:textId="77777777" w:rsidR="00B23722" w:rsidRPr="00324B90" w:rsidRDefault="00B23722" w:rsidP="00324B90">
            <w:pPr>
              <w:spacing w:line="240" w:lineRule="auto"/>
              <w:ind w:firstLineChars="100" w:firstLine="16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Game payment × Repetition</w:t>
            </w:r>
          </w:p>
        </w:tc>
        <w:tc>
          <w:tcPr>
            <w:tcW w:w="2268" w:type="dxa"/>
            <w:tcBorders>
              <w:top w:val="nil"/>
              <w:left w:val="nil"/>
              <w:bottom w:val="single" w:sz="4" w:space="0" w:color="auto"/>
              <w:right w:val="nil"/>
            </w:tcBorders>
            <w:shd w:val="clear" w:color="auto" w:fill="auto"/>
            <w:noWrap/>
            <w:vAlign w:val="center"/>
            <w:hideMark/>
          </w:tcPr>
          <w:p w14:paraId="23F5451A" w14:textId="77777777"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Incentives</w:t>
            </w:r>
          </w:p>
        </w:tc>
        <w:tc>
          <w:tcPr>
            <w:tcW w:w="1985" w:type="dxa"/>
            <w:tcBorders>
              <w:top w:val="nil"/>
              <w:left w:val="nil"/>
              <w:bottom w:val="single" w:sz="4" w:space="0" w:color="auto"/>
              <w:right w:val="nil"/>
            </w:tcBorders>
            <w:shd w:val="clear" w:color="auto" w:fill="auto"/>
            <w:noWrap/>
            <w:vAlign w:val="center"/>
            <w:hideMark/>
          </w:tcPr>
          <w:p w14:paraId="1368B77C" w14:textId="77777777" w:rsidR="00B23722" w:rsidRPr="00324B90" w:rsidRDefault="00B23722" w:rsidP="00324B90">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Game incentive</w:t>
            </w:r>
          </w:p>
        </w:tc>
        <w:tc>
          <w:tcPr>
            <w:tcW w:w="6439" w:type="dxa"/>
            <w:tcBorders>
              <w:top w:val="nil"/>
              <w:left w:val="nil"/>
              <w:bottom w:val="single" w:sz="4" w:space="0" w:color="auto"/>
              <w:right w:val="nil"/>
            </w:tcBorders>
            <w:shd w:val="clear" w:color="auto" w:fill="auto"/>
            <w:noWrap/>
            <w:vAlign w:val="center"/>
            <w:hideMark/>
          </w:tcPr>
          <w:p w14:paraId="6E71A1E8" w14:textId="779F4118" w:rsidR="00B23722" w:rsidRPr="00324B90" w:rsidRDefault="00A31A18" w:rsidP="00324B90">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r>
    </w:tbl>
    <w:p w14:paraId="6C80D954" w14:textId="5C0532D8" w:rsidR="008C29DA" w:rsidRDefault="008F4C7C" w:rsidP="008703C8">
      <w:pPr>
        <w:spacing w:line="240" w:lineRule="auto"/>
        <w:rPr>
          <w:rFonts w:eastAsiaTheme="minorEastAsia" w:cstheme="minorBidi"/>
          <w:szCs w:val="22"/>
          <w:lang w:eastAsia="zh-CN"/>
        </w:rPr>
      </w:pPr>
      <w:r w:rsidRPr="008F4C7C">
        <w:rPr>
          <w:rFonts w:eastAsiaTheme="minorEastAsia" w:cstheme="minorBidi"/>
          <w:i/>
          <w:szCs w:val="22"/>
          <w:lang w:eastAsia="zh-CN"/>
        </w:rPr>
        <w:t>Note.</w:t>
      </w:r>
      <w:r w:rsidRPr="008F4C7C">
        <w:rPr>
          <w:rFonts w:eastAsiaTheme="minorEastAsia" w:cstheme="minorBidi"/>
          <w:szCs w:val="22"/>
          <w:lang w:eastAsia="zh-CN"/>
        </w:rPr>
        <w:t xml:space="preserve"> </w:t>
      </w:r>
      <w:r w:rsidR="00861790" w:rsidRPr="00861790">
        <w:rPr>
          <w:rFonts w:eastAsiaTheme="minorEastAsia" w:cstheme="minorBidi"/>
          <w:szCs w:val="22"/>
          <w:lang w:eastAsia="zh-CN"/>
        </w:rPr>
        <w:t>GIV = Generic Independent Variable, SIV = Specific Independent Variable,</w:t>
      </w:r>
      <w:r w:rsidR="005E3742">
        <w:rPr>
          <w:rFonts w:eastAsiaTheme="minorEastAsia" w:cstheme="minorBidi"/>
          <w:szCs w:val="22"/>
          <w:lang w:eastAsia="zh-CN"/>
        </w:rPr>
        <w:t xml:space="preserve"> Matching </w:t>
      </w:r>
      <w:r w:rsidR="00601859">
        <w:rPr>
          <w:rFonts w:eastAsiaTheme="minorEastAsia" w:cstheme="minorBidi"/>
          <w:szCs w:val="22"/>
          <w:lang w:eastAsia="zh-CN"/>
        </w:rPr>
        <w:t>protocol/</w:t>
      </w:r>
      <w:r w:rsidR="005E3742">
        <w:rPr>
          <w:rFonts w:eastAsiaTheme="minorEastAsia" w:cstheme="minorBidi"/>
          <w:szCs w:val="22"/>
          <w:lang w:eastAsia="zh-CN"/>
        </w:rPr>
        <w:t>Repetition = Matching design</w:t>
      </w:r>
      <w:r w:rsidR="00601859">
        <w:rPr>
          <w:rFonts w:eastAsiaTheme="minorEastAsia" w:cstheme="minorBidi"/>
          <w:szCs w:val="22"/>
          <w:lang w:eastAsia="zh-CN"/>
        </w:rPr>
        <w:t>.</w:t>
      </w:r>
    </w:p>
    <w:p w14:paraId="3BCF5F35" w14:textId="158AB8AB" w:rsidR="00D35087" w:rsidRDefault="00D35087">
      <w:pPr>
        <w:spacing w:after="160" w:line="259" w:lineRule="auto"/>
        <w:rPr>
          <w:rFonts w:eastAsiaTheme="minorEastAsia" w:cstheme="minorBidi"/>
          <w:szCs w:val="22"/>
          <w:lang w:eastAsia="zh-CN"/>
        </w:rPr>
      </w:pPr>
      <w:r>
        <w:rPr>
          <w:rFonts w:eastAsiaTheme="minorEastAsia" w:cstheme="minorBidi"/>
          <w:szCs w:val="22"/>
          <w:lang w:eastAsia="zh-CN"/>
        </w:rPr>
        <w:br w:type="page"/>
      </w:r>
    </w:p>
    <w:p w14:paraId="6E86DC37" w14:textId="44CA595D" w:rsidR="00B23722" w:rsidRPr="0017707B" w:rsidRDefault="006A3AA7" w:rsidP="0017707B">
      <w:pPr>
        <w:rPr>
          <w:rFonts w:eastAsiaTheme="minorEastAsia" w:cstheme="minorBidi"/>
          <w:b/>
          <w:szCs w:val="22"/>
          <w:lang w:eastAsia="zh-CN"/>
        </w:rPr>
      </w:pPr>
      <w:r>
        <w:rPr>
          <w:rFonts w:eastAsiaTheme="minorEastAsia" w:cstheme="minorBidi"/>
          <w:b/>
          <w:szCs w:val="22"/>
          <w:lang w:eastAsia="zh-CN"/>
        </w:rPr>
        <w:lastRenderedPageBreak/>
        <w:t xml:space="preserve">Table S9 </w:t>
      </w:r>
      <w:r w:rsidRPr="0017707B">
        <w:rPr>
          <w:rFonts w:eastAsiaTheme="minorEastAsia" w:cstheme="minorBidi"/>
          <w:bCs/>
          <w:szCs w:val="22"/>
          <w:lang w:eastAsia="zh-CN"/>
        </w:rPr>
        <w:t>(continued)</w:t>
      </w:r>
    </w:p>
    <w:tbl>
      <w:tblPr>
        <w:tblW w:w="0" w:type="auto"/>
        <w:tblLook w:val="04A0" w:firstRow="1" w:lastRow="0" w:firstColumn="1" w:lastColumn="0" w:noHBand="0" w:noVBand="1"/>
      </w:tblPr>
      <w:tblGrid>
        <w:gridCol w:w="2186"/>
        <w:gridCol w:w="1385"/>
        <w:gridCol w:w="1854"/>
        <w:gridCol w:w="1643"/>
        <w:gridCol w:w="2398"/>
        <w:gridCol w:w="1567"/>
        <w:gridCol w:w="1927"/>
      </w:tblGrid>
      <w:tr w:rsidR="0017707B" w:rsidRPr="00324B90" w14:paraId="5E0FDC1E" w14:textId="744ADBC7" w:rsidTr="007C08B9">
        <w:trPr>
          <w:trHeight w:val="250"/>
        </w:trPr>
        <w:tc>
          <w:tcPr>
            <w:tcW w:w="0" w:type="auto"/>
            <w:vMerge w:val="restart"/>
            <w:tcBorders>
              <w:top w:val="single" w:sz="4" w:space="0" w:color="auto"/>
              <w:left w:val="nil"/>
              <w:bottom w:val="single" w:sz="4" w:space="0" w:color="000000"/>
              <w:right w:val="nil"/>
            </w:tcBorders>
            <w:shd w:val="clear" w:color="auto" w:fill="auto"/>
            <w:noWrap/>
            <w:vAlign w:val="center"/>
            <w:hideMark/>
          </w:tcPr>
          <w:p w14:paraId="7FECA46C" w14:textId="77777777" w:rsidR="00DF007B" w:rsidRPr="00324B90" w:rsidRDefault="00DF007B" w:rsidP="00DE2B6F">
            <w:pPr>
              <w:spacing w:line="240" w:lineRule="auto"/>
              <w:jc w:val="center"/>
              <w:rPr>
                <w:rFonts w:asciiTheme="majorBidi" w:eastAsia="Times New Roman" w:hAnsiTheme="majorBidi" w:cstheme="majorBidi"/>
                <w:b/>
                <w:bCs/>
                <w:color w:val="000000"/>
                <w:sz w:val="16"/>
                <w:szCs w:val="16"/>
                <w:lang w:val="en-GB" w:eastAsia="zh-CN"/>
              </w:rPr>
            </w:pPr>
            <w:r w:rsidRPr="00324B90">
              <w:rPr>
                <w:rFonts w:asciiTheme="majorBidi" w:eastAsia="Times New Roman" w:hAnsiTheme="majorBidi" w:cstheme="majorBidi"/>
                <w:b/>
                <w:bCs/>
                <w:color w:val="000000"/>
                <w:sz w:val="16"/>
                <w:szCs w:val="16"/>
                <w:lang w:val="en-GB" w:eastAsia="zh-CN"/>
              </w:rPr>
              <w:t>Variables</w:t>
            </w:r>
          </w:p>
        </w:tc>
        <w:tc>
          <w:tcPr>
            <w:tcW w:w="0" w:type="auto"/>
            <w:gridSpan w:val="4"/>
            <w:tcBorders>
              <w:top w:val="single" w:sz="4" w:space="0" w:color="auto"/>
              <w:left w:val="nil"/>
              <w:bottom w:val="single" w:sz="4" w:space="0" w:color="auto"/>
              <w:right w:val="nil"/>
            </w:tcBorders>
            <w:vAlign w:val="center"/>
          </w:tcPr>
          <w:p w14:paraId="6F0CE94C" w14:textId="35C6225F" w:rsidR="00DF007B" w:rsidRPr="00324B90" w:rsidRDefault="00DF007B" w:rsidP="00DE2B6F">
            <w:pPr>
              <w:spacing w:line="240" w:lineRule="auto"/>
              <w:jc w:val="center"/>
              <w:rPr>
                <w:rFonts w:asciiTheme="majorBidi" w:eastAsia="Times New Roman" w:hAnsiTheme="majorBidi" w:cstheme="majorBidi"/>
                <w:b/>
                <w:bCs/>
                <w:color w:val="000000"/>
                <w:sz w:val="16"/>
                <w:szCs w:val="16"/>
                <w:lang w:val="en-GB" w:eastAsia="zh-CN"/>
              </w:rPr>
            </w:pPr>
            <w:r w:rsidRPr="00324B90">
              <w:rPr>
                <w:rFonts w:asciiTheme="majorBidi" w:eastAsia="Times New Roman" w:hAnsiTheme="majorBidi" w:cstheme="majorBidi"/>
                <w:b/>
                <w:bCs/>
                <w:color w:val="000000"/>
                <w:sz w:val="16"/>
                <w:szCs w:val="16"/>
                <w:lang w:val="en-GB" w:eastAsia="zh-CN"/>
              </w:rPr>
              <w:t>SIVV</w:t>
            </w:r>
          </w:p>
        </w:tc>
        <w:tc>
          <w:tcPr>
            <w:tcW w:w="0" w:type="auto"/>
            <w:vMerge w:val="restart"/>
            <w:tcBorders>
              <w:top w:val="single" w:sz="4" w:space="0" w:color="auto"/>
              <w:left w:val="nil"/>
              <w:bottom w:val="single" w:sz="4" w:space="0" w:color="000000"/>
              <w:right w:val="nil"/>
            </w:tcBorders>
            <w:shd w:val="clear" w:color="auto" w:fill="auto"/>
            <w:noWrap/>
            <w:vAlign w:val="center"/>
            <w:hideMark/>
          </w:tcPr>
          <w:p w14:paraId="19D3667F" w14:textId="16724C66" w:rsidR="00DF007B" w:rsidRPr="00324B90" w:rsidRDefault="00DF007B" w:rsidP="00DE2B6F">
            <w:pPr>
              <w:spacing w:line="240" w:lineRule="auto"/>
              <w:jc w:val="center"/>
              <w:rPr>
                <w:rFonts w:asciiTheme="majorBidi" w:eastAsia="Times New Roman" w:hAnsiTheme="majorBidi" w:cstheme="majorBidi"/>
                <w:b/>
                <w:bCs/>
                <w:color w:val="000000"/>
                <w:sz w:val="16"/>
                <w:szCs w:val="16"/>
                <w:lang w:val="en-GB" w:eastAsia="zh-CN"/>
              </w:rPr>
            </w:pPr>
            <w:r w:rsidRPr="00324B90">
              <w:rPr>
                <w:rFonts w:asciiTheme="majorBidi" w:eastAsia="Times New Roman" w:hAnsiTheme="majorBidi" w:cstheme="majorBidi"/>
                <w:b/>
                <w:bCs/>
                <w:color w:val="000000"/>
                <w:sz w:val="16"/>
                <w:szCs w:val="16"/>
                <w:lang w:val="en-GB" w:eastAsia="zh-CN"/>
              </w:rPr>
              <w:t xml:space="preserve">Study </w:t>
            </w:r>
            <w:r>
              <w:rPr>
                <w:rFonts w:asciiTheme="majorBidi" w:eastAsia="Times New Roman" w:hAnsiTheme="majorBidi" w:cstheme="majorBidi"/>
                <w:b/>
                <w:bCs/>
                <w:color w:val="000000"/>
                <w:sz w:val="16"/>
                <w:szCs w:val="16"/>
                <w:lang w:val="en-GB" w:eastAsia="zh-CN"/>
              </w:rPr>
              <w:t>M</w:t>
            </w:r>
            <w:r w:rsidRPr="00324B90">
              <w:rPr>
                <w:rFonts w:asciiTheme="majorBidi" w:eastAsia="Times New Roman" w:hAnsiTheme="majorBidi" w:cstheme="majorBidi"/>
                <w:b/>
                <w:bCs/>
                <w:color w:val="000000"/>
                <w:sz w:val="16"/>
                <w:szCs w:val="16"/>
                <w:lang w:val="en-GB" w:eastAsia="zh-CN"/>
              </w:rPr>
              <w:t>ods.</w:t>
            </w:r>
          </w:p>
        </w:tc>
        <w:tc>
          <w:tcPr>
            <w:tcW w:w="0" w:type="auto"/>
            <w:vMerge w:val="restart"/>
            <w:tcBorders>
              <w:top w:val="single" w:sz="4" w:space="0" w:color="auto"/>
              <w:left w:val="nil"/>
            </w:tcBorders>
            <w:vAlign w:val="center"/>
          </w:tcPr>
          <w:p w14:paraId="76DE6311" w14:textId="01ABA0F6" w:rsidR="00DF007B" w:rsidRPr="00324B90" w:rsidRDefault="00DF007B" w:rsidP="00DE2B6F">
            <w:pPr>
              <w:spacing w:line="240" w:lineRule="auto"/>
              <w:jc w:val="center"/>
              <w:rPr>
                <w:rFonts w:asciiTheme="majorBidi" w:eastAsia="Times New Roman" w:hAnsiTheme="majorBidi" w:cstheme="majorBidi"/>
                <w:b/>
                <w:bCs/>
                <w:color w:val="000000"/>
                <w:sz w:val="16"/>
                <w:szCs w:val="16"/>
                <w:lang w:val="en-GB" w:eastAsia="zh-CN"/>
              </w:rPr>
            </w:pPr>
            <w:r>
              <w:rPr>
                <w:rFonts w:asciiTheme="majorBidi" w:eastAsia="Times New Roman" w:hAnsiTheme="majorBidi" w:cstheme="majorBidi"/>
                <w:b/>
                <w:bCs/>
                <w:color w:val="000000"/>
                <w:sz w:val="16"/>
                <w:szCs w:val="16"/>
                <w:lang w:val="en-GB" w:eastAsia="zh-CN"/>
              </w:rPr>
              <w:t>Mod. Definition</w:t>
            </w:r>
          </w:p>
        </w:tc>
      </w:tr>
      <w:tr w:rsidR="00513A2C" w:rsidRPr="00324B90" w14:paraId="5013024A" w14:textId="4C8B7418" w:rsidTr="007C08B9">
        <w:trPr>
          <w:trHeight w:val="250"/>
        </w:trPr>
        <w:tc>
          <w:tcPr>
            <w:tcW w:w="0" w:type="auto"/>
            <w:vMerge/>
            <w:tcBorders>
              <w:top w:val="single" w:sz="4" w:space="0" w:color="auto"/>
              <w:left w:val="nil"/>
              <w:bottom w:val="single" w:sz="4" w:space="0" w:color="000000"/>
              <w:right w:val="nil"/>
            </w:tcBorders>
            <w:vAlign w:val="center"/>
            <w:hideMark/>
          </w:tcPr>
          <w:p w14:paraId="217C5DC4" w14:textId="77777777" w:rsidR="00DF007B" w:rsidRPr="00324B90" w:rsidRDefault="00DF007B" w:rsidP="00DE2B6F">
            <w:pPr>
              <w:spacing w:line="240" w:lineRule="auto"/>
              <w:rPr>
                <w:rFonts w:asciiTheme="majorBidi" w:eastAsia="Times New Roman" w:hAnsiTheme="majorBidi" w:cstheme="majorBidi"/>
                <w:b/>
                <w:bCs/>
                <w:color w:val="000000"/>
                <w:sz w:val="16"/>
                <w:szCs w:val="16"/>
                <w:lang w:val="en-GB" w:eastAsia="zh-CN"/>
              </w:rPr>
            </w:pPr>
          </w:p>
        </w:tc>
        <w:tc>
          <w:tcPr>
            <w:tcW w:w="0" w:type="auto"/>
            <w:tcBorders>
              <w:top w:val="nil"/>
              <w:left w:val="nil"/>
              <w:bottom w:val="single" w:sz="4" w:space="0" w:color="auto"/>
              <w:right w:val="nil"/>
            </w:tcBorders>
            <w:shd w:val="clear" w:color="auto" w:fill="auto"/>
            <w:noWrap/>
            <w:vAlign w:val="center"/>
            <w:hideMark/>
          </w:tcPr>
          <w:p w14:paraId="64A5DF03" w14:textId="77777777" w:rsidR="00DF007B" w:rsidRPr="00324B90" w:rsidRDefault="00DF007B" w:rsidP="00DE2B6F">
            <w:pPr>
              <w:spacing w:line="240" w:lineRule="auto"/>
              <w:jc w:val="center"/>
              <w:rPr>
                <w:rFonts w:asciiTheme="majorBidi" w:eastAsia="Times New Roman" w:hAnsiTheme="majorBidi" w:cstheme="majorBidi"/>
                <w:b/>
                <w:bCs/>
                <w:color w:val="000000"/>
                <w:sz w:val="16"/>
                <w:szCs w:val="16"/>
                <w:lang w:val="en-GB" w:eastAsia="zh-CN"/>
              </w:rPr>
            </w:pPr>
            <w:r w:rsidRPr="00324B90">
              <w:rPr>
                <w:rFonts w:asciiTheme="majorBidi" w:eastAsia="Times New Roman" w:hAnsiTheme="majorBidi" w:cstheme="majorBidi"/>
                <w:b/>
                <w:bCs/>
                <w:color w:val="000000"/>
                <w:sz w:val="16"/>
                <w:szCs w:val="16"/>
                <w:lang w:val="en-GB" w:eastAsia="zh-CN"/>
              </w:rPr>
              <w:t>Treatment 1</w:t>
            </w:r>
          </w:p>
        </w:tc>
        <w:tc>
          <w:tcPr>
            <w:tcW w:w="0" w:type="auto"/>
            <w:tcBorders>
              <w:top w:val="nil"/>
              <w:left w:val="nil"/>
              <w:bottom w:val="single" w:sz="4" w:space="0" w:color="auto"/>
              <w:right w:val="nil"/>
            </w:tcBorders>
            <w:vAlign w:val="center"/>
          </w:tcPr>
          <w:p w14:paraId="7C1A9FD7" w14:textId="610611D9" w:rsidR="00DF007B" w:rsidRPr="00324B90" w:rsidRDefault="00DF007B" w:rsidP="00DE2B6F">
            <w:pPr>
              <w:spacing w:line="240" w:lineRule="auto"/>
              <w:jc w:val="center"/>
              <w:rPr>
                <w:rFonts w:asciiTheme="majorBidi" w:eastAsia="Times New Roman" w:hAnsiTheme="majorBidi" w:cstheme="majorBidi"/>
                <w:b/>
                <w:bCs/>
                <w:color w:val="000000"/>
                <w:sz w:val="16"/>
                <w:szCs w:val="16"/>
                <w:lang w:val="en-GB" w:eastAsia="zh-CN"/>
              </w:rPr>
            </w:pPr>
            <w:r>
              <w:rPr>
                <w:rFonts w:asciiTheme="majorBidi" w:eastAsia="Times New Roman" w:hAnsiTheme="majorBidi" w:cstheme="majorBidi"/>
                <w:b/>
                <w:bCs/>
                <w:color w:val="000000"/>
                <w:sz w:val="16"/>
                <w:szCs w:val="16"/>
                <w:lang w:val="en-GB" w:eastAsia="zh-CN"/>
              </w:rPr>
              <w:t>T1 Definition</w:t>
            </w:r>
          </w:p>
        </w:tc>
        <w:tc>
          <w:tcPr>
            <w:tcW w:w="0" w:type="auto"/>
            <w:tcBorders>
              <w:top w:val="nil"/>
              <w:left w:val="nil"/>
              <w:bottom w:val="single" w:sz="4" w:space="0" w:color="auto"/>
              <w:right w:val="nil"/>
            </w:tcBorders>
            <w:shd w:val="clear" w:color="auto" w:fill="auto"/>
            <w:noWrap/>
            <w:vAlign w:val="center"/>
            <w:hideMark/>
          </w:tcPr>
          <w:p w14:paraId="4A69753E" w14:textId="2B627B22" w:rsidR="00DF007B" w:rsidRPr="00324B90" w:rsidRDefault="00DF007B" w:rsidP="00DE2B6F">
            <w:pPr>
              <w:spacing w:line="240" w:lineRule="auto"/>
              <w:jc w:val="center"/>
              <w:rPr>
                <w:rFonts w:asciiTheme="majorBidi" w:eastAsia="Times New Roman" w:hAnsiTheme="majorBidi" w:cstheme="majorBidi"/>
                <w:b/>
                <w:bCs/>
                <w:color w:val="000000"/>
                <w:sz w:val="16"/>
                <w:szCs w:val="16"/>
                <w:lang w:val="en-GB" w:eastAsia="zh-CN"/>
              </w:rPr>
            </w:pPr>
            <w:r w:rsidRPr="00324B90">
              <w:rPr>
                <w:rFonts w:asciiTheme="majorBidi" w:eastAsia="Times New Roman" w:hAnsiTheme="majorBidi" w:cstheme="majorBidi"/>
                <w:b/>
                <w:bCs/>
                <w:color w:val="000000"/>
                <w:sz w:val="16"/>
                <w:szCs w:val="16"/>
                <w:lang w:val="en-GB" w:eastAsia="zh-CN"/>
              </w:rPr>
              <w:t>Treatment 2</w:t>
            </w:r>
          </w:p>
        </w:tc>
        <w:tc>
          <w:tcPr>
            <w:tcW w:w="0" w:type="auto"/>
            <w:tcBorders>
              <w:top w:val="single" w:sz="4" w:space="0" w:color="auto"/>
              <w:left w:val="nil"/>
              <w:bottom w:val="single" w:sz="4" w:space="0" w:color="000000"/>
              <w:right w:val="nil"/>
            </w:tcBorders>
            <w:vAlign w:val="center"/>
          </w:tcPr>
          <w:p w14:paraId="1F66A1F8" w14:textId="0F2CDA4D" w:rsidR="00DF007B" w:rsidRPr="00324B90" w:rsidRDefault="00DF007B" w:rsidP="0017707B">
            <w:pPr>
              <w:spacing w:line="240" w:lineRule="auto"/>
              <w:jc w:val="center"/>
              <w:rPr>
                <w:rFonts w:asciiTheme="majorBidi" w:eastAsia="Times New Roman" w:hAnsiTheme="majorBidi" w:cstheme="majorBidi"/>
                <w:b/>
                <w:bCs/>
                <w:color w:val="000000"/>
                <w:sz w:val="16"/>
                <w:szCs w:val="16"/>
                <w:lang w:val="en-GB" w:eastAsia="zh-CN"/>
              </w:rPr>
            </w:pPr>
            <w:r>
              <w:rPr>
                <w:rFonts w:asciiTheme="majorBidi" w:eastAsia="Times New Roman" w:hAnsiTheme="majorBidi" w:cstheme="majorBidi"/>
                <w:b/>
                <w:bCs/>
                <w:color w:val="000000"/>
                <w:sz w:val="16"/>
                <w:szCs w:val="16"/>
                <w:lang w:val="en-GB" w:eastAsia="zh-CN"/>
              </w:rPr>
              <w:t>T2 Definition</w:t>
            </w:r>
          </w:p>
        </w:tc>
        <w:tc>
          <w:tcPr>
            <w:tcW w:w="0" w:type="auto"/>
            <w:vMerge/>
            <w:tcBorders>
              <w:top w:val="single" w:sz="4" w:space="0" w:color="auto"/>
              <w:left w:val="nil"/>
              <w:bottom w:val="single" w:sz="4" w:space="0" w:color="000000"/>
              <w:right w:val="nil"/>
            </w:tcBorders>
            <w:vAlign w:val="center"/>
            <w:hideMark/>
          </w:tcPr>
          <w:p w14:paraId="4AC3AEBA" w14:textId="5D5EF840" w:rsidR="00DF007B" w:rsidRPr="00324B90" w:rsidRDefault="00DF007B" w:rsidP="00DE2B6F">
            <w:pPr>
              <w:spacing w:line="240" w:lineRule="auto"/>
              <w:rPr>
                <w:rFonts w:asciiTheme="majorBidi" w:eastAsia="Times New Roman" w:hAnsiTheme="majorBidi" w:cstheme="majorBidi"/>
                <w:b/>
                <w:bCs/>
                <w:color w:val="000000"/>
                <w:sz w:val="16"/>
                <w:szCs w:val="16"/>
                <w:lang w:val="en-GB" w:eastAsia="zh-CN"/>
              </w:rPr>
            </w:pPr>
          </w:p>
        </w:tc>
        <w:tc>
          <w:tcPr>
            <w:tcW w:w="0" w:type="auto"/>
            <w:vMerge/>
            <w:tcBorders>
              <w:left w:val="nil"/>
              <w:bottom w:val="single" w:sz="4" w:space="0" w:color="000000"/>
            </w:tcBorders>
            <w:vAlign w:val="center"/>
          </w:tcPr>
          <w:p w14:paraId="1CF18C5F" w14:textId="77777777" w:rsidR="00DF007B" w:rsidRPr="00324B90" w:rsidRDefault="00DF007B" w:rsidP="00DE2B6F">
            <w:pPr>
              <w:spacing w:line="240" w:lineRule="auto"/>
              <w:rPr>
                <w:rFonts w:asciiTheme="majorBidi" w:eastAsia="Times New Roman" w:hAnsiTheme="majorBidi" w:cstheme="majorBidi"/>
                <w:b/>
                <w:bCs/>
                <w:color w:val="000000"/>
                <w:sz w:val="16"/>
                <w:szCs w:val="16"/>
                <w:lang w:val="en-GB" w:eastAsia="zh-CN"/>
              </w:rPr>
            </w:pPr>
          </w:p>
        </w:tc>
      </w:tr>
      <w:tr w:rsidR="00513A2C" w:rsidRPr="00324B90" w14:paraId="2C4D70A5" w14:textId="79A2CF35" w:rsidTr="007C08B9">
        <w:trPr>
          <w:trHeight w:val="250"/>
        </w:trPr>
        <w:tc>
          <w:tcPr>
            <w:tcW w:w="0" w:type="auto"/>
            <w:tcBorders>
              <w:top w:val="nil"/>
              <w:left w:val="nil"/>
              <w:bottom w:val="nil"/>
              <w:right w:val="nil"/>
            </w:tcBorders>
            <w:shd w:val="clear" w:color="auto" w:fill="auto"/>
            <w:noWrap/>
            <w:vAlign w:val="center"/>
            <w:hideMark/>
          </w:tcPr>
          <w:p w14:paraId="044BC03B" w14:textId="77777777" w:rsidR="00DF007B" w:rsidRPr="00324B90" w:rsidRDefault="00DF007B" w:rsidP="00DE2B6F">
            <w:pPr>
              <w:spacing w:line="240" w:lineRule="auto"/>
              <w:rPr>
                <w:rFonts w:asciiTheme="majorBidi" w:eastAsia="Times New Roman" w:hAnsiTheme="majorBidi" w:cstheme="majorBidi"/>
                <w:i/>
                <w:iCs/>
                <w:color w:val="000000"/>
                <w:sz w:val="16"/>
                <w:szCs w:val="16"/>
                <w:lang w:val="en-GB" w:eastAsia="zh-CN"/>
              </w:rPr>
            </w:pPr>
            <w:r w:rsidRPr="00324B90">
              <w:rPr>
                <w:rFonts w:asciiTheme="majorBidi" w:eastAsia="Times New Roman" w:hAnsiTheme="majorBidi" w:cstheme="majorBidi"/>
                <w:i/>
                <w:iCs/>
                <w:color w:val="000000"/>
                <w:sz w:val="16"/>
                <w:szCs w:val="16"/>
                <w:lang w:val="en-GB" w:eastAsia="zh-CN"/>
              </w:rPr>
              <w:t>Sample variables</w:t>
            </w:r>
          </w:p>
        </w:tc>
        <w:tc>
          <w:tcPr>
            <w:tcW w:w="0" w:type="auto"/>
            <w:tcBorders>
              <w:top w:val="nil"/>
              <w:left w:val="nil"/>
              <w:bottom w:val="nil"/>
              <w:right w:val="nil"/>
            </w:tcBorders>
            <w:shd w:val="clear" w:color="auto" w:fill="auto"/>
            <w:noWrap/>
            <w:vAlign w:val="center"/>
            <w:hideMark/>
          </w:tcPr>
          <w:p w14:paraId="1E110369" w14:textId="77777777" w:rsidR="00DF007B" w:rsidRPr="00324B90" w:rsidRDefault="00DF007B" w:rsidP="00DE2B6F">
            <w:pPr>
              <w:spacing w:line="240" w:lineRule="auto"/>
              <w:jc w:val="center"/>
              <w:rPr>
                <w:rFonts w:asciiTheme="majorBidi" w:eastAsia="Times New Roman" w:hAnsiTheme="majorBidi" w:cstheme="majorBidi"/>
                <w:sz w:val="16"/>
                <w:szCs w:val="16"/>
                <w:lang w:val="en-GB" w:eastAsia="zh-CN"/>
              </w:rPr>
            </w:pPr>
          </w:p>
        </w:tc>
        <w:tc>
          <w:tcPr>
            <w:tcW w:w="0" w:type="auto"/>
            <w:tcBorders>
              <w:top w:val="nil"/>
              <w:left w:val="nil"/>
              <w:bottom w:val="nil"/>
              <w:right w:val="nil"/>
            </w:tcBorders>
            <w:vAlign w:val="center"/>
          </w:tcPr>
          <w:p w14:paraId="6759D750" w14:textId="77777777" w:rsidR="00DF007B" w:rsidRPr="00324B90" w:rsidRDefault="00DF007B" w:rsidP="0017707B">
            <w:pPr>
              <w:spacing w:line="240" w:lineRule="auto"/>
              <w:ind w:left="170" w:hanging="170"/>
              <w:rPr>
                <w:rFonts w:asciiTheme="majorBidi" w:eastAsia="Times New Roman" w:hAnsiTheme="majorBidi" w:cstheme="majorBidi"/>
                <w:sz w:val="16"/>
                <w:szCs w:val="16"/>
                <w:lang w:val="en-GB" w:eastAsia="zh-CN"/>
              </w:rPr>
            </w:pPr>
          </w:p>
        </w:tc>
        <w:tc>
          <w:tcPr>
            <w:tcW w:w="0" w:type="auto"/>
            <w:tcBorders>
              <w:top w:val="nil"/>
              <w:left w:val="nil"/>
              <w:bottom w:val="nil"/>
              <w:right w:val="nil"/>
            </w:tcBorders>
            <w:shd w:val="clear" w:color="auto" w:fill="auto"/>
            <w:noWrap/>
            <w:vAlign w:val="center"/>
            <w:hideMark/>
          </w:tcPr>
          <w:p w14:paraId="0DBC91A3" w14:textId="2472E8CD" w:rsidR="00DF007B" w:rsidRPr="00324B90" w:rsidRDefault="00DF007B" w:rsidP="00DE2B6F">
            <w:pPr>
              <w:spacing w:line="240" w:lineRule="auto"/>
              <w:jc w:val="center"/>
              <w:rPr>
                <w:rFonts w:asciiTheme="majorBidi" w:eastAsia="Times New Roman" w:hAnsiTheme="majorBidi" w:cstheme="majorBidi"/>
                <w:sz w:val="16"/>
                <w:szCs w:val="16"/>
                <w:lang w:val="en-GB" w:eastAsia="zh-CN"/>
              </w:rPr>
            </w:pPr>
          </w:p>
        </w:tc>
        <w:tc>
          <w:tcPr>
            <w:tcW w:w="0" w:type="auto"/>
            <w:tcBorders>
              <w:top w:val="nil"/>
              <w:left w:val="nil"/>
              <w:bottom w:val="nil"/>
              <w:right w:val="nil"/>
            </w:tcBorders>
            <w:vAlign w:val="center"/>
          </w:tcPr>
          <w:p w14:paraId="6F067EA1" w14:textId="77777777" w:rsidR="00DF007B" w:rsidRPr="00324B90" w:rsidRDefault="00DF007B" w:rsidP="0017707B">
            <w:pPr>
              <w:spacing w:line="240" w:lineRule="auto"/>
              <w:ind w:left="170" w:hanging="170"/>
              <w:rPr>
                <w:rFonts w:asciiTheme="majorBidi" w:eastAsia="Times New Roman" w:hAnsiTheme="majorBidi" w:cstheme="majorBidi"/>
                <w:sz w:val="16"/>
                <w:szCs w:val="16"/>
                <w:lang w:val="en-GB" w:eastAsia="zh-CN"/>
              </w:rPr>
            </w:pPr>
          </w:p>
        </w:tc>
        <w:tc>
          <w:tcPr>
            <w:tcW w:w="0" w:type="auto"/>
            <w:tcBorders>
              <w:top w:val="nil"/>
              <w:left w:val="nil"/>
              <w:bottom w:val="nil"/>
              <w:right w:val="nil"/>
            </w:tcBorders>
            <w:shd w:val="clear" w:color="auto" w:fill="auto"/>
            <w:noWrap/>
            <w:vAlign w:val="center"/>
            <w:hideMark/>
          </w:tcPr>
          <w:p w14:paraId="162BE06D" w14:textId="3F605E17" w:rsidR="00DF007B" w:rsidRPr="00324B90" w:rsidRDefault="00DF007B" w:rsidP="00DE2B6F">
            <w:pPr>
              <w:spacing w:line="240" w:lineRule="auto"/>
              <w:jc w:val="center"/>
              <w:rPr>
                <w:rFonts w:asciiTheme="majorBidi" w:eastAsia="Times New Roman" w:hAnsiTheme="majorBidi" w:cstheme="majorBidi"/>
                <w:sz w:val="16"/>
                <w:szCs w:val="16"/>
                <w:lang w:val="en-GB" w:eastAsia="zh-CN"/>
              </w:rPr>
            </w:pPr>
          </w:p>
        </w:tc>
        <w:tc>
          <w:tcPr>
            <w:tcW w:w="0" w:type="auto"/>
            <w:tcBorders>
              <w:top w:val="nil"/>
              <w:left w:val="nil"/>
              <w:bottom w:val="nil"/>
              <w:right w:val="nil"/>
            </w:tcBorders>
            <w:vAlign w:val="center"/>
          </w:tcPr>
          <w:p w14:paraId="75F41505" w14:textId="77777777" w:rsidR="00DF007B" w:rsidRPr="00324B90" w:rsidRDefault="00DF007B" w:rsidP="00DE2B6F">
            <w:pPr>
              <w:spacing w:line="240" w:lineRule="auto"/>
              <w:jc w:val="center"/>
              <w:rPr>
                <w:rFonts w:asciiTheme="majorBidi" w:eastAsia="Times New Roman" w:hAnsiTheme="majorBidi" w:cstheme="majorBidi"/>
                <w:sz w:val="16"/>
                <w:szCs w:val="16"/>
                <w:lang w:val="en-GB" w:eastAsia="zh-CN"/>
              </w:rPr>
            </w:pPr>
          </w:p>
        </w:tc>
      </w:tr>
      <w:tr w:rsidR="00513A2C" w:rsidRPr="00324B90" w14:paraId="1165F932" w14:textId="2FD748E5" w:rsidTr="007C08B9">
        <w:trPr>
          <w:trHeight w:val="250"/>
        </w:trPr>
        <w:tc>
          <w:tcPr>
            <w:tcW w:w="0" w:type="auto"/>
            <w:tcBorders>
              <w:top w:val="nil"/>
              <w:left w:val="nil"/>
              <w:bottom w:val="nil"/>
              <w:right w:val="nil"/>
            </w:tcBorders>
            <w:shd w:val="clear" w:color="auto" w:fill="auto"/>
            <w:noWrap/>
            <w:vAlign w:val="center"/>
            <w:hideMark/>
          </w:tcPr>
          <w:p w14:paraId="31E72283" w14:textId="77777777" w:rsidR="00DF007B" w:rsidRPr="00324B90" w:rsidRDefault="00DF007B" w:rsidP="00DE2B6F">
            <w:pPr>
              <w:spacing w:line="240" w:lineRule="auto"/>
              <w:ind w:firstLineChars="100" w:firstLine="16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Age</w:t>
            </w:r>
          </w:p>
        </w:tc>
        <w:tc>
          <w:tcPr>
            <w:tcW w:w="0" w:type="auto"/>
            <w:tcBorders>
              <w:top w:val="nil"/>
              <w:left w:val="nil"/>
              <w:bottom w:val="nil"/>
              <w:right w:val="nil"/>
            </w:tcBorders>
            <w:shd w:val="clear" w:color="auto" w:fill="auto"/>
            <w:noWrap/>
            <w:vAlign w:val="center"/>
            <w:hideMark/>
          </w:tcPr>
          <w:p w14:paraId="0222B47B" w14:textId="77777777"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c>
          <w:tcPr>
            <w:tcW w:w="0" w:type="auto"/>
            <w:tcBorders>
              <w:top w:val="nil"/>
              <w:left w:val="nil"/>
              <w:bottom w:val="nil"/>
              <w:right w:val="nil"/>
            </w:tcBorders>
            <w:vAlign w:val="center"/>
          </w:tcPr>
          <w:p w14:paraId="083D7A10" w14:textId="2019E6F9" w:rsidR="00DF007B" w:rsidRPr="00324B90" w:rsidRDefault="00A75892" w:rsidP="0017707B">
            <w:pPr>
              <w:spacing w:line="240" w:lineRule="auto"/>
              <w:ind w:left="170" w:hanging="170"/>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8729526" w14:textId="7CA605E7"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w:t>
            </w:r>
          </w:p>
        </w:tc>
        <w:tc>
          <w:tcPr>
            <w:tcW w:w="0" w:type="auto"/>
            <w:tcBorders>
              <w:top w:val="nil"/>
              <w:left w:val="nil"/>
              <w:bottom w:val="nil"/>
              <w:right w:val="nil"/>
            </w:tcBorders>
            <w:vAlign w:val="center"/>
          </w:tcPr>
          <w:p w14:paraId="7329C9FB" w14:textId="7615BC66" w:rsidR="00DF007B" w:rsidRDefault="00A75892" w:rsidP="0017707B">
            <w:pPr>
              <w:spacing w:line="240" w:lineRule="auto"/>
              <w:ind w:left="170" w:hanging="170"/>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2ED08AB4" w14:textId="6734E45E"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c>
          <w:tcPr>
            <w:tcW w:w="0" w:type="auto"/>
            <w:tcBorders>
              <w:top w:val="nil"/>
              <w:left w:val="nil"/>
              <w:bottom w:val="nil"/>
              <w:right w:val="nil"/>
            </w:tcBorders>
            <w:vAlign w:val="center"/>
          </w:tcPr>
          <w:p w14:paraId="71143834" w14:textId="477C2B29" w:rsidR="00DF007B"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r>
      <w:tr w:rsidR="00513A2C" w:rsidRPr="00324B90" w14:paraId="2EBB5F83" w14:textId="2FBD19E1" w:rsidTr="007C08B9">
        <w:trPr>
          <w:trHeight w:val="250"/>
        </w:trPr>
        <w:tc>
          <w:tcPr>
            <w:tcW w:w="0" w:type="auto"/>
            <w:tcBorders>
              <w:top w:val="nil"/>
              <w:left w:val="nil"/>
              <w:bottom w:val="nil"/>
              <w:right w:val="nil"/>
            </w:tcBorders>
            <w:shd w:val="clear" w:color="auto" w:fill="auto"/>
            <w:noWrap/>
            <w:vAlign w:val="center"/>
            <w:hideMark/>
          </w:tcPr>
          <w:p w14:paraId="1015A748" w14:textId="77777777" w:rsidR="00DF007B" w:rsidRPr="00324B90" w:rsidRDefault="00DF007B" w:rsidP="00DE2B6F">
            <w:pPr>
              <w:spacing w:line="240" w:lineRule="auto"/>
              <w:ind w:firstLineChars="100" w:firstLine="16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Gender</w:t>
            </w:r>
          </w:p>
        </w:tc>
        <w:tc>
          <w:tcPr>
            <w:tcW w:w="0" w:type="auto"/>
            <w:tcBorders>
              <w:top w:val="nil"/>
              <w:left w:val="nil"/>
              <w:bottom w:val="nil"/>
              <w:right w:val="nil"/>
            </w:tcBorders>
            <w:shd w:val="clear" w:color="auto" w:fill="auto"/>
            <w:noWrap/>
            <w:vAlign w:val="center"/>
            <w:hideMark/>
          </w:tcPr>
          <w:p w14:paraId="75FE4686" w14:textId="77777777"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Male</w:t>
            </w:r>
          </w:p>
        </w:tc>
        <w:tc>
          <w:tcPr>
            <w:tcW w:w="0" w:type="auto"/>
            <w:tcBorders>
              <w:top w:val="nil"/>
              <w:left w:val="nil"/>
              <w:bottom w:val="nil"/>
              <w:right w:val="nil"/>
            </w:tcBorders>
            <w:vAlign w:val="center"/>
          </w:tcPr>
          <w:p w14:paraId="1066F320" w14:textId="3970A57E" w:rsidR="00DF007B" w:rsidRPr="00324B90" w:rsidRDefault="00A75892" w:rsidP="00303155">
            <w:pPr>
              <w:spacing w:line="240" w:lineRule="auto"/>
              <w:ind w:left="170" w:hanging="17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Male</w:t>
            </w:r>
          </w:p>
        </w:tc>
        <w:tc>
          <w:tcPr>
            <w:tcW w:w="0" w:type="auto"/>
            <w:tcBorders>
              <w:top w:val="nil"/>
              <w:left w:val="nil"/>
              <w:bottom w:val="nil"/>
              <w:right w:val="nil"/>
            </w:tcBorders>
            <w:shd w:val="clear" w:color="auto" w:fill="auto"/>
            <w:noWrap/>
            <w:vAlign w:val="center"/>
            <w:hideMark/>
          </w:tcPr>
          <w:p w14:paraId="36E47D3A" w14:textId="39807721"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Female</w:t>
            </w:r>
          </w:p>
        </w:tc>
        <w:tc>
          <w:tcPr>
            <w:tcW w:w="0" w:type="auto"/>
            <w:tcBorders>
              <w:top w:val="nil"/>
              <w:left w:val="nil"/>
              <w:bottom w:val="nil"/>
              <w:right w:val="nil"/>
            </w:tcBorders>
            <w:vAlign w:val="center"/>
          </w:tcPr>
          <w:p w14:paraId="38154EEC" w14:textId="39564625" w:rsidR="00DF007B" w:rsidRDefault="00A75892" w:rsidP="00303155">
            <w:pPr>
              <w:spacing w:line="240" w:lineRule="auto"/>
              <w:ind w:left="170" w:hanging="17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Female</w:t>
            </w:r>
          </w:p>
        </w:tc>
        <w:tc>
          <w:tcPr>
            <w:tcW w:w="0" w:type="auto"/>
            <w:tcBorders>
              <w:top w:val="nil"/>
              <w:left w:val="nil"/>
              <w:bottom w:val="nil"/>
              <w:right w:val="nil"/>
            </w:tcBorders>
            <w:shd w:val="clear" w:color="auto" w:fill="auto"/>
            <w:noWrap/>
            <w:vAlign w:val="center"/>
            <w:hideMark/>
          </w:tcPr>
          <w:p w14:paraId="76A4E392" w14:textId="2536883D"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c>
          <w:tcPr>
            <w:tcW w:w="0" w:type="auto"/>
            <w:tcBorders>
              <w:top w:val="nil"/>
              <w:left w:val="nil"/>
              <w:bottom w:val="nil"/>
              <w:right w:val="nil"/>
            </w:tcBorders>
            <w:vAlign w:val="center"/>
          </w:tcPr>
          <w:p w14:paraId="0496914D" w14:textId="628F015E" w:rsidR="00DF007B"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r>
      <w:tr w:rsidR="00513A2C" w:rsidRPr="00324B90" w14:paraId="7D7A1208" w14:textId="1F50F22B" w:rsidTr="007C08B9">
        <w:trPr>
          <w:trHeight w:val="250"/>
        </w:trPr>
        <w:tc>
          <w:tcPr>
            <w:tcW w:w="0" w:type="auto"/>
            <w:tcBorders>
              <w:top w:val="nil"/>
              <w:left w:val="nil"/>
              <w:bottom w:val="nil"/>
              <w:right w:val="nil"/>
            </w:tcBorders>
            <w:shd w:val="clear" w:color="auto" w:fill="auto"/>
            <w:noWrap/>
            <w:vAlign w:val="center"/>
            <w:hideMark/>
          </w:tcPr>
          <w:p w14:paraId="654BE7A6" w14:textId="77777777" w:rsidR="00DF007B" w:rsidRPr="00324B90" w:rsidRDefault="00DF007B" w:rsidP="00DE2B6F">
            <w:pPr>
              <w:spacing w:line="240" w:lineRule="auto"/>
              <w:rPr>
                <w:rFonts w:asciiTheme="majorBidi" w:eastAsia="Times New Roman" w:hAnsiTheme="majorBidi" w:cstheme="majorBidi"/>
                <w:i/>
                <w:iCs/>
                <w:color w:val="000000"/>
                <w:sz w:val="16"/>
                <w:szCs w:val="16"/>
                <w:lang w:val="en-GB" w:eastAsia="zh-CN"/>
              </w:rPr>
            </w:pPr>
            <w:r w:rsidRPr="00324B90">
              <w:rPr>
                <w:rFonts w:asciiTheme="majorBidi" w:eastAsia="Times New Roman" w:hAnsiTheme="majorBidi" w:cstheme="majorBidi"/>
                <w:i/>
                <w:iCs/>
                <w:color w:val="000000"/>
                <w:sz w:val="16"/>
                <w:szCs w:val="16"/>
                <w:lang w:val="en-GB" w:eastAsia="zh-CN"/>
              </w:rPr>
              <w:t>Structural variables</w:t>
            </w:r>
          </w:p>
        </w:tc>
        <w:tc>
          <w:tcPr>
            <w:tcW w:w="0" w:type="auto"/>
            <w:tcBorders>
              <w:top w:val="nil"/>
              <w:left w:val="nil"/>
              <w:bottom w:val="nil"/>
              <w:right w:val="nil"/>
            </w:tcBorders>
            <w:shd w:val="clear" w:color="auto" w:fill="auto"/>
            <w:noWrap/>
            <w:vAlign w:val="center"/>
            <w:hideMark/>
          </w:tcPr>
          <w:p w14:paraId="2179E61C" w14:textId="77777777" w:rsidR="00DF007B" w:rsidRPr="00324B90" w:rsidRDefault="00DF007B" w:rsidP="00DE2B6F">
            <w:pPr>
              <w:spacing w:line="240" w:lineRule="auto"/>
              <w:jc w:val="center"/>
              <w:rPr>
                <w:rFonts w:asciiTheme="majorBidi" w:eastAsia="Times New Roman" w:hAnsiTheme="majorBidi" w:cstheme="majorBidi"/>
                <w:sz w:val="16"/>
                <w:szCs w:val="16"/>
                <w:lang w:val="en-GB" w:eastAsia="zh-CN"/>
              </w:rPr>
            </w:pPr>
          </w:p>
        </w:tc>
        <w:tc>
          <w:tcPr>
            <w:tcW w:w="0" w:type="auto"/>
            <w:tcBorders>
              <w:top w:val="nil"/>
              <w:left w:val="nil"/>
              <w:bottom w:val="nil"/>
              <w:right w:val="nil"/>
            </w:tcBorders>
            <w:vAlign w:val="center"/>
          </w:tcPr>
          <w:p w14:paraId="3898A415" w14:textId="77777777" w:rsidR="00DF007B" w:rsidRPr="00324B90" w:rsidRDefault="00DF007B" w:rsidP="0017707B">
            <w:pPr>
              <w:spacing w:line="240" w:lineRule="auto"/>
              <w:ind w:left="170" w:hanging="170"/>
              <w:rPr>
                <w:rFonts w:asciiTheme="majorBidi" w:eastAsia="Times New Roman" w:hAnsiTheme="majorBidi" w:cstheme="majorBidi"/>
                <w:sz w:val="16"/>
                <w:szCs w:val="16"/>
                <w:lang w:val="en-GB" w:eastAsia="zh-CN"/>
              </w:rPr>
            </w:pPr>
          </w:p>
        </w:tc>
        <w:tc>
          <w:tcPr>
            <w:tcW w:w="0" w:type="auto"/>
            <w:tcBorders>
              <w:top w:val="nil"/>
              <w:left w:val="nil"/>
              <w:bottom w:val="nil"/>
              <w:right w:val="nil"/>
            </w:tcBorders>
            <w:shd w:val="clear" w:color="auto" w:fill="auto"/>
            <w:noWrap/>
            <w:vAlign w:val="center"/>
            <w:hideMark/>
          </w:tcPr>
          <w:p w14:paraId="5C7D8854" w14:textId="5889C6B3" w:rsidR="00DF007B" w:rsidRPr="00324B90" w:rsidRDefault="00DF007B" w:rsidP="00DE2B6F">
            <w:pPr>
              <w:spacing w:line="240" w:lineRule="auto"/>
              <w:jc w:val="center"/>
              <w:rPr>
                <w:rFonts w:asciiTheme="majorBidi" w:eastAsia="Times New Roman" w:hAnsiTheme="majorBidi" w:cstheme="majorBidi"/>
                <w:sz w:val="16"/>
                <w:szCs w:val="16"/>
                <w:lang w:val="en-GB" w:eastAsia="zh-CN"/>
              </w:rPr>
            </w:pPr>
          </w:p>
        </w:tc>
        <w:tc>
          <w:tcPr>
            <w:tcW w:w="0" w:type="auto"/>
            <w:tcBorders>
              <w:top w:val="nil"/>
              <w:left w:val="nil"/>
              <w:bottom w:val="nil"/>
              <w:right w:val="nil"/>
            </w:tcBorders>
            <w:vAlign w:val="center"/>
          </w:tcPr>
          <w:p w14:paraId="18383C8D" w14:textId="77777777" w:rsidR="00DF007B" w:rsidRPr="00324B90" w:rsidRDefault="00DF007B" w:rsidP="0017707B">
            <w:pPr>
              <w:spacing w:line="240" w:lineRule="auto"/>
              <w:ind w:left="170" w:hanging="170"/>
              <w:rPr>
                <w:rFonts w:asciiTheme="majorBidi" w:eastAsia="Times New Roman" w:hAnsiTheme="majorBidi" w:cstheme="majorBidi"/>
                <w:sz w:val="16"/>
                <w:szCs w:val="16"/>
                <w:lang w:val="en-GB" w:eastAsia="zh-CN"/>
              </w:rPr>
            </w:pPr>
          </w:p>
        </w:tc>
        <w:tc>
          <w:tcPr>
            <w:tcW w:w="0" w:type="auto"/>
            <w:tcBorders>
              <w:top w:val="nil"/>
              <w:left w:val="nil"/>
              <w:bottom w:val="nil"/>
              <w:right w:val="nil"/>
            </w:tcBorders>
            <w:shd w:val="clear" w:color="auto" w:fill="auto"/>
            <w:noWrap/>
            <w:vAlign w:val="center"/>
            <w:hideMark/>
          </w:tcPr>
          <w:p w14:paraId="56E3D548" w14:textId="24818782" w:rsidR="00DF007B" w:rsidRPr="00324B90" w:rsidRDefault="00DF007B" w:rsidP="00DE2B6F">
            <w:pPr>
              <w:spacing w:line="240" w:lineRule="auto"/>
              <w:jc w:val="center"/>
              <w:rPr>
                <w:rFonts w:asciiTheme="majorBidi" w:eastAsia="Times New Roman" w:hAnsiTheme="majorBidi" w:cstheme="majorBidi"/>
                <w:sz w:val="16"/>
                <w:szCs w:val="16"/>
                <w:lang w:val="en-GB" w:eastAsia="zh-CN"/>
              </w:rPr>
            </w:pPr>
          </w:p>
        </w:tc>
        <w:tc>
          <w:tcPr>
            <w:tcW w:w="0" w:type="auto"/>
            <w:tcBorders>
              <w:top w:val="nil"/>
              <w:left w:val="nil"/>
              <w:bottom w:val="nil"/>
              <w:right w:val="nil"/>
            </w:tcBorders>
            <w:vAlign w:val="center"/>
          </w:tcPr>
          <w:p w14:paraId="7F672220" w14:textId="6A22550F" w:rsidR="00DF007B" w:rsidRPr="00324B90" w:rsidRDefault="00DF007B" w:rsidP="00DF007B">
            <w:pPr>
              <w:spacing w:line="240" w:lineRule="auto"/>
              <w:jc w:val="center"/>
              <w:rPr>
                <w:rFonts w:asciiTheme="majorBidi" w:eastAsia="Times New Roman" w:hAnsiTheme="majorBidi" w:cstheme="majorBidi"/>
                <w:sz w:val="16"/>
                <w:szCs w:val="16"/>
                <w:lang w:val="en-GB" w:eastAsia="zh-CN"/>
              </w:rPr>
            </w:pPr>
          </w:p>
        </w:tc>
      </w:tr>
      <w:tr w:rsidR="00513A2C" w:rsidRPr="00324B90" w14:paraId="15EB39D6" w14:textId="329522E8" w:rsidTr="007C08B9">
        <w:trPr>
          <w:trHeight w:val="250"/>
        </w:trPr>
        <w:tc>
          <w:tcPr>
            <w:tcW w:w="0" w:type="auto"/>
            <w:tcBorders>
              <w:top w:val="nil"/>
              <w:left w:val="nil"/>
              <w:bottom w:val="nil"/>
              <w:right w:val="nil"/>
            </w:tcBorders>
            <w:shd w:val="clear" w:color="auto" w:fill="auto"/>
            <w:noWrap/>
            <w:vAlign w:val="center"/>
            <w:hideMark/>
          </w:tcPr>
          <w:p w14:paraId="4F12A5CE" w14:textId="77777777" w:rsidR="00DF007B" w:rsidRPr="00324B90" w:rsidRDefault="00DF007B" w:rsidP="00DE2B6F">
            <w:pPr>
              <w:spacing w:line="240" w:lineRule="auto"/>
              <w:ind w:firstLineChars="100" w:firstLine="16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Conflict of interests</w:t>
            </w:r>
          </w:p>
        </w:tc>
        <w:tc>
          <w:tcPr>
            <w:tcW w:w="0" w:type="auto"/>
            <w:tcBorders>
              <w:top w:val="nil"/>
              <w:left w:val="nil"/>
              <w:bottom w:val="nil"/>
              <w:right w:val="nil"/>
            </w:tcBorders>
            <w:shd w:val="clear" w:color="auto" w:fill="auto"/>
            <w:noWrap/>
            <w:vAlign w:val="center"/>
            <w:hideMark/>
          </w:tcPr>
          <w:p w14:paraId="31A75E16" w14:textId="77777777"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High</w:t>
            </w:r>
          </w:p>
        </w:tc>
        <w:tc>
          <w:tcPr>
            <w:tcW w:w="0" w:type="auto"/>
            <w:tcBorders>
              <w:top w:val="nil"/>
              <w:left w:val="nil"/>
              <w:bottom w:val="nil"/>
              <w:right w:val="nil"/>
            </w:tcBorders>
            <w:vAlign w:val="center"/>
          </w:tcPr>
          <w:p w14:paraId="4D72EBBB" w14:textId="1896DEA3" w:rsidR="00DF007B" w:rsidRPr="00324B90" w:rsidRDefault="00DF007B" w:rsidP="0017707B">
            <w:pPr>
              <w:spacing w:line="240" w:lineRule="auto"/>
              <w:ind w:left="170" w:hanging="170"/>
              <w:rPr>
                <w:rFonts w:asciiTheme="majorBidi" w:eastAsia="Times New Roman" w:hAnsiTheme="majorBidi" w:cstheme="majorBidi"/>
                <w:color w:val="000000"/>
                <w:sz w:val="16"/>
                <w:szCs w:val="16"/>
                <w:lang w:val="en-GB" w:eastAsia="zh-CN"/>
              </w:rPr>
            </w:pPr>
            <w:r w:rsidRPr="00DF007B">
              <w:rPr>
                <w:rFonts w:asciiTheme="majorBidi" w:eastAsia="Times New Roman" w:hAnsiTheme="majorBidi" w:cstheme="majorBidi"/>
                <w:color w:val="000000"/>
                <w:sz w:val="16"/>
                <w:szCs w:val="16"/>
                <w:lang w:val="en-GB" w:eastAsia="zh-CN"/>
              </w:rPr>
              <w:t>High relative level of the conflict of interests in the game</w:t>
            </w:r>
          </w:p>
        </w:tc>
        <w:tc>
          <w:tcPr>
            <w:tcW w:w="0" w:type="auto"/>
            <w:tcBorders>
              <w:top w:val="nil"/>
              <w:left w:val="nil"/>
              <w:bottom w:val="nil"/>
              <w:right w:val="nil"/>
            </w:tcBorders>
            <w:shd w:val="clear" w:color="auto" w:fill="auto"/>
            <w:noWrap/>
            <w:vAlign w:val="center"/>
            <w:hideMark/>
          </w:tcPr>
          <w:p w14:paraId="7CD152DF" w14:textId="52DB986A"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Low</w:t>
            </w:r>
          </w:p>
        </w:tc>
        <w:tc>
          <w:tcPr>
            <w:tcW w:w="0" w:type="auto"/>
            <w:tcBorders>
              <w:top w:val="nil"/>
              <w:left w:val="nil"/>
              <w:bottom w:val="nil"/>
              <w:right w:val="nil"/>
            </w:tcBorders>
            <w:vAlign w:val="center"/>
          </w:tcPr>
          <w:p w14:paraId="4C53770C" w14:textId="48F738C9" w:rsidR="00DF007B" w:rsidRDefault="00DF007B" w:rsidP="0017707B">
            <w:pPr>
              <w:spacing w:line="240" w:lineRule="auto"/>
              <w:ind w:left="170" w:hanging="170"/>
              <w:rPr>
                <w:rFonts w:asciiTheme="majorBidi" w:eastAsia="Times New Roman" w:hAnsiTheme="majorBidi" w:cstheme="majorBidi"/>
                <w:color w:val="000000"/>
                <w:sz w:val="16"/>
                <w:szCs w:val="16"/>
                <w:lang w:val="en-GB" w:eastAsia="zh-CN"/>
              </w:rPr>
            </w:pPr>
            <w:r w:rsidRPr="00DF007B">
              <w:rPr>
                <w:rFonts w:asciiTheme="majorBidi" w:eastAsia="Times New Roman" w:hAnsiTheme="majorBidi" w:cstheme="majorBidi"/>
                <w:color w:val="000000"/>
                <w:sz w:val="16"/>
                <w:szCs w:val="16"/>
                <w:lang w:val="en-GB" w:eastAsia="zh-CN"/>
              </w:rPr>
              <w:t>Low relative level of the conflict of interests in the game</w:t>
            </w:r>
          </w:p>
        </w:tc>
        <w:tc>
          <w:tcPr>
            <w:tcW w:w="0" w:type="auto"/>
            <w:tcBorders>
              <w:top w:val="nil"/>
              <w:left w:val="nil"/>
              <w:bottom w:val="nil"/>
              <w:right w:val="nil"/>
            </w:tcBorders>
            <w:shd w:val="clear" w:color="auto" w:fill="auto"/>
            <w:noWrap/>
            <w:vAlign w:val="center"/>
            <w:hideMark/>
          </w:tcPr>
          <w:p w14:paraId="05652FE6" w14:textId="4077BB26"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c>
          <w:tcPr>
            <w:tcW w:w="0" w:type="auto"/>
            <w:tcBorders>
              <w:top w:val="nil"/>
              <w:left w:val="nil"/>
              <w:bottom w:val="nil"/>
              <w:right w:val="nil"/>
            </w:tcBorders>
            <w:vAlign w:val="center"/>
          </w:tcPr>
          <w:p w14:paraId="1E68ECBC" w14:textId="1A42D6C6" w:rsidR="00DF007B"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r>
      <w:tr w:rsidR="00513A2C" w:rsidRPr="00324B90" w14:paraId="2593BFBD" w14:textId="3A4EA297" w:rsidTr="007C08B9">
        <w:trPr>
          <w:trHeight w:val="250"/>
        </w:trPr>
        <w:tc>
          <w:tcPr>
            <w:tcW w:w="0" w:type="auto"/>
            <w:tcBorders>
              <w:top w:val="nil"/>
              <w:left w:val="nil"/>
              <w:bottom w:val="nil"/>
              <w:right w:val="nil"/>
            </w:tcBorders>
            <w:shd w:val="clear" w:color="auto" w:fill="auto"/>
            <w:noWrap/>
            <w:vAlign w:val="center"/>
            <w:hideMark/>
          </w:tcPr>
          <w:p w14:paraId="7C1691D1" w14:textId="77777777" w:rsidR="00DF007B" w:rsidRPr="00324B90" w:rsidRDefault="00DF007B" w:rsidP="00DE2B6F">
            <w:pPr>
              <w:spacing w:line="240" w:lineRule="auto"/>
              <w:ind w:firstLineChars="100" w:firstLine="16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Group size</w:t>
            </w:r>
          </w:p>
        </w:tc>
        <w:tc>
          <w:tcPr>
            <w:tcW w:w="0" w:type="auto"/>
            <w:tcBorders>
              <w:top w:val="nil"/>
              <w:left w:val="nil"/>
              <w:bottom w:val="nil"/>
              <w:right w:val="nil"/>
            </w:tcBorders>
            <w:shd w:val="clear" w:color="auto" w:fill="auto"/>
            <w:noWrap/>
            <w:vAlign w:val="center"/>
            <w:hideMark/>
          </w:tcPr>
          <w:p w14:paraId="3D2AEE70" w14:textId="77777777"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High</w:t>
            </w:r>
          </w:p>
        </w:tc>
        <w:tc>
          <w:tcPr>
            <w:tcW w:w="0" w:type="auto"/>
            <w:tcBorders>
              <w:top w:val="nil"/>
              <w:left w:val="nil"/>
              <w:bottom w:val="nil"/>
              <w:right w:val="nil"/>
            </w:tcBorders>
            <w:vAlign w:val="center"/>
          </w:tcPr>
          <w:p w14:paraId="05418A55" w14:textId="36412D9B" w:rsidR="00DF007B" w:rsidRPr="00324B90" w:rsidRDefault="00A75892" w:rsidP="0017707B">
            <w:pPr>
              <w:spacing w:line="240" w:lineRule="auto"/>
              <w:ind w:left="170" w:hanging="170"/>
              <w:rPr>
                <w:rFonts w:asciiTheme="majorBidi" w:eastAsia="Times New Roman" w:hAnsiTheme="majorBidi" w:cstheme="majorBidi"/>
                <w:color w:val="000000"/>
                <w:sz w:val="16"/>
                <w:szCs w:val="16"/>
                <w:lang w:val="en-GB" w:eastAsia="zh-CN"/>
              </w:rPr>
            </w:pPr>
            <w:r w:rsidRPr="00A75892">
              <w:rPr>
                <w:rFonts w:asciiTheme="majorBidi" w:eastAsia="Times New Roman" w:hAnsiTheme="majorBidi" w:cstheme="majorBidi"/>
                <w:color w:val="000000"/>
                <w:sz w:val="16"/>
                <w:szCs w:val="16"/>
                <w:lang w:val="en-GB" w:eastAsia="zh-CN"/>
              </w:rPr>
              <w:t>Large relative size of the group</w:t>
            </w:r>
          </w:p>
        </w:tc>
        <w:tc>
          <w:tcPr>
            <w:tcW w:w="0" w:type="auto"/>
            <w:tcBorders>
              <w:top w:val="nil"/>
              <w:left w:val="nil"/>
              <w:bottom w:val="nil"/>
              <w:right w:val="nil"/>
            </w:tcBorders>
            <w:shd w:val="clear" w:color="auto" w:fill="auto"/>
            <w:noWrap/>
            <w:vAlign w:val="center"/>
            <w:hideMark/>
          </w:tcPr>
          <w:p w14:paraId="330A098B" w14:textId="4CCA3AE0"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Low</w:t>
            </w:r>
          </w:p>
        </w:tc>
        <w:tc>
          <w:tcPr>
            <w:tcW w:w="0" w:type="auto"/>
            <w:tcBorders>
              <w:top w:val="nil"/>
              <w:left w:val="nil"/>
              <w:bottom w:val="nil"/>
              <w:right w:val="nil"/>
            </w:tcBorders>
            <w:vAlign w:val="center"/>
          </w:tcPr>
          <w:p w14:paraId="71D2CEAC" w14:textId="69294B56" w:rsidR="00DF007B" w:rsidRDefault="00A75892" w:rsidP="0017707B">
            <w:pPr>
              <w:spacing w:line="240" w:lineRule="auto"/>
              <w:ind w:left="170" w:hanging="170"/>
              <w:rPr>
                <w:rFonts w:asciiTheme="majorBidi" w:eastAsia="Times New Roman" w:hAnsiTheme="majorBidi" w:cstheme="majorBidi"/>
                <w:color w:val="000000"/>
                <w:sz w:val="16"/>
                <w:szCs w:val="16"/>
                <w:lang w:val="en-GB" w:eastAsia="zh-CN"/>
              </w:rPr>
            </w:pPr>
            <w:r w:rsidRPr="00A75892">
              <w:rPr>
                <w:rFonts w:asciiTheme="majorBidi" w:eastAsia="Times New Roman" w:hAnsiTheme="majorBidi" w:cstheme="majorBidi"/>
                <w:color w:val="000000"/>
                <w:sz w:val="16"/>
                <w:szCs w:val="16"/>
                <w:lang w:val="en-GB" w:eastAsia="zh-CN"/>
              </w:rPr>
              <w:t>Small relative size of the group</w:t>
            </w:r>
          </w:p>
        </w:tc>
        <w:tc>
          <w:tcPr>
            <w:tcW w:w="0" w:type="auto"/>
            <w:tcBorders>
              <w:top w:val="nil"/>
              <w:left w:val="nil"/>
              <w:bottom w:val="nil"/>
              <w:right w:val="nil"/>
            </w:tcBorders>
            <w:shd w:val="clear" w:color="auto" w:fill="auto"/>
            <w:noWrap/>
            <w:vAlign w:val="center"/>
            <w:hideMark/>
          </w:tcPr>
          <w:p w14:paraId="231CDE95" w14:textId="390AE3D2"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c>
          <w:tcPr>
            <w:tcW w:w="0" w:type="auto"/>
            <w:tcBorders>
              <w:top w:val="nil"/>
              <w:left w:val="nil"/>
              <w:bottom w:val="nil"/>
              <w:right w:val="nil"/>
            </w:tcBorders>
            <w:vAlign w:val="center"/>
          </w:tcPr>
          <w:p w14:paraId="75C060D4" w14:textId="7FBA34AF" w:rsidR="00DF007B"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r>
      <w:tr w:rsidR="00513A2C" w:rsidRPr="00324B90" w14:paraId="16F1B784" w14:textId="704FAD62" w:rsidTr="007C08B9">
        <w:trPr>
          <w:trHeight w:val="250"/>
        </w:trPr>
        <w:tc>
          <w:tcPr>
            <w:tcW w:w="0" w:type="auto"/>
            <w:tcBorders>
              <w:top w:val="nil"/>
              <w:left w:val="nil"/>
              <w:bottom w:val="nil"/>
              <w:right w:val="nil"/>
            </w:tcBorders>
            <w:shd w:val="clear" w:color="auto" w:fill="auto"/>
            <w:noWrap/>
            <w:vAlign w:val="center"/>
            <w:hideMark/>
          </w:tcPr>
          <w:p w14:paraId="302F85AF" w14:textId="77777777" w:rsidR="00DF007B" w:rsidRPr="00324B90" w:rsidRDefault="00DF007B" w:rsidP="00DE2B6F">
            <w:pPr>
              <w:spacing w:line="240" w:lineRule="auto"/>
              <w:ind w:firstLineChars="100" w:firstLine="160"/>
              <w:rPr>
                <w:rFonts w:asciiTheme="majorBidi" w:eastAsia="Times New Roman" w:hAnsiTheme="majorBidi" w:cstheme="majorBidi"/>
                <w:color w:val="000000"/>
                <w:sz w:val="16"/>
                <w:szCs w:val="16"/>
                <w:lang w:val="en-GB" w:eastAsia="zh-CN"/>
              </w:rPr>
            </w:pPr>
            <w:proofErr w:type="spellStart"/>
            <w:r w:rsidRPr="00324B90">
              <w:rPr>
                <w:rFonts w:asciiTheme="majorBidi" w:eastAsia="Times New Roman" w:hAnsiTheme="majorBidi" w:cstheme="majorBidi"/>
                <w:color w:val="000000"/>
                <w:sz w:val="16"/>
                <w:szCs w:val="16"/>
                <w:lang w:val="en-GB" w:eastAsia="zh-CN"/>
              </w:rPr>
              <w:t>Sequentiality</w:t>
            </w:r>
            <w:proofErr w:type="spellEnd"/>
          </w:p>
        </w:tc>
        <w:tc>
          <w:tcPr>
            <w:tcW w:w="0" w:type="auto"/>
            <w:tcBorders>
              <w:top w:val="nil"/>
              <w:left w:val="nil"/>
              <w:bottom w:val="nil"/>
              <w:right w:val="nil"/>
            </w:tcBorders>
            <w:shd w:val="clear" w:color="auto" w:fill="auto"/>
            <w:noWrap/>
            <w:vAlign w:val="center"/>
            <w:hideMark/>
          </w:tcPr>
          <w:p w14:paraId="05A9FE8B" w14:textId="77777777"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Simultaneous</w:t>
            </w:r>
          </w:p>
        </w:tc>
        <w:tc>
          <w:tcPr>
            <w:tcW w:w="0" w:type="auto"/>
            <w:tcBorders>
              <w:top w:val="nil"/>
              <w:left w:val="nil"/>
              <w:bottom w:val="nil"/>
              <w:right w:val="nil"/>
            </w:tcBorders>
            <w:vAlign w:val="center"/>
          </w:tcPr>
          <w:p w14:paraId="30DCDAED" w14:textId="31005F70" w:rsidR="00DF007B" w:rsidRPr="00324B90" w:rsidRDefault="00DF007B" w:rsidP="0017707B">
            <w:pPr>
              <w:spacing w:line="240" w:lineRule="auto"/>
              <w:ind w:left="170" w:hanging="170"/>
              <w:rPr>
                <w:rFonts w:asciiTheme="majorBidi" w:eastAsia="Times New Roman" w:hAnsiTheme="majorBidi" w:cstheme="majorBidi"/>
                <w:color w:val="000000"/>
                <w:sz w:val="16"/>
                <w:szCs w:val="16"/>
                <w:lang w:val="en-GB" w:eastAsia="zh-CN"/>
              </w:rPr>
            </w:pPr>
            <w:r w:rsidRPr="00B23722">
              <w:rPr>
                <w:rFonts w:asciiTheme="majorBidi" w:eastAsia="Times New Roman" w:hAnsiTheme="majorBidi" w:cstheme="majorBidi"/>
                <w:color w:val="000000"/>
                <w:sz w:val="16"/>
                <w:szCs w:val="16"/>
                <w:lang w:val="en-GB" w:eastAsia="zh-CN"/>
              </w:rPr>
              <w:t>Participants make decisions simultaneously</w:t>
            </w:r>
          </w:p>
        </w:tc>
        <w:tc>
          <w:tcPr>
            <w:tcW w:w="0" w:type="auto"/>
            <w:tcBorders>
              <w:top w:val="nil"/>
              <w:left w:val="nil"/>
              <w:bottom w:val="nil"/>
              <w:right w:val="nil"/>
            </w:tcBorders>
            <w:shd w:val="clear" w:color="auto" w:fill="auto"/>
            <w:noWrap/>
            <w:vAlign w:val="center"/>
            <w:hideMark/>
          </w:tcPr>
          <w:p w14:paraId="6596C0DB" w14:textId="3E648205"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Sequential turn-taking</w:t>
            </w:r>
          </w:p>
        </w:tc>
        <w:tc>
          <w:tcPr>
            <w:tcW w:w="0" w:type="auto"/>
            <w:tcBorders>
              <w:top w:val="nil"/>
              <w:left w:val="nil"/>
              <w:bottom w:val="nil"/>
              <w:right w:val="nil"/>
            </w:tcBorders>
            <w:vAlign w:val="center"/>
          </w:tcPr>
          <w:p w14:paraId="67CB70B1" w14:textId="4A22FC75" w:rsidR="00DF007B" w:rsidRDefault="00DF007B" w:rsidP="0017707B">
            <w:pPr>
              <w:spacing w:line="240" w:lineRule="auto"/>
              <w:ind w:left="170" w:hanging="170"/>
              <w:rPr>
                <w:rFonts w:asciiTheme="majorBidi" w:eastAsia="Times New Roman" w:hAnsiTheme="majorBidi" w:cstheme="majorBidi"/>
                <w:color w:val="000000"/>
                <w:sz w:val="16"/>
                <w:szCs w:val="16"/>
                <w:lang w:val="en-GB" w:eastAsia="zh-CN"/>
              </w:rPr>
            </w:pPr>
            <w:r w:rsidRPr="00B23722">
              <w:rPr>
                <w:rFonts w:asciiTheme="majorBidi" w:eastAsia="Times New Roman" w:hAnsiTheme="majorBidi" w:cstheme="majorBidi"/>
                <w:color w:val="000000"/>
                <w:sz w:val="16"/>
                <w:szCs w:val="16"/>
                <w:lang w:val="en-GB" w:eastAsia="zh-CN"/>
              </w:rPr>
              <w:t>Participants make decisions one after another following some (endogenous or exogenous) order</w:t>
            </w:r>
          </w:p>
        </w:tc>
        <w:tc>
          <w:tcPr>
            <w:tcW w:w="0" w:type="auto"/>
            <w:tcBorders>
              <w:top w:val="nil"/>
              <w:left w:val="nil"/>
              <w:bottom w:val="nil"/>
              <w:right w:val="nil"/>
            </w:tcBorders>
            <w:shd w:val="clear" w:color="auto" w:fill="auto"/>
            <w:noWrap/>
            <w:vAlign w:val="center"/>
            <w:hideMark/>
          </w:tcPr>
          <w:p w14:paraId="637191C2" w14:textId="3F4F7F17"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c>
          <w:tcPr>
            <w:tcW w:w="0" w:type="auto"/>
            <w:tcBorders>
              <w:top w:val="nil"/>
              <w:left w:val="nil"/>
              <w:bottom w:val="nil"/>
              <w:right w:val="nil"/>
            </w:tcBorders>
            <w:vAlign w:val="center"/>
          </w:tcPr>
          <w:p w14:paraId="3BBB78EB" w14:textId="2EDA7016" w:rsidR="00DF007B"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r>
      <w:tr w:rsidR="00513A2C" w:rsidRPr="00324B90" w14:paraId="153EF810" w14:textId="221AB400" w:rsidTr="007C08B9">
        <w:trPr>
          <w:trHeight w:val="250"/>
        </w:trPr>
        <w:tc>
          <w:tcPr>
            <w:tcW w:w="0" w:type="auto"/>
            <w:tcBorders>
              <w:top w:val="nil"/>
              <w:left w:val="nil"/>
              <w:bottom w:val="nil"/>
              <w:right w:val="nil"/>
            </w:tcBorders>
            <w:shd w:val="clear" w:color="auto" w:fill="auto"/>
            <w:noWrap/>
            <w:vAlign w:val="center"/>
            <w:hideMark/>
          </w:tcPr>
          <w:p w14:paraId="5219F5FB" w14:textId="77777777" w:rsidR="00DF007B" w:rsidRPr="00324B90" w:rsidRDefault="00DF007B" w:rsidP="00DE2B6F">
            <w:pPr>
              <w:spacing w:line="240" w:lineRule="auto"/>
              <w:ind w:firstLineChars="100" w:firstLine="16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Communication</w:t>
            </w:r>
          </w:p>
        </w:tc>
        <w:tc>
          <w:tcPr>
            <w:tcW w:w="0" w:type="auto"/>
            <w:tcBorders>
              <w:top w:val="nil"/>
              <w:left w:val="nil"/>
              <w:bottom w:val="nil"/>
              <w:right w:val="nil"/>
            </w:tcBorders>
            <w:shd w:val="clear" w:color="auto" w:fill="auto"/>
            <w:noWrap/>
            <w:vAlign w:val="center"/>
            <w:hideMark/>
          </w:tcPr>
          <w:p w14:paraId="6A151A88" w14:textId="77777777"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1</w:t>
            </w:r>
          </w:p>
        </w:tc>
        <w:tc>
          <w:tcPr>
            <w:tcW w:w="0" w:type="auto"/>
            <w:tcBorders>
              <w:top w:val="nil"/>
              <w:left w:val="nil"/>
              <w:bottom w:val="nil"/>
              <w:right w:val="nil"/>
            </w:tcBorders>
            <w:vAlign w:val="center"/>
          </w:tcPr>
          <w:p w14:paraId="367FE32D" w14:textId="77B58D44" w:rsidR="00DF007B" w:rsidRPr="00324B90" w:rsidRDefault="00DF007B" w:rsidP="0017707B">
            <w:pPr>
              <w:spacing w:line="240" w:lineRule="auto"/>
              <w:ind w:left="170" w:hanging="170"/>
              <w:rPr>
                <w:rFonts w:asciiTheme="majorBidi" w:eastAsia="Times New Roman" w:hAnsiTheme="majorBidi" w:cstheme="majorBidi"/>
                <w:color w:val="000000"/>
                <w:sz w:val="16"/>
                <w:szCs w:val="16"/>
                <w:lang w:val="en-GB" w:eastAsia="zh-CN"/>
              </w:rPr>
            </w:pPr>
            <w:r w:rsidRPr="00060564">
              <w:rPr>
                <w:rFonts w:asciiTheme="majorBidi" w:eastAsia="Times New Roman" w:hAnsiTheme="majorBidi" w:cstheme="majorBidi"/>
                <w:color w:val="000000"/>
                <w:sz w:val="16"/>
                <w:szCs w:val="16"/>
                <w:lang w:val="en-GB" w:eastAsia="zh-CN"/>
              </w:rPr>
              <w:t>TRUE =</w:t>
            </w:r>
            <w:r>
              <w:rPr>
                <w:rFonts w:asciiTheme="majorBidi" w:eastAsia="Times New Roman" w:hAnsiTheme="majorBidi" w:cstheme="majorBidi"/>
                <w:color w:val="000000"/>
                <w:sz w:val="16"/>
                <w:szCs w:val="16"/>
                <w:lang w:val="en-GB" w:eastAsia="zh-CN"/>
              </w:rPr>
              <w:t xml:space="preserve"> </w:t>
            </w:r>
            <w:r w:rsidRPr="006A3AA7">
              <w:rPr>
                <w:rFonts w:asciiTheme="majorBidi" w:eastAsia="Times New Roman" w:hAnsiTheme="majorBidi" w:cstheme="majorBidi"/>
                <w:color w:val="000000"/>
                <w:sz w:val="16"/>
                <w:szCs w:val="16"/>
                <w:lang w:val="en-GB" w:eastAsia="zh-CN"/>
              </w:rPr>
              <w:t>Participants could communicate in the game</w:t>
            </w:r>
          </w:p>
        </w:tc>
        <w:tc>
          <w:tcPr>
            <w:tcW w:w="0" w:type="auto"/>
            <w:tcBorders>
              <w:top w:val="nil"/>
              <w:left w:val="nil"/>
              <w:bottom w:val="nil"/>
              <w:right w:val="nil"/>
            </w:tcBorders>
            <w:shd w:val="clear" w:color="auto" w:fill="auto"/>
            <w:noWrap/>
            <w:vAlign w:val="center"/>
            <w:hideMark/>
          </w:tcPr>
          <w:p w14:paraId="46A7B44A" w14:textId="23C77929"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0</w:t>
            </w:r>
          </w:p>
        </w:tc>
        <w:tc>
          <w:tcPr>
            <w:tcW w:w="0" w:type="auto"/>
            <w:tcBorders>
              <w:top w:val="nil"/>
              <w:left w:val="nil"/>
              <w:bottom w:val="nil"/>
              <w:right w:val="nil"/>
            </w:tcBorders>
            <w:vAlign w:val="center"/>
          </w:tcPr>
          <w:p w14:paraId="13750AF3" w14:textId="2CCE69DE" w:rsidR="00DF007B" w:rsidRDefault="00DF007B" w:rsidP="0017707B">
            <w:pPr>
              <w:spacing w:line="240" w:lineRule="auto"/>
              <w:ind w:left="170" w:hanging="170"/>
              <w:rPr>
                <w:rFonts w:asciiTheme="majorBidi" w:eastAsia="Times New Roman" w:hAnsiTheme="majorBidi" w:cstheme="majorBidi"/>
                <w:color w:val="000000"/>
                <w:sz w:val="16"/>
                <w:szCs w:val="16"/>
                <w:lang w:val="en-GB" w:eastAsia="zh-CN"/>
              </w:rPr>
            </w:pPr>
            <w:r w:rsidRPr="00060564">
              <w:rPr>
                <w:rFonts w:asciiTheme="majorBidi" w:eastAsia="Times New Roman" w:hAnsiTheme="majorBidi" w:cstheme="majorBidi"/>
                <w:color w:val="000000"/>
                <w:sz w:val="16"/>
                <w:szCs w:val="16"/>
                <w:lang w:val="en-GB" w:eastAsia="zh-CN"/>
              </w:rPr>
              <w:t>FALSE =</w:t>
            </w:r>
            <w:r>
              <w:rPr>
                <w:rFonts w:asciiTheme="majorBidi" w:eastAsia="Times New Roman" w:hAnsiTheme="majorBidi" w:cstheme="majorBidi"/>
                <w:color w:val="000000"/>
                <w:sz w:val="16"/>
                <w:szCs w:val="16"/>
                <w:lang w:val="en-GB" w:eastAsia="zh-CN"/>
              </w:rPr>
              <w:t xml:space="preserve"> </w:t>
            </w:r>
            <w:r w:rsidRPr="006A3AA7">
              <w:rPr>
                <w:rFonts w:asciiTheme="majorBidi" w:eastAsia="Times New Roman" w:hAnsiTheme="majorBidi" w:cstheme="majorBidi"/>
                <w:color w:val="000000"/>
                <w:sz w:val="16"/>
                <w:szCs w:val="16"/>
                <w:lang w:val="en-GB" w:eastAsia="zh-CN"/>
              </w:rPr>
              <w:t>Participants could not communicate in the game</w:t>
            </w:r>
          </w:p>
        </w:tc>
        <w:tc>
          <w:tcPr>
            <w:tcW w:w="0" w:type="auto"/>
            <w:tcBorders>
              <w:top w:val="nil"/>
              <w:left w:val="nil"/>
              <w:bottom w:val="nil"/>
              <w:right w:val="nil"/>
            </w:tcBorders>
            <w:shd w:val="clear" w:color="auto" w:fill="auto"/>
            <w:noWrap/>
            <w:vAlign w:val="center"/>
            <w:hideMark/>
          </w:tcPr>
          <w:p w14:paraId="2ABC4F67" w14:textId="02AF2041"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c>
          <w:tcPr>
            <w:tcW w:w="0" w:type="auto"/>
            <w:tcBorders>
              <w:top w:val="nil"/>
              <w:left w:val="nil"/>
              <w:bottom w:val="nil"/>
              <w:right w:val="nil"/>
            </w:tcBorders>
            <w:vAlign w:val="center"/>
          </w:tcPr>
          <w:p w14:paraId="75783BAA" w14:textId="4BF68732" w:rsidR="00DF007B"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r>
      <w:tr w:rsidR="00513A2C" w:rsidRPr="00324B90" w14:paraId="4F856920" w14:textId="2095D688" w:rsidTr="007C08B9">
        <w:trPr>
          <w:trHeight w:val="250"/>
        </w:trPr>
        <w:tc>
          <w:tcPr>
            <w:tcW w:w="0" w:type="auto"/>
            <w:tcBorders>
              <w:top w:val="nil"/>
              <w:left w:val="nil"/>
              <w:bottom w:val="nil"/>
              <w:right w:val="nil"/>
            </w:tcBorders>
            <w:shd w:val="clear" w:color="auto" w:fill="auto"/>
            <w:noWrap/>
            <w:vAlign w:val="center"/>
            <w:hideMark/>
          </w:tcPr>
          <w:p w14:paraId="2BBF48E4" w14:textId="77777777" w:rsidR="00DF007B" w:rsidRPr="00324B90" w:rsidRDefault="00DF007B" w:rsidP="00DE2B6F">
            <w:pPr>
              <w:spacing w:line="240" w:lineRule="auto"/>
              <w:ind w:firstLineChars="100" w:firstLine="16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Payment</w:t>
            </w:r>
          </w:p>
        </w:tc>
        <w:tc>
          <w:tcPr>
            <w:tcW w:w="0" w:type="auto"/>
            <w:tcBorders>
              <w:top w:val="nil"/>
              <w:left w:val="nil"/>
              <w:bottom w:val="nil"/>
              <w:right w:val="nil"/>
            </w:tcBorders>
            <w:shd w:val="clear" w:color="auto" w:fill="auto"/>
            <w:noWrap/>
            <w:vAlign w:val="center"/>
            <w:hideMark/>
          </w:tcPr>
          <w:p w14:paraId="364FB1EB" w14:textId="77777777" w:rsidR="00DF007B" w:rsidRPr="00324B90" w:rsidRDefault="00DF007B" w:rsidP="00DE2B6F">
            <w:pPr>
              <w:spacing w:line="240" w:lineRule="auto"/>
              <w:jc w:val="center"/>
              <w:rPr>
                <w:rFonts w:asciiTheme="majorBidi" w:eastAsia="Times New Roman" w:hAnsiTheme="majorBidi" w:cstheme="majorBidi"/>
                <w:sz w:val="16"/>
                <w:szCs w:val="16"/>
                <w:lang w:val="en-GB" w:eastAsia="zh-CN"/>
              </w:rPr>
            </w:pPr>
          </w:p>
        </w:tc>
        <w:tc>
          <w:tcPr>
            <w:tcW w:w="0" w:type="auto"/>
            <w:tcBorders>
              <w:top w:val="nil"/>
              <w:left w:val="nil"/>
              <w:bottom w:val="nil"/>
              <w:right w:val="nil"/>
            </w:tcBorders>
            <w:vAlign w:val="center"/>
          </w:tcPr>
          <w:p w14:paraId="69B74DA5" w14:textId="77777777" w:rsidR="00DF007B" w:rsidRPr="00324B90" w:rsidRDefault="00DF007B" w:rsidP="0017707B">
            <w:pPr>
              <w:spacing w:line="240" w:lineRule="auto"/>
              <w:ind w:left="170" w:hanging="170"/>
              <w:rPr>
                <w:rFonts w:asciiTheme="majorBidi" w:eastAsia="Times New Roman" w:hAnsiTheme="majorBidi" w:cstheme="majorBidi"/>
                <w:sz w:val="16"/>
                <w:szCs w:val="16"/>
                <w:lang w:val="en-GB" w:eastAsia="zh-CN"/>
              </w:rPr>
            </w:pPr>
          </w:p>
        </w:tc>
        <w:tc>
          <w:tcPr>
            <w:tcW w:w="0" w:type="auto"/>
            <w:tcBorders>
              <w:top w:val="nil"/>
              <w:left w:val="nil"/>
              <w:bottom w:val="nil"/>
              <w:right w:val="nil"/>
            </w:tcBorders>
            <w:shd w:val="clear" w:color="auto" w:fill="auto"/>
            <w:noWrap/>
            <w:vAlign w:val="center"/>
            <w:hideMark/>
          </w:tcPr>
          <w:p w14:paraId="2A695359" w14:textId="633B018C" w:rsidR="00DF007B" w:rsidRPr="00324B90" w:rsidRDefault="00DF007B" w:rsidP="00DE2B6F">
            <w:pPr>
              <w:spacing w:line="240" w:lineRule="auto"/>
              <w:jc w:val="center"/>
              <w:rPr>
                <w:rFonts w:asciiTheme="majorBidi" w:eastAsia="Times New Roman" w:hAnsiTheme="majorBidi" w:cstheme="majorBidi"/>
                <w:sz w:val="16"/>
                <w:szCs w:val="16"/>
                <w:lang w:val="en-GB" w:eastAsia="zh-CN"/>
              </w:rPr>
            </w:pPr>
          </w:p>
        </w:tc>
        <w:tc>
          <w:tcPr>
            <w:tcW w:w="0" w:type="auto"/>
            <w:tcBorders>
              <w:top w:val="nil"/>
              <w:left w:val="nil"/>
              <w:bottom w:val="nil"/>
              <w:right w:val="nil"/>
            </w:tcBorders>
            <w:vAlign w:val="center"/>
          </w:tcPr>
          <w:p w14:paraId="6AF81EE6" w14:textId="77777777" w:rsidR="00DF007B" w:rsidRPr="00324B90" w:rsidRDefault="00DF007B" w:rsidP="0017707B">
            <w:pPr>
              <w:spacing w:line="240" w:lineRule="auto"/>
              <w:ind w:left="170" w:hanging="170"/>
              <w:rPr>
                <w:rFonts w:asciiTheme="majorBidi" w:eastAsia="Times New Roman" w:hAnsiTheme="majorBidi" w:cstheme="majorBidi"/>
                <w:sz w:val="16"/>
                <w:szCs w:val="16"/>
                <w:lang w:val="en-GB" w:eastAsia="zh-CN"/>
              </w:rPr>
            </w:pPr>
          </w:p>
        </w:tc>
        <w:tc>
          <w:tcPr>
            <w:tcW w:w="0" w:type="auto"/>
            <w:tcBorders>
              <w:top w:val="nil"/>
              <w:left w:val="nil"/>
              <w:bottom w:val="nil"/>
              <w:right w:val="nil"/>
            </w:tcBorders>
            <w:shd w:val="clear" w:color="auto" w:fill="auto"/>
            <w:noWrap/>
            <w:vAlign w:val="center"/>
            <w:hideMark/>
          </w:tcPr>
          <w:p w14:paraId="25AF420B" w14:textId="0C31BBA3" w:rsidR="00DF007B" w:rsidRPr="00324B90" w:rsidRDefault="00DF007B" w:rsidP="00DE2B6F">
            <w:pPr>
              <w:spacing w:line="240" w:lineRule="auto"/>
              <w:jc w:val="center"/>
              <w:rPr>
                <w:rFonts w:asciiTheme="majorBidi" w:eastAsia="Times New Roman" w:hAnsiTheme="majorBidi" w:cstheme="majorBidi"/>
                <w:sz w:val="16"/>
                <w:szCs w:val="16"/>
                <w:lang w:val="en-GB" w:eastAsia="zh-CN"/>
              </w:rPr>
            </w:pPr>
          </w:p>
        </w:tc>
        <w:tc>
          <w:tcPr>
            <w:tcW w:w="0" w:type="auto"/>
            <w:tcBorders>
              <w:top w:val="nil"/>
              <w:left w:val="nil"/>
              <w:bottom w:val="nil"/>
              <w:right w:val="nil"/>
            </w:tcBorders>
            <w:vAlign w:val="center"/>
          </w:tcPr>
          <w:p w14:paraId="2F53D6EE" w14:textId="49ABA383" w:rsidR="00DF007B" w:rsidRPr="00324B90" w:rsidRDefault="00DF007B" w:rsidP="00DE2B6F">
            <w:pPr>
              <w:spacing w:line="240" w:lineRule="auto"/>
              <w:jc w:val="center"/>
              <w:rPr>
                <w:rFonts w:asciiTheme="majorBidi" w:eastAsia="Times New Roman" w:hAnsiTheme="majorBidi" w:cstheme="majorBidi"/>
                <w:sz w:val="16"/>
                <w:szCs w:val="16"/>
                <w:lang w:val="en-GB" w:eastAsia="zh-CN"/>
              </w:rPr>
            </w:pPr>
          </w:p>
        </w:tc>
      </w:tr>
      <w:tr w:rsidR="00513A2C" w:rsidRPr="00324B90" w14:paraId="5ED4941B" w14:textId="3E6932CA" w:rsidTr="007C08B9">
        <w:trPr>
          <w:trHeight w:val="250"/>
        </w:trPr>
        <w:tc>
          <w:tcPr>
            <w:tcW w:w="0" w:type="auto"/>
            <w:tcBorders>
              <w:top w:val="nil"/>
              <w:left w:val="nil"/>
              <w:bottom w:val="nil"/>
              <w:right w:val="nil"/>
            </w:tcBorders>
            <w:shd w:val="clear" w:color="auto" w:fill="auto"/>
            <w:noWrap/>
            <w:vAlign w:val="center"/>
            <w:hideMark/>
          </w:tcPr>
          <w:p w14:paraId="4C1ED541" w14:textId="77777777" w:rsidR="00DF007B" w:rsidRPr="00324B90" w:rsidRDefault="00DF007B" w:rsidP="00DE2B6F">
            <w:pPr>
              <w:spacing w:line="240" w:lineRule="auto"/>
              <w:ind w:firstLineChars="200" w:firstLine="32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Show up fee</w:t>
            </w:r>
          </w:p>
        </w:tc>
        <w:tc>
          <w:tcPr>
            <w:tcW w:w="0" w:type="auto"/>
            <w:tcBorders>
              <w:top w:val="nil"/>
              <w:left w:val="nil"/>
              <w:bottom w:val="nil"/>
              <w:right w:val="nil"/>
            </w:tcBorders>
            <w:shd w:val="clear" w:color="auto" w:fill="auto"/>
            <w:noWrap/>
            <w:vAlign w:val="center"/>
            <w:hideMark/>
          </w:tcPr>
          <w:p w14:paraId="2FF64520" w14:textId="77777777"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1</w:t>
            </w:r>
          </w:p>
        </w:tc>
        <w:tc>
          <w:tcPr>
            <w:tcW w:w="0" w:type="auto"/>
            <w:tcBorders>
              <w:top w:val="nil"/>
              <w:left w:val="nil"/>
              <w:bottom w:val="nil"/>
              <w:right w:val="nil"/>
            </w:tcBorders>
            <w:vAlign w:val="center"/>
          </w:tcPr>
          <w:p w14:paraId="568102A2" w14:textId="7C1D9639" w:rsidR="00DF007B" w:rsidRPr="00324B90" w:rsidRDefault="00DF007B" w:rsidP="0017707B">
            <w:pPr>
              <w:spacing w:line="240" w:lineRule="auto"/>
              <w:ind w:left="170" w:hanging="170"/>
              <w:rPr>
                <w:rFonts w:asciiTheme="majorBidi" w:eastAsia="Times New Roman" w:hAnsiTheme="majorBidi" w:cstheme="majorBidi"/>
                <w:color w:val="000000"/>
                <w:sz w:val="16"/>
                <w:szCs w:val="16"/>
                <w:lang w:val="en-GB" w:eastAsia="zh-CN"/>
              </w:rPr>
            </w:pPr>
            <w:r w:rsidRPr="00060564">
              <w:rPr>
                <w:rFonts w:asciiTheme="majorBidi" w:eastAsia="Times New Roman" w:hAnsiTheme="majorBidi" w:cstheme="majorBidi"/>
                <w:color w:val="000000"/>
                <w:sz w:val="16"/>
                <w:szCs w:val="16"/>
                <w:lang w:val="en-GB" w:eastAsia="zh-CN"/>
              </w:rPr>
              <w:t>TRUE = Show-up fee</w:t>
            </w:r>
          </w:p>
        </w:tc>
        <w:tc>
          <w:tcPr>
            <w:tcW w:w="0" w:type="auto"/>
            <w:tcBorders>
              <w:top w:val="nil"/>
              <w:left w:val="nil"/>
              <w:bottom w:val="nil"/>
              <w:right w:val="nil"/>
            </w:tcBorders>
            <w:shd w:val="clear" w:color="auto" w:fill="auto"/>
            <w:noWrap/>
            <w:vAlign w:val="center"/>
            <w:hideMark/>
          </w:tcPr>
          <w:p w14:paraId="15C69FFD" w14:textId="382AA176"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0</w:t>
            </w:r>
          </w:p>
        </w:tc>
        <w:tc>
          <w:tcPr>
            <w:tcW w:w="0" w:type="auto"/>
            <w:tcBorders>
              <w:top w:val="nil"/>
              <w:left w:val="nil"/>
              <w:bottom w:val="nil"/>
              <w:right w:val="nil"/>
            </w:tcBorders>
            <w:vAlign w:val="center"/>
          </w:tcPr>
          <w:p w14:paraId="121383BB" w14:textId="4FBD54E0" w:rsidR="00DF007B" w:rsidRDefault="00DF007B" w:rsidP="0017707B">
            <w:pPr>
              <w:spacing w:line="240" w:lineRule="auto"/>
              <w:ind w:left="170" w:hanging="170"/>
              <w:rPr>
                <w:rFonts w:asciiTheme="majorBidi" w:eastAsia="Times New Roman" w:hAnsiTheme="majorBidi" w:cstheme="majorBidi"/>
                <w:color w:val="000000"/>
                <w:sz w:val="16"/>
                <w:szCs w:val="16"/>
                <w:lang w:val="en-GB" w:eastAsia="zh-CN"/>
              </w:rPr>
            </w:pPr>
            <w:r w:rsidRPr="00060564">
              <w:rPr>
                <w:rFonts w:asciiTheme="majorBidi" w:eastAsia="Times New Roman" w:hAnsiTheme="majorBidi" w:cstheme="majorBidi"/>
                <w:color w:val="000000"/>
                <w:sz w:val="16"/>
                <w:szCs w:val="16"/>
                <w:lang w:val="en-GB" w:eastAsia="zh-CN"/>
              </w:rPr>
              <w:t>FALSE = No show-up fee</w:t>
            </w:r>
          </w:p>
        </w:tc>
        <w:tc>
          <w:tcPr>
            <w:tcW w:w="0" w:type="auto"/>
            <w:tcBorders>
              <w:top w:val="nil"/>
              <w:left w:val="nil"/>
              <w:bottom w:val="nil"/>
              <w:right w:val="nil"/>
            </w:tcBorders>
            <w:shd w:val="clear" w:color="auto" w:fill="auto"/>
            <w:noWrap/>
            <w:vAlign w:val="center"/>
            <w:hideMark/>
          </w:tcPr>
          <w:p w14:paraId="7FF46BB2" w14:textId="4BC650B8"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c>
          <w:tcPr>
            <w:tcW w:w="0" w:type="auto"/>
            <w:tcBorders>
              <w:top w:val="nil"/>
              <w:left w:val="nil"/>
              <w:bottom w:val="nil"/>
              <w:right w:val="nil"/>
            </w:tcBorders>
            <w:vAlign w:val="center"/>
          </w:tcPr>
          <w:p w14:paraId="64CE506A" w14:textId="19FDB2E2" w:rsidR="00DF007B"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r>
      <w:tr w:rsidR="00513A2C" w:rsidRPr="00324B90" w14:paraId="715A364F" w14:textId="59EFD4F6" w:rsidTr="007C08B9">
        <w:trPr>
          <w:trHeight w:val="250"/>
        </w:trPr>
        <w:tc>
          <w:tcPr>
            <w:tcW w:w="0" w:type="auto"/>
            <w:tcBorders>
              <w:top w:val="nil"/>
              <w:left w:val="nil"/>
              <w:bottom w:val="nil"/>
              <w:right w:val="nil"/>
            </w:tcBorders>
            <w:shd w:val="clear" w:color="auto" w:fill="auto"/>
            <w:noWrap/>
            <w:vAlign w:val="center"/>
            <w:hideMark/>
          </w:tcPr>
          <w:p w14:paraId="1C42C72C" w14:textId="77777777" w:rsidR="00DF007B" w:rsidRPr="00324B90" w:rsidRDefault="00DF007B" w:rsidP="00DE2B6F">
            <w:pPr>
              <w:spacing w:line="240" w:lineRule="auto"/>
              <w:ind w:firstLineChars="200" w:firstLine="32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Game payment</w:t>
            </w:r>
          </w:p>
        </w:tc>
        <w:tc>
          <w:tcPr>
            <w:tcW w:w="0" w:type="auto"/>
            <w:tcBorders>
              <w:top w:val="nil"/>
              <w:left w:val="nil"/>
              <w:bottom w:val="nil"/>
              <w:right w:val="nil"/>
            </w:tcBorders>
            <w:shd w:val="clear" w:color="auto" w:fill="auto"/>
            <w:noWrap/>
            <w:vAlign w:val="center"/>
            <w:hideMark/>
          </w:tcPr>
          <w:p w14:paraId="6035772C" w14:textId="77777777" w:rsidR="0017707B" w:rsidRDefault="00DF007B" w:rsidP="0017707B">
            <w:pPr>
              <w:spacing w:line="240" w:lineRule="auto"/>
              <w:jc w:val="center"/>
              <w:rPr>
                <w:rFonts w:asciiTheme="majorBidi" w:eastAsiaTheme="minorEastAsia"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 xml:space="preserve">Monetary </w:t>
            </w:r>
            <w:r>
              <w:rPr>
                <w:rFonts w:asciiTheme="majorBidi" w:eastAsia="Times New Roman" w:hAnsiTheme="majorBidi" w:cstheme="majorBidi"/>
                <w:color w:val="000000"/>
                <w:sz w:val="16"/>
                <w:szCs w:val="16"/>
                <w:lang w:val="en-GB" w:eastAsia="zh-CN"/>
              </w:rPr>
              <w:t>or</w:t>
            </w:r>
            <w:r w:rsidRPr="00324B90">
              <w:rPr>
                <w:rFonts w:asciiTheme="majorBidi" w:eastAsia="Times New Roman" w:hAnsiTheme="majorBidi" w:cstheme="majorBidi"/>
                <w:color w:val="000000"/>
                <w:sz w:val="16"/>
                <w:szCs w:val="16"/>
                <w:lang w:val="en-GB" w:eastAsia="zh-CN"/>
              </w:rPr>
              <w:t xml:space="preserve"> Non-</w:t>
            </w:r>
          </w:p>
          <w:p w14:paraId="2749ABBC" w14:textId="05671FA4" w:rsidR="00DF007B" w:rsidRPr="0017707B" w:rsidRDefault="00DF007B" w:rsidP="0017707B">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 xml:space="preserve">monetary </w:t>
            </w:r>
            <w:r>
              <w:rPr>
                <w:rFonts w:asciiTheme="majorBidi" w:eastAsia="Times New Roman" w:hAnsiTheme="majorBidi" w:cstheme="majorBidi"/>
                <w:color w:val="000000"/>
                <w:sz w:val="16"/>
                <w:szCs w:val="16"/>
                <w:lang w:val="en-GB" w:eastAsia="zh-CN"/>
              </w:rPr>
              <w:t>m</w:t>
            </w:r>
            <w:r w:rsidRPr="00324B90">
              <w:rPr>
                <w:rFonts w:asciiTheme="majorBidi" w:eastAsia="Times New Roman" w:hAnsiTheme="majorBidi" w:cstheme="majorBidi"/>
                <w:color w:val="000000"/>
                <w:sz w:val="16"/>
                <w:szCs w:val="16"/>
                <w:lang w:val="en-GB" w:eastAsia="zh-CN"/>
              </w:rPr>
              <w:t>aterial</w:t>
            </w:r>
          </w:p>
        </w:tc>
        <w:tc>
          <w:tcPr>
            <w:tcW w:w="0" w:type="auto"/>
            <w:tcBorders>
              <w:top w:val="nil"/>
              <w:left w:val="nil"/>
              <w:bottom w:val="nil"/>
              <w:right w:val="nil"/>
            </w:tcBorders>
            <w:vAlign w:val="center"/>
          </w:tcPr>
          <w:p w14:paraId="256EB226" w14:textId="145B1C22" w:rsidR="00DF007B" w:rsidRDefault="00DF007B" w:rsidP="0017707B">
            <w:pPr>
              <w:spacing w:line="240" w:lineRule="auto"/>
              <w:ind w:left="170" w:hanging="170"/>
              <w:rPr>
                <w:rFonts w:asciiTheme="majorBidi" w:eastAsia="Times New Roman" w:hAnsiTheme="majorBidi" w:cstheme="majorBidi"/>
                <w:color w:val="000000"/>
                <w:sz w:val="16"/>
                <w:szCs w:val="16"/>
                <w:lang w:val="en-GB" w:eastAsia="zh-CN"/>
              </w:rPr>
            </w:pPr>
            <w:r w:rsidRPr="00A26F5F">
              <w:rPr>
                <w:rFonts w:asciiTheme="majorBidi" w:eastAsia="Times New Roman" w:hAnsiTheme="majorBidi" w:cstheme="majorBidi"/>
                <w:color w:val="000000"/>
                <w:sz w:val="16"/>
                <w:szCs w:val="16"/>
                <w:lang w:val="en-GB" w:eastAsia="zh-CN"/>
              </w:rPr>
              <w:t>Monetary: Decisions in the game resulted in monetary outcomes, often converted from game points</w:t>
            </w:r>
          </w:p>
          <w:p w14:paraId="241CB379" w14:textId="155CBAAC" w:rsidR="00DF007B" w:rsidRPr="00324B90" w:rsidRDefault="00DF007B" w:rsidP="0017707B">
            <w:pPr>
              <w:spacing w:line="240" w:lineRule="auto"/>
              <w:ind w:left="170" w:hanging="170"/>
              <w:rPr>
                <w:rFonts w:asciiTheme="majorBidi" w:eastAsia="Times New Roman" w:hAnsiTheme="majorBidi" w:cstheme="majorBidi"/>
                <w:color w:val="000000"/>
                <w:sz w:val="16"/>
                <w:szCs w:val="16"/>
                <w:lang w:val="en-GB" w:eastAsia="zh-CN"/>
              </w:rPr>
            </w:pPr>
            <w:r w:rsidRPr="00A26F5F">
              <w:rPr>
                <w:rFonts w:asciiTheme="majorBidi" w:eastAsia="Times New Roman" w:hAnsiTheme="majorBidi" w:cstheme="majorBidi"/>
                <w:color w:val="000000"/>
                <w:sz w:val="16"/>
                <w:szCs w:val="16"/>
                <w:lang w:val="en-GB" w:eastAsia="zh-CN"/>
              </w:rPr>
              <w:t>Non-monetary Material: Decisions in the game resulted in outcomes involving some amount of other (non-monetary) material resource (e.g., candies, school supplies)</w:t>
            </w:r>
          </w:p>
        </w:tc>
        <w:tc>
          <w:tcPr>
            <w:tcW w:w="0" w:type="auto"/>
            <w:tcBorders>
              <w:top w:val="nil"/>
              <w:left w:val="nil"/>
              <w:bottom w:val="nil"/>
              <w:right w:val="nil"/>
            </w:tcBorders>
            <w:shd w:val="clear" w:color="auto" w:fill="auto"/>
            <w:noWrap/>
            <w:vAlign w:val="center"/>
            <w:hideMark/>
          </w:tcPr>
          <w:p w14:paraId="504E109B" w14:textId="2E4EE7BB"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Hypothetical</w:t>
            </w:r>
          </w:p>
        </w:tc>
        <w:tc>
          <w:tcPr>
            <w:tcW w:w="0" w:type="auto"/>
            <w:tcBorders>
              <w:top w:val="nil"/>
              <w:left w:val="nil"/>
              <w:bottom w:val="nil"/>
              <w:right w:val="nil"/>
            </w:tcBorders>
            <w:vAlign w:val="center"/>
          </w:tcPr>
          <w:p w14:paraId="599A86FF" w14:textId="61DCDEB1" w:rsidR="00DF007B" w:rsidRDefault="00DF007B" w:rsidP="0017707B">
            <w:pPr>
              <w:spacing w:line="240" w:lineRule="auto"/>
              <w:ind w:left="170" w:hanging="170"/>
              <w:rPr>
                <w:rFonts w:asciiTheme="majorBidi" w:eastAsia="Times New Roman" w:hAnsiTheme="majorBidi" w:cstheme="majorBidi"/>
                <w:color w:val="000000"/>
                <w:sz w:val="16"/>
                <w:szCs w:val="16"/>
                <w:lang w:val="en-GB" w:eastAsia="zh-CN"/>
              </w:rPr>
            </w:pPr>
            <w:r w:rsidRPr="00A26F5F">
              <w:rPr>
                <w:rFonts w:asciiTheme="majorBidi" w:eastAsia="Times New Roman" w:hAnsiTheme="majorBidi" w:cstheme="majorBidi"/>
                <w:color w:val="000000"/>
                <w:sz w:val="16"/>
                <w:szCs w:val="16"/>
                <w:lang w:val="en-GB" w:eastAsia="zh-CN"/>
              </w:rPr>
              <w:t>Decisions in the game resulted in outcomes with hypothetical value for participants (e.g., points)</w:t>
            </w:r>
          </w:p>
        </w:tc>
        <w:tc>
          <w:tcPr>
            <w:tcW w:w="0" w:type="auto"/>
            <w:tcBorders>
              <w:top w:val="nil"/>
              <w:left w:val="nil"/>
              <w:bottom w:val="nil"/>
              <w:right w:val="nil"/>
            </w:tcBorders>
            <w:shd w:val="clear" w:color="auto" w:fill="auto"/>
            <w:noWrap/>
            <w:vAlign w:val="center"/>
            <w:hideMark/>
          </w:tcPr>
          <w:p w14:paraId="5DDFE4D2" w14:textId="11B14B18"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c>
          <w:tcPr>
            <w:tcW w:w="0" w:type="auto"/>
            <w:tcBorders>
              <w:top w:val="nil"/>
              <w:left w:val="nil"/>
              <w:bottom w:val="nil"/>
              <w:right w:val="nil"/>
            </w:tcBorders>
            <w:vAlign w:val="center"/>
          </w:tcPr>
          <w:p w14:paraId="60C9D521" w14:textId="16EE8238" w:rsidR="00DF007B"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r>
      <w:tr w:rsidR="00513A2C" w:rsidRPr="00324B90" w14:paraId="379FEA51" w14:textId="3A02452E" w:rsidTr="007C08B9">
        <w:trPr>
          <w:trHeight w:val="250"/>
        </w:trPr>
        <w:tc>
          <w:tcPr>
            <w:tcW w:w="0" w:type="auto"/>
            <w:tcBorders>
              <w:top w:val="nil"/>
              <w:left w:val="nil"/>
              <w:bottom w:val="nil"/>
              <w:right w:val="nil"/>
            </w:tcBorders>
            <w:shd w:val="clear" w:color="auto" w:fill="auto"/>
            <w:noWrap/>
            <w:vAlign w:val="center"/>
            <w:hideMark/>
          </w:tcPr>
          <w:p w14:paraId="2CE275BA" w14:textId="77777777" w:rsidR="00DF007B" w:rsidRPr="00324B90" w:rsidRDefault="00DF007B" w:rsidP="00DE2B6F">
            <w:pPr>
              <w:spacing w:line="240" w:lineRule="auto"/>
              <w:ind w:firstLineChars="100" w:firstLine="16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Symmetry</w:t>
            </w:r>
          </w:p>
        </w:tc>
        <w:tc>
          <w:tcPr>
            <w:tcW w:w="0" w:type="auto"/>
            <w:tcBorders>
              <w:top w:val="nil"/>
              <w:left w:val="nil"/>
              <w:bottom w:val="nil"/>
              <w:right w:val="nil"/>
            </w:tcBorders>
            <w:shd w:val="clear" w:color="auto" w:fill="auto"/>
            <w:noWrap/>
            <w:vAlign w:val="center"/>
            <w:hideMark/>
          </w:tcPr>
          <w:p w14:paraId="5127421F" w14:textId="77777777"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1</w:t>
            </w:r>
          </w:p>
        </w:tc>
        <w:tc>
          <w:tcPr>
            <w:tcW w:w="0" w:type="auto"/>
            <w:tcBorders>
              <w:top w:val="nil"/>
              <w:left w:val="nil"/>
              <w:bottom w:val="nil"/>
              <w:right w:val="nil"/>
            </w:tcBorders>
            <w:vAlign w:val="center"/>
          </w:tcPr>
          <w:p w14:paraId="22534C57" w14:textId="177B3905" w:rsidR="00DF007B" w:rsidRPr="00324B90" w:rsidRDefault="00DF007B" w:rsidP="0017707B">
            <w:pPr>
              <w:spacing w:line="240" w:lineRule="auto"/>
              <w:ind w:left="170" w:hanging="170"/>
              <w:rPr>
                <w:rFonts w:asciiTheme="majorBidi" w:eastAsia="Times New Roman" w:hAnsiTheme="majorBidi" w:cstheme="majorBidi"/>
                <w:color w:val="000000"/>
                <w:sz w:val="16"/>
                <w:szCs w:val="16"/>
                <w:lang w:val="en-GB" w:eastAsia="zh-CN"/>
              </w:rPr>
            </w:pPr>
            <w:r w:rsidRPr="00A26F5F">
              <w:rPr>
                <w:rFonts w:asciiTheme="majorBidi" w:eastAsia="Times New Roman" w:hAnsiTheme="majorBidi" w:cstheme="majorBidi"/>
                <w:color w:val="000000"/>
                <w:sz w:val="16"/>
                <w:szCs w:val="16"/>
                <w:lang w:val="en-GB" w:eastAsia="zh-CN"/>
              </w:rPr>
              <w:t>TRUE = Symmetric</w:t>
            </w:r>
          </w:p>
        </w:tc>
        <w:tc>
          <w:tcPr>
            <w:tcW w:w="0" w:type="auto"/>
            <w:tcBorders>
              <w:top w:val="nil"/>
              <w:left w:val="nil"/>
              <w:bottom w:val="nil"/>
              <w:right w:val="nil"/>
            </w:tcBorders>
            <w:shd w:val="clear" w:color="auto" w:fill="auto"/>
            <w:noWrap/>
            <w:vAlign w:val="center"/>
            <w:hideMark/>
          </w:tcPr>
          <w:p w14:paraId="6A2091C0" w14:textId="7C1DE7D2"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0</w:t>
            </w:r>
          </w:p>
        </w:tc>
        <w:tc>
          <w:tcPr>
            <w:tcW w:w="0" w:type="auto"/>
            <w:tcBorders>
              <w:top w:val="nil"/>
              <w:left w:val="nil"/>
              <w:bottom w:val="nil"/>
              <w:right w:val="nil"/>
            </w:tcBorders>
            <w:vAlign w:val="center"/>
          </w:tcPr>
          <w:p w14:paraId="7DD69740" w14:textId="187D283A" w:rsidR="00DF007B" w:rsidRDefault="00DF007B" w:rsidP="0017707B">
            <w:pPr>
              <w:spacing w:line="240" w:lineRule="auto"/>
              <w:ind w:left="170" w:hanging="170"/>
              <w:rPr>
                <w:rFonts w:asciiTheme="majorBidi" w:eastAsia="Times New Roman" w:hAnsiTheme="majorBidi" w:cstheme="majorBidi"/>
                <w:color w:val="000000"/>
                <w:sz w:val="16"/>
                <w:szCs w:val="16"/>
                <w:lang w:val="en-GB" w:eastAsia="zh-CN"/>
              </w:rPr>
            </w:pPr>
            <w:r w:rsidRPr="00D615ED">
              <w:rPr>
                <w:rFonts w:asciiTheme="majorBidi" w:eastAsia="Times New Roman" w:hAnsiTheme="majorBidi" w:cstheme="majorBidi"/>
                <w:color w:val="000000"/>
                <w:sz w:val="16"/>
                <w:szCs w:val="16"/>
                <w:lang w:val="en-GB" w:eastAsia="zh-CN"/>
              </w:rPr>
              <w:t>FALSE = Asymmetric</w:t>
            </w:r>
          </w:p>
        </w:tc>
        <w:tc>
          <w:tcPr>
            <w:tcW w:w="0" w:type="auto"/>
            <w:tcBorders>
              <w:top w:val="nil"/>
              <w:left w:val="nil"/>
              <w:bottom w:val="nil"/>
              <w:right w:val="nil"/>
            </w:tcBorders>
            <w:shd w:val="clear" w:color="auto" w:fill="auto"/>
            <w:noWrap/>
            <w:vAlign w:val="center"/>
            <w:hideMark/>
          </w:tcPr>
          <w:p w14:paraId="7E846191" w14:textId="1839D615"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c>
          <w:tcPr>
            <w:tcW w:w="0" w:type="auto"/>
            <w:tcBorders>
              <w:top w:val="nil"/>
              <w:left w:val="nil"/>
              <w:bottom w:val="nil"/>
              <w:right w:val="nil"/>
            </w:tcBorders>
            <w:vAlign w:val="center"/>
          </w:tcPr>
          <w:p w14:paraId="0424C8A9" w14:textId="6B634191" w:rsidR="00DF007B"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r>
      <w:tr w:rsidR="00513A2C" w:rsidRPr="00324B90" w14:paraId="286E7F4B" w14:textId="1232B1CC" w:rsidTr="007C08B9">
        <w:trPr>
          <w:trHeight w:val="250"/>
        </w:trPr>
        <w:tc>
          <w:tcPr>
            <w:tcW w:w="0" w:type="auto"/>
            <w:tcBorders>
              <w:top w:val="nil"/>
              <w:left w:val="nil"/>
              <w:bottom w:val="nil"/>
              <w:right w:val="nil"/>
            </w:tcBorders>
            <w:shd w:val="clear" w:color="auto" w:fill="auto"/>
            <w:noWrap/>
            <w:vAlign w:val="center"/>
            <w:hideMark/>
          </w:tcPr>
          <w:p w14:paraId="0CECFBF9" w14:textId="77777777" w:rsidR="00DF007B" w:rsidRPr="00324B90" w:rsidRDefault="00DF007B" w:rsidP="00DE2B6F">
            <w:pPr>
              <w:spacing w:line="240" w:lineRule="auto"/>
              <w:ind w:firstLineChars="100" w:firstLine="16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Sanction</w:t>
            </w:r>
          </w:p>
        </w:tc>
        <w:tc>
          <w:tcPr>
            <w:tcW w:w="0" w:type="auto"/>
            <w:tcBorders>
              <w:top w:val="nil"/>
              <w:left w:val="nil"/>
              <w:bottom w:val="nil"/>
              <w:right w:val="nil"/>
            </w:tcBorders>
            <w:shd w:val="clear" w:color="auto" w:fill="auto"/>
            <w:noWrap/>
            <w:vAlign w:val="center"/>
            <w:hideMark/>
          </w:tcPr>
          <w:p w14:paraId="42298F15" w14:textId="77777777" w:rsidR="00DF007B" w:rsidRPr="00324B90" w:rsidRDefault="00DF007B" w:rsidP="00DE2B6F">
            <w:pPr>
              <w:spacing w:line="240" w:lineRule="auto"/>
              <w:jc w:val="center"/>
              <w:rPr>
                <w:rFonts w:asciiTheme="majorBidi" w:eastAsia="Times New Roman" w:hAnsiTheme="majorBidi" w:cstheme="majorBidi"/>
                <w:sz w:val="16"/>
                <w:szCs w:val="16"/>
                <w:lang w:val="en-GB" w:eastAsia="zh-CN"/>
              </w:rPr>
            </w:pPr>
          </w:p>
        </w:tc>
        <w:tc>
          <w:tcPr>
            <w:tcW w:w="0" w:type="auto"/>
            <w:tcBorders>
              <w:top w:val="nil"/>
              <w:left w:val="nil"/>
              <w:bottom w:val="nil"/>
              <w:right w:val="nil"/>
            </w:tcBorders>
            <w:vAlign w:val="center"/>
          </w:tcPr>
          <w:p w14:paraId="6FCBA054" w14:textId="77777777" w:rsidR="00DF007B" w:rsidRPr="00324B90" w:rsidRDefault="00DF007B" w:rsidP="0017707B">
            <w:pPr>
              <w:spacing w:line="240" w:lineRule="auto"/>
              <w:ind w:left="170" w:hanging="170"/>
              <w:rPr>
                <w:rFonts w:asciiTheme="majorBidi" w:eastAsia="Times New Roman" w:hAnsiTheme="majorBidi" w:cstheme="majorBidi"/>
                <w:sz w:val="16"/>
                <w:szCs w:val="16"/>
                <w:lang w:val="en-GB" w:eastAsia="zh-CN"/>
              </w:rPr>
            </w:pPr>
          </w:p>
        </w:tc>
        <w:tc>
          <w:tcPr>
            <w:tcW w:w="0" w:type="auto"/>
            <w:tcBorders>
              <w:top w:val="nil"/>
              <w:left w:val="nil"/>
              <w:bottom w:val="nil"/>
              <w:right w:val="nil"/>
            </w:tcBorders>
            <w:shd w:val="clear" w:color="auto" w:fill="auto"/>
            <w:noWrap/>
            <w:vAlign w:val="center"/>
            <w:hideMark/>
          </w:tcPr>
          <w:p w14:paraId="4F62ECD9" w14:textId="70A4728E" w:rsidR="00DF007B" w:rsidRPr="00324B90" w:rsidRDefault="00DF007B" w:rsidP="00DE2B6F">
            <w:pPr>
              <w:spacing w:line="240" w:lineRule="auto"/>
              <w:jc w:val="center"/>
              <w:rPr>
                <w:rFonts w:asciiTheme="majorBidi" w:eastAsia="Times New Roman" w:hAnsiTheme="majorBidi" w:cstheme="majorBidi"/>
                <w:sz w:val="16"/>
                <w:szCs w:val="16"/>
                <w:lang w:val="en-GB" w:eastAsia="zh-CN"/>
              </w:rPr>
            </w:pPr>
          </w:p>
        </w:tc>
        <w:tc>
          <w:tcPr>
            <w:tcW w:w="0" w:type="auto"/>
            <w:tcBorders>
              <w:top w:val="nil"/>
              <w:left w:val="nil"/>
              <w:bottom w:val="nil"/>
              <w:right w:val="nil"/>
            </w:tcBorders>
            <w:vAlign w:val="center"/>
          </w:tcPr>
          <w:p w14:paraId="3191F3DB" w14:textId="77777777" w:rsidR="00DF007B" w:rsidRPr="00324B90" w:rsidRDefault="00DF007B" w:rsidP="0017707B">
            <w:pPr>
              <w:spacing w:line="240" w:lineRule="auto"/>
              <w:ind w:left="170" w:hanging="170"/>
              <w:rPr>
                <w:rFonts w:asciiTheme="majorBidi" w:eastAsia="Times New Roman" w:hAnsiTheme="majorBidi" w:cstheme="majorBidi"/>
                <w:sz w:val="16"/>
                <w:szCs w:val="16"/>
                <w:lang w:val="en-GB" w:eastAsia="zh-CN"/>
              </w:rPr>
            </w:pPr>
          </w:p>
        </w:tc>
        <w:tc>
          <w:tcPr>
            <w:tcW w:w="0" w:type="auto"/>
            <w:tcBorders>
              <w:top w:val="nil"/>
              <w:left w:val="nil"/>
              <w:bottom w:val="nil"/>
              <w:right w:val="nil"/>
            </w:tcBorders>
            <w:shd w:val="clear" w:color="auto" w:fill="auto"/>
            <w:noWrap/>
            <w:vAlign w:val="center"/>
            <w:hideMark/>
          </w:tcPr>
          <w:p w14:paraId="212520F8" w14:textId="2C757839" w:rsidR="00DF007B" w:rsidRPr="00324B90" w:rsidRDefault="00DF007B" w:rsidP="00DE2B6F">
            <w:pPr>
              <w:spacing w:line="240" w:lineRule="auto"/>
              <w:jc w:val="center"/>
              <w:rPr>
                <w:rFonts w:asciiTheme="majorBidi" w:eastAsia="Times New Roman" w:hAnsiTheme="majorBidi" w:cstheme="majorBidi"/>
                <w:sz w:val="16"/>
                <w:szCs w:val="16"/>
                <w:lang w:val="en-GB" w:eastAsia="zh-CN"/>
              </w:rPr>
            </w:pPr>
          </w:p>
        </w:tc>
        <w:tc>
          <w:tcPr>
            <w:tcW w:w="0" w:type="auto"/>
            <w:tcBorders>
              <w:top w:val="nil"/>
              <w:left w:val="nil"/>
              <w:bottom w:val="nil"/>
              <w:right w:val="nil"/>
            </w:tcBorders>
            <w:vAlign w:val="center"/>
          </w:tcPr>
          <w:p w14:paraId="3DDB8DA4" w14:textId="77777777" w:rsidR="00DF007B" w:rsidRPr="00324B90" w:rsidRDefault="00DF007B" w:rsidP="00DE2B6F">
            <w:pPr>
              <w:spacing w:line="240" w:lineRule="auto"/>
              <w:jc w:val="center"/>
              <w:rPr>
                <w:rFonts w:asciiTheme="majorBidi" w:eastAsia="Times New Roman" w:hAnsiTheme="majorBidi" w:cstheme="majorBidi"/>
                <w:sz w:val="16"/>
                <w:szCs w:val="16"/>
                <w:lang w:val="en-GB" w:eastAsia="zh-CN"/>
              </w:rPr>
            </w:pPr>
          </w:p>
        </w:tc>
      </w:tr>
      <w:tr w:rsidR="00513A2C" w:rsidRPr="00324B90" w14:paraId="2D29119E" w14:textId="2AD59EB3" w:rsidTr="007C08B9">
        <w:trPr>
          <w:trHeight w:val="250"/>
        </w:trPr>
        <w:tc>
          <w:tcPr>
            <w:tcW w:w="0" w:type="auto"/>
            <w:tcBorders>
              <w:top w:val="nil"/>
              <w:left w:val="nil"/>
              <w:bottom w:val="nil"/>
              <w:right w:val="nil"/>
            </w:tcBorders>
            <w:shd w:val="clear" w:color="auto" w:fill="auto"/>
            <w:noWrap/>
            <w:vAlign w:val="center"/>
            <w:hideMark/>
          </w:tcPr>
          <w:p w14:paraId="321638BD" w14:textId="77777777" w:rsidR="00DF007B" w:rsidRPr="00324B90" w:rsidRDefault="00DF007B" w:rsidP="00DE2B6F">
            <w:pPr>
              <w:spacing w:line="240" w:lineRule="auto"/>
              <w:ind w:firstLineChars="200" w:firstLine="32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Punishment</w:t>
            </w:r>
          </w:p>
        </w:tc>
        <w:tc>
          <w:tcPr>
            <w:tcW w:w="0" w:type="auto"/>
            <w:tcBorders>
              <w:top w:val="nil"/>
              <w:left w:val="nil"/>
              <w:bottom w:val="nil"/>
              <w:right w:val="nil"/>
            </w:tcBorders>
            <w:shd w:val="clear" w:color="auto" w:fill="auto"/>
            <w:noWrap/>
            <w:vAlign w:val="center"/>
            <w:hideMark/>
          </w:tcPr>
          <w:p w14:paraId="5AC1EA61" w14:textId="77777777"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1</w:t>
            </w:r>
          </w:p>
        </w:tc>
        <w:tc>
          <w:tcPr>
            <w:tcW w:w="0" w:type="auto"/>
            <w:tcBorders>
              <w:top w:val="nil"/>
              <w:left w:val="nil"/>
              <w:bottom w:val="nil"/>
              <w:right w:val="nil"/>
            </w:tcBorders>
            <w:vAlign w:val="center"/>
          </w:tcPr>
          <w:p w14:paraId="38AAA5C5" w14:textId="36F1F441" w:rsidR="00DF007B" w:rsidRPr="00324B90" w:rsidRDefault="00DF007B" w:rsidP="0017707B">
            <w:pPr>
              <w:spacing w:line="240" w:lineRule="auto"/>
              <w:ind w:left="170" w:hanging="170"/>
              <w:rPr>
                <w:rFonts w:asciiTheme="majorBidi" w:eastAsia="Times New Roman" w:hAnsiTheme="majorBidi" w:cstheme="majorBidi"/>
                <w:color w:val="000000"/>
                <w:sz w:val="16"/>
                <w:szCs w:val="16"/>
                <w:lang w:val="en-GB" w:eastAsia="zh-CN"/>
              </w:rPr>
            </w:pPr>
            <w:r w:rsidRPr="00A31A18">
              <w:rPr>
                <w:rFonts w:asciiTheme="majorBidi" w:eastAsia="Times New Roman" w:hAnsiTheme="majorBidi" w:cstheme="majorBidi"/>
                <w:color w:val="000000"/>
                <w:sz w:val="16"/>
                <w:szCs w:val="16"/>
                <w:lang w:val="en-GB" w:eastAsia="zh-CN"/>
              </w:rPr>
              <w:t>The punishment treatment</w:t>
            </w:r>
          </w:p>
        </w:tc>
        <w:tc>
          <w:tcPr>
            <w:tcW w:w="0" w:type="auto"/>
            <w:tcBorders>
              <w:top w:val="nil"/>
              <w:left w:val="nil"/>
              <w:bottom w:val="nil"/>
              <w:right w:val="nil"/>
            </w:tcBorders>
            <w:shd w:val="clear" w:color="auto" w:fill="auto"/>
            <w:noWrap/>
            <w:vAlign w:val="center"/>
            <w:hideMark/>
          </w:tcPr>
          <w:p w14:paraId="5C497004" w14:textId="71D2A256"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–1</w:t>
            </w:r>
          </w:p>
        </w:tc>
        <w:tc>
          <w:tcPr>
            <w:tcW w:w="0" w:type="auto"/>
            <w:tcBorders>
              <w:top w:val="nil"/>
              <w:left w:val="nil"/>
              <w:bottom w:val="nil"/>
              <w:right w:val="nil"/>
            </w:tcBorders>
            <w:vAlign w:val="center"/>
          </w:tcPr>
          <w:p w14:paraId="3973377B" w14:textId="3AE8C83B" w:rsidR="00DF007B" w:rsidRDefault="00DF007B" w:rsidP="0017707B">
            <w:pPr>
              <w:spacing w:line="240" w:lineRule="auto"/>
              <w:ind w:left="170" w:hanging="170"/>
              <w:rPr>
                <w:rFonts w:asciiTheme="majorBidi" w:eastAsia="Times New Roman" w:hAnsiTheme="majorBidi" w:cstheme="majorBidi"/>
                <w:color w:val="000000"/>
                <w:sz w:val="16"/>
                <w:szCs w:val="16"/>
                <w:lang w:val="en-GB" w:eastAsia="zh-CN"/>
              </w:rPr>
            </w:pPr>
            <w:r w:rsidRPr="00A31A18">
              <w:rPr>
                <w:rFonts w:asciiTheme="majorBidi" w:eastAsia="Times New Roman" w:hAnsiTheme="majorBidi" w:cstheme="majorBidi"/>
                <w:color w:val="000000"/>
                <w:sz w:val="16"/>
                <w:szCs w:val="16"/>
                <w:lang w:val="en-GB" w:eastAsia="zh-CN"/>
              </w:rPr>
              <w:t xml:space="preserve">The baseline treatment. This is the treatment compared against any treatment coded as punishment treatment (= 1 identifies the punishment effect). This means that the treatment is equal to the punishment treatment, except for the availability of </w:t>
            </w:r>
            <w:r w:rsidRPr="00A31A18">
              <w:rPr>
                <w:rFonts w:asciiTheme="majorBidi" w:eastAsia="Times New Roman" w:hAnsiTheme="majorBidi" w:cstheme="majorBidi"/>
                <w:color w:val="000000"/>
                <w:sz w:val="16"/>
                <w:szCs w:val="16"/>
                <w:lang w:val="en-GB" w:eastAsia="zh-CN"/>
              </w:rPr>
              <w:lastRenderedPageBreak/>
              <w:t>punishment (which includes other concepts that are part of punishment, such as punishment effectiveness, etc.)</w:t>
            </w:r>
          </w:p>
        </w:tc>
        <w:tc>
          <w:tcPr>
            <w:tcW w:w="0" w:type="auto"/>
            <w:tcBorders>
              <w:top w:val="nil"/>
              <w:left w:val="nil"/>
              <w:bottom w:val="nil"/>
              <w:right w:val="nil"/>
            </w:tcBorders>
            <w:shd w:val="clear" w:color="auto" w:fill="auto"/>
            <w:noWrap/>
            <w:vAlign w:val="center"/>
            <w:hideMark/>
          </w:tcPr>
          <w:p w14:paraId="085B2F0F" w14:textId="4744E788"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lastRenderedPageBreak/>
              <w:t>/</w:t>
            </w:r>
          </w:p>
        </w:tc>
        <w:tc>
          <w:tcPr>
            <w:tcW w:w="0" w:type="auto"/>
            <w:tcBorders>
              <w:top w:val="nil"/>
              <w:left w:val="nil"/>
              <w:bottom w:val="nil"/>
              <w:right w:val="nil"/>
            </w:tcBorders>
            <w:vAlign w:val="center"/>
          </w:tcPr>
          <w:p w14:paraId="603615DD" w14:textId="1F5C5A5F" w:rsidR="00DF007B"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r>
      <w:tr w:rsidR="00513A2C" w:rsidRPr="00324B90" w14:paraId="6034EC97" w14:textId="15F19B26" w:rsidTr="007C08B9">
        <w:trPr>
          <w:trHeight w:val="250"/>
        </w:trPr>
        <w:tc>
          <w:tcPr>
            <w:tcW w:w="0" w:type="auto"/>
            <w:tcBorders>
              <w:top w:val="nil"/>
              <w:left w:val="nil"/>
              <w:bottom w:val="nil"/>
              <w:right w:val="nil"/>
            </w:tcBorders>
            <w:shd w:val="clear" w:color="auto" w:fill="auto"/>
            <w:noWrap/>
            <w:vAlign w:val="center"/>
            <w:hideMark/>
          </w:tcPr>
          <w:p w14:paraId="1B959299" w14:textId="77777777" w:rsidR="00DF007B" w:rsidRPr="00324B90" w:rsidRDefault="00DF007B" w:rsidP="00DE2B6F">
            <w:pPr>
              <w:spacing w:line="240" w:lineRule="auto"/>
              <w:ind w:firstLineChars="200" w:firstLine="32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Reward</w:t>
            </w:r>
          </w:p>
        </w:tc>
        <w:tc>
          <w:tcPr>
            <w:tcW w:w="0" w:type="auto"/>
            <w:tcBorders>
              <w:top w:val="nil"/>
              <w:left w:val="nil"/>
              <w:bottom w:val="nil"/>
              <w:right w:val="nil"/>
            </w:tcBorders>
            <w:shd w:val="clear" w:color="auto" w:fill="auto"/>
            <w:noWrap/>
            <w:vAlign w:val="center"/>
            <w:hideMark/>
          </w:tcPr>
          <w:p w14:paraId="7657BDBF" w14:textId="77777777"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1</w:t>
            </w:r>
          </w:p>
        </w:tc>
        <w:tc>
          <w:tcPr>
            <w:tcW w:w="0" w:type="auto"/>
            <w:tcBorders>
              <w:top w:val="nil"/>
              <w:left w:val="nil"/>
              <w:bottom w:val="nil"/>
              <w:right w:val="nil"/>
            </w:tcBorders>
            <w:vAlign w:val="center"/>
          </w:tcPr>
          <w:p w14:paraId="54E69FCD" w14:textId="4555C1A2" w:rsidR="00DF007B" w:rsidRPr="00324B90" w:rsidRDefault="00DF007B" w:rsidP="0017707B">
            <w:pPr>
              <w:spacing w:line="240" w:lineRule="auto"/>
              <w:ind w:left="170" w:hanging="170"/>
              <w:rPr>
                <w:rFonts w:asciiTheme="majorBidi" w:eastAsia="Times New Roman" w:hAnsiTheme="majorBidi" w:cstheme="majorBidi"/>
                <w:color w:val="000000"/>
                <w:sz w:val="16"/>
                <w:szCs w:val="16"/>
                <w:lang w:val="en-GB" w:eastAsia="zh-CN"/>
              </w:rPr>
            </w:pPr>
            <w:r w:rsidRPr="00DE4C5F">
              <w:rPr>
                <w:rFonts w:asciiTheme="majorBidi" w:eastAsia="Times New Roman" w:hAnsiTheme="majorBidi" w:cstheme="majorBidi"/>
                <w:color w:val="000000"/>
                <w:sz w:val="16"/>
                <w:szCs w:val="16"/>
                <w:lang w:val="en-GB" w:eastAsia="zh-CN"/>
              </w:rPr>
              <w:t>The reward treatment</w:t>
            </w:r>
          </w:p>
        </w:tc>
        <w:tc>
          <w:tcPr>
            <w:tcW w:w="0" w:type="auto"/>
            <w:tcBorders>
              <w:top w:val="nil"/>
              <w:left w:val="nil"/>
              <w:bottom w:val="nil"/>
              <w:right w:val="nil"/>
            </w:tcBorders>
            <w:shd w:val="clear" w:color="auto" w:fill="auto"/>
            <w:noWrap/>
            <w:vAlign w:val="center"/>
            <w:hideMark/>
          </w:tcPr>
          <w:p w14:paraId="1F1742D2" w14:textId="05A63908"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–1</w:t>
            </w:r>
          </w:p>
        </w:tc>
        <w:tc>
          <w:tcPr>
            <w:tcW w:w="0" w:type="auto"/>
            <w:tcBorders>
              <w:top w:val="nil"/>
              <w:left w:val="nil"/>
              <w:bottom w:val="nil"/>
              <w:right w:val="nil"/>
            </w:tcBorders>
            <w:vAlign w:val="center"/>
          </w:tcPr>
          <w:p w14:paraId="4BBE3A31" w14:textId="4A580642" w:rsidR="00DF007B" w:rsidRDefault="00DF007B" w:rsidP="0017707B">
            <w:pPr>
              <w:spacing w:line="240" w:lineRule="auto"/>
              <w:ind w:left="170" w:hanging="170"/>
              <w:rPr>
                <w:rFonts w:asciiTheme="majorBidi" w:eastAsia="Times New Roman" w:hAnsiTheme="majorBidi" w:cstheme="majorBidi"/>
                <w:color w:val="000000"/>
                <w:sz w:val="16"/>
                <w:szCs w:val="16"/>
                <w:lang w:val="en-GB" w:eastAsia="zh-CN"/>
              </w:rPr>
            </w:pPr>
            <w:r w:rsidRPr="00DE4C5F">
              <w:rPr>
                <w:rFonts w:asciiTheme="majorBidi" w:eastAsia="Times New Roman" w:hAnsiTheme="majorBidi" w:cstheme="majorBidi"/>
                <w:color w:val="000000"/>
                <w:sz w:val="16"/>
                <w:szCs w:val="16"/>
                <w:lang w:val="en-GB" w:eastAsia="zh-CN"/>
              </w:rPr>
              <w:t>The baseline treatment. This is the treatment compared against any treatment coded as reward treatment (= 1 identifies the reward effect). This means that the treatment is equal to the reward treatment, except for the availability of reward (which includes other concepts that are part of reward, such as reward effectiveness, etc.)</w:t>
            </w:r>
          </w:p>
        </w:tc>
        <w:tc>
          <w:tcPr>
            <w:tcW w:w="0" w:type="auto"/>
            <w:tcBorders>
              <w:top w:val="nil"/>
              <w:left w:val="nil"/>
              <w:bottom w:val="nil"/>
              <w:right w:val="nil"/>
            </w:tcBorders>
            <w:shd w:val="clear" w:color="auto" w:fill="auto"/>
            <w:noWrap/>
            <w:vAlign w:val="center"/>
            <w:hideMark/>
          </w:tcPr>
          <w:p w14:paraId="5A6B44A2" w14:textId="142432D1"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c>
          <w:tcPr>
            <w:tcW w:w="0" w:type="auto"/>
            <w:tcBorders>
              <w:top w:val="nil"/>
              <w:left w:val="nil"/>
              <w:bottom w:val="nil"/>
              <w:right w:val="nil"/>
            </w:tcBorders>
            <w:vAlign w:val="center"/>
          </w:tcPr>
          <w:p w14:paraId="70D9CECD" w14:textId="7310FA04" w:rsidR="00DF007B"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r>
      <w:tr w:rsidR="00513A2C" w:rsidRPr="00324B90" w14:paraId="493D09AC" w14:textId="6EDF920B" w:rsidTr="007C08B9">
        <w:trPr>
          <w:trHeight w:val="250"/>
        </w:trPr>
        <w:tc>
          <w:tcPr>
            <w:tcW w:w="0" w:type="auto"/>
            <w:tcBorders>
              <w:top w:val="nil"/>
              <w:left w:val="nil"/>
              <w:bottom w:val="nil"/>
              <w:right w:val="nil"/>
            </w:tcBorders>
            <w:shd w:val="clear" w:color="auto" w:fill="auto"/>
            <w:noWrap/>
            <w:vAlign w:val="center"/>
            <w:hideMark/>
          </w:tcPr>
          <w:p w14:paraId="696552B7" w14:textId="77777777" w:rsidR="00DF007B" w:rsidRPr="00324B90" w:rsidRDefault="00DF007B" w:rsidP="00DE2B6F">
            <w:pPr>
              <w:spacing w:line="240" w:lineRule="auto"/>
              <w:ind w:firstLineChars="100" w:firstLine="16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Matching protocol</w:t>
            </w:r>
          </w:p>
        </w:tc>
        <w:tc>
          <w:tcPr>
            <w:tcW w:w="0" w:type="auto"/>
            <w:tcBorders>
              <w:top w:val="nil"/>
              <w:left w:val="nil"/>
              <w:bottom w:val="nil"/>
              <w:right w:val="nil"/>
            </w:tcBorders>
            <w:shd w:val="clear" w:color="auto" w:fill="auto"/>
            <w:noWrap/>
            <w:vAlign w:val="center"/>
            <w:hideMark/>
          </w:tcPr>
          <w:p w14:paraId="361588FD" w14:textId="77777777"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Partner</w:t>
            </w:r>
          </w:p>
        </w:tc>
        <w:tc>
          <w:tcPr>
            <w:tcW w:w="0" w:type="auto"/>
            <w:tcBorders>
              <w:top w:val="nil"/>
              <w:left w:val="nil"/>
              <w:bottom w:val="nil"/>
              <w:right w:val="nil"/>
            </w:tcBorders>
            <w:vAlign w:val="center"/>
          </w:tcPr>
          <w:p w14:paraId="01F44E5F" w14:textId="6501D1F4" w:rsidR="00DF007B" w:rsidRPr="00324B90" w:rsidRDefault="00DF007B" w:rsidP="0017707B">
            <w:pPr>
              <w:spacing w:line="240" w:lineRule="auto"/>
              <w:ind w:left="170" w:hanging="170"/>
              <w:rPr>
                <w:rFonts w:asciiTheme="majorBidi" w:eastAsia="Times New Roman" w:hAnsiTheme="majorBidi" w:cstheme="majorBidi"/>
                <w:color w:val="000000"/>
                <w:sz w:val="16"/>
                <w:szCs w:val="16"/>
                <w:lang w:val="en-GB" w:eastAsia="zh-CN"/>
              </w:rPr>
            </w:pPr>
            <w:r w:rsidRPr="00DA6163">
              <w:rPr>
                <w:rFonts w:asciiTheme="majorBidi" w:eastAsia="Times New Roman" w:hAnsiTheme="majorBidi" w:cstheme="majorBidi"/>
                <w:color w:val="000000"/>
                <w:sz w:val="16"/>
                <w:szCs w:val="16"/>
                <w:lang w:val="en-GB" w:eastAsia="zh-CN"/>
              </w:rPr>
              <w:t>Participants interact with the same partner for multiple trials</w:t>
            </w:r>
          </w:p>
        </w:tc>
        <w:tc>
          <w:tcPr>
            <w:tcW w:w="0" w:type="auto"/>
            <w:tcBorders>
              <w:top w:val="nil"/>
              <w:left w:val="nil"/>
              <w:bottom w:val="nil"/>
              <w:right w:val="nil"/>
            </w:tcBorders>
            <w:shd w:val="clear" w:color="auto" w:fill="auto"/>
            <w:noWrap/>
            <w:vAlign w:val="center"/>
            <w:hideMark/>
          </w:tcPr>
          <w:p w14:paraId="733517E4" w14:textId="2E8D68A5"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Stranger</w:t>
            </w:r>
          </w:p>
        </w:tc>
        <w:tc>
          <w:tcPr>
            <w:tcW w:w="0" w:type="auto"/>
            <w:tcBorders>
              <w:top w:val="nil"/>
              <w:left w:val="nil"/>
              <w:bottom w:val="nil"/>
              <w:right w:val="nil"/>
            </w:tcBorders>
            <w:vAlign w:val="center"/>
          </w:tcPr>
          <w:p w14:paraId="1F9B6001" w14:textId="10B75E30" w:rsidR="00DF007B" w:rsidRDefault="00DF007B" w:rsidP="0017707B">
            <w:pPr>
              <w:spacing w:line="240" w:lineRule="auto"/>
              <w:ind w:left="170" w:hanging="170"/>
              <w:rPr>
                <w:rFonts w:asciiTheme="majorBidi" w:eastAsia="Times New Roman" w:hAnsiTheme="majorBidi" w:cstheme="majorBidi"/>
                <w:color w:val="000000"/>
                <w:sz w:val="16"/>
                <w:szCs w:val="16"/>
                <w:lang w:val="en-GB" w:eastAsia="zh-CN"/>
              </w:rPr>
            </w:pPr>
            <w:r w:rsidRPr="00DA6163">
              <w:rPr>
                <w:rFonts w:asciiTheme="majorBidi" w:eastAsia="Times New Roman" w:hAnsiTheme="majorBidi" w:cstheme="majorBidi"/>
                <w:color w:val="000000"/>
                <w:sz w:val="16"/>
                <w:szCs w:val="16"/>
                <w:lang w:val="en-GB" w:eastAsia="zh-CN"/>
              </w:rPr>
              <w:t>Participants interact with one person for one trial (i.e., one-shot), or switch partners after each trial across many trials (i.e., one-shot repeated)</w:t>
            </w:r>
          </w:p>
        </w:tc>
        <w:tc>
          <w:tcPr>
            <w:tcW w:w="0" w:type="auto"/>
            <w:tcBorders>
              <w:top w:val="nil"/>
              <w:left w:val="nil"/>
              <w:bottom w:val="nil"/>
              <w:right w:val="nil"/>
            </w:tcBorders>
            <w:shd w:val="clear" w:color="auto" w:fill="auto"/>
            <w:noWrap/>
            <w:vAlign w:val="center"/>
            <w:hideMark/>
          </w:tcPr>
          <w:p w14:paraId="56E278B1" w14:textId="5BCB4177"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c>
          <w:tcPr>
            <w:tcW w:w="0" w:type="auto"/>
            <w:tcBorders>
              <w:top w:val="nil"/>
              <w:left w:val="nil"/>
              <w:bottom w:val="nil"/>
              <w:right w:val="nil"/>
            </w:tcBorders>
            <w:vAlign w:val="center"/>
          </w:tcPr>
          <w:p w14:paraId="11F2AEB4" w14:textId="0CD9A3EF" w:rsidR="00DF007B"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r>
      <w:tr w:rsidR="00513A2C" w:rsidRPr="00324B90" w14:paraId="25761497" w14:textId="2624E8DD" w:rsidTr="007C08B9">
        <w:trPr>
          <w:trHeight w:val="250"/>
        </w:trPr>
        <w:tc>
          <w:tcPr>
            <w:tcW w:w="0" w:type="auto"/>
            <w:tcBorders>
              <w:top w:val="dotted" w:sz="4" w:space="0" w:color="auto"/>
              <w:left w:val="nil"/>
              <w:bottom w:val="dotted" w:sz="4" w:space="0" w:color="auto"/>
              <w:right w:val="nil"/>
            </w:tcBorders>
            <w:shd w:val="clear" w:color="auto" w:fill="auto"/>
            <w:noWrap/>
            <w:vAlign w:val="center"/>
            <w:hideMark/>
          </w:tcPr>
          <w:p w14:paraId="45A8F07D" w14:textId="77777777" w:rsidR="00DF007B" w:rsidRPr="00324B90" w:rsidRDefault="00DF007B" w:rsidP="00DE2B6F">
            <w:pPr>
              <w:spacing w:line="240" w:lineRule="auto"/>
              <w:ind w:firstLineChars="200" w:firstLine="321"/>
              <w:rPr>
                <w:rFonts w:asciiTheme="majorBidi" w:eastAsia="Times New Roman" w:hAnsiTheme="majorBidi" w:cstheme="majorBidi"/>
                <w:b/>
                <w:bCs/>
                <w:color w:val="000000"/>
                <w:sz w:val="16"/>
                <w:szCs w:val="16"/>
                <w:lang w:val="en-GB" w:eastAsia="zh-CN"/>
              </w:rPr>
            </w:pPr>
            <w:r w:rsidRPr="00324B90">
              <w:rPr>
                <w:rFonts w:asciiTheme="majorBidi" w:eastAsia="Times New Roman" w:hAnsiTheme="majorBidi" w:cstheme="majorBidi"/>
                <w:b/>
                <w:bCs/>
                <w:color w:val="000000"/>
                <w:sz w:val="16"/>
                <w:szCs w:val="16"/>
                <w:lang w:val="en-GB" w:eastAsia="zh-CN"/>
              </w:rPr>
              <w:t> </w:t>
            </w:r>
          </w:p>
        </w:tc>
        <w:tc>
          <w:tcPr>
            <w:tcW w:w="0" w:type="auto"/>
            <w:tcBorders>
              <w:top w:val="dotted" w:sz="4" w:space="0" w:color="auto"/>
              <w:left w:val="nil"/>
              <w:bottom w:val="dotted" w:sz="4" w:space="0" w:color="auto"/>
              <w:right w:val="nil"/>
            </w:tcBorders>
            <w:shd w:val="clear" w:color="auto" w:fill="auto"/>
            <w:noWrap/>
            <w:vAlign w:val="center"/>
            <w:hideMark/>
          </w:tcPr>
          <w:p w14:paraId="78763C95" w14:textId="77777777" w:rsidR="00DF007B" w:rsidRPr="00324B90" w:rsidRDefault="00DF007B" w:rsidP="00DE2B6F">
            <w:pPr>
              <w:spacing w:line="240" w:lineRule="auto"/>
              <w:jc w:val="center"/>
              <w:rPr>
                <w:rFonts w:asciiTheme="majorBidi" w:eastAsia="Times New Roman" w:hAnsiTheme="majorBidi" w:cstheme="majorBidi"/>
                <w:b/>
                <w:bCs/>
                <w:color w:val="000000"/>
                <w:sz w:val="16"/>
                <w:szCs w:val="16"/>
                <w:lang w:val="en-GB" w:eastAsia="zh-CN"/>
              </w:rPr>
            </w:pPr>
            <w:r w:rsidRPr="00324B90">
              <w:rPr>
                <w:rFonts w:asciiTheme="majorBidi" w:eastAsia="Times New Roman" w:hAnsiTheme="majorBidi" w:cstheme="majorBidi"/>
                <w:b/>
                <w:bCs/>
                <w:color w:val="000000"/>
                <w:sz w:val="16"/>
                <w:szCs w:val="16"/>
                <w:lang w:val="en-GB" w:eastAsia="zh-CN"/>
              </w:rPr>
              <w:t> </w:t>
            </w:r>
          </w:p>
        </w:tc>
        <w:tc>
          <w:tcPr>
            <w:tcW w:w="0" w:type="auto"/>
            <w:tcBorders>
              <w:top w:val="dotted" w:sz="4" w:space="0" w:color="auto"/>
              <w:left w:val="nil"/>
              <w:bottom w:val="dotted" w:sz="4" w:space="0" w:color="auto"/>
              <w:right w:val="nil"/>
            </w:tcBorders>
            <w:vAlign w:val="center"/>
          </w:tcPr>
          <w:p w14:paraId="0D6F3A7B" w14:textId="77777777" w:rsidR="00DF007B" w:rsidRPr="00324B90" w:rsidRDefault="00DF007B" w:rsidP="00DE2B6F">
            <w:pPr>
              <w:spacing w:line="240" w:lineRule="auto"/>
              <w:jc w:val="center"/>
              <w:rPr>
                <w:rFonts w:asciiTheme="majorBidi" w:eastAsia="Times New Roman" w:hAnsiTheme="majorBidi" w:cstheme="majorBidi"/>
                <w:b/>
                <w:bCs/>
                <w:color w:val="000000"/>
                <w:sz w:val="16"/>
                <w:szCs w:val="16"/>
                <w:lang w:val="en-GB" w:eastAsia="zh-CN"/>
              </w:rPr>
            </w:pPr>
          </w:p>
        </w:tc>
        <w:tc>
          <w:tcPr>
            <w:tcW w:w="0" w:type="auto"/>
            <w:tcBorders>
              <w:top w:val="dotted" w:sz="4" w:space="0" w:color="auto"/>
              <w:left w:val="nil"/>
              <w:bottom w:val="dotted" w:sz="4" w:space="0" w:color="auto"/>
              <w:right w:val="nil"/>
            </w:tcBorders>
            <w:shd w:val="clear" w:color="auto" w:fill="auto"/>
            <w:noWrap/>
            <w:vAlign w:val="center"/>
            <w:hideMark/>
          </w:tcPr>
          <w:p w14:paraId="6AFF062E" w14:textId="146F507B" w:rsidR="00DF007B" w:rsidRPr="00324B90" w:rsidRDefault="00DF007B" w:rsidP="00DE2B6F">
            <w:pPr>
              <w:spacing w:line="240" w:lineRule="auto"/>
              <w:jc w:val="center"/>
              <w:rPr>
                <w:rFonts w:asciiTheme="majorBidi" w:eastAsia="Times New Roman" w:hAnsiTheme="majorBidi" w:cstheme="majorBidi"/>
                <w:b/>
                <w:bCs/>
                <w:color w:val="000000"/>
                <w:sz w:val="16"/>
                <w:szCs w:val="16"/>
                <w:lang w:val="en-GB" w:eastAsia="zh-CN"/>
              </w:rPr>
            </w:pPr>
            <w:r w:rsidRPr="00324B90">
              <w:rPr>
                <w:rFonts w:asciiTheme="majorBidi" w:eastAsia="Times New Roman" w:hAnsiTheme="majorBidi" w:cstheme="majorBidi"/>
                <w:b/>
                <w:bCs/>
                <w:color w:val="000000"/>
                <w:sz w:val="16"/>
                <w:szCs w:val="16"/>
                <w:lang w:val="en-GB" w:eastAsia="zh-CN"/>
              </w:rPr>
              <w:t> </w:t>
            </w:r>
          </w:p>
        </w:tc>
        <w:tc>
          <w:tcPr>
            <w:tcW w:w="0" w:type="auto"/>
            <w:tcBorders>
              <w:top w:val="dotted" w:sz="4" w:space="0" w:color="auto"/>
              <w:left w:val="nil"/>
              <w:bottom w:val="dotted" w:sz="4" w:space="0" w:color="auto"/>
              <w:right w:val="nil"/>
            </w:tcBorders>
            <w:vAlign w:val="center"/>
          </w:tcPr>
          <w:p w14:paraId="7E8497EB" w14:textId="77777777" w:rsidR="00DF007B" w:rsidRPr="00324B90" w:rsidRDefault="00DF007B" w:rsidP="00DE2B6F">
            <w:pPr>
              <w:spacing w:line="240" w:lineRule="auto"/>
              <w:jc w:val="center"/>
              <w:rPr>
                <w:rFonts w:asciiTheme="majorBidi" w:eastAsia="Times New Roman" w:hAnsiTheme="majorBidi" w:cstheme="majorBidi"/>
                <w:b/>
                <w:bCs/>
                <w:color w:val="000000"/>
                <w:sz w:val="16"/>
                <w:szCs w:val="16"/>
                <w:lang w:val="en-GB" w:eastAsia="zh-CN"/>
              </w:rPr>
            </w:pPr>
          </w:p>
        </w:tc>
        <w:tc>
          <w:tcPr>
            <w:tcW w:w="0" w:type="auto"/>
            <w:tcBorders>
              <w:top w:val="dotted" w:sz="4" w:space="0" w:color="auto"/>
              <w:left w:val="nil"/>
              <w:bottom w:val="dotted" w:sz="4" w:space="0" w:color="auto"/>
              <w:right w:val="nil"/>
            </w:tcBorders>
            <w:shd w:val="clear" w:color="auto" w:fill="auto"/>
            <w:noWrap/>
            <w:vAlign w:val="center"/>
            <w:hideMark/>
          </w:tcPr>
          <w:p w14:paraId="549CFBD6" w14:textId="26BEBDD0" w:rsidR="00DF007B" w:rsidRPr="00324B90" w:rsidRDefault="00DF007B" w:rsidP="00DE2B6F">
            <w:pPr>
              <w:spacing w:line="240" w:lineRule="auto"/>
              <w:jc w:val="center"/>
              <w:rPr>
                <w:rFonts w:asciiTheme="majorBidi" w:eastAsia="Times New Roman" w:hAnsiTheme="majorBidi" w:cstheme="majorBidi"/>
                <w:b/>
                <w:bCs/>
                <w:color w:val="000000"/>
                <w:sz w:val="16"/>
                <w:szCs w:val="16"/>
                <w:lang w:val="en-GB" w:eastAsia="zh-CN"/>
              </w:rPr>
            </w:pPr>
            <w:r w:rsidRPr="00324B90">
              <w:rPr>
                <w:rFonts w:asciiTheme="majorBidi" w:eastAsia="Times New Roman" w:hAnsiTheme="majorBidi" w:cstheme="majorBidi"/>
                <w:b/>
                <w:bCs/>
                <w:color w:val="000000"/>
                <w:sz w:val="16"/>
                <w:szCs w:val="16"/>
                <w:lang w:val="en-GB" w:eastAsia="zh-CN"/>
              </w:rPr>
              <w:t> </w:t>
            </w:r>
          </w:p>
        </w:tc>
        <w:tc>
          <w:tcPr>
            <w:tcW w:w="0" w:type="auto"/>
            <w:tcBorders>
              <w:top w:val="dotted" w:sz="4" w:space="0" w:color="auto"/>
              <w:left w:val="nil"/>
              <w:bottom w:val="dotted" w:sz="4" w:space="0" w:color="auto"/>
              <w:right w:val="nil"/>
            </w:tcBorders>
            <w:vAlign w:val="center"/>
          </w:tcPr>
          <w:p w14:paraId="710625F9" w14:textId="77777777" w:rsidR="00DF007B" w:rsidRPr="00324B90" w:rsidRDefault="00DF007B" w:rsidP="00DE2B6F">
            <w:pPr>
              <w:spacing w:line="240" w:lineRule="auto"/>
              <w:jc w:val="center"/>
              <w:rPr>
                <w:rFonts w:asciiTheme="majorBidi" w:eastAsia="Times New Roman" w:hAnsiTheme="majorBidi" w:cstheme="majorBidi"/>
                <w:b/>
                <w:bCs/>
                <w:color w:val="000000"/>
                <w:sz w:val="16"/>
                <w:szCs w:val="16"/>
                <w:lang w:val="en-GB" w:eastAsia="zh-CN"/>
              </w:rPr>
            </w:pPr>
          </w:p>
        </w:tc>
      </w:tr>
      <w:tr w:rsidR="00513A2C" w:rsidRPr="00324B90" w14:paraId="116E4CC9" w14:textId="13EBAA6F" w:rsidTr="007C08B9">
        <w:trPr>
          <w:trHeight w:val="250"/>
        </w:trPr>
        <w:tc>
          <w:tcPr>
            <w:tcW w:w="0" w:type="auto"/>
            <w:tcBorders>
              <w:top w:val="nil"/>
              <w:left w:val="nil"/>
              <w:bottom w:val="nil"/>
              <w:right w:val="nil"/>
            </w:tcBorders>
            <w:shd w:val="clear" w:color="auto" w:fill="auto"/>
            <w:noWrap/>
            <w:vAlign w:val="center"/>
            <w:hideMark/>
          </w:tcPr>
          <w:p w14:paraId="3E00A226" w14:textId="77777777" w:rsidR="00DF007B" w:rsidRPr="00324B90" w:rsidRDefault="00DF007B" w:rsidP="00DE2B6F">
            <w:pPr>
              <w:spacing w:line="240" w:lineRule="auto"/>
              <w:rPr>
                <w:rFonts w:asciiTheme="majorBidi" w:eastAsia="Times New Roman" w:hAnsiTheme="majorBidi" w:cstheme="majorBidi"/>
                <w:i/>
                <w:iCs/>
                <w:color w:val="000000"/>
                <w:sz w:val="16"/>
                <w:szCs w:val="16"/>
                <w:lang w:val="en-GB" w:eastAsia="zh-CN"/>
              </w:rPr>
            </w:pPr>
            <w:r w:rsidRPr="00324B90">
              <w:rPr>
                <w:rFonts w:asciiTheme="majorBidi" w:eastAsia="Times New Roman" w:hAnsiTheme="majorBidi" w:cstheme="majorBidi"/>
                <w:i/>
                <w:iCs/>
                <w:color w:val="000000"/>
                <w:sz w:val="16"/>
                <w:szCs w:val="16"/>
                <w:lang w:val="en-GB" w:eastAsia="zh-CN"/>
              </w:rPr>
              <w:t>Interactions</w:t>
            </w:r>
          </w:p>
        </w:tc>
        <w:tc>
          <w:tcPr>
            <w:tcW w:w="0" w:type="auto"/>
            <w:tcBorders>
              <w:top w:val="nil"/>
              <w:left w:val="nil"/>
              <w:bottom w:val="nil"/>
              <w:right w:val="nil"/>
            </w:tcBorders>
            <w:shd w:val="clear" w:color="auto" w:fill="auto"/>
            <w:noWrap/>
            <w:vAlign w:val="center"/>
            <w:hideMark/>
          </w:tcPr>
          <w:p w14:paraId="3D4EA7D3" w14:textId="77777777" w:rsidR="00DF007B" w:rsidRPr="00324B90" w:rsidRDefault="00DF007B" w:rsidP="00DE2B6F">
            <w:pPr>
              <w:spacing w:line="240" w:lineRule="auto"/>
              <w:jc w:val="center"/>
              <w:rPr>
                <w:rFonts w:asciiTheme="majorBidi" w:eastAsia="Times New Roman" w:hAnsiTheme="majorBidi" w:cstheme="majorBidi"/>
                <w:sz w:val="16"/>
                <w:szCs w:val="16"/>
                <w:lang w:val="en-GB" w:eastAsia="zh-CN"/>
              </w:rPr>
            </w:pPr>
          </w:p>
        </w:tc>
        <w:tc>
          <w:tcPr>
            <w:tcW w:w="0" w:type="auto"/>
            <w:tcBorders>
              <w:top w:val="nil"/>
              <w:left w:val="nil"/>
              <w:bottom w:val="nil"/>
              <w:right w:val="nil"/>
            </w:tcBorders>
            <w:vAlign w:val="center"/>
          </w:tcPr>
          <w:p w14:paraId="07BC963B" w14:textId="77777777" w:rsidR="00DF007B" w:rsidRPr="00324B90" w:rsidRDefault="00DF007B" w:rsidP="00DE2B6F">
            <w:pPr>
              <w:spacing w:line="240" w:lineRule="auto"/>
              <w:jc w:val="center"/>
              <w:rPr>
                <w:rFonts w:asciiTheme="majorBidi" w:eastAsia="Times New Roman" w:hAnsiTheme="majorBidi" w:cstheme="majorBidi"/>
                <w:sz w:val="16"/>
                <w:szCs w:val="16"/>
                <w:lang w:val="en-GB" w:eastAsia="zh-CN"/>
              </w:rPr>
            </w:pPr>
          </w:p>
        </w:tc>
        <w:tc>
          <w:tcPr>
            <w:tcW w:w="0" w:type="auto"/>
            <w:tcBorders>
              <w:top w:val="nil"/>
              <w:left w:val="nil"/>
              <w:bottom w:val="nil"/>
              <w:right w:val="nil"/>
            </w:tcBorders>
            <w:shd w:val="clear" w:color="auto" w:fill="auto"/>
            <w:noWrap/>
            <w:vAlign w:val="center"/>
            <w:hideMark/>
          </w:tcPr>
          <w:p w14:paraId="0D89146F" w14:textId="7F234936" w:rsidR="00DF007B" w:rsidRPr="00324B90" w:rsidRDefault="00DF007B" w:rsidP="00DE2B6F">
            <w:pPr>
              <w:spacing w:line="240" w:lineRule="auto"/>
              <w:jc w:val="center"/>
              <w:rPr>
                <w:rFonts w:asciiTheme="majorBidi" w:eastAsia="Times New Roman" w:hAnsiTheme="majorBidi" w:cstheme="majorBidi"/>
                <w:sz w:val="16"/>
                <w:szCs w:val="16"/>
                <w:lang w:val="en-GB" w:eastAsia="zh-CN"/>
              </w:rPr>
            </w:pPr>
          </w:p>
        </w:tc>
        <w:tc>
          <w:tcPr>
            <w:tcW w:w="0" w:type="auto"/>
            <w:tcBorders>
              <w:top w:val="nil"/>
              <w:left w:val="nil"/>
              <w:bottom w:val="nil"/>
              <w:right w:val="nil"/>
            </w:tcBorders>
            <w:vAlign w:val="center"/>
          </w:tcPr>
          <w:p w14:paraId="08186FB3" w14:textId="77777777" w:rsidR="00DF007B" w:rsidRPr="00324B90" w:rsidRDefault="00DF007B" w:rsidP="00DE2B6F">
            <w:pPr>
              <w:spacing w:line="240" w:lineRule="auto"/>
              <w:jc w:val="center"/>
              <w:rPr>
                <w:rFonts w:asciiTheme="majorBidi" w:eastAsia="Times New Roman" w:hAnsiTheme="majorBidi" w:cstheme="majorBidi"/>
                <w:sz w:val="16"/>
                <w:szCs w:val="16"/>
                <w:lang w:val="en-GB" w:eastAsia="zh-CN"/>
              </w:rPr>
            </w:pPr>
          </w:p>
        </w:tc>
        <w:tc>
          <w:tcPr>
            <w:tcW w:w="0" w:type="auto"/>
            <w:tcBorders>
              <w:top w:val="nil"/>
              <w:left w:val="nil"/>
              <w:bottom w:val="nil"/>
              <w:right w:val="nil"/>
            </w:tcBorders>
            <w:shd w:val="clear" w:color="auto" w:fill="auto"/>
            <w:noWrap/>
            <w:vAlign w:val="center"/>
            <w:hideMark/>
          </w:tcPr>
          <w:p w14:paraId="5EE1A470" w14:textId="3FC51DE3" w:rsidR="00DF007B" w:rsidRPr="00324B90" w:rsidRDefault="00DF007B" w:rsidP="00DE2B6F">
            <w:pPr>
              <w:spacing w:line="240" w:lineRule="auto"/>
              <w:jc w:val="center"/>
              <w:rPr>
                <w:rFonts w:asciiTheme="majorBidi" w:eastAsia="Times New Roman" w:hAnsiTheme="majorBidi" w:cstheme="majorBidi"/>
                <w:sz w:val="16"/>
                <w:szCs w:val="16"/>
                <w:lang w:val="en-GB" w:eastAsia="zh-CN"/>
              </w:rPr>
            </w:pPr>
          </w:p>
        </w:tc>
        <w:tc>
          <w:tcPr>
            <w:tcW w:w="0" w:type="auto"/>
            <w:tcBorders>
              <w:top w:val="nil"/>
              <w:left w:val="nil"/>
              <w:bottom w:val="nil"/>
              <w:right w:val="nil"/>
            </w:tcBorders>
            <w:vAlign w:val="center"/>
          </w:tcPr>
          <w:p w14:paraId="52F62A3B" w14:textId="77777777" w:rsidR="00DF007B" w:rsidRPr="00324B90" w:rsidRDefault="00DF007B" w:rsidP="00DE2B6F">
            <w:pPr>
              <w:spacing w:line="240" w:lineRule="auto"/>
              <w:jc w:val="center"/>
              <w:rPr>
                <w:rFonts w:asciiTheme="majorBidi" w:eastAsia="Times New Roman" w:hAnsiTheme="majorBidi" w:cstheme="majorBidi"/>
                <w:sz w:val="16"/>
                <w:szCs w:val="16"/>
                <w:lang w:val="en-GB" w:eastAsia="zh-CN"/>
              </w:rPr>
            </w:pPr>
          </w:p>
        </w:tc>
      </w:tr>
      <w:tr w:rsidR="00513A2C" w:rsidRPr="00324B90" w14:paraId="427DEDA4" w14:textId="48BF0555" w:rsidTr="007C08B9">
        <w:trPr>
          <w:trHeight w:val="250"/>
        </w:trPr>
        <w:tc>
          <w:tcPr>
            <w:tcW w:w="0" w:type="auto"/>
            <w:tcBorders>
              <w:top w:val="nil"/>
              <w:left w:val="nil"/>
              <w:bottom w:val="nil"/>
              <w:right w:val="nil"/>
            </w:tcBorders>
            <w:shd w:val="clear" w:color="auto" w:fill="auto"/>
            <w:noWrap/>
            <w:vAlign w:val="center"/>
            <w:hideMark/>
          </w:tcPr>
          <w:p w14:paraId="4F84644E" w14:textId="77777777" w:rsidR="00DF007B" w:rsidRPr="00324B90" w:rsidRDefault="00DF007B" w:rsidP="00DE2B6F">
            <w:pPr>
              <w:spacing w:line="240" w:lineRule="auto"/>
              <w:ind w:firstLineChars="100" w:firstLine="16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Sanction × Repetition</w:t>
            </w:r>
          </w:p>
        </w:tc>
        <w:tc>
          <w:tcPr>
            <w:tcW w:w="0" w:type="auto"/>
            <w:tcBorders>
              <w:top w:val="nil"/>
              <w:left w:val="nil"/>
              <w:bottom w:val="nil"/>
              <w:right w:val="nil"/>
            </w:tcBorders>
            <w:shd w:val="clear" w:color="auto" w:fill="auto"/>
            <w:noWrap/>
            <w:vAlign w:val="center"/>
            <w:hideMark/>
          </w:tcPr>
          <w:p w14:paraId="20390082" w14:textId="77777777" w:rsidR="00DF007B" w:rsidRPr="00324B90" w:rsidRDefault="00DF007B" w:rsidP="00DE2B6F">
            <w:pPr>
              <w:spacing w:line="240" w:lineRule="auto"/>
              <w:jc w:val="center"/>
              <w:rPr>
                <w:rFonts w:asciiTheme="majorBidi" w:eastAsia="Times New Roman" w:hAnsiTheme="majorBidi" w:cstheme="majorBidi"/>
                <w:sz w:val="16"/>
                <w:szCs w:val="16"/>
                <w:lang w:val="en-GB" w:eastAsia="zh-CN"/>
              </w:rPr>
            </w:pPr>
          </w:p>
        </w:tc>
        <w:tc>
          <w:tcPr>
            <w:tcW w:w="0" w:type="auto"/>
            <w:tcBorders>
              <w:top w:val="nil"/>
              <w:left w:val="nil"/>
              <w:bottom w:val="nil"/>
              <w:right w:val="nil"/>
            </w:tcBorders>
            <w:vAlign w:val="center"/>
          </w:tcPr>
          <w:p w14:paraId="5B2F313F" w14:textId="77777777" w:rsidR="00DF007B" w:rsidRPr="00324B90" w:rsidRDefault="00DF007B" w:rsidP="00DE2B6F">
            <w:pPr>
              <w:spacing w:line="240" w:lineRule="auto"/>
              <w:jc w:val="center"/>
              <w:rPr>
                <w:rFonts w:asciiTheme="majorBidi" w:eastAsia="Times New Roman" w:hAnsiTheme="majorBidi" w:cstheme="majorBidi"/>
                <w:sz w:val="16"/>
                <w:szCs w:val="16"/>
                <w:lang w:val="en-GB" w:eastAsia="zh-CN"/>
              </w:rPr>
            </w:pPr>
          </w:p>
        </w:tc>
        <w:tc>
          <w:tcPr>
            <w:tcW w:w="0" w:type="auto"/>
            <w:tcBorders>
              <w:top w:val="nil"/>
              <w:left w:val="nil"/>
              <w:bottom w:val="nil"/>
              <w:right w:val="nil"/>
            </w:tcBorders>
            <w:shd w:val="clear" w:color="auto" w:fill="auto"/>
            <w:noWrap/>
            <w:vAlign w:val="center"/>
            <w:hideMark/>
          </w:tcPr>
          <w:p w14:paraId="45D53333" w14:textId="68DC016A" w:rsidR="00DF007B" w:rsidRPr="00324B90" w:rsidRDefault="00DF007B" w:rsidP="00DE2B6F">
            <w:pPr>
              <w:spacing w:line="240" w:lineRule="auto"/>
              <w:jc w:val="center"/>
              <w:rPr>
                <w:rFonts w:asciiTheme="majorBidi" w:eastAsia="Times New Roman" w:hAnsiTheme="majorBidi" w:cstheme="majorBidi"/>
                <w:sz w:val="16"/>
                <w:szCs w:val="16"/>
                <w:lang w:val="en-GB" w:eastAsia="zh-CN"/>
              </w:rPr>
            </w:pPr>
          </w:p>
        </w:tc>
        <w:tc>
          <w:tcPr>
            <w:tcW w:w="0" w:type="auto"/>
            <w:tcBorders>
              <w:top w:val="nil"/>
              <w:left w:val="nil"/>
              <w:bottom w:val="nil"/>
              <w:right w:val="nil"/>
            </w:tcBorders>
            <w:vAlign w:val="center"/>
          </w:tcPr>
          <w:p w14:paraId="0D4292E0" w14:textId="77777777" w:rsidR="00DF007B" w:rsidRPr="00324B90" w:rsidRDefault="00DF007B" w:rsidP="00DE2B6F">
            <w:pPr>
              <w:spacing w:line="240" w:lineRule="auto"/>
              <w:jc w:val="center"/>
              <w:rPr>
                <w:rFonts w:asciiTheme="majorBidi" w:eastAsia="Times New Roman" w:hAnsiTheme="majorBidi" w:cstheme="majorBidi"/>
                <w:sz w:val="16"/>
                <w:szCs w:val="16"/>
                <w:lang w:val="en-GB" w:eastAsia="zh-CN"/>
              </w:rPr>
            </w:pPr>
          </w:p>
        </w:tc>
        <w:tc>
          <w:tcPr>
            <w:tcW w:w="0" w:type="auto"/>
            <w:tcBorders>
              <w:top w:val="nil"/>
              <w:left w:val="nil"/>
              <w:bottom w:val="nil"/>
              <w:right w:val="nil"/>
            </w:tcBorders>
            <w:shd w:val="clear" w:color="auto" w:fill="auto"/>
            <w:noWrap/>
            <w:vAlign w:val="center"/>
            <w:hideMark/>
          </w:tcPr>
          <w:p w14:paraId="1F19F94E" w14:textId="2C81DE86" w:rsidR="00DF007B" w:rsidRPr="00324B90" w:rsidRDefault="00DF007B" w:rsidP="00DE2B6F">
            <w:pPr>
              <w:spacing w:line="240" w:lineRule="auto"/>
              <w:jc w:val="center"/>
              <w:rPr>
                <w:rFonts w:asciiTheme="majorBidi" w:eastAsia="Times New Roman" w:hAnsiTheme="majorBidi" w:cstheme="majorBidi"/>
                <w:sz w:val="16"/>
                <w:szCs w:val="16"/>
                <w:lang w:val="en-GB" w:eastAsia="zh-CN"/>
              </w:rPr>
            </w:pPr>
          </w:p>
        </w:tc>
        <w:tc>
          <w:tcPr>
            <w:tcW w:w="0" w:type="auto"/>
            <w:tcBorders>
              <w:top w:val="nil"/>
              <w:left w:val="nil"/>
              <w:bottom w:val="nil"/>
              <w:right w:val="nil"/>
            </w:tcBorders>
            <w:vAlign w:val="center"/>
          </w:tcPr>
          <w:p w14:paraId="633C56EF" w14:textId="77777777" w:rsidR="00DF007B" w:rsidRPr="00324B90" w:rsidRDefault="00DF007B" w:rsidP="00DE2B6F">
            <w:pPr>
              <w:spacing w:line="240" w:lineRule="auto"/>
              <w:jc w:val="center"/>
              <w:rPr>
                <w:rFonts w:asciiTheme="majorBidi" w:eastAsia="Times New Roman" w:hAnsiTheme="majorBidi" w:cstheme="majorBidi"/>
                <w:sz w:val="16"/>
                <w:szCs w:val="16"/>
                <w:lang w:val="en-GB" w:eastAsia="zh-CN"/>
              </w:rPr>
            </w:pPr>
          </w:p>
        </w:tc>
      </w:tr>
      <w:tr w:rsidR="00513A2C" w:rsidRPr="00324B90" w14:paraId="425E9A3E" w14:textId="1CDFEC7D" w:rsidTr="007C08B9">
        <w:trPr>
          <w:trHeight w:val="250"/>
        </w:trPr>
        <w:tc>
          <w:tcPr>
            <w:tcW w:w="0" w:type="auto"/>
            <w:tcBorders>
              <w:top w:val="nil"/>
              <w:left w:val="nil"/>
              <w:bottom w:val="nil"/>
              <w:right w:val="nil"/>
            </w:tcBorders>
            <w:shd w:val="clear" w:color="auto" w:fill="auto"/>
            <w:noWrap/>
            <w:vAlign w:val="center"/>
            <w:hideMark/>
          </w:tcPr>
          <w:p w14:paraId="74129147" w14:textId="77777777" w:rsidR="00DF007B" w:rsidRPr="00324B90" w:rsidRDefault="00DF007B" w:rsidP="00DE2B6F">
            <w:pPr>
              <w:spacing w:line="240" w:lineRule="auto"/>
              <w:ind w:firstLineChars="200" w:firstLine="32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Punishment × Repetition</w:t>
            </w:r>
          </w:p>
        </w:tc>
        <w:tc>
          <w:tcPr>
            <w:tcW w:w="0" w:type="auto"/>
            <w:tcBorders>
              <w:top w:val="nil"/>
              <w:left w:val="nil"/>
              <w:bottom w:val="nil"/>
              <w:right w:val="nil"/>
            </w:tcBorders>
            <w:shd w:val="clear" w:color="auto" w:fill="auto"/>
            <w:noWrap/>
            <w:vAlign w:val="center"/>
            <w:hideMark/>
          </w:tcPr>
          <w:p w14:paraId="3FFAC0F6" w14:textId="77777777"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1</w:t>
            </w:r>
          </w:p>
        </w:tc>
        <w:tc>
          <w:tcPr>
            <w:tcW w:w="0" w:type="auto"/>
            <w:tcBorders>
              <w:top w:val="nil"/>
              <w:left w:val="nil"/>
              <w:bottom w:val="nil"/>
              <w:right w:val="nil"/>
            </w:tcBorders>
            <w:vAlign w:val="center"/>
          </w:tcPr>
          <w:p w14:paraId="43AB1BE0" w14:textId="44097671"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1C97F9A" w14:textId="3C8133C0"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–1</w:t>
            </w:r>
          </w:p>
        </w:tc>
        <w:tc>
          <w:tcPr>
            <w:tcW w:w="0" w:type="auto"/>
            <w:tcBorders>
              <w:top w:val="nil"/>
              <w:left w:val="nil"/>
              <w:bottom w:val="nil"/>
              <w:right w:val="nil"/>
            </w:tcBorders>
            <w:vAlign w:val="center"/>
          </w:tcPr>
          <w:p w14:paraId="54EF40B4" w14:textId="55658EC0"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7A30EF70" w14:textId="4E0946D5"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One-shot vs repeated</w:t>
            </w:r>
          </w:p>
        </w:tc>
        <w:tc>
          <w:tcPr>
            <w:tcW w:w="0" w:type="auto"/>
            <w:tcBorders>
              <w:top w:val="nil"/>
              <w:left w:val="nil"/>
              <w:bottom w:val="nil"/>
              <w:right w:val="nil"/>
            </w:tcBorders>
            <w:vAlign w:val="center"/>
          </w:tcPr>
          <w:p w14:paraId="55802CD5" w14:textId="419595E5" w:rsidR="00DF007B" w:rsidRPr="00324B90" w:rsidRDefault="00824785" w:rsidP="0017707B">
            <w:pPr>
              <w:spacing w:line="240" w:lineRule="auto"/>
              <w:ind w:left="170" w:hanging="170"/>
              <w:rPr>
                <w:rFonts w:asciiTheme="majorBidi" w:eastAsia="Times New Roman" w:hAnsiTheme="majorBidi" w:cstheme="majorBidi"/>
                <w:color w:val="000000"/>
                <w:sz w:val="16"/>
                <w:szCs w:val="16"/>
                <w:lang w:val="en-GB" w:eastAsia="zh-CN"/>
              </w:rPr>
            </w:pPr>
            <w:r w:rsidRPr="00824785">
              <w:rPr>
                <w:rFonts w:asciiTheme="majorBidi" w:eastAsia="Times New Roman" w:hAnsiTheme="majorBidi" w:cstheme="majorBidi"/>
                <w:color w:val="000000"/>
                <w:sz w:val="16"/>
                <w:szCs w:val="16"/>
                <w:lang w:val="en-GB" w:eastAsia="zh-CN"/>
              </w:rPr>
              <w:t>Whether participants played the game with the same person only once (this also applies if participants switch partners after each trial) versus played the game repeatedly with the same person.</w:t>
            </w:r>
          </w:p>
        </w:tc>
      </w:tr>
      <w:tr w:rsidR="00513A2C" w:rsidRPr="00324B90" w14:paraId="7B8A36F4" w14:textId="3144D4C7" w:rsidTr="007C08B9">
        <w:trPr>
          <w:trHeight w:val="250"/>
        </w:trPr>
        <w:tc>
          <w:tcPr>
            <w:tcW w:w="0" w:type="auto"/>
            <w:tcBorders>
              <w:top w:val="nil"/>
              <w:left w:val="nil"/>
              <w:bottom w:val="nil"/>
              <w:right w:val="nil"/>
            </w:tcBorders>
            <w:shd w:val="clear" w:color="auto" w:fill="auto"/>
            <w:noWrap/>
            <w:vAlign w:val="center"/>
            <w:hideMark/>
          </w:tcPr>
          <w:p w14:paraId="42500E6C" w14:textId="77777777" w:rsidR="00DF007B" w:rsidRPr="00324B90" w:rsidRDefault="00DF007B" w:rsidP="00DE2B6F">
            <w:pPr>
              <w:spacing w:line="240" w:lineRule="auto"/>
              <w:ind w:firstLineChars="200" w:firstLine="32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Reward × Repetition</w:t>
            </w:r>
          </w:p>
        </w:tc>
        <w:tc>
          <w:tcPr>
            <w:tcW w:w="0" w:type="auto"/>
            <w:tcBorders>
              <w:top w:val="nil"/>
              <w:left w:val="nil"/>
              <w:bottom w:val="nil"/>
              <w:right w:val="nil"/>
            </w:tcBorders>
            <w:shd w:val="clear" w:color="auto" w:fill="auto"/>
            <w:noWrap/>
            <w:vAlign w:val="center"/>
            <w:hideMark/>
          </w:tcPr>
          <w:p w14:paraId="20441DED" w14:textId="77777777"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1</w:t>
            </w:r>
          </w:p>
        </w:tc>
        <w:tc>
          <w:tcPr>
            <w:tcW w:w="0" w:type="auto"/>
            <w:tcBorders>
              <w:top w:val="nil"/>
              <w:left w:val="nil"/>
              <w:bottom w:val="nil"/>
              <w:right w:val="nil"/>
            </w:tcBorders>
            <w:vAlign w:val="center"/>
          </w:tcPr>
          <w:p w14:paraId="77072E11" w14:textId="4A4FBC7F"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703CCE82" w14:textId="16593306"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–1</w:t>
            </w:r>
          </w:p>
        </w:tc>
        <w:tc>
          <w:tcPr>
            <w:tcW w:w="0" w:type="auto"/>
            <w:tcBorders>
              <w:top w:val="nil"/>
              <w:left w:val="nil"/>
              <w:bottom w:val="nil"/>
              <w:right w:val="nil"/>
            </w:tcBorders>
            <w:vAlign w:val="center"/>
          </w:tcPr>
          <w:p w14:paraId="76BE9029" w14:textId="361E93A2"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67CB4104" w14:textId="799225BC"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One-shot vs repeated</w:t>
            </w:r>
          </w:p>
        </w:tc>
        <w:tc>
          <w:tcPr>
            <w:tcW w:w="0" w:type="auto"/>
            <w:tcBorders>
              <w:top w:val="nil"/>
              <w:left w:val="nil"/>
              <w:bottom w:val="nil"/>
              <w:right w:val="nil"/>
            </w:tcBorders>
            <w:vAlign w:val="center"/>
          </w:tcPr>
          <w:p w14:paraId="38A39143" w14:textId="53F66411" w:rsidR="00DF007B" w:rsidRPr="00324B90" w:rsidRDefault="00824785"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r>
      <w:tr w:rsidR="00513A2C" w:rsidRPr="00324B90" w14:paraId="567341C0" w14:textId="76088F4D" w:rsidTr="007C08B9">
        <w:trPr>
          <w:trHeight w:val="250"/>
        </w:trPr>
        <w:tc>
          <w:tcPr>
            <w:tcW w:w="0" w:type="auto"/>
            <w:tcBorders>
              <w:top w:val="nil"/>
              <w:left w:val="nil"/>
              <w:bottom w:val="nil"/>
              <w:right w:val="nil"/>
            </w:tcBorders>
            <w:shd w:val="clear" w:color="auto" w:fill="auto"/>
            <w:noWrap/>
            <w:vAlign w:val="center"/>
            <w:hideMark/>
          </w:tcPr>
          <w:p w14:paraId="006B1C31" w14:textId="77777777" w:rsidR="00DF007B" w:rsidRPr="00324B90" w:rsidRDefault="00DF007B" w:rsidP="00DE2B6F">
            <w:pPr>
              <w:spacing w:line="240" w:lineRule="auto"/>
              <w:ind w:firstLineChars="100" w:firstLine="16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Communication × K index</w:t>
            </w:r>
          </w:p>
        </w:tc>
        <w:tc>
          <w:tcPr>
            <w:tcW w:w="0" w:type="auto"/>
            <w:tcBorders>
              <w:top w:val="nil"/>
              <w:left w:val="nil"/>
              <w:bottom w:val="nil"/>
              <w:right w:val="nil"/>
            </w:tcBorders>
            <w:shd w:val="clear" w:color="auto" w:fill="auto"/>
            <w:noWrap/>
            <w:vAlign w:val="center"/>
            <w:hideMark/>
          </w:tcPr>
          <w:p w14:paraId="7838C29C" w14:textId="77777777"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1</w:t>
            </w:r>
          </w:p>
        </w:tc>
        <w:tc>
          <w:tcPr>
            <w:tcW w:w="0" w:type="auto"/>
            <w:tcBorders>
              <w:top w:val="nil"/>
              <w:left w:val="nil"/>
              <w:bottom w:val="nil"/>
              <w:right w:val="nil"/>
            </w:tcBorders>
            <w:vAlign w:val="center"/>
          </w:tcPr>
          <w:p w14:paraId="4E1D4348" w14:textId="5883335B"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348ED6B7" w14:textId="697F278D"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0</w:t>
            </w:r>
          </w:p>
        </w:tc>
        <w:tc>
          <w:tcPr>
            <w:tcW w:w="0" w:type="auto"/>
            <w:tcBorders>
              <w:top w:val="nil"/>
              <w:left w:val="nil"/>
              <w:bottom w:val="nil"/>
              <w:right w:val="nil"/>
            </w:tcBorders>
            <w:vAlign w:val="center"/>
          </w:tcPr>
          <w:p w14:paraId="2152F5C9" w14:textId="46512CFF"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66D00C43" w14:textId="07AD6045"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K index</w:t>
            </w:r>
          </w:p>
        </w:tc>
        <w:tc>
          <w:tcPr>
            <w:tcW w:w="0" w:type="auto"/>
            <w:tcBorders>
              <w:top w:val="nil"/>
              <w:left w:val="nil"/>
              <w:bottom w:val="nil"/>
              <w:right w:val="nil"/>
            </w:tcBorders>
            <w:vAlign w:val="center"/>
          </w:tcPr>
          <w:p w14:paraId="416E869E" w14:textId="69AF6CEC" w:rsidR="00DF007B" w:rsidRPr="00324B90" w:rsidRDefault="00824785" w:rsidP="0017707B">
            <w:pPr>
              <w:spacing w:line="240" w:lineRule="auto"/>
              <w:ind w:left="170" w:hanging="170"/>
              <w:rPr>
                <w:rFonts w:asciiTheme="majorBidi" w:eastAsia="Times New Roman" w:hAnsiTheme="majorBidi" w:cstheme="majorBidi"/>
                <w:color w:val="000000"/>
                <w:sz w:val="16"/>
                <w:szCs w:val="16"/>
                <w:lang w:val="en-GB" w:eastAsia="zh-CN"/>
              </w:rPr>
            </w:pPr>
            <w:r w:rsidRPr="00824785">
              <w:rPr>
                <w:rFonts w:asciiTheme="majorBidi" w:eastAsia="Times New Roman" w:hAnsiTheme="majorBidi" w:cstheme="majorBidi"/>
                <w:color w:val="000000"/>
                <w:sz w:val="16"/>
                <w:szCs w:val="16"/>
                <w:lang w:val="en-GB" w:eastAsia="zh-CN"/>
              </w:rPr>
              <w:t>For 2-persons PDG, it is calculated as (R-P)/(T-S), and 0 &lt; K &lt; 1. For N-persons PDG, it is calculated as (A(n)-B(0))/(0(max)-0(min)), and 0 &lt; K &lt; 1.</w:t>
            </w:r>
          </w:p>
        </w:tc>
      </w:tr>
      <w:tr w:rsidR="00513A2C" w:rsidRPr="00324B90" w14:paraId="1F7BD291" w14:textId="482F28CD" w:rsidTr="007C08B9">
        <w:trPr>
          <w:trHeight w:val="250"/>
        </w:trPr>
        <w:tc>
          <w:tcPr>
            <w:tcW w:w="0" w:type="auto"/>
            <w:tcBorders>
              <w:top w:val="nil"/>
              <w:left w:val="nil"/>
              <w:bottom w:val="single" w:sz="4" w:space="0" w:color="auto"/>
              <w:right w:val="nil"/>
            </w:tcBorders>
            <w:shd w:val="clear" w:color="auto" w:fill="auto"/>
            <w:noWrap/>
            <w:vAlign w:val="center"/>
            <w:hideMark/>
          </w:tcPr>
          <w:p w14:paraId="1EAE53AB" w14:textId="77777777" w:rsidR="00DF007B" w:rsidRPr="00324B90" w:rsidRDefault="00DF007B" w:rsidP="00DE2B6F">
            <w:pPr>
              <w:spacing w:line="240" w:lineRule="auto"/>
              <w:ind w:firstLineChars="100" w:firstLine="160"/>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Game payment × Repetition</w:t>
            </w:r>
          </w:p>
        </w:tc>
        <w:tc>
          <w:tcPr>
            <w:tcW w:w="0" w:type="auto"/>
            <w:tcBorders>
              <w:top w:val="nil"/>
              <w:left w:val="nil"/>
              <w:bottom w:val="single" w:sz="4" w:space="0" w:color="auto"/>
              <w:right w:val="nil"/>
            </w:tcBorders>
            <w:shd w:val="clear" w:color="auto" w:fill="auto"/>
            <w:noWrap/>
            <w:vAlign w:val="center"/>
            <w:hideMark/>
          </w:tcPr>
          <w:p w14:paraId="4ADD4300" w14:textId="77777777" w:rsidR="0017707B" w:rsidRDefault="00DF007B" w:rsidP="0017707B">
            <w:pPr>
              <w:spacing w:line="240" w:lineRule="auto"/>
              <w:jc w:val="center"/>
              <w:rPr>
                <w:rFonts w:asciiTheme="majorBidi" w:eastAsiaTheme="minorEastAsia"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Monetary or Non-</w:t>
            </w:r>
          </w:p>
          <w:p w14:paraId="0B2FE101" w14:textId="10D808FB" w:rsidR="00DF007B" w:rsidRPr="00324B90" w:rsidRDefault="00DF007B" w:rsidP="0017707B">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 xml:space="preserve">monetary </w:t>
            </w:r>
            <w:r>
              <w:rPr>
                <w:rFonts w:asciiTheme="majorBidi" w:eastAsia="Times New Roman" w:hAnsiTheme="majorBidi" w:cstheme="majorBidi"/>
                <w:color w:val="000000"/>
                <w:sz w:val="16"/>
                <w:szCs w:val="16"/>
                <w:lang w:val="en-GB" w:eastAsia="zh-CN"/>
              </w:rPr>
              <w:t>m</w:t>
            </w:r>
            <w:r w:rsidRPr="00324B90">
              <w:rPr>
                <w:rFonts w:asciiTheme="majorBidi" w:eastAsia="Times New Roman" w:hAnsiTheme="majorBidi" w:cstheme="majorBidi"/>
                <w:color w:val="000000"/>
                <w:sz w:val="16"/>
                <w:szCs w:val="16"/>
                <w:lang w:val="en-GB" w:eastAsia="zh-CN"/>
              </w:rPr>
              <w:t>aterial</w:t>
            </w:r>
          </w:p>
        </w:tc>
        <w:tc>
          <w:tcPr>
            <w:tcW w:w="0" w:type="auto"/>
            <w:tcBorders>
              <w:top w:val="nil"/>
              <w:left w:val="nil"/>
              <w:bottom w:val="single" w:sz="4" w:space="0" w:color="auto"/>
              <w:right w:val="nil"/>
            </w:tcBorders>
            <w:vAlign w:val="center"/>
          </w:tcPr>
          <w:p w14:paraId="650690CB" w14:textId="20A7B240"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c>
          <w:tcPr>
            <w:tcW w:w="0" w:type="auto"/>
            <w:tcBorders>
              <w:top w:val="nil"/>
              <w:left w:val="nil"/>
              <w:bottom w:val="single" w:sz="4" w:space="0" w:color="auto"/>
              <w:right w:val="nil"/>
            </w:tcBorders>
            <w:shd w:val="clear" w:color="auto" w:fill="auto"/>
            <w:noWrap/>
            <w:vAlign w:val="center"/>
            <w:hideMark/>
          </w:tcPr>
          <w:p w14:paraId="46D7A4A0" w14:textId="53AB130C"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Hypothetical</w:t>
            </w:r>
          </w:p>
        </w:tc>
        <w:tc>
          <w:tcPr>
            <w:tcW w:w="0" w:type="auto"/>
            <w:tcBorders>
              <w:top w:val="nil"/>
              <w:left w:val="nil"/>
              <w:bottom w:val="single" w:sz="4" w:space="0" w:color="auto"/>
              <w:right w:val="nil"/>
            </w:tcBorders>
            <w:vAlign w:val="center"/>
          </w:tcPr>
          <w:p w14:paraId="090E5E9D" w14:textId="67573DF6"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c>
          <w:tcPr>
            <w:tcW w:w="0" w:type="auto"/>
            <w:tcBorders>
              <w:top w:val="nil"/>
              <w:left w:val="nil"/>
              <w:bottom w:val="single" w:sz="4" w:space="0" w:color="auto"/>
              <w:right w:val="nil"/>
            </w:tcBorders>
            <w:shd w:val="clear" w:color="auto" w:fill="auto"/>
            <w:noWrap/>
            <w:vAlign w:val="center"/>
            <w:hideMark/>
          </w:tcPr>
          <w:p w14:paraId="59D36FFB" w14:textId="06ABD4C6" w:rsidR="00DF007B" w:rsidRPr="00324B90" w:rsidRDefault="00DF007B" w:rsidP="00DE2B6F">
            <w:pPr>
              <w:spacing w:line="240" w:lineRule="auto"/>
              <w:jc w:val="center"/>
              <w:rPr>
                <w:rFonts w:asciiTheme="majorBidi" w:eastAsia="Times New Roman" w:hAnsiTheme="majorBidi" w:cstheme="majorBidi"/>
                <w:color w:val="000000"/>
                <w:sz w:val="16"/>
                <w:szCs w:val="16"/>
                <w:lang w:val="en-GB" w:eastAsia="zh-CN"/>
              </w:rPr>
            </w:pPr>
            <w:r w:rsidRPr="00324B90">
              <w:rPr>
                <w:rFonts w:asciiTheme="majorBidi" w:eastAsia="Times New Roman" w:hAnsiTheme="majorBidi" w:cstheme="majorBidi"/>
                <w:color w:val="000000"/>
                <w:sz w:val="16"/>
                <w:szCs w:val="16"/>
                <w:lang w:val="en-GB" w:eastAsia="zh-CN"/>
              </w:rPr>
              <w:t>One-shot vs repeated</w:t>
            </w:r>
          </w:p>
        </w:tc>
        <w:tc>
          <w:tcPr>
            <w:tcW w:w="0" w:type="auto"/>
            <w:tcBorders>
              <w:top w:val="nil"/>
              <w:left w:val="nil"/>
              <w:bottom w:val="single" w:sz="4" w:space="0" w:color="auto"/>
              <w:right w:val="nil"/>
            </w:tcBorders>
            <w:vAlign w:val="center"/>
          </w:tcPr>
          <w:p w14:paraId="543D0C4D" w14:textId="425755EE" w:rsidR="00DF007B" w:rsidRPr="00324B90" w:rsidRDefault="00824785" w:rsidP="00DE2B6F">
            <w:pPr>
              <w:spacing w:line="240" w:lineRule="auto"/>
              <w:jc w:val="center"/>
              <w:rPr>
                <w:rFonts w:asciiTheme="majorBidi" w:eastAsia="Times New Roman" w:hAnsiTheme="majorBidi" w:cstheme="majorBidi"/>
                <w:color w:val="000000"/>
                <w:sz w:val="16"/>
                <w:szCs w:val="16"/>
                <w:lang w:val="en-GB" w:eastAsia="zh-CN"/>
              </w:rPr>
            </w:pPr>
            <w:r>
              <w:rPr>
                <w:rFonts w:asciiTheme="majorBidi" w:eastAsia="Times New Roman" w:hAnsiTheme="majorBidi" w:cstheme="majorBidi"/>
                <w:color w:val="000000"/>
                <w:sz w:val="16"/>
                <w:szCs w:val="16"/>
                <w:lang w:val="en-GB" w:eastAsia="zh-CN"/>
              </w:rPr>
              <w:t>/</w:t>
            </w:r>
          </w:p>
        </w:tc>
      </w:tr>
    </w:tbl>
    <w:p w14:paraId="2B4120CD" w14:textId="650F738C" w:rsidR="00601859" w:rsidRDefault="00601859" w:rsidP="00601859">
      <w:pPr>
        <w:spacing w:line="240" w:lineRule="auto"/>
        <w:rPr>
          <w:rFonts w:eastAsiaTheme="minorEastAsia" w:cstheme="minorBidi"/>
          <w:szCs w:val="22"/>
          <w:lang w:eastAsia="zh-CN"/>
        </w:rPr>
      </w:pPr>
      <w:r w:rsidRPr="008F4C7C">
        <w:rPr>
          <w:rFonts w:eastAsiaTheme="minorEastAsia" w:cstheme="minorBidi"/>
          <w:i/>
          <w:szCs w:val="22"/>
          <w:lang w:eastAsia="zh-CN"/>
        </w:rPr>
        <w:t>Note.</w:t>
      </w:r>
      <w:r w:rsidR="00A31A18">
        <w:rPr>
          <w:rFonts w:eastAsiaTheme="minorEastAsia" w:cstheme="minorBidi"/>
          <w:szCs w:val="22"/>
          <w:lang w:eastAsia="zh-CN"/>
        </w:rPr>
        <w:t xml:space="preserve"> </w:t>
      </w:r>
      <w:r w:rsidRPr="00861790">
        <w:rPr>
          <w:rFonts w:eastAsiaTheme="minorEastAsia" w:cstheme="minorBidi"/>
          <w:szCs w:val="22"/>
          <w:lang w:eastAsia="zh-CN"/>
        </w:rPr>
        <w:t>SIVV = Specific Independent Variable values,</w:t>
      </w:r>
      <w:r>
        <w:rPr>
          <w:rFonts w:eastAsiaTheme="minorEastAsia" w:cstheme="minorBidi"/>
          <w:szCs w:val="22"/>
          <w:lang w:eastAsia="zh-CN"/>
        </w:rPr>
        <w:t xml:space="preserve"> </w:t>
      </w:r>
      <w:r w:rsidR="00A31A18">
        <w:rPr>
          <w:rFonts w:eastAsiaTheme="minorEastAsia" w:cstheme="minorBidi"/>
          <w:szCs w:val="22"/>
          <w:lang w:eastAsia="zh-CN"/>
        </w:rPr>
        <w:t xml:space="preserve">T1 = Treatment 1, T2 = Treatment 2, </w:t>
      </w:r>
      <w:r>
        <w:rPr>
          <w:rFonts w:eastAsiaTheme="minorEastAsia" w:cstheme="minorBidi"/>
          <w:szCs w:val="22"/>
          <w:lang w:eastAsia="zh-CN"/>
        </w:rPr>
        <w:t>Matching protocol</w:t>
      </w:r>
      <w:r w:rsidR="00A31A18">
        <w:rPr>
          <w:rFonts w:eastAsiaTheme="minorEastAsia" w:cstheme="minorBidi"/>
          <w:szCs w:val="22"/>
          <w:lang w:eastAsia="zh-CN"/>
        </w:rPr>
        <w:t>/</w:t>
      </w:r>
      <w:r>
        <w:rPr>
          <w:rFonts w:eastAsiaTheme="minorEastAsia" w:cstheme="minorBidi"/>
          <w:szCs w:val="22"/>
          <w:lang w:eastAsia="zh-CN"/>
        </w:rPr>
        <w:t>Repetition = Matching design, One-shot = Stranger matching, Repeated = Partner matching</w:t>
      </w:r>
      <w:r w:rsidR="00A31A18">
        <w:rPr>
          <w:rFonts w:eastAsiaTheme="minorEastAsia" w:cstheme="minorBidi"/>
          <w:szCs w:val="22"/>
          <w:lang w:eastAsia="zh-CN"/>
        </w:rPr>
        <w:t>.</w:t>
      </w:r>
      <w:r>
        <w:rPr>
          <w:rFonts w:eastAsiaTheme="minorEastAsia" w:cstheme="minorBidi"/>
          <w:szCs w:val="22"/>
          <w:lang w:eastAsia="zh-CN"/>
        </w:rPr>
        <w:t xml:space="preserve"> </w:t>
      </w:r>
    </w:p>
    <w:p w14:paraId="7C94305C" w14:textId="77777777" w:rsidR="00601859" w:rsidRDefault="00601859" w:rsidP="00601859">
      <w:pPr>
        <w:spacing w:line="240" w:lineRule="auto"/>
        <w:rPr>
          <w:rFonts w:eastAsiaTheme="minorEastAsia" w:cstheme="minorBidi"/>
          <w:szCs w:val="22"/>
          <w:lang w:eastAsia="zh-CN"/>
        </w:rPr>
      </w:pPr>
    </w:p>
    <w:p w14:paraId="3A7DE03C" w14:textId="2AD89BF9" w:rsidR="008C29DA" w:rsidRDefault="008C29DA">
      <w:pPr>
        <w:spacing w:after="160" w:line="259" w:lineRule="auto"/>
        <w:rPr>
          <w:rFonts w:eastAsiaTheme="minorEastAsia" w:cstheme="minorBidi"/>
          <w:szCs w:val="22"/>
          <w:lang w:eastAsia="zh-CN"/>
        </w:rPr>
      </w:pPr>
      <w:r>
        <w:rPr>
          <w:rFonts w:eastAsiaTheme="minorEastAsia" w:cstheme="minorBidi"/>
          <w:szCs w:val="22"/>
          <w:lang w:eastAsia="zh-CN"/>
        </w:rPr>
        <w:br w:type="page"/>
      </w:r>
    </w:p>
    <w:p w14:paraId="20AACB87" w14:textId="77777777" w:rsidR="008C29DA" w:rsidRPr="00CE1AE8" w:rsidRDefault="008C29DA" w:rsidP="008C29DA">
      <w:pPr>
        <w:rPr>
          <w:rFonts w:eastAsiaTheme="minorEastAsia" w:cstheme="minorBidi"/>
          <w:b/>
          <w:szCs w:val="22"/>
          <w:lang w:eastAsia="zh-CN"/>
        </w:rPr>
      </w:pPr>
      <w:r>
        <w:rPr>
          <w:rFonts w:eastAsiaTheme="minorEastAsia" w:cstheme="minorBidi"/>
          <w:b/>
          <w:szCs w:val="22"/>
          <w:lang w:eastAsia="zh-CN"/>
        </w:rPr>
        <w:lastRenderedPageBreak/>
        <w:t>Table S10</w:t>
      </w:r>
    </w:p>
    <w:p w14:paraId="534EC69E" w14:textId="77777777" w:rsidR="008C29DA" w:rsidRPr="00324B90" w:rsidRDefault="008C29DA" w:rsidP="008C29DA">
      <w:pPr>
        <w:rPr>
          <w:rFonts w:eastAsiaTheme="minorEastAsia" w:cstheme="minorBidi"/>
          <w:i/>
          <w:szCs w:val="22"/>
          <w:lang w:eastAsia="zh-CN"/>
        </w:rPr>
      </w:pPr>
      <w:r>
        <w:rPr>
          <w:rFonts w:eastAsiaTheme="minorEastAsia" w:cstheme="minorBidi"/>
          <w:i/>
          <w:szCs w:val="22"/>
          <w:lang w:eastAsia="zh-CN"/>
        </w:rPr>
        <w:t>Results</w:t>
      </w:r>
      <w:r w:rsidRPr="00324B90">
        <w:rPr>
          <w:rFonts w:eastAsiaTheme="minorEastAsia" w:cstheme="minorBidi"/>
          <w:i/>
          <w:szCs w:val="22"/>
          <w:lang w:eastAsia="zh-CN"/>
        </w:rPr>
        <w:t xml:space="preserve"> of Meta-Analyses of Within-Study Effect Sizes</w:t>
      </w:r>
      <w:r>
        <w:rPr>
          <w:rFonts w:eastAsiaTheme="minorEastAsia" w:cstheme="minorBidi"/>
          <w:i/>
          <w:szCs w:val="22"/>
          <w:lang w:eastAsia="zh-CN"/>
        </w:rPr>
        <w:t xml:space="preserve"> (Study 2)</w:t>
      </w:r>
    </w:p>
    <w:tbl>
      <w:tblPr>
        <w:tblW w:w="0" w:type="auto"/>
        <w:tblLook w:val="04A0" w:firstRow="1" w:lastRow="0" w:firstColumn="1" w:lastColumn="0" w:noHBand="0" w:noVBand="1"/>
      </w:tblPr>
      <w:tblGrid>
        <w:gridCol w:w="2186"/>
        <w:gridCol w:w="456"/>
        <w:gridCol w:w="589"/>
        <w:gridCol w:w="896"/>
        <w:gridCol w:w="1283"/>
        <w:gridCol w:w="1203"/>
        <w:gridCol w:w="979"/>
        <w:gridCol w:w="1012"/>
        <w:gridCol w:w="777"/>
      </w:tblGrid>
      <w:tr w:rsidR="008C29DA" w:rsidRPr="00324B90" w14:paraId="1BDA1E27" w14:textId="77777777" w:rsidTr="007C08B9">
        <w:trPr>
          <w:trHeight w:val="250"/>
        </w:trPr>
        <w:tc>
          <w:tcPr>
            <w:tcW w:w="0" w:type="auto"/>
            <w:tcBorders>
              <w:top w:val="single" w:sz="4" w:space="0" w:color="auto"/>
              <w:left w:val="nil"/>
              <w:bottom w:val="single" w:sz="4" w:space="0" w:color="auto"/>
              <w:right w:val="nil"/>
            </w:tcBorders>
            <w:shd w:val="clear" w:color="auto" w:fill="auto"/>
            <w:noWrap/>
            <w:vAlign w:val="center"/>
            <w:hideMark/>
          </w:tcPr>
          <w:p w14:paraId="10268DAB" w14:textId="77777777" w:rsidR="008C29DA" w:rsidRPr="00324B90" w:rsidRDefault="008C29DA" w:rsidP="0011556B">
            <w:pPr>
              <w:spacing w:line="240" w:lineRule="auto"/>
              <w:jc w:val="center"/>
              <w:rPr>
                <w:rFonts w:eastAsia="Times New Roman" w:cs="Times New Roman"/>
                <w:b/>
                <w:bCs/>
                <w:color w:val="000000"/>
                <w:sz w:val="16"/>
                <w:szCs w:val="16"/>
                <w:lang w:val="en-GB" w:eastAsia="zh-CN"/>
              </w:rPr>
            </w:pPr>
            <w:r w:rsidRPr="00324B90">
              <w:rPr>
                <w:rFonts w:eastAsia="Times New Roman" w:cs="Times New Roman"/>
                <w:b/>
                <w:bCs/>
                <w:color w:val="000000"/>
                <w:sz w:val="16"/>
                <w:szCs w:val="16"/>
                <w:lang w:val="en-GB" w:eastAsia="zh-CN"/>
              </w:rPr>
              <w:t>Variables</w:t>
            </w:r>
          </w:p>
        </w:tc>
        <w:tc>
          <w:tcPr>
            <w:tcW w:w="0" w:type="auto"/>
            <w:tcBorders>
              <w:top w:val="single" w:sz="4" w:space="0" w:color="auto"/>
              <w:left w:val="nil"/>
              <w:bottom w:val="single" w:sz="4" w:space="0" w:color="auto"/>
              <w:right w:val="nil"/>
            </w:tcBorders>
            <w:shd w:val="clear" w:color="auto" w:fill="auto"/>
            <w:noWrap/>
            <w:vAlign w:val="center"/>
            <w:hideMark/>
          </w:tcPr>
          <w:p w14:paraId="32158CAC" w14:textId="77777777" w:rsidR="008C29DA" w:rsidRPr="00324B90" w:rsidRDefault="008C29DA" w:rsidP="0011556B">
            <w:pPr>
              <w:spacing w:line="240" w:lineRule="auto"/>
              <w:jc w:val="center"/>
              <w:rPr>
                <w:rFonts w:eastAsia="Times New Roman" w:cs="Times New Roman"/>
                <w:b/>
                <w:bCs/>
                <w:i/>
                <w:iCs/>
                <w:color w:val="000000"/>
                <w:sz w:val="16"/>
                <w:szCs w:val="16"/>
                <w:lang w:val="en-GB" w:eastAsia="zh-CN"/>
              </w:rPr>
            </w:pPr>
            <w:r w:rsidRPr="00324B90">
              <w:rPr>
                <w:rFonts w:eastAsia="Times New Roman" w:cs="Times New Roman"/>
                <w:b/>
                <w:bCs/>
                <w:i/>
                <w:iCs/>
                <w:color w:val="000000"/>
                <w:sz w:val="16"/>
                <w:szCs w:val="16"/>
                <w:lang w:val="en-GB" w:eastAsia="zh-CN"/>
              </w:rPr>
              <w:t>k</w:t>
            </w:r>
          </w:p>
        </w:tc>
        <w:tc>
          <w:tcPr>
            <w:tcW w:w="0" w:type="auto"/>
            <w:tcBorders>
              <w:top w:val="single" w:sz="4" w:space="0" w:color="auto"/>
              <w:left w:val="nil"/>
              <w:bottom w:val="single" w:sz="4" w:space="0" w:color="auto"/>
              <w:right w:val="nil"/>
            </w:tcBorders>
            <w:shd w:val="clear" w:color="auto" w:fill="auto"/>
            <w:noWrap/>
            <w:vAlign w:val="center"/>
            <w:hideMark/>
          </w:tcPr>
          <w:p w14:paraId="7FC27B1F" w14:textId="77777777" w:rsidR="008C29DA" w:rsidRPr="00324B90" w:rsidRDefault="008C29DA" w:rsidP="0011556B">
            <w:pPr>
              <w:spacing w:line="240" w:lineRule="auto"/>
              <w:jc w:val="center"/>
              <w:rPr>
                <w:rFonts w:eastAsia="Times New Roman" w:cs="Times New Roman"/>
                <w:b/>
                <w:bCs/>
                <w:i/>
                <w:iCs/>
                <w:color w:val="000000"/>
                <w:sz w:val="16"/>
                <w:szCs w:val="16"/>
                <w:lang w:val="en-GB" w:eastAsia="zh-CN"/>
              </w:rPr>
            </w:pPr>
            <w:proofErr w:type="spellStart"/>
            <w:r w:rsidRPr="00324B90">
              <w:rPr>
                <w:rFonts w:eastAsia="Times New Roman" w:cs="Times New Roman"/>
                <w:b/>
                <w:bCs/>
                <w:i/>
                <w:iCs/>
                <w:color w:val="000000"/>
                <w:sz w:val="16"/>
                <w:szCs w:val="16"/>
                <w:lang w:val="en-GB" w:eastAsia="zh-CN"/>
              </w:rPr>
              <w:t>n</w:t>
            </w:r>
            <w:r w:rsidRPr="00324B90">
              <w:rPr>
                <w:rFonts w:eastAsia="Times New Roman" w:cs="Times New Roman"/>
                <w:b/>
                <w:bCs/>
                <w:i/>
                <w:iCs/>
                <w:color w:val="000000"/>
                <w:sz w:val="16"/>
                <w:szCs w:val="16"/>
                <w:vertAlign w:val="subscript"/>
                <w:lang w:val="en-GB" w:eastAsia="zh-CN"/>
              </w:rPr>
              <w:t>studies</w:t>
            </w:r>
            <w:proofErr w:type="spellEnd"/>
          </w:p>
        </w:tc>
        <w:tc>
          <w:tcPr>
            <w:tcW w:w="0" w:type="auto"/>
            <w:tcBorders>
              <w:top w:val="single" w:sz="4" w:space="0" w:color="auto"/>
              <w:left w:val="nil"/>
              <w:bottom w:val="single" w:sz="4" w:space="0" w:color="auto"/>
              <w:right w:val="nil"/>
            </w:tcBorders>
            <w:shd w:val="clear" w:color="auto" w:fill="auto"/>
            <w:noWrap/>
            <w:vAlign w:val="center"/>
            <w:hideMark/>
          </w:tcPr>
          <w:p w14:paraId="62FA4FE4" w14:textId="77777777" w:rsidR="008C29DA" w:rsidRPr="00324B90" w:rsidRDefault="008C29DA" w:rsidP="0011556B">
            <w:pPr>
              <w:spacing w:line="240" w:lineRule="auto"/>
              <w:jc w:val="center"/>
              <w:rPr>
                <w:rFonts w:eastAsia="Times New Roman" w:cs="Times New Roman"/>
                <w:b/>
                <w:bCs/>
                <w:i/>
                <w:iCs/>
                <w:color w:val="000000"/>
                <w:sz w:val="16"/>
                <w:szCs w:val="16"/>
                <w:lang w:val="en-GB" w:eastAsia="zh-CN"/>
              </w:rPr>
            </w:pPr>
            <w:r w:rsidRPr="00324B90">
              <w:rPr>
                <w:rFonts w:eastAsia="Times New Roman" w:cs="Times New Roman"/>
                <w:b/>
                <w:bCs/>
                <w:i/>
                <w:iCs/>
                <w:color w:val="000000"/>
                <w:sz w:val="16"/>
                <w:szCs w:val="16"/>
                <w:lang w:val="en-GB" w:eastAsia="zh-CN"/>
              </w:rPr>
              <w:t xml:space="preserve">d </w:t>
            </w:r>
            <w:r w:rsidRPr="00324B90">
              <w:rPr>
                <w:rFonts w:eastAsia="Times New Roman" w:cs="Times New Roman"/>
                <w:b/>
                <w:bCs/>
                <w:color w:val="000000"/>
                <w:sz w:val="16"/>
                <w:szCs w:val="16"/>
                <w:lang w:val="en-GB" w:eastAsia="zh-CN"/>
              </w:rPr>
              <w:t>(T1–T2)</w:t>
            </w:r>
          </w:p>
        </w:tc>
        <w:tc>
          <w:tcPr>
            <w:tcW w:w="0" w:type="auto"/>
            <w:tcBorders>
              <w:top w:val="single" w:sz="4" w:space="0" w:color="auto"/>
              <w:left w:val="nil"/>
              <w:bottom w:val="single" w:sz="4" w:space="0" w:color="auto"/>
              <w:right w:val="nil"/>
            </w:tcBorders>
            <w:shd w:val="clear" w:color="auto" w:fill="auto"/>
            <w:noWrap/>
            <w:vAlign w:val="center"/>
            <w:hideMark/>
          </w:tcPr>
          <w:p w14:paraId="37D7D2F1" w14:textId="77777777" w:rsidR="008C29DA" w:rsidRPr="00324B90" w:rsidRDefault="008C29DA" w:rsidP="0011556B">
            <w:pPr>
              <w:spacing w:line="240" w:lineRule="auto"/>
              <w:jc w:val="center"/>
              <w:rPr>
                <w:rFonts w:eastAsia="Times New Roman" w:cs="Times New Roman"/>
                <w:b/>
                <w:bCs/>
                <w:color w:val="000000"/>
                <w:sz w:val="16"/>
                <w:szCs w:val="16"/>
                <w:lang w:val="en-GB" w:eastAsia="zh-CN"/>
              </w:rPr>
            </w:pPr>
            <w:r w:rsidRPr="00324B90">
              <w:rPr>
                <w:rFonts w:eastAsia="Times New Roman" w:cs="Times New Roman"/>
                <w:b/>
                <w:bCs/>
                <w:color w:val="000000"/>
                <w:sz w:val="16"/>
                <w:szCs w:val="16"/>
                <w:lang w:val="en-GB" w:eastAsia="zh-CN"/>
              </w:rPr>
              <w:t>95%</w:t>
            </w:r>
            <w:r w:rsidRPr="00324B90">
              <w:rPr>
                <w:rFonts w:eastAsia="Times New Roman" w:cs="Times New Roman"/>
                <w:b/>
                <w:bCs/>
                <w:i/>
                <w:iCs/>
                <w:color w:val="000000"/>
                <w:sz w:val="16"/>
                <w:szCs w:val="16"/>
                <w:lang w:val="en-GB" w:eastAsia="zh-CN"/>
              </w:rPr>
              <w:t>CI</w:t>
            </w:r>
          </w:p>
        </w:tc>
        <w:tc>
          <w:tcPr>
            <w:tcW w:w="0" w:type="auto"/>
            <w:tcBorders>
              <w:top w:val="single" w:sz="4" w:space="0" w:color="auto"/>
              <w:left w:val="nil"/>
              <w:bottom w:val="single" w:sz="4" w:space="0" w:color="auto"/>
              <w:right w:val="nil"/>
            </w:tcBorders>
            <w:vAlign w:val="center"/>
          </w:tcPr>
          <w:p w14:paraId="6DC43DB7" w14:textId="77777777" w:rsidR="008C29DA" w:rsidRPr="00324B90" w:rsidRDefault="008C29DA" w:rsidP="0011556B">
            <w:pPr>
              <w:spacing w:line="240" w:lineRule="auto"/>
              <w:jc w:val="center"/>
              <w:rPr>
                <w:rFonts w:eastAsia="Times New Roman" w:cs="Times New Roman"/>
                <w:b/>
                <w:bCs/>
                <w:color w:val="000000"/>
                <w:sz w:val="16"/>
                <w:szCs w:val="16"/>
                <w:lang w:val="en-GB" w:eastAsia="zh-CN"/>
              </w:rPr>
            </w:pPr>
            <w:r w:rsidRPr="00324B90">
              <w:rPr>
                <w:rFonts w:eastAsia="Times New Roman" w:cs="Times New Roman"/>
                <w:b/>
                <w:bCs/>
                <w:color w:val="000000"/>
                <w:sz w:val="16"/>
                <w:szCs w:val="16"/>
                <w:lang w:val="en-GB" w:eastAsia="zh-CN"/>
              </w:rPr>
              <w:t>95%</w:t>
            </w:r>
            <w:r w:rsidRPr="004F6F71">
              <w:rPr>
                <w:rFonts w:eastAsia="Times New Roman" w:cs="Times New Roman"/>
                <w:b/>
                <w:bCs/>
                <w:i/>
                <w:iCs/>
                <w:color w:val="000000"/>
                <w:sz w:val="16"/>
                <w:szCs w:val="16"/>
                <w:lang w:val="en-GB" w:eastAsia="zh-CN"/>
              </w:rPr>
              <w:t>P</w:t>
            </w:r>
            <w:r w:rsidRPr="00324B90">
              <w:rPr>
                <w:rFonts w:eastAsia="Times New Roman" w:cs="Times New Roman"/>
                <w:b/>
                <w:bCs/>
                <w:i/>
                <w:iCs/>
                <w:color w:val="000000"/>
                <w:sz w:val="16"/>
                <w:szCs w:val="16"/>
                <w:lang w:val="en-GB" w:eastAsia="zh-CN"/>
              </w:rPr>
              <w:t>I</w:t>
            </w:r>
          </w:p>
        </w:tc>
        <w:tc>
          <w:tcPr>
            <w:tcW w:w="0" w:type="auto"/>
            <w:tcBorders>
              <w:top w:val="single" w:sz="4" w:space="0" w:color="auto"/>
              <w:left w:val="nil"/>
              <w:bottom w:val="single" w:sz="4" w:space="0" w:color="auto"/>
              <w:right w:val="nil"/>
            </w:tcBorders>
            <w:shd w:val="clear" w:color="auto" w:fill="auto"/>
            <w:noWrap/>
            <w:vAlign w:val="center"/>
            <w:hideMark/>
          </w:tcPr>
          <w:p w14:paraId="1C809157" w14:textId="77777777" w:rsidR="008C29DA" w:rsidRPr="00324B90" w:rsidRDefault="008C29DA" w:rsidP="0011556B">
            <w:pPr>
              <w:spacing w:line="240" w:lineRule="auto"/>
              <w:jc w:val="center"/>
              <w:rPr>
                <w:rFonts w:eastAsia="Times New Roman" w:cs="Times New Roman"/>
                <w:b/>
                <w:bCs/>
                <w:color w:val="000000"/>
                <w:sz w:val="16"/>
                <w:szCs w:val="16"/>
                <w:lang w:val="en-GB" w:eastAsia="zh-CN"/>
              </w:rPr>
            </w:pPr>
            <w:r w:rsidRPr="00324B90">
              <w:rPr>
                <w:rFonts w:eastAsia="Times New Roman" w:cs="Times New Roman"/>
                <w:b/>
                <w:bCs/>
                <w:color w:val="000000"/>
                <w:sz w:val="16"/>
                <w:szCs w:val="16"/>
                <w:lang w:val="en-GB" w:eastAsia="zh-CN"/>
              </w:rPr>
              <w:t>Kendall's τ</w:t>
            </w:r>
          </w:p>
        </w:tc>
        <w:tc>
          <w:tcPr>
            <w:tcW w:w="0" w:type="auto"/>
            <w:tcBorders>
              <w:top w:val="single" w:sz="4" w:space="0" w:color="auto"/>
              <w:left w:val="nil"/>
              <w:bottom w:val="single" w:sz="4" w:space="0" w:color="auto"/>
              <w:right w:val="nil"/>
            </w:tcBorders>
            <w:shd w:val="clear" w:color="auto" w:fill="auto"/>
            <w:noWrap/>
            <w:vAlign w:val="center"/>
            <w:hideMark/>
          </w:tcPr>
          <w:p w14:paraId="0B5473D3" w14:textId="77777777" w:rsidR="008C29DA" w:rsidRPr="00324B90" w:rsidRDefault="008C29DA" w:rsidP="0011556B">
            <w:pPr>
              <w:spacing w:line="240" w:lineRule="auto"/>
              <w:jc w:val="center"/>
              <w:rPr>
                <w:rFonts w:eastAsia="Times New Roman" w:cs="Times New Roman"/>
                <w:b/>
                <w:bCs/>
                <w:color w:val="000000"/>
                <w:sz w:val="16"/>
                <w:szCs w:val="16"/>
                <w:lang w:val="en-GB" w:eastAsia="zh-CN"/>
              </w:rPr>
            </w:pPr>
            <w:r w:rsidRPr="00324B90">
              <w:rPr>
                <w:rFonts w:eastAsia="Times New Roman" w:cs="Times New Roman"/>
                <w:b/>
                <w:bCs/>
                <w:color w:val="000000"/>
                <w:sz w:val="16"/>
                <w:szCs w:val="16"/>
                <w:lang w:val="en-GB" w:eastAsia="zh-CN"/>
              </w:rPr>
              <w:t>Egger's test</w:t>
            </w:r>
          </w:p>
        </w:tc>
        <w:tc>
          <w:tcPr>
            <w:tcW w:w="0" w:type="auto"/>
            <w:tcBorders>
              <w:top w:val="single" w:sz="4" w:space="0" w:color="auto"/>
              <w:left w:val="nil"/>
              <w:bottom w:val="single" w:sz="4" w:space="0" w:color="auto"/>
              <w:right w:val="nil"/>
            </w:tcBorders>
            <w:shd w:val="clear" w:color="auto" w:fill="auto"/>
            <w:noWrap/>
            <w:vAlign w:val="center"/>
            <w:hideMark/>
          </w:tcPr>
          <w:p w14:paraId="41EC287D" w14:textId="77777777" w:rsidR="008C29DA" w:rsidRPr="00324B90" w:rsidRDefault="008C29DA" w:rsidP="0011556B">
            <w:pPr>
              <w:spacing w:line="240" w:lineRule="auto"/>
              <w:jc w:val="center"/>
              <w:rPr>
                <w:rFonts w:eastAsia="Times New Roman" w:cs="Times New Roman"/>
                <w:b/>
                <w:bCs/>
                <w:color w:val="000000"/>
                <w:sz w:val="16"/>
                <w:szCs w:val="16"/>
                <w:lang w:val="en-GB" w:eastAsia="zh-CN"/>
              </w:rPr>
            </w:pPr>
            <w:r w:rsidRPr="00324B90">
              <w:rPr>
                <w:rFonts w:eastAsia="Times New Roman" w:cs="Times New Roman"/>
                <w:b/>
                <w:bCs/>
                <w:color w:val="000000"/>
                <w:sz w:val="16"/>
                <w:szCs w:val="16"/>
                <w:lang w:val="en-GB" w:eastAsia="zh-CN"/>
              </w:rPr>
              <w:t>Support</w:t>
            </w:r>
          </w:p>
        </w:tc>
      </w:tr>
      <w:tr w:rsidR="008C29DA" w:rsidRPr="00324B90" w14:paraId="47453629" w14:textId="77777777" w:rsidTr="007C08B9">
        <w:trPr>
          <w:trHeight w:val="250"/>
        </w:trPr>
        <w:tc>
          <w:tcPr>
            <w:tcW w:w="0" w:type="auto"/>
            <w:tcBorders>
              <w:top w:val="nil"/>
              <w:left w:val="nil"/>
              <w:bottom w:val="nil"/>
              <w:right w:val="nil"/>
            </w:tcBorders>
            <w:shd w:val="clear" w:color="auto" w:fill="auto"/>
            <w:noWrap/>
            <w:vAlign w:val="center"/>
            <w:hideMark/>
          </w:tcPr>
          <w:p w14:paraId="19C3705F" w14:textId="77777777" w:rsidR="008C29DA" w:rsidRPr="00324B90" w:rsidRDefault="008C29DA" w:rsidP="0011556B">
            <w:pPr>
              <w:spacing w:line="240" w:lineRule="auto"/>
              <w:rPr>
                <w:rFonts w:eastAsia="Times New Roman" w:cs="Times New Roman"/>
                <w:i/>
                <w:iCs/>
                <w:color w:val="000000"/>
                <w:sz w:val="16"/>
                <w:szCs w:val="16"/>
                <w:lang w:val="en-GB" w:eastAsia="zh-CN"/>
              </w:rPr>
            </w:pPr>
            <w:r w:rsidRPr="00324B90">
              <w:rPr>
                <w:rFonts w:eastAsia="Times New Roman" w:cs="Times New Roman"/>
                <w:i/>
                <w:iCs/>
                <w:color w:val="000000"/>
                <w:sz w:val="16"/>
                <w:szCs w:val="16"/>
                <w:lang w:val="en-GB" w:eastAsia="zh-CN"/>
              </w:rPr>
              <w:t>Sample variables</w:t>
            </w:r>
          </w:p>
        </w:tc>
        <w:tc>
          <w:tcPr>
            <w:tcW w:w="0" w:type="auto"/>
            <w:tcBorders>
              <w:top w:val="nil"/>
              <w:left w:val="nil"/>
              <w:bottom w:val="nil"/>
              <w:right w:val="nil"/>
            </w:tcBorders>
            <w:shd w:val="clear" w:color="auto" w:fill="auto"/>
            <w:noWrap/>
            <w:vAlign w:val="center"/>
            <w:hideMark/>
          </w:tcPr>
          <w:p w14:paraId="79BABACF" w14:textId="77777777" w:rsidR="008C29DA" w:rsidRPr="00324B90" w:rsidRDefault="008C29DA" w:rsidP="0011556B">
            <w:pPr>
              <w:spacing w:line="240" w:lineRule="auto"/>
              <w:rPr>
                <w:rFonts w:eastAsia="Times New Roman" w:cs="Times New Roman"/>
                <w:i/>
                <w:iCs/>
                <w:color w:val="000000"/>
                <w:sz w:val="16"/>
                <w:szCs w:val="16"/>
                <w:lang w:val="en-GB" w:eastAsia="zh-CN"/>
              </w:rPr>
            </w:pPr>
          </w:p>
        </w:tc>
        <w:tc>
          <w:tcPr>
            <w:tcW w:w="0" w:type="auto"/>
            <w:tcBorders>
              <w:top w:val="nil"/>
              <w:left w:val="nil"/>
              <w:bottom w:val="nil"/>
              <w:right w:val="nil"/>
            </w:tcBorders>
            <w:shd w:val="clear" w:color="auto" w:fill="auto"/>
            <w:noWrap/>
            <w:vAlign w:val="center"/>
            <w:hideMark/>
          </w:tcPr>
          <w:p w14:paraId="0B9D9049"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36B50860"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5A0F2C21"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vAlign w:val="center"/>
          </w:tcPr>
          <w:p w14:paraId="131CE55A"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56976EBB"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0A7FEF40"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690A32A1" w14:textId="77777777" w:rsidR="008C29DA" w:rsidRPr="00324B90" w:rsidRDefault="008C29DA" w:rsidP="0011556B">
            <w:pPr>
              <w:spacing w:line="240" w:lineRule="auto"/>
              <w:jc w:val="center"/>
              <w:rPr>
                <w:rFonts w:eastAsia="Times New Roman" w:cs="Times New Roman"/>
                <w:sz w:val="20"/>
                <w:szCs w:val="20"/>
                <w:lang w:val="en-GB" w:eastAsia="zh-CN"/>
              </w:rPr>
            </w:pPr>
          </w:p>
        </w:tc>
      </w:tr>
      <w:tr w:rsidR="008C29DA" w:rsidRPr="00324B90" w14:paraId="4C69BCB2" w14:textId="77777777" w:rsidTr="007C08B9">
        <w:trPr>
          <w:trHeight w:val="250"/>
        </w:trPr>
        <w:tc>
          <w:tcPr>
            <w:tcW w:w="0" w:type="auto"/>
            <w:tcBorders>
              <w:top w:val="nil"/>
              <w:left w:val="nil"/>
              <w:bottom w:val="nil"/>
              <w:right w:val="nil"/>
            </w:tcBorders>
            <w:shd w:val="clear" w:color="auto" w:fill="auto"/>
            <w:noWrap/>
            <w:vAlign w:val="center"/>
            <w:hideMark/>
          </w:tcPr>
          <w:p w14:paraId="453B9D68" w14:textId="77777777" w:rsidR="008C29DA" w:rsidRPr="00324B90" w:rsidRDefault="008C29DA" w:rsidP="0011556B">
            <w:pPr>
              <w:spacing w:line="240" w:lineRule="auto"/>
              <w:ind w:firstLineChars="100" w:firstLine="160"/>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Age</w:t>
            </w:r>
          </w:p>
        </w:tc>
        <w:tc>
          <w:tcPr>
            <w:tcW w:w="0" w:type="auto"/>
            <w:tcBorders>
              <w:top w:val="nil"/>
              <w:left w:val="nil"/>
              <w:bottom w:val="nil"/>
              <w:right w:val="nil"/>
            </w:tcBorders>
            <w:shd w:val="clear" w:color="auto" w:fill="auto"/>
            <w:noWrap/>
            <w:vAlign w:val="center"/>
            <w:hideMark/>
          </w:tcPr>
          <w:p w14:paraId="1B1288CF"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23</w:t>
            </w:r>
          </w:p>
        </w:tc>
        <w:tc>
          <w:tcPr>
            <w:tcW w:w="0" w:type="auto"/>
            <w:tcBorders>
              <w:top w:val="nil"/>
              <w:left w:val="nil"/>
              <w:bottom w:val="nil"/>
              <w:right w:val="nil"/>
            </w:tcBorders>
            <w:shd w:val="clear" w:color="auto" w:fill="auto"/>
            <w:noWrap/>
            <w:vAlign w:val="center"/>
            <w:hideMark/>
          </w:tcPr>
          <w:p w14:paraId="31172180"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18</w:t>
            </w:r>
          </w:p>
        </w:tc>
        <w:tc>
          <w:tcPr>
            <w:tcW w:w="0" w:type="auto"/>
            <w:tcBorders>
              <w:top w:val="nil"/>
              <w:left w:val="nil"/>
              <w:bottom w:val="nil"/>
              <w:right w:val="nil"/>
            </w:tcBorders>
            <w:shd w:val="clear" w:color="auto" w:fill="auto"/>
            <w:noWrap/>
            <w:vAlign w:val="center"/>
            <w:hideMark/>
          </w:tcPr>
          <w:p w14:paraId="5F6CFD18"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0.142</w:t>
            </w:r>
          </w:p>
        </w:tc>
        <w:tc>
          <w:tcPr>
            <w:tcW w:w="0" w:type="auto"/>
            <w:tcBorders>
              <w:top w:val="nil"/>
              <w:left w:val="nil"/>
              <w:bottom w:val="nil"/>
              <w:right w:val="nil"/>
            </w:tcBorders>
            <w:shd w:val="clear" w:color="auto" w:fill="auto"/>
            <w:noWrap/>
            <w:vAlign w:val="center"/>
            <w:hideMark/>
          </w:tcPr>
          <w:p w14:paraId="73367A80"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 xml:space="preserve">[0.045, 0.240] </w:t>
            </w:r>
          </w:p>
        </w:tc>
        <w:tc>
          <w:tcPr>
            <w:tcW w:w="0" w:type="auto"/>
            <w:tcBorders>
              <w:top w:val="nil"/>
              <w:left w:val="nil"/>
              <w:bottom w:val="nil"/>
              <w:right w:val="nil"/>
            </w:tcBorders>
            <w:vAlign w:val="center"/>
          </w:tcPr>
          <w:p w14:paraId="0C067937" w14:textId="2E9CC91F" w:rsidR="008C29DA" w:rsidRPr="00324B90" w:rsidRDefault="005C5005" w:rsidP="0011556B">
            <w:pPr>
              <w:spacing w:line="240" w:lineRule="auto"/>
              <w:jc w:val="center"/>
              <w:rPr>
                <w:rFonts w:eastAsia="Times New Roman" w:cs="Times New Roman"/>
                <w:color w:val="000000"/>
                <w:sz w:val="16"/>
                <w:szCs w:val="16"/>
                <w:lang w:val="en-GB" w:eastAsia="zh-CN"/>
              </w:rPr>
            </w:pPr>
            <w:r w:rsidRPr="005C5005">
              <w:rPr>
                <w:rFonts w:eastAsia="Times New Roman" w:cs="Times New Roman"/>
                <w:color w:val="000000"/>
                <w:sz w:val="16"/>
                <w:szCs w:val="16"/>
                <w:lang w:val="en-GB" w:eastAsia="zh-CN"/>
              </w:rPr>
              <w:t>[</w:t>
            </w:r>
            <w:r w:rsidRPr="00324B90">
              <w:rPr>
                <w:rFonts w:eastAsia="Times New Roman" w:cs="Times New Roman"/>
                <w:color w:val="000000"/>
                <w:sz w:val="16"/>
                <w:szCs w:val="16"/>
                <w:lang w:val="en-GB" w:eastAsia="zh-CN"/>
              </w:rPr>
              <w:t>–</w:t>
            </w:r>
            <w:r w:rsidRPr="005C5005">
              <w:rPr>
                <w:rFonts w:eastAsia="Times New Roman" w:cs="Times New Roman"/>
                <w:color w:val="000000"/>
                <w:sz w:val="16"/>
                <w:szCs w:val="16"/>
                <w:lang w:val="en-GB" w:eastAsia="zh-CN"/>
              </w:rPr>
              <w:t>0.162, 0.447]</w:t>
            </w:r>
          </w:p>
        </w:tc>
        <w:tc>
          <w:tcPr>
            <w:tcW w:w="0" w:type="auto"/>
            <w:tcBorders>
              <w:top w:val="nil"/>
              <w:left w:val="nil"/>
              <w:bottom w:val="nil"/>
              <w:right w:val="nil"/>
            </w:tcBorders>
            <w:shd w:val="clear" w:color="auto" w:fill="auto"/>
            <w:noWrap/>
            <w:vAlign w:val="center"/>
            <w:hideMark/>
          </w:tcPr>
          <w:p w14:paraId="6F64D811"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0.123</w:t>
            </w:r>
          </w:p>
        </w:tc>
        <w:tc>
          <w:tcPr>
            <w:tcW w:w="0" w:type="auto"/>
            <w:tcBorders>
              <w:top w:val="nil"/>
              <w:left w:val="nil"/>
              <w:bottom w:val="nil"/>
              <w:right w:val="nil"/>
            </w:tcBorders>
            <w:shd w:val="clear" w:color="auto" w:fill="auto"/>
            <w:noWrap/>
            <w:vAlign w:val="center"/>
            <w:hideMark/>
          </w:tcPr>
          <w:p w14:paraId="0AC20103"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1.159</w:t>
            </w:r>
          </w:p>
        </w:tc>
        <w:tc>
          <w:tcPr>
            <w:tcW w:w="0" w:type="auto"/>
            <w:tcBorders>
              <w:top w:val="nil"/>
              <w:left w:val="nil"/>
              <w:bottom w:val="nil"/>
              <w:right w:val="nil"/>
            </w:tcBorders>
            <w:shd w:val="clear" w:color="auto" w:fill="auto"/>
            <w:noWrap/>
            <w:vAlign w:val="center"/>
            <w:hideMark/>
          </w:tcPr>
          <w:p w14:paraId="4FAD74E1"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Pr>
                <w:rFonts w:eastAsia="Times New Roman" w:cs="Times New Roman"/>
                <w:color w:val="000000"/>
                <w:sz w:val="16"/>
                <w:szCs w:val="16"/>
                <w:lang w:val="en-GB" w:eastAsia="zh-CN"/>
              </w:rPr>
              <w:t>Yes</w:t>
            </w:r>
          </w:p>
        </w:tc>
      </w:tr>
      <w:tr w:rsidR="008C29DA" w:rsidRPr="00324B90" w14:paraId="218EB204" w14:textId="77777777" w:rsidTr="007C08B9">
        <w:trPr>
          <w:trHeight w:val="250"/>
        </w:trPr>
        <w:tc>
          <w:tcPr>
            <w:tcW w:w="0" w:type="auto"/>
            <w:tcBorders>
              <w:top w:val="nil"/>
              <w:left w:val="nil"/>
              <w:bottom w:val="nil"/>
              <w:right w:val="nil"/>
            </w:tcBorders>
            <w:shd w:val="clear" w:color="auto" w:fill="auto"/>
            <w:noWrap/>
            <w:vAlign w:val="center"/>
            <w:hideMark/>
          </w:tcPr>
          <w:p w14:paraId="0F78D428" w14:textId="77777777" w:rsidR="008C29DA" w:rsidRPr="00324B90" w:rsidRDefault="008C29DA" w:rsidP="0011556B">
            <w:pPr>
              <w:spacing w:line="240" w:lineRule="auto"/>
              <w:ind w:firstLineChars="100" w:firstLine="160"/>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Gender</w:t>
            </w:r>
          </w:p>
        </w:tc>
        <w:tc>
          <w:tcPr>
            <w:tcW w:w="0" w:type="auto"/>
            <w:tcBorders>
              <w:top w:val="nil"/>
              <w:left w:val="nil"/>
              <w:bottom w:val="nil"/>
              <w:right w:val="nil"/>
            </w:tcBorders>
            <w:shd w:val="clear" w:color="auto" w:fill="auto"/>
            <w:noWrap/>
            <w:vAlign w:val="center"/>
            <w:hideMark/>
          </w:tcPr>
          <w:p w14:paraId="296FADB1"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190</w:t>
            </w:r>
          </w:p>
        </w:tc>
        <w:tc>
          <w:tcPr>
            <w:tcW w:w="0" w:type="auto"/>
            <w:tcBorders>
              <w:top w:val="nil"/>
              <w:left w:val="nil"/>
              <w:bottom w:val="nil"/>
              <w:right w:val="nil"/>
            </w:tcBorders>
            <w:shd w:val="clear" w:color="auto" w:fill="auto"/>
            <w:noWrap/>
            <w:vAlign w:val="center"/>
            <w:hideMark/>
          </w:tcPr>
          <w:p w14:paraId="3C672AC1"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123</w:t>
            </w:r>
          </w:p>
        </w:tc>
        <w:tc>
          <w:tcPr>
            <w:tcW w:w="0" w:type="auto"/>
            <w:tcBorders>
              <w:top w:val="nil"/>
              <w:left w:val="nil"/>
              <w:bottom w:val="nil"/>
              <w:right w:val="nil"/>
            </w:tcBorders>
            <w:shd w:val="clear" w:color="auto" w:fill="auto"/>
            <w:noWrap/>
            <w:vAlign w:val="center"/>
            <w:hideMark/>
          </w:tcPr>
          <w:p w14:paraId="5CE00494"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0.009</w:t>
            </w:r>
          </w:p>
        </w:tc>
        <w:tc>
          <w:tcPr>
            <w:tcW w:w="0" w:type="auto"/>
            <w:tcBorders>
              <w:top w:val="nil"/>
              <w:left w:val="nil"/>
              <w:bottom w:val="nil"/>
              <w:right w:val="nil"/>
            </w:tcBorders>
            <w:shd w:val="clear" w:color="auto" w:fill="auto"/>
            <w:noWrap/>
            <w:vAlign w:val="center"/>
            <w:hideMark/>
          </w:tcPr>
          <w:p w14:paraId="191C9323" w14:textId="5D6E30CC"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w:t>
            </w:r>
            <w:r>
              <w:rPr>
                <w:rFonts w:eastAsia="Times New Roman" w:cs="Times New Roman"/>
                <w:color w:val="000000"/>
                <w:sz w:val="16"/>
                <w:szCs w:val="16"/>
                <w:lang w:val="en-GB" w:eastAsia="zh-CN"/>
              </w:rPr>
              <w:t>044</w:t>
            </w:r>
            <w:r w:rsidRPr="00324B90">
              <w:rPr>
                <w:rFonts w:eastAsia="Times New Roman" w:cs="Times New Roman"/>
                <w:color w:val="000000"/>
                <w:sz w:val="16"/>
                <w:szCs w:val="16"/>
                <w:lang w:val="en-GB" w:eastAsia="zh-CN"/>
              </w:rPr>
              <w:t>, 0.</w:t>
            </w:r>
            <w:r>
              <w:rPr>
                <w:rFonts w:eastAsia="Times New Roman" w:cs="Times New Roman"/>
                <w:color w:val="000000"/>
                <w:sz w:val="16"/>
                <w:szCs w:val="16"/>
                <w:lang w:val="en-GB" w:eastAsia="zh-CN"/>
              </w:rPr>
              <w:t>06</w:t>
            </w:r>
            <w:r w:rsidR="00011E97">
              <w:rPr>
                <w:rFonts w:eastAsia="Times New Roman" w:cs="Times New Roman"/>
                <w:color w:val="000000"/>
                <w:sz w:val="16"/>
                <w:szCs w:val="16"/>
                <w:lang w:val="en-GB" w:eastAsia="zh-CN"/>
              </w:rPr>
              <w:t>3</w:t>
            </w:r>
            <w:r w:rsidRPr="00324B90">
              <w:rPr>
                <w:rFonts w:eastAsia="Times New Roman" w:cs="Times New Roman"/>
                <w:color w:val="000000"/>
                <w:sz w:val="16"/>
                <w:szCs w:val="16"/>
                <w:lang w:val="en-GB" w:eastAsia="zh-CN"/>
              </w:rPr>
              <w:t xml:space="preserve">] </w:t>
            </w:r>
          </w:p>
        </w:tc>
        <w:tc>
          <w:tcPr>
            <w:tcW w:w="0" w:type="auto"/>
            <w:tcBorders>
              <w:top w:val="nil"/>
              <w:left w:val="nil"/>
              <w:bottom w:val="nil"/>
              <w:right w:val="nil"/>
            </w:tcBorders>
            <w:vAlign w:val="center"/>
          </w:tcPr>
          <w:p w14:paraId="7845525E" w14:textId="43924E8B" w:rsidR="008C29DA" w:rsidRPr="00324B90" w:rsidRDefault="008C29DA" w:rsidP="0011556B">
            <w:pPr>
              <w:spacing w:line="240" w:lineRule="auto"/>
              <w:jc w:val="center"/>
              <w:rPr>
                <w:rFonts w:eastAsia="Times New Roman" w:cs="Times New Roman"/>
                <w:color w:val="000000"/>
                <w:sz w:val="16"/>
                <w:szCs w:val="16"/>
                <w:lang w:val="en-GB" w:eastAsia="zh-CN"/>
              </w:rPr>
            </w:pPr>
            <w:r w:rsidRPr="008C29DA">
              <w:rPr>
                <w:rFonts w:eastAsia="Times New Roman" w:cs="Times New Roman"/>
                <w:color w:val="000000"/>
                <w:sz w:val="16"/>
                <w:szCs w:val="16"/>
                <w:lang w:val="en-GB" w:eastAsia="zh-CN"/>
              </w:rPr>
              <w:t>[</w:t>
            </w:r>
            <w:r w:rsidR="00956C08" w:rsidRPr="00324B90">
              <w:rPr>
                <w:rFonts w:eastAsia="Times New Roman" w:cs="Times New Roman"/>
                <w:color w:val="000000"/>
                <w:sz w:val="16"/>
                <w:szCs w:val="16"/>
                <w:lang w:val="en-GB" w:eastAsia="zh-CN"/>
              </w:rPr>
              <w:t>–</w:t>
            </w:r>
            <w:r w:rsidRPr="008C29DA">
              <w:rPr>
                <w:rFonts w:eastAsia="Times New Roman" w:cs="Times New Roman"/>
                <w:color w:val="000000"/>
                <w:sz w:val="16"/>
                <w:szCs w:val="16"/>
                <w:lang w:val="en-GB" w:eastAsia="zh-CN"/>
              </w:rPr>
              <w:t>0.4</w:t>
            </w:r>
            <w:r w:rsidR="00011E97">
              <w:rPr>
                <w:rFonts w:eastAsia="Times New Roman" w:cs="Times New Roman"/>
                <w:color w:val="000000"/>
                <w:sz w:val="16"/>
                <w:szCs w:val="16"/>
                <w:lang w:val="en-GB" w:eastAsia="zh-CN"/>
              </w:rPr>
              <w:t>27</w:t>
            </w:r>
            <w:r w:rsidRPr="008C29DA">
              <w:rPr>
                <w:rFonts w:eastAsia="Times New Roman" w:cs="Times New Roman"/>
                <w:color w:val="000000"/>
                <w:sz w:val="16"/>
                <w:szCs w:val="16"/>
                <w:lang w:val="en-GB" w:eastAsia="zh-CN"/>
              </w:rPr>
              <w:t>,</w:t>
            </w:r>
            <w:r>
              <w:rPr>
                <w:rFonts w:eastAsia="Times New Roman" w:cs="Times New Roman"/>
                <w:color w:val="000000"/>
                <w:sz w:val="16"/>
                <w:szCs w:val="16"/>
                <w:lang w:val="en-GB" w:eastAsia="zh-CN"/>
              </w:rPr>
              <w:t xml:space="preserve"> </w:t>
            </w:r>
            <w:r w:rsidRPr="008C29DA">
              <w:rPr>
                <w:rFonts w:eastAsia="Times New Roman" w:cs="Times New Roman"/>
                <w:color w:val="000000"/>
                <w:sz w:val="16"/>
                <w:szCs w:val="16"/>
                <w:lang w:val="en-GB" w:eastAsia="zh-CN"/>
              </w:rPr>
              <w:t>0.4</w:t>
            </w:r>
            <w:r w:rsidR="00011E97">
              <w:rPr>
                <w:rFonts w:eastAsia="Times New Roman" w:cs="Times New Roman"/>
                <w:color w:val="000000"/>
                <w:sz w:val="16"/>
                <w:szCs w:val="16"/>
                <w:lang w:val="en-GB" w:eastAsia="zh-CN"/>
              </w:rPr>
              <w:t>45</w:t>
            </w:r>
            <w:r w:rsidRPr="008C29DA">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675EA3F"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0.030</w:t>
            </w:r>
          </w:p>
        </w:tc>
        <w:tc>
          <w:tcPr>
            <w:tcW w:w="0" w:type="auto"/>
            <w:tcBorders>
              <w:top w:val="nil"/>
              <w:left w:val="nil"/>
              <w:bottom w:val="nil"/>
              <w:right w:val="nil"/>
            </w:tcBorders>
            <w:shd w:val="clear" w:color="auto" w:fill="auto"/>
            <w:noWrap/>
            <w:vAlign w:val="center"/>
            <w:hideMark/>
          </w:tcPr>
          <w:p w14:paraId="44A81D5F"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–0.865</w:t>
            </w:r>
          </w:p>
        </w:tc>
        <w:tc>
          <w:tcPr>
            <w:tcW w:w="0" w:type="auto"/>
            <w:tcBorders>
              <w:top w:val="nil"/>
              <w:left w:val="nil"/>
              <w:bottom w:val="nil"/>
              <w:right w:val="nil"/>
            </w:tcBorders>
            <w:shd w:val="clear" w:color="auto" w:fill="auto"/>
            <w:noWrap/>
            <w:vAlign w:val="center"/>
            <w:hideMark/>
          </w:tcPr>
          <w:p w14:paraId="007B9EFB"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No</w:t>
            </w:r>
          </w:p>
        </w:tc>
      </w:tr>
      <w:tr w:rsidR="008C29DA" w:rsidRPr="00324B90" w14:paraId="3118CF04" w14:textId="77777777" w:rsidTr="007C08B9">
        <w:trPr>
          <w:trHeight w:val="250"/>
        </w:trPr>
        <w:tc>
          <w:tcPr>
            <w:tcW w:w="0" w:type="auto"/>
            <w:tcBorders>
              <w:top w:val="nil"/>
              <w:left w:val="nil"/>
              <w:bottom w:val="nil"/>
              <w:right w:val="nil"/>
            </w:tcBorders>
            <w:shd w:val="clear" w:color="auto" w:fill="auto"/>
            <w:noWrap/>
            <w:vAlign w:val="center"/>
            <w:hideMark/>
          </w:tcPr>
          <w:p w14:paraId="7A500B15" w14:textId="77777777" w:rsidR="008C29DA" w:rsidRPr="00324B90" w:rsidRDefault="008C29DA" w:rsidP="0011556B">
            <w:pPr>
              <w:spacing w:line="240" w:lineRule="auto"/>
              <w:rPr>
                <w:rFonts w:eastAsia="Times New Roman" w:cs="Times New Roman"/>
                <w:i/>
                <w:iCs/>
                <w:color w:val="000000"/>
                <w:sz w:val="16"/>
                <w:szCs w:val="16"/>
                <w:lang w:val="en-GB" w:eastAsia="zh-CN"/>
              </w:rPr>
            </w:pPr>
            <w:r w:rsidRPr="00324B90">
              <w:rPr>
                <w:rFonts w:eastAsia="Times New Roman" w:cs="Times New Roman"/>
                <w:i/>
                <w:iCs/>
                <w:color w:val="000000"/>
                <w:sz w:val="16"/>
                <w:szCs w:val="16"/>
                <w:lang w:val="en-GB" w:eastAsia="zh-CN"/>
              </w:rPr>
              <w:t>Structural variables</w:t>
            </w:r>
          </w:p>
        </w:tc>
        <w:tc>
          <w:tcPr>
            <w:tcW w:w="0" w:type="auto"/>
            <w:tcBorders>
              <w:top w:val="nil"/>
              <w:left w:val="nil"/>
              <w:bottom w:val="nil"/>
              <w:right w:val="nil"/>
            </w:tcBorders>
            <w:shd w:val="clear" w:color="auto" w:fill="auto"/>
            <w:noWrap/>
            <w:vAlign w:val="center"/>
            <w:hideMark/>
          </w:tcPr>
          <w:p w14:paraId="6BC622D8" w14:textId="77777777" w:rsidR="008C29DA" w:rsidRPr="00324B90" w:rsidRDefault="008C29DA" w:rsidP="0011556B">
            <w:pPr>
              <w:spacing w:line="240" w:lineRule="auto"/>
              <w:rPr>
                <w:rFonts w:eastAsia="Times New Roman" w:cs="Times New Roman"/>
                <w:i/>
                <w:iCs/>
                <w:color w:val="000000"/>
                <w:sz w:val="16"/>
                <w:szCs w:val="16"/>
                <w:lang w:val="en-GB" w:eastAsia="zh-CN"/>
              </w:rPr>
            </w:pPr>
          </w:p>
        </w:tc>
        <w:tc>
          <w:tcPr>
            <w:tcW w:w="0" w:type="auto"/>
            <w:tcBorders>
              <w:top w:val="nil"/>
              <w:left w:val="nil"/>
              <w:bottom w:val="nil"/>
              <w:right w:val="nil"/>
            </w:tcBorders>
            <w:shd w:val="clear" w:color="auto" w:fill="auto"/>
            <w:noWrap/>
            <w:vAlign w:val="center"/>
            <w:hideMark/>
          </w:tcPr>
          <w:p w14:paraId="2B33A498"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773E12E3"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23678D19"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vAlign w:val="center"/>
          </w:tcPr>
          <w:p w14:paraId="569CAAA8"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534BE02C"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20E3DC77"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608D8AF5" w14:textId="77777777" w:rsidR="008C29DA" w:rsidRPr="00324B90" w:rsidRDefault="008C29DA" w:rsidP="0011556B">
            <w:pPr>
              <w:spacing w:line="240" w:lineRule="auto"/>
              <w:jc w:val="center"/>
              <w:rPr>
                <w:rFonts w:eastAsia="Times New Roman" w:cs="Times New Roman"/>
                <w:sz w:val="20"/>
                <w:szCs w:val="20"/>
                <w:lang w:val="en-GB" w:eastAsia="zh-CN"/>
              </w:rPr>
            </w:pPr>
          </w:p>
        </w:tc>
      </w:tr>
      <w:tr w:rsidR="008C29DA" w:rsidRPr="00324B90" w14:paraId="6598AAA5" w14:textId="77777777" w:rsidTr="007C08B9">
        <w:trPr>
          <w:trHeight w:val="250"/>
        </w:trPr>
        <w:tc>
          <w:tcPr>
            <w:tcW w:w="0" w:type="auto"/>
            <w:tcBorders>
              <w:top w:val="nil"/>
              <w:left w:val="nil"/>
              <w:bottom w:val="nil"/>
              <w:right w:val="nil"/>
            </w:tcBorders>
            <w:shd w:val="clear" w:color="auto" w:fill="auto"/>
            <w:noWrap/>
            <w:vAlign w:val="center"/>
            <w:hideMark/>
          </w:tcPr>
          <w:p w14:paraId="1FCAA984" w14:textId="77777777" w:rsidR="008C29DA" w:rsidRPr="00324B90" w:rsidRDefault="008C29DA" w:rsidP="0011556B">
            <w:pPr>
              <w:spacing w:line="240" w:lineRule="auto"/>
              <w:ind w:firstLineChars="100" w:firstLine="160"/>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Conflict of interests</w:t>
            </w:r>
          </w:p>
        </w:tc>
        <w:tc>
          <w:tcPr>
            <w:tcW w:w="0" w:type="auto"/>
            <w:tcBorders>
              <w:top w:val="nil"/>
              <w:left w:val="nil"/>
              <w:bottom w:val="nil"/>
              <w:right w:val="nil"/>
            </w:tcBorders>
            <w:shd w:val="clear" w:color="auto" w:fill="auto"/>
            <w:noWrap/>
            <w:vAlign w:val="center"/>
            <w:hideMark/>
          </w:tcPr>
          <w:p w14:paraId="3CD5F75C"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74</w:t>
            </w:r>
          </w:p>
        </w:tc>
        <w:tc>
          <w:tcPr>
            <w:tcW w:w="0" w:type="auto"/>
            <w:tcBorders>
              <w:top w:val="nil"/>
              <w:left w:val="nil"/>
              <w:bottom w:val="nil"/>
              <w:right w:val="nil"/>
            </w:tcBorders>
            <w:shd w:val="clear" w:color="auto" w:fill="auto"/>
            <w:noWrap/>
            <w:vAlign w:val="center"/>
            <w:hideMark/>
          </w:tcPr>
          <w:p w14:paraId="777F460E"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43</w:t>
            </w:r>
          </w:p>
        </w:tc>
        <w:tc>
          <w:tcPr>
            <w:tcW w:w="0" w:type="auto"/>
            <w:tcBorders>
              <w:top w:val="nil"/>
              <w:left w:val="nil"/>
              <w:bottom w:val="nil"/>
              <w:right w:val="nil"/>
            </w:tcBorders>
            <w:shd w:val="clear" w:color="auto" w:fill="auto"/>
            <w:noWrap/>
            <w:vAlign w:val="center"/>
            <w:hideMark/>
          </w:tcPr>
          <w:p w14:paraId="68AF8BC8" w14:textId="40E3BC61"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–0.4</w:t>
            </w:r>
            <w:r w:rsidR="00F80C3A">
              <w:rPr>
                <w:rFonts w:eastAsia="Times New Roman" w:cs="Times New Roman"/>
                <w:color w:val="000000"/>
                <w:sz w:val="16"/>
                <w:szCs w:val="16"/>
                <w:lang w:val="en-GB" w:eastAsia="zh-CN"/>
              </w:rPr>
              <w:t>8</w:t>
            </w:r>
            <w:r w:rsidR="00BF58DC">
              <w:rPr>
                <w:rFonts w:eastAsia="Times New Roman" w:cs="Times New Roman"/>
                <w:color w:val="000000"/>
                <w:sz w:val="16"/>
                <w:szCs w:val="16"/>
                <w:lang w:val="en-GB" w:eastAsia="zh-CN"/>
              </w:rPr>
              <w:t>9</w:t>
            </w:r>
          </w:p>
        </w:tc>
        <w:tc>
          <w:tcPr>
            <w:tcW w:w="0" w:type="auto"/>
            <w:tcBorders>
              <w:top w:val="nil"/>
              <w:left w:val="nil"/>
              <w:bottom w:val="nil"/>
              <w:right w:val="nil"/>
            </w:tcBorders>
            <w:shd w:val="clear" w:color="auto" w:fill="auto"/>
            <w:noWrap/>
            <w:vAlign w:val="center"/>
            <w:hideMark/>
          </w:tcPr>
          <w:p w14:paraId="31926BDF" w14:textId="1DD44544"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w:t>
            </w:r>
            <w:r w:rsidR="00BF58DC">
              <w:rPr>
                <w:rFonts w:eastAsia="Times New Roman" w:cs="Times New Roman"/>
                <w:color w:val="000000"/>
                <w:sz w:val="16"/>
                <w:szCs w:val="16"/>
                <w:lang w:val="en-GB" w:eastAsia="zh-CN"/>
              </w:rPr>
              <w:t>626</w:t>
            </w:r>
            <w:r w:rsidRPr="00324B90">
              <w:rPr>
                <w:rFonts w:eastAsia="Times New Roman" w:cs="Times New Roman"/>
                <w:color w:val="000000"/>
                <w:sz w:val="16"/>
                <w:szCs w:val="16"/>
                <w:lang w:val="en-GB" w:eastAsia="zh-CN"/>
              </w:rPr>
              <w:t>, –0.</w:t>
            </w:r>
            <w:r w:rsidR="00BF58DC">
              <w:rPr>
                <w:rFonts w:eastAsia="Times New Roman" w:cs="Times New Roman"/>
                <w:color w:val="000000"/>
                <w:sz w:val="16"/>
                <w:szCs w:val="16"/>
                <w:lang w:val="en-GB" w:eastAsia="zh-CN"/>
              </w:rPr>
              <w:t>352</w:t>
            </w:r>
            <w:r w:rsidRPr="00324B90">
              <w:rPr>
                <w:rFonts w:eastAsia="Times New Roman" w:cs="Times New Roman"/>
                <w:color w:val="000000"/>
                <w:sz w:val="16"/>
                <w:szCs w:val="16"/>
                <w:lang w:val="en-GB" w:eastAsia="zh-CN"/>
              </w:rPr>
              <w:t>]</w:t>
            </w:r>
          </w:p>
        </w:tc>
        <w:tc>
          <w:tcPr>
            <w:tcW w:w="0" w:type="auto"/>
            <w:tcBorders>
              <w:top w:val="nil"/>
              <w:left w:val="nil"/>
              <w:bottom w:val="nil"/>
              <w:right w:val="nil"/>
            </w:tcBorders>
            <w:vAlign w:val="center"/>
          </w:tcPr>
          <w:p w14:paraId="59411949" w14:textId="25467CE2" w:rsidR="008C29DA" w:rsidRPr="00324B90" w:rsidRDefault="00AC31A3" w:rsidP="0011556B">
            <w:pPr>
              <w:spacing w:line="240" w:lineRule="auto"/>
              <w:jc w:val="center"/>
              <w:rPr>
                <w:rFonts w:eastAsia="Times New Roman" w:cs="Times New Roman"/>
                <w:color w:val="000000"/>
                <w:sz w:val="16"/>
                <w:szCs w:val="16"/>
                <w:lang w:val="en-GB" w:eastAsia="zh-CN"/>
              </w:rPr>
            </w:pPr>
            <w:r w:rsidRPr="00AC31A3">
              <w:rPr>
                <w:rFonts w:eastAsia="Times New Roman" w:cs="Times New Roman"/>
                <w:color w:val="000000"/>
                <w:sz w:val="16"/>
                <w:szCs w:val="16"/>
                <w:lang w:val="en-GB" w:eastAsia="zh-CN"/>
              </w:rPr>
              <w:t>[</w:t>
            </w:r>
            <w:r w:rsidR="006A3AA7" w:rsidRPr="00324B90">
              <w:rPr>
                <w:rFonts w:eastAsia="Times New Roman" w:cs="Times New Roman"/>
                <w:color w:val="000000"/>
                <w:sz w:val="16"/>
                <w:szCs w:val="16"/>
                <w:lang w:val="en-GB" w:eastAsia="zh-CN"/>
              </w:rPr>
              <w:t>–</w:t>
            </w:r>
            <w:r w:rsidRPr="00AC31A3">
              <w:rPr>
                <w:rFonts w:eastAsia="Times New Roman" w:cs="Times New Roman"/>
                <w:color w:val="000000"/>
                <w:sz w:val="16"/>
                <w:szCs w:val="16"/>
                <w:lang w:val="en-GB" w:eastAsia="zh-CN"/>
              </w:rPr>
              <w:t>1.3</w:t>
            </w:r>
            <w:r w:rsidR="00BF58DC">
              <w:rPr>
                <w:rFonts w:eastAsia="Times New Roman" w:cs="Times New Roman"/>
                <w:color w:val="000000"/>
                <w:sz w:val="16"/>
                <w:szCs w:val="16"/>
                <w:lang w:val="en-GB" w:eastAsia="zh-CN"/>
              </w:rPr>
              <w:t>71</w:t>
            </w:r>
            <w:r w:rsidRPr="00AC31A3">
              <w:rPr>
                <w:rFonts w:eastAsia="Times New Roman" w:cs="Times New Roman"/>
                <w:color w:val="000000"/>
                <w:sz w:val="16"/>
                <w:szCs w:val="16"/>
                <w:lang w:val="en-GB" w:eastAsia="zh-CN"/>
              </w:rPr>
              <w:t>, 0.</w:t>
            </w:r>
            <w:r w:rsidR="00BF58DC">
              <w:rPr>
                <w:rFonts w:eastAsia="Times New Roman" w:cs="Times New Roman"/>
                <w:color w:val="000000"/>
                <w:sz w:val="16"/>
                <w:szCs w:val="16"/>
                <w:lang w:val="en-GB" w:eastAsia="zh-CN"/>
              </w:rPr>
              <w:t>393</w:t>
            </w:r>
            <w:r w:rsidRPr="00AC31A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3173E61A"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–0.166*</w:t>
            </w:r>
          </w:p>
        </w:tc>
        <w:tc>
          <w:tcPr>
            <w:tcW w:w="0" w:type="auto"/>
            <w:tcBorders>
              <w:top w:val="nil"/>
              <w:left w:val="nil"/>
              <w:bottom w:val="nil"/>
              <w:right w:val="nil"/>
            </w:tcBorders>
            <w:shd w:val="clear" w:color="auto" w:fill="auto"/>
            <w:noWrap/>
            <w:vAlign w:val="center"/>
            <w:hideMark/>
          </w:tcPr>
          <w:p w14:paraId="464F5274"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–3.199*</w:t>
            </w:r>
          </w:p>
        </w:tc>
        <w:tc>
          <w:tcPr>
            <w:tcW w:w="0" w:type="auto"/>
            <w:tcBorders>
              <w:top w:val="nil"/>
              <w:left w:val="nil"/>
              <w:bottom w:val="nil"/>
              <w:right w:val="nil"/>
            </w:tcBorders>
            <w:shd w:val="clear" w:color="auto" w:fill="auto"/>
            <w:noWrap/>
            <w:vAlign w:val="center"/>
            <w:hideMark/>
          </w:tcPr>
          <w:p w14:paraId="6C1B1244"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Yes</w:t>
            </w:r>
          </w:p>
        </w:tc>
      </w:tr>
      <w:tr w:rsidR="008C29DA" w:rsidRPr="00324B90" w14:paraId="674429FA" w14:textId="77777777" w:rsidTr="007C08B9">
        <w:trPr>
          <w:trHeight w:val="250"/>
        </w:trPr>
        <w:tc>
          <w:tcPr>
            <w:tcW w:w="0" w:type="auto"/>
            <w:tcBorders>
              <w:top w:val="nil"/>
              <w:left w:val="nil"/>
              <w:bottom w:val="nil"/>
              <w:right w:val="nil"/>
            </w:tcBorders>
            <w:shd w:val="clear" w:color="auto" w:fill="auto"/>
            <w:noWrap/>
            <w:vAlign w:val="center"/>
            <w:hideMark/>
          </w:tcPr>
          <w:p w14:paraId="2CD7642B" w14:textId="77777777" w:rsidR="008C29DA" w:rsidRPr="00324B90" w:rsidRDefault="008C29DA" w:rsidP="0011556B">
            <w:pPr>
              <w:spacing w:line="240" w:lineRule="auto"/>
              <w:ind w:firstLineChars="100" w:firstLine="160"/>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Group size</w:t>
            </w:r>
          </w:p>
        </w:tc>
        <w:tc>
          <w:tcPr>
            <w:tcW w:w="0" w:type="auto"/>
            <w:tcBorders>
              <w:top w:val="nil"/>
              <w:left w:val="nil"/>
              <w:bottom w:val="nil"/>
              <w:right w:val="nil"/>
            </w:tcBorders>
            <w:shd w:val="clear" w:color="auto" w:fill="auto"/>
            <w:noWrap/>
            <w:vAlign w:val="center"/>
            <w:hideMark/>
          </w:tcPr>
          <w:p w14:paraId="5E2A927F"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103</w:t>
            </w:r>
          </w:p>
        </w:tc>
        <w:tc>
          <w:tcPr>
            <w:tcW w:w="0" w:type="auto"/>
            <w:tcBorders>
              <w:top w:val="nil"/>
              <w:left w:val="nil"/>
              <w:bottom w:val="nil"/>
              <w:right w:val="nil"/>
            </w:tcBorders>
            <w:shd w:val="clear" w:color="auto" w:fill="auto"/>
            <w:noWrap/>
            <w:vAlign w:val="center"/>
            <w:hideMark/>
          </w:tcPr>
          <w:p w14:paraId="2242F9EA"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60</w:t>
            </w:r>
          </w:p>
        </w:tc>
        <w:tc>
          <w:tcPr>
            <w:tcW w:w="0" w:type="auto"/>
            <w:tcBorders>
              <w:top w:val="nil"/>
              <w:left w:val="nil"/>
              <w:bottom w:val="nil"/>
              <w:right w:val="nil"/>
            </w:tcBorders>
            <w:shd w:val="clear" w:color="auto" w:fill="auto"/>
            <w:noWrap/>
            <w:vAlign w:val="center"/>
            <w:hideMark/>
          </w:tcPr>
          <w:p w14:paraId="7E7A4F6F" w14:textId="39D36B74"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–0.3</w:t>
            </w:r>
            <w:r w:rsidR="00BF58DC">
              <w:rPr>
                <w:rFonts w:eastAsia="Times New Roman" w:cs="Times New Roman"/>
                <w:color w:val="000000"/>
                <w:sz w:val="16"/>
                <w:szCs w:val="16"/>
                <w:lang w:val="en-GB" w:eastAsia="zh-CN"/>
              </w:rPr>
              <w:t>50</w:t>
            </w:r>
          </w:p>
        </w:tc>
        <w:tc>
          <w:tcPr>
            <w:tcW w:w="0" w:type="auto"/>
            <w:tcBorders>
              <w:top w:val="nil"/>
              <w:left w:val="nil"/>
              <w:bottom w:val="nil"/>
              <w:right w:val="nil"/>
            </w:tcBorders>
            <w:shd w:val="clear" w:color="auto" w:fill="auto"/>
            <w:noWrap/>
            <w:vAlign w:val="center"/>
            <w:hideMark/>
          </w:tcPr>
          <w:p w14:paraId="354655D4" w14:textId="071E1826"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[–0.4</w:t>
            </w:r>
            <w:r w:rsidR="00BF58DC">
              <w:rPr>
                <w:rFonts w:eastAsia="Times New Roman" w:cs="Times New Roman"/>
                <w:color w:val="000000"/>
                <w:sz w:val="16"/>
                <w:szCs w:val="16"/>
                <w:lang w:val="en-GB" w:eastAsia="zh-CN"/>
              </w:rPr>
              <w:t>89</w:t>
            </w:r>
            <w:r w:rsidRPr="00324B90">
              <w:rPr>
                <w:rFonts w:eastAsia="Times New Roman" w:cs="Times New Roman"/>
                <w:color w:val="000000"/>
                <w:sz w:val="16"/>
                <w:szCs w:val="16"/>
                <w:lang w:val="en-GB" w:eastAsia="zh-CN"/>
              </w:rPr>
              <w:t>, –0.</w:t>
            </w:r>
            <w:r w:rsidR="00BF58DC">
              <w:rPr>
                <w:rFonts w:eastAsia="Times New Roman" w:cs="Times New Roman"/>
                <w:color w:val="000000"/>
                <w:sz w:val="16"/>
                <w:szCs w:val="16"/>
                <w:lang w:val="en-GB" w:eastAsia="zh-CN"/>
              </w:rPr>
              <w:t>212</w:t>
            </w:r>
            <w:r w:rsidRPr="00324B90">
              <w:rPr>
                <w:rFonts w:eastAsia="Times New Roman" w:cs="Times New Roman"/>
                <w:color w:val="000000"/>
                <w:sz w:val="16"/>
                <w:szCs w:val="16"/>
                <w:lang w:val="en-GB" w:eastAsia="zh-CN"/>
              </w:rPr>
              <w:t>]</w:t>
            </w:r>
          </w:p>
        </w:tc>
        <w:tc>
          <w:tcPr>
            <w:tcW w:w="0" w:type="auto"/>
            <w:tcBorders>
              <w:top w:val="nil"/>
              <w:left w:val="nil"/>
              <w:bottom w:val="nil"/>
              <w:right w:val="nil"/>
            </w:tcBorders>
            <w:vAlign w:val="center"/>
          </w:tcPr>
          <w:p w14:paraId="66576D45" w14:textId="0A6FB28B" w:rsidR="008C29DA" w:rsidRPr="00324B90" w:rsidRDefault="00A54E9F" w:rsidP="0011556B">
            <w:pPr>
              <w:spacing w:line="240" w:lineRule="auto"/>
              <w:jc w:val="center"/>
              <w:rPr>
                <w:rFonts w:eastAsia="Times New Roman" w:cs="Times New Roman"/>
                <w:color w:val="000000"/>
                <w:sz w:val="16"/>
                <w:szCs w:val="16"/>
                <w:lang w:val="en-GB" w:eastAsia="zh-CN"/>
              </w:rPr>
            </w:pPr>
            <w:r w:rsidRPr="00A54E9F">
              <w:rPr>
                <w:rFonts w:eastAsia="Times New Roman" w:cs="Times New Roman"/>
                <w:color w:val="000000"/>
                <w:sz w:val="16"/>
                <w:szCs w:val="16"/>
                <w:lang w:val="en-GB" w:eastAsia="zh-CN"/>
              </w:rPr>
              <w:t>[</w:t>
            </w:r>
            <w:r w:rsidR="006A3AA7" w:rsidRPr="00324B90">
              <w:rPr>
                <w:rFonts w:eastAsia="Times New Roman" w:cs="Times New Roman"/>
                <w:color w:val="000000"/>
                <w:sz w:val="16"/>
                <w:szCs w:val="16"/>
                <w:lang w:val="en-GB" w:eastAsia="zh-CN"/>
              </w:rPr>
              <w:t>–</w:t>
            </w:r>
            <w:r w:rsidRPr="00A54E9F">
              <w:rPr>
                <w:rFonts w:eastAsia="Times New Roman" w:cs="Times New Roman"/>
                <w:color w:val="000000"/>
                <w:sz w:val="16"/>
                <w:szCs w:val="16"/>
                <w:lang w:val="en-GB" w:eastAsia="zh-CN"/>
              </w:rPr>
              <w:t>1.</w:t>
            </w:r>
            <w:r w:rsidR="00BF58DC">
              <w:rPr>
                <w:rFonts w:eastAsia="Times New Roman" w:cs="Times New Roman"/>
                <w:color w:val="000000"/>
                <w:sz w:val="16"/>
                <w:szCs w:val="16"/>
                <w:lang w:val="en-GB" w:eastAsia="zh-CN"/>
              </w:rPr>
              <w:t>361</w:t>
            </w:r>
            <w:r w:rsidRPr="00A54E9F">
              <w:rPr>
                <w:rFonts w:eastAsia="Times New Roman" w:cs="Times New Roman"/>
                <w:color w:val="000000"/>
                <w:sz w:val="16"/>
                <w:szCs w:val="16"/>
                <w:lang w:val="en-GB" w:eastAsia="zh-CN"/>
              </w:rPr>
              <w:t>, 0.6</w:t>
            </w:r>
            <w:r w:rsidR="00BF58DC">
              <w:rPr>
                <w:rFonts w:eastAsia="Times New Roman" w:cs="Times New Roman"/>
                <w:color w:val="000000"/>
                <w:sz w:val="16"/>
                <w:szCs w:val="16"/>
                <w:lang w:val="en-GB" w:eastAsia="zh-CN"/>
              </w:rPr>
              <w:t>60</w:t>
            </w:r>
            <w:r w:rsidRPr="00A54E9F">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4307E64E"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0.036</w:t>
            </w:r>
          </w:p>
        </w:tc>
        <w:tc>
          <w:tcPr>
            <w:tcW w:w="0" w:type="auto"/>
            <w:tcBorders>
              <w:top w:val="nil"/>
              <w:left w:val="nil"/>
              <w:bottom w:val="nil"/>
              <w:right w:val="nil"/>
            </w:tcBorders>
            <w:shd w:val="clear" w:color="auto" w:fill="auto"/>
            <w:noWrap/>
            <w:vAlign w:val="center"/>
            <w:hideMark/>
          </w:tcPr>
          <w:p w14:paraId="211B09F1"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0.481</w:t>
            </w:r>
          </w:p>
        </w:tc>
        <w:tc>
          <w:tcPr>
            <w:tcW w:w="0" w:type="auto"/>
            <w:tcBorders>
              <w:top w:val="nil"/>
              <w:left w:val="nil"/>
              <w:bottom w:val="nil"/>
              <w:right w:val="nil"/>
            </w:tcBorders>
            <w:shd w:val="clear" w:color="auto" w:fill="auto"/>
            <w:noWrap/>
            <w:vAlign w:val="center"/>
            <w:hideMark/>
          </w:tcPr>
          <w:p w14:paraId="25592098"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Yes</w:t>
            </w:r>
          </w:p>
        </w:tc>
      </w:tr>
      <w:tr w:rsidR="008C29DA" w:rsidRPr="00324B90" w14:paraId="3EC5E6EA" w14:textId="77777777" w:rsidTr="007C08B9">
        <w:trPr>
          <w:trHeight w:val="250"/>
        </w:trPr>
        <w:tc>
          <w:tcPr>
            <w:tcW w:w="0" w:type="auto"/>
            <w:tcBorders>
              <w:top w:val="nil"/>
              <w:left w:val="nil"/>
              <w:bottom w:val="nil"/>
              <w:right w:val="nil"/>
            </w:tcBorders>
            <w:shd w:val="clear" w:color="auto" w:fill="auto"/>
            <w:noWrap/>
            <w:vAlign w:val="center"/>
            <w:hideMark/>
          </w:tcPr>
          <w:p w14:paraId="3D0B55F4" w14:textId="77777777" w:rsidR="008C29DA" w:rsidRPr="00324B90" w:rsidRDefault="008C29DA" w:rsidP="0011556B">
            <w:pPr>
              <w:spacing w:line="240" w:lineRule="auto"/>
              <w:ind w:firstLineChars="100" w:firstLine="160"/>
              <w:rPr>
                <w:rFonts w:eastAsia="Times New Roman" w:cs="Times New Roman"/>
                <w:color w:val="000000"/>
                <w:sz w:val="16"/>
                <w:szCs w:val="16"/>
                <w:lang w:val="en-GB" w:eastAsia="zh-CN"/>
              </w:rPr>
            </w:pPr>
            <w:proofErr w:type="spellStart"/>
            <w:r w:rsidRPr="00324B90">
              <w:rPr>
                <w:rFonts w:eastAsia="Times New Roman" w:cs="Times New Roman"/>
                <w:color w:val="000000"/>
                <w:sz w:val="16"/>
                <w:szCs w:val="16"/>
                <w:lang w:val="en-GB" w:eastAsia="zh-CN"/>
              </w:rPr>
              <w:t>Sequentiality</w:t>
            </w:r>
            <w:proofErr w:type="spellEnd"/>
          </w:p>
        </w:tc>
        <w:tc>
          <w:tcPr>
            <w:tcW w:w="0" w:type="auto"/>
            <w:tcBorders>
              <w:top w:val="nil"/>
              <w:left w:val="nil"/>
              <w:bottom w:val="nil"/>
              <w:right w:val="nil"/>
            </w:tcBorders>
            <w:shd w:val="clear" w:color="auto" w:fill="auto"/>
            <w:noWrap/>
            <w:vAlign w:val="center"/>
            <w:hideMark/>
          </w:tcPr>
          <w:p w14:paraId="76ED4E53"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72</w:t>
            </w:r>
          </w:p>
        </w:tc>
        <w:tc>
          <w:tcPr>
            <w:tcW w:w="0" w:type="auto"/>
            <w:tcBorders>
              <w:top w:val="nil"/>
              <w:left w:val="nil"/>
              <w:bottom w:val="nil"/>
              <w:right w:val="nil"/>
            </w:tcBorders>
            <w:shd w:val="clear" w:color="auto" w:fill="auto"/>
            <w:noWrap/>
            <w:vAlign w:val="center"/>
            <w:hideMark/>
          </w:tcPr>
          <w:p w14:paraId="08E2BA72"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33</w:t>
            </w:r>
          </w:p>
        </w:tc>
        <w:tc>
          <w:tcPr>
            <w:tcW w:w="0" w:type="auto"/>
            <w:tcBorders>
              <w:top w:val="nil"/>
              <w:left w:val="nil"/>
              <w:bottom w:val="nil"/>
              <w:right w:val="nil"/>
            </w:tcBorders>
            <w:shd w:val="clear" w:color="auto" w:fill="auto"/>
            <w:noWrap/>
            <w:vAlign w:val="center"/>
            <w:hideMark/>
          </w:tcPr>
          <w:p w14:paraId="7D17574A" w14:textId="1F498F88"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–0.1</w:t>
            </w:r>
            <w:r w:rsidR="00BF58DC">
              <w:rPr>
                <w:rFonts w:eastAsia="Times New Roman" w:cs="Times New Roman"/>
                <w:color w:val="000000"/>
                <w:sz w:val="16"/>
                <w:szCs w:val="16"/>
                <w:lang w:val="en-GB" w:eastAsia="zh-CN"/>
              </w:rPr>
              <w:t>07</w:t>
            </w:r>
          </w:p>
        </w:tc>
        <w:tc>
          <w:tcPr>
            <w:tcW w:w="0" w:type="auto"/>
            <w:tcBorders>
              <w:top w:val="nil"/>
              <w:left w:val="nil"/>
              <w:bottom w:val="nil"/>
              <w:right w:val="nil"/>
            </w:tcBorders>
            <w:shd w:val="clear" w:color="auto" w:fill="auto"/>
            <w:noWrap/>
            <w:vAlign w:val="center"/>
            <w:hideMark/>
          </w:tcPr>
          <w:p w14:paraId="037CB4B6" w14:textId="64751AEF"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[–0.3</w:t>
            </w:r>
            <w:r w:rsidR="00BF58DC">
              <w:rPr>
                <w:rFonts w:eastAsia="Times New Roman" w:cs="Times New Roman"/>
                <w:color w:val="000000"/>
                <w:sz w:val="16"/>
                <w:szCs w:val="16"/>
                <w:lang w:val="en-GB" w:eastAsia="zh-CN"/>
              </w:rPr>
              <w:t>14</w:t>
            </w:r>
            <w:r w:rsidRPr="00324B90">
              <w:rPr>
                <w:rFonts w:eastAsia="Times New Roman" w:cs="Times New Roman"/>
                <w:color w:val="000000"/>
                <w:sz w:val="16"/>
                <w:szCs w:val="16"/>
                <w:lang w:val="en-GB" w:eastAsia="zh-CN"/>
              </w:rPr>
              <w:t>, 0.</w:t>
            </w:r>
            <w:r w:rsidR="00BF58DC">
              <w:rPr>
                <w:rFonts w:eastAsia="Times New Roman" w:cs="Times New Roman"/>
                <w:color w:val="000000"/>
                <w:sz w:val="16"/>
                <w:szCs w:val="16"/>
                <w:lang w:val="en-GB" w:eastAsia="zh-CN"/>
              </w:rPr>
              <w:t>101</w:t>
            </w:r>
            <w:r w:rsidRPr="00324B90">
              <w:rPr>
                <w:rFonts w:eastAsia="Times New Roman" w:cs="Times New Roman"/>
                <w:color w:val="000000"/>
                <w:sz w:val="16"/>
                <w:szCs w:val="16"/>
                <w:lang w:val="en-GB" w:eastAsia="zh-CN"/>
              </w:rPr>
              <w:t xml:space="preserve">] </w:t>
            </w:r>
          </w:p>
        </w:tc>
        <w:tc>
          <w:tcPr>
            <w:tcW w:w="0" w:type="auto"/>
            <w:tcBorders>
              <w:top w:val="nil"/>
              <w:left w:val="nil"/>
              <w:bottom w:val="nil"/>
              <w:right w:val="nil"/>
            </w:tcBorders>
            <w:vAlign w:val="center"/>
          </w:tcPr>
          <w:p w14:paraId="622D6349" w14:textId="3D3488E4" w:rsidR="008C29DA" w:rsidRPr="00324B90" w:rsidRDefault="00B23722" w:rsidP="0011556B">
            <w:pPr>
              <w:spacing w:line="240" w:lineRule="auto"/>
              <w:jc w:val="center"/>
              <w:rPr>
                <w:rFonts w:eastAsia="Times New Roman" w:cs="Times New Roman"/>
                <w:color w:val="000000"/>
                <w:sz w:val="16"/>
                <w:szCs w:val="16"/>
                <w:lang w:val="en-GB" w:eastAsia="zh-CN"/>
              </w:rPr>
            </w:pPr>
            <w:r w:rsidRPr="00B23722">
              <w:rPr>
                <w:rFonts w:eastAsia="Times New Roman" w:cs="Times New Roman"/>
                <w:color w:val="000000"/>
                <w:sz w:val="16"/>
                <w:szCs w:val="16"/>
                <w:lang w:val="en-GB" w:eastAsia="zh-CN"/>
              </w:rPr>
              <w:t>[</w:t>
            </w:r>
            <w:r w:rsidR="006A3AA7" w:rsidRPr="00324B90">
              <w:rPr>
                <w:rFonts w:eastAsia="Times New Roman" w:cs="Times New Roman"/>
                <w:color w:val="000000"/>
                <w:sz w:val="16"/>
                <w:szCs w:val="16"/>
                <w:lang w:val="en-GB" w:eastAsia="zh-CN"/>
              </w:rPr>
              <w:t>–</w:t>
            </w:r>
            <w:r w:rsidRPr="00B23722">
              <w:rPr>
                <w:rFonts w:eastAsia="Times New Roman" w:cs="Times New Roman"/>
                <w:color w:val="000000"/>
                <w:sz w:val="16"/>
                <w:szCs w:val="16"/>
                <w:lang w:val="en-GB" w:eastAsia="zh-CN"/>
              </w:rPr>
              <w:t>1.2</w:t>
            </w:r>
            <w:r w:rsidR="00AE1230">
              <w:rPr>
                <w:rFonts w:eastAsia="Times New Roman" w:cs="Times New Roman"/>
                <w:color w:val="000000"/>
                <w:sz w:val="16"/>
                <w:szCs w:val="16"/>
                <w:lang w:val="en-GB" w:eastAsia="zh-CN"/>
              </w:rPr>
              <w:t>99</w:t>
            </w:r>
            <w:r w:rsidRPr="00B23722">
              <w:rPr>
                <w:rFonts w:eastAsia="Times New Roman" w:cs="Times New Roman"/>
                <w:color w:val="000000"/>
                <w:sz w:val="16"/>
                <w:szCs w:val="16"/>
                <w:lang w:val="en-GB" w:eastAsia="zh-CN"/>
              </w:rPr>
              <w:t>, 1.0</w:t>
            </w:r>
            <w:r w:rsidR="00AE1230">
              <w:rPr>
                <w:rFonts w:eastAsia="Times New Roman" w:cs="Times New Roman"/>
                <w:color w:val="000000"/>
                <w:sz w:val="16"/>
                <w:szCs w:val="16"/>
                <w:lang w:val="en-GB" w:eastAsia="zh-CN"/>
              </w:rPr>
              <w:t>86</w:t>
            </w:r>
            <w:r w:rsidRPr="00B23722">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0246D811"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–0.165*</w:t>
            </w:r>
          </w:p>
        </w:tc>
        <w:tc>
          <w:tcPr>
            <w:tcW w:w="0" w:type="auto"/>
            <w:tcBorders>
              <w:top w:val="nil"/>
              <w:left w:val="nil"/>
              <w:bottom w:val="nil"/>
              <w:right w:val="nil"/>
            </w:tcBorders>
            <w:shd w:val="clear" w:color="auto" w:fill="auto"/>
            <w:noWrap/>
            <w:vAlign w:val="center"/>
            <w:hideMark/>
          </w:tcPr>
          <w:p w14:paraId="72DBB0E8"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–2.217*</w:t>
            </w:r>
          </w:p>
        </w:tc>
        <w:tc>
          <w:tcPr>
            <w:tcW w:w="0" w:type="auto"/>
            <w:tcBorders>
              <w:top w:val="nil"/>
              <w:left w:val="nil"/>
              <w:bottom w:val="nil"/>
              <w:right w:val="nil"/>
            </w:tcBorders>
            <w:shd w:val="clear" w:color="auto" w:fill="auto"/>
            <w:noWrap/>
            <w:vAlign w:val="center"/>
            <w:hideMark/>
          </w:tcPr>
          <w:p w14:paraId="711E9EFB"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No</w:t>
            </w:r>
          </w:p>
        </w:tc>
      </w:tr>
      <w:tr w:rsidR="008C29DA" w:rsidRPr="00324B90" w14:paraId="3AC3BF7A" w14:textId="77777777" w:rsidTr="007C08B9">
        <w:trPr>
          <w:trHeight w:val="250"/>
        </w:trPr>
        <w:tc>
          <w:tcPr>
            <w:tcW w:w="0" w:type="auto"/>
            <w:tcBorders>
              <w:top w:val="nil"/>
              <w:left w:val="nil"/>
              <w:bottom w:val="nil"/>
              <w:right w:val="nil"/>
            </w:tcBorders>
            <w:shd w:val="clear" w:color="auto" w:fill="auto"/>
            <w:noWrap/>
            <w:vAlign w:val="center"/>
            <w:hideMark/>
          </w:tcPr>
          <w:p w14:paraId="49386FDB" w14:textId="77777777" w:rsidR="008C29DA" w:rsidRPr="00324B90" w:rsidRDefault="008C29DA" w:rsidP="0011556B">
            <w:pPr>
              <w:spacing w:line="240" w:lineRule="auto"/>
              <w:ind w:firstLineChars="100" w:firstLine="160"/>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Communication</w:t>
            </w:r>
          </w:p>
        </w:tc>
        <w:tc>
          <w:tcPr>
            <w:tcW w:w="0" w:type="auto"/>
            <w:tcBorders>
              <w:top w:val="nil"/>
              <w:left w:val="nil"/>
              <w:bottom w:val="nil"/>
              <w:right w:val="nil"/>
            </w:tcBorders>
            <w:shd w:val="clear" w:color="auto" w:fill="auto"/>
            <w:noWrap/>
            <w:vAlign w:val="center"/>
            <w:hideMark/>
          </w:tcPr>
          <w:p w14:paraId="1527FE07"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191</w:t>
            </w:r>
          </w:p>
        </w:tc>
        <w:tc>
          <w:tcPr>
            <w:tcW w:w="0" w:type="auto"/>
            <w:tcBorders>
              <w:top w:val="nil"/>
              <w:left w:val="nil"/>
              <w:bottom w:val="nil"/>
              <w:right w:val="nil"/>
            </w:tcBorders>
            <w:shd w:val="clear" w:color="auto" w:fill="auto"/>
            <w:noWrap/>
            <w:vAlign w:val="center"/>
            <w:hideMark/>
          </w:tcPr>
          <w:p w14:paraId="3A490160"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76</w:t>
            </w:r>
          </w:p>
        </w:tc>
        <w:tc>
          <w:tcPr>
            <w:tcW w:w="0" w:type="auto"/>
            <w:tcBorders>
              <w:top w:val="nil"/>
              <w:left w:val="nil"/>
              <w:bottom w:val="nil"/>
              <w:right w:val="nil"/>
            </w:tcBorders>
            <w:shd w:val="clear" w:color="auto" w:fill="auto"/>
            <w:noWrap/>
            <w:vAlign w:val="center"/>
            <w:hideMark/>
          </w:tcPr>
          <w:p w14:paraId="1DC68782" w14:textId="68A0F95A"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0.4</w:t>
            </w:r>
            <w:r w:rsidR="00AE1230">
              <w:rPr>
                <w:rFonts w:eastAsia="Times New Roman" w:cs="Times New Roman"/>
                <w:color w:val="000000"/>
                <w:sz w:val="16"/>
                <w:szCs w:val="16"/>
                <w:lang w:val="en-GB" w:eastAsia="zh-CN"/>
              </w:rPr>
              <w:t>64</w:t>
            </w:r>
          </w:p>
        </w:tc>
        <w:tc>
          <w:tcPr>
            <w:tcW w:w="0" w:type="auto"/>
            <w:tcBorders>
              <w:top w:val="nil"/>
              <w:left w:val="nil"/>
              <w:bottom w:val="nil"/>
              <w:right w:val="nil"/>
            </w:tcBorders>
            <w:shd w:val="clear" w:color="auto" w:fill="auto"/>
            <w:noWrap/>
            <w:vAlign w:val="center"/>
            <w:hideMark/>
          </w:tcPr>
          <w:p w14:paraId="64495294" w14:textId="5D0806D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[0.34</w:t>
            </w:r>
            <w:r w:rsidR="00151A06">
              <w:rPr>
                <w:rFonts w:eastAsia="Times New Roman" w:cs="Times New Roman"/>
                <w:color w:val="000000"/>
                <w:sz w:val="16"/>
                <w:szCs w:val="16"/>
                <w:lang w:val="en-GB" w:eastAsia="zh-CN"/>
              </w:rPr>
              <w:t>0</w:t>
            </w:r>
            <w:r w:rsidRPr="00324B90">
              <w:rPr>
                <w:rFonts w:eastAsia="Times New Roman" w:cs="Times New Roman"/>
                <w:color w:val="000000"/>
                <w:sz w:val="16"/>
                <w:szCs w:val="16"/>
                <w:lang w:val="en-GB" w:eastAsia="zh-CN"/>
              </w:rPr>
              <w:t>, 0.</w:t>
            </w:r>
            <w:r w:rsidR="00151A06">
              <w:rPr>
                <w:rFonts w:eastAsia="Times New Roman" w:cs="Times New Roman"/>
                <w:color w:val="000000"/>
                <w:sz w:val="16"/>
                <w:szCs w:val="16"/>
                <w:lang w:val="en-GB" w:eastAsia="zh-CN"/>
              </w:rPr>
              <w:t>587</w:t>
            </w:r>
            <w:r w:rsidRPr="00324B90">
              <w:rPr>
                <w:rFonts w:eastAsia="Times New Roman" w:cs="Times New Roman"/>
                <w:color w:val="000000"/>
                <w:sz w:val="16"/>
                <w:szCs w:val="16"/>
                <w:lang w:val="en-GB" w:eastAsia="zh-CN"/>
              </w:rPr>
              <w:t>]</w:t>
            </w:r>
          </w:p>
        </w:tc>
        <w:tc>
          <w:tcPr>
            <w:tcW w:w="0" w:type="auto"/>
            <w:tcBorders>
              <w:top w:val="nil"/>
              <w:left w:val="nil"/>
              <w:bottom w:val="nil"/>
              <w:right w:val="nil"/>
            </w:tcBorders>
            <w:vAlign w:val="center"/>
          </w:tcPr>
          <w:p w14:paraId="6BF1D520" w14:textId="572B3C47" w:rsidR="008C29DA" w:rsidRPr="00324B90" w:rsidRDefault="006A3AA7" w:rsidP="0011556B">
            <w:pPr>
              <w:spacing w:line="240" w:lineRule="auto"/>
              <w:jc w:val="center"/>
              <w:rPr>
                <w:rFonts w:eastAsia="Times New Roman" w:cs="Times New Roman"/>
                <w:color w:val="000000"/>
                <w:sz w:val="16"/>
                <w:szCs w:val="16"/>
                <w:lang w:val="en-GB" w:eastAsia="zh-CN"/>
              </w:rPr>
            </w:pPr>
            <w:r w:rsidRPr="006A3AA7">
              <w:rPr>
                <w:rFonts w:eastAsia="Times New Roman" w:cs="Times New Roman"/>
                <w:color w:val="000000"/>
                <w:sz w:val="16"/>
                <w:szCs w:val="16"/>
                <w:lang w:val="en-GB" w:eastAsia="zh-CN"/>
              </w:rPr>
              <w:t>[</w:t>
            </w:r>
            <w:r w:rsidRPr="00324B90">
              <w:rPr>
                <w:rFonts w:eastAsia="Times New Roman" w:cs="Times New Roman"/>
                <w:color w:val="000000"/>
                <w:sz w:val="16"/>
                <w:szCs w:val="16"/>
                <w:lang w:val="en-GB" w:eastAsia="zh-CN"/>
              </w:rPr>
              <w:t>–</w:t>
            </w:r>
            <w:r w:rsidRPr="006A3AA7">
              <w:rPr>
                <w:rFonts w:eastAsia="Times New Roman" w:cs="Times New Roman"/>
                <w:color w:val="000000"/>
                <w:sz w:val="16"/>
                <w:szCs w:val="16"/>
                <w:lang w:val="en-GB" w:eastAsia="zh-CN"/>
              </w:rPr>
              <w:t>0.</w:t>
            </w:r>
            <w:r w:rsidR="00151A06">
              <w:rPr>
                <w:rFonts w:eastAsia="Times New Roman" w:cs="Times New Roman"/>
                <w:color w:val="000000"/>
                <w:sz w:val="16"/>
                <w:szCs w:val="16"/>
                <w:lang w:val="en-GB" w:eastAsia="zh-CN"/>
              </w:rPr>
              <w:t>692</w:t>
            </w:r>
            <w:r w:rsidRPr="006A3AA7">
              <w:rPr>
                <w:rFonts w:eastAsia="Times New Roman" w:cs="Times New Roman"/>
                <w:color w:val="000000"/>
                <w:sz w:val="16"/>
                <w:szCs w:val="16"/>
                <w:lang w:val="en-GB" w:eastAsia="zh-CN"/>
              </w:rPr>
              <w:t>, 1.</w:t>
            </w:r>
            <w:r w:rsidR="00151A06">
              <w:rPr>
                <w:rFonts w:eastAsia="Times New Roman" w:cs="Times New Roman"/>
                <w:color w:val="000000"/>
                <w:sz w:val="16"/>
                <w:szCs w:val="16"/>
                <w:lang w:val="en-GB" w:eastAsia="zh-CN"/>
              </w:rPr>
              <w:t>620</w:t>
            </w:r>
            <w:r w:rsidRPr="006A3AA7">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378A12E7"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0.048</w:t>
            </w:r>
          </w:p>
        </w:tc>
        <w:tc>
          <w:tcPr>
            <w:tcW w:w="0" w:type="auto"/>
            <w:tcBorders>
              <w:top w:val="nil"/>
              <w:left w:val="nil"/>
              <w:bottom w:val="nil"/>
              <w:right w:val="nil"/>
            </w:tcBorders>
            <w:shd w:val="clear" w:color="auto" w:fill="auto"/>
            <w:noWrap/>
            <w:vAlign w:val="center"/>
            <w:hideMark/>
          </w:tcPr>
          <w:p w14:paraId="4703FF82" w14:textId="30B451E0"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1.64</w:t>
            </w:r>
            <w:r w:rsidR="00151A06">
              <w:rPr>
                <w:rFonts w:eastAsia="Times New Roman" w:cs="Times New Roman"/>
                <w:color w:val="000000"/>
                <w:sz w:val="16"/>
                <w:szCs w:val="16"/>
                <w:lang w:val="en-GB" w:eastAsia="zh-CN"/>
              </w:rPr>
              <w:t>0</w:t>
            </w:r>
          </w:p>
        </w:tc>
        <w:tc>
          <w:tcPr>
            <w:tcW w:w="0" w:type="auto"/>
            <w:tcBorders>
              <w:top w:val="nil"/>
              <w:left w:val="nil"/>
              <w:bottom w:val="nil"/>
              <w:right w:val="nil"/>
            </w:tcBorders>
            <w:shd w:val="clear" w:color="auto" w:fill="auto"/>
            <w:noWrap/>
            <w:vAlign w:val="center"/>
            <w:hideMark/>
          </w:tcPr>
          <w:p w14:paraId="7F6E0506"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Yes</w:t>
            </w:r>
          </w:p>
        </w:tc>
      </w:tr>
      <w:tr w:rsidR="008C29DA" w:rsidRPr="00324B90" w14:paraId="449D4ABC" w14:textId="77777777" w:rsidTr="007C08B9">
        <w:trPr>
          <w:trHeight w:val="250"/>
        </w:trPr>
        <w:tc>
          <w:tcPr>
            <w:tcW w:w="0" w:type="auto"/>
            <w:tcBorders>
              <w:top w:val="nil"/>
              <w:left w:val="nil"/>
              <w:bottom w:val="nil"/>
              <w:right w:val="nil"/>
            </w:tcBorders>
            <w:shd w:val="clear" w:color="auto" w:fill="auto"/>
            <w:noWrap/>
            <w:vAlign w:val="center"/>
            <w:hideMark/>
          </w:tcPr>
          <w:p w14:paraId="02956E63" w14:textId="77777777" w:rsidR="008C29DA" w:rsidRPr="00324B90" w:rsidRDefault="008C29DA" w:rsidP="0011556B">
            <w:pPr>
              <w:spacing w:line="240" w:lineRule="auto"/>
              <w:ind w:firstLineChars="100" w:firstLine="160"/>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Payment</w:t>
            </w:r>
          </w:p>
        </w:tc>
        <w:tc>
          <w:tcPr>
            <w:tcW w:w="0" w:type="auto"/>
            <w:tcBorders>
              <w:top w:val="nil"/>
              <w:left w:val="nil"/>
              <w:bottom w:val="nil"/>
              <w:right w:val="nil"/>
            </w:tcBorders>
            <w:shd w:val="clear" w:color="auto" w:fill="auto"/>
            <w:noWrap/>
            <w:vAlign w:val="center"/>
            <w:hideMark/>
          </w:tcPr>
          <w:p w14:paraId="39B86EE2" w14:textId="77777777" w:rsidR="008C29DA" w:rsidRPr="00324B90" w:rsidRDefault="008C29DA" w:rsidP="0011556B">
            <w:pPr>
              <w:spacing w:line="240" w:lineRule="auto"/>
              <w:ind w:firstLineChars="100" w:firstLine="160"/>
              <w:rPr>
                <w:rFonts w:eastAsia="Times New Roman" w:cs="Times New Roman"/>
                <w:color w:val="000000"/>
                <w:sz w:val="16"/>
                <w:szCs w:val="16"/>
                <w:lang w:val="en-GB" w:eastAsia="zh-CN"/>
              </w:rPr>
            </w:pPr>
          </w:p>
        </w:tc>
        <w:tc>
          <w:tcPr>
            <w:tcW w:w="0" w:type="auto"/>
            <w:tcBorders>
              <w:top w:val="nil"/>
              <w:left w:val="nil"/>
              <w:bottom w:val="nil"/>
              <w:right w:val="nil"/>
            </w:tcBorders>
            <w:shd w:val="clear" w:color="auto" w:fill="auto"/>
            <w:noWrap/>
            <w:vAlign w:val="center"/>
            <w:hideMark/>
          </w:tcPr>
          <w:p w14:paraId="7382A04E"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754CB6C3"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1B0C3C5F"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vAlign w:val="center"/>
          </w:tcPr>
          <w:p w14:paraId="3F74C0C9"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7D14A24D"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1BA36886"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66ED9C97" w14:textId="77777777" w:rsidR="008C29DA" w:rsidRPr="00324B90" w:rsidRDefault="008C29DA" w:rsidP="0011556B">
            <w:pPr>
              <w:spacing w:line="240" w:lineRule="auto"/>
              <w:jc w:val="center"/>
              <w:rPr>
                <w:rFonts w:eastAsia="Times New Roman" w:cs="Times New Roman"/>
                <w:sz w:val="20"/>
                <w:szCs w:val="20"/>
                <w:lang w:val="en-GB" w:eastAsia="zh-CN"/>
              </w:rPr>
            </w:pPr>
          </w:p>
        </w:tc>
      </w:tr>
      <w:tr w:rsidR="008C29DA" w:rsidRPr="00324B90" w14:paraId="0BFD5BE0" w14:textId="77777777" w:rsidTr="007C08B9">
        <w:trPr>
          <w:trHeight w:val="250"/>
        </w:trPr>
        <w:tc>
          <w:tcPr>
            <w:tcW w:w="0" w:type="auto"/>
            <w:tcBorders>
              <w:top w:val="nil"/>
              <w:left w:val="nil"/>
              <w:bottom w:val="nil"/>
              <w:right w:val="nil"/>
            </w:tcBorders>
            <w:shd w:val="clear" w:color="auto" w:fill="auto"/>
            <w:noWrap/>
            <w:vAlign w:val="center"/>
            <w:hideMark/>
          </w:tcPr>
          <w:p w14:paraId="6148EE21" w14:textId="1A64E1C0" w:rsidR="008C29DA" w:rsidRPr="004F6F71" w:rsidRDefault="008C29DA" w:rsidP="0011556B">
            <w:pPr>
              <w:spacing w:line="240" w:lineRule="auto"/>
              <w:ind w:firstLineChars="200" w:firstLine="320"/>
              <w:rPr>
                <w:rFonts w:eastAsiaTheme="minorEastAsia" w:cs="Times New Roman"/>
                <w:color w:val="000000"/>
                <w:sz w:val="16"/>
                <w:szCs w:val="16"/>
                <w:vertAlign w:val="superscript"/>
                <w:lang w:val="en-GB" w:eastAsia="zh-CN"/>
              </w:rPr>
            </w:pPr>
            <w:r w:rsidRPr="00324B90">
              <w:rPr>
                <w:rFonts w:eastAsia="Times New Roman" w:cs="Times New Roman"/>
                <w:color w:val="000000"/>
                <w:sz w:val="16"/>
                <w:szCs w:val="16"/>
                <w:lang w:val="en-GB" w:eastAsia="zh-CN"/>
              </w:rPr>
              <w:t>Show up fee</w:t>
            </w:r>
          </w:p>
        </w:tc>
        <w:tc>
          <w:tcPr>
            <w:tcW w:w="0" w:type="auto"/>
            <w:tcBorders>
              <w:top w:val="nil"/>
              <w:left w:val="nil"/>
              <w:bottom w:val="nil"/>
              <w:right w:val="nil"/>
            </w:tcBorders>
            <w:shd w:val="clear" w:color="auto" w:fill="auto"/>
            <w:noWrap/>
            <w:vAlign w:val="center"/>
            <w:hideMark/>
          </w:tcPr>
          <w:p w14:paraId="45E44E0A"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17</w:t>
            </w:r>
          </w:p>
        </w:tc>
        <w:tc>
          <w:tcPr>
            <w:tcW w:w="0" w:type="auto"/>
            <w:tcBorders>
              <w:top w:val="nil"/>
              <w:left w:val="nil"/>
              <w:bottom w:val="nil"/>
              <w:right w:val="nil"/>
            </w:tcBorders>
            <w:shd w:val="clear" w:color="auto" w:fill="auto"/>
            <w:noWrap/>
            <w:vAlign w:val="center"/>
            <w:hideMark/>
          </w:tcPr>
          <w:p w14:paraId="6292BE9B"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7</w:t>
            </w:r>
          </w:p>
        </w:tc>
        <w:tc>
          <w:tcPr>
            <w:tcW w:w="0" w:type="auto"/>
            <w:tcBorders>
              <w:top w:val="nil"/>
              <w:left w:val="nil"/>
              <w:bottom w:val="nil"/>
              <w:right w:val="nil"/>
            </w:tcBorders>
            <w:shd w:val="clear" w:color="auto" w:fill="auto"/>
            <w:noWrap/>
            <w:vAlign w:val="center"/>
            <w:hideMark/>
          </w:tcPr>
          <w:p w14:paraId="32A72C82" w14:textId="42C00DD3"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0.1</w:t>
            </w:r>
            <w:r w:rsidR="00060564">
              <w:rPr>
                <w:rFonts w:eastAsia="Times New Roman" w:cs="Times New Roman"/>
                <w:color w:val="000000"/>
                <w:sz w:val="16"/>
                <w:szCs w:val="16"/>
                <w:lang w:val="en-GB" w:eastAsia="zh-CN"/>
              </w:rPr>
              <w:t>97</w:t>
            </w:r>
          </w:p>
        </w:tc>
        <w:tc>
          <w:tcPr>
            <w:tcW w:w="0" w:type="auto"/>
            <w:tcBorders>
              <w:top w:val="nil"/>
              <w:left w:val="nil"/>
              <w:bottom w:val="nil"/>
              <w:right w:val="nil"/>
            </w:tcBorders>
            <w:shd w:val="clear" w:color="auto" w:fill="auto"/>
            <w:noWrap/>
            <w:vAlign w:val="center"/>
            <w:hideMark/>
          </w:tcPr>
          <w:p w14:paraId="526335CA" w14:textId="7BADE718"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[0.0</w:t>
            </w:r>
            <w:r w:rsidR="00060564">
              <w:rPr>
                <w:rFonts w:eastAsia="Times New Roman" w:cs="Times New Roman"/>
                <w:color w:val="000000"/>
                <w:sz w:val="16"/>
                <w:szCs w:val="16"/>
                <w:lang w:val="en-GB" w:eastAsia="zh-CN"/>
              </w:rPr>
              <w:t>48</w:t>
            </w:r>
            <w:r w:rsidRPr="00324B90">
              <w:rPr>
                <w:rFonts w:eastAsia="Times New Roman" w:cs="Times New Roman"/>
                <w:color w:val="000000"/>
                <w:sz w:val="16"/>
                <w:szCs w:val="16"/>
                <w:lang w:val="en-GB" w:eastAsia="zh-CN"/>
              </w:rPr>
              <w:t>, 0.3</w:t>
            </w:r>
            <w:r w:rsidR="00060564">
              <w:rPr>
                <w:rFonts w:eastAsia="Times New Roman" w:cs="Times New Roman"/>
                <w:color w:val="000000"/>
                <w:sz w:val="16"/>
                <w:szCs w:val="16"/>
                <w:lang w:val="en-GB" w:eastAsia="zh-CN"/>
              </w:rPr>
              <w:t>46</w:t>
            </w:r>
            <w:r w:rsidRPr="00324B90">
              <w:rPr>
                <w:rFonts w:eastAsia="Times New Roman" w:cs="Times New Roman"/>
                <w:color w:val="000000"/>
                <w:sz w:val="16"/>
                <w:szCs w:val="16"/>
                <w:lang w:val="en-GB" w:eastAsia="zh-CN"/>
              </w:rPr>
              <w:t xml:space="preserve">] </w:t>
            </w:r>
          </w:p>
        </w:tc>
        <w:tc>
          <w:tcPr>
            <w:tcW w:w="0" w:type="auto"/>
            <w:tcBorders>
              <w:top w:val="nil"/>
              <w:left w:val="nil"/>
              <w:bottom w:val="nil"/>
              <w:right w:val="nil"/>
            </w:tcBorders>
            <w:vAlign w:val="center"/>
          </w:tcPr>
          <w:p w14:paraId="431379EC" w14:textId="64181586" w:rsidR="008C29DA" w:rsidRPr="00324B90" w:rsidRDefault="00060564" w:rsidP="0011556B">
            <w:pPr>
              <w:spacing w:line="240" w:lineRule="auto"/>
              <w:jc w:val="center"/>
              <w:rPr>
                <w:rFonts w:eastAsia="Times New Roman" w:cs="Times New Roman"/>
                <w:color w:val="000000"/>
                <w:sz w:val="16"/>
                <w:szCs w:val="16"/>
                <w:lang w:val="en-GB" w:eastAsia="zh-CN"/>
              </w:rPr>
            </w:pPr>
            <w:r w:rsidRPr="00060564">
              <w:rPr>
                <w:rFonts w:eastAsia="Times New Roman" w:cs="Times New Roman"/>
                <w:color w:val="000000"/>
                <w:sz w:val="16"/>
                <w:szCs w:val="16"/>
                <w:lang w:val="en-GB" w:eastAsia="zh-CN"/>
              </w:rPr>
              <w:t>[</w:t>
            </w:r>
            <w:r w:rsidR="00DA6163" w:rsidRPr="00324B90">
              <w:rPr>
                <w:rFonts w:eastAsia="Times New Roman" w:cs="Times New Roman"/>
                <w:color w:val="000000"/>
                <w:sz w:val="16"/>
                <w:szCs w:val="16"/>
                <w:lang w:val="en-GB" w:eastAsia="zh-CN"/>
              </w:rPr>
              <w:t>–</w:t>
            </w:r>
            <w:r w:rsidRPr="00060564">
              <w:rPr>
                <w:rFonts w:eastAsia="Times New Roman" w:cs="Times New Roman"/>
                <w:color w:val="000000"/>
                <w:sz w:val="16"/>
                <w:szCs w:val="16"/>
                <w:lang w:val="en-GB" w:eastAsia="zh-CN"/>
              </w:rPr>
              <w:t>0.099, 0.492]</w:t>
            </w:r>
          </w:p>
        </w:tc>
        <w:tc>
          <w:tcPr>
            <w:tcW w:w="0" w:type="auto"/>
            <w:tcBorders>
              <w:top w:val="nil"/>
              <w:left w:val="nil"/>
              <w:bottom w:val="nil"/>
              <w:right w:val="nil"/>
            </w:tcBorders>
            <w:shd w:val="clear" w:color="auto" w:fill="auto"/>
            <w:noWrap/>
            <w:vAlign w:val="center"/>
            <w:hideMark/>
          </w:tcPr>
          <w:p w14:paraId="5D393005" w14:textId="7F2F833C" w:rsidR="008C29DA" w:rsidRPr="00324B90" w:rsidRDefault="00151A06" w:rsidP="0011556B">
            <w:pPr>
              <w:spacing w:line="240" w:lineRule="auto"/>
              <w:jc w:val="center"/>
              <w:rPr>
                <w:rFonts w:eastAsia="Times New Roman" w:cs="Times New Roman"/>
                <w:color w:val="000000"/>
                <w:sz w:val="16"/>
                <w:szCs w:val="16"/>
                <w:lang w:val="en-GB" w:eastAsia="zh-CN"/>
              </w:rPr>
            </w:pPr>
            <w:r>
              <w:rPr>
                <w:rFonts w:eastAsia="Times New Roman" w:cs="Times New Roman"/>
                <w:color w:val="000000"/>
                <w:sz w:val="16"/>
                <w:szCs w:val="16"/>
                <w:lang w:val="en-GB" w:eastAsia="zh-CN"/>
              </w:rPr>
              <w:t>0.218</w:t>
            </w:r>
          </w:p>
        </w:tc>
        <w:tc>
          <w:tcPr>
            <w:tcW w:w="0" w:type="auto"/>
            <w:tcBorders>
              <w:top w:val="nil"/>
              <w:left w:val="nil"/>
              <w:bottom w:val="nil"/>
              <w:right w:val="nil"/>
            </w:tcBorders>
            <w:shd w:val="clear" w:color="auto" w:fill="auto"/>
            <w:noWrap/>
            <w:vAlign w:val="center"/>
            <w:hideMark/>
          </w:tcPr>
          <w:p w14:paraId="75F40F1F" w14:textId="22822F12" w:rsidR="008C29DA" w:rsidRPr="00324B90" w:rsidRDefault="00151A06" w:rsidP="0011556B">
            <w:pPr>
              <w:spacing w:line="240" w:lineRule="auto"/>
              <w:jc w:val="center"/>
              <w:rPr>
                <w:rFonts w:eastAsia="Times New Roman" w:cs="Times New Roman"/>
                <w:color w:val="000000"/>
                <w:sz w:val="16"/>
                <w:szCs w:val="16"/>
                <w:lang w:val="en-GB" w:eastAsia="zh-CN"/>
              </w:rPr>
            </w:pPr>
            <w:r>
              <w:rPr>
                <w:rFonts w:eastAsia="Times New Roman" w:cs="Times New Roman"/>
                <w:color w:val="000000"/>
                <w:sz w:val="16"/>
                <w:szCs w:val="16"/>
                <w:lang w:val="en-GB" w:eastAsia="zh-CN"/>
              </w:rPr>
              <w:t>0.902</w:t>
            </w:r>
          </w:p>
        </w:tc>
        <w:tc>
          <w:tcPr>
            <w:tcW w:w="0" w:type="auto"/>
            <w:tcBorders>
              <w:top w:val="nil"/>
              <w:left w:val="nil"/>
              <w:bottom w:val="nil"/>
              <w:right w:val="nil"/>
            </w:tcBorders>
            <w:shd w:val="clear" w:color="auto" w:fill="auto"/>
            <w:noWrap/>
            <w:vAlign w:val="center"/>
            <w:hideMark/>
          </w:tcPr>
          <w:p w14:paraId="2EF51A44"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No</w:t>
            </w:r>
          </w:p>
        </w:tc>
      </w:tr>
      <w:tr w:rsidR="008C29DA" w:rsidRPr="00324B90" w14:paraId="7E2968E8" w14:textId="77777777" w:rsidTr="007C08B9">
        <w:trPr>
          <w:trHeight w:val="250"/>
        </w:trPr>
        <w:tc>
          <w:tcPr>
            <w:tcW w:w="0" w:type="auto"/>
            <w:tcBorders>
              <w:top w:val="nil"/>
              <w:left w:val="nil"/>
              <w:bottom w:val="nil"/>
              <w:right w:val="nil"/>
            </w:tcBorders>
            <w:shd w:val="clear" w:color="auto" w:fill="auto"/>
            <w:noWrap/>
            <w:vAlign w:val="center"/>
            <w:hideMark/>
          </w:tcPr>
          <w:p w14:paraId="11BA6A8F" w14:textId="77777777" w:rsidR="008C29DA" w:rsidRPr="00324B90" w:rsidRDefault="008C29DA" w:rsidP="0011556B">
            <w:pPr>
              <w:spacing w:line="240" w:lineRule="auto"/>
              <w:ind w:firstLineChars="200" w:firstLine="320"/>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Game payment</w:t>
            </w:r>
          </w:p>
        </w:tc>
        <w:tc>
          <w:tcPr>
            <w:tcW w:w="0" w:type="auto"/>
            <w:tcBorders>
              <w:top w:val="nil"/>
              <w:left w:val="nil"/>
              <w:bottom w:val="nil"/>
              <w:right w:val="nil"/>
            </w:tcBorders>
            <w:shd w:val="clear" w:color="auto" w:fill="auto"/>
            <w:noWrap/>
            <w:vAlign w:val="center"/>
            <w:hideMark/>
          </w:tcPr>
          <w:p w14:paraId="37969CAF"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32</w:t>
            </w:r>
          </w:p>
        </w:tc>
        <w:tc>
          <w:tcPr>
            <w:tcW w:w="0" w:type="auto"/>
            <w:tcBorders>
              <w:top w:val="nil"/>
              <w:left w:val="nil"/>
              <w:bottom w:val="nil"/>
              <w:right w:val="nil"/>
            </w:tcBorders>
            <w:shd w:val="clear" w:color="auto" w:fill="auto"/>
            <w:noWrap/>
            <w:vAlign w:val="center"/>
            <w:hideMark/>
          </w:tcPr>
          <w:p w14:paraId="2805A9E9"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14</w:t>
            </w:r>
          </w:p>
        </w:tc>
        <w:tc>
          <w:tcPr>
            <w:tcW w:w="0" w:type="auto"/>
            <w:tcBorders>
              <w:top w:val="nil"/>
              <w:left w:val="nil"/>
              <w:bottom w:val="nil"/>
              <w:right w:val="nil"/>
            </w:tcBorders>
            <w:shd w:val="clear" w:color="auto" w:fill="auto"/>
            <w:noWrap/>
            <w:vAlign w:val="center"/>
            <w:hideMark/>
          </w:tcPr>
          <w:p w14:paraId="7C541C4B"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0.152</w:t>
            </w:r>
          </w:p>
        </w:tc>
        <w:tc>
          <w:tcPr>
            <w:tcW w:w="0" w:type="auto"/>
            <w:tcBorders>
              <w:top w:val="nil"/>
              <w:left w:val="nil"/>
              <w:bottom w:val="nil"/>
              <w:right w:val="nil"/>
            </w:tcBorders>
            <w:shd w:val="clear" w:color="auto" w:fill="auto"/>
            <w:noWrap/>
            <w:vAlign w:val="center"/>
            <w:hideMark/>
          </w:tcPr>
          <w:p w14:paraId="41CE627B"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 xml:space="preserve">[0.002, 0.301] </w:t>
            </w:r>
          </w:p>
        </w:tc>
        <w:tc>
          <w:tcPr>
            <w:tcW w:w="0" w:type="auto"/>
            <w:tcBorders>
              <w:top w:val="nil"/>
              <w:left w:val="nil"/>
              <w:bottom w:val="nil"/>
              <w:right w:val="nil"/>
            </w:tcBorders>
            <w:vAlign w:val="center"/>
          </w:tcPr>
          <w:p w14:paraId="25A4DEA1" w14:textId="4691D302" w:rsidR="008C29DA" w:rsidRPr="00324B90" w:rsidRDefault="00A26F5F" w:rsidP="0011556B">
            <w:pPr>
              <w:spacing w:line="240" w:lineRule="auto"/>
              <w:jc w:val="center"/>
              <w:rPr>
                <w:rFonts w:eastAsia="Times New Roman" w:cs="Times New Roman"/>
                <w:color w:val="000000"/>
                <w:sz w:val="16"/>
                <w:szCs w:val="16"/>
                <w:lang w:val="en-GB" w:eastAsia="zh-CN"/>
              </w:rPr>
            </w:pPr>
            <w:r w:rsidRPr="00A26F5F">
              <w:rPr>
                <w:rFonts w:eastAsia="Times New Roman" w:cs="Times New Roman"/>
                <w:color w:val="000000"/>
                <w:sz w:val="16"/>
                <w:szCs w:val="16"/>
                <w:lang w:val="en-GB" w:eastAsia="zh-CN"/>
              </w:rPr>
              <w:t>[</w:t>
            </w:r>
            <w:r w:rsidR="00DA6163" w:rsidRPr="00324B90">
              <w:rPr>
                <w:rFonts w:eastAsia="Times New Roman" w:cs="Times New Roman"/>
                <w:color w:val="000000"/>
                <w:sz w:val="16"/>
                <w:szCs w:val="16"/>
                <w:lang w:val="en-GB" w:eastAsia="zh-CN"/>
              </w:rPr>
              <w:t>–</w:t>
            </w:r>
            <w:r w:rsidRPr="00A26F5F">
              <w:rPr>
                <w:rFonts w:eastAsia="Times New Roman" w:cs="Times New Roman"/>
                <w:color w:val="000000"/>
                <w:sz w:val="16"/>
                <w:szCs w:val="16"/>
                <w:lang w:val="en-GB" w:eastAsia="zh-CN"/>
              </w:rPr>
              <w:t>0.27</w:t>
            </w:r>
            <w:r>
              <w:rPr>
                <w:rFonts w:eastAsia="Times New Roman" w:cs="Times New Roman"/>
                <w:color w:val="000000"/>
                <w:sz w:val="16"/>
                <w:szCs w:val="16"/>
                <w:lang w:val="en-GB" w:eastAsia="zh-CN"/>
              </w:rPr>
              <w:t>0</w:t>
            </w:r>
            <w:r w:rsidRPr="00A26F5F">
              <w:rPr>
                <w:rFonts w:eastAsia="Times New Roman" w:cs="Times New Roman"/>
                <w:color w:val="000000"/>
                <w:sz w:val="16"/>
                <w:szCs w:val="16"/>
                <w:lang w:val="en-GB" w:eastAsia="zh-CN"/>
              </w:rPr>
              <w:t>, 0.573]</w:t>
            </w:r>
          </w:p>
        </w:tc>
        <w:tc>
          <w:tcPr>
            <w:tcW w:w="0" w:type="auto"/>
            <w:tcBorders>
              <w:top w:val="nil"/>
              <w:left w:val="nil"/>
              <w:bottom w:val="nil"/>
              <w:right w:val="nil"/>
            </w:tcBorders>
            <w:shd w:val="clear" w:color="auto" w:fill="auto"/>
            <w:noWrap/>
            <w:vAlign w:val="center"/>
            <w:hideMark/>
          </w:tcPr>
          <w:p w14:paraId="40FD8714"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–0.086</w:t>
            </w:r>
          </w:p>
        </w:tc>
        <w:tc>
          <w:tcPr>
            <w:tcW w:w="0" w:type="auto"/>
            <w:tcBorders>
              <w:top w:val="nil"/>
              <w:left w:val="nil"/>
              <w:bottom w:val="nil"/>
              <w:right w:val="nil"/>
            </w:tcBorders>
            <w:shd w:val="clear" w:color="auto" w:fill="auto"/>
            <w:noWrap/>
            <w:vAlign w:val="center"/>
            <w:hideMark/>
          </w:tcPr>
          <w:p w14:paraId="5933D3C5"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–1.132</w:t>
            </w:r>
          </w:p>
        </w:tc>
        <w:tc>
          <w:tcPr>
            <w:tcW w:w="0" w:type="auto"/>
            <w:tcBorders>
              <w:top w:val="nil"/>
              <w:left w:val="nil"/>
              <w:bottom w:val="nil"/>
              <w:right w:val="nil"/>
            </w:tcBorders>
            <w:shd w:val="clear" w:color="auto" w:fill="auto"/>
            <w:noWrap/>
            <w:vAlign w:val="center"/>
            <w:hideMark/>
          </w:tcPr>
          <w:p w14:paraId="34500DAD"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No</w:t>
            </w:r>
          </w:p>
        </w:tc>
      </w:tr>
      <w:tr w:rsidR="008C29DA" w:rsidRPr="00324B90" w14:paraId="441FB3A0" w14:textId="77777777" w:rsidTr="007C08B9">
        <w:trPr>
          <w:trHeight w:val="250"/>
        </w:trPr>
        <w:tc>
          <w:tcPr>
            <w:tcW w:w="0" w:type="auto"/>
            <w:tcBorders>
              <w:top w:val="nil"/>
              <w:left w:val="nil"/>
              <w:bottom w:val="nil"/>
              <w:right w:val="nil"/>
            </w:tcBorders>
            <w:shd w:val="clear" w:color="auto" w:fill="auto"/>
            <w:noWrap/>
            <w:vAlign w:val="center"/>
            <w:hideMark/>
          </w:tcPr>
          <w:p w14:paraId="15AA7BED" w14:textId="77777777" w:rsidR="008C29DA" w:rsidRPr="00324B90" w:rsidRDefault="008C29DA" w:rsidP="0011556B">
            <w:pPr>
              <w:spacing w:line="240" w:lineRule="auto"/>
              <w:ind w:firstLineChars="100" w:firstLine="160"/>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Symmetry</w:t>
            </w:r>
          </w:p>
        </w:tc>
        <w:tc>
          <w:tcPr>
            <w:tcW w:w="0" w:type="auto"/>
            <w:tcBorders>
              <w:top w:val="nil"/>
              <w:left w:val="nil"/>
              <w:bottom w:val="nil"/>
              <w:right w:val="nil"/>
            </w:tcBorders>
            <w:shd w:val="clear" w:color="auto" w:fill="auto"/>
            <w:noWrap/>
            <w:vAlign w:val="center"/>
            <w:hideMark/>
          </w:tcPr>
          <w:p w14:paraId="4860FF73"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135</w:t>
            </w:r>
          </w:p>
        </w:tc>
        <w:tc>
          <w:tcPr>
            <w:tcW w:w="0" w:type="auto"/>
            <w:tcBorders>
              <w:top w:val="nil"/>
              <w:left w:val="nil"/>
              <w:bottom w:val="nil"/>
              <w:right w:val="nil"/>
            </w:tcBorders>
            <w:shd w:val="clear" w:color="auto" w:fill="auto"/>
            <w:noWrap/>
            <w:vAlign w:val="center"/>
            <w:hideMark/>
          </w:tcPr>
          <w:p w14:paraId="4C34BC23"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39</w:t>
            </w:r>
          </w:p>
        </w:tc>
        <w:tc>
          <w:tcPr>
            <w:tcW w:w="0" w:type="auto"/>
            <w:tcBorders>
              <w:top w:val="nil"/>
              <w:left w:val="nil"/>
              <w:bottom w:val="nil"/>
              <w:right w:val="nil"/>
            </w:tcBorders>
            <w:shd w:val="clear" w:color="auto" w:fill="auto"/>
            <w:noWrap/>
            <w:vAlign w:val="center"/>
            <w:hideMark/>
          </w:tcPr>
          <w:p w14:paraId="1E2270FF" w14:textId="17B0787F"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0.0</w:t>
            </w:r>
            <w:r w:rsidR="00151A06">
              <w:rPr>
                <w:rFonts w:eastAsia="Times New Roman" w:cs="Times New Roman"/>
                <w:color w:val="000000"/>
                <w:sz w:val="16"/>
                <w:szCs w:val="16"/>
                <w:lang w:val="en-GB" w:eastAsia="zh-CN"/>
              </w:rPr>
              <w:t>12</w:t>
            </w:r>
          </w:p>
        </w:tc>
        <w:tc>
          <w:tcPr>
            <w:tcW w:w="0" w:type="auto"/>
            <w:tcBorders>
              <w:top w:val="nil"/>
              <w:left w:val="nil"/>
              <w:bottom w:val="nil"/>
              <w:right w:val="nil"/>
            </w:tcBorders>
            <w:shd w:val="clear" w:color="auto" w:fill="auto"/>
            <w:noWrap/>
            <w:vAlign w:val="center"/>
            <w:hideMark/>
          </w:tcPr>
          <w:p w14:paraId="2A5597CB" w14:textId="3584AF76"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[–0.0</w:t>
            </w:r>
            <w:r w:rsidR="00151A06">
              <w:rPr>
                <w:rFonts w:eastAsia="Times New Roman" w:cs="Times New Roman"/>
                <w:color w:val="000000"/>
                <w:sz w:val="16"/>
                <w:szCs w:val="16"/>
                <w:lang w:val="en-GB" w:eastAsia="zh-CN"/>
              </w:rPr>
              <w:t>63</w:t>
            </w:r>
            <w:r w:rsidRPr="00324B90">
              <w:rPr>
                <w:rFonts w:eastAsia="Times New Roman" w:cs="Times New Roman"/>
                <w:color w:val="000000"/>
                <w:sz w:val="16"/>
                <w:szCs w:val="16"/>
                <w:lang w:val="en-GB" w:eastAsia="zh-CN"/>
              </w:rPr>
              <w:t>, 0.0</w:t>
            </w:r>
            <w:r w:rsidR="00151A06">
              <w:rPr>
                <w:rFonts w:eastAsia="Times New Roman" w:cs="Times New Roman"/>
                <w:color w:val="000000"/>
                <w:sz w:val="16"/>
                <w:szCs w:val="16"/>
                <w:lang w:val="en-GB" w:eastAsia="zh-CN"/>
              </w:rPr>
              <w:t>86</w:t>
            </w:r>
            <w:r w:rsidRPr="00324B90">
              <w:rPr>
                <w:rFonts w:eastAsia="Times New Roman" w:cs="Times New Roman"/>
                <w:color w:val="000000"/>
                <w:sz w:val="16"/>
                <w:szCs w:val="16"/>
                <w:lang w:val="en-GB" w:eastAsia="zh-CN"/>
              </w:rPr>
              <w:t xml:space="preserve">] </w:t>
            </w:r>
          </w:p>
        </w:tc>
        <w:tc>
          <w:tcPr>
            <w:tcW w:w="0" w:type="auto"/>
            <w:tcBorders>
              <w:top w:val="nil"/>
              <w:left w:val="nil"/>
              <w:bottom w:val="nil"/>
              <w:right w:val="nil"/>
            </w:tcBorders>
            <w:vAlign w:val="center"/>
          </w:tcPr>
          <w:p w14:paraId="30AD0038" w14:textId="1DBB2EAC" w:rsidR="008C29DA" w:rsidRPr="00324B90" w:rsidRDefault="00D615ED" w:rsidP="0011556B">
            <w:pPr>
              <w:spacing w:line="240" w:lineRule="auto"/>
              <w:jc w:val="center"/>
              <w:rPr>
                <w:rFonts w:eastAsia="Times New Roman" w:cs="Times New Roman"/>
                <w:color w:val="000000"/>
                <w:sz w:val="16"/>
                <w:szCs w:val="16"/>
                <w:lang w:val="en-GB" w:eastAsia="zh-CN"/>
              </w:rPr>
            </w:pPr>
            <w:r w:rsidRPr="00D615ED">
              <w:rPr>
                <w:rFonts w:eastAsia="Times New Roman" w:cs="Times New Roman"/>
                <w:color w:val="000000"/>
                <w:sz w:val="16"/>
                <w:szCs w:val="16"/>
                <w:lang w:val="en-GB" w:eastAsia="zh-CN"/>
              </w:rPr>
              <w:t>[</w:t>
            </w:r>
            <w:r w:rsidR="00DA6163" w:rsidRPr="00324B90">
              <w:rPr>
                <w:rFonts w:eastAsia="Times New Roman" w:cs="Times New Roman"/>
                <w:color w:val="000000"/>
                <w:sz w:val="16"/>
                <w:szCs w:val="16"/>
                <w:lang w:val="en-GB" w:eastAsia="zh-CN"/>
              </w:rPr>
              <w:t>–</w:t>
            </w:r>
            <w:r w:rsidRPr="00D615ED">
              <w:rPr>
                <w:rFonts w:eastAsia="Times New Roman" w:cs="Times New Roman"/>
                <w:color w:val="000000"/>
                <w:sz w:val="16"/>
                <w:szCs w:val="16"/>
                <w:lang w:val="en-GB" w:eastAsia="zh-CN"/>
              </w:rPr>
              <w:t>0.</w:t>
            </w:r>
            <w:r w:rsidR="00151A06">
              <w:rPr>
                <w:rFonts w:eastAsia="Times New Roman" w:cs="Times New Roman"/>
                <w:color w:val="000000"/>
                <w:sz w:val="16"/>
                <w:szCs w:val="16"/>
                <w:lang w:val="en-GB" w:eastAsia="zh-CN"/>
              </w:rPr>
              <w:t>483</w:t>
            </w:r>
            <w:r w:rsidRPr="00D615ED">
              <w:rPr>
                <w:rFonts w:eastAsia="Times New Roman" w:cs="Times New Roman"/>
                <w:color w:val="000000"/>
                <w:sz w:val="16"/>
                <w:szCs w:val="16"/>
                <w:lang w:val="en-GB" w:eastAsia="zh-CN"/>
              </w:rPr>
              <w:t>, 0.</w:t>
            </w:r>
            <w:r w:rsidR="00151A06">
              <w:rPr>
                <w:rFonts w:eastAsia="Times New Roman" w:cs="Times New Roman"/>
                <w:color w:val="000000"/>
                <w:sz w:val="16"/>
                <w:szCs w:val="16"/>
                <w:lang w:val="en-GB" w:eastAsia="zh-CN"/>
              </w:rPr>
              <w:t>506</w:t>
            </w:r>
            <w:r w:rsidRPr="00D615ED">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77EE2408"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0.002</w:t>
            </w:r>
          </w:p>
        </w:tc>
        <w:tc>
          <w:tcPr>
            <w:tcW w:w="0" w:type="auto"/>
            <w:tcBorders>
              <w:top w:val="nil"/>
              <w:left w:val="nil"/>
              <w:bottom w:val="nil"/>
              <w:right w:val="nil"/>
            </w:tcBorders>
            <w:shd w:val="clear" w:color="auto" w:fill="auto"/>
            <w:noWrap/>
            <w:vAlign w:val="center"/>
            <w:hideMark/>
          </w:tcPr>
          <w:p w14:paraId="05E92FE2"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–0.208</w:t>
            </w:r>
          </w:p>
        </w:tc>
        <w:tc>
          <w:tcPr>
            <w:tcW w:w="0" w:type="auto"/>
            <w:tcBorders>
              <w:top w:val="nil"/>
              <w:left w:val="nil"/>
              <w:bottom w:val="nil"/>
              <w:right w:val="nil"/>
            </w:tcBorders>
            <w:shd w:val="clear" w:color="auto" w:fill="auto"/>
            <w:noWrap/>
            <w:vAlign w:val="center"/>
            <w:hideMark/>
          </w:tcPr>
          <w:p w14:paraId="5DDEB702"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No</w:t>
            </w:r>
          </w:p>
        </w:tc>
      </w:tr>
      <w:tr w:rsidR="008C29DA" w:rsidRPr="00324B90" w14:paraId="57009D32" w14:textId="77777777" w:rsidTr="007C08B9">
        <w:trPr>
          <w:trHeight w:val="250"/>
        </w:trPr>
        <w:tc>
          <w:tcPr>
            <w:tcW w:w="0" w:type="auto"/>
            <w:tcBorders>
              <w:top w:val="nil"/>
              <w:left w:val="nil"/>
              <w:bottom w:val="nil"/>
              <w:right w:val="nil"/>
            </w:tcBorders>
            <w:shd w:val="clear" w:color="auto" w:fill="auto"/>
            <w:noWrap/>
            <w:vAlign w:val="center"/>
            <w:hideMark/>
          </w:tcPr>
          <w:p w14:paraId="0F3ACA2F" w14:textId="77777777" w:rsidR="008C29DA" w:rsidRPr="00324B90" w:rsidRDefault="008C29DA" w:rsidP="0011556B">
            <w:pPr>
              <w:spacing w:line="240" w:lineRule="auto"/>
              <w:ind w:firstLineChars="100" w:firstLine="160"/>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Sanction</w:t>
            </w:r>
          </w:p>
        </w:tc>
        <w:tc>
          <w:tcPr>
            <w:tcW w:w="0" w:type="auto"/>
            <w:tcBorders>
              <w:top w:val="nil"/>
              <w:left w:val="nil"/>
              <w:bottom w:val="nil"/>
              <w:right w:val="nil"/>
            </w:tcBorders>
            <w:shd w:val="clear" w:color="auto" w:fill="auto"/>
            <w:noWrap/>
            <w:vAlign w:val="center"/>
            <w:hideMark/>
          </w:tcPr>
          <w:p w14:paraId="5D6B245F" w14:textId="77777777" w:rsidR="008C29DA" w:rsidRPr="00324B90" w:rsidRDefault="008C29DA" w:rsidP="0011556B">
            <w:pPr>
              <w:spacing w:line="240" w:lineRule="auto"/>
              <w:ind w:firstLineChars="100" w:firstLine="160"/>
              <w:rPr>
                <w:rFonts w:eastAsia="Times New Roman" w:cs="Times New Roman"/>
                <w:color w:val="000000"/>
                <w:sz w:val="16"/>
                <w:szCs w:val="16"/>
                <w:lang w:val="en-GB" w:eastAsia="zh-CN"/>
              </w:rPr>
            </w:pPr>
          </w:p>
        </w:tc>
        <w:tc>
          <w:tcPr>
            <w:tcW w:w="0" w:type="auto"/>
            <w:tcBorders>
              <w:top w:val="nil"/>
              <w:left w:val="nil"/>
              <w:bottom w:val="nil"/>
              <w:right w:val="nil"/>
            </w:tcBorders>
            <w:shd w:val="clear" w:color="auto" w:fill="auto"/>
            <w:noWrap/>
            <w:vAlign w:val="center"/>
            <w:hideMark/>
          </w:tcPr>
          <w:p w14:paraId="725F2C4C"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48334D01"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731E00B1"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vAlign w:val="center"/>
          </w:tcPr>
          <w:p w14:paraId="610D84A1"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5EA5F7EB"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2024CDA3"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3EF1A2D5" w14:textId="77777777" w:rsidR="008C29DA" w:rsidRPr="00324B90" w:rsidRDefault="008C29DA" w:rsidP="0011556B">
            <w:pPr>
              <w:spacing w:line="240" w:lineRule="auto"/>
              <w:jc w:val="center"/>
              <w:rPr>
                <w:rFonts w:eastAsia="Times New Roman" w:cs="Times New Roman"/>
                <w:sz w:val="20"/>
                <w:szCs w:val="20"/>
                <w:lang w:val="en-GB" w:eastAsia="zh-CN"/>
              </w:rPr>
            </w:pPr>
          </w:p>
        </w:tc>
      </w:tr>
      <w:tr w:rsidR="008C29DA" w:rsidRPr="00324B90" w14:paraId="187D3503" w14:textId="77777777" w:rsidTr="007C08B9">
        <w:trPr>
          <w:trHeight w:val="250"/>
        </w:trPr>
        <w:tc>
          <w:tcPr>
            <w:tcW w:w="0" w:type="auto"/>
            <w:tcBorders>
              <w:top w:val="nil"/>
              <w:left w:val="nil"/>
              <w:bottom w:val="nil"/>
              <w:right w:val="nil"/>
            </w:tcBorders>
            <w:shd w:val="clear" w:color="auto" w:fill="auto"/>
            <w:noWrap/>
            <w:vAlign w:val="center"/>
            <w:hideMark/>
          </w:tcPr>
          <w:p w14:paraId="4D9B5C82" w14:textId="77777777" w:rsidR="008C29DA" w:rsidRPr="00324B90" w:rsidRDefault="008C29DA" w:rsidP="0011556B">
            <w:pPr>
              <w:spacing w:line="240" w:lineRule="auto"/>
              <w:ind w:firstLineChars="200" w:firstLine="320"/>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Punishment</w:t>
            </w:r>
          </w:p>
        </w:tc>
        <w:tc>
          <w:tcPr>
            <w:tcW w:w="0" w:type="auto"/>
            <w:tcBorders>
              <w:top w:val="nil"/>
              <w:left w:val="nil"/>
              <w:bottom w:val="nil"/>
              <w:right w:val="nil"/>
            </w:tcBorders>
            <w:shd w:val="clear" w:color="auto" w:fill="auto"/>
            <w:noWrap/>
            <w:vAlign w:val="center"/>
            <w:hideMark/>
          </w:tcPr>
          <w:p w14:paraId="5C38BCCB"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214</w:t>
            </w:r>
          </w:p>
        </w:tc>
        <w:tc>
          <w:tcPr>
            <w:tcW w:w="0" w:type="auto"/>
            <w:tcBorders>
              <w:top w:val="nil"/>
              <w:left w:val="nil"/>
              <w:bottom w:val="nil"/>
              <w:right w:val="nil"/>
            </w:tcBorders>
            <w:shd w:val="clear" w:color="auto" w:fill="auto"/>
            <w:noWrap/>
            <w:vAlign w:val="center"/>
            <w:hideMark/>
          </w:tcPr>
          <w:p w14:paraId="07AFA239"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91</w:t>
            </w:r>
          </w:p>
        </w:tc>
        <w:tc>
          <w:tcPr>
            <w:tcW w:w="0" w:type="auto"/>
            <w:tcBorders>
              <w:top w:val="nil"/>
              <w:left w:val="nil"/>
              <w:bottom w:val="nil"/>
              <w:right w:val="nil"/>
            </w:tcBorders>
            <w:shd w:val="clear" w:color="auto" w:fill="auto"/>
            <w:noWrap/>
            <w:vAlign w:val="center"/>
            <w:hideMark/>
          </w:tcPr>
          <w:p w14:paraId="77EF1C73" w14:textId="46E50621"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w:t>
            </w:r>
            <w:r w:rsidR="00151A06">
              <w:rPr>
                <w:rFonts w:eastAsia="Times New Roman" w:cs="Times New Roman"/>
                <w:color w:val="000000"/>
                <w:sz w:val="16"/>
                <w:szCs w:val="16"/>
                <w:lang w:val="en-GB" w:eastAsia="zh-CN"/>
              </w:rPr>
              <w:t>602</w:t>
            </w:r>
          </w:p>
        </w:tc>
        <w:tc>
          <w:tcPr>
            <w:tcW w:w="0" w:type="auto"/>
            <w:tcBorders>
              <w:top w:val="nil"/>
              <w:left w:val="nil"/>
              <w:bottom w:val="nil"/>
              <w:right w:val="nil"/>
            </w:tcBorders>
            <w:shd w:val="clear" w:color="auto" w:fill="auto"/>
            <w:noWrap/>
            <w:vAlign w:val="center"/>
            <w:hideMark/>
          </w:tcPr>
          <w:p w14:paraId="2B236D60" w14:textId="55FC129A"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[0.4</w:t>
            </w:r>
            <w:r w:rsidR="00151A06">
              <w:rPr>
                <w:rFonts w:eastAsia="Times New Roman" w:cs="Times New Roman"/>
                <w:color w:val="000000"/>
                <w:sz w:val="16"/>
                <w:szCs w:val="16"/>
                <w:lang w:val="en-GB" w:eastAsia="zh-CN"/>
              </w:rPr>
              <w:t>91</w:t>
            </w:r>
            <w:r w:rsidRPr="00324B90">
              <w:rPr>
                <w:rFonts w:eastAsia="Times New Roman" w:cs="Times New Roman"/>
                <w:color w:val="000000"/>
                <w:sz w:val="16"/>
                <w:szCs w:val="16"/>
                <w:lang w:val="en-GB" w:eastAsia="zh-CN"/>
              </w:rPr>
              <w:t>, 0.714]</w:t>
            </w:r>
          </w:p>
        </w:tc>
        <w:tc>
          <w:tcPr>
            <w:tcW w:w="0" w:type="auto"/>
            <w:tcBorders>
              <w:top w:val="nil"/>
              <w:left w:val="nil"/>
              <w:bottom w:val="nil"/>
              <w:right w:val="nil"/>
            </w:tcBorders>
            <w:vAlign w:val="center"/>
          </w:tcPr>
          <w:p w14:paraId="0927D09F" w14:textId="798A3491" w:rsidR="008C29DA" w:rsidRPr="00324B90" w:rsidRDefault="00A31A18" w:rsidP="0011556B">
            <w:pPr>
              <w:spacing w:line="240" w:lineRule="auto"/>
              <w:jc w:val="center"/>
              <w:rPr>
                <w:rFonts w:eastAsia="Times New Roman" w:cs="Times New Roman"/>
                <w:color w:val="000000"/>
                <w:sz w:val="16"/>
                <w:szCs w:val="16"/>
                <w:lang w:val="en-GB" w:eastAsia="zh-CN"/>
              </w:rPr>
            </w:pPr>
            <w:r w:rsidRPr="00A31A18">
              <w:rPr>
                <w:rFonts w:eastAsia="Times New Roman" w:cs="Times New Roman"/>
                <w:color w:val="000000"/>
                <w:sz w:val="16"/>
                <w:szCs w:val="16"/>
                <w:lang w:val="en-GB" w:eastAsia="zh-CN"/>
              </w:rPr>
              <w:t>[</w:t>
            </w:r>
            <w:r w:rsidR="00DA6163" w:rsidRPr="00324B90">
              <w:rPr>
                <w:rFonts w:eastAsia="Times New Roman" w:cs="Times New Roman"/>
                <w:color w:val="000000"/>
                <w:sz w:val="16"/>
                <w:szCs w:val="16"/>
                <w:lang w:val="en-GB" w:eastAsia="zh-CN"/>
              </w:rPr>
              <w:t>–</w:t>
            </w:r>
            <w:r w:rsidRPr="00A31A18">
              <w:rPr>
                <w:rFonts w:eastAsia="Times New Roman" w:cs="Times New Roman"/>
                <w:color w:val="000000"/>
                <w:sz w:val="16"/>
                <w:szCs w:val="16"/>
                <w:lang w:val="en-GB" w:eastAsia="zh-CN"/>
              </w:rPr>
              <w:t>0.</w:t>
            </w:r>
            <w:r w:rsidR="00151A06">
              <w:rPr>
                <w:rFonts w:eastAsia="Times New Roman" w:cs="Times New Roman"/>
                <w:color w:val="000000"/>
                <w:sz w:val="16"/>
                <w:szCs w:val="16"/>
                <w:lang w:val="en-GB" w:eastAsia="zh-CN"/>
              </w:rPr>
              <w:t>637</w:t>
            </w:r>
            <w:r w:rsidRPr="00A31A18">
              <w:rPr>
                <w:rFonts w:eastAsia="Times New Roman" w:cs="Times New Roman"/>
                <w:color w:val="000000"/>
                <w:sz w:val="16"/>
                <w:szCs w:val="16"/>
                <w:lang w:val="en-GB" w:eastAsia="zh-CN"/>
              </w:rPr>
              <w:t>, 1.</w:t>
            </w:r>
            <w:r w:rsidR="00151A06">
              <w:rPr>
                <w:rFonts w:eastAsia="Times New Roman" w:cs="Times New Roman"/>
                <w:color w:val="000000"/>
                <w:sz w:val="16"/>
                <w:szCs w:val="16"/>
                <w:lang w:val="en-GB" w:eastAsia="zh-CN"/>
              </w:rPr>
              <w:t>841</w:t>
            </w:r>
            <w:r w:rsidRPr="00A31A18">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577B27F2"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0.028</w:t>
            </w:r>
          </w:p>
        </w:tc>
        <w:tc>
          <w:tcPr>
            <w:tcW w:w="0" w:type="auto"/>
            <w:tcBorders>
              <w:top w:val="nil"/>
              <w:left w:val="nil"/>
              <w:bottom w:val="nil"/>
              <w:right w:val="nil"/>
            </w:tcBorders>
            <w:shd w:val="clear" w:color="auto" w:fill="auto"/>
            <w:noWrap/>
            <w:vAlign w:val="center"/>
            <w:hideMark/>
          </w:tcPr>
          <w:p w14:paraId="2AB853FE"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1.954</w:t>
            </w:r>
          </w:p>
        </w:tc>
        <w:tc>
          <w:tcPr>
            <w:tcW w:w="0" w:type="auto"/>
            <w:tcBorders>
              <w:top w:val="nil"/>
              <w:left w:val="nil"/>
              <w:bottom w:val="nil"/>
              <w:right w:val="nil"/>
            </w:tcBorders>
            <w:shd w:val="clear" w:color="auto" w:fill="auto"/>
            <w:noWrap/>
            <w:vAlign w:val="center"/>
            <w:hideMark/>
          </w:tcPr>
          <w:p w14:paraId="7C7B1262"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Yes</w:t>
            </w:r>
          </w:p>
        </w:tc>
      </w:tr>
      <w:tr w:rsidR="008C29DA" w:rsidRPr="00324B90" w14:paraId="34A68EB6" w14:textId="77777777" w:rsidTr="007C08B9">
        <w:trPr>
          <w:trHeight w:val="250"/>
        </w:trPr>
        <w:tc>
          <w:tcPr>
            <w:tcW w:w="0" w:type="auto"/>
            <w:tcBorders>
              <w:top w:val="nil"/>
              <w:left w:val="nil"/>
              <w:bottom w:val="nil"/>
              <w:right w:val="nil"/>
            </w:tcBorders>
            <w:shd w:val="clear" w:color="auto" w:fill="auto"/>
            <w:noWrap/>
            <w:vAlign w:val="center"/>
            <w:hideMark/>
          </w:tcPr>
          <w:p w14:paraId="16676DDD" w14:textId="77777777" w:rsidR="008C29DA" w:rsidRPr="00324B90" w:rsidRDefault="008C29DA" w:rsidP="0011556B">
            <w:pPr>
              <w:spacing w:line="240" w:lineRule="auto"/>
              <w:ind w:firstLineChars="200" w:firstLine="320"/>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Reward</w:t>
            </w:r>
          </w:p>
        </w:tc>
        <w:tc>
          <w:tcPr>
            <w:tcW w:w="0" w:type="auto"/>
            <w:tcBorders>
              <w:top w:val="nil"/>
              <w:left w:val="nil"/>
              <w:bottom w:val="nil"/>
              <w:right w:val="nil"/>
            </w:tcBorders>
            <w:shd w:val="clear" w:color="auto" w:fill="auto"/>
            <w:noWrap/>
            <w:vAlign w:val="center"/>
            <w:hideMark/>
          </w:tcPr>
          <w:p w14:paraId="18EE6C7D"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49</w:t>
            </w:r>
          </w:p>
        </w:tc>
        <w:tc>
          <w:tcPr>
            <w:tcW w:w="0" w:type="auto"/>
            <w:tcBorders>
              <w:top w:val="nil"/>
              <w:left w:val="nil"/>
              <w:bottom w:val="nil"/>
              <w:right w:val="nil"/>
            </w:tcBorders>
            <w:shd w:val="clear" w:color="auto" w:fill="auto"/>
            <w:noWrap/>
            <w:vAlign w:val="center"/>
            <w:hideMark/>
          </w:tcPr>
          <w:p w14:paraId="0DC4A98A"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20</w:t>
            </w:r>
          </w:p>
        </w:tc>
        <w:tc>
          <w:tcPr>
            <w:tcW w:w="0" w:type="auto"/>
            <w:tcBorders>
              <w:top w:val="nil"/>
              <w:left w:val="nil"/>
              <w:bottom w:val="nil"/>
              <w:right w:val="nil"/>
            </w:tcBorders>
            <w:shd w:val="clear" w:color="auto" w:fill="auto"/>
            <w:noWrap/>
            <w:vAlign w:val="center"/>
            <w:hideMark/>
          </w:tcPr>
          <w:p w14:paraId="4CA8DA77" w14:textId="178906A2"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0.45</w:t>
            </w:r>
            <w:r w:rsidR="00151A06">
              <w:rPr>
                <w:rFonts w:eastAsia="Times New Roman" w:cs="Times New Roman"/>
                <w:color w:val="000000"/>
                <w:sz w:val="16"/>
                <w:szCs w:val="16"/>
                <w:lang w:val="en-GB" w:eastAsia="zh-CN"/>
              </w:rPr>
              <w:t>9</w:t>
            </w:r>
          </w:p>
        </w:tc>
        <w:tc>
          <w:tcPr>
            <w:tcW w:w="0" w:type="auto"/>
            <w:tcBorders>
              <w:top w:val="nil"/>
              <w:left w:val="nil"/>
              <w:bottom w:val="nil"/>
              <w:right w:val="nil"/>
            </w:tcBorders>
            <w:shd w:val="clear" w:color="auto" w:fill="auto"/>
            <w:noWrap/>
            <w:vAlign w:val="center"/>
            <w:hideMark/>
          </w:tcPr>
          <w:p w14:paraId="04D1DE14" w14:textId="71FAB85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[0.1</w:t>
            </w:r>
            <w:r w:rsidR="00151A06">
              <w:rPr>
                <w:rFonts w:eastAsia="Times New Roman" w:cs="Times New Roman"/>
                <w:color w:val="000000"/>
                <w:sz w:val="16"/>
                <w:szCs w:val="16"/>
                <w:lang w:val="en-GB" w:eastAsia="zh-CN"/>
              </w:rPr>
              <w:t>86</w:t>
            </w:r>
            <w:r w:rsidRPr="00324B90">
              <w:rPr>
                <w:rFonts w:eastAsia="Times New Roman" w:cs="Times New Roman"/>
                <w:color w:val="000000"/>
                <w:sz w:val="16"/>
                <w:szCs w:val="16"/>
                <w:lang w:val="en-GB" w:eastAsia="zh-CN"/>
              </w:rPr>
              <w:t>, 0.7</w:t>
            </w:r>
            <w:r w:rsidR="00151A06">
              <w:rPr>
                <w:rFonts w:eastAsia="Times New Roman" w:cs="Times New Roman"/>
                <w:color w:val="000000"/>
                <w:sz w:val="16"/>
                <w:szCs w:val="16"/>
                <w:lang w:val="en-GB" w:eastAsia="zh-CN"/>
              </w:rPr>
              <w:t>32</w:t>
            </w:r>
            <w:r w:rsidRPr="00324B90">
              <w:rPr>
                <w:rFonts w:eastAsia="Times New Roman" w:cs="Times New Roman"/>
                <w:color w:val="000000"/>
                <w:sz w:val="16"/>
                <w:szCs w:val="16"/>
                <w:lang w:val="en-GB" w:eastAsia="zh-CN"/>
              </w:rPr>
              <w:t>]</w:t>
            </w:r>
          </w:p>
        </w:tc>
        <w:tc>
          <w:tcPr>
            <w:tcW w:w="0" w:type="auto"/>
            <w:tcBorders>
              <w:top w:val="nil"/>
              <w:left w:val="nil"/>
              <w:bottom w:val="nil"/>
              <w:right w:val="nil"/>
            </w:tcBorders>
            <w:vAlign w:val="center"/>
          </w:tcPr>
          <w:p w14:paraId="02414663" w14:textId="02E54CB3" w:rsidR="008C29DA" w:rsidRPr="00324B90" w:rsidRDefault="00DE4C5F" w:rsidP="0011556B">
            <w:pPr>
              <w:spacing w:line="240" w:lineRule="auto"/>
              <w:jc w:val="center"/>
              <w:rPr>
                <w:rFonts w:eastAsia="Times New Roman" w:cs="Times New Roman"/>
                <w:color w:val="000000"/>
                <w:sz w:val="16"/>
                <w:szCs w:val="16"/>
                <w:lang w:val="en-GB" w:eastAsia="zh-CN"/>
              </w:rPr>
            </w:pPr>
            <w:r w:rsidRPr="00DE4C5F">
              <w:rPr>
                <w:rFonts w:eastAsia="Times New Roman" w:cs="Times New Roman"/>
                <w:color w:val="000000"/>
                <w:sz w:val="16"/>
                <w:szCs w:val="16"/>
                <w:lang w:val="en-GB" w:eastAsia="zh-CN"/>
              </w:rPr>
              <w:t>[</w:t>
            </w:r>
            <w:r w:rsidR="00DA6163" w:rsidRPr="00324B90">
              <w:rPr>
                <w:rFonts w:eastAsia="Times New Roman" w:cs="Times New Roman"/>
                <w:color w:val="000000"/>
                <w:sz w:val="16"/>
                <w:szCs w:val="16"/>
                <w:lang w:val="en-GB" w:eastAsia="zh-CN"/>
              </w:rPr>
              <w:t>–</w:t>
            </w:r>
            <w:r w:rsidRPr="00DE4C5F">
              <w:rPr>
                <w:rFonts w:eastAsia="Times New Roman" w:cs="Times New Roman"/>
                <w:color w:val="000000"/>
                <w:sz w:val="16"/>
                <w:szCs w:val="16"/>
                <w:lang w:val="en-GB" w:eastAsia="zh-CN"/>
              </w:rPr>
              <w:t>0.8</w:t>
            </w:r>
            <w:r w:rsidR="00151A06">
              <w:rPr>
                <w:rFonts w:eastAsia="Times New Roman" w:cs="Times New Roman"/>
                <w:color w:val="000000"/>
                <w:sz w:val="16"/>
                <w:szCs w:val="16"/>
                <w:lang w:val="en-GB" w:eastAsia="zh-CN"/>
              </w:rPr>
              <w:t>76</w:t>
            </w:r>
            <w:r w:rsidRPr="00DE4C5F">
              <w:rPr>
                <w:rFonts w:eastAsia="Times New Roman" w:cs="Times New Roman"/>
                <w:color w:val="000000"/>
                <w:sz w:val="16"/>
                <w:szCs w:val="16"/>
                <w:lang w:val="en-GB" w:eastAsia="zh-CN"/>
              </w:rPr>
              <w:t>, 1.7</w:t>
            </w:r>
            <w:r w:rsidR="00151A06">
              <w:rPr>
                <w:rFonts w:eastAsia="Times New Roman" w:cs="Times New Roman"/>
                <w:color w:val="000000"/>
                <w:sz w:val="16"/>
                <w:szCs w:val="16"/>
                <w:lang w:val="en-GB" w:eastAsia="zh-CN"/>
              </w:rPr>
              <w:t>94</w:t>
            </w:r>
            <w:r w:rsidRPr="00DE4C5F">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1D360262"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0.197*</w:t>
            </w:r>
          </w:p>
        </w:tc>
        <w:tc>
          <w:tcPr>
            <w:tcW w:w="0" w:type="auto"/>
            <w:tcBorders>
              <w:top w:val="nil"/>
              <w:left w:val="nil"/>
              <w:bottom w:val="nil"/>
              <w:right w:val="nil"/>
            </w:tcBorders>
            <w:shd w:val="clear" w:color="auto" w:fill="auto"/>
            <w:noWrap/>
            <w:vAlign w:val="center"/>
            <w:hideMark/>
          </w:tcPr>
          <w:p w14:paraId="3C0628D8"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1.368</w:t>
            </w:r>
          </w:p>
        </w:tc>
        <w:tc>
          <w:tcPr>
            <w:tcW w:w="0" w:type="auto"/>
            <w:tcBorders>
              <w:top w:val="nil"/>
              <w:left w:val="nil"/>
              <w:bottom w:val="nil"/>
              <w:right w:val="nil"/>
            </w:tcBorders>
            <w:shd w:val="clear" w:color="auto" w:fill="auto"/>
            <w:noWrap/>
            <w:vAlign w:val="center"/>
            <w:hideMark/>
          </w:tcPr>
          <w:p w14:paraId="5359BCA3"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Yes</w:t>
            </w:r>
          </w:p>
        </w:tc>
      </w:tr>
      <w:tr w:rsidR="008C29DA" w:rsidRPr="00324B90" w14:paraId="4E496825" w14:textId="77777777" w:rsidTr="007C08B9">
        <w:trPr>
          <w:trHeight w:val="250"/>
        </w:trPr>
        <w:tc>
          <w:tcPr>
            <w:tcW w:w="0" w:type="auto"/>
            <w:tcBorders>
              <w:top w:val="nil"/>
              <w:left w:val="nil"/>
              <w:bottom w:val="nil"/>
              <w:right w:val="nil"/>
            </w:tcBorders>
            <w:shd w:val="clear" w:color="auto" w:fill="auto"/>
            <w:noWrap/>
            <w:vAlign w:val="center"/>
            <w:hideMark/>
          </w:tcPr>
          <w:p w14:paraId="74BD9941" w14:textId="77777777" w:rsidR="008C29DA" w:rsidRPr="00324B90" w:rsidRDefault="008C29DA" w:rsidP="0011556B">
            <w:pPr>
              <w:spacing w:line="240" w:lineRule="auto"/>
              <w:ind w:firstLineChars="100" w:firstLine="160"/>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Matching protocol</w:t>
            </w:r>
          </w:p>
        </w:tc>
        <w:tc>
          <w:tcPr>
            <w:tcW w:w="0" w:type="auto"/>
            <w:tcBorders>
              <w:top w:val="nil"/>
              <w:left w:val="nil"/>
              <w:bottom w:val="nil"/>
              <w:right w:val="nil"/>
            </w:tcBorders>
            <w:shd w:val="clear" w:color="auto" w:fill="auto"/>
            <w:noWrap/>
            <w:vAlign w:val="center"/>
            <w:hideMark/>
          </w:tcPr>
          <w:p w14:paraId="28AD5B36"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22</w:t>
            </w:r>
          </w:p>
        </w:tc>
        <w:tc>
          <w:tcPr>
            <w:tcW w:w="0" w:type="auto"/>
            <w:tcBorders>
              <w:top w:val="nil"/>
              <w:left w:val="nil"/>
              <w:bottom w:val="nil"/>
              <w:right w:val="nil"/>
            </w:tcBorders>
            <w:shd w:val="clear" w:color="auto" w:fill="auto"/>
            <w:noWrap/>
            <w:vAlign w:val="center"/>
            <w:hideMark/>
          </w:tcPr>
          <w:p w14:paraId="1D90DF31"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10</w:t>
            </w:r>
          </w:p>
        </w:tc>
        <w:tc>
          <w:tcPr>
            <w:tcW w:w="0" w:type="auto"/>
            <w:tcBorders>
              <w:top w:val="nil"/>
              <w:left w:val="nil"/>
              <w:bottom w:val="nil"/>
              <w:right w:val="nil"/>
            </w:tcBorders>
            <w:shd w:val="clear" w:color="auto" w:fill="auto"/>
            <w:noWrap/>
            <w:vAlign w:val="center"/>
            <w:hideMark/>
          </w:tcPr>
          <w:p w14:paraId="59CF1398" w14:textId="49421F88"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0.4</w:t>
            </w:r>
            <w:r w:rsidR="00CC7B9E">
              <w:rPr>
                <w:rFonts w:eastAsia="Times New Roman" w:cs="Times New Roman"/>
                <w:color w:val="000000"/>
                <w:sz w:val="16"/>
                <w:szCs w:val="16"/>
                <w:lang w:val="en-GB" w:eastAsia="zh-CN"/>
              </w:rPr>
              <w:t>59</w:t>
            </w:r>
          </w:p>
        </w:tc>
        <w:tc>
          <w:tcPr>
            <w:tcW w:w="0" w:type="auto"/>
            <w:tcBorders>
              <w:top w:val="nil"/>
              <w:left w:val="nil"/>
              <w:bottom w:val="nil"/>
              <w:right w:val="nil"/>
            </w:tcBorders>
            <w:shd w:val="clear" w:color="auto" w:fill="auto"/>
            <w:noWrap/>
            <w:vAlign w:val="center"/>
            <w:hideMark/>
          </w:tcPr>
          <w:p w14:paraId="782FA248" w14:textId="228CF85C"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[0.1</w:t>
            </w:r>
            <w:r w:rsidR="00CC7B9E">
              <w:rPr>
                <w:rFonts w:eastAsia="Times New Roman" w:cs="Times New Roman"/>
                <w:color w:val="000000"/>
                <w:sz w:val="16"/>
                <w:szCs w:val="16"/>
                <w:lang w:val="en-GB" w:eastAsia="zh-CN"/>
              </w:rPr>
              <w:t>12</w:t>
            </w:r>
            <w:r w:rsidRPr="00324B90">
              <w:rPr>
                <w:rFonts w:eastAsia="Times New Roman" w:cs="Times New Roman"/>
                <w:color w:val="000000"/>
                <w:sz w:val="16"/>
                <w:szCs w:val="16"/>
                <w:lang w:val="en-GB" w:eastAsia="zh-CN"/>
              </w:rPr>
              <w:t>, 0.</w:t>
            </w:r>
            <w:r w:rsidR="00CC7B9E">
              <w:rPr>
                <w:rFonts w:eastAsia="Times New Roman" w:cs="Times New Roman"/>
                <w:color w:val="000000"/>
                <w:sz w:val="16"/>
                <w:szCs w:val="16"/>
                <w:lang w:val="en-GB" w:eastAsia="zh-CN"/>
              </w:rPr>
              <w:t>806</w:t>
            </w:r>
            <w:r w:rsidRPr="00324B90">
              <w:rPr>
                <w:rFonts w:eastAsia="Times New Roman" w:cs="Times New Roman"/>
                <w:color w:val="000000"/>
                <w:sz w:val="16"/>
                <w:szCs w:val="16"/>
                <w:lang w:val="en-GB" w:eastAsia="zh-CN"/>
              </w:rPr>
              <w:t>]</w:t>
            </w:r>
          </w:p>
        </w:tc>
        <w:tc>
          <w:tcPr>
            <w:tcW w:w="0" w:type="auto"/>
            <w:tcBorders>
              <w:top w:val="nil"/>
              <w:left w:val="nil"/>
              <w:bottom w:val="nil"/>
              <w:right w:val="nil"/>
            </w:tcBorders>
            <w:vAlign w:val="center"/>
          </w:tcPr>
          <w:p w14:paraId="56718BDB" w14:textId="3DE71440" w:rsidR="008C29DA" w:rsidRPr="00324B90" w:rsidRDefault="00DA6163" w:rsidP="0011556B">
            <w:pPr>
              <w:spacing w:line="240" w:lineRule="auto"/>
              <w:jc w:val="center"/>
              <w:rPr>
                <w:rFonts w:eastAsia="Times New Roman" w:cs="Times New Roman"/>
                <w:color w:val="000000"/>
                <w:sz w:val="16"/>
                <w:szCs w:val="16"/>
                <w:lang w:val="en-GB" w:eastAsia="zh-CN"/>
              </w:rPr>
            </w:pPr>
            <w:r w:rsidRPr="00DA6163">
              <w:rPr>
                <w:rFonts w:eastAsia="Times New Roman" w:cs="Times New Roman"/>
                <w:color w:val="000000"/>
                <w:sz w:val="16"/>
                <w:szCs w:val="16"/>
                <w:lang w:val="en-GB" w:eastAsia="zh-CN"/>
              </w:rPr>
              <w:t>[</w:t>
            </w:r>
            <w:r w:rsidRPr="00324B90">
              <w:rPr>
                <w:rFonts w:eastAsia="Times New Roman" w:cs="Times New Roman"/>
                <w:color w:val="000000"/>
                <w:sz w:val="16"/>
                <w:szCs w:val="16"/>
                <w:lang w:val="en-GB" w:eastAsia="zh-CN"/>
              </w:rPr>
              <w:t>–</w:t>
            </w:r>
            <w:r w:rsidRPr="00DA6163">
              <w:rPr>
                <w:rFonts w:eastAsia="Times New Roman" w:cs="Times New Roman"/>
                <w:color w:val="000000"/>
                <w:sz w:val="16"/>
                <w:szCs w:val="16"/>
                <w:lang w:val="en-GB" w:eastAsia="zh-CN"/>
              </w:rPr>
              <w:t>0.</w:t>
            </w:r>
            <w:r w:rsidR="00CC7B9E">
              <w:rPr>
                <w:rFonts w:eastAsia="Times New Roman" w:cs="Times New Roman"/>
                <w:color w:val="000000"/>
                <w:sz w:val="16"/>
                <w:szCs w:val="16"/>
                <w:lang w:val="en-GB" w:eastAsia="zh-CN"/>
              </w:rPr>
              <w:t>623</w:t>
            </w:r>
            <w:r w:rsidRPr="00DA6163">
              <w:rPr>
                <w:rFonts w:eastAsia="Times New Roman" w:cs="Times New Roman"/>
                <w:color w:val="000000"/>
                <w:sz w:val="16"/>
                <w:szCs w:val="16"/>
                <w:lang w:val="en-GB" w:eastAsia="zh-CN"/>
              </w:rPr>
              <w:t>, 1.</w:t>
            </w:r>
            <w:r w:rsidR="00CC7B9E">
              <w:rPr>
                <w:rFonts w:eastAsia="Times New Roman" w:cs="Times New Roman"/>
                <w:color w:val="000000"/>
                <w:sz w:val="16"/>
                <w:szCs w:val="16"/>
                <w:lang w:val="en-GB" w:eastAsia="zh-CN"/>
              </w:rPr>
              <w:t>541</w:t>
            </w:r>
            <w:r w:rsidRPr="00DA6163">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5D0F3962"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0.403*</w:t>
            </w:r>
          </w:p>
        </w:tc>
        <w:tc>
          <w:tcPr>
            <w:tcW w:w="0" w:type="auto"/>
            <w:tcBorders>
              <w:top w:val="nil"/>
              <w:left w:val="nil"/>
              <w:bottom w:val="nil"/>
              <w:right w:val="nil"/>
            </w:tcBorders>
            <w:shd w:val="clear" w:color="auto" w:fill="auto"/>
            <w:noWrap/>
            <w:vAlign w:val="center"/>
            <w:hideMark/>
          </w:tcPr>
          <w:p w14:paraId="2C1942DD"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4.162*</w:t>
            </w:r>
          </w:p>
        </w:tc>
        <w:tc>
          <w:tcPr>
            <w:tcW w:w="0" w:type="auto"/>
            <w:tcBorders>
              <w:top w:val="nil"/>
              <w:left w:val="nil"/>
              <w:bottom w:val="nil"/>
              <w:right w:val="nil"/>
            </w:tcBorders>
            <w:shd w:val="clear" w:color="auto" w:fill="auto"/>
            <w:noWrap/>
            <w:vAlign w:val="center"/>
            <w:hideMark/>
          </w:tcPr>
          <w:p w14:paraId="6026DF17"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Yes</w:t>
            </w:r>
          </w:p>
        </w:tc>
      </w:tr>
      <w:tr w:rsidR="008C29DA" w:rsidRPr="00324B90" w14:paraId="61901D63" w14:textId="77777777" w:rsidTr="007C08B9">
        <w:trPr>
          <w:trHeight w:val="250"/>
        </w:trPr>
        <w:tc>
          <w:tcPr>
            <w:tcW w:w="0" w:type="auto"/>
            <w:tcBorders>
              <w:top w:val="dotted" w:sz="4" w:space="0" w:color="auto"/>
              <w:left w:val="nil"/>
              <w:bottom w:val="dotted" w:sz="4" w:space="0" w:color="auto"/>
              <w:right w:val="nil"/>
            </w:tcBorders>
            <w:shd w:val="clear" w:color="auto" w:fill="auto"/>
            <w:noWrap/>
            <w:vAlign w:val="center"/>
            <w:hideMark/>
          </w:tcPr>
          <w:p w14:paraId="712D37C5" w14:textId="77777777" w:rsidR="008C29DA" w:rsidRPr="00324B90" w:rsidRDefault="008C29DA" w:rsidP="0011556B">
            <w:pPr>
              <w:spacing w:line="240" w:lineRule="auto"/>
              <w:ind w:firstLineChars="200" w:firstLine="321"/>
              <w:rPr>
                <w:rFonts w:eastAsia="Times New Roman" w:cs="Times New Roman"/>
                <w:b/>
                <w:bCs/>
                <w:color w:val="000000"/>
                <w:sz w:val="16"/>
                <w:szCs w:val="16"/>
                <w:lang w:val="en-GB" w:eastAsia="zh-CN"/>
              </w:rPr>
            </w:pPr>
            <w:r w:rsidRPr="00324B90">
              <w:rPr>
                <w:rFonts w:eastAsia="Times New Roman" w:cs="Times New Roman"/>
                <w:b/>
                <w:bCs/>
                <w:color w:val="000000"/>
                <w:sz w:val="16"/>
                <w:szCs w:val="16"/>
                <w:lang w:val="en-GB" w:eastAsia="zh-CN"/>
              </w:rPr>
              <w:t> </w:t>
            </w:r>
          </w:p>
        </w:tc>
        <w:tc>
          <w:tcPr>
            <w:tcW w:w="0" w:type="auto"/>
            <w:tcBorders>
              <w:top w:val="dotted" w:sz="4" w:space="0" w:color="auto"/>
              <w:left w:val="nil"/>
              <w:bottom w:val="dotted" w:sz="4" w:space="0" w:color="auto"/>
              <w:right w:val="nil"/>
            </w:tcBorders>
            <w:shd w:val="clear" w:color="auto" w:fill="auto"/>
            <w:noWrap/>
            <w:vAlign w:val="center"/>
            <w:hideMark/>
          </w:tcPr>
          <w:p w14:paraId="6EC162B8" w14:textId="77777777" w:rsidR="008C29DA" w:rsidRPr="00324B90" w:rsidRDefault="008C29DA" w:rsidP="0011556B">
            <w:pPr>
              <w:spacing w:line="240" w:lineRule="auto"/>
              <w:jc w:val="center"/>
              <w:rPr>
                <w:rFonts w:eastAsia="Times New Roman" w:cs="Times New Roman"/>
                <w:b/>
                <w:bCs/>
                <w:i/>
                <w:iCs/>
                <w:color w:val="000000"/>
                <w:sz w:val="16"/>
                <w:szCs w:val="16"/>
                <w:lang w:val="en-GB" w:eastAsia="zh-CN"/>
              </w:rPr>
            </w:pPr>
            <w:r w:rsidRPr="00324B90">
              <w:rPr>
                <w:rFonts w:eastAsia="Times New Roman" w:cs="Times New Roman"/>
                <w:b/>
                <w:bCs/>
                <w:i/>
                <w:iCs/>
                <w:color w:val="000000"/>
                <w:sz w:val="16"/>
                <w:szCs w:val="16"/>
                <w:lang w:val="en-GB" w:eastAsia="zh-CN"/>
              </w:rPr>
              <w:t>k</w:t>
            </w:r>
          </w:p>
        </w:tc>
        <w:tc>
          <w:tcPr>
            <w:tcW w:w="0" w:type="auto"/>
            <w:tcBorders>
              <w:top w:val="dotted" w:sz="4" w:space="0" w:color="auto"/>
              <w:left w:val="nil"/>
              <w:bottom w:val="dotted" w:sz="4" w:space="0" w:color="auto"/>
              <w:right w:val="nil"/>
            </w:tcBorders>
            <w:shd w:val="clear" w:color="auto" w:fill="auto"/>
            <w:noWrap/>
            <w:vAlign w:val="center"/>
            <w:hideMark/>
          </w:tcPr>
          <w:p w14:paraId="0BF52B40" w14:textId="77777777" w:rsidR="008C29DA" w:rsidRPr="00324B90" w:rsidRDefault="008C29DA" w:rsidP="0011556B">
            <w:pPr>
              <w:spacing w:line="240" w:lineRule="auto"/>
              <w:jc w:val="center"/>
              <w:rPr>
                <w:rFonts w:eastAsia="Times New Roman" w:cs="Times New Roman"/>
                <w:b/>
                <w:bCs/>
                <w:i/>
                <w:iCs/>
                <w:color w:val="000000"/>
                <w:sz w:val="16"/>
                <w:szCs w:val="16"/>
                <w:lang w:val="en-GB" w:eastAsia="zh-CN"/>
              </w:rPr>
            </w:pPr>
            <w:proofErr w:type="spellStart"/>
            <w:r w:rsidRPr="00324B90">
              <w:rPr>
                <w:rFonts w:eastAsia="Times New Roman" w:cs="Times New Roman"/>
                <w:b/>
                <w:bCs/>
                <w:i/>
                <w:iCs/>
                <w:color w:val="000000"/>
                <w:sz w:val="16"/>
                <w:szCs w:val="16"/>
                <w:lang w:val="en-GB" w:eastAsia="zh-CN"/>
              </w:rPr>
              <w:t>n</w:t>
            </w:r>
            <w:r w:rsidRPr="00324B90">
              <w:rPr>
                <w:rFonts w:eastAsia="Times New Roman" w:cs="Times New Roman"/>
                <w:b/>
                <w:bCs/>
                <w:i/>
                <w:iCs/>
                <w:color w:val="000000"/>
                <w:sz w:val="16"/>
                <w:szCs w:val="16"/>
                <w:vertAlign w:val="subscript"/>
                <w:lang w:val="en-GB" w:eastAsia="zh-CN"/>
              </w:rPr>
              <w:t>studies</w:t>
            </w:r>
            <w:proofErr w:type="spellEnd"/>
          </w:p>
        </w:tc>
        <w:tc>
          <w:tcPr>
            <w:tcW w:w="0" w:type="auto"/>
            <w:tcBorders>
              <w:top w:val="dotted" w:sz="4" w:space="0" w:color="auto"/>
              <w:left w:val="nil"/>
              <w:bottom w:val="dotted" w:sz="4" w:space="0" w:color="auto"/>
              <w:right w:val="nil"/>
            </w:tcBorders>
            <w:shd w:val="clear" w:color="auto" w:fill="auto"/>
            <w:noWrap/>
            <w:vAlign w:val="center"/>
            <w:hideMark/>
          </w:tcPr>
          <w:p w14:paraId="5788FA35" w14:textId="77777777" w:rsidR="008C29DA" w:rsidRPr="00324B90" w:rsidRDefault="008C29DA" w:rsidP="0011556B">
            <w:pPr>
              <w:spacing w:line="240" w:lineRule="auto"/>
              <w:jc w:val="center"/>
              <w:rPr>
                <w:rFonts w:eastAsia="Times New Roman" w:cs="Times New Roman"/>
                <w:b/>
                <w:bCs/>
                <w:i/>
                <w:iCs/>
                <w:color w:val="000000"/>
                <w:sz w:val="16"/>
                <w:szCs w:val="16"/>
                <w:lang w:val="en-GB" w:eastAsia="zh-CN"/>
              </w:rPr>
            </w:pPr>
            <w:r w:rsidRPr="00324B90">
              <w:rPr>
                <w:rFonts w:eastAsia="Times New Roman" w:cs="Times New Roman"/>
                <w:b/>
                <w:bCs/>
                <w:i/>
                <w:iCs/>
                <w:color w:val="000000"/>
                <w:sz w:val="16"/>
                <w:szCs w:val="16"/>
                <w:lang w:val="en-GB" w:eastAsia="zh-CN"/>
              </w:rPr>
              <w:t>b</w:t>
            </w:r>
          </w:p>
        </w:tc>
        <w:tc>
          <w:tcPr>
            <w:tcW w:w="0" w:type="auto"/>
            <w:tcBorders>
              <w:top w:val="dotted" w:sz="4" w:space="0" w:color="auto"/>
              <w:left w:val="nil"/>
              <w:bottom w:val="dotted" w:sz="4" w:space="0" w:color="auto"/>
              <w:right w:val="nil"/>
            </w:tcBorders>
            <w:shd w:val="clear" w:color="auto" w:fill="auto"/>
            <w:noWrap/>
            <w:vAlign w:val="center"/>
            <w:hideMark/>
          </w:tcPr>
          <w:p w14:paraId="3CF3B9CA" w14:textId="77777777" w:rsidR="008C29DA" w:rsidRPr="00324B90" w:rsidRDefault="008C29DA" w:rsidP="0011556B">
            <w:pPr>
              <w:spacing w:line="240" w:lineRule="auto"/>
              <w:jc w:val="center"/>
              <w:rPr>
                <w:rFonts w:eastAsia="Times New Roman" w:cs="Times New Roman"/>
                <w:b/>
                <w:bCs/>
                <w:color w:val="000000"/>
                <w:sz w:val="16"/>
                <w:szCs w:val="16"/>
                <w:lang w:val="en-GB" w:eastAsia="zh-CN"/>
              </w:rPr>
            </w:pPr>
            <w:r w:rsidRPr="00324B90">
              <w:rPr>
                <w:rFonts w:eastAsia="Times New Roman" w:cs="Times New Roman"/>
                <w:b/>
                <w:bCs/>
                <w:color w:val="000000"/>
                <w:sz w:val="16"/>
                <w:szCs w:val="16"/>
                <w:lang w:val="en-GB" w:eastAsia="zh-CN"/>
              </w:rPr>
              <w:t>95%CI</w:t>
            </w:r>
          </w:p>
        </w:tc>
        <w:tc>
          <w:tcPr>
            <w:tcW w:w="0" w:type="auto"/>
            <w:tcBorders>
              <w:top w:val="dotted" w:sz="4" w:space="0" w:color="auto"/>
              <w:left w:val="nil"/>
              <w:bottom w:val="dotted" w:sz="4" w:space="0" w:color="auto"/>
              <w:right w:val="nil"/>
            </w:tcBorders>
            <w:vAlign w:val="center"/>
          </w:tcPr>
          <w:p w14:paraId="6D2B61DB" w14:textId="77777777" w:rsidR="008C29DA" w:rsidRPr="00324B90" w:rsidRDefault="008C29DA" w:rsidP="0011556B">
            <w:pPr>
              <w:spacing w:line="240" w:lineRule="auto"/>
              <w:jc w:val="center"/>
              <w:rPr>
                <w:rFonts w:eastAsia="Times New Roman" w:cs="Times New Roman"/>
                <w:b/>
                <w:bCs/>
                <w:i/>
                <w:iCs/>
                <w:color w:val="000000"/>
                <w:sz w:val="16"/>
                <w:szCs w:val="16"/>
                <w:lang w:val="en-GB" w:eastAsia="zh-CN"/>
              </w:rPr>
            </w:pPr>
          </w:p>
        </w:tc>
        <w:tc>
          <w:tcPr>
            <w:tcW w:w="0" w:type="auto"/>
            <w:tcBorders>
              <w:top w:val="dotted" w:sz="4" w:space="0" w:color="auto"/>
              <w:left w:val="nil"/>
              <w:bottom w:val="dotted" w:sz="4" w:space="0" w:color="auto"/>
              <w:right w:val="nil"/>
            </w:tcBorders>
            <w:shd w:val="clear" w:color="auto" w:fill="auto"/>
            <w:noWrap/>
            <w:vAlign w:val="center"/>
            <w:hideMark/>
          </w:tcPr>
          <w:p w14:paraId="345608D8" w14:textId="77777777" w:rsidR="008C29DA" w:rsidRPr="00324B90" w:rsidRDefault="008C29DA" w:rsidP="0011556B">
            <w:pPr>
              <w:spacing w:line="240" w:lineRule="auto"/>
              <w:jc w:val="center"/>
              <w:rPr>
                <w:rFonts w:eastAsia="Times New Roman" w:cs="Times New Roman"/>
                <w:b/>
                <w:bCs/>
                <w:color w:val="000000"/>
                <w:sz w:val="16"/>
                <w:szCs w:val="16"/>
                <w:lang w:val="en-GB" w:eastAsia="zh-CN"/>
              </w:rPr>
            </w:pPr>
            <w:r w:rsidRPr="00324B90">
              <w:rPr>
                <w:rFonts w:eastAsia="Times New Roman" w:cs="Times New Roman"/>
                <w:b/>
                <w:bCs/>
                <w:i/>
                <w:iCs/>
                <w:color w:val="000000"/>
                <w:sz w:val="16"/>
                <w:szCs w:val="16"/>
                <w:lang w:val="en-GB" w:eastAsia="zh-CN"/>
              </w:rPr>
              <w:t>QM</w:t>
            </w:r>
            <w:r w:rsidRPr="00324B90">
              <w:rPr>
                <w:rFonts w:eastAsia="Times New Roman" w:cs="Times New Roman"/>
                <w:b/>
                <w:bCs/>
                <w:color w:val="000000"/>
                <w:sz w:val="16"/>
                <w:szCs w:val="16"/>
                <w:lang w:val="en-GB" w:eastAsia="zh-CN"/>
              </w:rPr>
              <w:t xml:space="preserve"> (</w:t>
            </w:r>
            <w:proofErr w:type="spellStart"/>
            <w:r w:rsidRPr="00324B90">
              <w:rPr>
                <w:rFonts w:eastAsia="Times New Roman" w:cs="Times New Roman"/>
                <w:b/>
                <w:bCs/>
                <w:i/>
                <w:iCs/>
                <w:color w:val="000000"/>
                <w:sz w:val="16"/>
                <w:szCs w:val="16"/>
                <w:lang w:val="en-GB" w:eastAsia="zh-CN"/>
              </w:rPr>
              <w:t>df</w:t>
            </w:r>
            <w:proofErr w:type="spellEnd"/>
            <w:r w:rsidRPr="00324B90">
              <w:rPr>
                <w:rFonts w:eastAsia="Times New Roman" w:cs="Times New Roman"/>
                <w:b/>
                <w:bCs/>
                <w:color w:val="000000"/>
                <w:sz w:val="16"/>
                <w:szCs w:val="16"/>
                <w:lang w:val="en-GB" w:eastAsia="zh-CN"/>
              </w:rPr>
              <w:t>)</w:t>
            </w:r>
          </w:p>
        </w:tc>
        <w:tc>
          <w:tcPr>
            <w:tcW w:w="0" w:type="auto"/>
            <w:tcBorders>
              <w:top w:val="dotted" w:sz="4" w:space="0" w:color="auto"/>
              <w:left w:val="nil"/>
              <w:bottom w:val="dotted" w:sz="4" w:space="0" w:color="auto"/>
              <w:right w:val="nil"/>
            </w:tcBorders>
            <w:shd w:val="clear" w:color="auto" w:fill="auto"/>
            <w:noWrap/>
            <w:vAlign w:val="center"/>
            <w:hideMark/>
          </w:tcPr>
          <w:p w14:paraId="639E0ABA" w14:textId="77777777" w:rsidR="008C29DA" w:rsidRPr="00324B90" w:rsidRDefault="008C29DA" w:rsidP="0011556B">
            <w:pPr>
              <w:spacing w:line="240" w:lineRule="auto"/>
              <w:jc w:val="center"/>
              <w:rPr>
                <w:rFonts w:eastAsia="Times New Roman" w:cs="Times New Roman"/>
                <w:b/>
                <w:bCs/>
                <w:i/>
                <w:iCs/>
                <w:color w:val="000000"/>
                <w:sz w:val="16"/>
                <w:szCs w:val="16"/>
                <w:lang w:val="en-GB" w:eastAsia="zh-CN"/>
              </w:rPr>
            </w:pPr>
            <w:r w:rsidRPr="00324B90">
              <w:rPr>
                <w:rFonts w:eastAsia="Times New Roman" w:cs="Times New Roman"/>
                <w:b/>
                <w:bCs/>
                <w:i/>
                <w:iCs/>
                <w:color w:val="000000"/>
                <w:sz w:val="16"/>
                <w:szCs w:val="16"/>
                <w:lang w:val="en-GB" w:eastAsia="zh-CN"/>
              </w:rPr>
              <w:t>p</w:t>
            </w:r>
          </w:p>
        </w:tc>
        <w:tc>
          <w:tcPr>
            <w:tcW w:w="0" w:type="auto"/>
            <w:tcBorders>
              <w:top w:val="dotted" w:sz="4" w:space="0" w:color="auto"/>
              <w:left w:val="nil"/>
              <w:bottom w:val="dotted" w:sz="4" w:space="0" w:color="auto"/>
              <w:right w:val="nil"/>
            </w:tcBorders>
            <w:shd w:val="clear" w:color="auto" w:fill="auto"/>
            <w:noWrap/>
            <w:vAlign w:val="center"/>
            <w:hideMark/>
          </w:tcPr>
          <w:p w14:paraId="410E6D9E" w14:textId="77777777" w:rsidR="008C29DA" w:rsidRPr="00324B90" w:rsidRDefault="008C29DA" w:rsidP="0011556B">
            <w:pPr>
              <w:spacing w:line="240" w:lineRule="auto"/>
              <w:jc w:val="center"/>
              <w:rPr>
                <w:rFonts w:eastAsia="Times New Roman" w:cs="Times New Roman"/>
                <w:b/>
                <w:bCs/>
                <w:color w:val="000000"/>
                <w:sz w:val="16"/>
                <w:szCs w:val="16"/>
                <w:lang w:val="en-GB" w:eastAsia="zh-CN"/>
              </w:rPr>
            </w:pPr>
            <w:r w:rsidRPr="00324B90">
              <w:rPr>
                <w:rFonts w:eastAsia="Times New Roman" w:cs="Times New Roman"/>
                <w:b/>
                <w:bCs/>
                <w:color w:val="000000"/>
                <w:sz w:val="16"/>
                <w:szCs w:val="16"/>
                <w:lang w:val="en-GB" w:eastAsia="zh-CN"/>
              </w:rPr>
              <w:t>Support</w:t>
            </w:r>
          </w:p>
        </w:tc>
      </w:tr>
      <w:tr w:rsidR="008C29DA" w:rsidRPr="00324B90" w14:paraId="6802E18B" w14:textId="77777777" w:rsidTr="007C08B9">
        <w:trPr>
          <w:trHeight w:val="250"/>
        </w:trPr>
        <w:tc>
          <w:tcPr>
            <w:tcW w:w="0" w:type="auto"/>
            <w:tcBorders>
              <w:top w:val="nil"/>
              <w:left w:val="nil"/>
              <w:bottom w:val="nil"/>
              <w:right w:val="nil"/>
            </w:tcBorders>
            <w:shd w:val="clear" w:color="auto" w:fill="auto"/>
            <w:noWrap/>
            <w:vAlign w:val="center"/>
            <w:hideMark/>
          </w:tcPr>
          <w:p w14:paraId="70C45ABE" w14:textId="77777777" w:rsidR="008C29DA" w:rsidRPr="00324B90" w:rsidRDefault="008C29DA" w:rsidP="0011556B">
            <w:pPr>
              <w:spacing w:line="240" w:lineRule="auto"/>
              <w:rPr>
                <w:rFonts w:eastAsia="Times New Roman" w:cs="Times New Roman"/>
                <w:i/>
                <w:iCs/>
                <w:color w:val="000000"/>
                <w:sz w:val="16"/>
                <w:szCs w:val="16"/>
                <w:lang w:val="en-GB" w:eastAsia="zh-CN"/>
              </w:rPr>
            </w:pPr>
            <w:r w:rsidRPr="00324B90">
              <w:rPr>
                <w:rFonts w:eastAsia="Times New Roman" w:cs="Times New Roman"/>
                <w:i/>
                <w:iCs/>
                <w:color w:val="000000"/>
                <w:sz w:val="16"/>
                <w:szCs w:val="16"/>
                <w:lang w:val="en-GB" w:eastAsia="zh-CN"/>
              </w:rPr>
              <w:t>Interactions</w:t>
            </w:r>
          </w:p>
        </w:tc>
        <w:tc>
          <w:tcPr>
            <w:tcW w:w="0" w:type="auto"/>
            <w:tcBorders>
              <w:top w:val="nil"/>
              <w:left w:val="nil"/>
              <w:bottom w:val="nil"/>
              <w:right w:val="nil"/>
            </w:tcBorders>
            <w:shd w:val="clear" w:color="auto" w:fill="auto"/>
            <w:noWrap/>
            <w:vAlign w:val="center"/>
            <w:hideMark/>
          </w:tcPr>
          <w:p w14:paraId="37DA2DED" w14:textId="77777777" w:rsidR="008C29DA" w:rsidRPr="00324B90" w:rsidRDefault="008C29DA" w:rsidP="0011556B">
            <w:pPr>
              <w:spacing w:line="240" w:lineRule="auto"/>
              <w:rPr>
                <w:rFonts w:eastAsia="Times New Roman" w:cs="Times New Roman"/>
                <w:i/>
                <w:iCs/>
                <w:color w:val="000000"/>
                <w:sz w:val="16"/>
                <w:szCs w:val="16"/>
                <w:lang w:val="en-GB" w:eastAsia="zh-CN"/>
              </w:rPr>
            </w:pPr>
          </w:p>
        </w:tc>
        <w:tc>
          <w:tcPr>
            <w:tcW w:w="0" w:type="auto"/>
            <w:tcBorders>
              <w:top w:val="nil"/>
              <w:left w:val="nil"/>
              <w:bottom w:val="nil"/>
              <w:right w:val="nil"/>
            </w:tcBorders>
            <w:shd w:val="clear" w:color="auto" w:fill="auto"/>
            <w:noWrap/>
            <w:vAlign w:val="center"/>
            <w:hideMark/>
          </w:tcPr>
          <w:p w14:paraId="48209D29"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263A1359"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1D0514ED"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vAlign w:val="center"/>
          </w:tcPr>
          <w:p w14:paraId="67008889"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1A82D1B4"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27B3A961"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3275B08D" w14:textId="77777777" w:rsidR="008C29DA" w:rsidRPr="00324B90" w:rsidRDefault="008C29DA" w:rsidP="0011556B">
            <w:pPr>
              <w:spacing w:line="240" w:lineRule="auto"/>
              <w:jc w:val="center"/>
              <w:rPr>
                <w:rFonts w:eastAsia="Times New Roman" w:cs="Times New Roman"/>
                <w:sz w:val="20"/>
                <w:szCs w:val="20"/>
                <w:lang w:val="en-GB" w:eastAsia="zh-CN"/>
              </w:rPr>
            </w:pPr>
          </w:p>
        </w:tc>
      </w:tr>
      <w:tr w:rsidR="008C29DA" w:rsidRPr="00324B90" w14:paraId="538FEC5F" w14:textId="77777777" w:rsidTr="007C08B9">
        <w:trPr>
          <w:trHeight w:val="250"/>
        </w:trPr>
        <w:tc>
          <w:tcPr>
            <w:tcW w:w="0" w:type="auto"/>
            <w:tcBorders>
              <w:top w:val="nil"/>
              <w:left w:val="nil"/>
              <w:bottom w:val="nil"/>
              <w:right w:val="nil"/>
            </w:tcBorders>
            <w:shd w:val="clear" w:color="auto" w:fill="auto"/>
            <w:noWrap/>
            <w:vAlign w:val="center"/>
            <w:hideMark/>
          </w:tcPr>
          <w:p w14:paraId="519386E8" w14:textId="77777777" w:rsidR="008C29DA" w:rsidRPr="00324B90" w:rsidRDefault="008C29DA" w:rsidP="0011556B">
            <w:pPr>
              <w:spacing w:line="240" w:lineRule="auto"/>
              <w:ind w:firstLineChars="100" w:firstLine="160"/>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Sanction × Repetition</w:t>
            </w:r>
          </w:p>
        </w:tc>
        <w:tc>
          <w:tcPr>
            <w:tcW w:w="0" w:type="auto"/>
            <w:tcBorders>
              <w:top w:val="nil"/>
              <w:left w:val="nil"/>
              <w:bottom w:val="nil"/>
              <w:right w:val="nil"/>
            </w:tcBorders>
            <w:shd w:val="clear" w:color="auto" w:fill="auto"/>
            <w:noWrap/>
            <w:vAlign w:val="center"/>
            <w:hideMark/>
          </w:tcPr>
          <w:p w14:paraId="23AB6453" w14:textId="77777777" w:rsidR="008C29DA" w:rsidRPr="00324B90" w:rsidRDefault="008C29DA" w:rsidP="0011556B">
            <w:pPr>
              <w:spacing w:line="240" w:lineRule="auto"/>
              <w:ind w:firstLineChars="100" w:firstLine="160"/>
              <w:rPr>
                <w:rFonts w:eastAsia="Times New Roman" w:cs="Times New Roman"/>
                <w:color w:val="000000"/>
                <w:sz w:val="16"/>
                <w:szCs w:val="16"/>
                <w:lang w:val="en-GB" w:eastAsia="zh-CN"/>
              </w:rPr>
            </w:pPr>
          </w:p>
        </w:tc>
        <w:tc>
          <w:tcPr>
            <w:tcW w:w="0" w:type="auto"/>
            <w:tcBorders>
              <w:top w:val="nil"/>
              <w:left w:val="nil"/>
              <w:bottom w:val="nil"/>
              <w:right w:val="nil"/>
            </w:tcBorders>
            <w:shd w:val="clear" w:color="auto" w:fill="auto"/>
            <w:noWrap/>
            <w:vAlign w:val="center"/>
            <w:hideMark/>
          </w:tcPr>
          <w:p w14:paraId="0134892A"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577ECEE6"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36D421B4"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vAlign w:val="center"/>
          </w:tcPr>
          <w:p w14:paraId="031DB4A9"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25A868B3"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48C56270" w14:textId="77777777" w:rsidR="008C29DA" w:rsidRPr="00324B90" w:rsidRDefault="008C29DA" w:rsidP="0011556B">
            <w:pPr>
              <w:spacing w:line="240" w:lineRule="auto"/>
              <w:jc w:val="center"/>
              <w:rPr>
                <w:rFonts w:eastAsia="Times New Roman" w:cs="Times New Roman"/>
                <w:sz w:val="20"/>
                <w:szCs w:val="20"/>
                <w:lang w:val="en-GB" w:eastAsia="zh-CN"/>
              </w:rPr>
            </w:pPr>
          </w:p>
        </w:tc>
        <w:tc>
          <w:tcPr>
            <w:tcW w:w="0" w:type="auto"/>
            <w:tcBorders>
              <w:top w:val="nil"/>
              <w:left w:val="nil"/>
              <w:bottom w:val="nil"/>
              <w:right w:val="nil"/>
            </w:tcBorders>
            <w:shd w:val="clear" w:color="auto" w:fill="auto"/>
            <w:noWrap/>
            <w:vAlign w:val="center"/>
            <w:hideMark/>
          </w:tcPr>
          <w:p w14:paraId="575E3123" w14:textId="77777777" w:rsidR="008C29DA" w:rsidRPr="00324B90" w:rsidRDefault="008C29DA" w:rsidP="0011556B">
            <w:pPr>
              <w:spacing w:line="240" w:lineRule="auto"/>
              <w:jc w:val="center"/>
              <w:rPr>
                <w:rFonts w:eastAsia="Times New Roman" w:cs="Times New Roman"/>
                <w:sz w:val="20"/>
                <w:szCs w:val="20"/>
                <w:lang w:val="en-GB" w:eastAsia="zh-CN"/>
              </w:rPr>
            </w:pPr>
          </w:p>
        </w:tc>
      </w:tr>
      <w:tr w:rsidR="008C29DA" w:rsidRPr="00324B90" w14:paraId="3A99E2B3" w14:textId="77777777" w:rsidTr="007C08B9">
        <w:trPr>
          <w:trHeight w:val="250"/>
        </w:trPr>
        <w:tc>
          <w:tcPr>
            <w:tcW w:w="0" w:type="auto"/>
            <w:tcBorders>
              <w:top w:val="nil"/>
              <w:left w:val="nil"/>
              <w:bottom w:val="nil"/>
              <w:right w:val="nil"/>
            </w:tcBorders>
            <w:shd w:val="clear" w:color="auto" w:fill="auto"/>
            <w:noWrap/>
            <w:vAlign w:val="center"/>
            <w:hideMark/>
          </w:tcPr>
          <w:p w14:paraId="536BDE7D" w14:textId="77777777" w:rsidR="008C29DA" w:rsidRPr="00324B90" w:rsidRDefault="008C29DA" w:rsidP="0011556B">
            <w:pPr>
              <w:spacing w:line="240" w:lineRule="auto"/>
              <w:ind w:firstLineChars="200" w:firstLine="320"/>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Punishment × Repetition</w:t>
            </w:r>
          </w:p>
        </w:tc>
        <w:tc>
          <w:tcPr>
            <w:tcW w:w="0" w:type="auto"/>
            <w:tcBorders>
              <w:top w:val="nil"/>
              <w:left w:val="nil"/>
              <w:bottom w:val="nil"/>
              <w:right w:val="nil"/>
            </w:tcBorders>
            <w:shd w:val="clear" w:color="auto" w:fill="auto"/>
            <w:noWrap/>
            <w:vAlign w:val="center"/>
            <w:hideMark/>
          </w:tcPr>
          <w:p w14:paraId="6C43436A"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213</w:t>
            </w:r>
          </w:p>
        </w:tc>
        <w:tc>
          <w:tcPr>
            <w:tcW w:w="0" w:type="auto"/>
            <w:tcBorders>
              <w:top w:val="nil"/>
              <w:left w:val="nil"/>
              <w:bottom w:val="nil"/>
              <w:right w:val="nil"/>
            </w:tcBorders>
            <w:shd w:val="clear" w:color="auto" w:fill="auto"/>
            <w:noWrap/>
            <w:vAlign w:val="center"/>
            <w:hideMark/>
          </w:tcPr>
          <w:p w14:paraId="6B7E29D3"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90</w:t>
            </w:r>
          </w:p>
        </w:tc>
        <w:tc>
          <w:tcPr>
            <w:tcW w:w="0" w:type="auto"/>
            <w:tcBorders>
              <w:top w:val="nil"/>
              <w:left w:val="nil"/>
              <w:bottom w:val="nil"/>
              <w:right w:val="nil"/>
            </w:tcBorders>
            <w:shd w:val="clear" w:color="auto" w:fill="auto"/>
            <w:noWrap/>
            <w:vAlign w:val="center"/>
            <w:hideMark/>
          </w:tcPr>
          <w:p w14:paraId="62176847" w14:textId="6631E0FD"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0.2</w:t>
            </w:r>
            <w:r w:rsidR="00151A06">
              <w:rPr>
                <w:rFonts w:eastAsia="Times New Roman" w:cs="Times New Roman"/>
                <w:color w:val="000000"/>
                <w:sz w:val="16"/>
                <w:szCs w:val="16"/>
                <w:lang w:val="en-GB" w:eastAsia="zh-CN"/>
              </w:rPr>
              <w:t>76</w:t>
            </w:r>
          </w:p>
        </w:tc>
        <w:tc>
          <w:tcPr>
            <w:tcW w:w="0" w:type="auto"/>
            <w:tcBorders>
              <w:top w:val="nil"/>
              <w:left w:val="nil"/>
              <w:bottom w:val="nil"/>
              <w:right w:val="nil"/>
            </w:tcBorders>
            <w:shd w:val="clear" w:color="auto" w:fill="auto"/>
            <w:noWrap/>
            <w:vAlign w:val="center"/>
            <w:hideMark/>
          </w:tcPr>
          <w:p w14:paraId="370869E6" w14:textId="421DC94B"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[0.0</w:t>
            </w:r>
            <w:r w:rsidR="00151A06">
              <w:rPr>
                <w:rFonts w:eastAsia="Times New Roman" w:cs="Times New Roman"/>
                <w:color w:val="000000"/>
                <w:sz w:val="16"/>
                <w:szCs w:val="16"/>
                <w:lang w:val="en-GB" w:eastAsia="zh-CN"/>
              </w:rPr>
              <w:t>28</w:t>
            </w:r>
            <w:r w:rsidRPr="00324B90">
              <w:rPr>
                <w:rFonts w:eastAsia="Times New Roman" w:cs="Times New Roman"/>
                <w:color w:val="000000"/>
                <w:sz w:val="16"/>
                <w:szCs w:val="16"/>
                <w:lang w:val="en-GB" w:eastAsia="zh-CN"/>
              </w:rPr>
              <w:t>, 0.5</w:t>
            </w:r>
            <w:r w:rsidR="00151A06">
              <w:rPr>
                <w:rFonts w:eastAsia="Times New Roman" w:cs="Times New Roman"/>
                <w:color w:val="000000"/>
                <w:sz w:val="16"/>
                <w:szCs w:val="16"/>
                <w:lang w:val="en-GB" w:eastAsia="zh-CN"/>
              </w:rPr>
              <w:t>24</w:t>
            </w:r>
            <w:r w:rsidRPr="00324B90">
              <w:rPr>
                <w:rFonts w:eastAsia="Times New Roman" w:cs="Times New Roman"/>
                <w:color w:val="000000"/>
                <w:sz w:val="16"/>
                <w:szCs w:val="16"/>
                <w:lang w:val="en-GB" w:eastAsia="zh-CN"/>
              </w:rPr>
              <w:t xml:space="preserve">] </w:t>
            </w:r>
          </w:p>
        </w:tc>
        <w:tc>
          <w:tcPr>
            <w:tcW w:w="0" w:type="auto"/>
            <w:tcBorders>
              <w:top w:val="nil"/>
              <w:left w:val="nil"/>
              <w:bottom w:val="nil"/>
              <w:right w:val="nil"/>
            </w:tcBorders>
            <w:vAlign w:val="center"/>
          </w:tcPr>
          <w:p w14:paraId="58D36AEE" w14:textId="0D5ACE0C" w:rsidR="008C29DA" w:rsidRPr="00324B90" w:rsidRDefault="00824785" w:rsidP="0011556B">
            <w:pPr>
              <w:spacing w:line="240" w:lineRule="auto"/>
              <w:jc w:val="center"/>
              <w:rPr>
                <w:rFonts w:eastAsia="Times New Roman" w:cs="Times New Roman"/>
                <w:color w:val="000000"/>
                <w:sz w:val="16"/>
                <w:szCs w:val="16"/>
                <w:lang w:val="en-GB" w:eastAsia="zh-CN"/>
              </w:rPr>
            </w:pPr>
            <w:r>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41BA0626" w14:textId="3924DE91" w:rsidR="008C29DA" w:rsidRPr="00324B90" w:rsidRDefault="00151A06" w:rsidP="0011556B">
            <w:pPr>
              <w:spacing w:line="240" w:lineRule="auto"/>
              <w:jc w:val="center"/>
              <w:rPr>
                <w:rFonts w:eastAsia="Times New Roman" w:cs="Times New Roman"/>
                <w:color w:val="000000"/>
                <w:sz w:val="16"/>
                <w:szCs w:val="16"/>
                <w:lang w:val="en-GB" w:eastAsia="zh-CN"/>
              </w:rPr>
            </w:pPr>
            <w:r>
              <w:rPr>
                <w:rFonts w:eastAsia="Times New Roman" w:cs="Times New Roman"/>
                <w:color w:val="000000"/>
                <w:sz w:val="16"/>
                <w:szCs w:val="16"/>
                <w:lang w:val="en-GB" w:eastAsia="zh-CN"/>
              </w:rPr>
              <w:t>4.742</w:t>
            </w:r>
            <w:r w:rsidR="008C29DA" w:rsidRPr="00324B90">
              <w:rPr>
                <w:rFonts w:eastAsia="Times New Roman" w:cs="Times New Roman"/>
                <w:color w:val="000000"/>
                <w:sz w:val="16"/>
                <w:szCs w:val="16"/>
                <w:lang w:val="en-GB" w:eastAsia="zh-CN"/>
              </w:rPr>
              <w:t xml:space="preserve"> (1)</w:t>
            </w:r>
          </w:p>
        </w:tc>
        <w:tc>
          <w:tcPr>
            <w:tcW w:w="0" w:type="auto"/>
            <w:tcBorders>
              <w:top w:val="nil"/>
              <w:left w:val="nil"/>
              <w:bottom w:val="nil"/>
              <w:right w:val="nil"/>
            </w:tcBorders>
            <w:shd w:val="clear" w:color="auto" w:fill="auto"/>
            <w:noWrap/>
            <w:vAlign w:val="center"/>
            <w:hideMark/>
          </w:tcPr>
          <w:p w14:paraId="188AC9E8" w14:textId="4F167BEB"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0.02</w:t>
            </w:r>
            <w:r w:rsidR="00151A06">
              <w:rPr>
                <w:rFonts w:eastAsia="Times New Roman" w:cs="Times New Roman"/>
                <w:color w:val="000000"/>
                <w:sz w:val="16"/>
                <w:szCs w:val="16"/>
                <w:lang w:val="en-GB" w:eastAsia="zh-CN"/>
              </w:rPr>
              <w:t>9</w:t>
            </w:r>
          </w:p>
        </w:tc>
        <w:tc>
          <w:tcPr>
            <w:tcW w:w="0" w:type="auto"/>
            <w:tcBorders>
              <w:top w:val="nil"/>
              <w:left w:val="nil"/>
              <w:bottom w:val="nil"/>
              <w:right w:val="nil"/>
            </w:tcBorders>
            <w:shd w:val="clear" w:color="auto" w:fill="auto"/>
            <w:noWrap/>
            <w:vAlign w:val="center"/>
            <w:hideMark/>
          </w:tcPr>
          <w:p w14:paraId="1F70848D"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Yes</w:t>
            </w:r>
          </w:p>
        </w:tc>
      </w:tr>
      <w:tr w:rsidR="008C29DA" w:rsidRPr="00324B90" w14:paraId="211A2A64" w14:textId="77777777" w:rsidTr="007C08B9">
        <w:trPr>
          <w:trHeight w:val="250"/>
        </w:trPr>
        <w:tc>
          <w:tcPr>
            <w:tcW w:w="0" w:type="auto"/>
            <w:tcBorders>
              <w:top w:val="nil"/>
              <w:left w:val="nil"/>
              <w:bottom w:val="nil"/>
              <w:right w:val="nil"/>
            </w:tcBorders>
            <w:shd w:val="clear" w:color="auto" w:fill="auto"/>
            <w:noWrap/>
            <w:vAlign w:val="center"/>
            <w:hideMark/>
          </w:tcPr>
          <w:p w14:paraId="3C9ABFD3" w14:textId="77777777" w:rsidR="008C29DA" w:rsidRPr="00324B90" w:rsidRDefault="008C29DA" w:rsidP="0011556B">
            <w:pPr>
              <w:spacing w:line="240" w:lineRule="auto"/>
              <w:ind w:firstLineChars="200" w:firstLine="320"/>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Reward × Repetition</w:t>
            </w:r>
          </w:p>
        </w:tc>
        <w:tc>
          <w:tcPr>
            <w:tcW w:w="0" w:type="auto"/>
            <w:tcBorders>
              <w:top w:val="nil"/>
              <w:left w:val="nil"/>
              <w:bottom w:val="nil"/>
              <w:right w:val="nil"/>
            </w:tcBorders>
            <w:shd w:val="clear" w:color="auto" w:fill="auto"/>
            <w:noWrap/>
            <w:vAlign w:val="center"/>
            <w:hideMark/>
          </w:tcPr>
          <w:p w14:paraId="17BDD07B"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49</w:t>
            </w:r>
          </w:p>
        </w:tc>
        <w:tc>
          <w:tcPr>
            <w:tcW w:w="0" w:type="auto"/>
            <w:tcBorders>
              <w:top w:val="nil"/>
              <w:left w:val="nil"/>
              <w:bottom w:val="nil"/>
              <w:right w:val="nil"/>
            </w:tcBorders>
            <w:shd w:val="clear" w:color="auto" w:fill="auto"/>
            <w:noWrap/>
            <w:vAlign w:val="center"/>
            <w:hideMark/>
          </w:tcPr>
          <w:p w14:paraId="67F3B574"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20</w:t>
            </w:r>
          </w:p>
        </w:tc>
        <w:tc>
          <w:tcPr>
            <w:tcW w:w="0" w:type="auto"/>
            <w:tcBorders>
              <w:top w:val="nil"/>
              <w:left w:val="nil"/>
              <w:bottom w:val="nil"/>
              <w:right w:val="nil"/>
            </w:tcBorders>
            <w:shd w:val="clear" w:color="auto" w:fill="auto"/>
            <w:noWrap/>
            <w:vAlign w:val="center"/>
            <w:hideMark/>
          </w:tcPr>
          <w:p w14:paraId="0B851AE1" w14:textId="06FDAC75"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0.3</w:t>
            </w:r>
            <w:r w:rsidR="00151A06">
              <w:rPr>
                <w:rFonts w:eastAsia="Times New Roman" w:cs="Times New Roman"/>
                <w:color w:val="000000"/>
                <w:sz w:val="16"/>
                <w:szCs w:val="16"/>
                <w:lang w:val="en-GB" w:eastAsia="zh-CN"/>
              </w:rPr>
              <w:t>60</w:t>
            </w:r>
          </w:p>
        </w:tc>
        <w:tc>
          <w:tcPr>
            <w:tcW w:w="0" w:type="auto"/>
            <w:tcBorders>
              <w:top w:val="nil"/>
              <w:left w:val="nil"/>
              <w:bottom w:val="nil"/>
              <w:right w:val="nil"/>
            </w:tcBorders>
            <w:shd w:val="clear" w:color="auto" w:fill="auto"/>
            <w:noWrap/>
            <w:vAlign w:val="center"/>
            <w:hideMark/>
          </w:tcPr>
          <w:p w14:paraId="0C64E742" w14:textId="7ECDDBA2"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[–0.2</w:t>
            </w:r>
            <w:r w:rsidR="00CC7B9E">
              <w:rPr>
                <w:rFonts w:eastAsia="Times New Roman" w:cs="Times New Roman"/>
                <w:color w:val="000000"/>
                <w:sz w:val="16"/>
                <w:szCs w:val="16"/>
                <w:lang w:val="en-GB" w:eastAsia="zh-CN"/>
              </w:rPr>
              <w:t>25</w:t>
            </w:r>
            <w:r w:rsidRPr="00324B90">
              <w:rPr>
                <w:rFonts w:eastAsia="Times New Roman" w:cs="Times New Roman"/>
                <w:color w:val="000000"/>
                <w:sz w:val="16"/>
                <w:szCs w:val="16"/>
                <w:lang w:val="en-GB" w:eastAsia="zh-CN"/>
              </w:rPr>
              <w:t xml:space="preserve">, </w:t>
            </w:r>
            <w:r w:rsidR="00CC7B9E">
              <w:rPr>
                <w:rFonts w:eastAsia="Times New Roman" w:cs="Times New Roman"/>
                <w:color w:val="000000"/>
                <w:sz w:val="16"/>
                <w:szCs w:val="16"/>
                <w:lang w:val="en-GB" w:eastAsia="zh-CN"/>
              </w:rPr>
              <w:t>0.945</w:t>
            </w:r>
            <w:r w:rsidRPr="00324B90">
              <w:rPr>
                <w:rFonts w:eastAsia="Times New Roman" w:cs="Times New Roman"/>
                <w:color w:val="000000"/>
                <w:sz w:val="16"/>
                <w:szCs w:val="16"/>
                <w:lang w:val="en-GB" w:eastAsia="zh-CN"/>
              </w:rPr>
              <w:t>]</w:t>
            </w:r>
          </w:p>
        </w:tc>
        <w:tc>
          <w:tcPr>
            <w:tcW w:w="0" w:type="auto"/>
            <w:tcBorders>
              <w:top w:val="nil"/>
              <w:left w:val="nil"/>
              <w:bottom w:val="nil"/>
              <w:right w:val="nil"/>
            </w:tcBorders>
            <w:vAlign w:val="center"/>
          </w:tcPr>
          <w:p w14:paraId="16088753" w14:textId="6E928E91" w:rsidR="008C29DA" w:rsidRPr="00324B90" w:rsidRDefault="00824785" w:rsidP="0011556B">
            <w:pPr>
              <w:spacing w:line="240" w:lineRule="auto"/>
              <w:jc w:val="center"/>
              <w:rPr>
                <w:rFonts w:eastAsia="Times New Roman" w:cs="Times New Roman"/>
                <w:color w:val="000000"/>
                <w:sz w:val="16"/>
                <w:szCs w:val="16"/>
                <w:lang w:val="en-GB" w:eastAsia="zh-CN"/>
              </w:rPr>
            </w:pPr>
            <w:r>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603C4568" w14:textId="6D74C06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1.4</w:t>
            </w:r>
            <w:r w:rsidR="00CC7B9E">
              <w:rPr>
                <w:rFonts w:eastAsia="Times New Roman" w:cs="Times New Roman"/>
                <w:color w:val="000000"/>
                <w:sz w:val="16"/>
                <w:szCs w:val="16"/>
                <w:lang w:val="en-GB" w:eastAsia="zh-CN"/>
              </w:rPr>
              <w:t>57</w:t>
            </w:r>
            <w:r w:rsidRPr="00324B90">
              <w:rPr>
                <w:rFonts w:eastAsia="Times New Roman" w:cs="Times New Roman"/>
                <w:color w:val="000000"/>
                <w:sz w:val="16"/>
                <w:szCs w:val="16"/>
                <w:lang w:val="en-GB" w:eastAsia="zh-CN"/>
              </w:rPr>
              <w:t xml:space="preserve"> (1)</w:t>
            </w:r>
          </w:p>
        </w:tc>
        <w:tc>
          <w:tcPr>
            <w:tcW w:w="0" w:type="auto"/>
            <w:tcBorders>
              <w:top w:val="nil"/>
              <w:left w:val="nil"/>
              <w:bottom w:val="nil"/>
              <w:right w:val="nil"/>
            </w:tcBorders>
            <w:shd w:val="clear" w:color="auto" w:fill="auto"/>
            <w:noWrap/>
            <w:vAlign w:val="center"/>
            <w:hideMark/>
          </w:tcPr>
          <w:p w14:paraId="033F80D9"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0.227</w:t>
            </w:r>
          </w:p>
        </w:tc>
        <w:tc>
          <w:tcPr>
            <w:tcW w:w="0" w:type="auto"/>
            <w:tcBorders>
              <w:top w:val="nil"/>
              <w:left w:val="nil"/>
              <w:bottom w:val="nil"/>
              <w:right w:val="nil"/>
            </w:tcBorders>
            <w:shd w:val="clear" w:color="auto" w:fill="auto"/>
            <w:noWrap/>
            <w:vAlign w:val="center"/>
            <w:hideMark/>
          </w:tcPr>
          <w:p w14:paraId="363EC50C"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No</w:t>
            </w:r>
          </w:p>
        </w:tc>
      </w:tr>
      <w:tr w:rsidR="008C29DA" w:rsidRPr="00324B90" w14:paraId="53DF47FB" w14:textId="77777777" w:rsidTr="007C08B9">
        <w:trPr>
          <w:trHeight w:val="250"/>
        </w:trPr>
        <w:tc>
          <w:tcPr>
            <w:tcW w:w="0" w:type="auto"/>
            <w:tcBorders>
              <w:top w:val="nil"/>
              <w:left w:val="nil"/>
              <w:bottom w:val="nil"/>
              <w:right w:val="nil"/>
            </w:tcBorders>
            <w:shd w:val="clear" w:color="auto" w:fill="auto"/>
            <w:noWrap/>
            <w:vAlign w:val="center"/>
            <w:hideMark/>
          </w:tcPr>
          <w:p w14:paraId="03D8FE52" w14:textId="77777777" w:rsidR="008C29DA" w:rsidRPr="00324B90" w:rsidRDefault="008C29DA" w:rsidP="0011556B">
            <w:pPr>
              <w:spacing w:line="240" w:lineRule="auto"/>
              <w:ind w:firstLineChars="100" w:firstLine="160"/>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Communication × K index</w:t>
            </w:r>
          </w:p>
        </w:tc>
        <w:tc>
          <w:tcPr>
            <w:tcW w:w="0" w:type="auto"/>
            <w:tcBorders>
              <w:top w:val="nil"/>
              <w:left w:val="nil"/>
              <w:bottom w:val="nil"/>
              <w:right w:val="nil"/>
            </w:tcBorders>
            <w:shd w:val="clear" w:color="auto" w:fill="auto"/>
            <w:noWrap/>
            <w:vAlign w:val="center"/>
            <w:hideMark/>
          </w:tcPr>
          <w:p w14:paraId="36A147E9"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79</w:t>
            </w:r>
          </w:p>
        </w:tc>
        <w:tc>
          <w:tcPr>
            <w:tcW w:w="0" w:type="auto"/>
            <w:tcBorders>
              <w:top w:val="nil"/>
              <w:left w:val="nil"/>
              <w:bottom w:val="nil"/>
              <w:right w:val="nil"/>
            </w:tcBorders>
            <w:shd w:val="clear" w:color="auto" w:fill="auto"/>
            <w:noWrap/>
            <w:vAlign w:val="center"/>
            <w:hideMark/>
          </w:tcPr>
          <w:p w14:paraId="6450915B"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37</w:t>
            </w:r>
          </w:p>
        </w:tc>
        <w:tc>
          <w:tcPr>
            <w:tcW w:w="0" w:type="auto"/>
            <w:tcBorders>
              <w:top w:val="nil"/>
              <w:left w:val="nil"/>
              <w:bottom w:val="nil"/>
              <w:right w:val="nil"/>
            </w:tcBorders>
            <w:shd w:val="clear" w:color="auto" w:fill="auto"/>
            <w:noWrap/>
            <w:vAlign w:val="center"/>
            <w:hideMark/>
          </w:tcPr>
          <w:p w14:paraId="01E5367D" w14:textId="222CCE04"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w:t>
            </w:r>
            <w:r w:rsidR="005E03F6">
              <w:rPr>
                <w:rFonts w:eastAsia="Times New Roman" w:cs="Times New Roman"/>
                <w:color w:val="000000"/>
                <w:sz w:val="16"/>
                <w:szCs w:val="16"/>
                <w:lang w:val="en-GB" w:eastAsia="zh-CN"/>
              </w:rPr>
              <w:t>1</w:t>
            </w:r>
            <w:r w:rsidRPr="00324B90">
              <w:rPr>
                <w:rFonts w:eastAsia="Times New Roman" w:cs="Times New Roman"/>
                <w:color w:val="000000"/>
                <w:sz w:val="16"/>
                <w:szCs w:val="16"/>
                <w:lang w:val="en-GB" w:eastAsia="zh-CN"/>
              </w:rPr>
              <w:t>.</w:t>
            </w:r>
            <w:r w:rsidR="005E03F6">
              <w:rPr>
                <w:rFonts w:eastAsia="Times New Roman" w:cs="Times New Roman"/>
                <w:color w:val="000000"/>
                <w:sz w:val="16"/>
                <w:szCs w:val="16"/>
                <w:lang w:val="en-GB" w:eastAsia="zh-CN"/>
              </w:rPr>
              <w:t>016</w:t>
            </w:r>
          </w:p>
        </w:tc>
        <w:tc>
          <w:tcPr>
            <w:tcW w:w="0" w:type="auto"/>
            <w:tcBorders>
              <w:top w:val="nil"/>
              <w:left w:val="nil"/>
              <w:bottom w:val="nil"/>
              <w:right w:val="nil"/>
            </w:tcBorders>
            <w:shd w:val="clear" w:color="auto" w:fill="auto"/>
            <w:noWrap/>
            <w:vAlign w:val="center"/>
            <w:hideMark/>
          </w:tcPr>
          <w:p w14:paraId="51681880" w14:textId="262B38A0"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[–1.6</w:t>
            </w:r>
            <w:r w:rsidR="005E03F6">
              <w:rPr>
                <w:rFonts w:eastAsia="Times New Roman" w:cs="Times New Roman"/>
                <w:color w:val="000000"/>
                <w:sz w:val="16"/>
                <w:szCs w:val="16"/>
                <w:lang w:val="en-GB" w:eastAsia="zh-CN"/>
              </w:rPr>
              <w:t>72</w:t>
            </w:r>
            <w:r w:rsidRPr="00324B90">
              <w:rPr>
                <w:rFonts w:eastAsia="Times New Roman" w:cs="Times New Roman"/>
                <w:color w:val="000000"/>
                <w:sz w:val="16"/>
                <w:szCs w:val="16"/>
                <w:lang w:val="en-GB" w:eastAsia="zh-CN"/>
              </w:rPr>
              <w:t>, –0.3</w:t>
            </w:r>
            <w:r w:rsidR="005E03F6">
              <w:rPr>
                <w:rFonts w:eastAsia="Times New Roman" w:cs="Times New Roman"/>
                <w:color w:val="000000"/>
                <w:sz w:val="16"/>
                <w:szCs w:val="16"/>
                <w:lang w:val="en-GB" w:eastAsia="zh-CN"/>
              </w:rPr>
              <w:t>59</w:t>
            </w:r>
            <w:r w:rsidRPr="00324B90">
              <w:rPr>
                <w:rFonts w:eastAsia="Times New Roman" w:cs="Times New Roman"/>
                <w:color w:val="000000"/>
                <w:sz w:val="16"/>
                <w:szCs w:val="16"/>
                <w:lang w:val="en-GB" w:eastAsia="zh-CN"/>
              </w:rPr>
              <w:t>]</w:t>
            </w:r>
          </w:p>
        </w:tc>
        <w:tc>
          <w:tcPr>
            <w:tcW w:w="0" w:type="auto"/>
            <w:tcBorders>
              <w:top w:val="nil"/>
              <w:left w:val="nil"/>
              <w:bottom w:val="nil"/>
              <w:right w:val="nil"/>
            </w:tcBorders>
            <w:vAlign w:val="center"/>
          </w:tcPr>
          <w:p w14:paraId="2180BE18" w14:textId="471D7E1F" w:rsidR="008C29DA" w:rsidRPr="00324B90" w:rsidRDefault="00824785" w:rsidP="0011556B">
            <w:pPr>
              <w:spacing w:line="240" w:lineRule="auto"/>
              <w:jc w:val="center"/>
              <w:rPr>
                <w:rFonts w:eastAsia="Times New Roman" w:cs="Times New Roman"/>
                <w:color w:val="000000"/>
                <w:sz w:val="16"/>
                <w:szCs w:val="16"/>
                <w:lang w:val="en-GB" w:eastAsia="zh-CN"/>
              </w:rPr>
            </w:pPr>
            <w:r>
              <w:rPr>
                <w:rFonts w:eastAsia="Times New Roman" w:cs="Times New Roman"/>
                <w:color w:val="000000"/>
                <w:sz w:val="16"/>
                <w:szCs w:val="16"/>
                <w:lang w:val="en-GB" w:eastAsia="zh-CN"/>
              </w:rPr>
              <w:t>/</w:t>
            </w:r>
          </w:p>
        </w:tc>
        <w:tc>
          <w:tcPr>
            <w:tcW w:w="0" w:type="auto"/>
            <w:tcBorders>
              <w:top w:val="nil"/>
              <w:left w:val="nil"/>
              <w:bottom w:val="nil"/>
              <w:right w:val="nil"/>
            </w:tcBorders>
            <w:shd w:val="clear" w:color="auto" w:fill="auto"/>
            <w:noWrap/>
            <w:vAlign w:val="center"/>
            <w:hideMark/>
          </w:tcPr>
          <w:p w14:paraId="63097629" w14:textId="53A28553" w:rsidR="008C29DA" w:rsidRPr="00324B90" w:rsidRDefault="005E03F6" w:rsidP="0011556B">
            <w:pPr>
              <w:spacing w:line="240" w:lineRule="auto"/>
              <w:jc w:val="center"/>
              <w:rPr>
                <w:rFonts w:eastAsia="Times New Roman" w:cs="Times New Roman"/>
                <w:color w:val="000000"/>
                <w:sz w:val="16"/>
                <w:szCs w:val="16"/>
                <w:lang w:val="en-GB" w:eastAsia="zh-CN"/>
              </w:rPr>
            </w:pPr>
            <w:r>
              <w:rPr>
                <w:rFonts w:eastAsia="Times New Roman" w:cs="Times New Roman"/>
                <w:color w:val="000000"/>
                <w:sz w:val="16"/>
                <w:szCs w:val="16"/>
                <w:lang w:val="en-GB" w:eastAsia="zh-CN"/>
              </w:rPr>
              <w:t>9.199</w:t>
            </w:r>
            <w:r w:rsidR="008C29DA" w:rsidRPr="00324B90">
              <w:rPr>
                <w:rFonts w:eastAsia="Times New Roman" w:cs="Times New Roman"/>
                <w:color w:val="000000"/>
                <w:sz w:val="16"/>
                <w:szCs w:val="16"/>
                <w:lang w:val="en-GB" w:eastAsia="zh-CN"/>
              </w:rPr>
              <w:t xml:space="preserve"> (1)</w:t>
            </w:r>
          </w:p>
        </w:tc>
        <w:tc>
          <w:tcPr>
            <w:tcW w:w="0" w:type="auto"/>
            <w:tcBorders>
              <w:top w:val="nil"/>
              <w:left w:val="nil"/>
              <w:bottom w:val="nil"/>
              <w:right w:val="nil"/>
            </w:tcBorders>
            <w:shd w:val="clear" w:color="auto" w:fill="auto"/>
            <w:noWrap/>
            <w:vAlign w:val="center"/>
            <w:hideMark/>
          </w:tcPr>
          <w:p w14:paraId="7D06DBC2" w14:textId="16FB08D3"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0.00</w:t>
            </w:r>
            <w:r w:rsidR="005E03F6">
              <w:rPr>
                <w:rFonts w:eastAsia="Times New Roman" w:cs="Times New Roman"/>
                <w:color w:val="000000"/>
                <w:sz w:val="16"/>
                <w:szCs w:val="16"/>
                <w:lang w:val="en-GB" w:eastAsia="zh-CN"/>
              </w:rPr>
              <w:t>2</w:t>
            </w:r>
          </w:p>
        </w:tc>
        <w:tc>
          <w:tcPr>
            <w:tcW w:w="0" w:type="auto"/>
            <w:tcBorders>
              <w:top w:val="nil"/>
              <w:left w:val="nil"/>
              <w:bottom w:val="nil"/>
              <w:right w:val="nil"/>
            </w:tcBorders>
            <w:shd w:val="clear" w:color="auto" w:fill="auto"/>
            <w:noWrap/>
            <w:vAlign w:val="center"/>
            <w:hideMark/>
          </w:tcPr>
          <w:p w14:paraId="0B298BA7"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Yes</w:t>
            </w:r>
          </w:p>
        </w:tc>
      </w:tr>
      <w:tr w:rsidR="008C29DA" w:rsidRPr="00324B90" w14:paraId="591EB13A" w14:textId="77777777" w:rsidTr="007C08B9">
        <w:trPr>
          <w:trHeight w:val="250"/>
        </w:trPr>
        <w:tc>
          <w:tcPr>
            <w:tcW w:w="0" w:type="auto"/>
            <w:tcBorders>
              <w:top w:val="nil"/>
              <w:left w:val="nil"/>
              <w:bottom w:val="single" w:sz="4" w:space="0" w:color="auto"/>
              <w:right w:val="nil"/>
            </w:tcBorders>
            <w:shd w:val="clear" w:color="auto" w:fill="auto"/>
            <w:noWrap/>
            <w:vAlign w:val="center"/>
            <w:hideMark/>
          </w:tcPr>
          <w:p w14:paraId="37D93882" w14:textId="77777777" w:rsidR="008C29DA" w:rsidRPr="00324B90" w:rsidRDefault="008C29DA" w:rsidP="0011556B">
            <w:pPr>
              <w:spacing w:line="240" w:lineRule="auto"/>
              <w:ind w:firstLineChars="100" w:firstLine="160"/>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Game payment × Repetition</w:t>
            </w:r>
          </w:p>
        </w:tc>
        <w:tc>
          <w:tcPr>
            <w:tcW w:w="0" w:type="auto"/>
            <w:tcBorders>
              <w:top w:val="nil"/>
              <w:left w:val="nil"/>
              <w:bottom w:val="single" w:sz="4" w:space="0" w:color="auto"/>
              <w:right w:val="nil"/>
            </w:tcBorders>
            <w:shd w:val="clear" w:color="auto" w:fill="auto"/>
            <w:noWrap/>
            <w:vAlign w:val="center"/>
            <w:hideMark/>
          </w:tcPr>
          <w:p w14:paraId="2359A247"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32</w:t>
            </w:r>
          </w:p>
        </w:tc>
        <w:tc>
          <w:tcPr>
            <w:tcW w:w="0" w:type="auto"/>
            <w:tcBorders>
              <w:top w:val="nil"/>
              <w:left w:val="nil"/>
              <w:bottom w:val="single" w:sz="4" w:space="0" w:color="auto"/>
              <w:right w:val="nil"/>
            </w:tcBorders>
            <w:shd w:val="clear" w:color="auto" w:fill="auto"/>
            <w:noWrap/>
            <w:vAlign w:val="center"/>
            <w:hideMark/>
          </w:tcPr>
          <w:p w14:paraId="40B34979"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14</w:t>
            </w:r>
          </w:p>
        </w:tc>
        <w:tc>
          <w:tcPr>
            <w:tcW w:w="0" w:type="auto"/>
            <w:tcBorders>
              <w:top w:val="nil"/>
              <w:left w:val="nil"/>
              <w:bottom w:val="single" w:sz="4" w:space="0" w:color="auto"/>
              <w:right w:val="nil"/>
            </w:tcBorders>
            <w:shd w:val="clear" w:color="auto" w:fill="auto"/>
            <w:noWrap/>
            <w:vAlign w:val="center"/>
            <w:hideMark/>
          </w:tcPr>
          <w:p w14:paraId="39166BF7"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0.115</w:t>
            </w:r>
          </w:p>
        </w:tc>
        <w:tc>
          <w:tcPr>
            <w:tcW w:w="0" w:type="auto"/>
            <w:tcBorders>
              <w:top w:val="nil"/>
              <w:left w:val="nil"/>
              <w:bottom w:val="single" w:sz="4" w:space="0" w:color="auto"/>
              <w:right w:val="nil"/>
            </w:tcBorders>
            <w:shd w:val="clear" w:color="auto" w:fill="auto"/>
            <w:noWrap/>
            <w:vAlign w:val="center"/>
            <w:hideMark/>
          </w:tcPr>
          <w:p w14:paraId="2C38C7BC"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 xml:space="preserve">[–0.337, 0.567] </w:t>
            </w:r>
          </w:p>
        </w:tc>
        <w:tc>
          <w:tcPr>
            <w:tcW w:w="0" w:type="auto"/>
            <w:tcBorders>
              <w:top w:val="nil"/>
              <w:left w:val="nil"/>
              <w:bottom w:val="single" w:sz="4" w:space="0" w:color="auto"/>
              <w:right w:val="nil"/>
            </w:tcBorders>
            <w:vAlign w:val="center"/>
          </w:tcPr>
          <w:p w14:paraId="19534B72" w14:textId="4E6C5D06" w:rsidR="008C29DA" w:rsidRPr="00324B90" w:rsidRDefault="00824785" w:rsidP="0011556B">
            <w:pPr>
              <w:spacing w:line="240" w:lineRule="auto"/>
              <w:jc w:val="center"/>
              <w:rPr>
                <w:rFonts w:eastAsia="Times New Roman" w:cs="Times New Roman"/>
                <w:color w:val="000000"/>
                <w:sz w:val="16"/>
                <w:szCs w:val="16"/>
                <w:lang w:val="en-GB" w:eastAsia="zh-CN"/>
              </w:rPr>
            </w:pPr>
            <w:r>
              <w:rPr>
                <w:rFonts w:eastAsia="Times New Roman" w:cs="Times New Roman"/>
                <w:color w:val="000000"/>
                <w:sz w:val="16"/>
                <w:szCs w:val="16"/>
                <w:lang w:val="en-GB" w:eastAsia="zh-CN"/>
              </w:rPr>
              <w:t>/</w:t>
            </w:r>
          </w:p>
        </w:tc>
        <w:tc>
          <w:tcPr>
            <w:tcW w:w="0" w:type="auto"/>
            <w:tcBorders>
              <w:top w:val="nil"/>
              <w:left w:val="nil"/>
              <w:bottom w:val="single" w:sz="4" w:space="0" w:color="auto"/>
              <w:right w:val="nil"/>
            </w:tcBorders>
            <w:shd w:val="clear" w:color="auto" w:fill="auto"/>
            <w:noWrap/>
            <w:vAlign w:val="center"/>
            <w:hideMark/>
          </w:tcPr>
          <w:p w14:paraId="2B820738"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0.248 (1)</w:t>
            </w:r>
          </w:p>
        </w:tc>
        <w:tc>
          <w:tcPr>
            <w:tcW w:w="0" w:type="auto"/>
            <w:tcBorders>
              <w:top w:val="nil"/>
              <w:left w:val="nil"/>
              <w:bottom w:val="single" w:sz="4" w:space="0" w:color="auto"/>
              <w:right w:val="nil"/>
            </w:tcBorders>
            <w:shd w:val="clear" w:color="auto" w:fill="auto"/>
            <w:noWrap/>
            <w:vAlign w:val="center"/>
            <w:hideMark/>
          </w:tcPr>
          <w:p w14:paraId="365BA8AA"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sidRPr="00324B90">
              <w:rPr>
                <w:rFonts w:eastAsia="Times New Roman" w:cs="Times New Roman"/>
                <w:color w:val="000000"/>
                <w:sz w:val="16"/>
                <w:szCs w:val="16"/>
                <w:lang w:val="en-GB" w:eastAsia="zh-CN"/>
              </w:rPr>
              <w:t>0.618</w:t>
            </w:r>
          </w:p>
        </w:tc>
        <w:tc>
          <w:tcPr>
            <w:tcW w:w="0" w:type="auto"/>
            <w:tcBorders>
              <w:top w:val="nil"/>
              <w:left w:val="nil"/>
              <w:bottom w:val="single" w:sz="4" w:space="0" w:color="auto"/>
              <w:right w:val="nil"/>
            </w:tcBorders>
            <w:shd w:val="clear" w:color="auto" w:fill="auto"/>
            <w:noWrap/>
            <w:vAlign w:val="center"/>
            <w:hideMark/>
          </w:tcPr>
          <w:p w14:paraId="756259DF" w14:textId="77777777" w:rsidR="008C29DA" w:rsidRPr="00324B90" w:rsidRDefault="008C29DA" w:rsidP="0011556B">
            <w:pPr>
              <w:spacing w:line="240" w:lineRule="auto"/>
              <w:jc w:val="center"/>
              <w:rPr>
                <w:rFonts w:eastAsia="Times New Roman" w:cs="Times New Roman"/>
                <w:color w:val="000000"/>
                <w:sz w:val="16"/>
                <w:szCs w:val="16"/>
                <w:lang w:val="en-GB" w:eastAsia="zh-CN"/>
              </w:rPr>
            </w:pPr>
            <w:r>
              <w:rPr>
                <w:rFonts w:eastAsia="Times New Roman" w:cs="Times New Roman"/>
                <w:color w:val="000000"/>
                <w:sz w:val="16"/>
                <w:szCs w:val="16"/>
                <w:lang w:val="en-GB" w:eastAsia="zh-CN"/>
              </w:rPr>
              <w:t>No</w:t>
            </w:r>
            <w:r w:rsidRPr="00324B90">
              <w:rPr>
                <w:rFonts w:eastAsia="Times New Roman" w:cs="Times New Roman"/>
                <w:color w:val="000000"/>
                <w:sz w:val="16"/>
                <w:szCs w:val="16"/>
                <w:lang w:val="en-GB" w:eastAsia="zh-CN"/>
              </w:rPr>
              <w:t> </w:t>
            </w:r>
          </w:p>
        </w:tc>
      </w:tr>
    </w:tbl>
    <w:p w14:paraId="57EB38CB" w14:textId="6BB8A6E1" w:rsidR="008C29DA" w:rsidRPr="00C63A0E" w:rsidRDefault="008C29DA" w:rsidP="00FE65B8">
      <w:pPr>
        <w:spacing w:line="240" w:lineRule="auto"/>
        <w:rPr>
          <w:lang w:eastAsia="zh-CN"/>
        </w:rPr>
      </w:pPr>
      <w:r w:rsidRPr="008F4C7C">
        <w:rPr>
          <w:rFonts w:eastAsiaTheme="minorEastAsia" w:cstheme="minorBidi"/>
          <w:i/>
          <w:szCs w:val="22"/>
          <w:lang w:eastAsia="zh-CN"/>
        </w:rPr>
        <w:t>Note.</w:t>
      </w:r>
      <w:r w:rsidRPr="008F4C7C">
        <w:rPr>
          <w:rFonts w:eastAsiaTheme="minorEastAsia" w:cstheme="minorBidi"/>
          <w:szCs w:val="22"/>
          <w:lang w:eastAsia="zh-CN"/>
        </w:rPr>
        <w:t xml:space="preserve"> </w:t>
      </w:r>
      <w:r w:rsidRPr="00861790">
        <w:rPr>
          <w:rFonts w:eastAsiaTheme="minorEastAsia" w:cstheme="minorBidi"/>
          <w:i/>
          <w:iCs/>
          <w:szCs w:val="22"/>
          <w:lang w:eastAsia="zh-CN"/>
        </w:rPr>
        <w:t>d</w:t>
      </w:r>
      <w:r>
        <w:rPr>
          <w:rFonts w:eastAsiaTheme="minorEastAsia" w:cstheme="minorBidi"/>
          <w:szCs w:val="22"/>
          <w:lang w:eastAsia="zh-CN"/>
        </w:rPr>
        <w:t xml:space="preserve"> = </w:t>
      </w:r>
      <w:r w:rsidRPr="00861790">
        <w:rPr>
          <w:rFonts w:eastAsiaTheme="minorEastAsia" w:cstheme="minorBidi"/>
          <w:szCs w:val="22"/>
          <w:lang w:eastAsia="zh-CN"/>
        </w:rPr>
        <w:t>Standardized Mean Difference</w:t>
      </w:r>
      <w:r>
        <w:rPr>
          <w:rFonts w:eastAsiaTheme="minorEastAsia" w:cstheme="minorBidi"/>
          <w:szCs w:val="22"/>
          <w:lang w:eastAsia="zh-CN"/>
        </w:rPr>
        <w:t xml:space="preserve">, </w:t>
      </w:r>
      <w:r w:rsidRPr="001F0D02">
        <w:rPr>
          <w:rFonts w:eastAsiaTheme="minorEastAsia" w:cstheme="minorBidi"/>
          <w:szCs w:val="22"/>
          <w:lang w:eastAsia="zh-CN"/>
        </w:rPr>
        <w:t>T1 = Treatment 1, T2 = Treatment 2</w:t>
      </w:r>
      <w:r>
        <w:rPr>
          <w:rFonts w:eastAsiaTheme="minorEastAsia" w:cstheme="minorBidi" w:hint="eastAsia"/>
          <w:szCs w:val="22"/>
          <w:lang w:eastAsia="zh-CN"/>
        </w:rPr>
        <w:t>,</w:t>
      </w:r>
      <w:r w:rsidRPr="008F4C7C">
        <w:rPr>
          <w:rFonts w:eastAsiaTheme="minorEastAsia" w:cstheme="minorBidi"/>
          <w:szCs w:val="22"/>
          <w:lang w:eastAsia="zh-CN"/>
        </w:rPr>
        <w:t xml:space="preserve"> </w:t>
      </w:r>
      <w:r>
        <w:rPr>
          <w:rFonts w:eastAsiaTheme="minorEastAsia" w:cstheme="minorBidi"/>
          <w:szCs w:val="22"/>
          <w:lang w:eastAsia="zh-CN"/>
        </w:rPr>
        <w:t>95%</w:t>
      </w:r>
      <w:r w:rsidRPr="008C29DA">
        <w:rPr>
          <w:rFonts w:eastAsiaTheme="minorEastAsia" w:cstheme="minorBidi"/>
          <w:i/>
          <w:iCs/>
          <w:szCs w:val="22"/>
          <w:lang w:eastAsia="zh-CN"/>
        </w:rPr>
        <w:t>CI</w:t>
      </w:r>
      <w:r>
        <w:rPr>
          <w:rFonts w:eastAsiaTheme="minorEastAsia" w:cstheme="minorBidi"/>
          <w:szCs w:val="22"/>
          <w:lang w:eastAsia="zh-CN"/>
        </w:rPr>
        <w:t xml:space="preserve"> = 95% Confidence Interval, 95%</w:t>
      </w:r>
      <w:r w:rsidRPr="008C29DA">
        <w:rPr>
          <w:rFonts w:eastAsiaTheme="minorEastAsia" w:cstheme="minorBidi"/>
          <w:i/>
          <w:iCs/>
          <w:szCs w:val="22"/>
          <w:lang w:eastAsia="zh-CN"/>
        </w:rPr>
        <w:t>PI</w:t>
      </w:r>
      <w:r>
        <w:rPr>
          <w:rFonts w:eastAsiaTheme="minorEastAsia" w:cstheme="minorBidi"/>
          <w:szCs w:val="22"/>
          <w:lang w:eastAsia="zh-CN"/>
        </w:rPr>
        <w:t xml:space="preserve"> = 95% Predicti</w:t>
      </w:r>
      <w:r w:rsidR="000A4A41">
        <w:rPr>
          <w:rFonts w:eastAsiaTheme="minorEastAsia" w:cstheme="minorBidi"/>
          <w:szCs w:val="22"/>
          <w:lang w:eastAsia="zh-CN"/>
        </w:rPr>
        <w:t>on</w:t>
      </w:r>
      <w:r>
        <w:rPr>
          <w:rFonts w:eastAsiaTheme="minorEastAsia" w:cstheme="minorBidi"/>
          <w:szCs w:val="22"/>
          <w:lang w:eastAsia="zh-CN"/>
        </w:rPr>
        <w:t xml:space="preserve"> Interval, </w:t>
      </w:r>
      <w:r w:rsidRPr="00CA1CFF">
        <w:rPr>
          <w:rFonts w:eastAsiaTheme="minorEastAsia" w:cstheme="minorBidi"/>
          <w:szCs w:val="22"/>
          <w:lang w:val="en-GB" w:eastAsia="zh-CN"/>
        </w:rPr>
        <w:t>Kendall's τ</w:t>
      </w:r>
      <w:r w:rsidRPr="00CB5888">
        <w:rPr>
          <w:rFonts w:eastAsiaTheme="minorEastAsia" w:cstheme="minorBidi"/>
          <w:szCs w:val="22"/>
          <w:lang w:eastAsia="zh-CN"/>
        </w:rPr>
        <w:t xml:space="preserve"> </w:t>
      </w:r>
      <w:r>
        <w:rPr>
          <w:rFonts w:eastAsiaTheme="minorEastAsia" w:cstheme="minorBidi"/>
          <w:szCs w:val="22"/>
          <w:lang w:eastAsia="zh-CN"/>
        </w:rPr>
        <w:t xml:space="preserve">= </w:t>
      </w:r>
      <w:r w:rsidRPr="008F4C7C">
        <w:rPr>
          <w:rFonts w:eastAsiaTheme="minorEastAsia" w:cstheme="minorBidi"/>
          <w:szCs w:val="22"/>
          <w:lang w:eastAsia="zh-CN"/>
        </w:rPr>
        <w:t>rank correlation test</w:t>
      </w:r>
      <w:r>
        <w:rPr>
          <w:rFonts w:eastAsiaTheme="minorEastAsia" w:cstheme="minorBidi"/>
          <w:szCs w:val="22"/>
          <w:lang w:eastAsia="zh-CN"/>
        </w:rPr>
        <w:t xml:space="preserve">, </w:t>
      </w:r>
      <w:r w:rsidRPr="00CA1CFF">
        <w:rPr>
          <w:rFonts w:eastAsiaTheme="minorEastAsia" w:cstheme="minorBidi"/>
          <w:szCs w:val="22"/>
          <w:lang w:val="en-GB" w:eastAsia="zh-CN"/>
        </w:rPr>
        <w:t>Egger's test</w:t>
      </w:r>
      <w:r w:rsidRPr="00CB5888">
        <w:rPr>
          <w:rFonts w:eastAsiaTheme="minorEastAsia" w:cstheme="minorBidi"/>
          <w:szCs w:val="22"/>
          <w:lang w:eastAsia="zh-CN"/>
        </w:rPr>
        <w:t xml:space="preserve"> </w:t>
      </w:r>
      <w:r>
        <w:rPr>
          <w:rFonts w:eastAsiaTheme="minorEastAsia" w:cstheme="minorBidi"/>
          <w:szCs w:val="22"/>
          <w:lang w:eastAsia="zh-CN"/>
        </w:rPr>
        <w:t xml:space="preserve">= </w:t>
      </w:r>
      <w:r w:rsidRPr="008F4C7C">
        <w:rPr>
          <w:rFonts w:eastAsiaTheme="minorEastAsia" w:cstheme="minorBidi"/>
          <w:szCs w:val="22"/>
          <w:lang w:eastAsia="zh-CN"/>
        </w:rPr>
        <w:t>Egger's regression test</w:t>
      </w:r>
      <w:r>
        <w:rPr>
          <w:rFonts w:eastAsiaTheme="minorEastAsia" w:cstheme="minorBidi"/>
          <w:szCs w:val="22"/>
          <w:lang w:eastAsia="zh-CN"/>
        </w:rPr>
        <w:t xml:space="preserve">, </w:t>
      </w:r>
      <w:r w:rsidRPr="008F4C7C">
        <w:rPr>
          <w:rFonts w:eastAsiaTheme="minorEastAsia" w:cstheme="minorBidi"/>
          <w:szCs w:val="22"/>
          <w:lang w:eastAsia="zh-CN"/>
        </w:rPr>
        <w:t>Support = Support for hypothesis</w:t>
      </w:r>
      <w:r>
        <w:rPr>
          <w:rFonts w:eastAsiaTheme="minorEastAsia" w:cstheme="minorBidi"/>
          <w:szCs w:val="22"/>
          <w:lang w:eastAsia="zh-CN"/>
        </w:rPr>
        <w:t>, Matching protocol</w:t>
      </w:r>
      <w:r w:rsidR="007411F7">
        <w:rPr>
          <w:rFonts w:eastAsiaTheme="minorEastAsia" w:cstheme="minorBidi"/>
          <w:szCs w:val="22"/>
          <w:lang w:eastAsia="zh-CN"/>
        </w:rPr>
        <w:t>/</w:t>
      </w:r>
      <w:r>
        <w:rPr>
          <w:rFonts w:eastAsiaTheme="minorEastAsia" w:cstheme="minorBidi"/>
          <w:szCs w:val="22"/>
          <w:lang w:eastAsia="zh-CN"/>
        </w:rPr>
        <w:t xml:space="preserve">Repetition = Matching design. </w:t>
      </w:r>
      <w:r w:rsidRPr="008F4C7C">
        <w:rPr>
          <w:rFonts w:eastAsiaTheme="minorEastAsia" w:cstheme="minorBidi"/>
          <w:szCs w:val="22"/>
          <w:lang w:eastAsia="zh-CN"/>
        </w:rPr>
        <w:t xml:space="preserve">We meta-analyzed the effect of sample and structural variables on cooperation </w:t>
      </w:r>
      <w:r>
        <w:rPr>
          <w:rFonts w:eastAsiaTheme="minorEastAsia" w:cstheme="minorBidi"/>
          <w:szCs w:val="22"/>
          <w:lang w:eastAsia="zh-CN"/>
        </w:rPr>
        <w:t>using</w:t>
      </w:r>
      <w:r w:rsidRPr="008F4C7C">
        <w:rPr>
          <w:rFonts w:eastAsiaTheme="minorEastAsia" w:cstheme="minorBidi"/>
          <w:szCs w:val="22"/>
          <w:lang w:eastAsia="zh-CN"/>
        </w:rPr>
        <w:t xml:space="preserve"> </w:t>
      </w:r>
      <w:proofErr w:type="spellStart"/>
      <w:r w:rsidRPr="008F4C7C">
        <w:rPr>
          <w:rFonts w:eastAsiaTheme="minorEastAsia" w:cstheme="minorBidi"/>
          <w:szCs w:val="22"/>
          <w:lang w:eastAsia="zh-CN"/>
        </w:rPr>
        <w:t>CoDa</w:t>
      </w:r>
      <w:proofErr w:type="spellEnd"/>
      <w:r w:rsidRPr="008F4C7C">
        <w:rPr>
          <w:rFonts w:eastAsiaTheme="minorEastAsia" w:cstheme="minorBidi"/>
          <w:szCs w:val="22"/>
          <w:lang w:eastAsia="zh-CN"/>
        </w:rPr>
        <w:t xml:space="preserve">, except for variables that 1) was not represented in the </w:t>
      </w:r>
      <w:proofErr w:type="spellStart"/>
      <w:r w:rsidRPr="008F4C7C">
        <w:rPr>
          <w:rFonts w:eastAsiaTheme="minorEastAsia" w:cstheme="minorBidi"/>
          <w:szCs w:val="22"/>
          <w:lang w:eastAsia="zh-CN"/>
        </w:rPr>
        <w:t>CoDa</w:t>
      </w:r>
      <w:proofErr w:type="spellEnd"/>
      <w:r w:rsidRPr="008F4C7C">
        <w:rPr>
          <w:rFonts w:eastAsiaTheme="minorEastAsia" w:cstheme="minorBidi"/>
          <w:szCs w:val="22"/>
          <w:lang w:eastAsia="zh-CN"/>
        </w:rPr>
        <w:t xml:space="preserve"> </w:t>
      </w:r>
      <w:r>
        <w:rPr>
          <w:rFonts w:eastAsiaTheme="minorEastAsia" w:cstheme="minorBidi"/>
          <w:szCs w:val="22"/>
          <w:lang w:eastAsia="zh-CN"/>
        </w:rPr>
        <w:t>annotation</w:t>
      </w:r>
      <w:r w:rsidRPr="008F4C7C">
        <w:rPr>
          <w:rFonts w:eastAsiaTheme="minorEastAsia" w:cstheme="minorBidi"/>
          <w:szCs w:val="22"/>
          <w:lang w:eastAsia="zh-CN"/>
        </w:rPr>
        <w:t xml:space="preserve"> (i.e., deception), and that 2) did not have enough number of effect sizes to perform meta-analysis (i.e., discipline, </w:t>
      </w:r>
      <w:r>
        <w:rPr>
          <w:rFonts w:eastAsiaTheme="minorEastAsia" w:cstheme="minorBidi"/>
          <w:szCs w:val="22"/>
          <w:lang w:eastAsia="zh-CN"/>
        </w:rPr>
        <w:t>k</w:t>
      </w:r>
      <w:r w:rsidRPr="00861790">
        <w:rPr>
          <w:rFonts w:eastAsiaTheme="minorEastAsia" w:cstheme="minorBidi"/>
          <w:szCs w:val="22"/>
          <w:lang w:eastAsia="zh-CN"/>
        </w:rPr>
        <w:t>nowledge of the end game</w:t>
      </w:r>
      <w:r>
        <w:rPr>
          <w:rFonts w:eastAsiaTheme="minorEastAsia" w:cstheme="minorBidi"/>
          <w:szCs w:val="22"/>
          <w:lang w:eastAsia="zh-CN"/>
        </w:rPr>
        <w:t xml:space="preserve">, </w:t>
      </w:r>
      <w:r w:rsidRPr="008F4C7C">
        <w:rPr>
          <w:rFonts w:eastAsiaTheme="minorEastAsia" w:cstheme="minorBidi"/>
          <w:szCs w:val="22"/>
          <w:lang w:eastAsia="zh-CN"/>
        </w:rPr>
        <w:t xml:space="preserve">continuous PGD vs. step-level PGD). </w:t>
      </w:r>
      <w:r>
        <w:t>The effect size of the relation between age and cooperation was converted from correlation coefficient (</w:t>
      </w:r>
      <w:r w:rsidRPr="00CB5888">
        <w:rPr>
          <w:i/>
        </w:rPr>
        <w:t>r</w:t>
      </w:r>
      <w:r w:rsidRPr="00CB5888">
        <w:rPr>
          <w:iCs/>
        </w:rPr>
        <w:t xml:space="preserve"> = 0.074, 95% </w:t>
      </w:r>
      <w:r w:rsidRPr="00CB5888">
        <w:rPr>
          <w:i/>
        </w:rPr>
        <w:t>CI</w:t>
      </w:r>
      <w:r w:rsidRPr="00CB5888">
        <w:rPr>
          <w:iCs/>
        </w:rPr>
        <w:t xml:space="preserve"> = [0.025, 0.123]</w:t>
      </w:r>
      <w:r w:rsidR="00D03E3C">
        <w:rPr>
          <w:iCs/>
        </w:rPr>
        <w:t xml:space="preserve">, </w:t>
      </w:r>
      <w:r w:rsidR="00D03E3C" w:rsidRPr="00CB5888">
        <w:rPr>
          <w:iCs/>
        </w:rPr>
        <w:t xml:space="preserve">95% </w:t>
      </w:r>
      <w:r w:rsidR="00D03E3C">
        <w:rPr>
          <w:i/>
        </w:rPr>
        <w:t>P</w:t>
      </w:r>
      <w:r w:rsidR="00D03E3C" w:rsidRPr="00CB5888">
        <w:rPr>
          <w:i/>
        </w:rPr>
        <w:t>I</w:t>
      </w:r>
      <w:r w:rsidR="00D03E3C" w:rsidRPr="00CB5888">
        <w:rPr>
          <w:iCs/>
        </w:rPr>
        <w:t xml:space="preserve"> = </w:t>
      </w:r>
      <w:r w:rsidR="00D03E3C" w:rsidRPr="00D03E3C">
        <w:rPr>
          <w:iCs/>
        </w:rPr>
        <w:t>[</w:t>
      </w:r>
      <w:r w:rsidR="00A02099" w:rsidRPr="002E0C68">
        <w:rPr>
          <w:rFonts w:eastAsiaTheme="minorEastAsia" w:cs="Times New Roman"/>
          <w:bCs/>
          <w:szCs w:val="22"/>
          <w:lang w:eastAsia="zh-CN"/>
        </w:rPr>
        <w:t>–</w:t>
      </w:r>
      <w:r w:rsidR="00D03E3C" w:rsidRPr="00D03E3C">
        <w:rPr>
          <w:iCs/>
        </w:rPr>
        <w:t>0.084, 0.232]</w:t>
      </w:r>
      <w:r>
        <w:rPr>
          <w:iCs/>
        </w:rPr>
        <w:t xml:space="preserve">) </w:t>
      </w:r>
      <w:r>
        <w:t>to standardized mean difference (</w:t>
      </w:r>
      <w:r w:rsidRPr="003828BA">
        <w:rPr>
          <w:i/>
          <w:iCs/>
        </w:rPr>
        <w:t>d</w:t>
      </w:r>
      <w:r>
        <w:t>) to be comparable with other effect sizes.</w:t>
      </w:r>
      <w:r w:rsidR="00FE65B8">
        <w:t xml:space="preserve"> </w:t>
      </w:r>
      <w:r w:rsidRPr="008F4C7C">
        <w:rPr>
          <w:rFonts w:eastAsiaTheme="minorEastAsia" w:cstheme="minorBidi"/>
          <w:szCs w:val="22"/>
          <w:lang w:eastAsia="zh-CN"/>
        </w:rPr>
        <w:t xml:space="preserve">* </w:t>
      </w:r>
      <w:r w:rsidRPr="008F4C7C">
        <w:rPr>
          <w:rFonts w:eastAsiaTheme="minorEastAsia" w:cstheme="minorBidi"/>
          <w:i/>
          <w:szCs w:val="22"/>
          <w:lang w:eastAsia="zh-CN"/>
        </w:rPr>
        <w:t>p</w:t>
      </w:r>
      <w:r>
        <w:rPr>
          <w:rFonts w:eastAsiaTheme="minorEastAsia" w:cstheme="minorBidi"/>
          <w:szCs w:val="22"/>
          <w:lang w:eastAsia="zh-CN"/>
        </w:rPr>
        <w:t xml:space="preserve"> &lt; .05</w:t>
      </w:r>
    </w:p>
    <w:p w14:paraId="11551951" w14:textId="77777777" w:rsidR="008C29DA" w:rsidRPr="008703C8" w:rsidRDefault="008C29DA" w:rsidP="008703C8">
      <w:pPr>
        <w:spacing w:line="240" w:lineRule="auto"/>
        <w:rPr>
          <w:rFonts w:eastAsiaTheme="minorEastAsia" w:cstheme="minorBidi"/>
          <w:szCs w:val="22"/>
          <w:lang w:eastAsia="zh-CN"/>
        </w:rPr>
        <w:sectPr w:rsidR="008C29DA" w:rsidRPr="008703C8" w:rsidSect="00F63796">
          <w:pgSz w:w="15840" w:h="12240" w:orient="landscape"/>
          <w:pgMar w:top="1440" w:right="1440" w:bottom="1440" w:left="1440" w:header="708" w:footer="708" w:gutter="0"/>
          <w:cols w:space="708"/>
          <w:docGrid w:linePitch="326"/>
        </w:sectPr>
      </w:pPr>
    </w:p>
    <w:p w14:paraId="1C6F6B5B" w14:textId="583E2B7C" w:rsidR="00F875E2" w:rsidRDefault="00B06E4C" w:rsidP="00941B49">
      <w:pPr>
        <w:pStyle w:val="Heading1"/>
      </w:pPr>
      <w:bookmarkStart w:id="40" w:name="_Toc169458487"/>
      <w:r>
        <w:lastRenderedPageBreak/>
        <w:t>1</w:t>
      </w:r>
      <w:r w:rsidR="00156901">
        <w:rPr>
          <w:rFonts w:hint="eastAsia"/>
          <w:lang w:eastAsia="zh-CN"/>
        </w:rPr>
        <w:t>1</w:t>
      </w:r>
      <w:r w:rsidR="00941B49">
        <w:t xml:space="preserve">. </w:t>
      </w:r>
      <w:r w:rsidR="00CE60BD">
        <w:t>References</w:t>
      </w:r>
      <w:bookmarkEnd w:id="40"/>
    </w:p>
    <w:p w14:paraId="3AC18B2C" w14:textId="0E0A4861" w:rsidR="002414E9" w:rsidRPr="002414E9" w:rsidRDefault="002414E9" w:rsidP="002414E9">
      <w:pPr>
        <w:pStyle w:val="Heading2"/>
      </w:pPr>
      <w:bookmarkStart w:id="41" w:name="_Toc169458488"/>
      <w:r>
        <w:t xml:space="preserve">11.1 </w:t>
      </w:r>
      <w:r w:rsidRPr="002414E9">
        <w:t>References Cited in the SI</w:t>
      </w:r>
      <w:bookmarkEnd w:id="41"/>
    </w:p>
    <w:p w14:paraId="550E2EBC" w14:textId="4814B02A" w:rsidR="005503FA" w:rsidRPr="005503FA" w:rsidRDefault="005503FA" w:rsidP="005503FA">
      <w:pPr>
        <w:pStyle w:val="Bibliography"/>
        <w:rPr>
          <w:rFonts w:cs="Times New Roman"/>
        </w:rPr>
      </w:pPr>
      <w:bookmarkStart w:id="42" w:name="_Hlk134298142"/>
      <w:r w:rsidRPr="00E1011D">
        <w:rPr>
          <w:rFonts w:cs="Times New Roman"/>
          <w:lang w:val="en-GB"/>
        </w:rPr>
        <w:t xml:space="preserve">Abele, S., Stasser, G., &amp; Chartier, C. (2010). </w:t>
      </w:r>
      <w:r w:rsidRPr="005503FA">
        <w:rPr>
          <w:rFonts w:cs="Times New Roman"/>
        </w:rPr>
        <w:t xml:space="preserve">Conflict and coordination in the provision of public goods: A conceptual analysis of continuous and step-level games. </w:t>
      </w:r>
      <w:r w:rsidRPr="005503FA">
        <w:rPr>
          <w:rFonts w:cs="Times New Roman"/>
          <w:i/>
          <w:iCs/>
        </w:rPr>
        <w:t>Personality and Social Psychology Review</w:t>
      </w:r>
      <w:r w:rsidRPr="005503FA">
        <w:rPr>
          <w:rFonts w:cs="Times New Roman"/>
        </w:rPr>
        <w:t xml:space="preserve">, </w:t>
      </w:r>
      <w:r w:rsidRPr="005503FA">
        <w:rPr>
          <w:rFonts w:cs="Times New Roman"/>
          <w:i/>
          <w:iCs/>
        </w:rPr>
        <w:t>14</w:t>
      </w:r>
      <w:r w:rsidRPr="005503FA">
        <w:rPr>
          <w:rFonts w:cs="Times New Roman"/>
        </w:rPr>
        <w:t>(4), 385–401. https://doi.org/10.1177/1088868310368535</w:t>
      </w:r>
    </w:p>
    <w:p w14:paraId="1C23CFB2" w14:textId="77777777" w:rsidR="005503FA" w:rsidRPr="005503FA" w:rsidRDefault="005503FA" w:rsidP="005503FA">
      <w:pPr>
        <w:pStyle w:val="Bibliography"/>
        <w:rPr>
          <w:rFonts w:cs="Times New Roman"/>
        </w:rPr>
      </w:pPr>
      <w:r w:rsidRPr="005503FA">
        <w:rPr>
          <w:rFonts w:cs="Times New Roman"/>
        </w:rPr>
        <w:t xml:space="preserve">Adams, G., &amp; Plaut, V. C. (2003). The cultural grounding of personal relationship: Friendship in North American and West African worlds. </w:t>
      </w:r>
      <w:r w:rsidRPr="005503FA">
        <w:rPr>
          <w:rFonts w:cs="Times New Roman"/>
          <w:i/>
          <w:iCs/>
        </w:rPr>
        <w:t>Personal Relationships</w:t>
      </w:r>
      <w:r w:rsidRPr="005503FA">
        <w:rPr>
          <w:rFonts w:cs="Times New Roman"/>
        </w:rPr>
        <w:t xml:space="preserve">, </w:t>
      </w:r>
      <w:r w:rsidRPr="005503FA">
        <w:rPr>
          <w:rFonts w:cs="Times New Roman"/>
          <w:i/>
          <w:iCs/>
        </w:rPr>
        <w:t>10</w:t>
      </w:r>
      <w:r w:rsidRPr="005503FA">
        <w:rPr>
          <w:rFonts w:cs="Times New Roman"/>
        </w:rPr>
        <w:t>(3), 333–347. https://doi.org/10.1111/1475-6811.00053</w:t>
      </w:r>
    </w:p>
    <w:p w14:paraId="24E39AA2" w14:textId="77777777" w:rsidR="005503FA" w:rsidRPr="005503FA" w:rsidRDefault="005503FA" w:rsidP="005503FA">
      <w:pPr>
        <w:pStyle w:val="Bibliography"/>
        <w:rPr>
          <w:rFonts w:cs="Times New Roman"/>
        </w:rPr>
      </w:pPr>
      <w:r w:rsidRPr="005503FA">
        <w:rPr>
          <w:rFonts w:cs="Times New Roman"/>
        </w:rPr>
        <w:t xml:space="preserve">Axelrod, R. M. (1984). </w:t>
      </w:r>
      <w:r w:rsidRPr="005503FA">
        <w:rPr>
          <w:rFonts w:cs="Times New Roman"/>
          <w:i/>
          <w:iCs/>
        </w:rPr>
        <w:t>The evolution of cooperation</w:t>
      </w:r>
      <w:r w:rsidRPr="005503FA">
        <w:rPr>
          <w:rFonts w:cs="Times New Roman"/>
        </w:rPr>
        <w:t>. Basic Books.</w:t>
      </w:r>
    </w:p>
    <w:p w14:paraId="4AB010D1" w14:textId="77777777" w:rsidR="005503FA" w:rsidRPr="005503FA" w:rsidRDefault="005503FA" w:rsidP="005503FA">
      <w:pPr>
        <w:pStyle w:val="Bibliography"/>
        <w:rPr>
          <w:rFonts w:cs="Times New Roman"/>
          <w:lang w:val="nl-NL"/>
        </w:rPr>
      </w:pPr>
      <w:r w:rsidRPr="005503FA">
        <w:rPr>
          <w:rFonts w:cs="Times New Roman"/>
        </w:rPr>
        <w:t xml:space="preserve">Balliet, D., Li, N. P., Macfarlan, S. J., &amp; Van </w:t>
      </w:r>
      <w:proofErr w:type="spellStart"/>
      <w:r w:rsidRPr="005503FA">
        <w:rPr>
          <w:rFonts w:cs="Times New Roman"/>
        </w:rPr>
        <w:t>Vugt</w:t>
      </w:r>
      <w:proofErr w:type="spellEnd"/>
      <w:r w:rsidRPr="005503FA">
        <w:rPr>
          <w:rFonts w:cs="Times New Roman"/>
        </w:rPr>
        <w:t xml:space="preserve">, M. (2011). Sex differences in cooperation: A meta-analytic review of social dilemmas. </w:t>
      </w:r>
      <w:proofErr w:type="spellStart"/>
      <w:r w:rsidRPr="005503FA">
        <w:rPr>
          <w:rFonts w:cs="Times New Roman"/>
          <w:i/>
          <w:iCs/>
          <w:lang w:val="nl-NL"/>
        </w:rPr>
        <w:t>Psychological</w:t>
      </w:r>
      <w:proofErr w:type="spellEnd"/>
      <w:r w:rsidRPr="005503FA">
        <w:rPr>
          <w:rFonts w:cs="Times New Roman"/>
          <w:i/>
          <w:iCs/>
          <w:lang w:val="nl-NL"/>
        </w:rPr>
        <w:t xml:space="preserve"> Bulletin</w:t>
      </w:r>
      <w:r w:rsidRPr="005503FA">
        <w:rPr>
          <w:rFonts w:cs="Times New Roman"/>
          <w:lang w:val="nl-NL"/>
        </w:rPr>
        <w:t xml:space="preserve">, </w:t>
      </w:r>
      <w:r w:rsidRPr="005503FA">
        <w:rPr>
          <w:rFonts w:cs="Times New Roman"/>
          <w:i/>
          <w:iCs/>
          <w:lang w:val="nl-NL"/>
        </w:rPr>
        <w:t>137</w:t>
      </w:r>
      <w:r w:rsidRPr="005503FA">
        <w:rPr>
          <w:rFonts w:cs="Times New Roman"/>
          <w:lang w:val="nl-NL"/>
        </w:rPr>
        <w:t>(6), 881–909. https://doi.org/10.1037/a0025354</w:t>
      </w:r>
    </w:p>
    <w:p w14:paraId="5F820534" w14:textId="77777777" w:rsidR="005503FA" w:rsidRPr="005503FA" w:rsidRDefault="005503FA" w:rsidP="005503FA">
      <w:pPr>
        <w:pStyle w:val="Bibliography"/>
        <w:rPr>
          <w:rFonts w:cs="Times New Roman"/>
        </w:rPr>
      </w:pPr>
      <w:r w:rsidRPr="005503FA">
        <w:rPr>
          <w:rFonts w:cs="Times New Roman"/>
          <w:lang w:val="nl-NL"/>
        </w:rPr>
        <w:t xml:space="preserve">Bekkers, R., &amp; </w:t>
      </w:r>
      <w:proofErr w:type="spellStart"/>
      <w:r w:rsidRPr="005503FA">
        <w:rPr>
          <w:rFonts w:cs="Times New Roman"/>
          <w:lang w:val="nl-NL"/>
        </w:rPr>
        <w:t>Wiepking</w:t>
      </w:r>
      <w:proofErr w:type="spellEnd"/>
      <w:r w:rsidRPr="005503FA">
        <w:rPr>
          <w:rFonts w:cs="Times New Roman"/>
          <w:lang w:val="nl-NL"/>
        </w:rPr>
        <w:t xml:space="preserve">, P. (2010). </w:t>
      </w:r>
      <w:r w:rsidRPr="005503FA">
        <w:rPr>
          <w:rFonts w:cs="Times New Roman"/>
        </w:rPr>
        <w:t xml:space="preserve">A literature review of empirical studies of philanthropy: Eight mechanisms that drive charitable giving. </w:t>
      </w:r>
      <w:r w:rsidRPr="005503FA">
        <w:rPr>
          <w:rFonts w:cs="Times New Roman"/>
          <w:i/>
          <w:iCs/>
        </w:rPr>
        <w:t>Nonprofit and Voluntary Sector Quarterly</w:t>
      </w:r>
      <w:r w:rsidRPr="005503FA">
        <w:rPr>
          <w:rFonts w:cs="Times New Roman"/>
        </w:rPr>
        <w:t xml:space="preserve">, </w:t>
      </w:r>
      <w:r w:rsidRPr="005503FA">
        <w:rPr>
          <w:rFonts w:cs="Times New Roman"/>
          <w:i/>
          <w:iCs/>
        </w:rPr>
        <w:t>40</w:t>
      </w:r>
      <w:r w:rsidRPr="005503FA">
        <w:rPr>
          <w:rFonts w:cs="Times New Roman"/>
        </w:rPr>
        <w:t>(5), 924–973. https://doi.org/10.1177/0899764010380927</w:t>
      </w:r>
    </w:p>
    <w:p w14:paraId="1A0E8F95" w14:textId="77777777" w:rsidR="005503FA" w:rsidRPr="005503FA" w:rsidRDefault="005503FA" w:rsidP="005503FA">
      <w:pPr>
        <w:pStyle w:val="Bibliography"/>
        <w:rPr>
          <w:rFonts w:cs="Times New Roman"/>
        </w:rPr>
      </w:pPr>
      <w:r w:rsidRPr="005503FA">
        <w:rPr>
          <w:rFonts w:cs="Times New Roman"/>
        </w:rPr>
        <w:t xml:space="preserve">Benenson, J. F., Pascoe, J., &amp; </w:t>
      </w:r>
      <w:proofErr w:type="spellStart"/>
      <w:r w:rsidRPr="005503FA">
        <w:rPr>
          <w:rFonts w:cs="Times New Roman"/>
        </w:rPr>
        <w:t>Radmore</w:t>
      </w:r>
      <w:proofErr w:type="spellEnd"/>
      <w:r w:rsidRPr="005503FA">
        <w:rPr>
          <w:rFonts w:cs="Times New Roman"/>
        </w:rPr>
        <w:t xml:space="preserve">, N. (2007). Children’s altruistic behavior in the dictator game. </w:t>
      </w:r>
      <w:r w:rsidRPr="005503FA">
        <w:rPr>
          <w:rFonts w:cs="Times New Roman"/>
          <w:i/>
          <w:iCs/>
        </w:rPr>
        <w:t>Evolution and Human Behavior</w:t>
      </w:r>
      <w:r w:rsidRPr="005503FA">
        <w:rPr>
          <w:rFonts w:cs="Times New Roman"/>
        </w:rPr>
        <w:t xml:space="preserve">, </w:t>
      </w:r>
      <w:r w:rsidRPr="005503FA">
        <w:rPr>
          <w:rFonts w:cs="Times New Roman"/>
          <w:i/>
          <w:iCs/>
        </w:rPr>
        <w:t>28</w:t>
      </w:r>
      <w:r w:rsidRPr="005503FA">
        <w:rPr>
          <w:rFonts w:cs="Times New Roman"/>
        </w:rPr>
        <w:t>(3), 168–175. https://doi.org/10.1016/j.evolhumbehav.2006.10.003</w:t>
      </w:r>
    </w:p>
    <w:p w14:paraId="3BA70BFD" w14:textId="77777777" w:rsidR="005503FA" w:rsidRPr="005503FA" w:rsidRDefault="005503FA" w:rsidP="005503FA">
      <w:pPr>
        <w:pStyle w:val="Bibliography"/>
        <w:rPr>
          <w:rFonts w:cs="Times New Roman"/>
        </w:rPr>
      </w:pPr>
      <w:r w:rsidRPr="005503FA">
        <w:rPr>
          <w:rFonts w:cs="Times New Roman"/>
        </w:rPr>
        <w:t xml:space="preserve">Carter, J. R., &amp; Irons, M. D. (1991). Are economists different, and if so, why? </w:t>
      </w:r>
      <w:r w:rsidRPr="005503FA">
        <w:rPr>
          <w:rFonts w:cs="Times New Roman"/>
          <w:i/>
          <w:iCs/>
        </w:rPr>
        <w:t>Journal of Economic Perspectives</w:t>
      </w:r>
      <w:r w:rsidRPr="005503FA">
        <w:rPr>
          <w:rFonts w:cs="Times New Roman"/>
        </w:rPr>
        <w:t xml:space="preserve">, </w:t>
      </w:r>
      <w:r w:rsidRPr="005503FA">
        <w:rPr>
          <w:rFonts w:cs="Times New Roman"/>
          <w:i/>
          <w:iCs/>
        </w:rPr>
        <w:t>5</w:t>
      </w:r>
      <w:r w:rsidRPr="005503FA">
        <w:rPr>
          <w:rFonts w:cs="Times New Roman"/>
        </w:rPr>
        <w:t>(2), 171–177. https://doi.org/10.1257/jep.5.2.171</w:t>
      </w:r>
    </w:p>
    <w:p w14:paraId="1283BFFB" w14:textId="77777777" w:rsidR="005503FA" w:rsidRPr="005503FA" w:rsidRDefault="005503FA" w:rsidP="005503FA">
      <w:pPr>
        <w:pStyle w:val="Bibliography"/>
        <w:rPr>
          <w:rFonts w:cs="Times New Roman"/>
        </w:rPr>
      </w:pPr>
      <w:r w:rsidRPr="005503FA">
        <w:rPr>
          <w:rFonts w:cs="Times New Roman"/>
        </w:rPr>
        <w:t xml:space="preserve">Dal </w:t>
      </w:r>
      <w:proofErr w:type="spellStart"/>
      <w:r w:rsidRPr="005503FA">
        <w:rPr>
          <w:rFonts w:cs="Times New Roman"/>
        </w:rPr>
        <w:t>Bó</w:t>
      </w:r>
      <w:proofErr w:type="spellEnd"/>
      <w:r w:rsidRPr="005503FA">
        <w:rPr>
          <w:rFonts w:cs="Times New Roman"/>
        </w:rPr>
        <w:t xml:space="preserve">, P. (2005). Cooperation under the shadow of the future: Experimental evidence from infinitely repeated games. </w:t>
      </w:r>
      <w:r w:rsidRPr="005503FA">
        <w:rPr>
          <w:rFonts w:cs="Times New Roman"/>
          <w:i/>
          <w:iCs/>
        </w:rPr>
        <w:t>American Economic Review</w:t>
      </w:r>
      <w:r w:rsidRPr="005503FA">
        <w:rPr>
          <w:rFonts w:cs="Times New Roman"/>
        </w:rPr>
        <w:t xml:space="preserve">, </w:t>
      </w:r>
      <w:r w:rsidRPr="005503FA">
        <w:rPr>
          <w:rFonts w:cs="Times New Roman"/>
          <w:i/>
          <w:iCs/>
        </w:rPr>
        <w:t>95</w:t>
      </w:r>
      <w:r w:rsidRPr="005503FA">
        <w:rPr>
          <w:rFonts w:cs="Times New Roman"/>
        </w:rPr>
        <w:t>(5), 1591–1604. https://doi.org/10.1257/000282805775014434</w:t>
      </w:r>
    </w:p>
    <w:p w14:paraId="6368B634" w14:textId="77777777" w:rsidR="005503FA" w:rsidRPr="005503FA" w:rsidRDefault="005503FA" w:rsidP="005503FA">
      <w:pPr>
        <w:pStyle w:val="Bibliography"/>
        <w:rPr>
          <w:rFonts w:cs="Times New Roman"/>
          <w:lang w:val="nl-NL"/>
        </w:rPr>
      </w:pPr>
      <w:proofErr w:type="spellStart"/>
      <w:r w:rsidRPr="005503FA">
        <w:rPr>
          <w:rFonts w:cs="Times New Roman"/>
        </w:rPr>
        <w:lastRenderedPageBreak/>
        <w:t>Eagly</w:t>
      </w:r>
      <w:proofErr w:type="spellEnd"/>
      <w:r w:rsidRPr="005503FA">
        <w:rPr>
          <w:rFonts w:cs="Times New Roman"/>
        </w:rPr>
        <w:t xml:space="preserve">, A. H. (2009). The his and hers of prosocial behavior: An examination of the social psychology of gender. </w:t>
      </w:r>
      <w:r w:rsidRPr="005503FA">
        <w:rPr>
          <w:rFonts w:cs="Times New Roman"/>
          <w:i/>
          <w:iCs/>
          <w:lang w:val="nl-NL"/>
        </w:rPr>
        <w:t xml:space="preserve">American </w:t>
      </w:r>
      <w:proofErr w:type="spellStart"/>
      <w:r w:rsidRPr="005503FA">
        <w:rPr>
          <w:rFonts w:cs="Times New Roman"/>
          <w:i/>
          <w:iCs/>
          <w:lang w:val="nl-NL"/>
        </w:rPr>
        <w:t>Psychologist</w:t>
      </w:r>
      <w:proofErr w:type="spellEnd"/>
      <w:r w:rsidRPr="005503FA">
        <w:rPr>
          <w:rFonts w:cs="Times New Roman"/>
          <w:lang w:val="nl-NL"/>
        </w:rPr>
        <w:t xml:space="preserve">, </w:t>
      </w:r>
      <w:r w:rsidRPr="005503FA">
        <w:rPr>
          <w:rFonts w:cs="Times New Roman"/>
          <w:i/>
          <w:iCs/>
          <w:lang w:val="nl-NL"/>
        </w:rPr>
        <w:t>64</w:t>
      </w:r>
      <w:r w:rsidRPr="005503FA">
        <w:rPr>
          <w:rFonts w:cs="Times New Roman"/>
          <w:lang w:val="nl-NL"/>
        </w:rPr>
        <w:t>(8), 644–658. https://doi.org/10.1037/0003-066X.64.8.644</w:t>
      </w:r>
    </w:p>
    <w:p w14:paraId="4322E7AB" w14:textId="77777777" w:rsidR="005503FA" w:rsidRPr="0034610C" w:rsidRDefault="005503FA" w:rsidP="005503FA">
      <w:pPr>
        <w:pStyle w:val="Bibliography"/>
        <w:rPr>
          <w:rFonts w:cs="Times New Roman"/>
          <w:lang w:val="en-GB"/>
        </w:rPr>
      </w:pPr>
      <w:proofErr w:type="spellStart"/>
      <w:r w:rsidRPr="005503FA">
        <w:rPr>
          <w:rFonts w:cs="Times New Roman"/>
          <w:lang w:val="nl-NL"/>
        </w:rPr>
        <w:t>Eagly</w:t>
      </w:r>
      <w:proofErr w:type="spellEnd"/>
      <w:r w:rsidRPr="005503FA">
        <w:rPr>
          <w:rFonts w:cs="Times New Roman"/>
          <w:lang w:val="nl-NL"/>
        </w:rPr>
        <w:t xml:space="preserve">, A. H., &amp; Wood, W. (2011). </w:t>
      </w:r>
      <w:r w:rsidRPr="005503FA">
        <w:rPr>
          <w:rFonts w:cs="Times New Roman"/>
        </w:rPr>
        <w:t xml:space="preserve">Feminism and the evolution of sex differences and similarities. </w:t>
      </w:r>
      <w:r w:rsidRPr="0034610C">
        <w:rPr>
          <w:rFonts w:cs="Times New Roman"/>
          <w:i/>
          <w:iCs/>
          <w:lang w:val="en-GB"/>
        </w:rPr>
        <w:t>Sex Roles</w:t>
      </w:r>
      <w:r w:rsidRPr="0034610C">
        <w:rPr>
          <w:rFonts w:cs="Times New Roman"/>
          <w:lang w:val="en-GB"/>
        </w:rPr>
        <w:t xml:space="preserve">, </w:t>
      </w:r>
      <w:r w:rsidRPr="0034610C">
        <w:rPr>
          <w:rFonts w:cs="Times New Roman"/>
          <w:i/>
          <w:iCs/>
          <w:lang w:val="en-GB"/>
        </w:rPr>
        <w:t>64</w:t>
      </w:r>
      <w:r w:rsidRPr="0034610C">
        <w:rPr>
          <w:rFonts w:cs="Times New Roman"/>
          <w:lang w:val="en-GB"/>
        </w:rPr>
        <w:t>(9), 758–767. https://doi.org/10.1007/s11199-011-9949-9</w:t>
      </w:r>
    </w:p>
    <w:p w14:paraId="2D1E71D9" w14:textId="77777777" w:rsidR="005503FA" w:rsidRPr="005503FA" w:rsidRDefault="005503FA" w:rsidP="005503FA">
      <w:pPr>
        <w:pStyle w:val="Bibliography"/>
        <w:rPr>
          <w:rFonts w:cs="Times New Roman"/>
        </w:rPr>
      </w:pPr>
      <w:r w:rsidRPr="0034610C">
        <w:rPr>
          <w:rFonts w:cs="Times New Roman"/>
          <w:lang w:val="en-GB"/>
        </w:rPr>
        <w:t xml:space="preserve">Ebersbach, M., Malkus, D., &amp; Ernst, A. (2019). </w:t>
      </w:r>
      <w:r w:rsidRPr="005503FA">
        <w:rPr>
          <w:rFonts w:cs="Times New Roman"/>
        </w:rPr>
        <w:t xml:space="preserve">Factors that affect primary school children’s sustainable behavior in a resource dilemma. </w:t>
      </w:r>
      <w:r w:rsidRPr="005503FA">
        <w:rPr>
          <w:rFonts w:cs="Times New Roman"/>
          <w:i/>
          <w:iCs/>
        </w:rPr>
        <w:t>Journal of Experimental Child Psychology</w:t>
      </w:r>
      <w:r w:rsidRPr="005503FA">
        <w:rPr>
          <w:rFonts w:cs="Times New Roman"/>
        </w:rPr>
        <w:t xml:space="preserve">, </w:t>
      </w:r>
      <w:r w:rsidRPr="005503FA">
        <w:rPr>
          <w:rFonts w:cs="Times New Roman"/>
          <w:i/>
          <w:iCs/>
        </w:rPr>
        <w:t>184</w:t>
      </w:r>
      <w:r w:rsidRPr="005503FA">
        <w:rPr>
          <w:rFonts w:cs="Times New Roman"/>
        </w:rPr>
        <w:t>, 18–33. https://doi.org/10.1016/j.jecp.2019.03.007</w:t>
      </w:r>
    </w:p>
    <w:p w14:paraId="04026CCD" w14:textId="77777777" w:rsidR="005503FA" w:rsidRPr="0034610C" w:rsidRDefault="005503FA" w:rsidP="005503FA">
      <w:pPr>
        <w:pStyle w:val="Bibliography"/>
        <w:rPr>
          <w:rFonts w:cs="Times New Roman"/>
          <w:lang w:val="en-GB"/>
        </w:rPr>
      </w:pPr>
      <w:r w:rsidRPr="005503FA">
        <w:rPr>
          <w:rFonts w:cs="Times New Roman"/>
          <w:lang w:val="de-DE"/>
        </w:rPr>
        <w:t xml:space="preserve">Egger, M., Smith, G. D., Schneider, M., &amp; Minder, C. (1997). </w:t>
      </w:r>
      <w:r w:rsidRPr="005503FA">
        <w:rPr>
          <w:rFonts w:cs="Times New Roman"/>
        </w:rPr>
        <w:t xml:space="preserve">Bias in meta-analysis detected by a simple, graphical test. </w:t>
      </w:r>
      <w:r w:rsidRPr="0034610C">
        <w:rPr>
          <w:rFonts w:cs="Times New Roman"/>
          <w:i/>
          <w:iCs/>
          <w:lang w:val="en-GB"/>
        </w:rPr>
        <w:t>BMJ</w:t>
      </w:r>
      <w:r w:rsidRPr="0034610C">
        <w:rPr>
          <w:rFonts w:cs="Times New Roman"/>
          <w:lang w:val="en-GB"/>
        </w:rPr>
        <w:t xml:space="preserve">, </w:t>
      </w:r>
      <w:r w:rsidRPr="0034610C">
        <w:rPr>
          <w:rFonts w:cs="Times New Roman"/>
          <w:i/>
          <w:iCs/>
          <w:lang w:val="en-GB"/>
        </w:rPr>
        <w:t>315</w:t>
      </w:r>
      <w:r w:rsidRPr="0034610C">
        <w:rPr>
          <w:rFonts w:cs="Times New Roman"/>
          <w:lang w:val="en-GB"/>
        </w:rPr>
        <w:t>(7109), 629–634. https://doi.org/10.1136/bmj.315.7109.629</w:t>
      </w:r>
    </w:p>
    <w:p w14:paraId="6C149537" w14:textId="77777777" w:rsidR="005503FA" w:rsidRPr="005503FA" w:rsidRDefault="005503FA" w:rsidP="005503FA">
      <w:pPr>
        <w:pStyle w:val="Bibliography"/>
        <w:rPr>
          <w:rFonts w:cs="Times New Roman"/>
        </w:rPr>
      </w:pPr>
      <w:r w:rsidRPr="0034610C">
        <w:rPr>
          <w:rFonts w:cs="Times New Roman"/>
          <w:lang w:val="en-GB"/>
        </w:rPr>
        <w:t xml:space="preserve">Eisenberg, N., &amp; Fabes, R. A. (1991). </w:t>
      </w:r>
      <w:r w:rsidRPr="005503FA">
        <w:rPr>
          <w:rFonts w:cs="Times New Roman"/>
        </w:rPr>
        <w:t xml:space="preserve">Prosocial behavior and empathy: A multimethod developmental perspective. In </w:t>
      </w:r>
      <w:r w:rsidRPr="005503FA">
        <w:rPr>
          <w:rFonts w:cs="Times New Roman"/>
          <w:i/>
          <w:iCs/>
        </w:rPr>
        <w:t>Prosocial behavior.</w:t>
      </w:r>
      <w:r w:rsidRPr="005503FA">
        <w:rPr>
          <w:rFonts w:cs="Times New Roman"/>
        </w:rPr>
        <w:t xml:space="preserve"> (pp. 34–61). Sage Publications, Inc.</w:t>
      </w:r>
    </w:p>
    <w:p w14:paraId="6CAD4747" w14:textId="77777777" w:rsidR="005503FA" w:rsidRPr="005503FA" w:rsidRDefault="005503FA" w:rsidP="005503FA">
      <w:pPr>
        <w:pStyle w:val="Bibliography"/>
        <w:rPr>
          <w:rFonts w:cs="Times New Roman"/>
        </w:rPr>
      </w:pPr>
      <w:r w:rsidRPr="005503FA">
        <w:rPr>
          <w:rFonts w:cs="Times New Roman"/>
        </w:rPr>
        <w:t xml:space="preserve">Feldman, N. E. (2010). Time is money: Choosing between charitable activities. </w:t>
      </w:r>
      <w:r w:rsidRPr="005503FA">
        <w:rPr>
          <w:rFonts w:cs="Times New Roman"/>
          <w:i/>
          <w:iCs/>
        </w:rPr>
        <w:t>American Economic Journal: Economic Policy</w:t>
      </w:r>
      <w:r w:rsidRPr="005503FA">
        <w:rPr>
          <w:rFonts w:cs="Times New Roman"/>
        </w:rPr>
        <w:t xml:space="preserve">, </w:t>
      </w:r>
      <w:r w:rsidRPr="005503FA">
        <w:rPr>
          <w:rFonts w:cs="Times New Roman"/>
          <w:i/>
          <w:iCs/>
        </w:rPr>
        <w:t>2</w:t>
      </w:r>
      <w:r w:rsidRPr="005503FA">
        <w:rPr>
          <w:rFonts w:cs="Times New Roman"/>
        </w:rPr>
        <w:t>(1), 103–130. https://doi.org/10.1257/pol.2.1.103</w:t>
      </w:r>
    </w:p>
    <w:p w14:paraId="4E946900" w14:textId="77777777" w:rsidR="005503FA" w:rsidRPr="005503FA" w:rsidRDefault="005503FA" w:rsidP="005503FA">
      <w:pPr>
        <w:pStyle w:val="Bibliography"/>
        <w:rPr>
          <w:rFonts w:cs="Times New Roman"/>
        </w:rPr>
      </w:pPr>
      <w:r w:rsidRPr="005503FA">
        <w:rPr>
          <w:rFonts w:cs="Times New Roman"/>
        </w:rPr>
        <w:t xml:space="preserve">Fox, J., &amp; Monette, G. (1992). Generalized collinearity diagnostics. </w:t>
      </w:r>
      <w:r w:rsidRPr="005503FA">
        <w:rPr>
          <w:rFonts w:cs="Times New Roman"/>
          <w:i/>
          <w:iCs/>
        </w:rPr>
        <w:t>Journal of the American Statistical Association</w:t>
      </w:r>
      <w:r w:rsidRPr="005503FA">
        <w:rPr>
          <w:rFonts w:cs="Times New Roman"/>
        </w:rPr>
        <w:t xml:space="preserve">, </w:t>
      </w:r>
      <w:r w:rsidRPr="005503FA">
        <w:rPr>
          <w:rFonts w:cs="Times New Roman"/>
          <w:i/>
          <w:iCs/>
        </w:rPr>
        <w:t>87</w:t>
      </w:r>
      <w:r w:rsidRPr="005503FA">
        <w:rPr>
          <w:rFonts w:cs="Times New Roman"/>
        </w:rPr>
        <w:t>(417), 178–183. https://doi.org/10.1080/01621459.1992.10475190</w:t>
      </w:r>
    </w:p>
    <w:p w14:paraId="2E8D08BB" w14:textId="77777777" w:rsidR="005503FA" w:rsidRPr="005503FA" w:rsidRDefault="005503FA" w:rsidP="005503FA">
      <w:pPr>
        <w:pStyle w:val="Bibliography"/>
        <w:rPr>
          <w:rFonts w:cs="Times New Roman"/>
        </w:rPr>
      </w:pPr>
      <w:r w:rsidRPr="005503FA">
        <w:rPr>
          <w:rFonts w:cs="Times New Roman"/>
        </w:rPr>
        <w:t xml:space="preserve">Frank, R. H., Gilovich, T., &amp; Regan, D. T. (1993). Does studying economics inhibit cooperation? </w:t>
      </w:r>
      <w:r w:rsidRPr="005503FA">
        <w:rPr>
          <w:rFonts w:cs="Times New Roman"/>
          <w:i/>
          <w:iCs/>
        </w:rPr>
        <w:t>Journal of Economic Perspectives</w:t>
      </w:r>
      <w:r w:rsidRPr="005503FA">
        <w:rPr>
          <w:rFonts w:cs="Times New Roman"/>
        </w:rPr>
        <w:t xml:space="preserve">, </w:t>
      </w:r>
      <w:r w:rsidRPr="005503FA">
        <w:rPr>
          <w:rFonts w:cs="Times New Roman"/>
          <w:i/>
          <w:iCs/>
        </w:rPr>
        <w:t>7</w:t>
      </w:r>
      <w:r w:rsidRPr="005503FA">
        <w:rPr>
          <w:rFonts w:cs="Times New Roman"/>
        </w:rPr>
        <w:t>(2), 159–171. https://doi.org/10.1257/jep.7.2.159</w:t>
      </w:r>
    </w:p>
    <w:p w14:paraId="7394BEB4" w14:textId="77777777" w:rsidR="005503FA" w:rsidRPr="005503FA" w:rsidRDefault="005503FA" w:rsidP="005503FA">
      <w:pPr>
        <w:pStyle w:val="Bibliography"/>
        <w:rPr>
          <w:rFonts w:cs="Times New Roman"/>
        </w:rPr>
      </w:pPr>
      <w:proofErr w:type="spellStart"/>
      <w:r w:rsidRPr="005503FA">
        <w:rPr>
          <w:rFonts w:cs="Times New Roman"/>
        </w:rPr>
        <w:t>Hachen</w:t>
      </w:r>
      <w:proofErr w:type="spellEnd"/>
      <w:r w:rsidRPr="005503FA">
        <w:rPr>
          <w:rFonts w:cs="Times New Roman"/>
        </w:rPr>
        <w:t xml:space="preserve">, D. S. (1992). Industrial characteristics and job mobility rates. </w:t>
      </w:r>
      <w:r w:rsidRPr="005503FA">
        <w:rPr>
          <w:rFonts w:cs="Times New Roman"/>
          <w:i/>
          <w:iCs/>
        </w:rPr>
        <w:t>American Sociological Review</w:t>
      </w:r>
      <w:r w:rsidRPr="005503FA">
        <w:rPr>
          <w:rFonts w:cs="Times New Roman"/>
        </w:rPr>
        <w:t xml:space="preserve">, </w:t>
      </w:r>
      <w:r w:rsidRPr="005503FA">
        <w:rPr>
          <w:rFonts w:cs="Times New Roman"/>
          <w:i/>
          <w:iCs/>
        </w:rPr>
        <w:t>57</w:t>
      </w:r>
      <w:r w:rsidRPr="005503FA">
        <w:rPr>
          <w:rFonts w:cs="Times New Roman"/>
        </w:rPr>
        <w:t>(1), 39–55. https://doi.org/10.2307/2096143</w:t>
      </w:r>
    </w:p>
    <w:p w14:paraId="2C64F840" w14:textId="77777777" w:rsidR="005503FA" w:rsidRPr="005503FA" w:rsidRDefault="005503FA" w:rsidP="005503FA">
      <w:pPr>
        <w:pStyle w:val="Bibliography"/>
        <w:rPr>
          <w:rFonts w:cs="Times New Roman"/>
        </w:rPr>
      </w:pPr>
      <w:r w:rsidRPr="005503FA">
        <w:rPr>
          <w:rFonts w:cs="Times New Roman"/>
        </w:rPr>
        <w:lastRenderedPageBreak/>
        <w:t xml:space="preserve">Hastie, T., </w:t>
      </w:r>
      <w:proofErr w:type="spellStart"/>
      <w:r w:rsidRPr="005503FA">
        <w:rPr>
          <w:rFonts w:cs="Times New Roman"/>
        </w:rPr>
        <w:t>Tibshirani</w:t>
      </w:r>
      <w:proofErr w:type="spellEnd"/>
      <w:r w:rsidRPr="005503FA">
        <w:rPr>
          <w:rFonts w:cs="Times New Roman"/>
        </w:rPr>
        <w:t xml:space="preserve">, R., &amp; Friedman, J. (2009). </w:t>
      </w:r>
      <w:r w:rsidRPr="005503FA">
        <w:rPr>
          <w:rFonts w:cs="Times New Roman"/>
          <w:i/>
          <w:iCs/>
        </w:rPr>
        <w:t>The elements of statistical learning: Data mining, inference, and prediction (Second ed.)</w:t>
      </w:r>
      <w:r w:rsidRPr="005503FA">
        <w:rPr>
          <w:rFonts w:cs="Times New Roman"/>
        </w:rPr>
        <w:t>. Springer New York. https://doi.org/10.1007/978-0-387-84858-7</w:t>
      </w:r>
    </w:p>
    <w:p w14:paraId="389488A4" w14:textId="77777777" w:rsidR="005503FA" w:rsidRPr="005503FA" w:rsidRDefault="005503FA" w:rsidP="005503FA">
      <w:pPr>
        <w:pStyle w:val="Bibliography"/>
        <w:rPr>
          <w:rFonts w:cs="Times New Roman"/>
        </w:rPr>
      </w:pPr>
      <w:r w:rsidRPr="005503FA">
        <w:rPr>
          <w:rFonts w:cs="Times New Roman"/>
        </w:rPr>
        <w:t xml:space="preserve">Kreps, D. M., Milgrom, P., Roberts, J., &amp; Wilson, R. (1982). Rational cooperation in the finitely repeated prisoners’ dilemma. </w:t>
      </w:r>
      <w:r w:rsidRPr="005503FA">
        <w:rPr>
          <w:rFonts w:cs="Times New Roman"/>
          <w:i/>
          <w:iCs/>
        </w:rPr>
        <w:t>Journal of Economic Theory</w:t>
      </w:r>
      <w:r w:rsidRPr="005503FA">
        <w:rPr>
          <w:rFonts w:cs="Times New Roman"/>
        </w:rPr>
        <w:t xml:space="preserve">, </w:t>
      </w:r>
      <w:r w:rsidRPr="005503FA">
        <w:rPr>
          <w:rFonts w:cs="Times New Roman"/>
          <w:i/>
          <w:iCs/>
        </w:rPr>
        <w:t>27</w:t>
      </w:r>
      <w:r w:rsidRPr="005503FA">
        <w:rPr>
          <w:rFonts w:cs="Times New Roman"/>
        </w:rPr>
        <w:t>(2), 245–252. https://doi.org/10.1016/0022-0531(82)90029-1</w:t>
      </w:r>
    </w:p>
    <w:p w14:paraId="76C92BD5" w14:textId="112D2B71" w:rsidR="00A44781" w:rsidRPr="00A44781" w:rsidRDefault="00A44781" w:rsidP="00A44781">
      <w:pPr>
        <w:pStyle w:val="Bibliography"/>
        <w:rPr>
          <w:rFonts w:cs="Times New Roman"/>
          <w:lang w:val="en-GB"/>
        </w:rPr>
      </w:pPr>
      <w:r w:rsidRPr="00A44781">
        <w:rPr>
          <w:rFonts w:cs="Times New Roman"/>
          <w:lang w:val="en-GB"/>
        </w:rPr>
        <w:t>Lipsey, M. W., &amp; Wilson, D. B. (2001). </w:t>
      </w:r>
      <w:r w:rsidRPr="00A44781">
        <w:rPr>
          <w:rFonts w:cs="Times New Roman"/>
          <w:i/>
          <w:iCs/>
          <w:lang w:val="en-GB"/>
        </w:rPr>
        <w:t>Practical meta-analysis.</w:t>
      </w:r>
      <w:r w:rsidRPr="00A44781">
        <w:rPr>
          <w:rFonts w:cs="Times New Roman"/>
          <w:lang w:val="en-GB"/>
        </w:rPr>
        <w:t> Sage Publications, Inc.</w:t>
      </w:r>
    </w:p>
    <w:p w14:paraId="354AC9CE" w14:textId="504B60B0" w:rsidR="005503FA" w:rsidRPr="005503FA" w:rsidRDefault="005503FA" w:rsidP="005503FA">
      <w:pPr>
        <w:pStyle w:val="Bibliography"/>
        <w:rPr>
          <w:rFonts w:cs="Times New Roman"/>
        </w:rPr>
      </w:pPr>
      <w:r w:rsidRPr="005503FA">
        <w:rPr>
          <w:rFonts w:cs="Times New Roman"/>
        </w:rPr>
        <w:t xml:space="preserve">Luce, R. D., &amp; </w:t>
      </w:r>
      <w:proofErr w:type="spellStart"/>
      <w:r w:rsidRPr="005503FA">
        <w:rPr>
          <w:rFonts w:cs="Times New Roman"/>
        </w:rPr>
        <w:t>Raiffa</w:t>
      </w:r>
      <w:proofErr w:type="spellEnd"/>
      <w:r w:rsidRPr="005503FA">
        <w:rPr>
          <w:rFonts w:cs="Times New Roman"/>
        </w:rPr>
        <w:t xml:space="preserve">, H. (1957). </w:t>
      </w:r>
      <w:r w:rsidRPr="005503FA">
        <w:rPr>
          <w:rFonts w:cs="Times New Roman"/>
          <w:i/>
          <w:iCs/>
        </w:rPr>
        <w:t>Games and decisions: Introduction and critical survey</w:t>
      </w:r>
      <w:r w:rsidRPr="005503FA">
        <w:rPr>
          <w:rFonts w:cs="Times New Roman"/>
        </w:rPr>
        <w:t>. John Wiley &amp; Sons.</w:t>
      </w:r>
    </w:p>
    <w:p w14:paraId="112CAF97" w14:textId="77777777" w:rsidR="005503FA" w:rsidRPr="005503FA" w:rsidRDefault="005503FA" w:rsidP="005503FA">
      <w:pPr>
        <w:pStyle w:val="Bibliography"/>
        <w:rPr>
          <w:rFonts w:cs="Times New Roman"/>
        </w:rPr>
      </w:pPr>
      <w:proofErr w:type="spellStart"/>
      <w:r w:rsidRPr="005503FA">
        <w:rPr>
          <w:rFonts w:cs="Times New Roman"/>
        </w:rPr>
        <w:t>Lugovskyy</w:t>
      </w:r>
      <w:proofErr w:type="spellEnd"/>
      <w:r w:rsidRPr="005503FA">
        <w:rPr>
          <w:rFonts w:cs="Times New Roman"/>
        </w:rPr>
        <w:t xml:space="preserve">, V., </w:t>
      </w:r>
      <w:proofErr w:type="spellStart"/>
      <w:r w:rsidRPr="005503FA">
        <w:rPr>
          <w:rFonts w:cs="Times New Roman"/>
        </w:rPr>
        <w:t>Puzzello</w:t>
      </w:r>
      <w:proofErr w:type="spellEnd"/>
      <w:r w:rsidRPr="005503FA">
        <w:rPr>
          <w:rFonts w:cs="Times New Roman"/>
        </w:rPr>
        <w:t xml:space="preserve">, D., Sorensen, A., Walker, J., &amp; Williams, A. (2017). An experimental study of finitely and infinitely repeated linear public goods games. </w:t>
      </w:r>
      <w:r w:rsidRPr="005503FA">
        <w:rPr>
          <w:rFonts w:cs="Times New Roman"/>
          <w:i/>
          <w:iCs/>
        </w:rPr>
        <w:t>Games and Economic Behavior</w:t>
      </w:r>
      <w:r w:rsidRPr="005503FA">
        <w:rPr>
          <w:rFonts w:cs="Times New Roman"/>
        </w:rPr>
        <w:t xml:space="preserve">, </w:t>
      </w:r>
      <w:r w:rsidRPr="005503FA">
        <w:rPr>
          <w:rFonts w:cs="Times New Roman"/>
          <w:i/>
          <w:iCs/>
        </w:rPr>
        <w:t>102</w:t>
      </w:r>
      <w:r w:rsidRPr="005503FA">
        <w:rPr>
          <w:rFonts w:cs="Times New Roman"/>
        </w:rPr>
        <w:t>, 286–302. https://doi.org/10.1016/j.geb.2017.01.004</w:t>
      </w:r>
    </w:p>
    <w:p w14:paraId="7A58FFD4" w14:textId="77777777" w:rsidR="005503FA" w:rsidRPr="005503FA" w:rsidRDefault="005503FA" w:rsidP="005503FA">
      <w:pPr>
        <w:pStyle w:val="Bibliography"/>
        <w:rPr>
          <w:rFonts w:cs="Times New Roman"/>
        </w:rPr>
      </w:pPr>
      <w:r w:rsidRPr="005503FA">
        <w:rPr>
          <w:rFonts w:cs="Times New Roman"/>
        </w:rPr>
        <w:t xml:space="preserve">Macaskill, P., Walter, S. D., &amp; </w:t>
      </w:r>
      <w:proofErr w:type="spellStart"/>
      <w:r w:rsidRPr="005503FA">
        <w:rPr>
          <w:rFonts w:cs="Times New Roman"/>
        </w:rPr>
        <w:t>Irwig</w:t>
      </w:r>
      <w:proofErr w:type="spellEnd"/>
      <w:r w:rsidRPr="005503FA">
        <w:rPr>
          <w:rFonts w:cs="Times New Roman"/>
        </w:rPr>
        <w:t xml:space="preserve">, L. (2001). A comparison of methods to detect publication bias in meta-analysis. </w:t>
      </w:r>
      <w:r w:rsidRPr="005503FA">
        <w:rPr>
          <w:rFonts w:cs="Times New Roman"/>
          <w:i/>
          <w:iCs/>
        </w:rPr>
        <w:t>Statistics in Medicine</w:t>
      </w:r>
      <w:r w:rsidRPr="005503FA">
        <w:rPr>
          <w:rFonts w:cs="Times New Roman"/>
        </w:rPr>
        <w:t xml:space="preserve">, </w:t>
      </w:r>
      <w:r w:rsidRPr="005503FA">
        <w:rPr>
          <w:rFonts w:cs="Times New Roman"/>
          <w:i/>
          <w:iCs/>
        </w:rPr>
        <w:t>20</w:t>
      </w:r>
      <w:r w:rsidRPr="005503FA">
        <w:rPr>
          <w:rFonts w:cs="Times New Roman"/>
        </w:rPr>
        <w:t>(4), 641–654. https://doi.org/10.1002/sim.698</w:t>
      </w:r>
    </w:p>
    <w:p w14:paraId="435B6F43" w14:textId="77777777" w:rsidR="005503FA" w:rsidRPr="005503FA" w:rsidRDefault="005503FA" w:rsidP="005503FA">
      <w:pPr>
        <w:pStyle w:val="Bibliography"/>
        <w:rPr>
          <w:rFonts w:cs="Times New Roman"/>
        </w:rPr>
      </w:pPr>
      <w:proofErr w:type="spellStart"/>
      <w:r w:rsidRPr="005503FA">
        <w:rPr>
          <w:rFonts w:cs="Times New Roman"/>
        </w:rPr>
        <w:t>Marwell</w:t>
      </w:r>
      <w:proofErr w:type="spellEnd"/>
      <w:r w:rsidRPr="005503FA">
        <w:rPr>
          <w:rFonts w:cs="Times New Roman"/>
        </w:rPr>
        <w:t xml:space="preserve">, G., &amp; Ames, R. E. (1981). Economists free ride, does anyone else?: Experiments on the provision of public goods, IV. </w:t>
      </w:r>
      <w:r w:rsidRPr="005503FA">
        <w:rPr>
          <w:rFonts w:cs="Times New Roman"/>
          <w:i/>
          <w:iCs/>
        </w:rPr>
        <w:t>Journal of Public Economics</w:t>
      </w:r>
      <w:r w:rsidRPr="005503FA">
        <w:rPr>
          <w:rFonts w:cs="Times New Roman"/>
        </w:rPr>
        <w:t xml:space="preserve">, </w:t>
      </w:r>
      <w:r w:rsidRPr="005503FA">
        <w:rPr>
          <w:rFonts w:cs="Times New Roman"/>
          <w:i/>
          <w:iCs/>
        </w:rPr>
        <w:t>15</w:t>
      </w:r>
      <w:r w:rsidRPr="005503FA">
        <w:rPr>
          <w:rFonts w:cs="Times New Roman"/>
        </w:rPr>
        <w:t>(3), 295–310. https://doi.org/10.1016/0047-2727(81)90013-X</w:t>
      </w:r>
    </w:p>
    <w:p w14:paraId="25C831F0" w14:textId="77777777" w:rsidR="005503FA" w:rsidRPr="005503FA" w:rsidRDefault="005503FA" w:rsidP="005503FA">
      <w:pPr>
        <w:pStyle w:val="Bibliography"/>
        <w:rPr>
          <w:rFonts w:cs="Times New Roman"/>
        </w:rPr>
      </w:pPr>
      <w:r w:rsidRPr="005503FA">
        <w:rPr>
          <w:rFonts w:cs="Times New Roman"/>
        </w:rPr>
        <w:t xml:space="preserve">Matsumoto, Y., Yamagishi, T., Li, Y., &amp; Kiyonari, T. (2016). Prosocial behavior increases with age across five economic games. </w:t>
      </w:r>
      <w:proofErr w:type="spellStart"/>
      <w:r w:rsidRPr="005503FA">
        <w:rPr>
          <w:rFonts w:cs="Times New Roman"/>
          <w:i/>
          <w:iCs/>
        </w:rPr>
        <w:t>PLoS</w:t>
      </w:r>
      <w:proofErr w:type="spellEnd"/>
      <w:r w:rsidRPr="005503FA">
        <w:rPr>
          <w:rFonts w:cs="Times New Roman"/>
          <w:i/>
          <w:iCs/>
        </w:rPr>
        <w:t xml:space="preserve"> ONE</w:t>
      </w:r>
      <w:r w:rsidRPr="005503FA">
        <w:rPr>
          <w:rFonts w:cs="Times New Roman"/>
        </w:rPr>
        <w:t xml:space="preserve">, </w:t>
      </w:r>
      <w:r w:rsidRPr="005503FA">
        <w:rPr>
          <w:rFonts w:cs="Times New Roman"/>
          <w:i/>
          <w:iCs/>
        </w:rPr>
        <w:t>11</w:t>
      </w:r>
      <w:r w:rsidRPr="005503FA">
        <w:rPr>
          <w:rFonts w:cs="Times New Roman"/>
        </w:rPr>
        <w:t>(7), e0158671. https://doi.org/10.1371/journal.pone.0158671</w:t>
      </w:r>
    </w:p>
    <w:p w14:paraId="0C307A70" w14:textId="77777777" w:rsidR="005503FA" w:rsidRPr="005503FA" w:rsidRDefault="005503FA" w:rsidP="005503FA">
      <w:pPr>
        <w:pStyle w:val="Bibliography"/>
        <w:rPr>
          <w:rFonts w:cs="Times New Roman"/>
        </w:rPr>
      </w:pPr>
      <w:r w:rsidRPr="005503FA">
        <w:rPr>
          <w:rFonts w:cs="Times New Roman"/>
        </w:rPr>
        <w:lastRenderedPageBreak/>
        <w:t xml:space="preserve">Morehous, L. G. (1966). One—Play, two—Play, five—Play, and ten-play runs of Prisoner’s Dilemma 1. </w:t>
      </w:r>
      <w:r w:rsidRPr="005503FA">
        <w:rPr>
          <w:rFonts w:cs="Times New Roman"/>
          <w:i/>
          <w:iCs/>
        </w:rPr>
        <w:t>Journal of Conflict Resolution</w:t>
      </w:r>
      <w:r w:rsidRPr="005503FA">
        <w:rPr>
          <w:rFonts w:cs="Times New Roman"/>
        </w:rPr>
        <w:t xml:space="preserve">, </w:t>
      </w:r>
      <w:r w:rsidRPr="005503FA">
        <w:rPr>
          <w:rFonts w:cs="Times New Roman"/>
          <w:i/>
          <w:iCs/>
        </w:rPr>
        <w:t>10</w:t>
      </w:r>
      <w:r w:rsidRPr="005503FA">
        <w:rPr>
          <w:rFonts w:cs="Times New Roman"/>
        </w:rPr>
        <w:t>(3), 354–362. https://doi.org/10.1177/002200276601000307</w:t>
      </w:r>
    </w:p>
    <w:p w14:paraId="3AD5E1A5" w14:textId="77777777" w:rsidR="005503FA" w:rsidRPr="005503FA" w:rsidRDefault="005503FA" w:rsidP="005503FA">
      <w:pPr>
        <w:pStyle w:val="Bibliography"/>
        <w:rPr>
          <w:rFonts w:cs="Times New Roman"/>
        </w:rPr>
      </w:pPr>
      <w:r w:rsidRPr="005503FA">
        <w:rPr>
          <w:rFonts w:cs="Times New Roman"/>
        </w:rPr>
        <w:t xml:space="preserve">Murnighan, J. K., &amp; Roth, A. E. (1983). Expecting continued play in Prisoner’s Dilemma Games: A test of several models. </w:t>
      </w:r>
      <w:r w:rsidRPr="005503FA">
        <w:rPr>
          <w:rFonts w:cs="Times New Roman"/>
          <w:i/>
          <w:iCs/>
        </w:rPr>
        <w:t>Journal of Conflict Resolution</w:t>
      </w:r>
      <w:r w:rsidRPr="005503FA">
        <w:rPr>
          <w:rFonts w:cs="Times New Roman"/>
        </w:rPr>
        <w:t xml:space="preserve">, </w:t>
      </w:r>
      <w:r w:rsidRPr="005503FA">
        <w:rPr>
          <w:rFonts w:cs="Times New Roman"/>
          <w:i/>
          <w:iCs/>
        </w:rPr>
        <w:t>27</w:t>
      </w:r>
      <w:r w:rsidRPr="005503FA">
        <w:rPr>
          <w:rFonts w:cs="Times New Roman"/>
        </w:rPr>
        <w:t>(2), 279–300. https://doi.org/10.1177/0022002783027002004</w:t>
      </w:r>
    </w:p>
    <w:p w14:paraId="3A3E514E" w14:textId="77777777" w:rsidR="005503FA" w:rsidRPr="005503FA" w:rsidRDefault="005503FA" w:rsidP="005503FA">
      <w:pPr>
        <w:pStyle w:val="Bibliography"/>
        <w:rPr>
          <w:rFonts w:cs="Times New Roman"/>
        </w:rPr>
      </w:pPr>
      <w:r w:rsidRPr="005503FA">
        <w:rPr>
          <w:rFonts w:cs="Times New Roman"/>
        </w:rPr>
        <w:t xml:space="preserve">Normann, H. T., &amp; Wallace, B. (2012). The impact of the termination rule on cooperation in a prisoner’s dilemma experiment. </w:t>
      </w:r>
      <w:r w:rsidRPr="005503FA">
        <w:rPr>
          <w:rFonts w:cs="Times New Roman"/>
          <w:i/>
          <w:iCs/>
        </w:rPr>
        <w:t>International Journal of Game Theory</w:t>
      </w:r>
      <w:r w:rsidRPr="005503FA">
        <w:rPr>
          <w:rFonts w:cs="Times New Roman"/>
        </w:rPr>
        <w:t xml:space="preserve">, </w:t>
      </w:r>
      <w:r w:rsidRPr="005503FA">
        <w:rPr>
          <w:rFonts w:cs="Times New Roman"/>
          <w:i/>
          <w:iCs/>
        </w:rPr>
        <w:t>41</w:t>
      </w:r>
      <w:r w:rsidRPr="005503FA">
        <w:rPr>
          <w:rFonts w:cs="Times New Roman"/>
        </w:rPr>
        <w:t>(3), 707–718. https://doi.org/10.1007/s00182-012-0341-y</w:t>
      </w:r>
    </w:p>
    <w:p w14:paraId="03C1F96D" w14:textId="77777777" w:rsidR="005503FA" w:rsidRPr="005503FA" w:rsidRDefault="005503FA" w:rsidP="005503FA">
      <w:pPr>
        <w:pStyle w:val="Bibliography"/>
        <w:rPr>
          <w:rFonts w:cs="Times New Roman"/>
        </w:rPr>
      </w:pPr>
      <w:r w:rsidRPr="005503FA">
        <w:rPr>
          <w:rFonts w:cs="Times New Roman"/>
        </w:rPr>
        <w:t xml:space="preserve">O’Brien, R. M. (2007). A caution regarding rules of thumb for variance inflation factors. </w:t>
      </w:r>
      <w:r w:rsidRPr="005503FA">
        <w:rPr>
          <w:rFonts w:cs="Times New Roman"/>
          <w:i/>
          <w:iCs/>
        </w:rPr>
        <w:t>Quality and Quantity</w:t>
      </w:r>
      <w:r w:rsidRPr="005503FA">
        <w:rPr>
          <w:rFonts w:cs="Times New Roman"/>
        </w:rPr>
        <w:t xml:space="preserve">, </w:t>
      </w:r>
      <w:r w:rsidRPr="005503FA">
        <w:rPr>
          <w:rFonts w:cs="Times New Roman"/>
          <w:i/>
          <w:iCs/>
        </w:rPr>
        <w:t>41</w:t>
      </w:r>
      <w:r w:rsidRPr="005503FA">
        <w:rPr>
          <w:rFonts w:cs="Times New Roman"/>
        </w:rPr>
        <w:t>(5), 673–690. https://doi.org/10.1007/s11135-006-9018-6</w:t>
      </w:r>
    </w:p>
    <w:p w14:paraId="438A8724" w14:textId="77777777" w:rsidR="005503FA" w:rsidRPr="005503FA" w:rsidRDefault="005503FA" w:rsidP="005503FA">
      <w:pPr>
        <w:pStyle w:val="Bibliography"/>
        <w:rPr>
          <w:rFonts w:cs="Times New Roman"/>
        </w:rPr>
      </w:pPr>
      <w:r w:rsidRPr="005503FA">
        <w:rPr>
          <w:rFonts w:cs="Times New Roman"/>
        </w:rPr>
        <w:t xml:space="preserve">Rodgers, M. A., &amp; Pustejovsky, J. E. (2021). Evaluating meta-analytic methods to detect selective reporting in the presence of dependent effect sizes. </w:t>
      </w:r>
      <w:r w:rsidRPr="005503FA">
        <w:rPr>
          <w:rFonts w:cs="Times New Roman"/>
          <w:i/>
          <w:iCs/>
        </w:rPr>
        <w:t>Psychological Methods</w:t>
      </w:r>
      <w:r w:rsidRPr="005503FA">
        <w:rPr>
          <w:rFonts w:cs="Times New Roman"/>
        </w:rPr>
        <w:t xml:space="preserve">, </w:t>
      </w:r>
      <w:r w:rsidRPr="005503FA">
        <w:rPr>
          <w:rFonts w:cs="Times New Roman"/>
          <w:i/>
          <w:iCs/>
        </w:rPr>
        <w:t>26</w:t>
      </w:r>
      <w:r w:rsidRPr="005503FA">
        <w:rPr>
          <w:rFonts w:cs="Times New Roman"/>
        </w:rPr>
        <w:t>(2), 141–160. https://doi.org/10.1037/met0000300</w:t>
      </w:r>
    </w:p>
    <w:p w14:paraId="346F40ED" w14:textId="77777777" w:rsidR="005503FA" w:rsidRPr="005503FA" w:rsidRDefault="005503FA" w:rsidP="005503FA">
      <w:pPr>
        <w:pStyle w:val="Bibliography"/>
        <w:rPr>
          <w:rFonts w:cs="Times New Roman"/>
          <w:lang w:val="de-DE"/>
        </w:rPr>
      </w:pPr>
      <w:r w:rsidRPr="005503FA">
        <w:rPr>
          <w:rFonts w:cs="Times New Roman"/>
        </w:rPr>
        <w:t xml:space="preserve">Romano, A., Bortolotti, S., Hofmann, W., </w:t>
      </w:r>
      <w:proofErr w:type="spellStart"/>
      <w:r w:rsidRPr="005503FA">
        <w:rPr>
          <w:rFonts w:cs="Times New Roman"/>
        </w:rPr>
        <w:t>Praxmarer</w:t>
      </w:r>
      <w:proofErr w:type="spellEnd"/>
      <w:r w:rsidRPr="005503FA">
        <w:rPr>
          <w:rFonts w:cs="Times New Roman"/>
        </w:rPr>
        <w:t xml:space="preserve">, M., &amp; Sutter, M. (2020). Generosity and cooperation across the life span: A lab-in-the-field study. </w:t>
      </w:r>
      <w:r w:rsidRPr="005503FA">
        <w:rPr>
          <w:rFonts w:cs="Times New Roman"/>
          <w:i/>
          <w:iCs/>
          <w:lang w:val="de-DE"/>
        </w:rPr>
        <w:t xml:space="preserve">Psychology and </w:t>
      </w:r>
      <w:proofErr w:type="spellStart"/>
      <w:r w:rsidRPr="005503FA">
        <w:rPr>
          <w:rFonts w:cs="Times New Roman"/>
          <w:i/>
          <w:iCs/>
          <w:lang w:val="de-DE"/>
        </w:rPr>
        <w:t>Aging</w:t>
      </w:r>
      <w:proofErr w:type="spellEnd"/>
      <w:r w:rsidRPr="005503FA">
        <w:rPr>
          <w:rFonts w:cs="Times New Roman"/>
          <w:lang w:val="de-DE"/>
        </w:rPr>
        <w:t>. http://hdl.handle.net/21.11116/0000-0005-A945-F</w:t>
      </w:r>
    </w:p>
    <w:p w14:paraId="2B1A9D90" w14:textId="77777777" w:rsidR="005503FA" w:rsidRPr="005503FA" w:rsidRDefault="005503FA" w:rsidP="005503FA">
      <w:pPr>
        <w:pStyle w:val="Bibliography"/>
        <w:rPr>
          <w:rFonts w:cs="Times New Roman"/>
        </w:rPr>
      </w:pPr>
      <w:r w:rsidRPr="005503FA">
        <w:rPr>
          <w:rFonts w:cs="Times New Roman"/>
          <w:lang w:val="de-DE"/>
        </w:rPr>
        <w:t xml:space="preserve">Rooney, P. M., Steinberg, K. S., &amp; </w:t>
      </w:r>
      <w:proofErr w:type="spellStart"/>
      <w:r w:rsidRPr="005503FA">
        <w:rPr>
          <w:rFonts w:cs="Times New Roman"/>
          <w:lang w:val="de-DE"/>
        </w:rPr>
        <w:t>Schervish</w:t>
      </w:r>
      <w:proofErr w:type="spellEnd"/>
      <w:r w:rsidRPr="005503FA">
        <w:rPr>
          <w:rFonts w:cs="Times New Roman"/>
          <w:lang w:val="de-DE"/>
        </w:rPr>
        <w:t xml:space="preserve">, P. G. (2001). </w:t>
      </w:r>
      <w:r w:rsidRPr="005503FA">
        <w:rPr>
          <w:rFonts w:cs="Times New Roman"/>
        </w:rPr>
        <w:t xml:space="preserve">A methodological comparison of giving surveys: Indiana as a test case. </w:t>
      </w:r>
      <w:r w:rsidRPr="005503FA">
        <w:rPr>
          <w:rFonts w:cs="Times New Roman"/>
          <w:i/>
          <w:iCs/>
        </w:rPr>
        <w:t>Nonprofit and Voluntary Sector Quarterly</w:t>
      </w:r>
      <w:r w:rsidRPr="005503FA">
        <w:rPr>
          <w:rFonts w:cs="Times New Roman"/>
        </w:rPr>
        <w:t xml:space="preserve">, </w:t>
      </w:r>
      <w:r w:rsidRPr="005503FA">
        <w:rPr>
          <w:rFonts w:cs="Times New Roman"/>
          <w:i/>
          <w:iCs/>
        </w:rPr>
        <w:t>30</w:t>
      </w:r>
      <w:r w:rsidRPr="005503FA">
        <w:rPr>
          <w:rFonts w:cs="Times New Roman"/>
        </w:rPr>
        <w:t>(3), 551–568. https://doi.org/10.1177/0899764001303011</w:t>
      </w:r>
    </w:p>
    <w:p w14:paraId="371B7282" w14:textId="77777777" w:rsidR="005503FA" w:rsidRPr="005503FA" w:rsidRDefault="005503FA" w:rsidP="005503FA">
      <w:pPr>
        <w:pStyle w:val="Bibliography"/>
        <w:rPr>
          <w:rFonts w:cs="Times New Roman"/>
        </w:rPr>
      </w:pPr>
      <w:r w:rsidRPr="005503FA">
        <w:rPr>
          <w:rFonts w:cs="Times New Roman"/>
        </w:rPr>
        <w:t xml:space="preserve">Snyder, M., &amp; Cantor, N. (1998). Understanding personality and social behavior: A functionalist strategy. In </w:t>
      </w:r>
      <w:r w:rsidRPr="005503FA">
        <w:rPr>
          <w:rFonts w:cs="Times New Roman"/>
          <w:i/>
          <w:iCs/>
        </w:rPr>
        <w:t>The handbook of social psychology, Vols. 1-2, 4th ed.</w:t>
      </w:r>
      <w:r w:rsidRPr="005503FA">
        <w:rPr>
          <w:rFonts w:cs="Times New Roman"/>
        </w:rPr>
        <w:t xml:space="preserve"> (pp. 635–679). McGraw-Hill.</w:t>
      </w:r>
    </w:p>
    <w:p w14:paraId="2FE91718" w14:textId="7D1763A4" w:rsidR="009E2703" w:rsidRDefault="009E2703" w:rsidP="009E2703">
      <w:pPr>
        <w:pStyle w:val="Bibliography"/>
        <w:rPr>
          <w:rFonts w:cs="Times New Roman"/>
        </w:rPr>
      </w:pPr>
      <w:bookmarkStart w:id="43" w:name="_Hlk160486938"/>
      <w:r w:rsidRPr="009E2703">
        <w:rPr>
          <w:rFonts w:cs="Times New Roman"/>
        </w:rPr>
        <w:lastRenderedPageBreak/>
        <w:t xml:space="preserve">Spadaro, G., Graf, C., Jin, S., Arai, S., Inoue, Y., Lieberman, E., </w:t>
      </w:r>
      <w:proofErr w:type="spellStart"/>
      <w:r w:rsidRPr="009E2703">
        <w:rPr>
          <w:rFonts w:cs="Times New Roman"/>
        </w:rPr>
        <w:t>Rinderu</w:t>
      </w:r>
      <w:proofErr w:type="spellEnd"/>
      <w:r w:rsidRPr="009E2703">
        <w:rPr>
          <w:rFonts w:cs="Times New Roman"/>
        </w:rPr>
        <w:t xml:space="preserve">, M. I., Yuan, M., Van Lissa, C., Balliet, D. (2022). Cross-cultural variation in cooperation: A meta-analysis. </w:t>
      </w:r>
      <w:r w:rsidRPr="009E2703">
        <w:rPr>
          <w:rFonts w:cs="Times New Roman"/>
          <w:i/>
          <w:iCs/>
        </w:rPr>
        <w:t>Journal of Personality and Social Psychology</w:t>
      </w:r>
      <w:r w:rsidRPr="009E2703">
        <w:rPr>
          <w:rFonts w:cs="Times New Roman"/>
        </w:rPr>
        <w:t>, 23(5), 1024–1088. https://doi.org/10.1037/pspi0000389</w:t>
      </w:r>
      <w:bookmarkEnd w:id="43"/>
    </w:p>
    <w:p w14:paraId="3304ACDC" w14:textId="08048182" w:rsidR="005503FA" w:rsidRPr="00E1011D" w:rsidRDefault="005503FA" w:rsidP="005503FA">
      <w:pPr>
        <w:pStyle w:val="Bibliography"/>
        <w:rPr>
          <w:rFonts w:cs="Times New Roman"/>
          <w:lang w:val="fr-FR"/>
        </w:rPr>
      </w:pPr>
      <w:r w:rsidRPr="005503FA">
        <w:rPr>
          <w:rFonts w:cs="Times New Roman"/>
        </w:rPr>
        <w:t xml:space="preserve">Spadaro, G., Tiddi, I., Columbus, S., Jin, S., Ten </w:t>
      </w:r>
      <w:proofErr w:type="spellStart"/>
      <w:r w:rsidRPr="005503FA">
        <w:rPr>
          <w:rFonts w:cs="Times New Roman"/>
        </w:rPr>
        <w:t>Teije</w:t>
      </w:r>
      <w:proofErr w:type="spellEnd"/>
      <w:r w:rsidRPr="005503FA">
        <w:rPr>
          <w:rFonts w:cs="Times New Roman"/>
        </w:rPr>
        <w:t xml:space="preserve">, A., </w:t>
      </w:r>
      <w:proofErr w:type="spellStart"/>
      <w:r w:rsidRPr="005503FA">
        <w:rPr>
          <w:rFonts w:cs="Times New Roman"/>
        </w:rPr>
        <w:t>CoDa</w:t>
      </w:r>
      <w:proofErr w:type="spellEnd"/>
      <w:r w:rsidRPr="005503FA">
        <w:rPr>
          <w:rFonts w:cs="Times New Roman"/>
        </w:rPr>
        <w:t xml:space="preserve"> Team, &amp; Balliet, D. (2022). The Cooperation Databank: Machine-readable science accelerates research synthesis. </w:t>
      </w:r>
      <w:r w:rsidRPr="00E1011D">
        <w:rPr>
          <w:rFonts w:cs="Times New Roman"/>
          <w:i/>
          <w:iCs/>
          <w:lang w:val="fr-FR"/>
        </w:rPr>
        <w:t xml:space="preserve">Perspectives on </w:t>
      </w:r>
      <w:proofErr w:type="spellStart"/>
      <w:r w:rsidRPr="00E1011D">
        <w:rPr>
          <w:rFonts w:cs="Times New Roman"/>
          <w:i/>
          <w:iCs/>
          <w:lang w:val="fr-FR"/>
        </w:rPr>
        <w:t>Psychological</w:t>
      </w:r>
      <w:proofErr w:type="spellEnd"/>
      <w:r w:rsidRPr="00E1011D">
        <w:rPr>
          <w:rFonts w:cs="Times New Roman"/>
          <w:i/>
          <w:iCs/>
          <w:lang w:val="fr-FR"/>
        </w:rPr>
        <w:t xml:space="preserve"> Science</w:t>
      </w:r>
      <w:r w:rsidRPr="00E1011D">
        <w:rPr>
          <w:rFonts w:cs="Times New Roman"/>
          <w:lang w:val="fr-FR"/>
        </w:rPr>
        <w:t xml:space="preserve">, </w:t>
      </w:r>
      <w:r w:rsidRPr="00E1011D">
        <w:rPr>
          <w:rFonts w:cs="Times New Roman"/>
          <w:i/>
          <w:iCs/>
          <w:lang w:val="fr-FR"/>
        </w:rPr>
        <w:t>17</w:t>
      </w:r>
      <w:r w:rsidRPr="00E1011D">
        <w:rPr>
          <w:rFonts w:cs="Times New Roman"/>
          <w:lang w:val="fr-FR"/>
        </w:rPr>
        <w:t>(5), 1472–1489. https://doi.org/10.1177/17456916211053319</w:t>
      </w:r>
    </w:p>
    <w:p w14:paraId="55684046" w14:textId="77777777" w:rsidR="005503FA" w:rsidRPr="005503FA" w:rsidRDefault="005503FA" w:rsidP="005503FA">
      <w:pPr>
        <w:pStyle w:val="Bibliography"/>
        <w:rPr>
          <w:rFonts w:cs="Times New Roman"/>
        </w:rPr>
      </w:pPr>
      <w:proofErr w:type="spellStart"/>
      <w:r w:rsidRPr="00E1011D">
        <w:rPr>
          <w:rFonts w:cs="Times New Roman"/>
          <w:lang w:val="fr-FR"/>
        </w:rPr>
        <w:t>Stekhoven</w:t>
      </w:r>
      <w:proofErr w:type="spellEnd"/>
      <w:r w:rsidRPr="00E1011D">
        <w:rPr>
          <w:rFonts w:cs="Times New Roman"/>
          <w:lang w:val="fr-FR"/>
        </w:rPr>
        <w:t xml:space="preserve">, D. J., &amp; </w:t>
      </w:r>
      <w:proofErr w:type="spellStart"/>
      <w:r w:rsidRPr="00E1011D">
        <w:rPr>
          <w:rFonts w:cs="Times New Roman"/>
          <w:lang w:val="fr-FR"/>
        </w:rPr>
        <w:t>Bühlmann</w:t>
      </w:r>
      <w:proofErr w:type="spellEnd"/>
      <w:r w:rsidRPr="00E1011D">
        <w:rPr>
          <w:rFonts w:cs="Times New Roman"/>
          <w:lang w:val="fr-FR"/>
        </w:rPr>
        <w:t xml:space="preserve">, P. (2012). </w:t>
      </w:r>
      <w:proofErr w:type="spellStart"/>
      <w:r w:rsidRPr="005503FA">
        <w:rPr>
          <w:rFonts w:cs="Times New Roman"/>
        </w:rPr>
        <w:t>MissForest</w:t>
      </w:r>
      <w:proofErr w:type="spellEnd"/>
      <w:r w:rsidRPr="005503FA">
        <w:rPr>
          <w:rFonts w:cs="Times New Roman"/>
        </w:rPr>
        <w:t xml:space="preserve">—Non-parametric missing value imputation for mixed-type data. </w:t>
      </w:r>
      <w:r w:rsidRPr="005503FA">
        <w:rPr>
          <w:rFonts w:cs="Times New Roman"/>
          <w:i/>
          <w:iCs/>
        </w:rPr>
        <w:t>Bioinformatics</w:t>
      </w:r>
      <w:r w:rsidRPr="005503FA">
        <w:rPr>
          <w:rFonts w:cs="Times New Roman"/>
        </w:rPr>
        <w:t xml:space="preserve">, </w:t>
      </w:r>
      <w:r w:rsidRPr="005503FA">
        <w:rPr>
          <w:rFonts w:cs="Times New Roman"/>
          <w:i/>
          <w:iCs/>
        </w:rPr>
        <w:t>28</w:t>
      </w:r>
      <w:r w:rsidRPr="005503FA">
        <w:rPr>
          <w:rFonts w:cs="Times New Roman"/>
        </w:rPr>
        <w:t>(1), 112–118. https://doi.org/10.1093/bioinformatics/btr597</w:t>
      </w:r>
    </w:p>
    <w:p w14:paraId="1B769ACB" w14:textId="77777777" w:rsidR="005503FA" w:rsidRPr="0034610C" w:rsidRDefault="005503FA" w:rsidP="005503FA">
      <w:pPr>
        <w:pStyle w:val="Bibliography"/>
        <w:rPr>
          <w:rFonts w:cs="Times New Roman"/>
        </w:rPr>
      </w:pPr>
      <w:r w:rsidRPr="005503FA">
        <w:rPr>
          <w:rFonts w:cs="Times New Roman"/>
        </w:rPr>
        <w:t xml:space="preserve">Sze, J. A., </w:t>
      </w:r>
      <w:proofErr w:type="spellStart"/>
      <w:r w:rsidRPr="005503FA">
        <w:rPr>
          <w:rFonts w:cs="Times New Roman"/>
        </w:rPr>
        <w:t>Gyurak</w:t>
      </w:r>
      <w:proofErr w:type="spellEnd"/>
      <w:r w:rsidRPr="005503FA">
        <w:rPr>
          <w:rFonts w:cs="Times New Roman"/>
        </w:rPr>
        <w:t xml:space="preserve">, A., Goodkind, M. S., &amp; Levenson, R. W. (2012). Greater emotional empathy and prosocial behavior in late life. </w:t>
      </w:r>
      <w:r w:rsidRPr="0034610C">
        <w:rPr>
          <w:rFonts w:cs="Times New Roman"/>
          <w:i/>
          <w:iCs/>
        </w:rPr>
        <w:t>Emotion</w:t>
      </w:r>
      <w:r w:rsidRPr="0034610C">
        <w:rPr>
          <w:rFonts w:cs="Times New Roman"/>
        </w:rPr>
        <w:t xml:space="preserve">, </w:t>
      </w:r>
      <w:r w:rsidRPr="0034610C">
        <w:rPr>
          <w:rFonts w:cs="Times New Roman"/>
          <w:i/>
          <w:iCs/>
        </w:rPr>
        <w:t>12</w:t>
      </w:r>
      <w:r w:rsidRPr="0034610C">
        <w:rPr>
          <w:rFonts w:cs="Times New Roman"/>
        </w:rPr>
        <w:t>(5), 1129–1140. https://doi.org/10.1037/a0025011</w:t>
      </w:r>
    </w:p>
    <w:p w14:paraId="301D1DA9" w14:textId="77777777" w:rsidR="005503FA" w:rsidRPr="005503FA" w:rsidRDefault="005503FA" w:rsidP="005503FA">
      <w:pPr>
        <w:pStyle w:val="Bibliography"/>
        <w:rPr>
          <w:rFonts w:cs="Times New Roman"/>
        </w:rPr>
      </w:pPr>
      <w:r w:rsidRPr="0034610C">
        <w:rPr>
          <w:rFonts w:cs="Times New Roman"/>
        </w:rPr>
        <w:t xml:space="preserve">Van Lange, P. A. M., De Bruin, E. M. N., Otten, W., &amp; </w:t>
      </w:r>
      <w:proofErr w:type="spellStart"/>
      <w:r w:rsidRPr="0034610C">
        <w:rPr>
          <w:rFonts w:cs="Times New Roman"/>
        </w:rPr>
        <w:t>Joireman</w:t>
      </w:r>
      <w:proofErr w:type="spellEnd"/>
      <w:r w:rsidRPr="0034610C">
        <w:rPr>
          <w:rFonts w:cs="Times New Roman"/>
        </w:rPr>
        <w:t xml:space="preserve">, J. A. (1997). </w:t>
      </w:r>
      <w:r w:rsidRPr="005503FA">
        <w:rPr>
          <w:rFonts w:cs="Times New Roman"/>
        </w:rPr>
        <w:t xml:space="preserve">Development of prosocial, individualistic, and competitive orientations: Theory and preliminary evidence. </w:t>
      </w:r>
      <w:r w:rsidRPr="005503FA">
        <w:rPr>
          <w:rFonts w:cs="Times New Roman"/>
          <w:i/>
          <w:iCs/>
        </w:rPr>
        <w:t>Journal of Personality and Social Psychology</w:t>
      </w:r>
      <w:r w:rsidRPr="005503FA">
        <w:rPr>
          <w:rFonts w:cs="Times New Roman"/>
        </w:rPr>
        <w:t xml:space="preserve">, </w:t>
      </w:r>
      <w:r w:rsidRPr="005503FA">
        <w:rPr>
          <w:rFonts w:cs="Times New Roman"/>
          <w:i/>
          <w:iCs/>
        </w:rPr>
        <w:t>73</w:t>
      </w:r>
      <w:r w:rsidRPr="005503FA">
        <w:rPr>
          <w:rFonts w:cs="Times New Roman"/>
        </w:rPr>
        <w:t>(4), 733–746. https://doi.org/10.1037/0022-3514.73.4.733</w:t>
      </w:r>
    </w:p>
    <w:p w14:paraId="6807B3E9" w14:textId="77777777" w:rsidR="005503FA" w:rsidRPr="005503FA" w:rsidRDefault="005503FA" w:rsidP="005503FA">
      <w:pPr>
        <w:pStyle w:val="Bibliography"/>
        <w:rPr>
          <w:rFonts w:cs="Times New Roman"/>
        </w:rPr>
      </w:pPr>
      <w:r w:rsidRPr="005503FA">
        <w:rPr>
          <w:rFonts w:cs="Times New Roman"/>
        </w:rPr>
        <w:t xml:space="preserve">Van Lange, P. A. M., Schippers, M., &amp; Balliet, D. (2011). Who volunteers in psychology experiments? An empirical review of prosocial motivation in volunteering. </w:t>
      </w:r>
      <w:r w:rsidRPr="005503FA">
        <w:rPr>
          <w:rFonts w:cs="Times New Roman"/>
          <w:i/>
          <w:iCs/>
        </w:rPr>
        <w:t>Personality and Individual Differences</w:t>
      </w:r>
      <w:r w:rsidRPr="005503FA">
        <w:rPr>
          <w:rFonts w:cs="Times New Roman"/>
        </w:rPr>
        <w:t xml:space="preserve">, </w:t>
      </w:r>
      <w:r w:rsidRPr="005503FA">
        <w:rPr>
          <w:rFonts w:cs="Times New Roman"/>
          <w:i/>
          <w:iCs/>
        </w:rPr>
        <w:t>51</w:t>
      </w:r>
      <w:r w:rsidRPr="005503FA">
        <w:rPr>
          <w:rFonts w:cs="Times New Roman"/>
        </w:rPr>
        <w:t>(3), 279–284. https://doi.org/10.1016/j.paid.2010.05.038</w:t>
      </w:r>
    </w:p>
    <w:p w14:paraId="0A8DD17B" w14:textId="77777777" w:rsidR="005503FA" w:rsidRPr="005503FA" w:rsidRDefault="005503FA" w:rsidP="005503FA">
      <w:pPr>
        <w:pStyle w:val="Bibliography"/>
        <w:rPr>
          <w:rFonts w:cs="Times New Roman"/>
        </w:rPr>
      </w:pPr>
      <w:r w:rsidRPr="005503FA">
        <w:rPr>
          <w:rFonts w:cs="Times New Roman"/>
        </w:rPr>
        <w:t xml:space="preserve">Van Lissa, C. J. (2017). </w:t>
      </w:r>
      <w:proofErr w:type="spellStart"/>
      <w:r w:rsidRPr="005503FA">
        <w:rPr>
          <w:rFonts w:cs="Times New Roman"/>
        </w:rPr>
        <w:t>MetaForest</w:t>
      </w:r>
      <w:proofErr w:type="spellEnd"/>
      <w:r w:rsidRPr="005503FA">
        <w:rPr>
          <w:rFonts w:cs="Times New Roman"/>
        </w:rPr>
        <w:t xml:space="preserve">: Exploring heterogeneity in meta-analysis using random forests. </w:t>
      </w:r>
      <w:proofErr w:type="spellStart"/>
      <w:r w:rsidRPr="005503FA">
        <w:rPr>
          <w:rFonts w:cs="Times New Roman"/>
          <w:i/>
          <w:iCs/>
        </w:rPr>
        <w:t>Arxiv</w:t>
      </w:r>
      <w:proofErr w:type="spellEnd"/>
      <w:r w:rsidRPr="005503FA">
        <w:rPr>
          <w:rFonts w:cs="Times New Roman"/>
        </w:rPr>
        <w:t>, 1–60.</w:t>
      </w:r>
    </w:p>
    <w:p w14:paraId="7DAA1B5F" w14:textId="77777777" w:rsidR="005503FA" w:rsidRPr="005503FA" w:rsidRDefault="005503FA" w:rsidP="005503FA">
      <w:pPr>
        <w:pStyle w:val="Bibliography"/>
        <w:rPr>
          <w:rFonts w:cs="Times New Roman"/>
        </w:rPr>
      </w:pPr>
      <w:r w:rsidRPr="005503FA">
        <w:rPr>
          <w:rFonts w:cs="Times New Roman"/>
        </w:rPr>
        <w:lastRenderedPageBreak/>
        <w:t xml:space="preserve">Van Lissa, C. J. (2020). Small sample meta-analyses: Exploring heterogeneity using </w:t>
      </w:r>
      <w:proofErr w:type="spellStart"/>
      <w:r w:rsidRPr="005503FA">
        <w:rPr>
          <w:rFonts w:cs="Times New Roman"/>
        </w:rPr>
        <w:t>MetaForest</w:t>
      </w:r>
      <w:proofErr w:type="spellEnd"/>
      <w:r w:rsidRPr="005503FA">
        <w:rPr>
          <w:rFonts w:cs="Times New Roman"/>
        </w:rPr>
        <w:t xml:space="preserve">. In R. Van de </w:t>
      </w:r>
      <w:proofErr w:type="spellStart"/>
      <w:r w:rsidRPr="005503FA">
        <w:rPr>
          <w:rFonts w:cs="Times New Roman"/>
        </w:rPr>
        <w:t>Schoot</w:t>
      </w:r>
      <w:proofErr w:type="spellEnd"/>
      <w:r w:rsidRPr="005503FA">
        <w:rPr>
          <w:rFonts w:cs="Times New Roman"/>
        </w:rPr>
        <w:t xml:space="preserve"> &amp; M. </w:t>
      </w:r>
      <w:proofErr w:type="spellStart"/>
      <w:r w:rsidRPr="005503FA">
        <w:rPr>
          <w:rFonts w:cs="Times New Roman"/>
        </w:rPr>
        <w:t>Miočević</w:t>
      </w:r>
      <w:proofErr w:type="spellEnd"/>
      <w:r w:rsidRPr="005503FA">
        <w:rPr>
          <w:rFonts w:cs="Times New Roman"/>
        </w:rPr>
        <w:t xml:space="preserve"> (Eds.), </w:t>
      </w:r>
      <w:r w:rsidRPr="005503FA">
        <w:rPr>
          <w:rFonts w:cs="Times New Roman"/>
          <w:i/>
          <w:iCs/>
        </w:rPr>
        <w:t>Small Sample Size Solutions: A Guide for Applied Researchers and Practitioners</w:t>
      </w:r>
      <w:r w:rsidRPr="005503FA">
        <w:rPr>
          <w:rFonts w:cs="Times New Roman"/>
        </w:rPr>
        <w:t xml:space="preserve"> (pp. 186–202). CRC Press. https://www.crcpress.com/Small-Sample-Size-Solutions-Open-Access-A-Guide-for-Applied-Researchers/Schoot-Miocevic/p/book/9780367222222</w:t>
      </w:r>
    </w:p>
    <w:p w14:paraId="01E8F47E" w14:textId="77777777" w:rsidR="005503FA" w:rsidRPr="00E1011D" w:rsidRDefault="005503FA" w:rsidP="005503FA">
      <w:pPr>
        <w:pStyle w:val="Bibliography"/>
        <w:rPr>
          <w:rFonts w:cs="Times New Roman"/>
        </w:rPr>
      </w:pPr>
      <w:proofErr w:type="spellStart"/>
      <w:r w:rsidRPr="005503FA">
        <w:rPr>
          <w:rFonts w:cs="Times New Roman"/>
          <w:lang w:val="de-DE"/>
        </w:rPr>
        <w:t>Yezer</w:t>
      </w:r>
      <w:proofErr w:type="spellEnd"/>
      <w:r w:rsidRPr="005503FA">
        <w:rPr>
          <w:rFonts w:cs="Times New Roman"/>
          <w:lang w:val="de-DE"/>
        </w:rPr>
        <w:t xml:space="preserve">, A. M., </w:t>
      </w:r>
      <w:proofErr w:type="spellStart"/>
      <w:r w:rsidRPr="005503FA">
        <w:rPr>
          <w:rFonts w:cs="Times New Roman"/>
          <w:lang w:val="de-DE"/>
        </w:rPr>
        <w:t>Goldfarb</w:t>
      </w:r>
      <w:proofErr w:type="spellEnd"/>
      <w:r w:rsidRPr="005503FA">
        <w:rPr>
          <w:rFonts w:cs="Times New Roman"/>
          <w:lang w:val="de-DE"/>
        </w:rPr>
        <w:t xml:space="preserve">, R. S., &amp; Poppen, P. J. (1996). </w:t>
      </w:r>
      <w:r w:rsidRPr="005503FA">
        <w:rPr>
          <w:rFonts w:cs="Times New Roman"/>
        </w:rPr>
        <w:t xml:space="preserve">Does studying economics discourage cooperation? Watch what we do, not what we say or how we play. </w:t>
      </w:r>
      <w:r w:rsidRPr="00E1011D">
        <w:rPr>
          <w:rFonts w:cs="Times New Roman"/>
          <w:i/>
          <w:iCs/>
        </w:rPr>
        <w:t>Journal of Economic Perspectives</w:t>
      </w:r>
      <w:r w:rsidRPr="00E1011D">
        <w:rPr>
          <w:rFonts w:cs="Times New Roman"/>
        </w:rPr>
        <w:t xml:space="preserve">, </w:t>
      </w:r>
      <w:r w:rsidRPr="00E1011D">
        <w:rPr>
          <w:rFonts w:cs="Times New Roman"/>
          <w:i/>
          <w:iCs/>
        </w:rPr>
        <w:t>10</w:t>
      </w:r>
      <w:r w:rsidRPr="00E1011D">
        <w:rPr>
          <w:rFonts w:cs="Times New Roman"/>
        </w:rPr>
        <w:t>(1), 177–186. https://doi.org/10.1257/jep.10.1.177</w:t>
      </w:r>
    </w:p>
    <w:p w14:paraId="2ABC8054" w14:textId="77777777" w:rsidR="005503FA" w:rsidRPr="00E1011D" w:rsidRDefault="005503FA" w:rsidP="005503FA">
      <w:pPr>
        <w:pStyle w:val="Bibliography"/>
        <w:rPr>
          <w:rFonts w:cs="Times New Roman"/>
          <w:lang w:val="nl-NL"/>
        </w:rPr>
      </w:pPr>
      <w:r w:rsidRPr="00E1011D">
        <w:rPr>
          <w:rFonts w:cs="Times New Roman"/>
        </w:rPr>
        <w:t xml:space="preserve">Yuan, M., Spadaro, G., Jin, S., Wu, J., Kou, Y., Van Lange, P. A. M., &amp; Balliet, D. (2022). </w:t>
      </w:r>
      <w:r w:rsidRPr="005503FA">
        <w:rPr>
          <w:rFonts w:cs="Times New Roman"/>
        </w:rPr>
        <w:t xml:space="preserve">Did cooperation among strangers decline in the United States? A cross-temporal meta-analysis of social dilemmas (1956–2017). </w:t>
      </w:r>
      <w:proofErr w:type="spellStart"/>
      <w:r w:rsidRPr="00E1011D">
        <w:rPr>
          <w:rFonts w:cs="Times New Roman"/>
          <w:i/>
          <w:iCs/>
          <w:lang w:val="nl-NL"/>
        </w:rPr>
        <w:t>Psychological</w:t>
      </w:r>
      <w:proofErr w:type="spellEnd"/>
      <w:r w:rsidRPr="00E1011D">
        <w:rPr>
          <w:rFonts w:cs="Times New Roman"/>
          <w:i/>
          <w:iCs/>
          <w:lang w:val="nl-NL"/>
        </w:rPr>
        <w:t xml:space="preserve"> Bulletin</w:t>
      </w:r>
      <w:r w:rsidRPr="00E1011D">
        <w:rPr>
          <w:rFonts w:cs="Times New Roman"/>
          <w:lang w:val="nl-NL"/>
        </w:rPr>
        <w:t xml:space="preserve">, </w:t>
      </w:r>
      <w:r w:rsidRPr="00E1011D">
        <w:rPr>
          <w:rFonts w:cs="Times New Roman"/>
          <w:i/>
          <w:iCs/>
          <w:lang w:val="nl-NL"/>
        </w:rPr>
        <w:t>148</w:t>
      </w:r>
      <w:r w:rsidRPr="00E1011D">
        <w:rPr>
          <w:rFonts w:cs="Times New Roman"/>
          <w:lang w:val="nl-NL"/>
        </w:rPr>
        <w:t>(3–4), 129–157. https://doi.org/10.1037/bul0000363</w:t>
      </w:r>
    </w:p>
    <w:bookmarkEnd w:id="42"/>
    <w:p w14:paraId="45A154E7" w14:textId="77777777" w:rsidR="003E2766" w:rsidRPr="003E2766" w:rsidRDefault="003E2766" w:rsidP="003E2766">
      <w:pPr>
        <w:pStyle w:val="Bibliography"/>
        <w:rPr>
          <w:rFonts w:cs="Times New Roman"/>
          <w:lang w:val="en-GB"/>
        </w:rPr>
      </w:pPr>
      <w:r w:rsidRPr="003E2766">
        <w:rPr>
          <w:rFonts w:cs="Times New Roman"/>
          <w:lang w:val="nl-NL"/>
        </w:rPr>
        <w:t xml:space="preserve">Yuan, M., Wu, J., Jin, S., Lin, J., Kou, Y., &amp; Van Lange, P. A. M. (2024). </w:t>
      </w:r>
      <w:proofErr w:type="spellStart"/>
      <w:r w:rsidRPr="003E2766">
        <w:rPr>
          <w:rFonts w:cs="Times New Roman"/>
          <w:lang w:val="nl-NL"/>
        </w:rPr>
        <w:t>Zhongguo</w:t>
      </w:r>
      <w:proofErr w:type="spellEnd"/>
      <w:r w:rsidRPr="003E2766">
        <w:rPr>
          <w:rFonts w:cs="Times New Roman"/>
          <w:lang w:val="nl-NL"/>
        </w:rPr>
        <w:t xml:space="preserve"> </w:t>
      </w:r>
      <w:proofErr w:type="spellStart"/>
      <w:r w:rsidRPr="003E2766">
        <w:rPr>
          <w:rFonts w:cs="Times New Roman"/>
          <w:lang w:val="nl-NL"/>
        </w:rPr>
        <w:t>shehui</w:t>
      </w:r>
      <w:proofErr w:type="spellEnd"/>
      <w:r w:rsidRPr="003E2766">
        <w:rPr>
          <w:rFonts w:cs="Times New Roman"/>
          <w:lang w:val="nl-NL"/>
        </w:rPr>
        <w:t xml:space="preserve"> </w:t>
      </w:r>
      <w:proofErr w:type="spellStart"/>
      <w:r w:rsidRPr="003E2766">
        <w:rPr>
          <w:rFonts w:cs="Times New Roman"/>
          <w:lang w:val="nl-NL"/>
        </w:rPr>
        <w:t>moshengren</w:t>
      </w:r>
      <w:proofErr w:type="spellEnd"/>
      <w:r w:rsidRPr="003E2766">
        <w:rPr>
          <w:rFonts w:cs="Times New Roman"/>
          <w:lang w:val="nl-NL"/>
        </w:rPr>
        <w:t xml:space="preserve"> </w:t>
      </w:r>
      <w:proofErr w:type="spellStart"/>
      <w:r w:rsidRPr="003E2766">
        <w:rPr>
          <w:rFonts w:cs="Times New Roman"/>
          <w:lang w:val="nl-NL"/>
        </w:rPr>
        <w:t>zhijian</w:t>
      </w:r>
      <w:proofErr w:type="spellEnd"/>
      <w:r w:rsidRPr="003E2766">
        <w:rPr>
          <w:rFonts w:cs="Times New Roman"/>
          <w:lang w:val="nl-NL"/>
        </w:rPr>
        <w:t xml:space="preserve"> </w:t>
      </w:r>
      <w:proofErr w:type="spellStart"/>
      <w:r w:rsidRPr="003E2766">
        <w:rPr>
          <w:rFonts w:cs="Times New Roman"/>
          <w:lang w:val="nl-NL"/>
        </w:rPr>
        <w:t>hezuo</w:t>
      </w:r>
      <w:proofErr w:type="spellEnd"/>
      <w:r w:rsidRPr="003E2766">
        <w:rPr>
          <w:rFonts w:cs="Times New Roman"/>
          <w:lang w:val="nl-NL"/>
        </w:rPr>
        <w:t xml:space="preserve"> </w:t>
      </w:r>
      <w:proofErr w:type="spellStart"/>
      <w:r w:rsidRPr="003E2766">
        <w:rPr>
          <w:rFonts w:cs="Times New Roman"/>
          <w:lang w:val="nl-NL"/>
        </w:rPr>
        <w:t>xingwei</w:t>
      </w:r>
      <w:proofErr w:type="spellEnd"/>
      <w:r w:rsidRPr="003E2766">
        <w:rPr>
          <w:rFonts w:cs="Times New Roman"/>
          <w:lang w:val="nl-NL"/>
        </w:rPr>
        <w:t xml:space="preserve"> de </w:t>
      </w:r>
      <w:proofErr w:type="spellStart"/>
      <w:r w:rsidRPr="003E2766">
        <w:rPr>
          <w:rFonts w:cs="Times New Roman"/>
          <w:lang w:val="nl-NL"/>
        </w:rPr>
        <w:t>bianqian</w:t>
      </w:r>
      <w:proofErr w:type="spellEnd"/>
      <w:r w:rsidRPr="003E2766">
        <w:rPr>
          <w:rFonts w:cs="Times New Roman"/>
          <w:lang w:val="nl-NL"/>
        </w:rPr>
        <w:t xml:space="preserve">: </w:t>
      </w:r>
      <w:proofErr w:type="spellStart"/>
      <w:r w:rsidRPr="003E2766">
        <w:rPr>
          <w:rFonts w:cs="Times New Roman"/>
          <w:lang w:val="nl-NL"/>
        </w:rPr>
        <w:t>Jiyu</w:t>
      </w:r>
      <w:proofErr w:type="spellEnd"/>
      <w:r w:rsidRPr="003E2766">
        <w:rPr>
          <w:rFonts w:cs="Times New Roman"/>
          <w:lang w:val="nl-NL"/>
        </w:rPr>
        <w:t xml:space="preserve"> </w:t>
      </w:r>
      <w:proofErr w:type="spellStart"/>
      <w:r w:rsidRPr="003E2766">
        <w:rPr>
          <w:rFonts w:cs="Times New Roman"/>
          <w:lang w:val="nl-NL"/>
        </w:rPr>
        <w:t>shehui</w:t>
      </w:r>
      <w:proofErr w:type="spellEnd"/>
      <w:r w:rsidRPr="003E2766">
        <w:rPr>
          <w:rFonts w:cs="Times New Roman"/>
          <w:lang w:val="nl-NL"/>
        </w:rPr>
        <w:t xml:space="preserve"> </w:t>
      </w:r>
      <w:proofErr w:type="spellStart"/>
      <w:r w:rsidRPr="003E2766">
        <w:rPr>
          <w:rFonts w:cs="Times New Roman"/>
          <w:lang w:val="nl-NL"/>
        </w:rPr>
        <w:t>kunjing</w:t>
      </w:r>
      <w:proofErr w:type="spellEnd"/>
      <w:r w:rsidRPr="003E2766">
        <w:rPr>
          <w:rFonts w:cs="Times New Roman"/>
          <w:lang w:val="nl-NL"/>
        </w:rPr>
        <w:t xml:space="preserve"> </w:t>
      </w:r>
      <w:proofErr w:type="spellStart"/>
      <w:r w:rsidRPr="003E2766">
        <w:rPr>
          <w:rFonts w:cs="Times New Roman"/>
          <w:lang w:val="nl-NL"/>
        </w:rPr>
        <w:t>yanjiu</w:t>
      </w:r>
      <w:proofErr w:type="spellEnd"/>
      <w:r w:rsidRPr="003E2766">
        <w:rPr>
          <w:rFonts w:cs="Times New Roman"/>
          <w:lang w:val="nl-NL"/>
        </w:rPr>
        <w:t xml:space="preserve"> de </w:t>
      </w:r>
      <w:proofErr w:type="spellStart"/>
      <w:r w:rsidRPr="003E2766">
        <w:rPr>
          <w:rFonts w:cs="Times New Roman"/>
          <w:lang w:val="nl-NL"/>
        </w:rPr>
        <w:t>yuanfenxi</w:t>
      </w:r>
      <w:proofErr w:type="spellEnd"/>
      <w:r w:rsidRPr="003E2766">
        <w:rPr>
          <w:rFonts w:cs="Times New Roman"/>
          <w:lang w:val="nl-NL"/>
        </w:rPr>
        <w:t xml:space="preserve"> (1999-2019) [The changes in cooperation </w:t>
      </w:r>
      <w:proofErr w:type="spellStart"/>
      <w:r w:rsidRPr="003E2766">
        <w:rPr>
          <w:rFonts w:cs="Times New Roman"/>
          <w:lang w:val="nl-NL"/>
        </w:rPr>
        <w:t>among</w:t>
      </w:r>
      <w:proofErr w:type="spellEnd"/>
      <w:r w:rsidRPr="003E2766">
        <w:rPr>
          <w:rFonts w:cs="Times New Roman"/>
          <w:lang w:val="nl-NL"/>
        </w:rPr>
        <w:t xml:space="preserve"> </w:t>
      </w:r>
      <w:proofErr w:type="spellStart"/>
      <w:r w:rsidRPr="003E2766">
        <w:rPr>
          <w:rFonts w:cs="Times New Roman"/>
          <w:lang w:val="nl-NL"/>
        </w:rPr>
        <w:t>strangers</w:t>
      </w:r>
      <w:proofErr w:type="spellEnd"/>
      <w:r w:rsidRPr="003E2766">
        <w:rPr>
          <w:rFonts w:cs="Times New Roman"/>
          <w:lang w:val="nl-NL"/>
        </w:rPr>
        <w:t xml:space="preserve"> in China: A </w:t>
      </w:r>
      <w:r w:rsidRPr="003E2766">
        <w:rPr>
          <w:rFonts w:cs="Times New Roman" w:hint="eastAsia"/>
          <w:lang w:val="nl-NL"/>
        </w:rPr>
        <w:t>c</w:t>
      </w:r>
      <w:r w:rsidRPr="003E2766">
        <w:rPr>
          <w:rFonts w:cs="Times New Roman"/>
          <w:lang w:val="nl-NL"/>
        </w:rPr>
        <w:t>ross-</w:t>
      </w:r>
      <w:proofErr w:type="spellStart"/>
      <w:r w:rsidRPr="003E2766">
        <w:rPr>
          <w:rFonts w:cs="Times New Roman" w:hint="eastAsia"/>
          <w:lang w:val="nl-NL"/>
        </w:rPr>
        <w:t>t</w:t>
      </w:r>
      <w:r w:rsidRPr="003E2766">
        <w:rPr>
          <w:rFonts w:cs="Times New Roman"/>
          <w:lang w:val="nl-NL"/>
        </w:rPr>
        <w:t>emporal</w:t>
      </w:r>
      <w:proofErr w:type="spellEnd"/>
      <w:r w:rsidRPr="003E2766">
        <w:rPr>
          <w:rFonts w:cs="Times New Roman"/>
          <w:lang w:val="nl-NL"/>
        </w:rPr>
        <w:t xml:space="preserve"> </w:t>
      </w:r>
      <w:r w:rsidRPr="003E2766">
        <w:rPr>
          <w:rFonts w:cs="Times New Roman" w:hint="eastAsia"/>
          <w:lang w:val="nl-NL"/>
        </w:rPr>
        <w:t>m</w:t>
      </w:r>
      <w:r w:rsidRPr="003E2766">
        <w:rPr>
          <w:rFonts w:cs="Times New Roman"/>
          <w:lang w:val="nl-NL"/>
        </w:rPr>
        <w:t>eta-</w:t>
      </w:r>
      <w:r w:rsidRPr="003E2766">
        <w:rPr>
          <w:rFonts w:cs="Times New Roman" w:hint="eastAsia"/>
          <w:lang w:val="nl-NL"/>
        </w:rPr>
        <w:t>a</w:t>
      </w:r>
      <w:r w:rsidRPr="003E2766">
        <w:rPr>
          <w:rFonts w:cs="Times New Roman"/>
          <w:lang w:val="nl-NL"/>
        </w:rPr>
        <w:t xml:space="preserve">nalysis of </w:t>
      </w:r>
      <w:proofErr w:type="spellStart"/>
      <w:r w:rsidRPr="003E2766">
        <w:rPr>
          <w:rFonts w:cs="Times New Roman" w:hint="eastAsia"/>
          <w:lang w:val="nl-NL"/>
        </w:rPr>
        <w:t>s</w:t>
      </w:r>
      <w:r w:rsidRPr="003E2766">
        <w:rPr>
          <w:rFonts w:cs="Times New Roman"/>
          <w:lang w:val="nl-NL"/>
        </w:rPr>
        <w:t>ocial</w:t>
      </w:r>
      <w:proofErr w:type="spellEnd"/>
      <w:r w:rsidRPr="003E2766">
        <w:rPr>
          <w:rFonts w:cs="Times New Roman"/>
          <w:lang w:val="nl-NL"/>
        </w:rPr>
        <w:t xml:space="preserve"> </w:t>
      </w:r>
      <w:proofErr w:type="spellStart"/>
      <w:r w:rsidRPr="003E2766">
        <w:rPr>
          <w:rFonts w:cs="Times New Roman" w:hint="eastAsia"/>
          <w:lang w:val="nl-NL"/>
        </w:rPr>
        <w:t>d</w:t>
      </w:r>
      <w:r w:rsidRPr="003E2766">
        <w:rPr>
          <w:rFonts w:cs="Times New Roman"/>
          <w:lang w:val="nl-NL"/>
        </w:rPr>
        <w:t>ilemmas</w:t>
      </w:r>
      <w:proofErr w:type="spellEnd"/>
      <w:r w:rsidRPr="003E2766">
        <w:rPr>
          <w:rFonts w:cs="Times New Roman"/>
          <w:lang w:val="nl-NL"/>
        </w:rPr>
        <w:t xml:space="preserve"> (1999–2019)]. </w:t>
      </w:r>
      <w:r w:rsidRPr="003E2766">
        <w:rPr>
          <w:rFonts w:cs="Times New Roman"/>
          <w:i/>
          <w:iCs/>
          <w:lang w:val="en-GB"/>
        </w:rPr>
        <w:t xml:space="preserve">Acta </w:t>
      </w:r>
      <w:proofErr w:type="spellStart"/>
      <w:r w:rsidRPr="003E2766">
        <w:rPr>
          <w:rFonts w:cs="Times New Roman"/>
          <w:i/>
          <w:iCs/>
          <w:lang w:val="en-GB"/>
        </w:rPr>
        <w:t>Psychologica</w:t>
      </w:r>
      <w:proofErr w:type="spellEnd"/>
      <w:r w:rsidRPr="003E2766">
        <w:rPr>
          <w:rFonts w:cs="Times New Roman"/>
          <w:i/>
          <w:iCs/>
          <w:lang w:val="en-GB"/>
        </w:rPr>
        <w:t xml:space="preserve"> </w:t>
      </w:r>
      <w:proofErr w:type="spellStart"/>
      <w:r w:rsidRPr="003E2766">
        <w:rPr>
          <w:rFonts w:cs="Times New Roman"/>
          <w:i/>
          <w:iCs/>
          <w:lang w:val="en-GB"/>
        </w:rPr>
        <w:t>Sinica</w:t>
      </w:r>
      <w:proofErr w:type="spellEnd"/>
      <w:r w:rsidRPr="003E2766">
        <w:rPr>
          <w:rFonts w:cs="Times New Roman" w:hint="eastAsia"/>
          <w:lang w:val="en-GB"/>
        </w:rPr>
        <w:t xml:space="preserve">, </w:t>
      </w:r>
      <w:r w:rsidRPr="003E2766">
        <w:rPr>
          <w:rFonts w:cs="Times New Roman" w:hint="eastAsia"/>
          <w:i/>
          <w:iCs/>
          <w:lang w:val="en-GB"/>
        </w:rPr>
        <w:t>56</w:t>
      </w:r>
      <w:r w:rsidRPr="003E2766">
        <w:rPr>
          <w:rFonts w:cs="Times New Roman" w:hint="eastAsia"/>
          <w:lang w:val="en-GB"/>
        </w:rPr>
        <w:t>(6), 1</w:t>
      </w:r>
      <w:r w:rsidRPr="003E2766">
        <w:rPr>
          <w:rFonts w:cs="Times New Roman"/>
          <w:lang w:val="en-GB"/>
        </w:rPr>
        <w:t>–</w:t>
      </w:r>
      <w:r w:rsidRPr="003E2766">
        <w:rPr>
          <w:rFonts w:cs="Times New Roman" w:hint="eastAsia"/>
          <w:lang w:val="en-GB"/>
        </w:rPr>
        <w:t xml:space="preserve">17. </w:t>
      </w:r>
      <w:r w:rsidRPr="003E2766">
        <w:rPr>
          <w:rFonts w:cs="Times New Roman"/>
          <w:lang w:val="en-GB"/>
        </w:rPr>
        <w:t>https://doi.org/10.3724/SP.J.1041.2024.0</w:t>
      </w:r>
    </w:p>
    <w:p w14:paraId="799B5734" w14:textId="62EA719E" w:rsidR="002414E9" w:rsidRDefault="002414E9">
      <w:pPr>
        <w:spacing w:after="160" w:line="259" w:lineRule="auto"/>
        <w:rPr>
          <w:rFonts w:cs="Times New Roman"/>
          <w:lang w:val="en-GB"/>
        </w:rPr>
      </w:pPr>
      <w:r>
        <w:rPr>
          <w:rFonts w:cs="Times New Roman"/>
          <w:lang w:val="en-GB"/>
        </w:rPr>
        <w:br w:type="page"/>
      </w:r>
    </w:p>
    <w:p w14:paraId="66E947B1" w14:textId="06AEA041" w:rsidR="002414E9" w:rsidRDefault="002414E9" w:rsidP="002414E9">
      <w:pPr>
        <w:pStyle w:val="Heading2"/>
        <w:rPr>
          <w:noProof/>
          <w:lang w:eastAsia="zh-CN"/>
        </w:rPr>
      </w:pPr>
      <w:bookmarkStart w:id="44" w:name="_Toc169458489"/>
      <w:r>
        <w:rPr>
          <w:noProof/>
          <w:lang w:eastAsia="zh-CN"/>
        </w:rPr>
        <w:lastRenderedPageBreak/>
        <w:t xml:space="preserve">11.2 </w:t>
      </w:r>
      <w:r w:rsidRPr="002414E9">
        <w:rPr>
          <w:noProof/>
          <w:lang w:eastAsia="zh-CN"/>
        </w:rPr>
        <w:t>References Included in the Meta-Analysis in Study 1</w:t>
      </w:r>
      <w:bookmarkEnd w:id="44"/>
    </w:p>
    <w:p w14:paraId="42B03A68" w14:textId="6F1B5D8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Abbink, K., Gangadharan, L., Handfield, T., &amp; Thrasher, J. (2017). Peer punishment promotes enforcement of bad social norms. </w:t>
      </w:r>
      <w:r w:rsidRPr="002414E9">
        <w:rPr>
          <w:rFonts w:eastAsia="DengXian" w:cs="Times New Roman"/>
          <w:i/>
          <w:iCs/>
          <w:noProof/>
          <w:lang w:eastAsia="zh-CN"/>
        </w:rPr>
        <w:t>Nature Communications</w:t>
      </w:r>
      <w:r w:rsidRPr="002414E9">
        <w:rPr>
          <w:rFonts w:eastAsia="DengXian" w:cs="Times New Roman"/>
          <w:noProof/>
          <w:lang w:eastAsia="zh-CN"/>
        </w:rPr>
        <w:t xml:space="preserve">, </w:t>
      </w:r>
      <w:r w:rsidRPr="002414E9">
        <w:rPr>
          <w:rFonts w:eastAsia="DengXian" w:cs="Times New Roman"/>
          <w:i/>
          <w:iCs/>
          <w:noProof/>
          <w:lang w:eastAsia="zh-CN"/>
        </w:rPr>
        <w:t>8</w:t>
      </w:r>
      <w:r w:rsidRPr="002414E9">
        <w:rPr>
          <w:rFonts w:eastAsia="DengXian" w:cs="Times New Roman"/>
          <w:noProof/>
          <w:lang w:eastAsia="zh-CN"/>
        </w:rPr>
        <w:t>(1), 609. https://doi.org/10.1038/s41467-017-00731-0</w:t>
      </w:r>
      <w:r w:rsidRPr="002414E9">
        <w:rPr>
          <w:rFonts w:eastAsia="DengXian" w:cs="Times New Roman"/>
          <w:noProof/>
          <w:u w:val="single"/>
          <w:lang w:eastAsia="zh-CN"/>
        </w:rPr>
        <w:t xml:space="preserve"> </w:t>
      </w:r>
    </w:p>
    <w:p w14:paraId="7DBD7B3F"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n-GB" w:eastAsia="zh-CN"/>
        </w:rPr>
        <w:t xml:space="preserve">Abele, S., &amp; Ehrhart, K. M. (2005). </w:t>
      </w:r>
      <w:r w:rsidRPr="002414E9">
        <w:rPr>
          <w:rFonts w:eastAsia="DengXian" w:cs="Times New Roman"/>
          <w:noProof/>
          <w:lang w:eastAsia="zh-CN"/>
        </w:rPr>
        <w:t xml:space="preserve">The timing effect in public good games. </w:t>
      </w:r>
      <w:r w:rsidRPr="002414E9">
        <w:rPr>
          <w:rFonts w:eastAsia="DengXian" w:cs="Times New Roman"/>
          <w:i/>
          <w:iCs/>
          <w:noProof/>
          <w:lang w:eastAsia="zh-CN"/>
        </w:rPr>
        <w:t>Journal of Experimental Social Psychology</w:t>
      </w:r>
      <w:r w:rsidRPr="002414E9">
        <w:rPr>
          <w:rFonts w:eastAsia="DengXian" w:cs="Times New Roman"/>
          <w:noProof/>
          <w:lang w:eastAsia="zh-CN"/>
        </w:rPr>
        <w:t xml:space="preserve">, </w:t>
      </w:r>
      <w:r w:rsidRPr="002414E9">
        <w:rPr>
          <w:rFonts w:eastAsia="DengXian" w:cs="Times New Roman"/>
          <w:i/>
          <w:iCs/>
          <w:noProof/>
          <w:lang w:eastAsia="zh-CN"/>
        </w:rPr>
        <w:t>41</w:t>
      </w:r>
      <w:r w:rsidRPr="002414E9">
        <w:rPr>
          <w:rFonts w:eastAsia="DengXian" w:cs="Times New Roman"/>
          <w:noProof/>
          <w:lang w:eastAsia="zh-CN"/>
        </w:rPr>
        <w:t>(5), 470–481. https://doi.org/10.1016/j.jesp.2004.09.004</w:t>
      </w:r>
    </w:p>
    <w:p w14:paraId="2B918D15" w14:textId="07E0A68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n-GB" w:eastAsia="zh-CN"/>
        </w:rPr>
        <w:t xml:space="preserve">Acevedo, M., &amp; Krueger, J. I. (2005). </w:t>
      </w:r>
      <w:r w:rsidRPr="002414E9">
        <w:rPr>
          <w:rFonts w:eastAsia="DengXian" w:cs="Times New Roman"/>
          <w:noProof/>
          <w:lang w:eastAsia="zh-CN"/>
        </w:rPr>
        <w:t xml:space="preserve">Evidential reasoning in the prisoner's dilemma. </w:t>
      </w:r>
      <w:r w:rsidRPr="002414E9">
        <w:rPr>
          <w:rFonts w:eastAsia="DengXian" w:cs="Times New Roman"/>
          <w:i/>
          <w:iCs/>
          <w:noProof/>
          <w:lang w:eastAsia="zh-CN"/>
        </w:rPr>
        <w:t>The American Journal of Psychology</w:t>
      </w:r>
      <w:r w:rsidRPr="002414E9">
        <w:rPr>
          <w:rFonts w:eastAsia="DengXian" w:cs="Times New Roman"/>
          <w:noProof/>
          <w:lang w:eastAsia="zh-CN"/>
        </w:rPr>
        <w:t xml:space="preserve">, </w:t>
      </w:r>
      <w:r w:rsidRPr="002414E9">
        <w:rPr>
          <w:rFonts w:eastAsia="DengXian" w:cs="Times New Roman"/>
          <w:i/>
          <w:iCs/>
          <w:noProof/>
          <w:lang w:eastAsia="zh-CN"/>
        </w:rPr>
        <w:t>118</w:t>
      </w:r>
      <w:r w:rsidRPr="002414E9">
        <w:rPr>
          <w:rFonts w:eastAsia="DengXian" w:cs="Times New Roman"/>
          <w:noProof/>
          <w:lang w:eastAsia="zh-CN"/>
        </w:rPr>
        <w:t>(3), 431–457. https://www.jstor.org/stable/30039074</w:t>
      </w:r>
    </w:p>
    <w:p w14:paraId="09DE3A58" w14:textId="5061DE8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n-GB" w:eastAsia="zh-CN"/>
        </w:rPr>
        <w:t xml:space="preserve">Adres, E., Vashdi, D. R., &amp; Zalmanovitch, Y. (2016). </w:t>
      </w:r>
      <w:r w:rsidRPr="002414E9">
        <w:rPr>
          <w:rFonts w:eastAsia="DengXian" w:cs="Times New Roman"/>
          <w:noProof/>
          <w:lang w:eastAsia="zh-CN"/>
        </w:rPr>
        <w:t xml:space="preserve">Globalization and the retreat of citizen participation in collective action: A challenge for public administration. </w:t>
      </w:r>
      <w:r w:rsidRPr="002414E9">
        <w:rPr>
          <w:rFonts w:eastAsia="DengXian" w:cs="Times New Roman"/>
          <w:i/>
          <w:iCs/>
          <w:noProof/>
          <w:lang w:eastAsia="zh-CN"/>
        </w:rPr>
        <w:t>Public Administration Review</w:t>
      </w:r>
      <w:r w:rsidRPr="002414E9">
        <w:rPr>
          <w:rFonts w:eastAsia="DengXian" w:cs="Times New Roman"/>
          <w:noProof/>
          <w:lang w:eastAsia="zh-CN"/>
        </w:rPr>
        <w:t xml:space="preserve">, </w:t>
      </w:r>
      <w:r w:rsidRPr="002414E9">
        <w:rPr>
          <w:rFonts w:eastAsia="DengXian" w:cs="Times New Roman"/>
          <w:i/>
          <w:iCs/>
          <w:noProof/>
          <w:lang w:eastAsia="zh-CN"/>
        </w:rPr>
        <w:t>76</w:t>
      </w:r>
      <w:r w:rsidRPr="002414E9">
        <w:rPr>
          <w:rFonts w:eastAsia="DengXian" w:cs="Times New Roman"/>
          <w:noProof/>
          <w:lang w:eastAsia="zh-CN"/>
        </w:rPr>
        <w:t>(1), 142–152. https://doi.org/10.1111/puar.12424</w:t>
      </w:r>
    </w:p>
    <w:p w14:paraId="2D710209" w14:textId="55A2346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Ahmed, A. (2008). Can education affect pro‐social behavior? Cops, economists and humanists in social dilemmas. </w:t>
      </w:r>
      <w:r w:rsidRPr="002414E9">
        <w:rPr>
          <w:rFonts w:eastAsia="DengXian" w:cs="Times New Roman"/>
          <w:i/>
          <w:iCs/>
          <w:noProof/>
          <w:lang w:eastAsia="zh-CN"/>
        </w:rPr>
        <w:t>International Journal of Social Economics</w:t>
      </w:r>
      <w:r w:rsidRPr="002414E9">
        <w:rPr>
          <w:rFonts w:eastAsia="DengXian" w:cs="Times New Roman"/>
          <w:noProof/>
          <w:lang w:eastAsia="zh-CN"/>
        </w:rPr>
        <w:t xml:space="preserve">, </w:t>
      </w:r>
      <w:r w:rsidRPr="002414E9">
        <w:rPr>
          <w:rFonts w:eastAsia="DengXian" w:cs="Times New Roman"/>
          <w:i/>
          <w:iCs/>
          <w:noProof/>
          <w:lang w:eastAsia="zh-CN"/>
        </w:rPr>
        <w:t>35</w:t>
      </w:r>
      <w:r w:rsidRPr="002414E9">
        <w:rPr>
          <w:rFonts w:eastAsia="DengXian" w:cs="Times New Roman"/>
          <w:noProof/>
          <w:lang w:eastAsia="zh-CN"/>
        </w:rPr>
        <w:t>(4), 298–307. https://doi.org/10.1108/03068290810854565</w:t>
      </w:r>
    </w:p>
    <w:p w14:paraId="6367D25B" w14:textId="4AC089E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Ahmed, A. M. (2007). Group identity, social distance and intergroup bias. </w:t>
      </w:r>
      <w:r w:rsidRPr="002414E9">
        <w:rPr>
          <w:rFonts w:eastAsia="DengXian" w:cs="Times New Roman"/>
          <w:i/>
          <w:iCs/>
          <w:noProof/>
          <w:lang w:eastAsia="zh-CN"/>
        </w:rPr>
        <w:t>Journal of Economic Psychology</w:t>
      </w:r>
      <w:r w:rsidRPr="002414E9">
        <w:rPr>
          <w:rFonts w:eastAsia="DengXian" w:cs="Times New Roman"/>
          <w:noProof/>
          <w:lang w:eastAsia="zh-CN"/>
        </w:rPr>
        <w:t xml:space="preserve">, </w:t>
      </w:r>
      <w:r w:rsidRPr="002414E9">
        <w:rPr>
          <w:rFonts w:eastAsia="DengXian" w:cs="Times New Roman"/>
          <w:i/>
          <w:iCs/>
          <w:noProof/>
          <w:lang w:eastAsia="zh-CN"/>
        </w:rPr>
        <w:t>28</w:t>
      </w:r>
      <w:r w:rsidRPr="002414E9">
        <w:rPr>
          <w:rFonts w:eastAsia="DengXian" w:cs="Times New Roman"/>
          <w:noProof/>
          <w:lang w:eastAsia="zh-CN"/>
        </w:rPr>
        <w:t>(3), 324–337. https://doi.org/10.1016/j.joep.2007.01.007</w:t>
      </w:r>
    </w:p>
    <w:p w14:paraId="20FDEB04" w14:textId="5777A89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Ahmed, A. M. (2009). Are religious people more prosocial? A quasi-experimental study with Madrasah pupils in a rural community in India. </w:t>
      </w:r>
      <w:r w:rsidRPr="002414E9">
        <w:rPr>
          <w:rFonts w:eastAsia="DengXian" w:cs="Times New Roman"/>
          <w:i/>
          <w:iCs/>
          <w:noProof/>
          <w:lang w:eastAsia="zh-CN"/>
        </w:rPr>
        <w:t>Journal for the Scientific Study of Religion</w:t>
      </w:r>
      <w:r w:rsidRPr="002414E9">
        <w:rPr>
          <w:rFonts w:eastAsia="DengXian" w:cs="Times New Roman"/>
          <w:noProof/>
          <w:lang w:eastAsia="zh-CN"/>
        </w:rPr>
        <w:t xml:space="preserve">, </w:t>
      </w:r>
      <w:r w:rsidRPr="002414E9">
        <w:rPr>
          <w:rFonts w:eastAsia="DengXian" w:cs="Times New Roman"/>
          <w:i/>
          <w:iCs/>
          <w:noProof/>
          <w:lang w:eastAsia="zh-CN"/>
        </w:rPr>
        <w:t>48</w:t>
      </w:r>
      <w:r w:rsidRPr="002414E9">
        <w:rPr>
          <w:rFonts w:eastAsia="DengXian" w:cs="Times New Roman"/>
          <w:noProof/>
          <w:lang w:eastAsia="zh-CN"/>
        </w:rPr>
        <w:t>(2), 368–374. https://doi.org/10.1111/j.1468-5906.2009.01452.x</w:t>
      </w:r>
    </w:p>
    <w:p w14:paraId="482DB8E4" w14:textId="248B160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Ahmed, A. M., &amp; Salas, O. (2011). Implicit influences of Christian religious representations on dictator and prisoner’s dilemma game decisions. </w:t>
      </w:r>
      <w:r w:rsidRPr="002414E9">
        <w:rPr>
          <w:rFonts w:eastAsia="DengXian" w:cs="Times New Roman"/>
          <w:i/>
          <w:iCs/>
          <w:noProof/>
          <w:lang w:eastAsia="zh-CN"/>
        </w:rPr>
        <w:t>The Journal of Socio-Economics</w:t>
      </w:r>
      <w:r w:rsidRPr="002414E9">
        <w:rPr>
          <w:rFonts w:eastAsia="DengXian" w:cs="Times New Roman"/>
          <w:noProof/>
          <w:lang w:eastAsia="zh-CN"/>
        </w:rPr>
        <w:t xml:space="preserve">, </w:t>
      </w:r>
      <w:r w:rsidRPr="002414E9">
        <w:rPr>
          <w:rFonts w:eastAsia="DengXian" w:cs="Times New Roman"/>
          <w:i/>
          <w:iCs/>
          <w:noProof/>
          <w:lang w:eastAsia="zh-CN"/>
        </w:rPr>
        <w:t>40</w:t>
      </w:r>
      <w:r w:rsidRPr="002414E9">
        <w:rPr>
          <w:rFonts w:eastAsia="DengXian" w:cs="Times New Roman"/>
          <w:noProof/>
          <w:lang w:eastAsia="zh-CN"/>
        </w:rPr>
        <w:t xml:space="preserve">(3), </w:t>
      </w:r>
      <w:r w:rsidRPr="002414E9">
        <w:rPr>
          <w:rFonts w:eastAsia="DengXian" w:cs="Times New Roman"/>
          <w:noProof/>
          <w:lang w:eastAsia="zh-CN"/>
        </w:rPr>
        <w:lastRenderedPageBreak/>
        <w:t>242–246. https://doi.org/10.1016/j.socec.2010.12.013</w:t>
      </w:r>
    </w:p>
    <w:p w14:paraId="1D1AE4C3" w14:textId="06D9B3D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Ahmed, A., &amp; Salas, O. (2013). Religious context and prosociality: An experimental study from Valparaíso, Chile. </w:t>
      </w:r>
      <w:r w:rsidRPr="002414E9">
        <w:rPr>
          <w:rFonts w:eastAsia="DengXian" w:cs="Times New Roman"/>
          <w:i/>
          <w:iCs/>
          <w:noProof/>
          <w:lang w:eastAsia="zh-CN"/>
        </w:rPr>
        <w:t>Journal for the Scientific Study of Religion</w:t>
      </w:r>
      <w:r w:rsidRPr="002414E9">
        <w:rPr>
          <w:rFonts w:eastAsia="DengXian" w:cs="Times New Roman"/>
          <w:noProof/>
          <w:lang w:eastAsia="zh-CN"/>
        </w:rPr>
        <w:t xml:space="preserve">, </w:t>
      </w:r>
      <w:r w:rsidRPr="002414E9">
        <w:rPr>
          <w:rFonts w:eastAsia="DengXian" w:cs="Times New Roman"/>
          <w:i/>
          <w:iCs/>
          <w:noProof/>
          <w:lang w:eastAsia="zh-CN"/>
        </w:rPr>
        <w:t>52</w:t>
      </w:r>
      <w:r w:rsidRPr="002414E9">
        <w:rPr>
          <w:rFonts w:eastAsia="DengXian" w:cs="Times New Roman"/>
          <w:noProof/>
          <w:lang w:eastAsia="zh-CN"/>
        </w:rPr>
        <w:t>(3), 627–637. https://doi.org/10.1111/jssr.12045</w:t>
      </w:r>
    </w:p>
    <w:p w14:paraId="2BC6CFD4" w14:textId="68D5CF2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Ahn, T. K., Esarey, J., &amp; Scholz, J. T. (2009). </w:t>
      </w:r>
      <w:r w:rsidRPr="002414E9">
        <w:rPr>
          <w:rFonts w:eastAsia="DengXian" w:cs="Times New Roman"/>
          <w:noProof/>
          <w:lang w:eastAsia="zh-CN"/>
        </w:rPr>
        <w:t xml:space="preserve">Reputation and cooperation in voluntary exchanges: Comparing local and central institutions. </w:t>
      </w:r>
      <w:r w:rsidRPr="002414E9">
        <w:rPr>
          <w:rFonts w:eastAsia="DengXian" w:cs="Times New Roman"/>
          <w:i/>
          <w:iCs/>
          <w:noProof/>
          <w:lang w:eastAsia="zh-CN"/>
        </w:rPr>
        <w:t>The Journal of Politics</w:t>
      </w:r>
      <w:r w:rsidRPr="002414E9">
        <w:rPr>
          <w:rFonts w:eastAsia="DengXian" w:cs="Times New Roman"/>
          <w:noProof/>
          <w:lang w:eastAsia="zh-CN"/>
        </w:rPr>
        <w:t xml:space="preserve">, </w:t>
      </w:r>
      <w:r w:rsidRPr="002414E9">
        <w:rPr>
          <w:rFonts w:eastAsia="DengXian" w:cs="Times New Roman"/>
          <w:i/>
          <w:iCs/>
          <w:noProof/>
          <w:lang w:eastAsia="zh-CN"/>
        </w:rPr>
        <w:t>71</w:t>
      </w:r>
      <w:r w:rsidRPr="002414E9">
        <w:rPr>
          <w:rFonts w:eastAsia="DengXian" w:cs="Times New Roman"/>
          <w:noProof/>
          <w:lang w:eastAsia="zh-CN"/>
        </w:rPr>
        <w:t>(2), 398–413. https://doi.org/10.1017/S0022381609090355</w:t>
      </w:r>
    </w:p>
    <w:p w14:paraId="051FBA55" w14:textId="6D79931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Ahn, T. K., Isaac, R. M., &amp; Salmon, T. C. (2009). Coming and going: Experiments on endogenous group sizes for excludable public goods.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93</w:t>
      </w:r>
      <w:r w:rsidRPr="002414E9">
        <w:rPr>
          <w:rFonts w:eastAsia="DengXian" w:cs="Times New Roman"/>
          <w:noProof/>
          <w:lang w:eastAsia="zh-CN"/>
        </w:rPr>
        <w:t>(1–2), 336–351. https://doi.org/10.1016/j.jpubeco.2008.06.007</w:t>
      </w:r>
    </w:p>
    <w:p w14:paraId="2D3BF8D7" w14:textId="6C0BC2F9" w:rsidR="002414E9" w:rsidRPr="002414E9" w:rsidRDefault="002414E9" w:rsidP="002414E9">
      <w:pPr>
        <w:widowControl w:val="0"/>
        <w:autoSpaceDE w:val="0"/>
        <w:autoSpaceDN w:val="0"/>
        <w:adjustRightInd w:val="0"/>
        <w:ind w:left="709" w:hanging="709"/>
        <w:rPr>
          <w:rFonts w:eastAsia="DengXian" w:cs="Times New Roman"/>
          <w:noProof/>
          <w:lang w:val="es-ES" w:eastAsia="zh-CN"/>
        </w:rPr>
      </w:pPr>
      <w:r w:rsidRPr="002414E9">
        <w:rPr>
          <w:rFonts w:eastAsia="DengXian" w:cs="Times New Roman"/>
          <w:noProof/>
          <w:lang w:eastAsia="zh-CN"/>
        </w:rPr>
        <w:t xml:space="preserve">Ajzen, I. (1971). Attitudinal vs. normative messages: An investigation of the differential effects of persuasive communications on behavior. </w:t>
      </w:r>
      <w:r w:rsidRPr="002414E9">
        <w:rPr>
          <w:rFonts w:eastAsia="DengXian" w:cs="Times New Roman"/>
          <w:i/>
          <w:iCs/>
          <w:noProof/>
          <w:lang w:val="es-ES" w:eastAsia="zh-CN"/>
        </w:rPr>
        <w:t>Sociometry</w:t>
      </w:r>
      <w:r w:rsidRPr="002414E9">
        <w:rPr>
          <w:rFonts w:eastAsia="DengXian" w:cs="Times New Roman"/>
          <w:noProof/>
          <w:lang w:val="es-ES" w:eastAsia="zh-CN"/>
        </w:rPr>
        <w:t xml:space="preserve">, </w:t>
      </w:r>
      <w:r w:rsidRPr="002414E9">
        <w:rPr>
          <w:rFonts w:eastAsia="DengXian" w:cs="Times New Roman"/>
          <w:i/>
          <w:iCs/>
          <w:noProof/>
          <w:lang w:val="es-ES" w:eastAsia="zh-CN"/>
        </w:rPr>
        <w:t>34</w:t>
      </w:r>
      <w:r w:rsidRPr="002414E9">
        <w:rPr>
          <w:rFonts w:eastAsia="DengXian" w:cs="Times New Roman"/>
          <w:noProof/>
          <w:lang w:val="es-ES" w:eastAsia="zh-CN"/>
        </w:rPr>
        <w:t>(2), 263–280. https://doi.org/10.2307/2786416</w:t>
      </w:r>
    </w:p>
    <w:p w14:paraId="70C61F27" w14:textId="1A43B58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s-ES" w:eastAsia="zh-CN"/>
        </w:rPr>
        <w:t xml:space="preserve">Akpalu, W., Abidoye, B., Muchapondwa, E., &amp; Simbanegavi, W. (2017). </w:t>
      </w:r>
      <w:r w:rsidRPr="002414E9">
        <w:rPr>
          <w:rFonts w:eastAsia="DengXian" w:cs="Times New Roman"/>
          <w:noProof/>
          <w:lang w:eastAsia="zh-CN"/>
        </w:rPr>
        <w:t xml:space="preserve">Public disclosure for carbon abatement: African decision-makers in a proper public good experiment. </w:t>
      </w:r>
      <w:r w:rsidRPr="002414E9">
        <w:rPr>
          <w:rFonts w:eastAsia="DengXian" w:cs="Times New Roman"/>
          <w:i/>
          <w:iCs/>
          <w:noProof/>
          <w:lang w:eastAsia="zh-CN"/>
        </w:rPr>
        <w:t>Climate and Development</w:t>
      </w:r>
      <w:r w:rsidRPr="002414E9">
        <w:rPr>
          <w:rFonts w:eastAsia="DengXian" w:cs="Times New Roman"/>
          <w:noProof/>
          <w:lang w:eastAsia="zh-CN"/>
        </w:rPr>
        <w:t xml:space="preserve">, </w:t>
      </w:r>
      <w:r w:rsidRPr="002414E9">
        <w:rPr>
          <w:rFonts w:eastAsia="DengXian" w:cs="Times New Roman"/>
          <w:i/>
          <w:iCs/>
          <w:noProof/>
          <w:lang w:eastAsia="zh-CN"/>
        </w:rPr>
        <w:t>9</w:t>
      </w:r>
      <w:r w:rsidRPr="002414E9">
        <w:rPr>
          <w:rFonts w:eastAsia="DengXian" w:cs="Times New Roman"/>
          <w:noProof/>
          <w:lang w:eastAsia="zh-CN"/>
        </w:rPr>
        <w:t>(6), 548–558. https://doi.org/10.1080/17565529.2016.1174664</w:t>
      </w:r>
    </w:p>
    <w:p w14:paraId="7BA60D35" w14:textId="3297EB9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Alcock, J. E., &amp; Mansell, D. (1977). Predisposition and behaviour in a collective dilemma. </w:t>
      </w:r>
      <w:r w:rsidRPr="002414E9">
        <w:rPr>
          <w:rFonts w:eastAsia="DengXian" w:cs="Times New Roman"/>
          <w:i/>
          <w:iCs/>
          <w:noProof/>
          <w:lang w:eastAsia="zh-CN"/>
        </w:rPr>
        <w:t>Journal of Conflict Resolution</w:t>
      </w:r>
      <w:r w:rsidRPr="002414E9">
        <w:rPr>
          <w:rFonts w:eastAsia="DengXian" w:cs="Times New Roman"/>
          <w:noProof/>
          <w:lang w:eastAsia="zh-CN"/>
        </w:rPr>
        <w:t xml:space="preserve">, </w:t>
      </w:r>
      <w:r w:rsidRPr="002414E9">
        <w:rPr>
          <w:rFonts w:eastAsia="DengXian" w:cs="Times New Roman"/>
          <w:i/>
          <w:iCs/>
          <w:noProof/>
          <w:lang w:eastAsia="zh-CN"/>
        </w:rPr>
        <w:t>21</w:t>
      </w:r>
      <w:r w:rsidRPr="002414E9">
        <w:rPr>
          <w:rFonts w:eastAsia="DengXian" w:cs="Times New Roman"/>
          <w:noProof/>
          <w:lang w:eastAsia="zh-CN"/>
        </w:rPr>
        <w:t>(3), 443–457. https://doi.org/10.1177/002200277702100304</w:t>
      </w:r>
    </w:p>
    <w:p w14:paraId="2C5595C7" w14:textId="0936AB4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n-GB" w:eastAsia="zh-CN"/>
        </w:rPr>
        <w:t xml:space="preserve">Alencar, A., Deoliveirasiqueira, J., &amp; Yamamoto, M. (2008). </w:t>
      </w:r>
      <w:r w:rsidRPr="002414E9">
        <w:rPr>
          <w:rFonts w:eastAsia="DengXian" w:cs="Times New Roman"/>
          <w:noProof/>
          <w:lang w:eastAsia="zh-CN"/>
        </w:rPr>
        <w:t xml:space="preserve">Does group size matter? Cheating and cooperation in Brazilian school children. </w:t>
      </w:r>
      <w:r w:rsidRPr="002414E9">
        <w:rPr>
          <w:rFonts w:eastAsia="DengXian" w:cs="Times New Roman"/>
          <w:i/>
          <w:iCs/>
          <w:noProof/>
          <w:lang w:eastAsia="zh-CN"/>
        </w:rPr>
        <w:t>Evolution and Human Behavior</w:t>
      </w:r>
      <w:r w:rsidRPr="002414E9">
        <w:rPr>
          <w:rFonts w:eastAsia="DengXian" w:cs="Times New Roman"/>
          <w:noProof/>
          <w:lang w:eastAsia="zh-CN"/>
        </w:rPr>
        <w:t xml:space="preserve">, </w:t>
      </w:r>
      <w:r w:rsidRPr="002414E9">
        <w:rPr>
          <w:rFonts w:eastAsia="DengXian" w:cs="Times New Roman"/>
          <w:i/>
          <w:iCs/>
          <w:noProof/>
          <w:lang w:eastAsia="zh-CN"/>
        </w:rPr>
        <w:t>29</w:t>
      </w:r>
      <w:r w:rsidRPr="002414E9">
        <w:rPr>
          <w:rFonts w:eastAsia="DengXian" w:cs="Times New Roman"/>
          <w:noProof/>
          <w:lang w:eastAsia="zh-CN"/>
        </w:rPr>
        <w:t>(1), 42–48. https://doi.org/10.1016/j.evolhumbehav.2007.09.001</w:t>
      </w:r>
    </w:p>
    <w:p w14:paraId="6A5FBFF1" w14:textId="1155499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n-GB" w:eastAsia="zh-CN"/>
        </w:rPr>
        <w:t xml:space="preserve">Alexander Jr, C. N., &amp; Weil, H. G. (1969). </w:t>
      </w:r>
      <w:r w:rsidRPr="002414E9">
        <w:rPr>
          <w:rFonts w:eastAsia="DengXian" w:cs="Times New Roman"/>
          <w:noProof/>
          <w:lang w:eastAsia="zh-CN"/>
        </w:rPr>
        <w:t xml:space="preserve">Players, persons, and purposes: Situational meaning </w:t>
      </w:r>
      <w:r w:rsidRPr="002414E9">
        <w:rPr>
          <w:rFonts w:eastAsia="DengXian" w:cs="Times New Roman"/>
          <w:noProof/>
          <w:lang w:eastAsia="zh-CN"/>
        </w:rPr>
        <w:lastRenderedPageBreak/>
        <w:t xml:space="preserve">and the prisoner’s dilemma game. </w:t>
      </w:r>
      <w:r w:rsidRPr="002414E9">
        <w:rPr>
          <w:rFonts w:eastAsia="DengXian" w:cs="Times New Roman"/>
          <w:i/>
          <w:iCs/>
          <w:noProof/>
          <w:lang w:eastAsia="zh-CN"/>
        </w:rPr>
        <w:t>Sociometry</w:t>
      </w:r>
      <w:r w:rsidRPr="002414E9">
        <w:rPr>
          <w:rFonts w:eastAsia="DengXian" w:cs="Times New Roman"/>
          <w:noProof/>
          <w:lang w:eastAsia="zh-CN"/>
        </w:rPr>
        <w:t xml:space="preserve">, </w:t>
      </w:r>
      <w:r w:rsidRPr="002414E9">
        <w:rPr>
          <w:rFonts w:eastAsia="DengXian" w:cs="Times New Roman"/>
          <w:i/>
          <w:iCs/>
          <w:noProof/>
          <w:lang w:eastAsia="zh-CN"/>
        </w:rPr>
        <w:t>32</w:t>
      </w:r>
      <w:r w:rsidRPr="002414E9">
        <w:rPr>
          <w:rFonts w:eastAsia="DengXian" w:cs="Times New Roman"/>
          <w:noProof/>
          <w:lang w:eastAsia="zh-CN"/>
        </w:rPr>
        <w:t>(2), 121–144. https://doi.org/10.2307/2786258</w:t>
      </w:r>
    </w:p>
    <w:p w14:paraId="765379C8" w14:textId="0FF5D3D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Alfano, G., &amp; Marwell, G. (1980). Experiments on the provision of public goods by groups III: Nondivisibility and free riding in “real” groups. </w:t>
      </w:r>
      <w:r w:rsidRPr="002414E9">
        <w:rPr>
          <w:rFonts w:eastAsia="DengXian" w:cs="Times New Roman"/>
          <w:i/>
          <w:iCs/>
          <w:noProof/>
          <w:lang w:eastAsia="zh-CN"/>
        </w:rPr>
        <w:t>Social Psychology Quarterly</w:t>
      </w:r>
      <w:r w:rsidRPr="002414E9">
        <w:rPr>
          <w:rFonts w:eastAsia="DengXian" w:cs="Times New Roman"/>
          <w:noProof/>
          <w:lang w:eastAsia="zh-CN"/>
        </w:rPr>
        <w:t xml:space="preserve">, </w:t>
      </w:r>
      <w:r w:rsidRPr="002414E9">
        <w:rPr>
          <w:rFonts w:eastAsia="DengXian" w:cs="Times New Roman"/>
          <w:i/>
          <w:iCs/>
          <w:noProof/>
          <w:lang w:eastAsia="zh-CN"/>
        </w:rPr>
        <w:t>43</w:t>
      </w:r>
      <w:r w:rsidRPr="002414E9">
        <w:rPr>
          <w:rFonts w:eastAsia="DengXian" w:cs="Times New Roman"/>
          <w:noProof/>
          <w:lang w:eastAsia="zh-CN"/>
        </w:rPr>
        <w:t>(3), 300–309. https://doi.org/10.2307/3033732</w:t>
      </w:r>
    </w:p>
    <w:p w14:paraId="7B73E9CF" w14:textId="64CBD33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Allison, S. T., &amp; Messick, D. M. (1985). Effects of experience on performance in a replenishable resource trap. </w:t>
      </w:r>
      <w:r w:rsidRPr="002414E9">
        <w:rPr>
          <w:rFonts w:eastAsia="DengXian" w:cs="Times New Roman"/>
          <w:i/>
          <w:iCs/>
          <w:noProof/>
          <w:lang w:eastAsia="zh-CN"/>
        </w:rPr>
        <w:t>Journal of Personality and Social Psychology</w:t>
      </w:r>
      <w:r w:rsidRPr="002414E9">
        <w:rPr>
          <w:rFonts w:eastAsia="DengXian" w:cs="Times New Roman"/>
          <w:noProof/>
          <w:lang w:eastAsia="zh-CN"/>
        </w:rPr>
        <w:t xml:space="preserve">, </w:t>
      </w:r>
      <w:r w:rsidRPr="002414E9">
        <w:rPr>
          <w:rFonts w:eastAsia="DengXian" w:cs="Times New Roman"/>
          <w:i/>
          <w:iCs/>
          <w:noProof/>
          <w:lang w:eastAsia="zh-CN"/>
        </w:rPr>
        <w:t>49</w:t>
      </w:r>
      <w:r w:rsidRPr="002414E9">
        <w:rPr>
          <w:rFonts w:eastAsia="DengXian" w:cs="Times New Roman"/>
          <w:noProof/>
          <w:lang w:eastAsia="zh-CN"/>
        </w:rPr>
        <w:t>(4), 943–948. https://doi.org/10.1037/0022-3514.49.4.943</w:t>
      </w:r>
    </w:p>
    <w:p w14:paraId="28DDA9A7" w14:textId="7A72BA1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Alpizar, F., Carlsson, F., &amp; Johansson-Stenman, O. (2008). Anonymity, reciprocity, and conformity: Evidence from voluntary contributions to a national park in Costa Rica.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92</w:t>
      </w:r>
      <w:r w:rsidRPr="002414E9">
        <w:rPr>
          <w:rFonts w:eastAsia="DengXian" w:cs="Times New Roman"/>
          <w:noProof/>
          <w:lang w:eastAsia="zh-CN"/>
        </w:rPr>
        <w:t>(5–6), 1047–1060. https://doi.org/10.1016/j.jpubeco.2007.11.004</w:t>
      </w:r>
    </w:p>
    <w:p w14:paraId="5AC24475" w14:textId="1E5A381C"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en-GB" w:eastAsia="zh-CN"/>
        </w:rPr>
        <w:t xml:space="preserve">Al-Ubaydli, O., Jones, G., &amp; Weel, J. (2016). </w:t>
      </w:r>
      <w:r w:rsidRPr="002414E9">
        <w:rPr>
          <w:rFonts w:eastAsia="DengXian" w:cs="Times New Roman"/>
          <w:bCs/>
          <w:noProof/>
          <w:lang w:eastAsia="zh-CN"/>
        </w:rPr>
        <w:t xml:space="preserve">Average player traits as predictors of cooperation in a repeated prisoner's dilemma. </w:t>
      </w:r>
      <w:r w:rsidRPr="002414E9">
        <w:rPr>
          <w:rFonts w:eastAsia="DengXian" w:cs="Times New Roman"/>
          <w:bCs/>
          <w:i/>
          <w:iCs/>
          <w:noProof/>
          <w:lang w:eastAsia="zh-CN"/>
        </w:rPr>
        <w:t>Journal of Behavioral and Experimental Economics</w:t>
      </w:r>
      <w:r w:rsidRPr="002414E9">
        <w:rPr>
          <w:rFonts w:eastAsia="DengXian" w:cs="Times New Roman"/>
          <w:bCs/>
          <w:noProof/>
          <w:lang w:eastAsia="zh-CN"/>
        </w:rPr>
        <w:t xml:space="preserve">, </w:t>
      </w:r>
      <w:r w:rsidRPr="002414E9">
        <w:rPr>
          <w:rFonts w:eastAsia="DengXian" w:cs="Times New Roman"/>
          <w:bCs/>
          <w:i/>
          <w:iCs/>
          <w:noProof/>
          <w:lang w:eastAsia="zh-CN"/>
        </w:rPr>
        <w:t>64</w:t>
      </w:r>
      <w:r w:rsidRPr="002414E9">
        <w:rPr>
          <w:rFonts w:eastAsia="DengXian" w:cs="Times New Roman"/>
          <w:bCs/>
          <w:noProof/>
          <w:lang w:eastAsia="zh-CN"/>
        </w:rPr>
        <w:t>, 50–60. https://doi.org/10.1016/j.socec.2015.10.005</w:t>
      </w:r>
    </w:p>
    <w:p w14:paraId="69C91FB5" w14:textId="06275AB9" w:rsidR="002414E9" w:rsidRPr="002414E9" w:rsidRDefault="002414E9" w:rsidP="002414E9">
      <w:pPr>
        <w:widowControl w:val="0"/>
        <w:autoSpaceDE w:val="0"/>
        <w:autoSpaceDN w:val="0"/>
        <w:adjustRightInd w:val="0"/>
        <w:ind w:left="709" w:hanging="709"/>
        <w:rPr>
          <w:rFonts w:eastAsia="DengXian" w:cs="Times New Roman"/>
          <w:noProof/>
          <w:lang w:val="es-ES" w:eastAsia="zh-CN"/>
        </w:rPr>
      </w:pPr>
      <w:r w:rsidRPr="002414E9">
        <w:rPr>
          <w:rFonts w:eastAsia="DengXian" w:cs="Times New Roman"/>
          <w:noProof/>
          <w:lang w:val="es-ES" w:eastAsia="zh-CN"/>
        </w:rPr>
        <w:t xml:space="preserve">Alzua, M. L., Cardenas, J. C., &amp; Djebbari, H. (2014). </w:t>
      </w:r>
      <w:r w:rsidRPr="002414E9">
        <w:rPr>
          <w:rFonts w:eastAsia="DengXian" w:cs="Times New Roman"/>
          <w:i/>
          <w:noProof/>
          <w:lang w:eastAsia="zh-CN"/>
        </w:rPr>
        <w:t>Community mobilization around social dilemmas: evidence from lab experiments in rural Mali</w:t>
      </w:r>
      <w:r w:rsidRPr="002414E9">
        <w:rPr>
          <w:rFonts w:eastAsia="DengXian" w:cs="Times New Roman"/>
          <w:noProof/>
          <w:lang w:eastAsia="zh-CN"/>
        </w:rPr>
        <w:t xml:space="preserve"> </w:t>
      </w:r>
      <w:r w:rsidRPr="002414E9">
        <w:rPr>
          <w:rFonts w:eastAsia="DengXian" w:cs="Times New Roman" w:hint="eastAsia"/>
          <w:noProof/>
          <w:lang w:eastAsia="zh-CN"/>
        </w:rPr>
        <w:t>(</w:t>
      </w:r>
      <w:r w:rsidRPr="002414E9">
        <w:rPr>
          <w:rFonts w:eastAsia="DengXian" w:cs="Times New Roman"/>
          <w:noProof/>
          <w:lang w:eastAsia="zh-CN"/>
        </w:rPr>
        <w:t xml:space="preserve">CEDLAS Working Paper No. 160). </w:t>
      </w:r>
      <w:r w:rsidRPr="002414E9">
        <w:rPr>
          <w:rFonts w:eastAsia="DengXian" w:cs="Times New Roman"/>
          <w:noProof/>
          <w:lang w:val="es-ES" w:eastAsia="zh-CN"/>
        </w:rPr>
        <w:t>Centro de Estudios Distributivos, Laborales y Sociales, Universidad Nacional de La Plata. http://sedici.unlp.edu.ar/handle/10915/49627</w:t>
      </w:r>
    </w:p>
    <w:p w14:paraId="63D24F79" w14:textId="77777777" w:rsidR="002414E9" w:rsidRPr="002414E9" w:rsidRDefault="002414E9" w:rsidP="002414E9">
      <w:pPr>
        <w:widowControl w:val="0"/>
        <w:autoSpaceDE w:val="0"/>
        <w:autoSpaceDN w:val="0"/>
        <w:adjustRightInd w:val="0"/>
        <w:ind w:left="709" w:hanging="709"/>
        <w:rPr>
          <w:rFonts w:eastAsia="DengXian" w:cs="Times New Roman"/>
          <w:noProof/>
          <w:lang w:val="en-GB" w:eastAsia="zh-CN"/>
        </w:rPr>
      </w:pPr>
      <w:r w:rsidRPr="002414E9">
        <w:rPr>
          <w:rFonts w:eastAsia="DengXian" w:cs="Times New Roman"/>
          <w:noProof/>
          <w:lang w:val="en-GB" w:eastAsia="zh-CN"/>
        </w:rPr>
        <w:t xml:space="preserve">Amir, O., Rand, D. G., &amp; Gal, Y. K. (2012). Economic games on the internet: The effect of $1 stakes. </w:t>
      </w:r>
      <w:r w:rsidRPr="002414E9">
        <w:rPr>
          <w:rFonts w:eastAsia="DengXian" w:cs="Times New Roman"/>
          <w:i/>
          <w:iCs/>
          <w:noProof/>
          <w:lang w:val="en-GB" w:eastAsia="zh-CN"/>
        </w:rPr>
        <w:t>PLoS ONE</w:t>
      </w:r>
      <w:r w:rsidRPr="002414E9">
        <w:rPr>
          <w:rFonts w:eastAsia="DengXian" w:cs="Times New Roman"/>
          <w:noProof/>
          <w:lang w:val="en-GB" w:eastAsia="zh-CN"/>
        </w:rPr>
        <w:t xml:space="preserve">, </w:t>
      </w:r>
      <w:r w:rsidRPr="002414E9">
        <w:rPr>
          <w:rFonts w:eastAsia="DengXian" w:cs="Times New Roman"/>
          <w:i/>
          <w:iCs/>
          <w:noProof/>
          <w:lang w:val="en-GB" w:eastAsia="zh-CN"/>
        </w:rPr>
        <w:t>7</w:t>
      </w:r>
      <w:r w:rsidRPr="002414E9">
        <w:rPr>
          <w:rFonts w:eastAsia="DengXian" w:cs="Times New Roman"/>
          <w:noProof/>
          <w:lang w:val="en-GB" w:eastAsia="zh-CN"/>
        </w:rPr>
        <w:t>(2), e31461. https://doi.org/10.1371/journal.pone.0031461</w:t>
      </w:r>
    </w:p>
    <w:p w14:paraId="163FC44E" w14:textId="2ED028C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Andersen, S., Bulte, E., Gneezy, U., &amp; List, J. A. (2008). Do women supply more public goods than men? Preliminary experimental evidence from matrilineal and patriarchal societies. </w:t>
      </w:r>
      <w:r w:rsidRPr="002414E9">
        <w:rPr>
          <w:rFonts w:eastAsia="DengXian" w:cs="Times New Roman"/>
          <w:i/>
          <w:iCs/>
          <w:noProof/>
          <w:lang w:eastAsia="zh-CN"/>
        </w:rPr>
        <w:lastRenderedPageBreak/>
        <w:t>American Economic Review</w:t>
      </w:r>
      <w:r w:rsidRPr="002414E9">
        <w:rPr>
          <w:rFonts w:eastAsia="DengXian" w:cs="Times New Roman"/>
          <w:noProof/>
          <w:lang w:eastAsia="zh-CN"/>
        </w:rPr>
        <w:t xml:space="preserve">, </w:t>
      </w:r>
      <w:r w:rsidRPr="002414E9">
        <w:rPr>
          <w:rFonts w:eastAsia="DengXian" w:cs="Times New Roman"/>
          <w:i/>
          <w:iCs/>
          <w:noProof/>
          <w:lang w:eastAsia="zh-CN"/>
        </w:rPr>
        <w:t>98</w:t>
      </w:r>
      <w:r w:rsidRPr="002414E9">
        <w:rPr>
          <w:rFonts w:eastAsia="DengXian" w:cs="Times New Roman"/>
          <w:noProof/>
          <w:lang w:eastAsia="zh-CN"/>
        </w:rPr>
        <w:t>(2), 376–381. https://doi.org/10.1257/aer.98.2.376</w:t>
      </w:r>
    </w:p>
    <w:p w14:paraId="275A94AB" w14:textId="02B9FFC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Anderson, C. M., &amp; Putterman, L. (2006). Do non-strategic sanctions obey the law of demand? The demand for punishment in the voluntary contribution mechanism. </w:t>
      </w:r>
      <w:r w:rsidRPr="002414E9">
        <w:rPr>
          <w:rFonts w:eastAsia="DengXian" w:cs="Times New Roman"/>
          <w:i/>
          <w:iCs/>
          <w:noProof/>
          <w:lang w:eastAsia="zh-CN"/>
        </w:rPr>
        <w:t>Games and Economic Behavior</w:t>
      </w:r>
      <w:r w:rsidRPr="002414E9">
        <w:rPr>
          <w:rFonts w:eastAsia="DengXian" w:cs="Times New Roman"/>
          <w:noProof/>
          <w:lang w:eastAsia="zh-CN"/>
        </w:rPr>
        <w:t xml:space="preserve">, </w:t>
      </w:r>
      <w:r w:rsidRPr="002414E9">
        <w:rPr>
          <w:rFonts w:eastAsia="DengXian" w:cs="Times New Roman"/>
          <w:i/>
          <w:iCs/>
          <w:noProof/>
          <w:lang w:eastAsia="zh-CN"/>
        </w:rPr>
        <w:t>54</w:t>
      </w:r>
      <w:r w:rsidRPr="002414E9">
        <w:rPr>
          <w:rFonts w:eastAsia="DengXian" w:cs="Times New Roman"/>
          <w:noProof/>
          <w:lang w:eastAsia="zh-CN"/>
        </w:rPr>
        <w:t>(1), 1–24. https://doi.org/10.1016/j.geb.2004.08.007</w:t>
      </w:r>
    </w:p>
    <w:p w14:paraId="37778A26" w14:textId="3496AE8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Anderson, L. R. (2003). Punishment in a regulatory setting: Experimental evidence from the VCM. </w:t>
      </w:r>
      <w:r w:rsidRPr="002414E9">
        <w:rPr>
          <w:rFonts w:eastAsia="DengXian" w:cs="Times New Roman"/>
          <w:i/>
          <w:iCs/>
          <w:noProof/>
          <w:lang w:eastAsia="zh-CN"/>
        </w:rPr>
        <w:t>Journal of Regulatory Economics</w:t>
      </w:r>
      <w:r w:rsidRPr="002414E9">
        <w:rPr>
          <w:rFonts w:eastAsia="DengXian" w:cs="Times New Roman"/>
          <w:noProof/>
          <w:lang w:eastAsia="zh-CN"/>
        </w:rPr>
        <w:t xml:space="preserve">, </w:t>
      </w:r>
      <w:r w:rsidRPr="002414E9">
        <w:rPr>
          <w:rFonts w:eastAsia="DengXian" w:cs="Times New Roman"/>
          <w:i/>
          <w:iCs/>
          <w:noProof/>
          <w:lang w:eastAsia="zh-CN"/>
        </w:rPr>
        <w:t>24</w:t>
      </w:r>
      <w:r w:rsidRPr="002414E9">
        <w:rPr>
          <w:rFonts w:eastAsia="DengXian" w:cs="Times New Roman"/>
          <w:noProof/>
          <w:lang w:eastAsia="zh-CN"/>
        </w:rPr>
        <w:t>(1), 91–110. https://doi.org/10.1023/A:1023952115422</w:t>
      </w:r>
    </w:p>
    <w:p w14:paraId="7FFB9A02" w14:textId="744F6161" w:rsidR="002414E9" w:rsidRPr="002414E9" w:rsidRDefault="002414E9" w:rsidP="002414E9">
      <w:pPr>
        <w:widowControl w:val="0"/>
        <w:autoSpaceDE w:val="0"/>
        <w:autoSpaceDN w:val="0"/>
        <w:adjustRightInd w:val="0"/>
        <w:ind w:left="709" w:hanging="709"/>
        <w:rPr>
          <w:rFonts w:eastAsia="DengXian" w:cs="Times New Roman"/>
          <w:noProof/>
          <w:lang w:val="it-IT" w:eastAsia="zh-CN"/>
        </w:rPr>
      </w:pPr>
      <w:r w:rsidRPr="002414E9">
        <w:rPr>
          <w:rFonts w:eastAsia="DengXian" w:cs="Times New Roman"/>
          <w:noProof/>
          <w:lang w:eastAsia="zh-CN"/>
        </w:rPr>
        <w:t xml:space="preserve">Anderson, L. R., &amp; Mellor, J. M. (2009). Religion and cooperation in a public goods experiment. </w:t>
      </w:r>
      <w:r w:rsidRPr="002414E9">
        <w:rPr>
          <w:rFonts w:eastAsia="DengXian" w:cs="Times New Roman"/>
          <w:i/>
          <w:iCs/>
          <w:noProof/>
          <w:lang w:val="it-IT" w:eastAsia="zh-CN"/>
        </w:rPr>
        <w:t>Economics Letters</w:t>
      </w:r>
      <w:r w:rsidRPr="002414E9">
        <w:rPr>
          <w:rFonts w:eastAsia="DengXian" w:cs="Times New Roman"/>
          <w:noProof/>
          <w:lang w:val="it-IT" w:eastAsia="zh-CN"/>
        </w:rPr>
        <w:t xml:space="preserve">, </w:t>
      </w:r>
      <w:r w:rsidRPr="002414E9">
        <w:rPr>
          <w:rFonts w:eastAsia="DengXian" w:cs="Times New Roman"/>
          <w:i/>
          <w:iCs/>
          <w:noProof/>
          <w:lang w:val="it-IT" w:eastAsia="zh-CN"/>
        </w:rPr>
        <w:t>105</w:t>
      </w:r>
      <w:r w:rsidRPr="002414E9">
        <w:rPr>
          <w:rFonts w:eastAsia="DengXian" w:cs="Times New Roman"/>
          <w:noProof/>
          <w:lang w:val="it-IT" w:eastAsia="zh-CN"/>
        </w:rPr>
        <w:t>(1), 58–60. https://doi.org/10.1016/j.econlet.2009.05.016</w:t>
      </w:r>
    </w:p>
    <w:p w14:paraId="7250467E" w14:textId="2457C97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Anderson, L. R., DiTraglia, F. J., &amp; Gerlach, J. R. (2011). </w:t>
      </w:r>
      <w:r w:rsidRPr="002414E9">
        <w:rPr>
          <w:rFonts w:eastAsia="DengXian" w:cs="Times New Roman"/>
          <w:noProof/>
          <w:lang w:eastAsia="zh-CN"/>
        </w:rPr>
        <w:t xml:space="preserve">Measuring altruism in a public goods experiment: A comparison of U.S. and Czech subjects.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14</w:t>
      </w:r>
      <w:r w:rsidRPr="002414E9">
        <w:rPr>
          <w:rFonts w:eastAsia="DengXian" w:cs="Times New Roman"/>
          <w:noProof/>
          <w:lang w:eastAsia="zh-CN"/>
        </w:rPr>
        <w:t>(3), 91–110. https://doi.org/10.1007/s10683-011-9274-8</w:t>
      </w:r>
    </w:p>
    <w:p w14:paraId="0CAD5513" w14:textId="56D7A9A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Anderson, L. R., Mellor, J. M., &amp; Milyo, J. (2004). Social capital and contributions in a public-goods experiment. </w:t>
      </w:r>
      <w:r w:rsidRPr="002414E9">
        <w:rPr>
          <w:rFonts w:eastAsia="DengXian" w:cs="Times New Roman"/>
          <w:i/>
          <w:iCs/>
          <w:noProof/>
          <w:lang w:eastAsia="zh-CN"/>
        </w:rPr>
        <w:t>American Economic Review</w:t>
      </w:r>
      <w:r w:rsidRPr="002414E9">
        <w:rPr>
          <w:rFonts w:eastAsia="DengXian" w:cs="Times New Roman"/>
          <w:noProof/>
          <w:lang w:eastAsia="zh-CN"/>
        </w:rPr>
        <w:t xml:space="preserve">, </w:t>
      </w:r>
      <w:r w:rsidRPr="002414E9">
        <w:rPr>
          <w:rFonts w:eastAsia="DengXian" w:cs="Times New Roman"/>
          <w:i/>
          <w:iCs/>
          <w:noProof/>
          <w:lang w:eastAsia="zh-CN"/>
        </w:rPr>
        <w:t>94</w:t>
      </w:r>
      <w:r w:rsidRPr="002414E9">
        <w:rPr>
          <w:rFonts w:eastAsia="DengXian" w:cs="Times New Roman"/>
          <w:noProof/>
          <w:lang w:eastAsia="zh-CN"/>
        </w:rPr>
        <w:t>(2), 373–376. https://doi.org/10.1257/0002828041302082</w:t>
      </w:r>
    </w:p>
    <w:p w14:paraId="70A572C5"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Anderson, L. R., Mellor, J. M., &amp; Milyo, J. (2008). Inequality and public good provision: An experimental analysis. </w:t>
      </w:r>
      <w:r w:rsidRPr="002414E9">
        <w:rPr>
          <w:rFonts w:eastAsia="DengXian" w:cs="Times New Roman"/>
          <w:i/>
          <w:iCs/>
          <w:noProof/>
          <w:lang w:eastAsia="zh-CN"/>
        </w:rPr>
        <w:t>Journal of Socio-Economics</w:t>
      </w:r>
      <w:r w:rsidRPr="002414E9">
        <w:rPr>
          <w:rFonts w:eastAsia="DengXian" w:cs="Times New Roman"/>
          <w:noProof/>
          <w:lang w:eastAsia="zh-CN"/>
        </w:rPr>
        <w:t xml:space="preserve">, </w:t>
      </w:r>
      <w:r w:rsidRPr="002414E9">
        <w:rPr>
          <w:rFonts w:eastAsia="DengXian" w:cs="Times New Roman"/>
          <w:i/>
          <w:iCs/>
          <w:noProof/>
          <w:lang w:eastAsia="zh-CN"/>
        </w:rPr>
        <w:t>37</w:t>
      </w:r>
      <w:r w:rsidRPr="002414E9">
        <w:rPr>
          <w:rFonts w:eastAsia="DengXian" w:cs="Times New Roman"/>
          <w:noProof/>
          <w:lang w:eastAsia="zh-CN"/>
        </w:rPr>
        <w:t>(3), 1010–1028. https://doi.org/10.1016/j.socec.2006.12.073</w:t>
      </w:r>
    </w:p>
    <w:p w14:paraId="1630EA9A"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Andreoni, J. (1988). Why free ride?: Strategies and learning in public goods experiments.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37</w:t>
      </w:r>
      <w:r w:rsidRPr="002414E9">
        <w:rPr>
          <w:rFonts w:eastAsia="DengXian" w:cs="Times New Roman"/>
          <w:noProof/>
          <w:lang w:eastAsia="zh-CN"/>
        </w:rPr>
        <w:t>(3), 291–304. https://doi.org/10.1016/0047-2727(88)90043-6</w:t>
      </w:r>
    </w:p>
    <w:p w14:paraId="6DA4D34F" w14:textId="2A933418"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Andreoni, J. (1993). An experimental test of the public-goods crowding-out hypothesis. </w:t>
      </w:r>
      <w:r w:rsidRPr="002414E9">
        <w:rPr>
          <w:rFonts w:eastAsia="DengXian" w:cs="Times New Roman"/>
          <w:bCs/>
          <w:i/>
          <w:iCs/>
          <w:noProof/>
          <w:lang w:eastAsia="zh-CN"/>
        </w:rPr>
        <w:t>The American Economic Review</w:t>
      </w:r>
      <w:r w:rsidRPr="002414E9">
        <w:rPr>
          <w:rFonts w:eastAsia="DengXian" w:cs="Times New Roman"/>
          <w:bCs/>
          <w:noProof/>
          <w:lang w:eastAsia="zh-CN"/>
        </w:rPr>
        <w:t xml:space="preserve">, </w:t>
      </w:r>
      <w:r w:rsidRPr="002414E9">
        <w:rPr>
          <w:rFonts w:eastAsia="DengXian" w:cs="Times New Roman"/>
          <w:bCs/>
          <w:i/>
          <w:iCs/>
          <w:noProof/>
          <w:lang w:eastAsia="zh-CN"/>
        </w:rPr>
        <w:t>83</w:t>
      </w:r>
      <w:r w:rsidRPr="002414E9">
        <w:rPr>
          <w:rFonts w:eastAsia="DengXian" w:cs="Times New Roman"/>
          <w:bCs/>
          <w:noProof/>
          <w:lang w:eastAsia="zh-CN"/>
        </w:rPr>
        <w:t>(5), 1317–1327.</w:t>
      </w:r>
      <w:r w:rsidRPr="002414E9">
        <w:rPr>
          <w:rFonts w:eastAsia="DengXian" w:cs="Times New Roman" w:hint="eastAsia"/>
          <w:bCs/>
          <w:noProof/>
          <w:lang w:eastAsia="zh-CN"/>
        </w:rPr>
        <w:t xml:space="preserve"> </w:t>
      </w:r>
      <w:r w:rsidRPr="002414E9">
        <w:rPr>
          <w:rFonts w:eastAsia="DengXian" w:cs="Times New Roman"/>
          <w:bCs/>
          <w:noProof/>
          <w:lang w:eastAsia="zh-CN"/>
        </w:rPr>
        <w:t>https://www.jstor.org/stable/2117563</w:t>
      </w:r>
    </w:p>
    <w:p w14:paraId="674B74D5" w14:textId="6C4255CE"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lastRenderedPageBreak/>
        <w:t>Andreoni, J. (1995</w:t>
      </w:r>
      <w:r w:rsidRPr="002414E9">
        <w:rPr>
          <w:rFonts w:eastAsia="DengXian" w:cs="Times New Roman" w:hint="eastAsia"/>
          <w:bCs/>
          <w:noProof/>
          <w:lang w:eastAsia="zh-CN"/>
        </w:rPr>
        <w:t>a</w:t>
      </w:r>
      <w:r w:rsidRPr="002414E9">
        <w:rPr>
          <w:rFonts w:eastAsia="DengXian" w:cs="Times New Roman"/>
          <w:bCs/>
          <w:noProof/>
          <w:lang w:eastAsia="zh-CN"/>
        </w:rPr>
        <w:t xml:space="preserve">). Cooperation in public-goods experiments: Kindness or confusion?. </w:t>
      </w:r>
      <w:r w:rsidRPr="002414E9">
        <w:rPr>
          <w:rFonts w:eastAsia="DengXian" w:cs="Times New Roman"/>
          <w:bCs/>
          <w:i/>
          <w:iCs/>
          <w:noProof/>
          <w:lang w:eastAsia="zh-CN"/>
        </w:rPr>
        <w:t>The American Economic Review</w:t>
      </w:r>
      <w:r w:rsidRPr="002414E9">
        <w:rPr>
          <w:rFonts w:eastAsia="DengXian" w:cs="Times New Roman"/>
          <w:bCs/>
          <w:noProof/>
          <w:lang w:eastAsia="zh-CN"/>
        </w:rPr>
        <w:t xml:space="preserve">, </w:t>
      </w:r>
      <w:r w:rsidRPr="002414E9">
        <w:rPr>
          <w:rFonts w:eastAsia="DengXian" w:cs="Times New Roman"/>
          <w:bCs/>
          <w:i/>
          <w:iCs/>
          <w:noProof/>
          <w:lang w:eastAsia="zh-CN"/>
        </w:rPr>
        <w:t>85</w:t>
      </w:r>
      <w:r w:rsidRPr="002414E9">
        <w:rPr>
          <w:rFonts w:eastAsia="DengXian" w:cs="Times New Roman"/>
          <w:bCs/>
          <w:noProof/>
          <w:lang w:eastAsia="zh-CN"/>
        </w:rPr>
        <w:t>(4), 891–904. https://www.jstor.org/stable/2118238</w:t>
      </w:r>
    </w:p>
    <w:p w14:paraId="54CE0863" w14:textId="47E2BEEA"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Andreoni, J. (1995b). Warm-glow versus cold-prickle: The effects of positive and negative framing on cooperation in experiments. </w:t>
      </w:r>
      <w:r w:rsidRPr="002414E9">
        <w:rPr>
          <w:rFonts w:eastAsia="DengXian" w:cs="Times New Roman"/>
          <w:bCs/>
          <w:i/>
          <w:iCs/>
          <w:noProof/>
          <w:lang w:eastAsia="zh-CN"/>
        </w:rPr>
        <w:t>The Quarterly Journal of Economics</w:t>
      </w:r>
      <w:r w:rsidRPr="002414E9">
        <w:rPr>
          <w:rFonts w:eastAsia="DengXian" w:cs="Times New Roman"/>
          <w:bCs/>
          <w:noProof/>
          <w:lang w:eastAsia="zh-CN"/>
        </w:rPr>
        <w:t xml:space="preserve">, </w:t>
      </w:r>
      <w:r w:rsidRPr="002414E9">
        <w:rPr>
          <w:rFonts w:eastAsia="DengXian" w:cs="Times New Roman"/>
          <w:bCs/>
          <w:i/>
          <w:iCs/>
          <w:noProof/>
          <w:lang w:eastAsia="zh-CN"/>
        </w:rPr>
        <w:t>110</w:t>
      </w:r>
      <w:r w:rsidRPr="002414E9">
        <w:rPr>
          <w:rFonts w:eastAsia="DengXian" w:cs="Times New Roman"/>
          <w:bCs/>
          <w:noProof/>
          <w:lang w:eastAsia="zh-CN"/>
        </w:rPr>
        <w:t>(1), 1–21. https://doi.org/10.2307/2118508</w:t>
      </w:r>
    </w:p>
    <w:p w14:paraId="7F24A536" w14:textId="77777777" w:rsidR="002414E9" w:rsidRPr="002414E9" w:rsidRDefault="002414E9" w:rsidP="002414E9">
      <w:pPr>
        <w:widowControl w:val="0"/>
        <w:autoSpaceDE w:val="0"/>
        <w:autoSpaceDN w:val="0"/>
        <w:adjustRightInd w:val="0"/>
        <w:ind w:left="709" w:hanging="709"/>
        <w:rPr>
          <w:rFonts w:eastAsia="DengXian" w:cs="Times New Roman"/>
          <w:noProof/>
          <w:lang w:val="en-GB" w:eastAsia="zh-CN"/>
        </w:rPr>
      </w:pPr>
      <w:r w:rsidRPr="002414E9">
        <w:rPr>
          <w:rFonts w:eastAsia="DengXian" w:cs="Times New Roman"/>
          <w:noProof/>
          <w:lang w:val="en-GB" w:eastAsia="zh-CN"/>
        </w:rPr>
        <w:t xml:space="preserve">Andreoni, J., &amp; Gee, L. K. (2012). Gun for hire: Delegated enforcement and peer punishment in public goods provision. </w:t>
      </w:r>
      <w:r w:rsidRPr="002414E9">
        <w:rPr>
          <w:rFonts w:eastAsia="DengXian" w:cs="Times New Roman"/>
          <w:i/>
          <w:iCs/>
          <w:noProof/>
          <w:lang w:val="en-GB" w:eastAsia="zh-CN"/>
        </w:rPr>
        <w:t>Journal of Public Economics</w:t>
      </w:r>
      <w:r w:rsidRPr="002414E9">
        <w:rPr>
          <w:rFonts w:eastAsia="DengXian" w:cs="Times New Roman"/>
          <w:noProof/>
          <w:lang w:val="en-GB" w:eastAsia="zh-CN"/>
        </w:rPr>
        <w:t xml:space="preserve">, </w:t>
      </w:r>
      <w:r w:rsidRPr="002414E9">
        <w:rPr>
          <w:rFonts w:eastAsia="DengXian" w:cs="Times New Roman"/>
          <w:i/>
          <w:iCs/>
          <w:noProof/>
          <w:lang w:val="en-GB" w:eastAsia="zh-CN"/>
        </w:rPr>
        <w:t>96</w:t>
      </w:r>
      <w:r w:rsidRPr="002414E9">
        <w:rPr>
          <w:rFonts w:eastAsia="DengXian" w:cs="Times New Roman"/>
          <w:noProof/>
          <w:lang w:val="en-GB" w:eastAsia="zh-CN"/>
        </w:rPr>
        <w:t>(11–12), 1036–1046. https://doi.org/10.1016/j.jpubeco.2012.08.003</w:t>
      </w:r>
    </w:p>
    <w:p w14:paraId="3BE3145C" w14:textId="60C2F33E"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it-IT" w:eastAsia="zh-CN"/>
        </w:rPr>
        <w:t xml:space="preserve">Andreoni, J., &amp; Gee, L. K. (2015). </w:t>
      </w:r>
      <w:r w:rsidRPr="002414E9">
        <w:rPr>
          <w:rFonts w:eastAsia="DengXian" w:cs="Times New Roman"/>
          <w:bCs/>
          <w:noProof/>
          <w:lang w:eastAsia="zh-CN"/>
        </w:rPr>
        <w:t xml:space="preserve">Gunning for efficiency with third party enforcement in threshold public goods. </w:t>
      </w:r>
      <w:r w:rsidRPr="002414E9">
        <w:rPr>
          <w:rFonts w:eastAsia="DengXian" w:cs="Times New Roman"/>
          <w:bCs/>
          <w:i/>
          <w:iCs/>
          <w:noProof/>
          <w:lang w:eastAsia="zh-CN"/>
        </w:rPr>
        <w:t>Experimental Economics</w:t>
      </w:r>
      <w:r w:rsidRPr="002414E9">
        <w:rPr>
          <w:rFonts w:eastAsia="DengXian" w:cs="Times New Roman"/>
          <w:bCs/>
          <w:noProof/>
          <w:lang w:eastAsia="zh-CN"/>
        </w:rPr>
        <w:t xml:space="preserve">, </w:t>
      </w:r>
      <w:r w:rsidRPr="002414E9">
        <w:rPr>
          <w:rFonts w:eastAsia="DengXian" w:cs="Times New Roman"/>
          <w:bCs/>
          <w:i/>
          <w:iCs/>
          <w:noProof/>
          <w:lang w:eastAsia="zh-CN"/>
        </w:rPr>
        <w:t>18</w:t>
      </w:r>
      <w:r w:rsidRPr="002414E9">
        <w:rPr>
          <w:rFonts w:eastAsia="DengXian" w:cs="Times New Roman"/>
          <w:bCs/>
          <w:noProof/>
          <w:lang w:eastAsia="zh-CN"/>
        </w:rPr>
        <w:t xml:space="preserve">(1), 154–171. </w:t>
      </w:r>
      <w:bookmarkStart w:id="45" w:name="_Hlk54097410"/>
      <w:r w:rsidRPr="002414E9">
        <w:rPr>
          <w:rFonts w:eastAsia="DengXian" w:cs="Times New Roman"/>
          <w:bCs/>
          <w:noProof/>
          <w:lang w:eastAsia="zh-CN"/>
        </w:rPr>
        <w:t>https://doi.org/</w:t>
      </w:r>
      <w:bookmarkEnd w:id="45"/>
      <w:r w:rsidRPr="002414E9">
        <w:rPr>
          <w:rFonts w:eastAsia="DengXian" w:cs="Times New Roman"/>
          <w:bCs/>
          <w:noProof/>
          <w:lang w:eastAsia="zh-CN"/>
        </w:rPr>
        <w:t>10.1007/s10683-014-9392-1</w:t>
      </w:r>
    </w:p>
    <w:p w14:paraId="1190DE1F" w14:textId="31FA825E"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Andreoni, J., &amp; Petrie, R. (2008). Beauty, gender and stereotypes: Evidence from laboratory experiments. </w:t>
      </w:r>
      <w:r w:rsidRPr="002414E9">
        <w:rPr>
          <w:rFonts w:eastAsia="DengXian" w:cs="Times New Roman"/>
          <w:bCs/>
          <w:i/>
          <w:iCs/>
          <w:noProof/>
          <w:lang w:eastAsia="zh-CN"/>
        </w:rPr>
        <w:t>Journal of Economic Psychology</w:t>
      </w:r>
      <w:r w:rsidRPr="002414E9">
        <w:rPr>
          <w:rFonts w:eastAsia="DengXian" w:cs="Times New Roman"/>
          <w:bCs/>
          <w:noProof/>
          <w:lang w:eastAsia="zh-CN"/>
        </w:rPr>
        <w:t xml:space="preserve">, </w:t>
      </w:r>
      <w:r w:rsidRPr="002414E9">
        <w:rPr>
          <w:rFonts w:eastAsia="DengXian" w:cs="Times New Roman"/>
          <w:bCs/>
          <w:i/>
          <w:iCs/>
          <w:noProof/>
          <w:lang w:eastAsia="zh-CN"/>
        </w:rPr>
        <w:t>29</w:t>
      </w:r>
      <w:r w:rsidRPr="002414E9">
        <w:rPr>
          <w:rFonts w:eastAsia="DengXian" w:cs="Times New Roman"/>
          <w:bCs/>
          <w:noProof/>
          <w:lang w:eastAsia="zh-CN"/>
        </w:rPr>
        <w:t>(1), 73–93. https://doi.org/10.1016/j.joep.2007.07.008</w:t>
      </w:r>
    </w:p>
    <w:p w14:paraId="7DA616C9" w14:textId="726818C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Andreoni, J., &amp; Varian, H. (1999). Preplay contracting in the Prisoners’ Dilemma. </w:t>
      </w:r>
      <w:r w:rsidRPr="002414E9">
        <w:rPr>
          <w:rFonts w:eastAsia="DengXian" w:cs="Times New Roman"/>
          <w:i/>
          <w:iCs/>
          <w:noProof/>
          <w:lang w:eastAsia="zh-CN"/>
        </w:rPr>
        <w:t>Proceedings of the National Academy of Sciences</w:t>
      </w:r>
      <w:r w:rsidRPr="002414E9">
        <w:rPr>
          <w:rFonts w:eastAsia="DengXian" w:cs="Times New Roman"/>
          <w:noProof/>
          <w:lang w:eastAsia="zh-CN"/>
        </w:rPr>
        <w:t xml:space="preserve">, </w:t>
      </w:r>
      <w:r w:rsidRPr="002414E9">
        <w:rPr>
          <w:rFonts w:eastAsia="DengXian" w:cs="Times New Roman"/>
          <w:i/>
          <w:iCs/>
          <w:noProof/>
          <w:lang w:eastAsia="zh-CN"/>
        </w:rPr>
        <w:t>96</w:t>
      </w:r>
      <w:r w:rsidRPr="002414E9">
        <w:rPr>
          <w:rFonts w:eastAsia="DengXian" w:cs="Times New Roman"/>
          <w:noProof/>
          <w:lang w:eastAsia="zh-CN"/>
        </w:rPr>
        <w:t>(19), 10933–10938. https://doi.org/10.1073/pnas.96.19.10933</w:t>
      </w:r>
    </w:p>
    <w:p w14:paraId="67C520D1" w14:textId="1E8A7E5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Andreoni, J., Brown, P. M., &amp; Vesterlund, L. (2002). </w:t>
      </w:r>
      <w:r w:rsidRPr="002414E9">
        <w:rPr>
          <w:rFonts w:eastAsia="DengXian" w:cs="Times New Roman"/>
          <w:noProof/>
          <w:lang w:eastAsia="zh-CN"/>
        </w:rPr>
        <w:t xml:space="preserve">What makes an allocation fair? Some experimental evidence. </w:t>
      </w:r>
      <w:r w:rsidRPr="002414E9">
        <w:rPr>
          <w:rFonts w:eastAsia="DengXian" w:cs="Times New Roman"/>
          <w:i/>
          <w:iCs/>
          <w:noProof/>
          <w:lang w:eastAsia="zh-CN"/>
        </w:rPr>
        <w:t>Games and Economic Behavior</w:t>
      </w:r>
      <w:r w:rsidRPr="002414E9">
        <w:rPr>
          <w:rFonts w:eastAsia="DengXian" w:cs="Times New Roman"/>
          <w:noProof/>
          <w:lang w:eastAsia="zh-CN"/>
        </w:rPr>
        <w:t xml:space="preserve">, </w:t>
      </w:r>
      <w:r w:rsidRPr="002414E9">
        <w:rPr>
          <w:rFonts w:eastAsia="DengXian" w:cs="Times New Roman"/>
          <w:i/>
          <w:iCs/>
          <w:noProof/>
          <w:lang w:eastAsia="zh-CN"/>
        </w:rPr>
        <w:t>40</w:t>
      </w:r>
      <w:r w:rsidRPr="002414E9">
        <w:rPr>
          <w:rFonts w:eastAsia="DengXian" w:cs="Times New Roman"/>
          <w:noProof/>
          <w:lang w:eastAsia="zh-CN"/>
        </w:rPr>
        <w:t>(1), 1–24. https://doi.org/10.1006/game.2001.0904</w:t>
      </w:r>
    </w:p>
    <w:p w14:paraId="1088DF40" w14:textId="421D2AA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Andrighetto, G., Brandts, J., Conte, R., Sabater-Mir, J., Solaz, H., Székely, Á., &amp; Villatoro, D. (2016). </w:t>
      </w:r>
      <w:r w:rsidRPr="002414E9">
        <w:rPr>
          <w:rFonts w:eastAsia="DengXian" w:cs="Times New Roman"/>
          <w:noProof/>
          <w:lang w:eastAsia="zh-CN"/>
        </w:rPr>
        <w:t xml:space="preserve">Counter-punishment, communication, and cooperation among partners. </w:t>
      </w:r>
      <w:r w:rsidRPr="002414E9">
        <w:rPr>
          <w:rFonts w:eastAsia="DengXian" w:cs="Times New Roman"/>
          <w:i/>
          <w:iCs/>
          <w:noProof/>
          <w:lang w:eastAsia="zh-CN"/>
        </w:rPr>
        <w:t>Frontiers in Behavioral Neuroscience</w:t>
      </w:r>
      <w:r w:rsidRPr="002414E9">
        <w:rPr>
          <w:rFonts w:eastAsia="DengXian" w:cs="Times New Roman"/>
          <w:noProof/>
          <w:lang w:eastAsia="zh-CN"/>
        </w:rPr>
        <w:t xml:space="preserve">, </w:t>
      </w:r>
      <w:r w:rsidRPr="002414E9">
        <w:rPr>
          <w:rFonts w:eastAsia="DengXian" w:cs="Times New Roman"/>
          <w:i/>
          <w:iCs/>
          <w:noProof/>
          <w:lang w:eastAsia="zh-CN"/>
        </w:rPr>
        <w:t>10</w:t>
      </w:r>
      <w:r w:rsidRPr="002414E9">
        <w:rPr>
          <w:rFonts w:eastAsia="DengXian" w:cs="Times New Roman"/>
          <w:noProof/>
          <w:lang w:eastAsia="zh-CN"/>
        </w:rPr>
        <w:t>, 53. https://doi.org/10.3389/fnbeh.2016.00053</w:t>
      </w:r>
    </w:p>
    <w:p w14:paraId="2A6BC957" w14:textId="73FAA6E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lastRenderedPageBreak/>
        <w:t xml:space="preserve">Anshel, A., &amp; Kipper, D. A. (1988). </w:t>
      </w:r>
      <w:r w:rsidRPr="002414E9">
        <w:rPr>
          <w:rFonts w:eastAsia="DengXian" w:cs="Times New Roman"/>
          <w:noProof/>
          <w:lang w:eastAsia="zh-CN"/>
        </w:rPr>
        <w:t xml:space="preserve">The influence of group singing on trust and cooperation. </w:t>
      </w:r>
      <w:r w:rsidRPr="002414E9">
        <w:rPr>
          <w:rFonts w:eastAsia="DengXian" w:cs="Times New Roman"/>
          <w:i/>
          <w:iCs/>
          <w:noProof/>
          <w:lang w:eastAsia="zh-CN"/>
        </w:rPr>
        <w:t>Journal of Music Therapy</w:t>
      </w:r>
      <w:r w:rsidRPr="002414E9">
        <w:rPr>
          <w:rFonts w:eastAsia="DengXian" w:cs="Times New Roman"/>
          <w:noProof/>
          <w:lang w:eastAsia="zh-CN"/>
        </w:rPr>
        <w:t xml:space="preserve">, </w:t>
      </w:r>
      <w:r w:rsidRPr="002414E9">
        <w:rPr>
          <w:rFonts w:eastAsia="DengXian" w:cs="Times New Roman"/>
          <w:i/>
          <w:iCs/>
          <w:noProof/>
          <w:lang w:eastAsia="zh-CN"/>
        </w:rPr>
        <w:t>25</w:t>
      </w:r>
      <w:r w:rsidRPr="002414E9">
        <w:rPr>
          <w:rFonts w:eastAsia="DengXian" w:cs="Times New Roman"/>
          <w:noProof/>
          <w:lang w:eastAsia="zh-CN"/>
        </w:rPr>
        <w:t>(3), 145–155. https://doi.org/10.1093/jmt/25.3.145</w:t>
      </w:r>
    </w:p>
    <w:p w14:paraId="0417CB3A" w14:textId="71E1E26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Antonides, G. (1994). Mental accounting in a sequential Prisoner’s Dilemma game. </w:t>
      </w:r>
      <w:r w:rsidRPr="002414E9">
        <w:rPr>
          <w:rFonts w:eastAsia="DengXian" w:cs="Times New Roman"/>
          <w:i/>
          <w:iCs/>
          <w:noProof/>
          <w:lang w:eastAsia="zh-CN"/>
        </w:rPr>
        <w:t>Journal of Economic Psychology</w:t>
      </w:r>
      <w:r w:rsidRPr="002414E9">
        <w:rPr>
          <w:rFonts w:eastAsia="DengXian" w:cs="Times New Roman"/>
          <w:noProof/>
          <w:lang w:eastAsia="zh-CN"/>
        </w:rPr>
        <w:t xml:space="preserve">, </w:t>
      </w:r>
      <w:r w:rsidRPr="002414E9">
        <w:rPr>
          <w:rFonts w:eastAsia="DengXian" w:cs="Times New Roman"/>
          <w:i/>
          <w:iCs/>
          <w:noProof/>
          <w:lang w:eastAsia="zh-CN"/>
        </w:rPr>
        <w:t>15</w:t>
      </w:r>
      <w:r w:rsidRPr="002414E9">
        <w:rPr>
          <w:rFonts w:eastAsia="DengXian" w:cs="Times New Roman"/>
          <w:noProof/>
          <w:lang w:eastAsia="zh-CN"/>
        </w:rPr>
        <w:t>(2), 351–374. https://doi.org/10.1016/0167-4870(94)90009-4</w:t>
      </w:r>
    </w:p>
    <w:p w14:paraId="1FDC2186" w14:textId="01B683D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Apesteguia, J., &amp; Maier-Rigaud, F. P. (2006). </w:t>
      </w:r>
      <w:r w:rsidRPr="002414E9">
        <w:rPr>
          <w:rFonts w:eastAsia="DengXian" w:cs="Times New Roman"/>
          <w:noProof/>
          <w:lang w:eastAsia="zh-CN"/>
        </w:rPr>
        <w:t xml:space="preserve">The role of rivalry: Public goods versus common-pool resoucres. </w:t>
      </w:r>
      <w:r w:rsidRPr="002414E9">
        <w:rPr>
          <w:rFonts w:eastAsia="DengXian" w:cs="Times New Roman"/>
          <w:i/>
          <w:iCs/>
          <w:noProof/>
          <w:lang w:eastAsia="zh-CN"/>
        </w:rPr>
        <w:t>Journal of Conflict Resolution</w:t>
      </w:r>
      <w:r w:rsidRPr="002414E9">
        <w:rPr>
          <w:rFonts w:eastAsia="DengXian" w:cs="Times New Roman"/>
          <w:noProof/>
          <w:lang w:eastAsia="zh-CN"/>
        </w:rPr>
        <w:t xml:space="preserve">, </w:t>
      </w:r>
      <w:r w:rsidRPr="002414E9">
        <w:rPr>
          <w:rFonts w:eastAsia="DengXian" w:cs="Times New Roman"/>
          <w:i/>
          <w:iCs/>
          <w:noProof/>
          <w:lang w:eastAsia="zh-CN"/>
        </w:rPr>
        <w:t>50</w:t>
      </w:r>
      <w:r w:rsidRPr="002414E9">
        <w:rPr>
          <w:rFonts w:eastAsia="DengXian" w:cs="Times New Roman"/>
          <w:noProof/>
          <w:lang w:eastAsia="zh-CN"/>
        </w:rPr>
        <w:t>(5), 646–663. https://doi.org/10.1177/0022002706290433</w:t>
      </w:r>
    </w:p>
    <w:p w14:paraId="5AFEE706" w14:textId="51EBEE5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Aquino, K., Steisel, V., &amp; Kay, A. (1992). The effects of resource distribution, voice, and decision framing on the provision of public goods. </w:t>
      </w:r>
      <w:r w:rsidRPr="002414E9">
        <w:rPr>
          <w:rFonts w:eastAsia="DengXian" w:cs="Times New Roman"/>
          <w:i/>
          <w:iCs/>
          <w:noProof/>
          <w:lang w:eastAsia="zh-CN"/>
        </w:rPr>
        <w:t>Journal of Conflict Resolution</w:t>
      </w:r>
      <w:r w:rsidRPr="002414E9">
        <w:rPr>
          <w:rFonts w:eastAsia="DengXian" w:cs="Times New Roman"/>
          <w:noProof/>
          <w:lang w:eastAsia="zh-CN"/>
        </w:rPr>
        <w:t xml:space="preserve">, </w:t>
      </w:r>
      <w:r w:rsidRPr="002414E9">
        <w:rPr>
          <w:rFonts w:eastAsia="DengXian" w:cs="Times New Roman"/>
          <w:i/>
          <w:iCs/>
          <w:noProof/>
          <w:lang w:eastAsia="zh-CN"/>
        </w:rPr>
        <w:t>36</w:t>
      </w:r>
      <w:r w:rsidRPr="002414E9">
        <w:rPr>
          <w:rFonts w:eastAsia="DengXian" w:cs="Times New Roman"/>
          <w:noProof/>
          <w:lang w:eastAsia="zh-CN"/>
        </w:rPr>
        <w:t>(4), 665–687. https://doi.org/10.1177/0022002792036004003</w:t>
      </w:r>
    </w:p>
    <w:p w14:paraId="7FF1A6BF" w14:textId="63249F9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s-ES" w:eastAsia="zh-CN"/>
        </w:rPr>
        <w:t xml:space="preserve">Arbel, Y., Bar-El, R., &amp; Tobol, Y. (2016). </w:t>
      </w:r>
      <w:r w:rsidRPr="002414E9">
        <w:rPr>
          <w:rFonts w:eastAsia="DengXian" w:cs="Times New Roman"/>
          <w:noProof/>
          <w:lang w:eastAsia="zh-CN"/>
        </w:rPr>
        <w:t xml:space="preserve">Fundraising to a real-life public good – evidence from the laboratory. </w:t>
      </w:r>
      <w:r w:rsidRPr="002414E9">
        <w:rPr>
          <w:rFonts w:eastAsia="DengXian" w:cs="Times New Roman"/>
          <w:i/>
          <w:iCs/>
          <w:noProof/>
          <w:lang w:eastAsia="zh-CN"/>
        </w:rPr>
        <w:t>Journal of Behavioral and Experimental Economics</w:t>
      </w:r>
      <w:r w:rsidRPr="002414E9">
        <w:rPr>
          <w:rFonts w:eastAsia="DengXian" w:cs="Times New Roman"/>
          <w:noProof/>
          <w:lang w:eastAsia="zh-CN"/>
        </w:rPr>
        <w:t xml:space="preserve">, </w:t>
      </w:r>
      <w:r w:rsidRPr="002414E9">
        <w:rPr>
          <w:rFonts w:eastAsia="DengXian" w:cs="Times New Roman"/>
          <w:i/>
          <w:iCs/>
          <w:noProof/>
          <w:lang w:eastAsia="zh-CN"/>
        </w:rPr>
        <w:t>65</w:t>
      </w:r>
      <w:r w:rsidRPr="002414E9">
        <w:rPr>
          <w:rFonts w:eastAsia="DengXian" w:cs="Times New Roman"/>
          <w:noProof/>
          <w:lang w:eastAsia="zh-CN"/>
        </w:rPr>
        <w:t>, 27–37. https://doi.org/10.1016/j.socec.2016.09.002</w:t>
      </w:r>
    </w:p>
    <w:p w14:paraId="7496D7DB"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Arechar, A. A., Gächter, S., &amp; Molleman, L. (2018). </w:t>
      </w:r>
      <w:r w:rsidRPr="002414E9">
        <w:rPr>
          <w:rFonts w:eastAsia="DengXian" w:cs="Times New Roman"/>
          <w:noProof/>
          <w:lang w:eastAsia="zh-CN"/>
        </w:rPr>
        <w:t xml:space="preserve">Conducting interactive experiments online.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21</w:t>
      </w:r>
      <w:r w:rsidRPr="002414E9">
        <w:rPr>
          <w:rFonts w:eastAsia="DengXian" w:cs="Times New Roman"/>
          <w:noProof/>
          <w:lang w:eastAsia="zh-CN"/>
        </w:rPr>
        <w:t>(1), 99–131. https://doi.org/10.1007/s10683-017-9527-2</w:t>
      </w:r>
    </w:p>
    <w:p w14:paraId="59E3F11B" w14:textId="0F0C002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Arechar, A. A., Kraft-Todd, G. T., &amp; Rand, D. G. (2017). </w:t>
      </w:r>
      <w:r w:rsidRPr="002414E9">
        <w:rPr>
          <w:rFonts w:eastAsia="DengXian" w:cs="Times New Roman"/>
          <w:noProof/>
          <w:lang w:eastAsia="zh-CN"/>
        </w:rPr>
        <w:t xml:space="preserve">Turking over time: How participant characteristics and behavior vary over time and day on Amazon Mechanical Turk. </w:t>
      </w:r>
      <w:r w:rsidRPr="002414E9">
        <w:rPr>
          <w:rFonts w:eastAsia="DengXian" w:cs="Times New Roman"/>
          <w:i/>
          <w:iCs/>
          <w:noProof/>
          <w:lang w:eastAsia="zh-CN"/>
        </w:rPr>
        <w:t>Journal of the Economic Science Association</w:t>
      </w:r>
      <w:r w:rsidRPr="002414E9">
        <w:rPr>
          <w:rFonts w:eastAsia="DengXian" w:cs="Times New Roman"/>
          <w:noProof/>
          <w:lang w:eastAsia="zh-CN"/>
        </w:rPr>
        <w:t xml:space="preserve">, </w:t>
      </w:r>
      <w:r w:rsidRPr="002414E9">
        <w:rPr>
          <w:rFonts w:eastAsia="DengXian" w:cs="Times New Roman"/>
          <w:i/>
          <w:iCs/>
          <w:noProof/>
          <w:lang w:eastAsia="zh-CN"/>
        </w:rPr>
        <w:t>3</w:t>
      </w:r>
      <w:r w:rsidRPr="002414E9">
        <w:rPr>
          <w:rFonts w:eastAsia="DengXian" w:cs="Times New Roman"/>
          <w:noProof/>
          <w:lang w:eastAsia="zh-CN"/>
        </w:rPr>
        <w:t>(1), 1–11. https://doi.org/10.1007/s40881-017-0035-0</w:t>
      </w:r>
    </w:p>
    <w:p w14:paraId="18A57F17" w14:textId="5A6DF7BC" w:rsidR="002414E9" w:rsidRPr="002414E9" w:rsidRDefault="002414E9" w:rsidP="002414E9">
      <w:pPr>
        <w:widowControl w:val="0"/>
        <w:autoSpaceDE w:val="0"/>
        <w:autoSpaceDN w:val="0"/>
        <w:adjustRightInd w:val="0"/>
        <w:ind w:left="709" w:hanging="709"/>
        <w:rPr>
          <w:rFonts w:eastAsia="DengXian" w:cs="Times New Roman"/>
          <w:bCs/>
          <w:noProof/>
          <w:lang w:val="fr-FR" w:eastAsia="zh-CN"/>
        </w:rPr>
      </w:pPr>
      <w:r w:rsidRPr="002414E9">
        <w:rPr>
          <w:rFonts w:eastAsia="DengXian" w:cs="Times New Roman"/>
          <w:bCs/>
          <w:noProof/>
          <w:lang w:val="de-DE" w:eastAsia="zh-CN"/>
        </w:rPr>
        <w:t xml:space="preserve">Arnstein, F., &amp; Feigenbaum, K. D. (1967). </w:t>
      </w:r>
      <w:r w:rsidRPr="002414E9">
        <w:rPr>
          <w:rFonts w:eastAsia="DengXian" w:cs="Times New Roman"/>
          <w:bCs/>
          <w:noProof/>
          <w:lang w:eastAsia="zh-CN"/>
        </w:rPr>
        <w:t xml:space="preserve">Relationship of three motives to choice in the Prisoner's Dilemma. </w:t>
      </w:r>
      <w:r w:rsidRPr="002414E9">
        <w:rPr>
          <w:rFonts w:eastAsia="DengXian" w:cs="Times New Roman"/>
          <w:bCs/>
          <w:i/>
          <w:iCs/>
          <w:noProof/>
          <w:lang w:val="fr-FR" w:eastAsia="zh-CN"/>
        </w:rPr>
        <w:t>Psychological Reports</w:t>
      </w:r>
      <w:r w:rsidRPr="002414E9">
        <w:rPr>
          <w:rFonts w:eastAsia="DengXian" w:cs="Times New Roman"/>
          <w:bCs/>
          <w:noProof/>
          <w:lang w:val="fr-FR" w:eastAsia="zh-CN"/>
        </w:rPr>
        <w:t xml:space="preserve">, </w:t>
      </w:r>
      <w:r w:rsidRPr="002414E9">
        <w:rPr>
          <w:rFonts w:eastAsia="DengXian" w:cs="Times New Roman"/>
          <w:bCs/>
          <w:i/>
          <w:iCs/>
          <w:noProof/>
          <w:lang w:val="fr-FR" w:eastAsia="zh-CN"/>
        </w:rPr>
        <w:t>20</w:t>
      </w:r>
      <w:r w:rsidRPr="002414E9">
        <w:rPr>
          <w:rFonts w:eastAsia="DengXian" w:cs="Times New Roman"/>
          <w:bCs/>
          <w:noProof/>
          <w:lang w:val="fr-FR" w:eastAsia="zh-CN"/>
        </w:rPr>
        <w:t>(3), 751–755. https://doi.org/10.2466/pr0.1967.20.3.751</w:t>
      </w:r>
    </w:p>
    <w:p w14:paraId="20094683" w14:textId="47C5C9E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fr-FR" w:eastAsia="zh-CN"/>
        </w:rPr>
        <w:t xml:space="preserve">Arora, P., Logg, J., &amp; Larrick, R. (2016). </w:t>
      </w:r>
      <w:r w:rsidRPr="002414E9">
        <w:rPr>
          <w:rFonts w:eastAsia="DengXian" w:cs="Times New Roman"/>
          <w:noProof/>
          <w:lang w:eastAsia="zh-CN"/>
        </w:rPr>
        <w:t xml:space="preserve">Acting for the greater good: Identification with group </w:t>
      </w:r>
      <w:r w:rsidRPr="002414E9">
        <w:rPr>
          <w:rFonts w:eastAsia="DengXian" w:cs="Times New Roman"/>
          <w:noProof/>
          <w:lang w:eastAsia="zh-CN"/>
        </w:rPr>
        <w:lastRenderedPageBreak/>
        <w:t xml:space="preserve">determines choices in sequential contribution dilemmas. </w:t>
      </w:r>
      <w:r w:rsidRPr="002414E9">
        <w:rPr>
          <w:rFonts w:eastAsia="DengXian" w:cs="Times New Roman"/>
          <w:i/>
          <w:iCs/>
          <w:noProof/>
          <w:lang w:eastAsia="zh-CN"/>
        </w:rPr>
        <w:t>Journal of Behavioral Decision Making</w:t>
      </w:r>
      <w:r w:rsidRPr="002414E9">
        <w:rPr>
          <w:rFonts w:eastAsia="DengXian" w:cs="Times New Roman"/>
          <w:noProof/>
          <w:lang w:eastAsia="zh-CN"/>
        </w:rPr>
        <w:t xml:space="preserve">, </w:t>
      </w:r>
      <w:r w:rsidRPr="002414E9">
        <w:rPr>
          <w:rFonts w:eastAsia="DengXian" w:cs="Times New Roman"/>
          <w:i/>
          <w:iCs/>
          <w:noProof/>
          <w:lang w:eastAsia="zh-CN"/>
        </w:rPr>
        <w:t>29</w:t>
      </w:r>
      <w:r w:rsidRPr="002414E9">
        <w:rPr>
          <w:rFonts w:eastAsia="DengXian" w:cs="Times New Roman"/>
          <w:noProof/>
          <w:lang w:eastAsia="zh-CN"/>
        </w:rPr>
        <w:t>(5), 499–510. https://doi.org/10.1002/bdm.1892</w:t>
      </w:r>
    </w:p>
    <w:p w14:paraId="1EE2C910" w14:textId="09DF7E42"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Arora, P., Peterson, N. D., Krantz, D. H., Hardisty, D. J., &amp; Reddy, K. S. (2012). To cooperate or not to cooperate: Using new methodologies and frameworks to understand how affiliation influences cooperation in the present and future. </w:t>
      </w:r>
      <w:r w:rsidRPr="002414E9">
        <w:rPr>
          <w:rFonts w:eastAsia="DengXian" w:cs="Times New Roman"/>
          <w:bCs/>
          <w:i/>
          <w:iCs/>
          <w:noProof/>
          <w:lang w:eastAsia="zh-CN"/>
        </w:rPr>
        <w:t>Journal of Economic Psychology</w:t>
      </w:r>
      <w:r w:rsidRPr="002414E9">
        <w:rPr>
          <w:rFonts w:eastAsia="DengXian" w:cs="Times New Roman"/>
          <w:bCs/>
          <w:noProof/>
          <w:lang w:eastAsia="zh-CN"/>
        </w:rPr>
        <w:t xml:space="preserve">, </w:t>
      </w:r>
      <w:r w:rsidRPr="002414E9">
        <w:rPr>
          <w:rFonts w:eastAsia="DengXian" w:cs="Times New Roman"/>
          <w:bCs/>
          <w:i/>
          <w:iCs/>
          <w:noProof/>
          <w:lang w:eastAsia="zh-CN"/>
        </w:rPr>
        <w:t>33</w:t>
      </w:r>
      <w:r w:rsidRPr="002414E9">
        <w:rPr>
          <w:rFonts w:eastAsia="DengXian" w:cs="Times New Roman"/>
          <w:bCs/>
          <w:noProof/>
          <w:lang w:eastAsia="zh-CN"/>
        </w:rPr>
        <w:t>(4), 842</w:t>
      </w:r>
      <w:bookmarkStart w:id="46" w:name="_Hlk54461167"/>
      <w:r w:rsidRPr="002414E9">
        <w:rPr>
          <w:rFonts w:eastAsia="DengXian" w:cs="Times New Roman"/>
          <w:bCs/>
          <w:noProof/>
          <w:lang w:eastAsia="zh-CN"/>
        </w:rPr>
        <w:t>–</w:t>
      </w:r>
      <w:bookmarkEnd w:id="46"/>
      <w:r w:rsidRPr="002414E9">
        <w:rPr>
          <w:rFonts w:eastAsia="DengXian" w:cs="Times New Roman"/>
          <w:bCs/>
          <w:noProof/>
          <w:lang w:eastAsia="zh-CN"/>
        </w:rPr>
        <w:t>853. https://doi.org/10.1016/j.joep.2012.02.006</w:t>
      </w:r>
    </w:p>
    <w:p w14:paraId="7D482A80" w14:textId="5DFB6D8F"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Atanasov, P., &amp; Kunreuther, H. (2016). Cautious defection: Group representatives cooperate and risk less than individuals. </w:t>
      </w:r>
      <w:r w:rsidRPr="002414E9">
        <w:rPr>
          <w:rFonts w:eastAsia="DengXian" w:cs="Times New Roman"/>
          <w:bCs/>
          <w:i/>
          <w:iCs/>
          <w:noProof/>
          <w:lang w:eastAsia="zh-CN"/>
        </w:rPr>
        <w:t>Journal of Behavioral Decision Making</w:t>
      </w:r>
      <w:r w:rsidRPr="002414E9">
        <w:rPr>
          <w:rFonts w:eastAsia="DengXian" w:cs="Times New Roman"/>
          <w:bCs/>
          <w:noProof/>
          <w:lang w:eastAsia="zh-CN"/>
        </w:rPr>
        <w:t xml:space="preserve">, </w:t>
      </w:r>
      <w:r w:rsidRPr="002414E9">
        <w:rPr>
          <w:rFonts w:eastAsia="DengXian" w:cs="Times New Roman"/>
          <w:bCs/>
          <w:i/>
          <w:iCs/>
          <w:noProof/>
          <w:lang w:eastAsia="zh-CN"/>
        </w:rPr>
        <w:t>29</w:t>
      </w:r>
      <w:r w:rsidRPr="002414E9">
        <w:rPr>
          <w:rFonts w:eastAsia="DengXian" w:cs="Times New Roman"/>
          <w:bCs/>
          <w:noProof/>
          <w:lang w:eastAsia="zh-CN"/>
        </w:rPr>
        <w:t>(4), 372–380. https://doi.org/10.1002/bdm.1880</w:t>
      </w:r>
    </w:p>
    <w:p w14:paraId="54935979" w14:textId="11A7010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Attanasio, O., Pellerano, L., &amp; Reyes, S. P. (2009). </w:t>
      </w:r>
      <w:r w:rsidRPr="002414E9">
        <w:rPr>
          <w:rFonts w:eastAsia="DengXian" w:cs="Times New Roman"/>
          <w:noProof/>
          <w:lang w:eastAsia="zh-CN"/>
        </w:rPr>
        <w:t xml:space="preserve">Building trust? Conditional cash transfer programmes and social capital. </w:t>
      </w:r>
      <w:r w:rsidRPr="002414E9">
        <w:rPr>
          <w:rFonts w:eastAsia="DengXian" w:cs="Times New Roman"/>
          <w:i/>
          <w:iCs/>
          <w:noProof/>
          <w:lang w:eastAsia="zh-CN"/>
        </w:rPr>
        <w:t>Fiscal Studies</w:t>
      </w:r>
      <w:r w:rsidRPr="002414E9">
        <w:rPr>
          <w:rFonts w:eastAsia="DengXian" w:cs="Times New Roman"/>
          <w:noProof/>
          <w:lang w:eastAsia="zh-CN"/>
        </w:rPr>
        <w:t xml:space="preserve">, </w:t>
      </w:r>
      <w:r w:rsidRPr="002414E9">
        <w:rPr>
          <w:rFonts w:eastAsia="DengXian" w:cs="Times New Roman"/>
          <w:i/>
          <w:iCs/>
          <w:noProof/>
          <w:lang w:eastAsia="zh-CN"/>
        </w:rPr>
        <w:t>30</w:t>
      </w:r>
      <w:r w:rsidRPr="002414E9">
        <w:rPr>
          <w:rFonts w:eastAsia="DengXian" w:cs="Times New Roman"/>
          <w:noProof/>
          <w:lang w:eastAsia="zh-CN"/>
        </w:rPr>
        <w:t>(2), 139–177. https://doi.org/10.1111/j.1475-5890.2009.00092.x</w:t>
      </w:r>
    </w:p>
    <w:p w14:paraId="33DC633B" w14:textId="4EDE7F72" w:rsidR="002414E9" w:rsidRPr="002414E9" w:rsidRDefault="002414E9" w:rsidP="002414E9">
      <w:pPr>
        <w:widowControl w:val="0"/>
        <w:autoSpaceDE w:val="0"/>
        <w:autoSpaceDN w:val="0"/>
        <w:adjustRightInd w:val="0"/>
        <w:ind w:left="709" w:hanging="709"/>
        <w:rPr>
          <w:rFonts w:eastAsia="DengXian" w:cs="Times New Roman"/>
          <w:noProof/>
          <w:lang w:eastAsia="zh-CN"/>
        </w:rPr>
      </w:pPr>
      <w:bookmarkStart w:id="47" w:name="_Hlk74299766"/>
      <w:r w:rsidRPr="002414E9">
        <w:rPr>
          <w:rFonts w:eastAsia="DengXian" w:cs="Times New Roman"/>
          <w:noProof/>
          <w:lang w:eastAsia="zh-CN"/>
        </w:rPr>
        <w:t xml:space="preserve">Au, W. (2004). Criticality and environmental uncertainty in step-level public goods dilemmas. </w:t>
      </w:r>
      <w:r w:rsidRPr="002414E9">
        <w:rPr>
          <w:rFonts w:eastAsia="DengXian" w:cs="Times New Roman"/>
          <w:i/>
          <w:iCs/>
          <w:noProof/>
          <w:lang w:eastAsia="zh-CN"/>
        </w:rPr>
        <w:t>Group Dynamics: Theory, Research, and Practice</w:t>
      </w:r>
      <w:r w:rsidRPr="002414E9">
        <w:rPr>
          <w:rFonts w:eastAsia="DengXian" w:cs="Times New Roman"/>
          <w:noProof/>
          <w:lang w:eastAsia="zh-CN"/>
        </w:rPr>
        <w:t xml:space="preserve">, </w:t>
      </w:r>
      <w:r w:rsidRPr="002414E9">
        <w:rPr>
          <w:rFonts w:eastAsia="DengXian" w:cs="Times New Roman"/>
          <w:i/>
          <w:iCs/>
          <w:noProof/>
          <w:lang w:eastAsia="zh-CN"/>
        </w:rPr>
        <w:t>8</w:t>
      </w:r>
      <w:r w:rsidRPr="002414E9">
        <w:rPr>
          <w:rFonts w:eastAsia="DengXian" w:cs="Times New Roman"/>
          <w:noProof/>
          <w:lang w:eastAsia="zh-CN"/>
        </w:rPr>
        <w:t>(1), 40–61. https://doi.org/10.1037/1089-2699.8.1.40</w:t>
      </w:r>
    </w:p>
    <w:bookmarkEnd w:id="47"/>
    <w:p w14:paraId="28D793F8"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n-GB" w:eastAsia="zh-CN"/>
        </w:rPr>
        <w:t xml:space="preserve">Au, W. T., &amp; Chung, M. W. (2007). </w:t>
      </w:r>
      <w:r w:rsidRPr="002414E9">
        <w:rPr>
          <w:rFonts w:eastAsia="DengXian" w:cs="Times New Roman"/>
          <w:noProof/>
          <w:lang w:eastAsia="zh-CN"/>
        </w:rPr>
        <w:t xml:space="preserve">Effect of order of contribution in a sequential public goods dilemma. </w:t>
      </w:r>
      <w:r w:rsidRPr="002414E9">
        <w:rPr>
          <w:rFonts w:eastAsia="DengXian" w:cs="Times New Roman"/>
          <w:i/>
          <w:iCs/>
          <w:noProof/>
          <w:lang w:eastAsia="zh-CN"/>
        </w:rPr>
        <w:t>Group Decision and Negotiation</w:t>
      </w:r>
      <w:r w:rsidRPr="002414E9">
        <w:rPr>
          <w:rFonts w:eastAsia="DengXian" w:cs="Times New Roman"/>
          <w:noProof/>
          <w:lang w:eastAsia="zh-CN"/>
        </w:rPr>
        <w:t xml:space="preserve">, </w:t>
      </w:r>
      <w:r w:rsidRPr="002414E9">
        <w:rPr>
          <w:rFonts w:eastAsia="DengXian" w:cs="Times New Roman"/>
          <w:i/>
          <w:iCs/>
          <w:noProof/>
          <w:lang w:eastAsia="zh-CN"/>
        </w:rPr>
        <w:t>16</w:t>
      </w:r>
      <w:r w:rsidRPr="002414E9">
        <w:rPr>
          <w:rFonts w:eastAsia="DengXian" w:cs="Times New Roman"/>
          <w:noProof/>
          <w:lang w:eastAsia="zh-CN"/>
        </w:rPr>
        <w:t>, 437–449. https://doi.org/10.1007/s10726-006-9067-1</w:t>
      </w:r>
    </w:p>
    <w:p w14:paraId="71545A25" w14:textId="48CC0A7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Au, W. T., &amp; Komorita, S. S. (2002). </w:t>
      </w:r>
      <w:r w:rsidRPr="002414E9">
        <w:rPr>
          <w:rFonts w:eastAsia="DengXian" w:cs="Times New Roman"/>
          <w:noProof/>
          <w:lang w:eastAsia="zh-CN"/>
        </w:rPr>
        <w:t xml:space="preserve">Effects of initial choices in the prisoner’s dilemma. </w:t>
      </w:r>
      <w:r w:rsidRPr="002414E9">
        <w:rPr>
          <w:rFonts w:eastAsia="DengXian" w:cs="Times New Roman"/>
          <w:i/>
          <w:iCs/>
          <w:noProof/>
          <w:lang w:eastAsia="zh-CN"/>
        </w:rPr>
        <w:t>Journal of Behavioral Decision Making</w:t>
      </w:r>
      <w:r w:rsidRPr="002414E9">
        <w:rPr>
          <w:rFonts w:eastAsia="DengXian" w:cs="Times New Roman"/>
          <w:noProof/>
          <w:lang w:eastAsia="zh-CN"/>
        </w:rPr>
        <w:t xml:space="preserve">, </w:t>
      </w:r>
      <w:r w:rsidRPr="002414E9">
        <w:rPr>
          <w:rFonts w:eastAsia="DengXian" w:cs="Times New Roman"/>
          <w:i/>
          <w:iCs/>
          <w:noProof/>
          <w:lang w:eastAsia="zh-CN"/>
        </w:rPr>
        <w:t>15</w:t>
      </w:r>
      <w:r w:rsidRPr="002414E9">
        <w:rPr>
          <w:rFonts w:eastAsia="DengXian" w:cs="Times New Roman"/>
          <w:noProof/>
          <w:lang w:eastAsia="zh-CN"/>
        </w:rPr>
        <w:t>(4), 343–359. https://doi.org/10.1002/bdm.419</w:t>
      </w:r>
    </w:p>
    <w:p w14:paraId="4C134177" w14:textId="56BA26B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fr-FR" w:eastAsia="zh-CN"/>
        </w:rPr>
        <w:t xml:space="preserve">Au, W. T., &amp; Ngai, M. Y. (2003). </w:t>
      </w:r>
      <w:r w:rsidRPr="002414E9">
        <w:rPr>
          <w:rFonts w:eastAsia="DengXian" w:cs="Times New Roman"/>
          <w:noProof/>
          <w:lang w:eastAsia="zh-CN"/>
        </w:rPr>
        <w:t xml:space="preserve">Effects of group size uncertainty and protocol of play in a common pool resource dilemma. </w:t>
      </w:r>
      <w:r w:rsidRPr="002414E9">
        <w:rPr>
          <w:rFonts w:eastAsia="DengXian" w:cs="Times New Roman"/>
          <w:i/>
          <w:iCs/>
          <w:noProof/>
          <w:lang w:eastAsia="zh-CN"/>
        </w:rPr>
        <w:t>Group Processes &amp; Intergroup Relations</w:t>
      </w:r>
      <w:r w:rsidRPr="002414E9">
        <w:rPr>
          <w:rFonts w:eastAsia="DengXian" w:cs="Times New Roman"/>
          <w:noProof/>
          <w:lang w:eastAsia="zh-CN"/>
        </w:rPr>
        <w:t xml:space="preserve">, </w:t>
      </w:r>
      <w:r w:rsidRPr="002414E9">
        <w:rPr>
          <w:rFonts w:eastAsia="DengXian" w:cs="Times New Roman"/>
          <w:i/>
          <w:iCs/>
          <w:noProof/>
          <w:lang w:eastAsia="zh-CN"/>
        </w:rPr>
        <w:t>6</w:t>
      </w:r>
      <w:r w:rsidRPr="002414E9">
        <w:rPr>
          <w:rFonts w:eastAsia="DengXian" w:cs="Times New Roman"/>
          <w:noProof/>
          <w:lang w:eastAsia="zh-CN"/>
        </w:rPr>
        <w:t>(3), 265–</w:t>
      </w:r>
      <w:r w:rsidRPr="002414E9">
        <w:rPr>
          <w:rFonts w:eastAsia="DengXian" w:cs="Times New Roman"/>
          <w:noProof/>
          <w:lang w:eastAsia="zh-CN"/>
        </w:rPr>
        <w:lastRenderedPageBreak/>
        <w:t>283. https://doi.org/10.1177/13684302030063004</w:t>
      </w:r>
    </w:p>
    <w:p w14:paraId="19C34E2C" w14:textId="3E6CDA4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Au, W. T., Lu, S., Leung, H., Yam, P., &amp; Fung, J. M. Y. (2012). </w:t>
      </w:r>
      <w:r w:rsidRPr="002414E9">
        <w:rPr>
          <w:rFonts w:eastAsia="DengXian" w:cs="Times New Roman"/>
          <w:noProof/>
          <w:lang w:eastAsia="zh-CN"/>
        </w:rPr>
        <w:t xml:space="preserve">Risk and prisoner’s dilemma: A reinterpretation of Coombs’ re‐parameterization. </w:t>
      </w:r>
      <w:r w:rsidRPr="002414E9">
        <w:rPr>
          <w:rFonts w:eastAsia="DengXian" w:cs="Times New Roman"/>
          <w:i/>
          <w:iCs/>
          <w:noProof/>
          <w:lang w:eastAsia="zh-CN"/>
        </w:rPr>
        <w:t>Journal of Behavioral Decision Making</w:t>
      </w:r>
      <w:r w:rsidRPr="002414E9">
        <w:rPr>
          <w:rFonts w:eastAsia="DengXian" w:cs="Times New Roman"/>
          <w:noProof/>
          <w:lang w:eastAsia="zh-CN"/>
        </w:rPr>
        <w:t xml:space="preserve">, </w:t>
      </w:r>
      <w:r w:rsidRPr="002414E9">
        <w:rPr>
          <w:rFonts w:eastAsia="DengXian" w:cs="Times New Roman"/>
          <w:i/>
          <w:iCs/>
          <w:noProof/>
          <w:lang w:eastAsia="zh-CN"/>
        </w:rPr>
        <w:t>25</w:t>
      </w:r>
      <w:r w:rsidRPr="002414E9">
        <w:rPr>
          <w:rFonts w:eastAsia="DengXian" w:cs="Times New Roman"/>
          <w:noProof/>
          <w:lang w:eastAsia="zh-CN"/>
        </w:rPr>
        <w:t>(5), 476–490. https://doi.org/10.1002/bdm.743</w:t>
      </w:r>
    </w:p>
    <w:p w14:paraId="6A7625F1" w14:textId="70FEC9C8" w:rsidR="002414E9" w:rsidRPr="002414E9" w:rsidRDefault="002414E9" w:rsidP="002414E9">
      <w:pPr>
        <w:widowControl w:val="0"/>
        <w:autoSpaceDE w:val="0"/>
        <w:autoSpaceDN w:val="0"/>
        <w:adjustRightInd w:val="0"/>
        <w:ind w:left="709" w:hanging="709"/>
        <w:rPr>
          <w:rFonts w:eastAsia="DengXian" w:cs="Times New Roman"/>
          <w:bCs/>
          <w:noProof/>
          <w:lang w:eastAsia="zh-CN"/>
        </w:rPr>
      </w:pPr>
      <w:bookmarkStart w:id="48" w:name="_Hlk74300392"/>
      <w:r w:rsidRPr="002414E9">
        <w:rPr>
          <w:rFonts w:eastAsia="DengXian" w:cs="Times New Roman"/>
          <w:bCs/>
          <w:noProof/>
          <w:lang w:eastAsia="zh-CN"/>
        </w:rPr>
        <w:t xml:space="preserve">Balliet, D. (2007). </w:t>
      </w:r>
      <w:r w:rsidRPr="002414E9">
        <w:rPr>
          <w:rFonts w:eastAsia="DengXian" w:cs="Times New Roman"/>
          <w:bCs/>
          <w:i/>
          <w:iCs/>
          <w:noProof/>
          <w:lang w:eastAsia="zh-CN"/>
        </w:rPr>
        <w:t>A matter of time: Does the impact of social value orientation and self-efficacy on contributions to public goods depend on the temporal framing of the dilemma?</w:t>
      </w:r>
      <w:r w:rsidRPr="002414E9">
        <w:rPr>
          <w:rFonts w:eastAsia="DengXian" w:cs="Times New Roman"/>
          <w:bCs/>
          <w:noProof/>
          <w:lang w:eastAsia="zh-CN"/>
        </w:rPr>
        <w:t xml:space="preserve"> [Unpublished doctoral dissertation]. Washington State University.</w:t>
      </w:r>
    </w:p>
    <w:bookmarkEnd w:id="48"/>
    <w:p w14:paraId="313B1599" w14:textId="798FDE6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Balliet, D., &amp; Ferris, D. L. (2013). Ostracism and prosocial behavior: A social dilemma perspective. </w:t>
      </w:r>
      <w:r w:rsidRPr="002414E9">
        <w:rPr>
          <w:rFonts w:eastAsia="DengXian" w:cs="Times New Roman"/>
          <w:i/>
          <w:iCs/>
          <w:noProof/>
          <w:lang w:eastAsia="zh-CN"/>
        </w:rPr>
        <w:t>Organizational Behavior and Human Decision Processes</w:t>
      </w:r>
      <w:r w:rsidRPr="002414E9">
        <w:rPr>
          <w:rFonts w:eastAsia="DengXian" w:cs="Times New Roman"/>
          <w:noProof/>
          <w:lang w:eastAsia="zh-CN"/>
        </w:rPr>
        <w:t xml:space="preserve">, </w:t>
      </w:r>
      <w:r w:rsidRPr="002414E9">
        <w:rPr>
          <w:rFonts w:eastAsia="DengXian" w:cs="Times New Roman"/>
          <w:i/>
          <w:iCs/>
          <w:noProof/>
          <w:lang w:eastAsia="zh-CN"/>
        </w:rPr>
        <w:t>120</w:t>
      </w:r>
      <w:r w:rsidRPr="002414E9">
        <w:rPr>
          <w:rFonts w:eastAsia="DengXian" w:cs="Times New Roman"/>
          <w:noProof/>
          <w:lang w:eastAsia="zh-CN"/>
        </w:rPr>
        <w:t>(2), 298–308. https://doi.org/10.1016/j.obhdp.2012.04.004</w:t>
      </w:r>
    </w:p>
    <w:p w14:paraId="730A46EE" w14:textId="1F5368F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Balliet, D., Tybur, J. M., Wu, J., Antonellis, C., &amp; Van Lange, P. A. M. (2018). </w:t>
      </w:r>
      <w:r w:rsidRPr="002414E9">
        <w:rPr>
          <w:rFonts w:eastAsia="DengXian" w:cs="Times New Roman"/>
          <w:noProof/>
          <w:lang w:eastAsia="zh-CN"/>
        </w:rPr>
        <w:t xml:space="preserve">Political ideology, trust, and cooperation. </w:t>
      </w:r>
      <w:r w:rsidRPr="002414E9">
        <w:rPr>
          <w:rFonts w:eastAsia="DengXian" w:cs="Times New Roman"/>
          <w:i/>
          <w:iCs/>
          <w:noProof/>
          <w:lang w:eastAsia="zh-CN"/>
        </w:rPr>
        <w:t>Journal of Conflict Resolution</w:t>
      </w:r>
      <w:r w:rsidRPr="002414E9">
        <w:rPr>
          <w:rFonts w:eastAsia="DengXian" w:cs="Times New Roman"/>
          <w:noProof/>
          <w:lang w:eastAsia="zh-CN"/>
        </w:rPr>
        <w:t xml:space="preserve">, </w:t>
      </w:r>
      <w:r w:rsidRPr="002414E9">
        <w:rPr>
          <w:rFonts w:eastAsia="DengXian" w:cs="Times New Roman"/>
          <w:i/>
          <w:iCs/>
          <w:noProof/>
          <w:lang w:eastAsia="zh-CN"/>
        </w:rPr>
        <w:t>62</w:t>
      </w:r>
      <w:r w:rsidRPr="002414E9">
        <w:rPr>
          <w:rFonts w:eastAsia="DengXian" w:cs="Times New Roman"/>
          <w:noProof/>
          <w:lang w:eastAsia="zh-CN"/>
        </w:rPr>
        <w:t>(4), 797–818. https://doi.org/10.1177/0022002716658694</w:t>
      </w:r>
    </w:p>
    <w:p w14:paraId="53B8B294" w14:textId="1D6D6C2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Baranowski, T. A., &amp; Summers, D. A. (1972). Perception of response alternatives in a Prisoner’s Dilemma game. </w:t>
      </w:r>
      <w:r w:rsidRPr="002414E9">
        <w:rPr>
          <w:rFonts w:eastAsia="DengXian" w:cs="Times New Roman"/>
          <w:i/>
          <w:iCs/>
          <w:noProof/>
          <w:lang w:eastAsia="zh-CN"/>
        </w:rPr>
        <w:t>Journal of Personality and Social Psychology</w:t>
      </w:r>
      <w:r w:rsidRPr="002414E9">
        <w:rPr>
          <w:rFonts w:eastAsia="DengXian" w:cs="Times New Roman"/>
          <w:noProof/>
          <w:lang w:eastAsia="zh-CN"/>
        </w:rPr>
        <w:t xml:space="preserve">, </w:t>
      </w:r>
      <w:r w:rsidRPr="002414E9">
        <w:rPr>
          <w:rFonts w:eastAsia="DengXian" w:cs="Times New Roman"/>
          <w:i/>
          <w:iCs/>
          <w:noProof/>
          <w:lang w:eastAsia="zh-CN"/>
        </w:rPr>
        <w:t>21</w:t>
      </w:r>
      <w:r w:rsidRPr="002414E9">
        <w:rPr>
          <w:rFonts w:eastAsia="DengXian" w:cs="Times New Roman"/>
          <w:noProof/>
          <w:lang w:eastAsia="zh-CN"/>
        </w:rPr>
        <w:t>(1), 35–40. https://doi.org/10.1037/h0032111</w:t>
      </w:r>
    </w:p>
    <w:p w14:paraId="6FA7BC18" w14:textId="77777777" w:rsidR="002414E9" w:rsidRPr="002414E9" w:rsidRDefault="002414E9" w:rsidP="002414E9">
      <w:pPr>
        <w:widowControl w:val="0"/>
        <w:autoSpaceDE w:val="0"/>
        <w:autoSpaceDN w:val="0"/>
        <w:adjustRightInd w:val="0"/>
        <w:ind w:left="709" w:hanging="709"/>
        <w:rPr>
          <w:rFonts w:eastAsia="DengXian" w:cs="Times New Roman"/>
          <w:noProof/>
          <w:lang w:val="en-GB" w:eastAsia="zh-CN"/>
        </w:rPr>
      </w:pPr>
      <w:r w:rsidRPr="002414E9">
        <w:rPr>
          <w:rFonts w:eastAsia="DengXian" w:cs="Times New Roman"/>
          <w:noProof/>
          <w:lang w:val="en-GB" w:eastAsia="zh-CN"/>
        </w:rPr>
        <w:t xml:space="preserve">Barcelo, H., &amp; Capraro, V. (2015). Group size effect on cooperation in one-shot social dilemmas. </w:t>
      </w:r>
      <w:r w:rsidRPr="002414E9">
        <w:rPr>
          <w:rFonts w:eastAsia="DengXian" w:cs="Times New Roman"/>
          <w:i/>
          <w:iCs/>
          <w:noProof/>
          <w:lang w:val="en-GB" w:eastAsia="zh-CN"/>
        </w:rPr>
        <w:t>Scientific Reports</w:t>
      </w:r>
      <w:r w:rsidRPr="002414E9">
        <w:rPr>
          <w:rFonts w:eastAsia="DengXian" w:cs="Times New Roman"/>
          <w:noProof/>
          <w:lang w:val="en-GB" w:eastAsia="zh-CN"/>
        </w:rPr>
        <w:t xml:space="preserve">, </w:t>
      </w:r>
      <w:r w:rsidRPr="002414E9">
        <w:rPr>
          <w:rFonts w:eastAsia="DengXian" w:cs="Times New Roman"/>
          <w:i/>
          <w:iCs/>
          <w:noProof/>
          <w:lang w:val="en-GB" w:eastAsia="zh-CN"/>
        </w:rPr>
        <w:t>5</w:t>
      </w:r>
      <w:r w:rsidRPr="002414E9">
        <w:rPr>
          <w:rFonts w:eastAsia="DengXian" w:cs="Times New Roman"/>
          <w:noProof/>
          <w:lang w:val="en-GB" w:eastAsia="zh-CN"/>
        </w:rPr>
        <w:t>(1), 1–8. https://doi.org/10.1038/srep07937</w:t>
      </w:r>
    </w:p>
    <w:p w14:paraId="10E7C6E1" w14:textId="09DA33D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Barclay, P. (2006). Reputational benefits for altruistic punishment. </w:t>
      </w:r>
      <w:r w:rsidRPr="002414E9">
        <w:rPr>
          <w:rFonts w:eastAsia="DengXian" w:cs="Times New Roman"/>
          <w:i/>
          <w:iCs/>
          <w:noProof/>
          <w:lang w:eastAsia="zh-CN"/>
        </w:rPr>
        <w:t>Evolution and Human Behavior</w:t>
      </w:r>
      <w:r w:rsidRPr="002414E9">
        <w:rPr>
          <w:rFonts w:eastAsia="DengXian" w:cs="Times New Roman"/>
          <w:noProof/>
          <w:lang w:eastAsia="zh-CN"/>
        </w:rPr>
        <w:t xml:space="preserve">, </w:t>
      </w:r>
      <w:r w:rsidRPr="002414E9">
        <w:rPr>
          <w:rFonts w:eastAsia="DengXian" w:cs="Times New Roman"/>
          <w:i/>
          <w:iCs/>
          <w:noProof/>
          <w:lang w:eastAsia="zh-CN"/>
        </w:rPr>
        <w:t>27</w:t>
      </w:r>
      <w:r w:rsidRPr="002414E9">
        <w:rPr>
          <w:rFonts w:eastAsia="DengXian" w:cs="Times New Roman"/>
          <w:noProof/>
          <w:lang w:eastAsia="zh-CN"/>
        </w:rPr>
        <w:t>(5), 325–344. https://doi.org/10.1016/j.evolhumbehav.2006.01.003</w:t>
      </w:r>
    </w:p>
    <w:p w14:paraId="26C5576B" w14:textId="130275C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Barclay, P., &amp; Raihani, N. (2016). Partner choice versus punishment in human Prisoner’s Dilemmas. </w:t>
      </w:r>
      <w:r w:rsidRPr="002414E9">
        <w:rPr>
          <w:rFonts w:eastAsia="DengXian" w:cs="Times New Roman"/>
          <w:i/>
          <w:iCs/>
          <w:noProof/>
          <w:lang w:eastAsia="zh-CN"/>
        </w:rPr>
        <w:t>Evolution and Human Behavior</w:t>
      </w:r>
      <w:r w:rsidRPr="002414E9">
        <w:rPr>
          <w:rFonts w:eastAsia="DengXian" w:cs="Times New Roman"/>
          <w:noProof/>
          <w:lang w:eastAsia="zh-CN"/>
        </w:rPr>
        <w:t xml:space="preserve">, </w:t>
      </w:r>
      <w:r w:rsidRPr="002414E9">
        <w:rPr>
          <w:rFonts w:eastAsia="DengXian" w:cs="Times New Roman"/>
          <w:i/>
          <w:iCs/>
          <w:noProof/>
          <w:lang w:eastAsia="zh-CN"/>
        </w:rPr>
        <w:t>37</w:t>
      </w:r>
      <w:r w:rsidRPr="002414E9">
        <w:rPr>
          <w:rFonts w:eastAsia="DengXian" w:cs="Times New Roman"/>
          <w:noProof/>
          <w:lang w:eastAsia="zh-CN"/>
        </w:rPr>
        <w:t>(4), 263–271. https://doi.org/10.1016/j.evolhumbehav.2015.12.004</w:t>
      </w:r>
    </w:p>
    <w:p w14:paraId="7BB767C1" w14:textId="606D042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lastRenderedPageBreak/>
        <w:t xml:space="preserve">Barker, J. L., Barclay, P., &amp; Reeve, H. K. (2013). Competition over personal resources favors contribution to shared resources in human groups. </w:t>
      </w:r>
      <w:r w:rsidRPr="002414E9">
        <w:rPr>
          <w:rFonts w:eastAsia="DengXian" w:cs="Times New Roman"/>
          <w:i/>
          <w:iCs/>
          <w:noProof/>
          <w:lang w:eastAsia="zh-CN"/>
        </w:rPr>
        <w:t>PLoS ONE</w:t>
      </w:r>
      <w:r w:rsidRPr="002414E9">
        <w:rPr>
          <w:rFonts w:eastAsia="DengXian" w:cs="Times New Roman"/>
          <w:noProof/>
          <w:lang w:eastAsia="zh-CN"/>
        </w:rPr>
        <w:t xml:space="preserve">, </w:t>
      </w:r>
      <w:r w:rsidRPr="002414E9">
        <w:rPr>
          <w:rFonts w:eastAsia="DengXian" w:cs="Times New Roman"/>
          <w:i/>
          <w:iCs/>
          <w:noProof/>
          <w:lang w:eastAsia="zh-CN"/>
        </w:rPr>
        <w:t>8</w:t>
      </w:r>
      <w:r w:rsidRPr="002414E9">
        <w:rPr>
          <w:rFonts w:eastAsia="DengXian" w:cs="Times New Roman"/>
          <w:noProof/>
          <w:lang w:eastAsia="zh-CN"/>
        </w:rPr>
        <w:t>(3), e58826. https://doi.org/10.1371/journal.pone.0058826</w:t>
      </w:r>
    </w:p>
    <w:p w14:paraId="461446AE" w14:textId="5144E9C4"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Baron, J. (2001). Confusion of group interest and self-interest in parochial cooperation on behalf of a group.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45</w:t>
      </w:r>
      <w:r w:rsidRPr="002414E9">
        <w:rPr>
          <w:rFonts w:eastAsia="DengXian" w:cs="Times New Roman"/>
          <w:bCs/>
          <w:noProof/>
          <w:lang w:eastAsia="zh-CN"/>
        </w:rPr>
        <w:t>(3), 283–296. https://doi.org/10.1177/0022002701045003002</w:t>
      </w:r>
    </w:p>
    <w:p w14:paraId="12E86CE3" w14:textId="5BC8D46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Barr, A. (2001). </w:t>
      </w:r>
      <w:r w:rsidRPr="002414E9">
        <w:rPr>
          <w:rFonts w:eastAsia="DengXian" w:cs="Times New Roman"/>
          <w:i/>
          <w:iCs/>
          <w:noProof/>
          <w:lang w:eastAsia="zh-CN"/>
        </w:rPr>
        <w:t>Social dilemmas and shame-based sanctions: experimental results from rural Zimbabwe</w:t>
      </w:r>
      <w:r w:rsidRPr="002414E9">
        <w:rPr>
          <w:rFonts w:eastAsia="DengXian" w:cs="Times New Roman"/>
          <w:noProof/>
          <w:lang w:eastAsia="zh-CN"/>
        </w:rPr>
        <w:t xml:space="preserve"> (CSAE Working Paper Series No. 2001–11). Centre for the Study of African Economies, University of Oxford. https://econpapers.repec.org/RePEc:csa:wpaper:2001-11</w:t>
      </w:r>
    </w:p>
    <w:p w14:paraId="79A5F49D" w14:textId="42884E5A" w:rsidR="002414E9" w:rsidRPr="002414E9" w:rsidRDefault="002414E9" w:rsidP="002414E9">
      <w:pPr>
        <w:widowControl w:val="0"/>
        <w:autoSpaceDE w:val="0"/>
        <w:autoSpaceDN w:val="0"/>
        <w:adjustRightInd w:val="0"/>
        <w:ind w:left="709" w:hanging="709"/>
        <w:rPr>
          <w:rFonts w:eastAsia="DengXian" w:cs="Times New Roman"/>
          <w:noProof/>
          <w:lang w:val="en-GB" w:eastAsia="zh-CN"/>
        </w:rPr>
      </w:pPr>
      <w:r w:rsidRPr="002414E9">
        <w:rPr>
          <w:rFonts w:eastAsia="DengXian" w:cs="Times New Roman"/>
          <w:noProof/>
          <w:lang w:val="es-ES" w:eastAsia="zh-CN"/>
        </w:rPr>
        <w:t xml:space="preserve">Barreda-Tarrazona, I., Jaramillo-Gutiérrez, A., Pavan, M., &amp; Sabater-Grande, G. (2017). </w:t>
      </w:r>
      <w:r w:rsidRPr="002414E9">
        <w:rPr>
          <w:rFonts w:eastAsia="DengXian" w:cs="Times New Roman"/>
          <w:noProof/>
          <w:lang w:eastAsia="zh-CN"/>
        </w:rPr>
        <w:t xml:space="preserve">Individual characteristics vs. experience: An experimental study on cooperation in prisoner’s dilemma. </w:t>
      </w:r>
      <w:r w:rsidRPr="002414E9">
        <w:rPr>
          <w:rFonts w:eastAsia="DengXian" w:cs="Times New Roman"/>
          <w:i/>
          <w:iCs/>
          <w:noProof/>
          <w:lang w:val="en-GB" w:eastAsia="zh-CN"/>
        </w:rPr>
        <w:t>Frontiers in Psychology</w:t>
      </w:r>
      <w:r w:rsidRPr="002414E9">
        <w:rPr>
          <w:rFonts w:eastAsia="DengXian" w:cs="Times New Roman"/>
          <w:noProof/>
          <w:lang w:val="en-GB" w:eastAsia="zh-CN"/>
        </w:rPr>
        <w:t xml:space="preserve">, </w:t>
      </w:r>
      <w:r w:rsidRPr="002414E9">
        <w:rPr>
          <w:rFonts w:eastAsia="DengXian" w:cs="Times New Roman"/>
          <w:i/>
          <w:iCs/>
          <w:noProof/>
          <w:lang w:val="en-GB" w:eastAsia="zh-CN"/>
        </w:rPr>
        <w:t>8</w:t>
      </w:r>
      <w:r w:rsidRPr="002414E9">
        <w:rPr>
          <w:rFonts w:eastAsia="DengXian" w:cs="Times New Roman"/>
          <w:noProof/>
          <w:lang w:val="en-GB" w:eastAsia="zh-CN"/>
        </w:rPr>
        <w:t>, 596. https://doi.org/10.3389/fpsyg.2017.00596</w:t>
      </w:r>
    </w:p>
    <w:p w14:paraId="6EA6150E"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Barrera, D., &amp; Simpson, B. (2012). Much ado about deception: Consequences of deceiving research participants in the social sciences. </w:t>
      </w:r>
      <w:r w:rsidRPr="002414E9">
        <w:rPr>
          <w:rFonts w:eastAsia="DengXian" w:cs="Times New Roman"/>
          <w:i/>
          <w:iCs/>
          <w:noProof/>
          <w:lang w:eastAsia="zh-CN"/>
        </w:rPr>
        <w:t>Sociological Methods &amp; Research</w:t>
      </w:r>
      <w:r w:rsidRPr="002414E9">
        <w:rPr>
          <w:rFonts w:eastAsia="DengXian" w:cs="Times New Roman"/>
          <w:noProof/>
          <w:lang w:eastAsia="zh-CN"/>
        </w:rPr>
        <w:t xml:space="preserve">, </w:t>
      </w:r>
      <w:r w:rsidRPr="002414E9">
        <w:rPr>
          <w:rFonts w:eastAsia="DengXian" w:cs="Times New Roman"/>
          <w:i/>
          <w:iCs/>
          <w:noProof/>
          <w:lang w:eastAsia="zh-CN"/>
        </w:rPr>
        <w:t>41</w:t>
      </w:r>
      <w:r w:rsidRPr="002414E9">
        <w:rPr>
          <w:rFonts w:eastAsia="DengXian" w:cs="Times New Roman"/>
          <w:noProof/>
          <w:lang w:eastAsia="zh-CN"/>
        </w:rPr>
        <w:t>(3), 383–413. https://doi.org/10.1177/0049124112452526</w:t>
      </w:r>
    </w:p>
    <w:p w14:paraId="7482BB2F" w14:textId="0232A69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Barrett, S., &amp; Dannenberg, A. (2012). Climate negotiations under scientific uncertainty. </w:t>
      </w:r>
      <w:r w:rsidRPr="002414E9">
        <w:rPr>
          <w:rFonts w:eastAsia="DengXian" w:cs="Times New Roman"/>
          <w:i/>
          <w:iCs/>
          <w:noProof/>
          <w:lang w:eastAsia="zh-CN"/>
        </w:rPr>
        <w:t>Proceedings of the National Academy of Sciences</w:t>
      </w:r>
      <w:r w:rsidRPr="002414E9">
        <w:rPr>
          <w:rFonts w:eastAsia="DengXian" w:cs="Times New Roman"/>
          <w:noProof/>
          <w:lang w:eastAsia="zh-CN"/>
        </w:rPr>
        <w:t xml:space="preserve">, </w:t>
      </w:r>
      <w:r w:rsidRPr="002414E9">
        <w:rPr>
          <w:rFonts w:eastAsia="DengXian" w:cs="Times New Roman"/>
          <w:i/>
          <w:iCs/>
          <w:noProof/>
          <w:lang w:eastAsia="zh-CN"/>
        </w:rPr>
        <w:t>109</w:t>
      </w:r>
      <w:r w:rsidRPr="002414E9">
        <w:rPr>
          <w:rFonts w:eastAsia="DengXian" w:cs="Times New Roman"/>
          <w:noProof/>
          <w:lang w:eastAsia="zh-CN"/>
        </w:rPr>
        <w:t>(43), 17372–17376. https://doi.org/10.1073/pnas.1208417109</w:t>
      </w:r>
    </w:p>
    <w:p w14:paraId="5653F914" w14:textId="6C2EBFA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Barrett, S., &amp; Dannenberg, A. (2014). Sensitivity of collective action to uncertainty about climate tipping points. </w:t>
      </w:r>
      <w:r w:rsidRPr="002414E9">
        <w:rPr>
          <w:rFonts w:eastAsia="DengXian" w:cs="Times New Roman"/>
          <w:i/>
          <w:iCs/>
          <w:noProof/>
          <w:lang w:eastAsia="zh-CN"/>
        </w:rPr>
        <w:t>Nature Climate Change</w:t>
      </w:r>
      <w:r w:rsidRPr="002414E9">
        <w:rPr>
          <w:rFonts w:eastAsia="DengXian" w:cs="Times New Roman"/>
          <w:noProof/>
          <w:lang w:eastAsia="zh-CN"/>
        </w:rPr>
        <w:t xml:space="preserve">, </w:t>
      </w:r>
      <w:r w:rsidRPr="002414E9">
        <w:rPr>
          <w:rFonts w:eastAsia="DengXian" w:cs="Times New Roman"/>
          <w:i/>
          <w:iCs/>
          <w:noProof/>
          <w:lang w:eastAsia="zh-CN"/>
        </w:rPr>
        <w:t>4</w:t>
      </w:r>
      <w:r w:rsidRPr="002414E9">
        <w:rPr>
          <w:rFonts w:eastAsia="DengXian" w:cs="Times New Roman"/>
          <w:noProof/>
          <w:lang w:eastAsia="zh-CN"/>
        </w:rPr>
        <w:t>(1), 36–39. https://doi.org/10.1038/nclimate2059</w:t>
      </w:r>
    </w:p>
    <w:p w14:paraId="6E87499B" w14:textId="587B7C14" w:rsidR="002414E9" w:rsidRPr="002414E9" w:rsidRDefault="002414E9" w:rsidP="002414E9">
      <w:pPr>
        <w:widowControl w:val="0"/>
        <w:autoSpaceDE w:val="0"/>
        <w:autoSpaceDN w:val="0"/>
        <w:adjustRightInd w:val="0"/>
        <w:ind w:left="709" w:hanging="709"/>
        <w:rPr>
          <w:rFonts w:eastAsia="DengXian" w:cs="Times New Roman"/>
          <w:noProof/>
          <w:lang w:val="de-DE" w:eastAsia="zh-CN"/>
        </w:rPr>
      </w:pPr>
      <w:r w:rsidRPr="002414E9">
        <w:rPr>
          <w:rFonts w:eastAsia="DengXian" w:cs="Times New Roman"/>
          <w:noProof/>
          <w:lang w:eastAsia="zh-CN"/>
        </w:rPr>
        <w:lastRenderedPageBreak/>
        <w:t xml:space="preserve">Barrett, S., &amp; Dannenberg, A. (2016). An experimental investigation into ‘pledge and review’ in climate negotiations. </w:t>
      </w:r>
      <w:r w:rsidRPr="002414E9">
        <w:rPr>
          <w:rFonts w:eastAsia="DengXian" w:cs="Times New Roman"/>
          <w:i/>
          <w:iCs/>
          <w:noProof/>
          <w:lang w:val="de-DE" w:eastAsia="zh-CN"/>
        </w:rPr>
        <w:t>Climatic Change</w:t>
      </w:r>
      <w:r w:rsidRPr="002414E9">
        <w:rPr>
          <w:rFonts w:eastAsia="DengXian" w:cs="Times New Roman"/>
          <w:noProof/>
          <w:lang w:val="de-DE" w:eastAsia="zh-CN"/>
        </w:rPr>
        <w:t xml:space="preserve">, </w:t>
      </w:r>
      <w:r w:rsidRPr="002414E9">
        <w:rPr>
          <w:rFonts w:eastAsia="DengXian" w:cs="Times New Roman"/>
          <w:i/>
          <w:iCs/>
          <w:noProof/>
          <w:lang w:val="de-DE" w:eastAsia="zh-CN"/>
        </w:rPr>
        <w:t>138</w:t>
      </w:r>
      <w:r w:rsidRPr="002414E9">
        <w:rPr>
          <w:rFonts w:eastAsia="DengXian" w:cs="Times New Roman"/>
          <w:noProof/>
          <w:lang w:val="de-DE" w:eastAsia="zh-CN"/>
        </w:rPr>
        <w:t>(1), 339–351. https://doi.org/10.1007/s10584-016-1711-4</w:t>
      </w:r>
    </w:p>
    <w:p w14:paraId="571FBB3D" w14:textId="1453F95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Barrett, S., &amp; Dannenberg, A. (2017). </w:t>
      </w:r>
      <w:r w:rsidRPr="002414E9">
        <w:rPr>
          <w:rFonts w:eastAsia="DengXian" w:cs="Times New Roman"/>
          <w:noProof/>
          <w:lang w:eastAsia="zh-CN"/>
        </w:rPr>
        <w:t xml:space="preserve">Tipping versus cooperating to supply a public good. </w:t>
      </w:r>
      <w:r w:rsidRPr="002414E9">
        <w:rPr>
          <w:rFonts w:eastAsia="DengXian" w:cs="Times New Roman"/>
          <w:i/>
          <w:iCs/>
          <w:noProof/>
          <w:lang w:eastAsia="zh-CN"/>
        </w:rPr>
        <w:t>Journal of the European Economic Association</w:t>
      </w:r>
      <w:r w:rsidRPr="002414E9">
        <w:rPr>
          <w:rFonts w:eastAsia="DengXian" w:cs="Times New Roman"/>
          <w:noProof/>
          <w:lang w:eastAsia="zh-CN"/>
        </w:rPr>
        <w:t xml:space="preserve">, </w:t>
      </w:r>
      <w:r w:rsidRPr="002414E9">
        <w:rPr>
          <w:rFonts w:eastAsia="DengXian" w:cs="Times New Roman"/>
          <w:i/>
          <w:iCs/>
          <w:noProof/>
          <w:lang w:eastAsia="zh-CN"/>
        </w:rPr>
        <w:t>15</w:t>
      </w:r>
      <w:r w:rsidRPr="002414E9">
        <w:rPr>
          <w:rFonts w:eastAsia="DengXian" w:cs="Times New Roman"/>
          <w:noProof/>
          <w:lang w:eastAsia="zh-CN"/>
        </w:rPr>
        <w:t>(4), 910–941. https://doi.org/10.1093/jeea/jvw022</w:t>
      </w:r>
    </w:p>
    <w:p w14:paraId="775EFDC8" w14:textId="74912B8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Barrett, Scott, &amp; Dannenberg, A. (2014). Sensitivity of collective action to uncertainty about climate tipping points. </w:t>
      </w:r>
      <w:r w:rsidRPr="002414E9">
        <w:rPr>
          <w:rFonts w:eastAsia="DengXian" w:cs="Times New Roman"/>
          <w:i/>
          <w:iCs/>
          <w:noProof/>
          <w:lang w:eastAsia="zh-CN"/>
        </w:rPr>
        <w:t>Nature Climate Change</w:t>
      </w:r>
      <w:r w:rsidRPr="002414E9">
        <w:rPr>
          <w:rFonts w:eastAsia="DengXian" w:cs="Times New Roman"/>
          <w:noProof/>
          <w:lang w:eastAsia="zh-CN"/>
        </w:rPr>
        <w:t xml:space="preserve">, </w:t>
      </w:r>
      <w:r w:rsidRPr="002414E9">
        <w:rPr>
          <w:rFonts w:eastAsia="DengXian" w:cs="Times New Roman"/>
          <w:i/>
          <w:iCs/>
          <w:noProof/>
          <w:lang w:eastAsia="zh-CN"/>
        </w:rPr>
        <w:t>4</w:t>
      </w:r>
      <w:r w:rsidRPr="002414E9">
        <w:rPr>
          <w:rFonts w:eastAsia="DengXian" w:cs="Times New Roman"/>
          <w:noProof/>
          <w:lang w:eastAsia="zh-CN"/>
        </w:rPr>
        <w:t>(1), 36–39. https://doi.org/10.1038/nclimate2059</w:t>
      </w:r>
    </w:p>
    <w:p w14:paraId="123ACDB5" w14:textId="00410C8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Batson, C. D., &amp; Ahmad, N. (2001). Empathy‐induced altruism in a prisoner’s dilemma II: What if the target of empathy has defected? </w:t>
      </w:r>
      <w:r w:rsidRPr="002414E9">
        <w:rPr>
          <w:rFonts w:eastAsia="DengXian" w:cs="Times New Roman"/>
          <w:i/>
          <w:iCs/>
          <w:noProof/>
          <w:lang w:eastAsia="zh-CN"/>
        </w:rPr>
        <w:t>European Journal of Social Psychology</w:t>
      </w:r>
      <w:r w:rsidRPr="002414E9">
        <w:rPr>
          <w:rFonts w:eastAsia="DengXian" w:cs="Times New Roman"/>
          <w:noProof/>
          <w:lang w:eastAsia="zh-CN"/>
        </w:rPr>
        <w:t xml:space="preserve">, </w:t>
      </w:r>
      <w:r w:rsidRPr="002414E9">
        <w:rPr>
          <w:rFonts w:eastAsia="DengXian" w:cs="Times New Roman"/>
          <w:i/>
          <w:iCs/>
          <w:noProof/>
          <w:lang w:eastAsia="zh-CN"/>
        </w:rPr>
        <w:t>31</w:t>
      </w:r>
      <w:r w:rsidRPr="002414E9">
        <w:rPr>
          <w:rFonts w:eastAsia="DengXian" w:cs="Times New Roman"/>
          <w:noProof/>
          <w:lang w:eastAsia="zh-CN"/>
        </w:rPr>
        <w:t>(1), 25–36. https://doi.org/10.1002/ejsp.26</w:t>
      </w:r>
    </w:p>
    <w:p w14:paraId="74F24988" w14:textId="5A8B63F3"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Batson, C. D., &amp; Moran, T. (1999). Empathy‐induced altruism in a prisoner's dilemma. </w:t>
      </w:r>
      <w:r w:rsidRPr="002414E9">
        <w:rPr>
          <w:rFonts w:eastAsia="DengXian" w:cs="Times New Roman"/>
          <w:bCs/>
          <w:i/>
          <w:iCs/>
          <w:noProof/>
          <w:lang w:eastAsia="zh-CN"/>
        </w:rPr>
        <w:t>European Journal of Social Psychology</w:t>
      </w:r>
      <w:r w:rsidRPr="002414E9">
        <w:rPr>
          <w:rFonts w:eastAsia="DengXian" w:cs="Times New Roman"/>
          <w:bCs/>
          <w:noProof/>
          <w:lang w:eastAsia="zh-CN"/>
        </w:rPr>
        <w:t xml:space="preserve">, </w:t>
      </w:r>
      <w:r w:rsidRPr="002414E9">
        <w:rPr>
          <w:rFonts w:eastAsia="DengXian" w:cs="Times New Roman"/>
          <w:bCs/>
          <w:i/>
          <w:iCs/>
          <w:noProof/>
          <w:lang w:eastAsia="zh-CN"/>
        </w:rPr>
        <w:t>29</w:t>
      </w:r>
      <w:r w:rsidRPr="002414E9">
        <w:rPr>
          <w:rFonts w:eastAsia="DengXian" w:cs="Times New Roman"/>
          <w:bCs/>
          <w:noProof/>
          <w:lang w:eastAsia="zh-CN"/>
        </w:rPr>
        <w:t>(7), 909–924. https://doi.org/10.1002/(SICI)1099-0992(199911)29:7&lt;909::AID-EJSP965&gt;3.0.CO;2-L</w:t>
      </w:r>
    </w:p>
    <w:p w14:paraId="0DFBC9C4" w14:textId="30863C3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Battaglini, M., Nunnari, S., &amp; Palfrey, T. R. (2016). </w:t>
      </w:r>
      <w:r w:rsidRPr="002414E9">
        <w:rPr>
          <w:rFonts w:eastAsia="DengXian" w:cs="Times New Roman"/>
          <w:noProof/>
          <w:lang w:eastAsia="zh-CN"/>
        </w:rPr>
        <w:t xml:space="preserve">The dynamic free rider problem: A laboratory study. </w:t>
      </w:r>
      <w:r w:rsidRPr="002414E9">
        <w:rPr>
          <w:rFonts w:eastAsia="DengXian" w:cs="Times New Roman"/>
          <w:i/>
          <w:iCs/>
          <w:noProof/>
          <w:lang w:eastAsia="zh-CN"/>
        </w:rPr>
        <w:t>American Economic Journal: Microeconomics</w:t>
      </w:r>
      <w:r w:rsidRPr="002414E9">
        <w:rPr>
          <w:rFonts w:eastAsia="DengXian" w:cs="Times New Roman"/>
          <w:noProof/>
          <w:lang w:eastAsia="zh-CN"/>
        </w:rPr>
        <w:t xml:space="preserve">, </w:t>
      </w:r>
      <w:r w:rsidRPr="002414E9">
        <w:rPr>
          <w:rFonts w:eastAsia="DengXian" w:cs="Times New Roman"/>
          <w:i/>
          <w:iCs/>
          <w:noProof/>
          <w:lang w:eastAsia="zh-CN"/>
        </w:rPr>
        <w:t>8</w:t>
      </w:r>
      <w:r w:rsidRPr="002414E9">
        <w:rPr>
          <w:rFonts w:eastAsia="DengXian" w:cs="Times New Roman"/>
          <w:noProof/>
          <w:lang w:eastAsia="zh-CN"/>
        </w:rPr>
        <w:t>(4), 268–308. https://doi.org/10.1257/mic.20150126</w:t>
      </w:r>
    </w:p>
    <w:p w14:paraId="0F78124A" w14:textId="28C1EC0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Bault, N., Pelloux, B., Fahrenfort, J. J., Ridderinkhof, K. R., &amp; Van Winden, F. (2015). Neural dynamics of social tie formation in economic decision-making. </w:t>
      </w:r>
      <w:r w:rsidRPr="002414E9">
        <w:rPr>
          <w:rFonts w:eastAsia="DengXian" w:cs="Times New Roman"/>
          <w:i/>
          <w:iCs/>
          <w:noProof/>
          <w:lang w:eastAsia="zh-CN"/>
        </w:rPr>
        <w:t>Social Cognitive and Affective Neuroscience</w:t>
      </w:r>
      <w:r w:rsidRPr="002414E9">
        <w:rPr>
          <w:rFonts w:eastAsia="DengXian" w:cs="Times New Roman"/>
          <w:noProof/>
          <w:lang w:eastAsia="zh-CN"/>
        </w:rPr>
        <w:t xml:space="preserve">, </w:t>
      </w:r>
      <w:r w:rsidRPr="002414E9">
        <w:rPr>
          <w:rFonts w:eastAsia="DengXian" w:cs="Times New Roman"/>
          <w:i/>
          <w:iCs/>
          <w:noProof/>
          <w:lang w:eastAsia="zh-CN"/>
        </w:rPr>
        <w:t>10</w:t>
      </w:r>
      <w:r w:rsidRPr="002414E9">
        <w:rPr>
          <w:rFonts w:eastAsia="DengXian" w:cs="Times New Roman"/>
          <w:noProof/>
          <w:lang w:eastAsia="zh-CN"/>
        </w:rPr>
        <w:t>(6), 877–884. https://doi.org/10.1093/scan/nsu138</w:t>
      </w:r>
    </w:p>
    <w:p w14:paraId="0C624933" w14:textId="328838F6"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Baxter Jr, G. W. (1973). Prejudiced liberals? Race and information effects in a two-person game.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17</w:t>
      </w:r>
      <w:r w:rsidRPr="002414E9">
        <w:rPr>
          <w:rFonts w:eastAsia="DengXian" w:cs="Times New Roman"/>
          <w:bCs/>
          <w:noProof/>
          <w:lang w:eastAsia="zh-CN"/>
        </w:rPr>
        <w:t xml:space="preserve">(1), 131–161. </w:t>
      </w:r>
      <w:bookmarkStart w:id="49" w:name="_Hlk54082222"/>
      <w:r w:rsidRPr="002414E9">
        <w:rPr>
          <w:rFonts w:eastAsia="DengXian" w:cs="Times New Roman"/>
          <w:bCs/>
          <w:noProof/>
          <w:lang w:eastAsia="zh-CN"/>
        </w:rPr>
        <w:lastRenderedPageBreak/>
        <w:t>https://doi.org/</w:t>
      </w:r>
      <w:bookmarkEnd w:id="49"/>
      <w:r w:rsidRPr="002414E9">
        <w:rPr>
          <w:rFonts w:eastAsia="DengXian" w:cs="Times New Roman"/>
          <w:bCs/>
          <w:noProof/>
          <w:lang w:eastAsia="zh-CN"/>
        </w:rPr>
        <w:t>10.1177/002200277301700107</w:t>
      </w:r>
    </w:p>
    <w:p w14:paraId="319ED25D" w14:textId="2EFDF13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Bayer, R.-C. (2016). Cooperation in Partnerships: The role of breakups and reputation. </w:t>
      </w:r>
      <w:r w:rsidRPr="002414E9">
        <w:rPr>
          <w:rFonts w:eastAsia="DengXian" w:cs="Times New Roman"/>
          <w:i/>
          <w:iCs/>
          <w:noProof/>
          <w:lang w:eastAsia="zh-CN"/>
        </w:rPr>
        <w:t>Journal of Institutional and Theoretical Economics</w:t>
      </w:r>
      <w:r w:rsidRPr="002414E9">
        <w:rPr>
          <w:rFonts w:eastAsia="DengXian" w:cs="Times New Roman"/>
          <w:noProof/>
          <w:lang w:eastAsia="zh-CN"/>
        </w:rPr>
        <w:t xml:space="preserve">, </w:t>
      </w:r>
      <w:r w:rsidRPr="002414E9">
        <w:rPr>
          <w:rFonts w:eastAsia="DengXian" w:cs="Times New Roman"/>
          <w:i/>
          <w:iCs/>
          <w:noProof/>
          <w:lang w:eastAsia="zh-CN"/>
        </w:rPr>
        <w:t>172</w:t>
      </w:r>
      <w:r w:rsidRPr="002414E9">
        <w:rPr>
          <w:rFonts w:eastAsia="DengXian" w:cs="Times New Roman"/>
          <w:noProof/>
          <w:lang w:eastAsia="zh-CN"/>
        </w:rPr>
        <w:t>(4), 615–615. https://doi.org/10.1628/093245616X14610627109836</w:t>
      </w:r>
    </w:p>
    <w:p w14:paraId="34F91367" w14:textId="5F1C69A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Bayer, R.-C., Renner, E., &amp; Sausgruber, R. (2013). </w:t>
      </w:r>
      <w:r w:rsidRPr="002414E9">
        <w:rPr>
          <w:rFonts w:eastAsia="DengXian" w:cs="Times New Roman"/>
          <w:noProof/>
          <w:lang w:eastAsia="zh-CN"/>
        </w:rPr>
        <w:t xml:space="preserve">Confusion and learning in the voluntary contributions game.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16</w:t>
      </w:r>
      <w:r w:rsidRPr="002414E9">
        <w:rPr>
          <w:rFonts w:eastAsia="DengXian" w:cs="Times New Roman"/>
          <w:noProof/>
          <w:lang w:eastAsia="zh-CN"/>
        </w:rPr>
        <w:t>(4), 478–496. https://doi.org/10.1007/s10683-012-9348-2</w:t>
      </w:r>
    </w:p>
    <w:p w14:paraId="526A132F" w14:textId="600E2A38" w:rsidR="002414E9" w:rsidRPr="002414E9" w:rsidRDefault="002414E9" w:rsidP="002414E9">
      <w:pPr>
        <w:widowControl w:val="0"/>
        <w:autoSpaceDE w:val="0"/>
        <w:autoSpaceDN w:val="0"/>
        <w:adjustRightInd w:val="0"/>
        <w:ind w:left="709" w:hanging="709"/>
        <w:rPr>
          <w:rFonts w:eastAsia="DengXian" w:cs="Times New Roman"/>
          <w:noProof/>
          <w:lang w:val="it-IT" w:eastAsia="zh-CN"/>
        </w:rPr>
      </w:pPr>
      <w:r w:rsidRPr="002414E9">
        <w:rPr>
          <w:rFonts w:eastAsia="DengXian" w:cs="Times New Roman"/>
          <w:noProof/>
          <w:lang w:val="de-DE" w:eastAsia="zh-CN"/>
        </w:rPr>
        <w:t xml:space="preserve">Bchir, M. A., &amp; Willinger, M. (2013). </w:t>
      </w:r>
      <w:r w:rsidRPr="002414E9">
        <w:rPr>
          <w:rFonts w:eastAsia="DengXian" w:cs="Times New Roman"/>
          <w:noProof/>
          <w:lang w:eastAsia="zh-CN"/>
        </w:rPr>
        <w:t xml:space="preserve">Does a membership fee foster successful public good provision? An experimental investigation of the provision of a step-level collective good. </w:t>
      </w:r>
      <w:r w:rsidRPr="002414E9">
        <w:rPr>
          <w:rFonts w:eastAsia="DengXian" w:cs="Times New Roman"/>
          <w:i/>
          <w:iCs/>
          <w:noProof/>
          <w:lang w:val="it-IT" w:eastAsia="zh-CN"/>
        </w:rPr>
        <w:t>Public Choice</w:t>
      </w:r>
      <w:r w:rsidRPr="002414E9">
        <w:rPr>
          <w:rFonts w:eastAsia="DengXian" w:cs="Times New Roman"/>
          <w:noProof/>
          <w:lang w:val="it-IT" w:eastAsia="zh-CN"/>
        </w:rPr>
        <w:t xml:space="preserve">, </w:t>
      </w:r>
      <w:r w:rsidRPr="002414E9">
        <w:rPr>
          <w:rFonts w:eastAsia="DengXian" w:cs="Times New Roman"/>
          <w:i/>
          <w:iCs/>
          <w:noProof/>
          <w:lang w:val="it-IT" w:eastAsia="zh-CN"/>
        </w:rPr>
        <w:t>157</w:t>
      </w:r>
      <w:r w:rsidRPr="002414E9">
        <w:rPr>
          <w:rFonts w:eastAsia="DengXian" w:cs="Times New Roman"/>
          <w:noProof/>
          <w:lang w:val="it-IT" w:eastAsia="zh-CN"/>
        </w:rPr>
        <w:t>(1–2), 25–39. https://doi.org/10.1007/s11127-012-9929-9</w:t>
      </w:r>
    </w:p>
    <w:p w14:paraId="4A6ED7D4" w14:textId="1A769E8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Becchetti, L., Conzo, P., &amp; Degli Antoni, G. (2015). </w:t>
      </w:r>
      <w:r w:rsidRPr="002414E9">
        <w:rPr>
          <w:rFonts w:eastAsia="DengXian" w:cs="Times New Roman"/>
          <w:noProof/>
          <w:lang w:eastAsia="zh-CN"/>
        </w:rPr>
        <w:t xml:space="preserve">Public disclosure of players’ conduct and common resources harvesting: Experimental evidence from a Nairobi slum. </w:t>
      </w:r>
      <w:r w:rsidRPr="002414E9">
        <w:rPr>
          <w:rFonts w:eastAsia="DengXian" w:cs="Times New Roman"/>
          <w:i/>
          <w:iCs/>
          <w:noProof/>
          <w:lang w:eastAsia="zh-CN"/>
        </w:rPr>
        <w:t>Social Choice and Welfare</w:t>
      </w:r>
      <w:r w:rsidRPr="002414E9">
        <w:rPr>
          <w:rFonts w:eastAsia="DengXian" w:cs="Times New Roman"/>
          <w:noProof/>
          <w:lang w:eastAsia="zh-CN"/>
        </w:rPr>
        <w:t xml:space="preserve">, </w:t>
      </w:r>
      <w:r w:rsidRPr="002414E9">
        <w:rPr>
          <w:rFonts w:eastAsia="DengXian" w:cs="Times New Roman"/>
          <w:i/>
          <w:iCs/>
          <w:noProof/>
          <w:lang w:eastAsia="zh-CN"/>
        </w:rPr>
        <w:t>45</w:t>
      </w:r>
      <w:r w:rsidRPr="002414E9">
        <w:rPr>
          <w:rFonts w:eastAsia="DengXian" w:cs="Times New Roman"/>
          <w:noProof/>
          <w:lang w:eastAsia="zh-CN"/>
        </w:rPr>
        <w:t>(1), 71–96. https://doi.org/10.1007/s00355-014-0867-y</w:t>
      </w:r>
    </w:p>
    <w:p w14:paraId="195AAD1F" w14:textId="53AC885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Beekman, G., Bulte, E., &amp; Nillesen, E. (2014). Corruption, investments and contributions to public goods: Experimental evidence from rural Liberia.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115</w:t>
      </w:r>
      <w:r w:rsidRPr="002414E9">
        <w:rPr>
          <w:rFonts w:eastAsia="DengXian" w:cs="Times New Roman"/>
          <w:noProof/>
          <w:lang w:eastAsia="zh-CN"/>
        </w:rPr>
        <w:t>, 37–47. https://doi.org/10.1016/j.jpubeco.2014.04.004</w:t>
      </w:r>
    </w:p>
    <w:p w14:paraId="46B02E37" w14:textId="1CF86A7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Belot, M., Duch, R., &amp; Miller, L. (2015). A comprehensive comparison of students and non-students in classic experimental games.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113</w:t>
      </w:r>
      <w:r w:rsidRPr="002414E9">
        <w:rPr>
          <w:rFonts w:eastAsia="DengXian" w:cs="Times New Roman"/>
          <w:noProof/>
          <w:lang w:eastAsia="zh-CN"/>
        </w:rPr>
        <w:t>, 26–33. https://doi.org/10.1016/j.jebo.2015.02.007</w:t>
      </w:r>
    </w:p>
    <w:p w14:paraId="78F9B267" w14:textId="011A56A5"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Berg, J. M., Lilienfeld, S. O., &amp; Waldman, I. D. (2013). </w:t>
      </w:r>
      <w:r w:rsidRPr="002414E9">
        <w:rPr>
          <w:rFonts w:eastAsia="DengXian" w:cs="Times New Roman"/>
          <w:bCs/>
          <w:noProof/>
          <w:lang w:eastAsia="zh-CN"/>
        </w:rPr>
        <w:t xml:space="preserve">Bargaining with the devil: Using economic decision-making tasks to examine the heterogeneity of psychopathic traits. </w:t>
      </w:r>
      <w:r w:rsidRPr="002414E9">
        <w:rPr>
          <w:rFonts w:eastAsia="DengXian" w:cs="Times New Roman"/>
          <w:bCs/>
          <w:i/>
          <w:iCs/>
          <w:noProof/>
          <w:lang w:eastAsia="zh-CN"/>
        </w:rPr>
        <w:t>Journal of Research in Personality</w:t>
      </w:r>
      <w:r w:rsidRPr="002414E9">
        <w:rPr>
          <w:rFonts w:eastAsia="DengXian" w:cs="Times New Roman"/>
          <w:bCs/>
          <w:noProof/>
          <w:lang w:eastAsia="zh-CN"/>
        </w:rPr>
        <w:t xml:space="preserve">, </w:t>
      </w:r>
      <w:r w:rsidRPr="002414E9">
        <w:rPr>
          <w:rFonts w:eastAsia="DengXian" w:cs="Times New Roman"/>
          <w:bCs/>
          <w:i/>
          <w:iCs/>
          <w:noProof/>
          <w:lang w:eastAsia="zh-CN"/>
        </w:rPr>
        <w:t>47</w:t>
      </w:r>
      <w:r w:rsidRPr="002414E9">
        <w:rPr>
          <w:rFonts w:eastAsia="DengXian" w:cs="Times New Roman"/>
          <w:bCs/>
          <w:noProof/>
          <w:lang w:eastAsia="zh-CN"/>
        </w:rPr>
        <w:t>(5), 472–482. https://doi.org/10.1016/j.jrp.2013.04.003</w:t>
      </w:r>
    </w:p>
    <w:p w14:paraId="1E3E22EA" w14:textId="6A7A968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lastRenderedPageBreak/>
        <w:t xml:space="preserve">Berg, P. Van den, Molleman, L., Junikka, J., Puurtinen, M., &amp; Weissing, F. J. (2015). </w:t>
      </w:r>
      <w:r w:rsidRPr="002414E9">
        <w:rPr>
          <w:rFonts w:eastAsia="DengXian" w:cs="Times New Roman"/>
          <w:noProof/>
          <w:lang w:eastAsia="zh-CN"/>
        </w:rPr>
        <w:t xml:space="preserve">Human cooperation in groups: variation begets variation. </w:t>
      </w:r>
      <w:r w:rsidRPr="002414E9">
        <w:rPr>
          <w:rFonts w:eastAsia="DengXian" w:cs="Times New Roman"/>
          <w:i/>
          <w:iCs/>
          <w:noProof/>
          <w:lang w:eastAsia="zh-CN"/>
        </w:rPr>
        <w:t>Scientific Reports</w:t>
      </w:r>
      <w:r w:rsidRPr="002414E9">
        <w:rPr>
          <w:rFonts w:eastAsia="DengXian" w:cs="Times New Roman"/>
          <w:noProof/>
          <w:lang w:eastAsia="zh-CN"/>
        </w:rPr>
        <w:t xml:space="preserve">, </w:t>
      </w:r>
      <w:r w:rsidRPr="002414E9">
        <w:rPr>
          <w:rFonts w:eastAsia="DengXian" w:cs="Times New Roman"/>
          <w:i/>
          <w:iCs/>
          <w:noProof/>
          <w:lang w:eastAsia="zh-CN"/>
        </w:rPr>
        <w:t>5</w:t>
      </w:r>
      <w:r w:rsidRPr="002414E9">
        <w:rPr>
          <w:rFonts w:eastAsia="DengXian" w:cs="Times New Roman"/>
          <w:noProof/>
          <w:lang w:eastAsia="zh-CN"/>
        </w:rPr>
        <w:t>(1), 16144. https://doi.org/10.1038/srep16144</w:t>
      </w:r>
    </w:p>
    <w:p w14:paraId="50CE2A79" w14:textId="7BECFD9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Berge, L. I. O., Juniwaty, K. S., &amp; Sekei, L. H. (2016). </w:t>
      </w:r>
      <w:r w:rsidRPr="002414E9">
        <w:rPr>
          <w:rFonts w:eastAsia="DengXian" w:cs="Times New Roman"/>
          <w:noProof/>
          <w:lang w:eastAsia="zh-CN"/>
        </w:rPr>
        <w:t xml:space="preserve">Gender composition and group dynamics: Evidence from a laboratory experiment with microfinance clients.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131</w:t>
      </w:r>
      <w:r w:rsidRPr="002414E9">
        <w:rPr>
          <w:rFonts w:eastAsia="DengXian" w:cs="Times New Roman"/>
          <w:noProof/>
          <w:lang w:eastAsia="zh-CN"/>
        </w:rPr>
        <w:t>, 1–20. https://doi.org/10.1016/j.jebo.2016.07.015</w:t>
      </w:r>
    </w:p>
    <w:p w14:paraId="10403808" w14:textId="4DCAC6D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Bergsieker, H. B. (2012). </w:t>
      </w:r>
      <w:r w:rsidRPr="002414E9">
        <w:rPr>
          <w:rFonts w:eastAsia="DengXian" w:cs="Times New Roman"/>
          <w:i/>
          <w:iCs/>
          <w:noProof/>
          <w:lang w:eastAsia="zh-CN"/>
        </w:rPr>
        <w:t>Building, betraying, and buffering trust in interracial and same-race friendships</w:t>
      </w:r>
      <w:r w:rsidRPr="002414E9">
        <w:rPr>
          <w:rFonts w:eastAsia="DengXian" w:cs="Times New Roman"/>
          <w:noProof/>
          <w:lang w:eastAsia="zh-CN"/>
        </w:rPr>
        <w:t>. Princeton University.</w:t>
      </w:r>
    </w:p>
    <w:p w14:paraId="71EAD476" w14:textId="239C747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Berlemann, M., Dittrich, M., &amp; Markwardt, G. (2009). </w:t>
      </w:r>
      <w:r w:rsidRPr="002414E9">
        <w:rPr>
          <w:rFonts w:eastAsia="DengXian" w:cs="Times New Roman"/>
          <w:noProof/>
          <w:lang w:eastAsia="zh-CN"/>
        </w:rPr>
        <w:t xml:space="preserve">The value of non-binding announcements in public goods experiments: Some theory and experimental evidence. </w:t>
      </w:r>
      <w:r w:rsidRPr="002414E9">
        <w:rPr>
          <w:rFonts w:eastAsia="DengXian" w:cs="Times New Roman"/>
          <w:i/>
          <w:iCs/>
          <w:noProof/>
          <w:lang w:eastAsia="zh-CN"/>
        </w:rPr>
        <w:t>The Journal of Socio-Economics</w:t>
      </w:r>
      <w:r w:rsidRPr="002414E9">
        <w:rPr>
          <w:rFonts w:eastAsia="DengXian" w:cs="Times New Roman"/>
          <w:noProof/>
          <w:lang w:eastAsia="zh-CN"/>
        </w:rPr>
        <w:t xml:space="preserve">, </w:t>
      </w:r>
      <w:r w:rsidRPr="002414E9">
        <w:rPr>
          <w:rFonts w:eastAsia="DengXian" w:cs="Times New Roman"/>
          <w:i/>
          <w:iCs/>
          <w:noProof/>
          <w:lang w:eastAsia="zh-CN"/>
        </w:rPr>
        <w:t>38</w:t>
      </w:r>
      <w:r w:rsidRPr="002414E9">
        <w:rPr>
          <w:rFonts w:eastAsia="DengXian" w:cs="Times New Roman"/>
          <w:noProof/>
          <w:lang w:eastAsia="zh-CN"/>
        </w:rPr>
        <w:t>(3), 421–428. https://doi.org/10.1016/j.socec.2008.10.013</w:t>
      </w:r>
    </w:p>
    <w:p w14:paraId="58E5B0F8" w14:textId="442D241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Bernasconi, M., Corazzini, L., Kube, S., &amp; Maréchal, M. A. (2009). </w:t>
      </w:r>
      <w:r w:rsidRPr="002414E9">
        <w:rPr>
          <w:rFonts w:eastAsia="DengXian" w:cs="Times New Roman"/>
          <w:noProof/>
          <w:lang w:eastAsia="zh-CN"/>
        </w:rPr>
        <w:t xml:space="preserve">Two are better than one!: individuals’ contributions to “unpacked” public goods. </w:t>
      </w:r>
      <w:r w:rsidRPr="002414E9">
        <w:rPr>
          <w:rFonts w:eastAsia="DengXian" w:cs="Times New Roman"/>
          <w:i/>
          <w:iCs/>
          <w:noProof/>
          <w:lang w:eastAsia="zh-CN"/>
        </w:rPr>
        <w:t>Economics Letters</w:t>
      </w:r>
      <w:r w:rsidRPr="002414E9">
        <w:rPr>
          <w:rFonts w:eastAsia="DengXian" w:cs="Times New Roman"/>
          <w:noProof/>
          <w:lang w:eastAsia="zh-CN"/>
        </w:rPr>
        <w:t xml:space="preserve">, </w:t>
      </w:r>
      <w:r w:rsidRPr="002414E9">
        <w:rPr>
          <w:rFonts w:eastAsia="DengXian" w:cs="Times New Roman"/>
          <w:i/>
          <w:iCs/>
          <w:noProof/>
          <w:lang w:eastAsia="zh-CN"/>
        </w:rPr>
        <w:t>104</w:t>
      </w:r>
      <w:r w:rsidRPr="002414E9">
        <w:rPr>
          <w:rFonts w:eastAsia="DengXian" w:cs="Times New Roman"/>
          <w:noProof/>
          <w:lang w:eastAsia="zh-CN"/>
        </w:rPr>
        <w:t>(1), 31–33. https://doi.org/10.1016/j.econlet.2009.03.015</w:t>
      </w:r>
    </w:p>
    <w:p w14:paraId="7EC30EE7" w14:textId="6EA70EC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Bethlehem, D. W. (1973). Cooperation, competition and altruism among schoolchildren in Zambia. </w:t>
      </w:r>
      <w:r w:rsidRPr="002414E9">
        <w:rPr>
          <w:rFonts w:eastAsia="DengXian" w:cs="Times New Roman"/>
          <w:i/>
          <w:iCs/>
          <w:noProof/>
          <w:lang w:eastAsia="zh-CN"/>
        </w:rPr>
        <w:t>International Journal of Psychology</w:t>
      </w:r>
      <w:r w:rsidRPr="002414E9">
        <w:rPr>
          <w:rFonts w:eastAsia="DengXian" w:cs="Times New Roman"/>
          <w:noProof/>
          <w:lang w:eastAsia="zh-CN"/>
        </w:rPr>
        <w:t xml:space="preserve">, </w:t>
      </w:r>
      <w:r w:rsidRPr="002414E9">
        <w:rPr>
          <w:rFonts w:eastAsia="DengXian" w:cs="Times New Roman"/>
          <w:i/>
          <w:iCs/>
          <w:noProof/>
          <w:lang w:eastAsia="zh-CN"/>
        </w:rPr>
        <w:t>8</w:t>
      </w:r>
      <w:r w:rsidRPr="002414E9">
        <w:rPr>
          <w:rFonts w:eastAsia="DengXian" w:cs="Times New Roman"/>
          <w:noProof/>
          <w:lang w:eastAsia="zh-CN"/>
        </w:rPr>
        <w:t>(2), 125–135. https://doi.org/10.1080/00207597308247069</w:t>
      </w:r>
    </w:p>
    <w:p w14:paraId="1C1FBAF1" w14:textId="19F006E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Bethlehem, D. W. (1975). The effect of westernization on cooperative behaviour in Central Africa. </w:t>
      </w:r>
      <w:r w:rsidRPr="002414E9">
        <w:rPr>
          <w:rFonts w:eastAsia="DengXian" w:cs="Times New Roman"/>
          <w:i/>
          <w:iCs/>
          <w:noProof/>
          <w:lang w:eastAsia="zh-CN"/>
        </w:rPr>
        <w:t>International Journal of Psychology</w:t>
      </w:r>
      <w:r w:rsidRPr="002414E9">
        <w:rPr>
          <w:rFonts w:eastAsia="DengXian" w:cs="Times New Roman"/>
          <w:noProof/>
          <w:lang w:eastAsia="zh-CN"/>
        </w:rPr>
        <w:t xml:space="preserve">, </w:t>
      </w:r>
      <w:r w:rsidRPr="002414E9">
        <w:rPr>
          <w:rFonts w:eastAsia="DengXian" w:cs="Times New Roman"/>
          <w:i/>
          <w:iCs/>
          <w:noProof/>
          <w:lang w:eastAsia="zh-CN"/>
        </w:rPr>
        <w:t>10</w:t>
      </w:r>
      <w:r w:rsidRPr="002414E9">
        <w:rPr>
          <w:rFonts w:eastAsia="DengXian" w:cs="Times New Roman"/>
          <w:noProof/>
          <w:lang w:eastAsia="zh-CN"/>
        </w:rPr>
        <w:t>(3), 219–224. https://doi.org/10.1080/00207597508247333</w:t>
      </w:r>
    </w:p>
    <w:p w14:paraId="08536F52" w14:textId="2844739A"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Bettenhausen, K. L., &amp; Murnighan, J. K. (1991). </w:t>
      </w:r>
      <w:r w:rsidRPr="002414E9">
        <w:rPr>
          <w:rFonts w:eastAsia="DengXian" w:cs="Times New Roman"/>
          <w:bCs/>
          <w:noProof/>
          <w:lang w:eastAsia="zh-CN"/>
        </w:rPr>
        <w:t xml:space="preserve">The development of an intragroup norm and the effects of interpersonal and structural challenges. </w:t>
      </w:r>
      <w:r w:rsidRPr="002414E9">
        <w:rPr>
          <w:rFonts w:eastAsia="DengXian" w:cs="Times New Roman"/>
          <w:bCs/>
          <w:i/>
          <w:iCs/>
          <w:noProof/>
          <w:lang w:eastAsia="zh-CN"/>
        </w:rPr>
        <w:t>Administrative Science Quarterly</w:t>
      </w:r>
      <w:r w:rsidRPr="002414E9">
        <w:rPr>
          <w:rFonts w:eastAsia="DengXian" w:cs="Times New Roman"/>
          <w:bCs/>
          <w:noProof/>
          <w:lang w:eastAsia="zh-CN"/>
        </w:rPr>
        <w:t xml:space="preserve">, </w:t>
      </w:r>
      <w:r w:rsidRPr="002414E9">
        <w:rPr>
          <w:rFonts w:eastAsia="DengXian" w:cs="Times New Roman"/>
          <w:bCs/>
          <w:i/>
          <w:iCs/>
          <w:noProof/>
          <w:lang w:eastAsia="zh-CN"/>
        </w:rPr>
        <w:t>36</w:t>
      </w:r>
      <w:r w:rsidRPr="002414E9">
        <w:rPr>
          <w:rFonts w:eastAsia="DengXian" w:cs="Times New Roman"/>
          <w:bCs/>
          <w:noProof/>
          <w:lang w:eastAsia="zh-CN"/>
        </w:rPr>
        <w:t>(1),20–35. https://doi.org/10.2307/2393428</w:t>
      </w:r>
    </w:p>
    <w:p w14:paraId="34D403FE" w14:textId="6513A59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lastRenderedPageBreak/>
        <w:t xml:space="preserve">Bigoni, M., &amp; Suetens, S. (2012). Feedback and dynamics in public good experiments.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82</w:t>
      </w:r>
      <w:r w:rsidRPr="002414E9">
        <w:rPr>
          <w:rFonts w:eastAsia="DengXian" w:cs="Times New Roman"/>
          <w:noProof/>
          <w:lang w:eastAsia="zh-CN"/>
        </w:rPr>
        <w:t>(1), 86–95. https://doi.org/10.1016/j.jebo.2011.12.013</w:t>
      </w:r>
    </w:p>
    <w:p w14:paraId="44A9F0EE" w14:textId="3DC3CEF2"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it-IT" w:eastAsia="zh-CN"/>
        </w:rPr>
        <w:t xml:space="preserve">Bigoni, M., Camera, G., &amp; Casari, M. (2013). </w:t>
      </w:r>
      <w:r w:rsidRPr="002414E9">
        <w:rPr>
          <w:rFonts w:eastAsia="DengXian" w:cs="Times New Roman"/>
          <w:bCs/>
          <w:noProof/>
          <w:lang w:eastAsia="zh-CN"/>
        </w:rPr>
        <w:t xml:space="preserve">Strategies of cooperation and punishment among students and clerical workers. </w:t>
      </w:r>
      <w:r w:rsidRPr="002414E9">
        <w:rPr>
          <w:rFonts w:eastAsia="DengXian" w:cs="Times New Roman"/>
          <w:bCs/>
          <w:i/>
          <w:iCs/>
          <w:noProof/>
          <w:lang w:eastAsia="zh-CN"/>
        </w:rPr>
        <w:t>Journal of Economic Behavior &amp; Organization</w:t>
      </w:r>
      <w:r w:rsidRPr="002414E9">
        <w:rPr>
          <w:rFonts w:eastAsia="DengXian" w:cs="Times New Roman"/>
          <w:bCs/>
          <w:noProof/>
          <w:lang w:eastAsia="zh-CN"/>
        </w:rPr>
        <w:t xml:space="preserve">, </w:t>
      </w:r>
      <w:r w:rsidRPr="002414E9">
        <w:rPr>
          <w:rFonts w:eastAsia="DengXian" w:cs="Times New Roman"/>
          <w:bCs/>
          <w:i/>
          <w:iCs/>
          <w:noProof/>
          <w:lang w:eastAsia="zh-CN"/>
        </w:rPr>
        <w:t>94</w:t>
      </w:r>
      <w:r w:rsidRPr="002414E9">
        <w:rPr>
          <w:rFonts w:eastAsia="DengXian" w:cs="Times New Roman"/>
          <w:bCs/>
          <w:noProof/>
          <w:lang w:eastAsia="zh-CN"/>
        </w:rPr>
        <w:t>, 172–182. https://doi.org/10.1016/j.jebo.2012.12.024</w:t>
      </w:r>
    </w:p>
    <w:p w14:paraId="468CA324" w14:textId="1BE6EBE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Bixenstine, V. E., &amp; Blundell, H. (1966). </w:t>
      </w:r>
      <w:r w:rsidRPr="002414E9">
        <w:rPr>
          <w:rFonts w:eastAsia="DengXian" w:cs="Times New Roman"/>
          <w:noProof/>
          <w:lang w:eastAsia="zh-CN"/>
        </w:rPr>
        <w:t xml:space="preserve">Control of choice exerted by structural factors in two-person, non-zero-sum games 1. </w:t>
      </w:r>
      <w:r w:rsidRPr="002414E9">
        <w:rPr>
          <w:rFonts w:eastAsia="DengXian" w:cs="Times New Roman"/>
          <w:i/>
          <w:iCs/>
          <w:noProof/>
          <w:lang w:eastAsia="zh-CN"/>
        </w:rPr>
        <w:t>Journal of Conflict Resolution</w:t>
      </w:r>
      <w:r w:rsidRPr="002414E9">
        <w:rPr>
          <w:rFonts w:eastAsia="DengXian" w:cs="Times New Roman"/>
          <w:noProof/>
          <w:lang w:eastAsia="zh-CN"/>
        </w:rPr>
        <w:t xml:space="preserve">, </w:t>
      </w:r>
      <w:r w:rsidRPr="002414E9">
        <w:rPr>
          <w:rFonts w:eastAsia="DengXian" w:cs="Times New Roman"/>
          <w:i/>
          <w:iCs/>
          <w:noProof/>
          <w:lang w:eastAsia="zh-CN"/>
        </w:rPr>
        <w:t>10</w:t>
      </w:r>
      <w:r w:rsidRPr="002414E9">
        <w:rPr>
          <w:rFonts w:eastAsia="DengXian" w:cs="Times New Roman"/>
          <w:noProof/>
          <w:lang w:eastAsia="zh-CN"/>
        </w:rPr>
        <w:t>(4), 478–487. https://doi.org/10.1177/002200276601000406</w:t>
      </w:r>
    </w:p>
    <w:p w14:paraId="1C5B7D43" w14:textId="04F4325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Bixenstine, V. E., Chambers, N., &amp; Wilson, K. V. (1964). Effect of asymmetry in payoff on behavior in a two-person non-zero-sum game. </w:t>
      </w:r>
      <w:r w:rsidRPr="002414E9">
        <w:rPr>
          <w:rFonts w:eastAsia="DengXian" w:cs="Times New Roman"/>
          <w:i/>
          <w:iCs/>
          <w:noProof/>
          <w:lang w:eastAsia="zh-CN"/>
        </w:rPr>
        <w:t>Journal of Conflict Resolution</w:t>
      </w:r>
      <w:r w:rsidRPr="002414E9">
        <w:rPr>
          <w:rFonts w:eastAsia="DengXian" w:cs="Times New Roman"/>
          <w:noProof/>
          <w:lang w:eastAsia="zh-CN"/>
        </w:rPr>
        <w:t xml:space="preserve">, </w:t>
      </w:r>
      <w:r w:rsidRPr="002414E9">
        <w:rPr>
          <w:rFonts w:eastAsia="DengXian" w:cs="Times New Roman"/>
          <w:i/>
          <w:iCs/>
          <w:noProof/>
          <w:lang w:eastAsia="zh-CN"/>
        </w:rPr>
        <w:t>8</w:t>
      </w:r>
      <w:r w:rsidRPr="002414E9">
        <w:rPr>
          <w:rFonts w:eastAsia="DengXian" w:cs="Times New Roman"/>
          <w:noProof/>
          <w:lang w:eastAsia="zh-CN"/>
        </w:rPr>
        <w:t>(2), 151–159. https://doi.org/10.1177/002200276400800206</w:t>
      </w:r>
    </w:p>
    <w:p w14:paraId="7CE13D5E" w14:textId="273CFDE4"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Bixenstine, V. E., Lowenfeld, B., &amp; Englehart, C. E. (1981). </w:t>
      </w:r>
      <w:r w:rsidRPr="002414E9">
        <w:rPr>
          <w:rFonts w:eastAsia="DengXian" w:cs="Times New Roman"/>
          <w:bCs/>
          <w:noProof/>
          <w:lang w:eastAsia="zh-CN"/>
        </w:rPr>
        <w:t xml:space="preserve">Role enactment versus typology: Another test of the triangle hypothesis. </w:t>
      </w:r>
      <w:r w:rsidRPr="002414E9">
        <w:rPr>
          <w:rFonts w:eastAsia="DengXian" w:cs="Times New Roman"/>
          <w:bCs/>
          <w:i/>
          <w:iCs/>
          <w:noProof/>
          <w:lang w:eastAsia="zh-CN"/>
        </w:rPr>
        <w:t>Journal of Personality and Social Psychology, 41</w:t>
      </w:r>
      <w:r w:rsidRPr="002414E9">
        <w:rPr>
          <w:rFonts w:eastAsia="DengXian" w:cs="Times New Roman"/>
          <w:bCs/>
          <w:noProof/>
          <w:lang w:eastAsia="zh-CN"/>
        </w:rPr>
        <w:t>(4), 776–788. https://doi.org/10.1037/0022-3514.41.4.776</w:t>
      </w:r>
    </w:p>
    <w:p w14:paraId="67FC2AAB" w14:textId="69E4E11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Bixenstine, V. E., Potash, H. M., &amp; Wilson, K. V. (1963). Effects of level of cooperative choice by the other player on choices in a prisoner’s dilemma game: Part I. </w:t>
      </w:r>
      <w:r w:rsidRPr="002414E9">
        <w:rPr>
          <w:rFonts w:eastAsia="DengXian" w:cs="Times New Roman"/>
          <w:i/>
          <w:iCs/>
          <w:noProof/>
          <w:lang w:eastAsia="zh-CN"/>
        </w:rPr>
        <w:t>The Journal of Abnormal and Social Psychology</w:t>
      </w:r>
      <w:r w:rsidRPr="002414E9">
        <w:rPr>
          <w:rFonts w:eastAsia="DengXian" w:cs="Times New Roman"/>
          <w:noProof/>
          <w:lang w:eastAsia="zh-CN"/>
        </w:rPr>
        <w:t xml:space="preserve">, </w:t>
      </w:r>
      <w:r w:rsidRPr="002414E9">
        <w:rPr>
          <w:rFonts w:eastAsia="DengXian" w:cs="Times New Roman"/>
          <w:i/>
          <w:iCs/>
          <w:noProof/>
          <w:lang w:eastAsia="zh-CN"/>
        </w:rPr>
        <w:t>66</w:t>
      </w:r>
      <w:r w:rsidRPr="002414E9">
        <w:rPr>
          <w:rFonts w:eastAsia="DengXian" w:cs="Times New Roman"/>
          <w:noProof/>
          <w:lang w:eastAsia="zh-CN"/>
        </w:rPr>
        <w:t>(4), 308–313. https://doi.org/10.1037/h0040167</w:t>
      </w:r>
    </w:p>
    <w:p w14:paraId="4FFDD523" w14:textId="0C9BA086"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Black, T. E., &amp; Higbee, K. L. (1973). Effects of power, threat, and sex on exploitation. </w:t>
      </w:r>
      <w:r w:rsidRPr="002414E9">
        <w:rPr>
          <w:rFonts w:eastAsia="DengXian" w:cs="Times New Roman"/>
          <w:bCs/>
          <w:i/>
          <w:iCs/>
          <w:noProof/>
          <w:lang w:eastAsia="zh-CN"/>
        </w:rPr>
        <w:t>Journal of Personality and Social Psychology, 27</w:t>
      </w:r>
      <w:r w:rsidRPr="002414E9">
        <w:rPr>
          <w:rFonts w:eastAsia="DengXian" w:cs="Times New Roman"/>
          <w:bCs/>
          <w:noProof/>
          <w:lang w:eastAsia="zh-CN"/>
        </w:rPr>
        <w:t>(3), 382–388. https://doi.org/10.1037/h0034937</w:t>
      </w:r>
    </w:p>
    <w:p w14:paraId="57E67296" w14:textId="4969E98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Blanco, E., Haller, T., &amp; Walker, J. M. (2017). Externalities in appropriation: Responses to probabilistic losses.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20</w:t>
      </w:r>
      <w:r w:rsidRPr="002414E9">
        <w:rPr>
          <w:rFonts w:eastAsia="DengXian" w:cs="Times New Roman"/>
          <w:noProof/>
          <w:lang w:eastAsia="zh-CN"/>
        </w:rPr>
        <w:t>(4), 793–808. https://doi.org/10.1007/s10683-017-9511-x</w:t>
      </w:r>
    </w:p>
    <w:p w14:paraId="3EC6BA49" w14:textId="7F2FD5D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lastRenderedPageBreak/>
        <w:t xml:space="preserve">Blanco, E., Haller, T., Lopez, M. C., &amp; Walker, J. M. (2016). The tension between private benefits and degradation externalities from appropriation in the commons.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125</w:t>
      </w:r>
      <w:r w:rsidRPr="002414E9">
        <w:rPr>
          <w:rFonts w:eastAsia="DengXian" w:cs="Times New Roman"/>
          <w:noProof/>
          <w:lang w:eastAsia="zh-CN"/>
        </w:rPr>
        <w:t>, 136–147. https://doi.org/10.1016/j.jebo.2016.02.008</w:t>
      </w:r>
    </w:p>
    <w:p w14:paraId="68E55B88" w14:textId="692CCE4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Blanco, M., Engelmann, D., &amp; Normann, H. T. (2011). </w:t>
      </w:r>
      <w:r w:rsidRPr="002414E9">
        <w:rPr>
          <w:rFonts w:eastAsia="DengXian" w:cs="Times New Roman"/>
          <w:noProof/>
          <w:lang w:eastAsia="zh-CN"/>
        </w:rPr>
        <w:t xml:space="preserve">A within-subject analysis of other-regarding preferences. </w:t>
      </w:r>
      <w:r w:rsidRPr="002414E9">
        <w:rPr>
          <w:rFonts w:eastAsia="DengXian" w:cs="Times New Roman"/>
          <w:i/>
          <w:iCs/>
          <w:noProof/>
          <w:lang w:eastAsia="zh-CN"/>
        </w:rPr>
        <w:t>Games and Economic Behavior</w:t>
      </w:r>
      <w:r w:rsidRPr="002414E9">
        <w:rPr>
          <w:rFonts w:eastAsia="DengXian" w:cs="Times New Roman"/>
          <w:noProof/>
          <w:lang w:eastAsia="zh-CN"/>
        </w:rPr>
        <w:t xml:space="preserve">, </w:t>
      </w:r>
      <w:r w:rsidRPr="002414E9">
        <w:rPr>
          <w:rFonts w:eastAsia="DengXian" w:cs="Times New Roman"/>
          <w:i/>
          <w:iCs/>
          <w:noProof/>
          <w:lang w:eastAsia="zh-CN"/>
        </w:rPr>
        <w:t>72</w:t>
      </w:r>
      <w:r w:rsidRPr="002414E9">
        <w:rPr>
          <w:rFonts w:eastAsia="DengXian" w:cs="Times New Roman"/>
          <w:noProof/>
          <w:lang w:eastAsia="zh-CN"/>
        </w:rPr>
        <w:t>(2), 321–338. https://doi.org/10.1016/j.geb.2010.09.008</w:t>
      </w:r>
    </w:p>
    <w:p w14:paraId="41F56884" w14:textId="76F3A81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Blanco, M., Engelmann, D., Koch, A. K., &amp; Normann, H.-T. (2014). </w:t>
      </w:r>
      <w:r w:rsidRPr="002414E9">
        <w:rPr>
          <w:rFonts w:eastAsia="DengXian" w:cs="Times New Roman"/>
          <w:noProof/>
          <w:lang w:eastAsia="zh-CN"/>
        </w:rPr>
        <w:t xml:space="preserve">Preferences and beliefs in a sequential social dilemma: A within-subjects analysis. </w:t>
      </w:r>
      <w:r w:rsidRPr="002414E9">
        <w:rPr>
          <w:rFonts w:eastAsia="DengXian" w:cs="Times New Roman"/>
          <w:i/>
          <w:iCs/>
          <w:noProof/>
          <w:lang w:eastAsia="zh-CN"/>
        </w:rPr>
        <w:t>Games and Economic Behavior</w:t>
      </w:r>
      <w:r w:rsidRPr="002414E9">
        <w:rPr>
          <w:rFonts w:eastAsia="DengXian" w:cs="Times New Roman"/>
          <w:noProof/>
          <w:lang w:eastAsia="zh-CN"/>
        </w:rPr>
        <w:t xml:space="preserve">, </w:t>
      </w:r>
      <w:r w:rsidRPr="002414E9">
        <w:rPr>
          <w:rFonts w:eastAsia="DengXian" w:cs="Times New Roman"/>
          <w:i/>
          <w:iCs/>
          <w:noProof/>
          <w:lang w:eastAsia="zh-CN"/>
        </w:rPr>
        <w:t>87</w:t>
      </w:r>
      <w:r w:rsidRPr="002414E9">
        <w:rPr>
          <w:rFonts w:eastAsia="DengXian" w:cs="Times New Roman"/>
          <w:noProof/>
          <w:lang w:eastAsia="zh-CN"/>
        </w:rPr>
        <w:t>, 122–135. https://doi.org/10.1016/j.geb.2014.05.005</w:t>
      </w:r>
    </w:p>
    <w:p w14:paraId="7EB7704F" w14:textId="7C84F3D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Bochet, O., &amp; Putterman, L. (2009). Not just babble: Opening the black box of communication in a voluntary contribution experiment. </w:t>
      </w:r>
      <w:r w:rsidRPr="002414E9">
        <w:rPr>
          <w:rFonts w:eastAsia="DengXian" w:cs="Times New Roman"/>
          <w:i/>
          <w:iCs/>
          <w:noProof/>
          <w:lang w:eastAsia="zh-CN"/>
        </w:rPr>
        <w:t>European Economic Review</w:t>
      </w:r>
      <w:r w:rsidRPr="002414E9">
        <w:rPr>
          <w:rFonts w:eastAsia="DengXian" w:cs="Times New Roman"/>
          <w:noProof/>
          <w:lang w:eastAsia="zh-CN"/>
        </w:rPr>
        <w:t xml:space="preserve">, </w:t>
      </w:r>
      <w:r w:rsidRPr="002414E9">
        <w:rPr>
          <w:rFonts w:eastAsia="DengXian" w:cs="Times New Roman"/>
          <w:i/>
          <w:iCs/>
          <w:noProof/>
          <w:lang w:eastAsia="zh-CN"/>
        </w:rPr>
        <w:t>53</w:t>
      </w:r>
      <w:r w:rsidRPr="002414E9">
        <w:rPr>
          <w:rFonts w:eastAsia="DengXian" w:cs="Times New Roman"/>
          <w:noProof/>
          <w:lang w:eastAsia="zh-CN"/>
        </w:rPr>
        <w:t>(3), 309–326. https://doi.org/10.1016/j.euroecorev.2008.09.005</w:t>
      </w:r>
    </w:p>
    <w:p w14:paraId="5E5C772A"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n-GB" w:eastAsia="zh-CN"/>
        </w:rPr>
        <w:t xml:space="preserve">Bochet, O., Page, T., &amp; Putterman, L. (2006). </w:t>
      </w:r>
      <w:r w:rsidRPr="002414E9">
        <w:rPr>
          <w:rFonts w:eastAsia="DengXian" w:cs="Times New Roman"/>
          <w:noProof/>
          <w:lang w:eastAsia="zh-CN"/>
        </w:rPr>
        <w:t xml:space="preserve">Communication and punishment in voluntary contribution experiments. </w:t>
      </w:r>
      <w:r w:rsidRPr="002414E9">
        <w:rPr>
          <w:rFonts w:eastAsia="DengXian" w:cs="Times New Roman"/>
          <w:i/>
          <w:iCs/>
          <w:noProof/>
          <w:lang w:eastAsia="zh-CN"/>
        </w:rPr>
        <w:t>Journal of Economic Behavior and Organization</w:t>
      </w:r>
      <w:r w:rsidRPr="002414E9">
        <w:rPr>
          <w:rFonts w:eastAsia="DengXian" w:cs="Times New Roman"/>
          <w:noProof/>
          <w:lang w:eastAsia="zh-CN"/>
        </w:rPr>
        <w:t xml:space="preserve">, </w:t>
      </w:r>
      <w:r w:rsidRPr="002414E9">
        <w:rPr>
          <w:rFonts w:eastAsia="DengXian" w:cs="Times New Roman"/>
          <w:i/>
          <w:iCs/>
          <w:noProof/>
          <w:lang w:eastAsia="zh-CN"/>
        </w:rPr>
        <w:t>60</w:t>
      </w:r>
      <w:r w:rsidRPr="002414E9">
        <w:rPr>
          <w:rFonts w:eastAsia="DengXian" w:cs="Times New Roman"/>
          <w:noProof/>
          <w:lang w:eastAsia="zh-CN"/>
        </w:rPr>
        <w:t>(1), 11–26. https://doi.org/10.1016/j.jebo.2003.06.006</w:t>
      </w:r>
    </w:p>
    <w:p w14:paraId="1C5478D3" w14:textId="138C606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Böhm, R., &amp; Theelen, M. M. P. (2016). </w:t>
      </w:r>
      <w:r w:rsidRPr="002414E9">
        <w:rPr>
          <w:rFonts w:eastAsia="DengXian" w:cs="Times New Roman"/>
          <w:noProof/>
          <w:lang w:eastAsia="zh-CN"/>
        </w:rPr>
        <w:t xml:space="preserve">Outcome valence and externality valence framing in public good dilemmas. </w:t>
      </w:r>
      <w:r w:rsidRPr="002414E9">
        <w:rPr>
          <w:rFonts w:eastAsia="DengXian" w:cs="Times New Roman"/>
          <w:i/>
          <w:iCs/>
          <w:noProof/>
          <w:lang w:eastAsia="zh-CN"/>
        </w:rPr>
        <w:t>Journal of Economic Psychology</w:t>
      </w:r>
      <w:r w:rsidRPr="002414E9">
        <w:rPr>
          <w:rFonts w:eastAsia="DengXian" w:cs="Times New Roman"/>
          <w:noProof/>
          <w:lang w:eastAsia="zh-CN"/>
        </w:rPr>
        <w:t xml:space="preserve">, </w:t>
      </w:r>
      <w:r w:rsidRPr="002414E9">
        <w:rPr>
          <w:rFonts w:eastAsia="DengXian" w:cs="Times New Roman"/>
          <w:i/>
          <w:iCs/>
          <w:noProof/>
          <w:lang w:eastAsia="zh-CN"/>
        </w:rPr>
        <w:t>54</w:t>
      </w:r>
      <w:r w:rsidRPr="002414E9">
        <w:rPr>
          <w:rFonts w:eastAsia="DengXian" w:cs="Times New Roman"/>
          <w:noProof/>
          <w:lang w:eastAsia="zh-CN"/>
        </w:rPr>
        <w:t>, 151–163. https://doi.org/10.1016/j.joep.2016.04.003</w:t>
      </w:r>
    </w:p>
    <w:p w14:paraId="6FAC0613" w14:textId="0B5AC6F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Böhm, R., Rothermund, K., &amp; Kirchkamp, O. (2013). </w:t>
      </w:r>
      <w:r w:rsidRPr="002414E9">
        <w:rPr>
          <w:rFonts w:eastAsia="DengXian" w:cs="Times New Roman"/>
          <w:noProof/>
          <w:lang w:eastAsia="zh-CN"/>
        </w:rPr>
        <w:t xml:space="preserve">Social categorization and group‐motivated interindividual–intergroup discontinuity. </w:t>
      </w:r>
      <w:r w:rsidRPr="002414E9">
        <w:rPr>
          <w:rFonts w:eastAsia="DengXian" w:cs="Times New Roman"/>
          <w:i/>
          <w:iCs/>
          <w:noProof/>
          <w:lang w:eastAsia="zh-CN"/>
        </w:rPr>
        <w:t>European Journal of Social Psychology</w:t>
      </w:r>
      <w:r w:rsidRPr="002414E9">
        <w:rPr>
          <w:rFonts w:eastAsia="DengXian" w:cs="Times New Roman"/>
          <w:noProof/>
          <w:lang w:eastAsia="zh-CN"/>
        </w:rPr>
        <w:t xml:space="preserve">, </w:t>
      </w:r>
      <w:r w:rsidRPr="002414E9">
        <w:rPr>
          <w:rFonts w:eastAsia="DengXian" w:cs="Times New Roman"/>
          <w:i/>
          <w:iCs/>
          <w:noProof/>
          <w:lang w:eastAsia="zh-CN"/>
        </w:rPr>
        <w:t>43</w:t>
      </w:r>
      <w:r w:rsidRPr="002414E9">
        <w:rPr>
          <w:rFonts w:eastAsia="DengXian" w:cs="Times New Roman"/>
          <w:noProof/>
          <w:lang w:eastAsia="zh-CN"/>
        </w:rPr>
        <w:t>(1), 40–49. https://doi.org/10.1002/ejsp.1923</w:t>
      </w:r>
    </w:p>
    <w:p w14:paraId="3571F56C" w14:textId="348F4453"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Bohnet, I., &amp; Kübler, D. (2005). Compensating the cooperators: Is sorting in the prisoner’s </w:t>
      </w:r>
      <w:r w:rsidRPr="002414E9">
        <w:rPr>
          <w:rFonts w:eastAsia="DengXian" w:cs="Times New Roman"/>
          <w:bCs/>
          <w:noProof/>
          <w:lang w:eastAsia="zh-CN"/>
        </w:rPr>
        <w:lastRenderedPageBreak/>
        <w:t xml:space="preserve">dilemma possible?. </w:t>
      </w:r>
      <w:r w:rsidRPr="002414E9">
        <w:rPr>
          <w:rFonts w:eastAsia="DengXian" w:cs="Times New Roman"/>
          <w:bCs/>
          <w:i/>
          <w:iCs/>
          <w:noProof/>
          <w:lang w:eastAsia="zh-CN"/>
        </w:rPr>
        <w:t>Journal of Economic Behavior &amp; Organization</w:t>
      </w:r>
      <w:r w:rsidRPr="002414E9">
        <w:rPr>
          <w:rFonts w:eastAsia="DengXian" w:cs="Times New Roman"/>
          <w:bCs/>
          <w:noProof/>
          <w:lang w:eastAsia="zh-CN"/>
        </w:rPr>
        <w:t xml:space="preserve">, </w:t>
      </w:r>
      <w:r w:rsidRPr="002414E9">
        <w:rPr>
          <w:rFonts w:eastAsia="DengXian" w:cs="Times New Roman"/>
          <w:bCs/>
          <w:i/>
          <w:iCs/>
          <w:noProof/>
          <w:lang w:eastAsia="zh-CN"/>
        </w:rPr>
        <w:t>56</w:t>
      </w:r>
      <w:r w:rsidRPr="002414E9">
        <w:rPr>
          <w:rFonts w:eastAsia="DengXian" w:cs="Times New Roman"/>
          <w:bCs/>
          <w:noProof/>
          <w:lang w:eastAsia="zh-CN"/>
        </w:rPr>
        <w:t>(1), 61–76. https://doi.org/10.1016/j.jebo.2003.04.002</w:t>
      </w:r>
    </w:p>
    <w:p w14:paraId="6FE10713" w14:textId="773CFB2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Bolle, F., &amp; Vogel, C. (2011). Power comes with responsibility—or does it? </w:t>
      </w:r>
      <w:r w:rsidRPr="002414E9">
        <w:rPr>
          <w:rFonts w:eastAsia="DengXian" w:cs="Times New Roman"/>
          <w:i/>
          <w:iCs/>
          <w:noProof/>
          <w:lang w:eastAsia="zh-CN"/>
        </w:rPr>
        <w:t>Public Choice</w:t>
      </w:r>
      <w:r w:rsidRPr="002414E9">
        <w:rPr>
          <w:rFonts w:eastAsia="DengXian" w:cs="Times New Roman"/>
          <w:noProof/>
          <w:lang w:eastAsia="zh-CN"/>
        </w:rPr>
        <w:t xml:space="preserve">, </w:t>
      </w:r>
      <w:r w:rsidRPr="002414E9">
        <w:rPr>
          <w:rFonts w:eastAsia="DengXian" w:cs="Times New Roman"/>
          <w:i/>
          <w:iCs/>
          <w:noProof/>
          <w:lang w:eastAsia="zh-CN"/>
        </w:rPr>
        <w:t>148</w:t>
      </w:r>
      <w:r w:rsidRPr="002414E9">
        <w:rPr>
          <w:rFonts w:eastAsia="DengXian" w:cs="Times New Roman"/>
          <w:noProof/>
          <w:lang w:eastAsia="zh-CN"/>
        </w:rPr>
        <w:t>, 459–470. https://doi.org/10.1007/s11127-010-9665-y</w:t>
      </w:r>
    </w:p>
    <w:p w14:paraId="16A6287D" w14:textId="797B8FDB"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Bonoma, T. V., Schlenker, B. R., Smith, R. B., &amp; Tedeschi, J. T. (1970). </w:t>
      </w:r>
      <w:r w:rsidRPr="002414E9">
        <w:rPr>
          <w:rFonts w:eastAsia="DengXian" w:cs="Times New Roman"/>
          <w:bCs/>
          <w:noProof/>
          <w:lang w:eastAsia="zh-CN"/>
        </w:rPr>
        <w:t xml:space="preserve">Source prestige and target reactions to threats. </w:t>
      </w:r>
      <w:r w:rsidRPr="002414E9">
        <w:rPr>
          <w:rFonts w:eastAsia="DengXian" w:cs="Times New Roman"/>
          <w:bCs/>
          <w:i/>
          <w:iCs/>
          <w:noProof/>
          <w:lang w:eastAsia="zh-CN"/>
        </w:rPr>
        <w:t>Psychonomic Science</w:t>
      </w:r>
      <w:r w:rsidRPr="002414E9">
        <w:rPr>
          <w:rFonts w:eastAsia="DengXian" w:cs="Times New Roman"/>
          <w:bCs/>
          <w:noProof/>
          <w:lang w:eastAsia="zh-CN"/>
        </w:rPr>
        <w:t xml:space="preserve">, </w:t>
      </w:r>
      <w:r w:rsidRPr="002414E9">
        <w:rPr>
          <w:rFonts w:eastAsia="DengXian" w:cs="Times New Roman"/>
          <w:bCs/>
          <w:i/>
          <w:iCs/>
          <w:noProof/>
          <w:lang w:eastAsia="zh-CN"/>
        </w:rPr>
        <w:t>19</w:t>
      </w:r>
      <w:r w:rsidRPr="002414E9">
        <w:rPr>
          <w:rFonts w:eastAsia="DengXian" w:cs="Times New Roman"/>
          <w:bCs/>
          <w:noProof/>
          <w:lang w:eastAsia="zh-CN"/>
        </w:rPr>
        <w:t>(2), 111–113. https://doi.org/10.3758/BF03337447</w:t>
      </w:r>
    </w:p>
    <w:p w14:paraId="7F6C0771" w14:textId="144AC776" w:rsidR="002414E9" w:rsidRPr="002414E9" w:rsidRDefault="002414E9" w:rsidP="002414E9">
      <w:pPr>
        <w:widowControl w:val="0"/>
        <w:autoSpaceDE w:val="0"/>
        <w:autoSpaceDN w:val="0"/>
        <w:adjustRightInd w:val="0"/>
        <w:ind w:left="709" w:hanging="709"/>
        <w:rPr>
          <w:rFonts w:eastAsia="DengXian" w:cs="Times New Roman"/>
          <w:noProof/>
          <w:lang w:val="nl-NL" w:eastAsia="zh-CN"/>
        </w:rPr>
      </w:pPr>
      <w:r w:rsidRPr="002414E9">
        <w:rPr>
          <w:rFonts w:eastAsia="DengXian" w:cs="Times New Roman"/>
          <w:noProof/>
          <w:lang w:val="nl-NL" w:eastAsia="zh-CN"/>
        </w:rPr>
        <w:t xml:space="preserve">Boone, C., &amp; Van Witteloostuijn, A. (1999). </w:t>
      </w:r>
      <w:r w:rsidRPr="002414E9">
        <w:rPr>
          <w:rFonts w:eastAsia="DengXian" w:cs="Times New Roman"/>
          <w:noProof/>
          <w:lang w:eastAsia="zh-CN"/>
        </w:rPr>
        <w:t xml:space="preserve">Competitive and opportunistic behavior in a prisoner’s dilemma game: experimental evidence on the impact of culture and education. </w:t>
      </w:r>
      <w:r w:rsidRPr="002414E9">
        <w:rPr>
          <w:rFonts w:eastAsia="DengXian" w:cs="Times New Roman"/>
          <w:i/>
          <w:iCs/>
          <w:noProof/>
          <w:lang w:val="nl-NL" w:eastAsia="zh-CN"/>
        </w:rPr>
        <w:t>Scandinavian Journal of Management</w:t>
      </w:r>
      <w:r w:rsidRPr="002414E9">
        <w:rPr>
          <w:rFonts w:eastAsia="DengXian" w:cs="Times New Roman"/>
          <w:noProof/>
          <w:lang w:val="nl-NL" w:eastAsia="zh-CN"/>
        </w:rPr>
        <w:t xml:space="preserve">, </w:t>
      </w:r>
      <w:r w:rsidRPr="002414E9">
        <w:rPr>
          <w:rFonts w:eastAsia="DengXian" w:cs="Times New Roman"/>
          <w:i/>
          <w:iCs/>
          <w:noProof/>
          <w:lang w:val="nl-NL" w:eastAsia="zh-CN"/>
        </w:rPr>
        <w:t>15</w:t>
      </w:r>
      <w:r w:rsidRPr="002414E9">
        <w:rPr>
          <w:rFonts w:eastAsia="DengXian" w:cs="Times New Roman"/>
          <w:noProof/>
          <w:lang w:val="nl-NL" w:eastAsia="zh-CN"/>
        </w:rPr>
        <w:t>(4), 333–350. https://doi.org/10.1016/S0956-5221(98)00022-0</w:t>
      </w:r>
    </w:p>
    <w:p w14:paraId="6E66778E" w14:textId="13D2B9E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Boone, C., De Brabander, B., &amp; Van Witteloostuijn, A. (1999). </w:t>
      </w:r>
      <w:r w:rsidRPr="002414E9">
        <w:rPr>
          <w:rFonts w:eastAsia="DengXian" w:cs="Times New Roman"/>
          <w:noProof/>
          <w:lang w:eastAsia="zh-CN"/>
        </w:rPr>
        <w:t xml:space="preserve">Locus of control and strategic behaviour in a prisoners dilemma game. </w:t>
      </w:r>
      <w:r w:rsidRPr="002414E9">
        <w:rPr>
          <w:rFonts w:eastAsia="DengXian" w:cs="Times New Roman"/>
          <w:i/>
          <w:iCs/>
          <w:noProof/>
          <w:lang w:eastAsia="zh-CN"/>
        </w:rPr>
        <w:t>Personality and Individual Differences</w:t>
      </w:r>
      <w:r w:rsidRPr="002414E9">
        <w:rPr>
          <w:rFonts w:eastAsia="DengXian" w:cs="Times New Roman"/>
          <w:noProof/>
          <w:lang w:eastAsia="zh-CN"/>
        </w:rPr>
        <w:t xml:space="preserve">, </w:t>
      </w:r>
      <w:r w:rsidRPr="002414E9">
        <w:rPr>
          <w:rFonts w:eastAsia="DengXian" w:cs="Times New Roman"/>
          <w:i/>
          <w:iCs/>
          <w:noProof/>
          <w:lang w:eastAsia="zh-CN"/>
        </w:rPr>
        <w:t>27</w:t>
      </w:r>
      <w:r w:rsidRPr="002414E9">
        <w:rPr>
          <w:rFonts w:eastAsia="DengXian" w:cs="Times New Roman"/>
          <w:noProof/>
          <w:lang w:eastAsia="zh-CN"/>
        </w:rPr>
        <w:t>(4), 695–706. https://doi.org/10.1016/S0191-8869(98)00269-4</w:t>
      </w:r>
    </w:p>
    <w:p w14:paraId="6C056603" w14:textId="1633C4E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Boone, C., Declerck, C., &amp; Kiyonari, T. (2010). Inducing cooperative behavior among proselfs versus prosocials: The moderating role of incentives and trust. </w:t>
      </w:r>
      <w:r w:rsidRPr="002414E9">
        <w:rPr>
          <w:rFonts w:eastAsia="DengXian" w:cs="Times New Roman"/>
          <w:i/>
          <w:iCs/>
          <w:noProof/>
          <w:lang w:eastAsia="zh-CN"/>
        </w:rPr>
        <w:t>Journal of Conflict Resolution</w:t>
      </w:r>
      <w:r w:rsidRPr="002414E9">
        <w:rPr>
          <w:rFonts w:eastAsia="DengXian" w:cs="Times New Roman"/>
          <w:noProof/>
          <w:lang w:eastAsia="zh-CN"/>
        </w:rPr>
        <w:t xml:space="preserve">, </w:t>
      </w:r>
      <w:r w:rsidRPr="002414E9">
        <w:rPr>
          <w:rFonts w:eastAsia="DengXian" w:cs="Times New Roman"/>
          <w:i/>
          <w:iCs/>
          <w:noProof/>
          <w:lang w:eastAsia="zh-CN"/>
        </w:rPr>
        <w:t>54</w:t>
      </w:r>
      <w:r w:rsidRPr="002414E9">
        <w:rPr>
          <w:rFonts w:eastAsia="DengXian" w:cs="Times New Roman"/>
          <w:noProof/>
          <w:lang w:eastAsia="zh-CN"/>
        </w:rPr>
        <w:t>(5), 799–824. https://doi.org/10.1177/0022002710372329</w:t>
      </w:r>
    </w:p>
    <w:p w14:paraId="262782CB" w14:textId="5B161C99"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Boone, R. T., &amp; Macy, M. W. (1999). Unlocking the doors of the prisoner's dilemma: Dependence, selectivity, and cooperation. </w:t>
      </w:r>
      <w:r w:rsidRPr="002414E9">
        <w:rPr>
          <w:rFonts w:eastAsia="DengXian" w:cs="Times New Roman"/>
          <w:bCs/>
          <w:i/>
          <w:iCs/>
          <w:noProof/>
          <w:lang w:eastAsia="zh-CN"/>
        </w:rPr>
        <w:t>Social Psychology Quarterly</w:t>
      </w:r>
      <w:r w:rsidRPr="002414E9">
        <w:rPr>
          <w:rFonts w:eastAsia="DengXian" w:cs="Times New Roman"/>
          <w:bCs/>
          <w:noProof/>
          <w:lang w:eastAsia="zh-CN"/>
        </w:rPr>
        <w:t xml:space="preserve">, </w:t>
      </w:r>
      <w:r w:rsidRPr="002414E9">
        <w:rPr>
          <w:rFonts w:eastAsia="DengXian" w:cs="Times New Roman"/>
          <w:bCs/>
          <w:i/>
          <w:iCs/>
          <w:noProof/>
          <w:lang w:eastAsia="zh-CN"/>
        </w:rPr>
        <w:t>62</w:t>
      </w:r>
      <w:r w:rsidRPr="002414E9">
        <w:rPr>
          <w:rFonts w:eastAsia="DengXian" w:cs="Times New Roman"/>
          <w:bCs/>
          <w:noProof/>
          <w:lang w:eastAsia="zh-CN"/>
        </w:rPr>
        <w:t>(1), 32–52. https://doi.org/10.2307/2695824</w:t>
      </w:r>
    </w:p>
    <w:p w14:paraId="54D16968" w14:textId="7A54006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Boosey, L., &amp; Mark Isaac, R. (2016). Asymmetric network monitoring and punishment in public goods experiments.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132</w:t>
      </w:r>
      <w:r w:rsidRPr="002414E9">
        <w:rPr>
          <w:rFonts w:eastAsia="DengXian" w:cs="Times New Roman"/>
          <w:noProof/>
          <w:lang w:eastAsia="zh-CN"/>
        </w:rPr>
        <w:t>, 26–41. https://doi.org/10.1016/j.jebo.2016.09.015</w:t>
      </w:r>
    </w:p>
    <w:p w14:paraId="00C59573" w14:textId="039F918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n-GB" w:eastAsia="zh-CN"/>
        </w:rPr>
        <w:lastRenderedPageBreak/>
        <w:t xml:space="preserve">Bornstein, G., &amp; Ben-Yossef, M. (1994). </w:t>
      </w:r>
      <w:r w:rsidRPr="002414E9">
        <w:rPr>
          <w:rFonts w:eastAsia="DengXian" w:cs="Times New Roman"/>
          <w:noProof/>
          <w:lang w:eastAsia="zh-CN"/>
        </w:rPr>
        <w:t xml:space="preserve">Cooperation in intergroup and single-group social dilemmas. </w:t>
      </w:r>
      <w:r w:rsidRPr="002414E9">
        <w:rPr>
          <w:rFonts w:eastAsia="DengXian" w:cs="Times New Roman"/>
          <w:i/>
          <w:iCs/>
          <w:noProof/>
          <w:lang w:eastAsia="zh-CN"/>
        </w:rPr>
        <w:t>Journal of Experimental Social Psychology</w:t>
      </w:r>
      <w:r w:rsidRPr="002414E9">
        <w:rPr>
          <w:rFonts w:eastAsia="DengXian" w:cs="Times New Roman"/>
          <w:noProof/>
          <w:lang w:eastAsia="zh-CN"/>
        </w:rPr>
        <w:t xml:space="preserve">, </w:t>
      </w:r>
      <w:r w:rsidRPr="002414E9">
        <w:rPr>
          <w:rFonts w:eastAsia="DengXian" w:cs="Times New Roman"/>
          <w:i/>
          <w:iCs/>
          <w:noProof/>
          <w:lang w:eastAsia="zh-CN"/>
        </w:rPr>
        <w:t>30</w:t>
      </w:r>
      <w:r w:rsidRPr="002414E9">
        <w:rPr>
          <w:rFonts w:eastAsia="DengXian" w:cs="Times New Roman"/>
          <w:noProof/>
          <w:lang w:eastAsia="zh-CN"/>
        </w:rPr>
        <w:t>(1), 52–67. https://doi.org/10.1006/jesp.1994.1003</w:t>
      </w:r>
    </w:p>
    <w:p w14:paraId="37030803" w14:textId="1B9EF7D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Bornstein, G., &amp; Weisel, O. (2010). Punishment, cooperation, and cheater detection in “noisy” social exchange. </w:t>
      </w:r>
      <w:r w:rsidRPr="002414E9">
        <w:rPr>
          <w:rFonts w:eastAsia="DengXian" w:cs="Times New Roman"/>
          <w:i/>
          <w:iCs/>
          <w:noProof/>
          <w:lang w:eastAsia="zh-CN"/>
        </w:rPr>
        <w:t>Games</w:t>
      </w:r>
      <w:r w:rsidRPr="002414E9">
        <w:rPr>
          <w:rFonts w:eastAsia="DengXian" w:cs="Times New Roman"/>
          <w:noProof/>
          <w:lang w:eastAsia="zh-CN"/>
        </w:rPr>
        <w:t xml:space="preserve">, </w:t>
      </w:r>
      <w:r w:rsidRPr="002414E9">
        <w:rPr>
          <w:rFonts w:eastAsia="DengXian" w:cs="Times New Roman"/>
          <w:i/>
          <w:iCs/>
          <w:noProof/>
          <w:lang w:eastAsia="zh-CN"/>
        </w:rPr>
        <w:t>1</w:t>
      </w:r>
      <w:r w:rsidRPr="002414E9">
        <w:rPr>
          <w:rFonts w:eastAsia="DengXian" w:cs="Times New Roman"/>
          <w:noProof/>
          <w:lang w:eastAsia="zh-CN"/>
        </w:rPr>
        <w:t>(1), 18–33. https://doi.org/10.3390/g1010018</w:t>
      </w:r>
    </w:p>
    <w:p w14:paraId="0A572D84" w14:textId="3C966FA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Bornstein, G., Erev, I., &amp; Rosen, O. (1990). </w:t>
      </w:r>
      <w:r w:rsidRPr="002414E9">
        <w:rPr>
          <w:rFonts w:eastAsia="DengXian" w:cs="Times New Roman"/>
          <w:noProof/>
          <w:lang w:eastAsia="zh-CN"/>
        </w:rPr>
        <w:t xml:space="preserve">Intergroup competition as a structural solution to social dilemmas. </w:t>
      </w:r>
      <w:r w:rsidRPr="002414E9">
        <w:rPr>
          <w:rFonts w:eastAsia="DengXian" w:cs="Times New Roman"/>
          <w:i/>
          <w:iCs/>
          <w:noProof/>
          <w:lang w:eastAsia="zh-CN"/>
        </w:rPr>
        <w:t>Social Behaviour</w:t>
      </w:r>
      <w:r w:rsidRPr="002414E9">
        <w:rPr>
          <w:rFonts w:eastAsia="DengXian" w:cs="Times New Roman"/>
          <w:noProof/>
          <w:lang w:eastAsia="zh-CN"/>
        </w:rPr>
        <w:t xml:space="preserve">, </w:t>
      </w:r>
      <w:r w:rsidRPr="002414E9">
        <w:rPr>
          <w:rFonts w:eastAsia="DengXian" w:cs="Times New Roman"/>
          <w:i/>
          <w:iCs/>
          <w:noProof/>
          <w:lang w:eastAsia="zh-CN"/>
        </w:rPr>
        <w:t>5</w:t>
      </w:r>
      <w:r w:rsidRPr="002414E9">
        <w:rPr>
          <w:rFonts w:eastAsia="DengXian" w:cs="Times New Roman"/>
          <w:noProof/>
          <w:lang w:eastAsia="zh-CN"/>
        </w:rPr>
        <w:t>(4), 247–260.</w:t>
      </w:r>
    </w:p>
    <w:p w14:paraId="4D79D866" w14:textId="7246729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Bornstein, G., Winter, E., &amp; Goren, H. (1996). </w:t>
      </w:r>
      <w:r w:rsidRPr="002414E9">
        <w:rPr>
          <w:rFonts w:eastAsia="DengXian" w:cs="Times New Roman"/>
          <w:noProof/>
          <w:lang w:eastAsia="zh-CN"/>
        </w:rPr>
        <w:t xml:space="preserve">Experimental study of repeated team-games. </w:t>
      </w:r>
      <w:r w:rsidRPr="002414E9">
        <w:rPr>
          <w:rFonts w:eastAsia="DengXian" w:cs="Times New Roman"/>
          <w:i/>
          <w:iCs/>
          <w:noProof/>
          <w:lang w:eastAsia="zh-CN"/>
        </w:rPr>
        <w:t>European Journal of Political Economy</w:t>
      </w:r>
      <w:r w:rsidRPr="002414E9">
        <w:rPr>
          <w:rFonts w:eastAsia="DengXian" w:cs="Times New Roman"/>
          <w:noProof/>
          <w:lang w:eastAsia="zh-CN"/>
        </w:rPr>
        <w:t xml:space="preserve">, </w:t>
      </w:r>
      <w:r w:rsidRPr="002414E9">
        <w:rPr>
          <w:rFonts w:eastAsia="DengXian" w:cs="Times New Roman"/>
          <w:i/>
          <w:iCs/>
          <w:noProof/>
          <w:lang w:eastAsia="zh-CN"/>
        </w:rPr>
        <w:t>12</w:t>
      </w:r>
      <w:r w:rsidRPr="002414E9">
        <w:rPr>
          <w:rFonts w:eastAsia="DengXian" w:cs="Times New Roman"/>
          <w:noProof/>
          <w:lang w:eastAsia="zh-CN"/>
        </w:rPr>
        <w:t>(4), 629–639. https://doi.org/10.1016/S0176-2680(96)00020-1</w:t>
      </w:r>
    </w:p>
    <w:p w14:paraId="566FAAC7" w14:textId="13A7270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s-ES" w:eastAsia="zh-CN"/>
        </w:rPr>
        <w:t xml:space="preserve">Botelho, A., Dinar, A., Costa Pinto, L. M., &amp; Rapoport, A. (2014). </w:t>
      </w:r>
      <w:r w:rsidRPr="002414E9">
        <w:rPr>
          <w:rFonts w:eastAsia="DengXian" w:cs="Times New Roman"/>
          <w:noProof/>
          <w:lang w:eastAsia="zh-CN"/>
        </w:rPr>
        <w:t xml:space="preserve">Time and uncertainty in resource dilemmas: Equilibrium solutions and experimental results.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17</w:t>
      </w:r>
      <w:r w:rsidRPr="002414E9">
        <w:rPr>
          <w:rFonts w:eastAsia="DengXian" w:cs="Times New Roman"/>
          <w:noProof/>
          <w:lang w:eastAsia="zh-CN"/>
        </w:rPr>
        <w:t>(4), 649–672. https://doi.org/10.1007/s10683-013-9388-2</w:t>
      </w:r>
    </w:p>
    <w:p w14:paraId="14F77973" w14:textId="0E903FE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Botelho, A., Dinar, A., Pinto, L. M. C., &amp; Rapoport, A. (2015). Promoting cooperation in resource dilemmas: Theoretical predictions and experimental evidence. </w:t>
      </w:r>
      <w:r w:rsidRPr="002414E9">
        <w:rPr>
          <w:rFonts w:eastAsia="DengXian" w:cs="Times New Roman"/>
          <w:i/>
          <w:iCs/>
          <w:noProof/>
          <w:lang w:eastAsia="zh-CN"/>
        </w:rPr>
        <w:t>Journal of Behavioral and Experimental Economics</w:t>
      </w:r>
      <w:r w:rsidRPr="002414E9">
        <w:rPr>
          <w:rFonts w:eastAsia="DengXian" w:cs="Times New Roman"/>
          <w:noProof/>
          <w:lang w:eastAsia="zh-CN"/>
        </w:rPr>
        <w:t xml:space="preserve">, </w:t>
      </w:r>
      <w:r w:rsidRPr="002414E9">
        <w:rPr>
          <w:rFonts w:eastAsia="DengXian" w:cs="Times New Roman"/>
          <w:i/>
          <w:iCs/>
          <w:noProof/>
          <w:lang w:eastAsia="zh-CN"/>
        </w:rPr>
        <w:t>54</w:t>
      </w:r>
      <w:r w:rsidRPr="002414E9">
        <w:rPr>
          <w:rFonts w:eastAsia="DengXian" w:cs="Times New Roman"/>
          <w:noProof/>
          <w:lang w:eastAsia="zh-CN"/>
        </w:rPr>
        <w:t>, 40–49. https://doi.org/10.1016/j.socec.2014.11.007</w:t>
      </w:r>
    </w:p>
    <w:p w14:paraId="74FAEC7E" w14:textId="4EEF97DE" w:rsidR="002414E9" w:rsidRPr="002414E9" w:rsidRDefault="002414E9" w:rsidP="002414E9">
      <w:pPr>
        <w:widowControl w:val="0"/>
        <w:autoSpaceDE w:val="0"/>
        <w:autoSpaceDN w:val="0"/>
        <w:adjustRightInd w:val="0"/>
        <w:ind w:left="709" w:hanging="709"/>
        <w:rPr>
          <w:rFonts w:eastAsia="DengXian" w:cs="Times New Roman"/>
          <w:noProof/>
          <w:lang w:val="es-ES" w:eastAsia="zh-CN"/>
        </w:rPr>
      </w:pPr>
      <w:r w:rsidRPr="002414E9">
        <w:rPr>
          <w:rFonts w:eastAsia="DengXian" w:cs="Times New Roman"/>
          <w:noProof/>
          <w:lang w:val="en-GB" w:eastAsia="zh-CN"/>
        </w:rPr>
        <w:t xml:space="preserve">Botelho, A., Dinar, A., Pinto, L., &amp; Rapoport, A. (2013). </w:t>
      </w:r>
      <w:r w:rsidRPr="002414E9">
        <w:rPr>
          <w:rFonts w:eastAsia="DengXian" w:cs="Times New Roman"/>
          <w:i/>
          <w:iCs/>
          <w:noProof/>
          <w:lang w:eastAsia="zh-CN"/>
        </w:rPr>
        <w:t>Linking appropriation of common resources and provision of public goods decreases rate of destruction of the commons</w:t>
      </w:r>
      <w:r w:rsidRPr="002414E9">
        <w:rPr>
          <w:rFonts w:eastAsia="DengXian" w:cs="Times New Roman"/>
          <w:iCs/>
          <w:noProof/>
          <w:lang w:eastAsia="zh-CN"/>
        </w:rPr>
        <w:t xml:space="preserve"> (NIMA Working Paper No. 50)</w:t>
      </w:r>
      <w:r w:rsidRPr="002414E9">
        <w:rPr>
          <w:rFonts w:eastAsia="DengXian" w:cs="Times New Roman"/>
          <w:noProof/>
          <w:lang w:eastAsia="zh-CN"/>
        </w:rPr>
        <w:t xml:space="preserve">. </w:t>
      </w:r>
      <w:r w:rsidRPr="002414E9">
        <w:rPr>
          <w:rFonts w:eastAsia="DengXian" w:cs="Times New Roman"/>
          <w:noProof/>
          <w:lang w:val="es-ES" w:eastAsia="zh-CN"/>
        </w:rPr>
        <w:t>Núcleo de Investigação em Microeconomia Aplicada, Universidade do Minho. https://econpapers.repec.org/RePEc:nim:nimawp:50/2013</w:t>
      </w:r>
    </w:p>
    <w:p w14:paraId="594F950F" w14:textId="58A2068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Botelho, A., Harrison, G. W., Pinto, L. M. C., &amp; Rutström, E. E. (2009). Testing static game theory with dynamic experiments: A case study of public goods. </w:t>
      </w:r>
      <w:r w:rsidRPr="002414E9">
        <w:rPr>
          <w:rFonts w:eastAsia="DengXian" w:cs="Times New Roman"/>
          <w:i/>
          <w:iCs/>
          <w:noProof/>
          <w:lang w:eastAsia="zh-CN"/>
        </w:rPr>
        <w:t xml:space="preserve">Games and Economic </w:t>
      </w:r>
      <w:r w:rsidRPr="002414E9">
        <w:rPr>
          <w:rFonts w:eastAsia="DengXian" w:cs="Times New Roman"/>
          <w:i/>
          <w:iCs/>
          <w:noProof/>
          <w:lang w:eastAsia="zh-CN"/>
        </w:rPr>
        <w:lastRenderedPageBreak/>
        <w:t>Behavior</w:t>
      </w:r>
      <w:r w:rsidRPr="002414E9">
        <w:rPr>
          <w:rFonts w:eastAsia="DengXian" w:cs="Times New Roman"/>
          <w:noProof/>
          <w:lang w:eastAsia="zh-CN"/>
        </w:rPr>
        <w:t xml:space="preserve">, </w:t>
      </w:r>
      <w:r w:rsidRPr="002414E9">
        <w:rPr>
          <w:rFonts w:eastAsia="DengXian" w:cs="Times New Roman"/>
          <w:i/>
          <w:iCs/>
          <w:noProof/>
          <w:lang w:eastAsia="zh-CN"/>
        </w:rPr>
        <w:t>67</w:t>
      </w:r>
      <w:r w:rsidRPr="002414E9">
        <w:rPr>
          <w:rFonts w:eastAsia="DengXian" w:cs="Times New Roman"/>
          <w:noProof/>
          <w:lang w:eastAsia="zh-CN"/>
        </w:rPr>
        <w:t>(1), 253–265. https://doi.org/10.1016/j.geb.2008.11.013</w:t>
      </w:r>
    </w:p>
    <w:p w14:paraId="5D1640E1"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Bouas, K. S., &amp; Komorita, S. S. (1996). Group discussion and cooperation in social dilemmas. </w:t>
      </w:r>
      <w:r w:rsidRPr="002414E9">
        <w:rPr>
          <w:rFonts w:eastAsia="DengXian" w:cs="Times New Roman"/>
          <w:i/>
          <w:iCs/>
          <w:noProof/>
          <w:lang w:eastAsia="zh-CN"/>
        </w:rPr>
        <w:t>Personality and Social Psychology Bulletin</w:t>
      </w:r>
      <w:r w:rsidRPr="002414E9">
        <w:rPr>
          <w:rFonts w:eastAsia="DengXian" w:cs="Times New Roman"/>
          <w:noProof/>
          <w:lang w:eastAsia="zh-CN"/>
        </w:rPr>
        <w:t xml:space="preserve">, </w:t>
      </w:r>
      <w:r w:rsidRPr="002414E9">
        <w:rPr>
          <w:rFonts w:eastAsia="DengXian" w:cs="Times New Roman"/>
          <w:i/>
          <w:iCs/>
          <w:noProof/>
          <w:lang w:eastAsia="zh-CN"/>
        </w:rPr>
        <w:t>22</w:t>
      </w:r>
      <w:r w:rsidRPr="002414E9">
        <w:rPr>
          <w:rFonts w:eastAsia="DengXian" w:cs="Times New Roman"/>
          <w:noProof/>
          <w:lang w:eastAsia="zh-CN"/>
        </w:rPr>
        <w:t>(11), 1144–1150. https://doi.org/10.1177/01461672962211005</w:t>
      </w:r>
    </w:p>
    <w:p w14:paraId="39C3EF2D" w14:textId="5AE12B9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fr-FR" w:eastAsia="zh-CN"/>
        </w:rPr>
        <w:t xml:space="preserve">Bougherara, D., Denant-Boemont, L., &amp; Masclet, D. (2011). </w:t>
      </w:r>
      <w:r w:rsidRPr="002414E9">
        <w:rPr>
          <w:rFonts w:eastAsia="DengXian" w:cs="Times New Roman"/>
          <w:noProof/>
          <w:lang w:eastAsia="zh-CN"/>
        </w:rPr>
        <w:t xml:space="preserve">Cooperation and framing effects in provision point mechanisms: Experimental evidence. </w:t>
      </w:r>
      <w:r w:rsidRPr="002414E9">
        <w:rPr>
          <w:rFonts w:eastAsia="DengXian" w:cs="Times New Roman"/>
          <w:i/>
          <w:iCs/>
          <w:noProof/>
          <w:lang w:eastAsia="zh-CN"/>
        </w:rPr>
        <w:t>Ecological Economics</w:t>
      </w:r>
      <w:r w:rsidRPr="002414E9">
        <w:rPr>
          <w:rFonts w:eastAsia="DengXian" w:cs="Times New Roman"/>
          <w:noProof/>
          <w:lang w:eastAsia="zh-CN"/>
        </w:rPr>
        <w:t xml:space="preserve">, </w:t>
      </w:r>
      <w:r w:rsidRPr="002414E9">
        <w:rPr>
          <w:rFonts w:eastAsia="DengXian" w:cs="Times New Roman"/>
          <w:i/>
          <w:iCs/>
          <w:noProof/>
          <w:lang w:eastAsia="zh-CN"/>
        </w:rPr>
        <w:t>70</w:t>
      </w:r>
      <w:r w:rsidRPr="002414E9">
        <w:rPr>
          <w:rFonts w:eastAsia="DengXian" w:cs="Times New Roman"/>
          <w:noProof/>
          <w:lang w:eastAsia="zh-CN"/>
        </w:rPr>
        <w:t>(6), 1200–1210. https://doi.org/10.1016/j.ecolecon.2011.01.023</w:t>
      </w:r>
    </w:p>
    <w:p w14:paraId="2CBB595B" w14:textId="0B51B1F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Boun My, K., &amp; Chalvignac, B. (2010). Voluntary participation and cooperation in a collective-good game. </w:t>
      </w:r>
      <w:r w:rsidRPr="002414E9">
        <w:rPr>
          <w:rFonts w:eastAsia="DengXian" w:cs="Times New Roman"/>
          <w:i/>
          <w:iCs/>
          <w:noProof/>
          <w:lang w:eastAsia="zh-CN"/>
        </w:rPr>
        <w:t>Journal of Economic Psychology</w:t>
      </w:r>
      <w:r w:rsidRPr="002414E9">
        <w:rPr>
          <w:rFonts w:eastAsia="DengXian" w:cs="Times New Roman"/>
          <w:noProof/>
          <w:lang w:eastAsia="zh-CN"/>
        </w:rPr>
        <w:t xml:space="preserve">, </w:t>
      </w:r>
      <w:r w:rsidRPr="002414E9">
        <w:rPr>
          <w:rFonts w:eastAsia="DengXian" w:cs="Times New Roman"/>
          <w:i/>
          <w:iCs/>
          <w:noProof/>
          <w:lang w:eastAsia="zh-CN"/>
        </w:rPr>
        <w:t>31</w:t>
      </w:r>
      <w:r w:rsidRPr="002414E9">
        <w:rPr>
          <w:rFonts w:eastAsia="DengXian" w:cs="Times New Roman"/>
          <w:noProof/>
          <w:lang w:eastAsia="zh-CN"/>
        </w:rPr>
        <w:t>(4), 705–718. https://doi.org/10.1016/j.joep.2010.05.003</w:t>
      </w:r>
    </w:p>
    <w:p w14:paraId="2A5FC0E4" w14:textId="58264652" w:rsidR="002414E9" w:rsidRPr="002414E9" w:rsidRDefault="002414E9" w:rsidP="002414E9">
      <w:pPr>
        <w:widowControl w:val="0"/>
        <w:autoSpaceDE w:val="0"/>
        <w:autoSpaceDN w:val="0"/>
        <w:adjustRightInd w:val="0"/>
        <w:ind w:left="709" w:hanging="709"/>
        <w:rPr>
          <w:rFonts w:eastAsia="DengXian" w:cs="Times New Roman"/>
          <w:noProof/>
          <w:lang w:val="fr-FR" w:eastAsia="zh-CN"/>
        </w:rPr>
      </w:pPr>
      <w:r w:rsidRPr="002414E9">
        <w:rPr>
          <w:rFonts w:eastAsia="DengXian" w:cs="Times New Roman"/>
          <w:noProof/>
          <w:lang w:eastAsia="zh-CN"/>
        </w:rPr>
        <w:t xml:space="preserve">Bouwmeester, S., Verkoeijen, P. P. J. L., Aczel, B., Barbosa, F., Bègue, L., Brañas-Garza, P., Chmura, T. G. H., Cornelissen, G., Døssing, F. S., Espín, A. M., Evans, A. M., Ferreira-Santos, F., Fiedler, S., Flegr, J., Ghaffari, M., Glöckner, A., Goeschl, T., Guo, L., Hauser, O. P., … Wollbrant, C. E. (2017). Registered replication report: Rand, Greene, and Nowak (2012). </w:t>
      </w:r>
      <w:r w:rsidRPr="002414E9">
        <w:rPr>
          <w:rFonts w:eastAsia="DengXian" w:cs="Times New Roman"/>
          <w:i/>
          <w:iCs/>
          <w:noProof/>
          <w:lang w:val="fr-FR" w:eastAsia="zh-CN"/>
        </w:rPr>
        <w:t>Perspectives on Psychological Science</w:t>
      </w:r>
      <w:r w:rsidRPr="002414E9">
        <w:rPr>
          <w:rFonts w:eastAsia="DengXian" w:cs="Times New Roman"/>
          <w:noProof/>
          <w:lang w:val="fr-FR" w:eastAsia="zh-CN"/>
        </w:rPr>
        <w:t xml:space="preserve">, </w:t>
      </w:r>
      <w:r w:rsidRPr="002414E9">
        <w:rPr>
          <w:rFonts w:eastAsia="DengXian" w:cs="Times New Roman"/>
          <w:i/>
          <w:iCs/>
          <w:noProof/>
          <w:lang w:val="fr-FR" w:eastAsia="zh-CN"/>
        </w:rPr>
        <w:t>12</w:t>
      </w:r>
      <w:r w:rsidRPr="002414E9">
        <w:rPr>
          <w:rFonts w:eastAsia="DengXian" w:cs="Times New Roman"/>
          <w:noProof/>
          <w:lang w:val="fr-FR" w:eastAsia="zh-CN"/>
        </w:rPr>
        <w:t>(3), 527–542. https://doi.org/10.1177/1745691617693624</w:t>
      </w:r>
    </w:p>
    <w:p w14:paraId="3677B396" w14:textId="4F64AAF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n-GB" w:eastAsia="zh-CN"/>
        </w:rPr>
        <w:t xml:space="preserve">Bower, S. D., &amp; Pulford, B. D. (2013). </w:t>
      </w:r>
      <w:r w:rsidRPr="002414E9">
        <w:rPr>
          <w:rFonts w:eastAsia="DengXian" w:cs="Times New Roman"/>
          <w:noProof/>
          <w:lang w:eastAsia="zh-CN"/>
        </w:rPr>
        <w:t xml:space="preserve">Utilization of advice from face-to-face and internet-mediated advisors. </w:t>
      </w:r>
      <w:r w:rsidRPr="002414E9">
        <w:rPr>
          <w:rFonts w:eastAsia="DengXian" w:cs="Times New Roman"/>
          <w:i/>
          <w:iCs/>
          <w:noProof/>
          <w:lang w:eastAsia="zh-CN"/>
        </w:rPr>
        <w:t>Journal of Technology in Human Services</w:t>
      </w:r>
      <w:r w:rsidRPr="002414E9">
        <w:rPr>
          <w:rFonts w:eastAsia="DengXian" w:cs="Times New Roman"/>
          <w:noProof/>
          <w:lang w:eastAsia="zh-CN"/>
        </w:rPr>
        <w:t xml:space="preserve">, </w:t>
      </w:r>
      <w:r w:rsidRPr="002414E9">
        <w:rPr>
          <w:rFonts w:eastAsia="DengXian" w:cs="Times New Roman"/>
          <w:i/>
          <w:iCs/>
          <w:noProof/>
          <w:lang w:eastAsia="zh-CN"/>
        </w:rPr>
        <w:t>31</w:t>
      </w:r>
      <w:r w:rsidRPr="002414E9">
        <w:rPr>
          <w:rFonts w:eastAsia="DengXian" w:cs="Times New Roman"/>
          <w:noProof/>
          <w:lang w:eastAsia="zh-CN"/>
        </w:rPr>
        <w:t>(4), 304–320. https://doi.org/10.1080/15228835.2013.855697</w:t>
      </w:r>
    </w:p>
    <w:p w14:paraId="29314348" w14:textId="63FF3372"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Bradner, E., &amp; Mark, G. (2002, November). </w:t>
      </w:r>
      <w:r w:rsidRPr="002414E9">
        <w:rPr>
          <w:rFonts w:eastAsia="DengXian" w:cs="Times New Roman"/>
          <w:bCs/>
          <w:noProof/>
          <w:lang w:eastAsia="zh-CN"/>
        </w:rPr>
        <w:t xml:space="preserve">Why distance matters: effects on cooperation, persuasion and deception. In </w:t>
      </w:r>
      <w:r w:rsidRPr="002414E9">
        <w:rPr>
          <w:rFonts w:eastAsia="DengXian" w:cs="Times New Roman"/>
          <w:bCs/>
          <w:i/>
          <w:iCs/>
          <w:noProof/>
          <w:lang w:eastAsia="zh-CN"/>
        </w:rPr>
        <w:t>Proceedings of the 2002 ACM Conference on Computer Supported Cooperative Work</w:t>
      </w:r>
      <w:r w:rsidRPr="002414E9">
        <w:rPr>
          <w:rFonts w:eastAsia="DengXian" w:cs="Times New Roman"/>
          <w:bCs/>
          <w:noProof/>
          <w:lang w:eastAsia="zh-CN"/>
        </w:rPr>
        <w:t xml:space="preserve"> (pp. 226-235). Retrieved from https://www.ics.uci.edu/~gmark/CSCW2002.pdf</w:t>
      </w:r>
    </w:p>
    <w:p w14:paraId="61EEE710" w14:textId="5065905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s-ES" w:eastAsia="zh-CN"/>
        </w:rPr>
        <w:lastRenderedPageBreak/>
        <w:t xml:space="preserve">Brañas-Garza, P., &amp; Espinosa, M. P. (2011). </w:t>
      </w:r>
      <w:r w:rsidRPr="002414E9">
        <w:rPr>
          <w:rFonts w:eastAsia="DengXian" w:cs="Times New Roman"/>
          <w:noProof/>
          <w:lang w:eastAsia="zh-CN"/>
        </w:rPr>
        <w:t xml:space="preserve">Unraveling public good games. </w:t>
      </w:r>
      <w:r w:rsidRPr="002414E9">
        <w:rPr>
          <w:rFonts w:eastAsia="DengXian" w:cs="Times New Roman"/>
          <w:i/>
          <w:iCs/>
          <w:noProof/>
          <w:lang w:eastAsia="zh-CN"/>
        </w:rPr>
        <w:t>Games</w:t>
      </w:r>
      <w:r w:rsidRPr="002414E9">
        <w:rPr>
          <w:rFonts w:eastAsia="DengXian" w:cs="Times New Roman"/>
          <w:noProof/>
          <w:lang w:eastAsia="zh-CN"/>
        </w:rPr>
        <w:t xml:space="preserve">, </w:t>
      </w:r>
      <w:r w:rsidRPr="002414E9">
        <w:rPr>
          <w:rFonts w:eastAsia="DengXian" w:cs="Times New Roman"/>
          <w:i/>
          <w:iCs/>
          <w:noProof/>
          <w:lang w:eastAsia="zh-CN"/>
        </w:rPr>
        <w:t>2</w:t>
      </w:r>
      <w:r w:rsidRPr="002414E9">
        <w:rPr>
          <w:rFonts w:eastAsia="DengXian" w:cs="Times New Roman"/>
          <w:noProof/>
          <w:lang w:eastAsia="zh-CN"/>
        </w:rPr>
        <w:t>(4), 434–451. https://doi.org/10.3390/g2040434</w:t>
      </w:r>
    </w:p>
    <w:p w14:paraId="25233CB6" w14:textId="635EC04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Brandts, J., &amp; Charness, G. (2000). Hot vs. cold: Sequential responses and preference stability in experimental games.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2</w:t>
      </w:r>
      <w:r w:rsidRPr="002414E9">
        <w:rPr>
          <w:rFonts w:eastAsia="DengXian" w:cs="Times New Roman"/>
          <w:noProof/>
          <w:lang w:eastAsia="zh-CN"/>
        </w:rPr>
        <w:t>, 227–238. https://doi.org/10.1023/A:1009962612354</w:t>
      </w:r>
    </w:p>
    <w:p w14:paraId="53DCDB2C"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Brandts, J., &amp; Schram, A. (2001). Cooperation and noise in public goods experiments: Applying the contribution function approach.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79</w:t>
      </w:r>
      <w:r w:rsidRPr="002414E9">
        <w:rPr>
          <w:rFonts w:eastAsia="DengXian" w:cs="Times New Roman"/>
          <w:noProof/>
          <w:lang w:eastAsia="zh-CN"/>
        </w:rPr>
        <w:t>(2), 399–427. https://doi.org/10.1016/S0047-2727(99)00120-6</w:t>
      </w:r>
    </w:p>
    <w:p w14:paraId="5AD104A5" w14:textId="450354D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Brandts, J., Riedl, A., &amp; Van Winden, F. (2009). Competitive rivalry, social disposition, and subjective well-being: An experiment.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93</w:t>
      </w:r>
      <w:r w:rsidRPr="002414E9">
        <w:rPr>
          <w:rFonts w:eastAsia="DengXian" w:cs="Times New Roman"/>
          <w:noProof/>
          <w:lang w:eastAsia="zh-CN"/>
        </w:rPr>
        <w:t>(11–12), 1158–1167. https://doi.org/10.1016/j.jpubeco.2009.07.010</w:t>
      </w:r>
    </w:p>
    <w:p w14:paraId="1FAC09BB" w14:textId="2BDB596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Brandts, J., Rott, C., &amp; Solà, C. (2016). Not just like starting over - Leadership and revivification of cooperation in groups.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19</w:t>
      </w:r>
      <w:r w:rsidRPr="002414E9">
        <w:rPr>
          <w:rFonts w:eastAsia="DengXian" w:cs="Times New Roman"/>
          <w:noProof/>
          <w:lang w:eastAsia="zh-CN"/>
        </w:rPr>
        <w:t>(4), 792–818. https://doi.org/10.1007/s10683-015-9468-6</w:t>
      </w:r>
    </w:p>
    <w:p w14:paraId="25FE11F8" w14:textId="1902C52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Brandts, J., Saijo, T., &amp; Schram, A. (2004). </w:t>
      </w:r>
      <w:r w:rsidRPr="002414E9">
        <w:rPr>
          <w:rFonts w:eastAsia="DengXian" w:cs="Times New Roman"/>
          <w:noProof/>
          <w:lang w:eastAsia="zh-CN"/>
        </w:rPr>
        <w:t xml:space="preserve">How universal is behavior? A four country comparison of spite and cooperation in voluntary contribution mechanisms. </w:t>
      </w:r>
      <w:r w:rsidRPr="002414E9">
        <w:rPr>
          <w:rFonts w:eastAsia="DengXian" w:cs="Times New Roman"/>
          <w:i/>
          <w:iCs/>
          <w:noProof/>
          <w:lang w:eastAsia="zh-CN"/>
        </w:rPr>
        <w:t>Public Choice</w:t>
      </w:r>
      <w:r w:rsidRPr="002414E9">
        <w:rPr>
          <w:rFonts w:eastAsia="DengXian" w:cs="Times New Roman"/>
          <w:noProof/>
          <w:lang w:eastAsia="zh-CN"/>
        </w:rPr>
        <w:t xml:space="preserve">, </w:t>
      </w:r>
      <w:r w:rsidRPr="002414E9">
        <w:rPr>
          <w:rFonts w:eastAsia="DengXian" w:cs="Times New Roman"/>
          <w:i/>
          <w:iCs/>
          <w:noProof/>
          <w:lang w:eastAsia="zh-CN"/>
        </w:rPr>
        <w:t>119</w:t>
      </w:r>
      <w:r w:rsidRPr="002414E9">
        <w:rPr>
          <w:rFonts w:eastAsia="DengXian" w:cs="Times New Roman"/>
          <w:noProof/>
          <w:lang w:eastAsia="zh-CN"/>
        </w:rPr>
        <w:t>(3/4), 381–424. https://doi.org/10.1023/B:PUCH.0000033329.53595.1b</w:t>
      </w:r>
    </w:p>
    <w:p w14:paraId="1F041211" w14:textId="1A531EA0"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nl-NL" w:eastAsia="zh-CN"/>
        </w:rPr>
        <w:t xml:space="preserve">Braver Van Rohrer, S. L. (1978). </w:t>
      </w:r>
      <w:r w:rsidRPr="002414E9">
        <w:rPr>
          <w:rFonts w:eastAsia="DengXian" w:cs="Times New Roman"/>
          <w:bCs/>
          <w:noProof/>
          <w:lang w:eastAsia="zh-CN"/>
        </w:rPr>
        <w:t xml:space="preserve">Superiority of vicarious over direct experience in interpersonal conflict resolution.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22</w:t>
      </w:r>
      <w:r w:rsidRPr="002414E9">
        <w:rPr>
          <w:rFonts w:eastAsia="DengXian" w:cs="Times New Roman"/>
          <w:bCs/>
          <w:noProof/>
          <w:lang w:eastAsia="zh-CN"/>
        </w:rPr>
        <w:t>(1), 143–155. https://doi.org/10.1177/002200277802200109</w:t>
      </w:r>
    </w:p>
    <w:p w14:paraId="7A35C7C6" w14:textId="01CA9A59"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Braver, S. L. (1975). Reciprocity, cohesiveness and cooperation in two-person games. </w:t>
      </w:r>
      <w:r w:rsidRPr="002414E9">
        <w:rPr>
          <w:rFonts w:eastAsia="DengXian" w:cs="Times New Roman"/>
          <w:bCs/>
          <w:i/>
          <w:iCs/>
          <w:noProof/>
          <w:lang w:eastAsia="zh-CN"/>
        </w:rPr>
        <w:t>Psychological Reports</w:t>
      </w:r>
      <w:r w:rsidRPr="002414E9">
        <w:rPr>
          <w:rFonts w:eastAsia="DengXian" w:cs="Times New Roman"/>
          <w:bCs/>
          <w:noProof/>
          <w:lang w:eastAsia="zh-CN"/>
        </w:rPr>
        <w:t xml:space="preserve">, </w:t>
      </w:r>
      <w:r w:rsidRPr="002414E9">
        <w:rPr>
          <w:rFonts w:eastAsia="DengXian" w:cs="Times New Roman"/>
          <w:bCs/>
          <w:i/>
          <w:iCs/>
          <w:noProof/>
          <w:lang w:eastAsia="zh-CN"/>
        </w:rPr>
        <w:t>36</w:t>
      </w:r>
      <w:r w:rsidRPr="002414E9">
        <w:rPr>
          <w:rFonts w:eastAsia="DengXian" w:cs="Times New Roman"/>
          <w:bCs/>
          <w:noProof/>
          <w:lang w:eastAsia="zh-CN"/>
        </w:rPr>
        <w:t>(2), 371–378. https://doi.org/10.2466/pr0.1975.36.2.371</w:t>
      </w:r>
    </w:p>
    <w:p w14:paraId="7C3E0092" w14:textId="549000FA"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Braver, S. L., &amp; Barnett, B. (1974). Perception of opponent's motives and cooperation in a </w:t>
      </w:r>
      <w:r w:rsidRPr="002414E9">
        <w:rPr>
          <w:rFonts w:eastAsia="DengXian" w:cs="Times New Roman"/>
          <w:bCs/>
          <w:noProof/>
          <w:lang w:eastAsia="zh-CN"/>
        </w:rPr>
        <w:lastRenderedPageBreak/>
        <w:t xml:space="preserve">mixed-motive game.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18</w:t>
      </w:r>
      <w:r w:rsidRPr="002414E9">
        <w:rPr>
          <w:rFonts w:eastAsia="DengXian" w:cs="Times New Roman"/>
          <w:bCs/>
          <w:noProof/>
          <w:lang w:eastAsia="zh-CN"/>
        </w:rPr>
        <w:t>(4), 686–699. https://doi.org/10.1177/002200277401800408</w:t>
      </w:r>
    </w:p>
    <w:p w14:paraId="71A8D4CD" w14:textId="33825CF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Braver, S. L., &amp; Rohrer, V. (1975). </w:t>
      </w:r>
      <w:r w:rsidRPr="002414E9">
        <w:rPr>
          <w:rFonts w:eastAsia="DengXian" w:cs="Times New Roman"/>
          <w:noProof/>
          <w:lang w:eastAsia="zh-CN"/>
        </w:rPr>
        <w:t xml:space="preserve">When martyrdom pays: The effects of information concerning the opponents’ past game behavior. </w:t>
      </w:r>
      <w:r w:rsidRPr="002414E9">
        <w:rPr>
          <w:rFonts w:eastAsia="DengXian" w:cs="Times New Roman"/>
          <w:i/>
          <w:iCs/>
          <w:noProof/>
          <w:lang w:eastAsia="zh-CN"/>
        </w:rPr>
        <w:t>Journal of Conflict Resolution</w:t>
      </w:r>
      <w:r w:rsidRPr="002414E9">
        <w:rPr>
          <w:rFonts w:eastAsia="DengXian" w:cs="Times New Roman"/>
          <w:noProof/>
          <w:lang w:eastAsia="zh-CN"/>
        </w:rPr>
        <w:t xml:space="preserve">, </w:t>
      </w:r>
      <w:r w:rsidRPr="002414E9">
        <w:rPr>
          <w:rFonts w:eastAsia="DengXian" w:cs="Times New Roman"/>
          <w:i/>
          <w:iCs/>
          <w:noProof/>
          <w:lang w:eastAsia="zh-CN"/>
        </w:rPr>
        <w:t>19</w:t>
      </w:r>
      <w:r w:rsidRPr="002414E9">
        <w:rPr>
          <w:rFonts w:eastAsia="DengXian" w:cs="Times New Roman"/>
          <w:noProof/>
          <w:lang w:eastAsia="zh-CN"/>
        </w:rPr>
        <w:t>(4), 652–662. https://doi.org/10.1177/002200277501900407</w:t>
      </w:r>
    </w:p>
    <w:p w14:paraId="74F8AEBC" w14:textId="2B34B6D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Braver, S. L., &amp; Wilson, L. A. (1986). Choices in social dilemmas: Effects of communication within subgroups. </w:t>
      </w:r>
      <w:r w:rsidRPr="002414E9">
        <w:rPr>
          <w:rFonts w:eastAsia="DengXian" w:cs="Times New Roman"/>
          <w:i/>
          <w:iCs/>
          <w:noProof/>
          <w:lang w:eastAsia="zh-CN"/>
        </w:rPr>
        <w:t>Journal of Conflict Resolution</w:t>
      </w:r>
      <w:r w:rsidRPr="002414E9">
        <w:rPr>
          <w:rFonts w:eastAsia="DengXian" w:cs="Times New Roman"/>
          <w:noProof/>
          <w:lang w:eastAsia="zh-CN"/>
        </w:rPr>
        <w:t xml:space="preserve">, </w:t>
      </w:r>
      <w:r w:rsidRPr="002414E9">
        <w:rPr>
          <w:rFonts w:eastAsia="DengXian" w:cs="Times New Roman"/>
          <w:i/>
          <w:iCs/>
          <w:noProof/>
          <w:lang w:eastAsia="zh-CN"/>
        </w:rPr>
        <w:t>30</w:t>
      </w:r>
      <w:r w:rsidRPr="002414E9">
        <w:rPr>
          <w:rFonts w:eastAsia="DengXian" w:cs="Times New Roman"/>
          <w:noProof/>
          <w:lang w:eastAsia="zh-CN"/>
        </w:rPr>
        <w:t>(1), 51–62. https://doi.org/10.1177/0022002786030001004</w:t>
      </w:r>
    </w:p>
    <w:p w14:paraId="035462A7" w14:textId="2057F4EF" w:rsidR="002414E9" w:rsidRPr="002414E9" w:rsidRDefault="002414E9" w:rsidP="002414E9">
      <w:pPr>
        <w:widowControl w:val="0"/>
        <w:autoSpaceDE w:val="0"/>
        <w:autoSpaceDN w:val="0"/>
        <w:adjustRightInd w:val="0"/>
        <w:ind w:left="709" w:hanging="709"/>
        <w:rPr>
          <w:rFonts w:eastAsia="DengXian" w:cs="Times New Roman"/>
          <w:noProof/>
          <w:lang w:val="en-GB" w:eastAsia="zh-CN"/>
        </w:rPr>
      </w:pPr>
      <w:r w:rsidRPr="002414E9">
        <w:rPr>
          <w:rFonts w:eastAsia="DengXian" w:cs="Times New Roman"/>
          <w:noProof/>
          <w:lang w:eastAsia="zh-CN"/>
        </w:rPr>
        <w:t xml:space="preserve">Bravo, G., &amp; Squazzoni, F. (2013). Exit, punishment and rewards in commons dilemmas: An experimental study. </w:t>
      </w:r>
      <w:r w:rsidRPr="002414E9">
        <w:rPr>
          <w:rFonts w:eastAsia="DengXian" w:cs="Times New Roman"/>
          <w:i/>
          <w:iCs/>
          <w:noProof/>
          <w:lang w:val="en-GB" w:eastAsia="zh-CN"/>
        </w:rPr>
        <w:t>PLoS ONE</w:t>
      </w:r>
      <w:r w:rsidRPr="002414E9">
        <w:rPr>
          <w:rFonts w:eastAsia="DengXian" w:cs="Times New Roman"/>
          <w:noProof/>
          <w:lang w:val="en-GB" w:eastAsia="zh-CN"/>
        </w:rPr>
        <w:t xml:space="preserve">, </w:t>
      </w:r>
      <w:r w:rsidRPr="002414E9">
        <w:rPr>
          <w:rFonts w:eastAsia="DengXian" w:cs="Times New Roman"/>
          <w:i/>
          <w:iCs/>
          <w:noProof/>
          <w:lang w:val="en-GB" w:eastAsia="zh-CN"/>
        </w:rPr>
        <w:t>8</w:t>
      </w:r>
      <w:r w:rsidRPr="002414E9">
        <w:rPr>
          <w:rFonts w:eastAsia="DengXian" w:cs="Times New Roman"/>
          <w:noProof/>
          <w:lang w:val="en-GB" w:eastAsia="zh-CN"/>
        </w:rPr>
        <w:t>(8), e69871. https://doi.org/10.1371/journal.pone.0069871</w:t>
      </w:r>
    </w:p>
    <w:p w14:paraId="575959FD" w14:textId="695C349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n-GB" w:eastAsia="zh-CN"/>
        </w:rPr>
        <w:t xml:space="preserve">Brekke, K. A., Konow, J., &amp; Nyborg, K. (2017). </w:t>
      </w:r>
      <w:r w:rsidRPr="002414E9">
        <w:rPr>
          <w:rFonts w:eastAsia="DengXian" w:cs="Times New Roman"/>
          <w:noProof/>
          <w:lang w:eastAsia="zh-CN"/>
        </w:rPr>
        <w:t xml:space="preserve">Framing in a threshold public goods experiment with heterogeneous endowments.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138</w:t>
      </w:r>
      <w:r w:rsidRPr="002414E9">
        <w:rPr>
          <w:rFonts w:eastAsia="DengXian" w:cs="Times New Roman"/>
          <w:noProof/>
          <w:lang w:eastAsia="zh-CN"/>
        </w:rPr>
        <w:t>, 99–110. https://doi.org/10.1016/j.jebo.2017.04.006</w:t>
      </w:r>
    </w:p>
    <w:p w14:paraId="19DE1708"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Brewer, M. B., &amp; Kramer, R. M. (1986). </w:t>
      </w:r>
      <w:r w:rsidRPr="002414E9">
        <w:rPr>
          <w:rFonts w:eastAsia="DengXian" w:cs="Times New Roman"/>
          <w:noProof/>
          <w:lang w:eastAsia="zh-CN"/>
        </w:rPr>
        <w:t xml:space="preserve">Choice behavior in social dilemmas: Effects of social identity, group size, and decision framing. </w:t>
      </w:r>
      <w:r w:rsidRPr="002414E9">
        <w:rPr>
          <w:rFonts w:eastAsia="DengXian" w:cs="Times New Roman"/>
          <w:i/>
          <w:iCs/>
          <w:noProof/>
          <w:lang w:eastAsia="zh-CN"/>
        </w:rPr>
        <w:t>Journal of Personality and Social Psychology</w:t>
      </w:r>
      <w:r w:rsidRPr="002414E9">
        <w:rPr>
          <w:rFonts w:eastAsia="DengXian" w:cs="Times New Roman"/>
          <w:noProof/>
          <w:lang w:eastAsia="zh-CN"/>
        </w:rPr>
        <w:t xml:space="preserve">, </w:t>
      </w:r>
      <w:r w:rsidRPr="002414E9">
        <w:rPr>
          <w:rFonts w:eastAsia="DengXian" w:cs="Times New Roman"/>
          <w:i/>
          <w:iCs/>
          <w:noProof/>
          <w:lang w:eastAsia="zh-CN"/>
        </w:rPr>
        <w:t>50</w:t>
      </w:r>
      <w:r w:rsidRPr="002414E9">
        <w:rPr>
          <w:rFonts w:eastAsia="DengXian" w:cs="Times New Roman"/>
          <w:noProof/>
          <w:lang w:eastAsia="zh-CN"/>
        </w:rPr>
        <w:t>(3), 543–549. https://doi.org/10.1037/0022-3514.50.3.543</w:t>
      </w:r>
    </w:p>
    <w:p w14:paraId="78264965" w14:textId="115A4E7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Brick, K., Visser, M., &amp; Van der  Hoven, Z. (2016). Cooperation and climate change: Can communication facilitate the provision of public goods in heterogeneous settings? </w:t>
      </w:r>
      <w:r w:rsidRPr="002414E9">
        <w:rPr>
          <w:rFonts w:eastAsia="DengXian" w:cs="Times New Roman"/>
          <w:i/>
          <w:iCs/>
          <w:noProof/>
          <w:lang w:eastAsia="zh-CN"/>
        </w:rPr>
        <w:t>Environmental and Resource Economics</w:t>
      </w:r>
      <w:r w:rsidRPr="002414E9">
        <w:rPr>
          <w:rFonts w:eastAsia="DengXian" w:cs="Times New Roman"/>
          <w:noProof/>
          <w:lang w:eastAsia="zh-CN"/>
        </w:rPr>
        <w:t xml:space="preserve">, </w:t>
      </w:r>
      <w:r w:rsidRPr="002414E9">
        <w:rPr>
          <w:rFonts w:eastAsia="DengXian" w:cs="Times New Roman"/>
          <w:i/>
          <w:iCs/>
          <w:noProof/>
          <w:lang w:eastAsia="zh-CN"/>
        </w:rPr>
        <w:t>64</w:t>
      </w:r>
      <w:r w:rsidRPr="002414E9">
        <w:rPr>
          <w:rFonts w:eastAsia="DengXian" w:cs="Times New Roman"/>
          <w:noProof/>
          <w:lang w:eastAsia="zh-CN"/>
        </w:rPr>
        <w:t>(3), 421–443. https://doi.org/10.1007/s10640-015-9879-z</w:t>
      </w:r>
    </w:p>
    <w:p w14:paraId="6FDAB06F" w14:textId="507FE066"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Brickman, P., Becker, L. J., &amp; Castle, S. (1979). Making trust easier and harder through two forms of sequential interaction. </w:t>
      </w:r>
      <w:r w:rsidRPr="002414E9">
        <w:rPr>
          <w:rFonts w:eastAsia="DengXian" w:cs="Times New Roman"/>
          <w:bCs/>
          <w:i/>
          <w:iCs/>
          <w:noProof/>
          <w:lang w:eastAsia="zh-CN"/>
        </w:rPr>
        <w:t>Journal of Personality and Social Psychology, 37</w:t>
      </w:r>
      <w:r w:rsidRPr="002414E9">
        <w:rPr>
          <w:rFonts w:eastAsia="DengXian" w:cs="Times New Roman"/>
          <w:bCs/>
          <w:noProof/>
          <w:lang w:eastAsia="zh-CN"/>
        </w:rPr>
        <w:t xml:space="preserve">(4), </w:t>
      </w:r>
      <w:r w:rsidRPr="002414E9">
        <w:rPr>
          <w:rFonts w:eastAsia="DengXian" w:cs="Times New Roman"/>
          <w:bCs/>
          <w:noProof/>
          <w:lang w:eastAsia="zh-CN"/>
        </w:rPr>
        <w:lastRenderedPageBreak/>
        <w:t>515–521. https://doi.org/10.1037/0022-3514.37.4.515</w:t>
      </w:r>
    </w:p>
    <w:p w14:paraId="33AF7F32" w14:textId="54D08E5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Broseta, B., Fatas, E., &amp; Neugebauer, T. (2003). </w:t>
      </w:r>
      <w:r w:rsidRPr="002414E9">
        <w:rPr>
          <w:rFonts w:eastAsia="DengXian" w:cs="Times New Roman"/>
          <w:noProof/>
          <w:lang w:eastAsia="zh-CN"/>
        </w:rPr>
        <w:t xml:space="preserve">Asset markets and equilibrium selection in public goods games with provision points: An experimental study. </w:t>
      </w:r>
      <w:r w:rsidRPr="002414E9">
        <w:rPr>
          <w:rFonts w:eastAsia="DengXian" w:cs="Times New Roman"/>
          <w:i/>
          <w:iCs/>
          <w:noProof/>
          <w:lang w:eastAsia="zh-CN"/>
        </w:rPr>
        <w:t>Economic Inquiry</w:t>
      </w:r>
      <w:r w:rsidRPr="002414E9">
        <w:rPr>
          <w:rFonts w:eastAsia="DengXian" w:cs="Times New Roman"/>
          <w:noProof/>
          <w:lang w:eastAsia="zh-CN"/>
        </w:rPr>
        <w:t xml:space="preserve">, </w:t>
      </w:r>
      <w:r w:rsidRPr="002414E9">
        <w:rPr>
          <w:rFonts w:eastAsia="DengXian" w:cs="Times New Roman"/>
          <w:i/>
          <w:iCs/>
          <w:noProof/>
          <w:lang w:eastAsia="zh-CN"/>
        </w:rPr>
        <w:t>41</w:t>
      </w:r>
      <w:r w:rsidRPr="002414E9">
        <w:rPr>
          <w:rFonts w:eastAsia="DengXian" w:cs="Times New Roman"/>
          <w:noProof/>
          <w:lang w:eastAsia="zh-CN"/>
        </w:rPr>
        <w:t>(4), 574–591. https://doi.org/10.1093/ei/cbg029</w:t>
      </w:r>
    </w:p>
    <w:p w14:paraId="6EAF7827" w14:textId="5FF2291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Brosig, J. (2002). Identifying cooperative behavior: some experimental results in a prisoner’s dilemma game.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47</w:t>
      </w:r>
      <w:r w:rsidRPr="002414E9">
        <w:rPr>
          <w:rFonts w:eastAsia="DengXian" w:cs="Times New Roman"/>
          <w:noProof/>
          <w:lang w:eastAsia="zh-CN"/>
        </w:rPr>
        <w:t>(3), 275–290. https://doi.org/10.1016/S0167-2681(01)00211-6</w:t>
      </w:r>
    </w:p>
    <w:p w14:paraId="5CA16BF3" w14:textId="681EACF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Brosig, J., &amp; Weimann, J. (2003). The effect of communication media on cooperation. </w:t>
      </w:r>
      <w:r w:rsidRPr="002414E9">
        <w:rPr>
          <w:rFonts w:eastAsia="DengXian" w:cs="Times New Roman"/>
          <w:i/>
          <w:iCs/>
          <w:noProof/>
          <w:lang w:eastAsia="zh-CN"/>
        </w:rPr>
        <w:t>German Economic Review</w:t>
      </w:r>
      <w:r w:rsidRPr="002414E9">
        <w:rPr>
          <w:rFonts w:eastAsia="DengXian" w:cs="Times New Roman"/>
          <w:noProof/>
          <w:lang w:eastAsia="zh-CN"/>
        </w:rPr>
        <w:t xml:space="preserve">, </w:t>
      </w:r>
      <w:r w:rsidRPr="002414E9">
        <w:rPr>
          <w:rFonts w:eastAsia="DengXian" w:cs="Times New Roman"/>
          <w:i/>
          <w:iCs/>
          <w:noProof/>
          <w:lang w:eastAsia="zh-CN"/>
        </w:rPr>
        <w:t>4</w:t>
      </w:r>
      <w:r w:rsidRPr="002414E9">
        <w:rPr>
          <w:rFonts w:eastAsia="DengXian" w:cs="Times New Roman"/>
          <w:noProof/>
          <w:lang w:eastAsia="zh-CN"/>
        </w:rPr>
        <w:t>(2), 217–241. https://doi.org/10.1111/1468-0475.00080</w:t>
      </w:r>
    </w:p>
    <w:p w14:paraId="37B725D1" w14:textId="7BDDA118"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Brown, J., &amp; Rachlin, H. (1999). Self-control and social cooperation. </w:t>
      </w:r>
      <w:r w:rsidRPr="002414E9">
        <w:rPr>
          <w:rFonts w:eastAsia="DengXian" w:cs="Times New Roman"/>
          <w:bCs/>
          <w:i/>
          <w:iCs/>
          <w:noProof/>
          <w:lang w:eastAsia="zh-CN"/>
        </w:rPr>
        <w:t>Behavioural Processes</w:t>
      </w:r>
      <w:r w:rsidRPr="002414E9">
        <w:rPr>
          <w:rFonts w:eastAsia="DengXian" w:cs="Times New Roman"/>
          <w:bCs/>
          <w:noProof/>
          <w:lang w:eastAsia="zh-CN"/>
        </w:rPr>
        <w:t xml:space="preserve">, </w:t>
      </w:r>
      <w:r w:rsidRPr="002414E9">
        <w:rPr>
          <w:rFonts w:eastAsia="DengXian" w:cs="Times New Roman"/>
          <w:bCs/>
          <w:i/>
          <w:iCs/>
          <w:noProof/>
          <w:lang w:eastAsia="zh-CN"/>
        </w:rPr>
        <w:t>47</w:t>
      </w:r>
      <w:r w:rsidRPr="002414E9">
        <w:rPr>
          <w:rFonts w:eastAsia="DengXian" w:cs="Times New Roman"/>
          <w:bCs/>
          <w:noProof/>
          <w:lang w:eastAsia="zh-CN"/>
        </w:rPr>
        <w:t>(2), 65–72. https://doi.org/10.1016/S0376-6357(99)00054-6</w:t>
      </w:r>
    </w:p>
    <w:p w14:paraId="083282EB" w14:textId="007A061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Brown, R., Croizet, J.-C., Bohner, G., Fournet, M., &amp; Payne, A. (2003). Automatic category activation and social behavior: The moderating role of prejudiced beliefs. </w:t>
      </w:r>
      <w:r w:rsidRPr="002414E9">
        <w:rPr>
          <w:rFonts w:eastAsia="DengXian" w:cs="Times New Roman"/>
          <w:i/>
          <w:iCs/>
          <w:noProof/>
          <w:lang w:eastAsia="zh-CN"/>
        </w:rPr>
        <w:t>Social Cognition</w:t>
      </w:r>
      <w:r w:rsidRPr="002414E9">
        <w:rPr>
          <w:rFonts w:eastAsia="DengXian" w:cs="Times New Roman"/>
          <w:noProof/>
          <w:lang w:eastAsia="zh-CN"/>
        </w:rPr>
        <w:t xml:space="preserve">, </w:t>
      </w:r>
      <w:r w:rsidRPr="002414E9">
        <w:rPr>
          <w:rFonts w:eastAsia="DengXian" w:cs="Times New Roman"/>
          <w:i/>
          <w:iCs/>
          <w:noProof/>
          <w:lang w:eastAsia="zh-CN"/>
        </w:rPr>
        <w:t>21</w:t>
      </w:r>
      <w:r w:rsidRPr="002414E9">
        <w:rPr>
          <w:rFonts w:eastAsia="DengXian" w:cs="Times New Roman"/>
          <w:noProof/>
          <w:lang w:eastAsia="zh-CN"/>
        </w:rPr>
        <w:t>(3), 167–193. https://doi.org/10.1521/soco.21.3.167.25339</w:t>
      </w:r>
    </w:p>
    <w:p w14:paraId="14D5297F" w14:textId="64494BB1"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Brown-Kruse, J., &amp; Hummels, D. (1993). Gender effects in laboratory public goods contribution: Do individuals put their money where their mouth is?. </w:t>
      </w:r>
      <w:r w:rsidRPr="002414E9">
        <w:rPr>
          <w:rFonts w:eastAsia="DengXian" w:cs="Times New Roman"/>
          <w:bCs/>
          <w:i/>
          <w:iCs/>
          <w:noProof/>
          <w:lang w:eastAsia="zh-CN"/>
        </w:rPr>
        <w:t>Journal of Economic Behavior &amp; Organization</w:t>
      </w:r>
      <w:r w:rsidRPr="002414E9">
        <w:rPr>
          <w:rFonts w:eastAsia="DengXian" w:cs="Times New Roman"/>
          <w:bCs/>
          <w:noProof/>
          <w:lang w:eastAsia="zh-CN"/>
        </w:rPr>
        <w:t xml:space="preserve">, </w:t>
      </w:r>
      <w:r w:rsidRPr="002414E9">
        <w:rPr>
          <w:rFonts w:eastAsia="DengXian" w:cs="Times New Roman"/>
          <w:bCs/>
          <w:i/>
          <w:iCs/>
          <w:noProof/>
          <w:lang w:eastAsia="zh-CN"/>
        </w:rPr>
        <w:t>22</w:t>
      </w:r>
      <w:r w:rsidRPr="002414E9">
        <w:rPr>
          <w:rFonts w:eastAsia="DengXian" w:cs="Times New Roman"/>
          <w:bCs/>
          <w:noProof/>
          <w:lang w:eastAsia="zh-CN"/>
        </w:rPr>
        <w:t>(3), 255–267. https://doi.org/10.1016/0167-2681(93)90001-6</w:t>
      </w:r>
    </w:p>
    <w:p w14:paraId="50A5A27C" w14:textId="6AE9B83D" w:rsidR="002414E9" w:rsidRPr="002414E9" w:rsidRDefault="002414E9" w:rsidP="002414E9">
      <w:pPr>
        <w:widowControl w:val="0"/>
        <w:autoSpaceDE w:val="0"/>
        <w:autoSpaceDN w:val="0"/>
        <w:adjustRightInd w:val="0"/>
        <w:ind w:left="709" w:hanging="709"/>
        <w:rPr>
          <w:rFonts w:eastAsia="DengXian" w:cs="Times New Roman"/>
          <w:noProof/>
          <w:lang w:val="nl-NL" w:eastAsia="zh-CN"/>
        </w:rPr>
      </w:pPr>
      <w:r w:rsidRPr="002414E9">
        <w:rPr>
          <w:rFonts w:eastAsia="DengXian" w:cs="Times New Roman"/>
          <w:noProof/>
          <w:lang w:eastAsia="zh-CN"/>
        </w:rPr>
        <w:t xml:space="preserve">Brucks, W. M., &amp; Mosler, H.-J. (2011). Information preferences and corresponding consumption behavior in common pool resource management. </w:t>
      </w:r>
      <w:r w:rsidRPr="002414E9">
        <w:rPr>
          <w:rFonts w:eastAsia="DengXian" w:cs="Times New Roman"/>
          <w:i/>
          <w:iCs/>
          <w:noProof/>
          <w:lang w:val="nl-NL" w:eastAsia="zh-CN"/>
        </w:rPr>
        <w:t>Social Psychology</w:t>
      </w:r>
      <w:r w:rsidRPr="002414E9">
        <w:rPr>
          <w:rFonts w:eastAsia="DengXian" w:cs="Times New Roman"/>
          <w:noProof/>
          <w:lang w:val="nl-NL" w:eastAsia="zh-CN"/>
        </w:rPr>
        <w:t xml:space="preserve">, </w:t>
      </w:r>
      <w:r w:rsidRPr="002414E9">
        <w:rPr>
          <w:rFonts w:eastAsia="DengXian" w:cs="Times New Roman"/>
          <w:i/>
          <w:iCs/>
          <w:noProof/>
          <w:lang w:val="nl-NL" w:eastAsia="zh-CN"/>
        </w:rPr>
        <w:t>42</w:t>
      </w:r>
      <w:r w:rsidRPr="002414E9">
        <w:rPr>
          <w:rFonts w:eastAsia="DengXian" w:cs="Times New Roman"/>
          <w:noProof/>
          <w:lang w:val="nl-NL" w:eastAsia="zh-CN"/>
        </w:rPr>
        <w:t>(4), 261–270. https://doi.org/10.1027/1864-9335/a000057</w:t>
      </w:r>
    </w:p>
    <w:p w14:paraId="7D575578" w14:textId="234DF9E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Brucks, W. M., &amp; Van Lange, P. A. M. (2007). </w:t>
      </w:r>
      <w:r w:rsidRPr="002414E9">
        <w:rPr>
          <w:rFonts w:eastAsia="DengXian" w:cs="Times New Roman"/>
          <w:noProof/>
          <w:lang w:eastAsia="zh-CN"/>
        </w:rPr>
        <w:t xml:space="preserve">When prosocials act like proselfs in a commons dilemma. </w:t>
      </w:r>
      <w:r w:rsidRPr="002414E9">
        <w:rPr>
          <w:rFonts w:eastAsia="DengXian" w:cs="Times New Roman"/>
          <w:i/>
          <w:iCs/>
          <w:noProof/>
          <w:lang w:eastAsia="zh-CN"/>
        </w:rPr>
        <w:t>Personality and Social Psychology Bulletin</w:t>
      </w:r>
      <w:r w:rsidRPr="002414E9">
        <w:rPr>
          <w:rFonts w:eastAsia="DengXian" w:cs="Times New Roman"/>
          <w:noProof/>
          <w:lang w:eastAsia="zh-CN"/>
        </w:rPr>
        <w:t xml:space="preserve">, </w:t>
      </w:r>
      <w:r w:rsidRPr="002414E9">
        <w:rPr>
          <w:rFonts w:eastAsia="DengXian" w:cs="Times New Roman"/>
          <w:i/>
          <w:iCs/>
          <w:noProof/>
          <w:lang w:eastAsia="zh-CN"/>
        </w:rPr>
        <w:t>33</w:t>
      </w:r>
      <w:r w:rsidRPr="002414E9">
        <w:rPr>
          <w:rFonts w:eastAsia="DengXian" w:cs="Times New Roman"/>
          <w:noProof/>
          <w:lang w:eastAsia="zh-CN"/>
        </w:rPr>
        <w:t>(5), 750–758. https://doi.org/10.1177/0146167206298569</w:t>
      </w:r>
    </w:p>
    <w:p w14:paraId="1A76E86A" w14:textId="017871E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lastRenderedPageBreak/>
        <w:t xml:space="preserve">Brucks, W. M., &amp; Van Lange, P. A. M. (2008). </w:t>
      </w:r>
      <w:r w:rsidRPr="002414E9">
        <w:rPr>
          <w:rFonts w:eastAsia="DengXian" w:cs="Times New Roman"/>
          <w:noProof/>
          <w:lang w:eastAsia="zh-CN"/>
        </w:rPr>
        <w:t xml:space="preserve">No control, no drive: How noise may undermine conservation behavior in a commons dilemma. </w:t>
      </w:r>
      <w:r w:rsidRPr="002414E9">
        <w:rPr>
          <w:rFonts w:eastAsia="DengXian" w:cs="Times New Roman"/>
          <w:i/>
          <w:iCs/>
          <w:noProof/>
          <w:lang w:eastAsia="zh-CN"/>
        </w:rPr>
        <w:t>European Journal of Social Psychology</w:t>
      </w:r>
      <w:r w:rsidRPr="002414E9">
        <w:rPr>
          <w:rFonts w:eastAsia="DengXian" w:cs="Times New Roman"/>
          <w:noProof/>
          <w:lang w:eastAsia="zh-CN"/>
        </w:rPr>
        <w:t xml:space="preserve">, </w:t>
      </w:r>
      <w:r w:rsidRPr="002414E9">
        <w:rPr>
          <w:rFonts w:eastAsia="DengXian" w:cs="Times New Roman"/>
          <w:i/>
          <w:iCs/>
          <w:noProof/>
          <w:lang w:eastAsia="zh-CN"/>
        </w:rPr>
        <w:t>38</w:t>
      </w:r>
      <w:r w:rsidRPr="002414E9">
        <w:rPr>
          <w:rFonts w:eastAsia="DengXian" w:cs="Times New Roman"/>
          <w:noProof/>
          <w:lang w:eastAsia="zh-CN"/>
        </w:rPr>
        <w:t>(5), 810–822. https://doi.org/10.1002/ejsp.478</w:t>
      </w:r>
    </w:p>
    <w:p w14:paraId="5EBEDBE2" w14:textId="04B5743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Bruins, J. J., Liebrand, W. B. G., &amp; Wilke, H. A. M. (1989). </w:t>
      </w:r>
      <w:r w:rsidRPr="002414E9">
        <w:rPr>
          <w:rFonts w:eastAsia="DengXian" w:cs="Times New Roman"/>
          <w:noProof/>
          <w:lang w:eastAsia="zh-CN"/>
        </w:rPr>
        <w:t xml:space="preserve">About the saliency of fear and greed in social dilemmas. </w:t>
      </w:r>
      <w:r w:rsidRPr="002414E9">
        <w:rPr>
          <w:rFonts w:eastAsia="DengXian" w:cs="Times New Roman"/>
          <w:i/>
          <w:iCs/>
          <w:noProof/>
          <w:lang w:eastAsia="zh-CN"/>
        </w:rPr>
        <w:t>European Journal of Social Psychology</w:t>
      </w:r>
      <w:r w:rsidRPr="002414E9">
        <w:rPr>
          <w:rFonts w:eastAsia="DengXian" w:cs="Times New Roman"/>
          <w:noProof/>
          <w:lang w:eastAsia="zh-CN"/>
        </w:rPr>
        <w:t xml:space="preserve">, </w:t>
      </w:r>
      <w:r w:rsidRPr="002414E9">
        <w:rPr>
          <w:rFonts w:eastAsia="DengXian" w:cs="Times New Roman"/>
          <w:i/>
          <w:iCs/>
          <w:noProof/>
          <w:lang w:eastAsia="zh-CN"/>
        </w:rPr>
        <w:t>19</w:t>
      </w:r>
      <w:r w:rsidRPr="002414E9">
        <w:rPr>
          <w:rFonts w:eastAsia="DengXian" w:cs="Times New Roman"/>
          <w:noProof/>
          <w:lang w:eastAsia="zh-CN"/>
        </w:rPr>
        <w:t>(2), 155–161. https://doi.org/10.1002/ejsp.2420190207</w:t>
      </w:r>
    </w:p>
    <w:p w14:paraId="5B0661D7" w14:textId="40394E8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Brunell, A. B., Davis, M. S., Schley, D. R., Eng, A. L., van Dulmen, M. H. M., Wester, K. L., &amp; Flannery, D. J. (2013). </w:t>
      </w:r>
      <w:r w:rsidRPr="002414E9">
        <w:rPr>
          <w:rFonts w:eastAsia="DengXian" w:cs="Times New Roman"/>
          <w:noProof/>
          <w:lang w:eastAsia="zh-CN"/>
        </w:rPr>
        <w:t xml:space="preserve">A new measure of interpersonal exploitativeness. </w:t>
      </w:r>
      <w:r w:rsidRPr="002414E9">
        <w:rPr>
          <w:rFonts w:eastAsia="DengXian" w:cs="Times New Roman"/>
          <w:i/>
          <w:iCs/>
          <w:noProof/>
          <w:lang w:eastAsia="zh-CN"/>
        </w:rPr>
        <w:t>Frontiers in Psychology</w:t>
      </w:r>
      <w:r w:rsidRPr="002414E9">
        <w:rPr>
          <w:rFonts w:eastAsia="DengXian" w:cs="Times New Roman"/>
          <w:noProof/>
          <w:lang w:eastAsia="zh-CN"/>
        </w:rPr>
        <w:t xml:space="preserve">, </w:t>
      </w:r>
      <w:r w:rsidRPr="002414E9">
        <w:rPr>
          <w:rFonts w:eastAsia="DengXian" w:cs="Times New Roman"/>
          <w:i/>
          <w:iCs/>
          <w:noProof/>
          <w:lang w:eastAsia="zh-CN"/>
        </w:rPr>
        <w:t>4</w:t>
      </w:r>
      <w:r w:rsidRPr="002414E9">
        <w:rPr>
          <w:rFonts w:eastAsia="DengXian" w:cs="Times New Roman"/>
          <w:noProof/>
          <w:lang w:eastAsia="zh-CN"/>
        </w:rPr>
        <w:t>, 299. https://doi.org/10.3389/fpsyg.2013.00299</w:t>
      </w:r>
    </w:p>
    <w:p w14:paraId="1EE44ECC" w14:textId="7185AA5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Buchan, N. R., Grimalda, G., Wilson, R., Brewer, M., Fatas, E., &amp; Foddy, M. (2009). Globalization and human cooperation. </w:t>
      </w:r>
      <w:r w:rsidRPr="002414E9">
        <w:rPr>
          <w:rFonts w:eastAsia="DengXian" w:cs="Times New Roman"/>
          <w:i/>
          <w:iCs/>
          <w:noProof/>
          <w:lang w:eastAsia="zh-CN"/>
        </w:rPr>
        <w:t>Proceedings of the National Academy of Sciences</w:t>
      </w:r>
      <w:r w:rsidRPr="002414E9">
        <w:rPr>
          <w:rFonts w:eastAsia="DengXian" w:cs="Times New Roman"/>
          <w:noProof/>
          <w:lang w:eastAsia="zh-CN"/>
        </w:rPr>
        <w:t xml:space="preserve">, </w:t>
      </w:r>
      <w:r w:rsidRPr="002414E9">
        <w:rPr>
          <w:rFonts w:eastAsia="DengXian" w:cs="Times New Roman"/>
          <w:i/>
          <w:iCs/>
          <w:noProof/>
          <w:lang w:eastAsia="zh-CN"/>
        </w:rPr>
        <w:t>106</w:t>
      </w:r>
      <w:r w:rsidRPr="002414E9">
        <w:rPr>
          <w:rFonts w:eastAsia="DengXian" w:cs="Times New Roman"/>
          <w:noProof/>
          <w:lang w:eastAsia="zh-CN"/>
        </w:rPr>
        <w:t>(11), 4138–4142. https://doi.org/10.1073/pnas.0809522106</w:t>
      </w:r>
    </w:p>
    <w:p w14:paraId="37AFABD8"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fr-FR" w:eastAsia="zh-CN"/>
        </w:rPr>
        <w:t xml:space="preserve">Budescu, D. V, Rapoport, A., &amp; Suleiman, R. (1995). </w:t>
      </w:r>
      <w:r w:rsidRPr="002414E9">
        <w:rPr>
          <w:rFonts w:eastAsia="DengXian" w:cs="Times New Roman"/>
          <w:noProof/>
          <w:lang w:eastAsia="zh-CN"/>
        </w:rPr>
        <w:t xml:space="preserve">Common pool resource dilemmas under uncertainty: Qualitative tests of equilibrium solutions. </w:t>
      </w:r>
      <w:r w:rsidRPr="002414E9">
        <w:rPr>
          <w:rFonts w:eastAsia="DengXian" w:cs="Times New Roman"/>
          <w:i/>
          <w:iCs/>
          <w:noProof/>
          <w:lang w:eastAsia="zh-CN"/>
        </w:rPr>
        <w:t>Games and Economic Behavior</w:t>
      </w:r>
      <w:r w:rsidRPr="002414E9">
        <w:rPr>
          <w:rFonts w:eastAsia="DengXian" w:cs="Times New Roman"/>
          <w:noProof/>
          <w:lang w:eastAsia="zh-CN"/>
        </w:rPr>
        <w:t xml:space="preserve">, </w:t>
      </w:r>
      <w:r w:rsidRPr="002414E9">
        <w:rPr>
          <w:rFonts w:eastAsia="DengXian" w:cs="Times New Roman"/>
          <w:i/>
          <w:iCs/>
          <w:noProof/>
          <w:lang w:eastAsia="zh-CN"/>
        </w:rPr>
        <w:t>10</w:t>
      </w:r>
      <w:r w:rsidRPr="002414E9">
        <w:rPr>
          <w:rFonts w:eastAsia="DengXian" w:cs="Times New Roman"/>
          <w:noProof/>
          <w:lang w:eastAsia="zh-CN"/>
        </w:rPr>
        <w:t>(1), 171–201. https://doi.org/10.1006/game.1995.1029</w:t>
      </w:r>
    </w:p>
    <w:p w14:paraId="69605F19" w14:textId="2FE5001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Budescu, D. V, Suleiman, R., &amp; Rapoport, A. (1995). Positional order and group size effects in resource dilemmas with uncertain resources. </w:t>
      </w:r>
      <w:r w:rsidRPr="002414E9">
        <w:rPr>
          <w:rFonts w:eastAsia="DengXian" w:cs="Times New Roman"/>
          <w:i/>
          <w:iCs/>
          <w:noProof/>
          <w:lang w:eastAsia="zh-CN"/>
        </w:rPr>
        <w:t>Organizational Behavior and Human Decision Processes</w:t>
      </w:r>
      <w:r w:rsidRPr="002414E9">
        <w:rPr>
          <w:rFonts w:eastAsia="DengXian" w:cs="Times New Roman"/>
          <w:noProof/>
          <w:lang w:eastAsia="zh-CN"/>
        </w:rPr>
        <w:t xml:space="preserve">, </w:t>
      </w:r>
      <w:r w:rsidRPr="002414E9">
        <w:rPr>
          <w:rFonts w:eastAsia="DengXian" w:cs="Times New Roman"/>
          <w:i/>
          <w:iCs/>
          <w:noProof/>
          <w:lang w:eastAsia="zh-CN"/>
        </w:rPr>
        <w:t>61</w:t>
      </w:r>
      <w:r w:rsidRPr="002414E9">
        <w:rPr>
          <w:rFonts w:eastAsia="DengXian" w:cs="Times New Roman"/>
          <w:noProof/>
          <w:lang w:eastAsia="zh-CN"/>
        </w:rPr>
        <w:t>(3), 225–238. https://doi.org/10.1006/obhd.1995.1018</w:t>
      </w:r>
    </w:p>
    <w:p w14:paraId="2E7A7188" w14:textId="7F41FBA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fr-FR" w:eastAsia="zh-CN"/>
        </w:rPr>
        <w:t xml:space="preserve">Budescu, D. V., Rapoport, A., &amp; Suleiman, R. (1992). </w:t>
      </w:r>
      <w:r w:rsidRPr="002414E9">
        <w:rPr>
          <w:rFonts w:eastAsia="DengXian" w:cs="Times New Roman"/>
          <w:noProof/>
          <w:lang w:eastAsia="zh-CN"/>
        </w:rPr>
        <w:t xml:space="preserve">Simultaneous vs. sequential requests in resource dilemmas with incomplete information. </w:t>
      </w:r>
      <w:r w:rsidRPr="002414E9">
        <w:rPr>
          <w:rFonts w:eastAsia="DengXian" w:cs="Times New Roman"/>
          <w:i/>
          <w:iCs/>
          <w:noProof/>
          <w:lang w:eastAsia="zh-CN"/>
        </w:rPr>
        <w:t>Acta Psychologica</w:t>
      </w:r>
      <w:r w:rsidRPr="002414E9">
        <w:rPr>
          <w:rFonts w:eastAsia="DengXian" w:cs="Times New Roman"/>
          <w:noProof/>
          <w:lang w:eastAsia="zh-CN"/>
        </w:rPr>
        <w:t xml:space="preserve">, </w:t>
      </w:r>
      <w:r w:rsidRPr="002414E9">
        <w:rPr>
          <w:rFonts w:eastAsia="DengXian" w:cs="Times New Roman"/>
          <w:i/>
          <w:iCs/>
          <w:noProof/>
          <w:lang w:eastAsia="zh-CN"/>
        </w:rPr>
        <w:t>80</w:t>
      </w:r>
      <w:r w:rsidRPr="002414E9">
        <w:rPr>
          <w:rFonts w:eastAsia="DengXian" w:cs="Times New Roman"/>
          <w:noProof/>
          <w:lang w:eastAsia="zh-CN"/>
        </w:rPr>
        <w:t>(1–3), 297–310. https://doi.org/10.1016/0001-6918(92)90052-F</w:t>
      </w:r>
    </w:p>
    <w:p w14:paraId="2A623D3C" w14:textId="2160FCF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Burlando, R. M., &amp; Guala, F. (2005). </w:t>
      </w:r>
      <w:r w:rsidRPr="002414E9">
        <w:rPr>
          <w:rFonts w:eastAsia="DengXian" w:cs="Times New Roman"/>
          <w:noProof/>
          <w:lang w:eastAsia="zh-CN"/>
        </w:rPr>
        <w:t xml:space="preserve">Heterogeneous agents in public goods experiments.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8</w:t>
      </w:r>
      <w:r w:rsidRPr="002414E9">
        <w:rPr>
          <w:rFonts w:eastAsia="DengXian" w:cs="Times New Roman"/>
          <w:noProof/>
          <w:lang w:eastAsia="zh-CN"/>
        </w:rPr>
        <w:t>(1), 35–54. https://doi.org/10.1007/s10683-005-0436-4</w:t>
      </w:r>
    </w:p>
    <w:p w14:paraId="15D3DD93" w14:textId="20D5061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lastRenderedPageBreak/>
        <w:t xml:space="preserve">Burnham, T. C. (2015). Public goods with high-powered punishment: high cooperation and low efficiency. </w:t>
      </w:r>
      <w:r w:rsidRPr="002414E9">
        <w:rPr>
          <w:rFonts w:eastAsia="DengXian" w:cs="Times New Roman"/>
          <w:i/>
          <w:iCs/>
          <w:noProof/>
          <w:lang w:eastAsia="zh-CN"/>
        </w:rPr>
        <w:t>Journal of Bioeconomics</w:t>
      </w:r>
      <w:r w:rsidRPr="002414E9">
        <w:rPr>
          <w:rFonts w:eastAsia="DengXian" w:cs="Times New Roman"/>
          <w:noProof/>
          <w:lang w:eastAsia="zh-CN"/>
        </w:rPr>
        <w:t xml:space="preserve">, </w:t>
      </w:r>
      <w:r w:rsidRPr="002414E9">
        <w:rPr>
          <w:rFonts w:eastAsia="DengXian" w:cs="Times New Roman"/>
          <w:i/>
          <w:iCs/>
          <w:noProof/>
          <w:lang w:eastAsia="zh-CN"/>
        </w:rPr>
        <w:t>17</w:t>
      </w:r>
      <w:r w:rsidRPr="002414E9">
        <w:rPr>
          <w:rFonts w:eastAsia="DengXian" w:cs="Times New Roman"/>
          <w:noProof/>
          <w:lang w:eastAsia="zh-CN"/>
        </w:rPr>
        <w:t>(2), 173–187. https://doi.org/10.1007/s10818-014-9191-y</w:t>
      </w:r>
    </w:p>
    <w:p w14:paraId="7BE7FB68" w14:textId="2756837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Burnham, T. C., &amp; Hare, B. (2007). Engineering human cooperation. </w:t>
      </w:r>
      <w:r w:rsidRPr="002414E9">
        <w:rPr>
          <w:rFonts w:eastAsia="DengXian" w:cs="Times New Roman"/>
          <w:i/>
          <w:iCs/>
          <w:noProof/>
          <w:lang w:eastAsia="zh-CN"/>
        </w:rPr>
        <w:t>Human Nature</w:t>
      </w:r>
      <w:r w:rsidRPr="002414E9">
        <w:rPr>
          <w:rFonts w:eastAsia="DengXian" w:cs="Times New Roman"/>
          <w:noProof/>
          <w:lang w:eastAsia="zh-CN"/>
        </w:rPr>
        <w:t xml:space="preserve">, </w:t>
      </w:r>
      <w:r w:rsidRPr="002414E9">
        <w:rPr>
          <w:rFonts w:eastAsia="DengXian" w:cs="Times New Roman"/>
          <w:i/>
          <w:iCs/>
          <w:noProof/>
          <w:lang w:eastAsia="zh-CN"/>
        </w:rPr>
        <w:t>18</w:t>
      </w:r>
      <w:r w:rsidRPr="002414E9">
        <w:rPr>
          <w:rFonts w:eastAsia="DengXian" w:cs="Times New Roman"/>
          <w:noProof/>
          <w:lang w:eastAsia="zh-CN"/>
        </w:rPr>
        <w:t>(2), 88–108. https://doi.org/10.1007/s12110-007-9012-2</w:t>
      </w:r>
    </w:p>
    <w:p w14:paraId="0DA4CF07" w14:textId="3CFDEBB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Burns, J., &amp; Keswell, M. (2015). Diversity and the provision of public goods: Experimental evidence from South Africa.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118</w:t>
      </w:r>
      <w:r w:rsidRPr="002414E9">
        <w:rPr>
          <w:rFonts w:eastAsia="DengXian" w:cs="Times New Roman"/>
          <w:noProof/>
          <w:lang w:eastAsia="zh-CN"/>
        </w:rPr>
        <w:t>, 110–122. https://doi.org/10.1016/j.jebo.2015.02.018</w:t>
      </w:r>
    </w:p>
    <w:p w14:paraId="06A6F7F8" w14:textId="74484E2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Burton-Chellew, M. N., el Mouden, C., &amp; West, S. A. (2016). Conditional cooperation and confusion in public-goods experiments. </w:t>
      </w:r>
      <w:r w:rsidRPr="002414E9">
        <w:rPr>
          <w:rFonts w:eastAsia="DengXian" w:cs="Times New Roman"/>
          <w:i/>
          <w:iCs/>
          <w:noProof/>
          <w:lang w:eastAsia="zh-CN"/>
        </w:rPr>
        <w:t>Proceedings of the National Academy of Sciences</w:t>
      </w:r>
      <w:r w:rsidRPr="002414E9">
        <w:rPr>
          <w:rFonts w:eastAsia="DengXian" w:cs="Times New Roman"/>
          <w:noProof/>
          <w:lang w:eastAsia="zh-CN"/>
        </w:rPr>
        <w:t xml:space="preserve">, </w:t>
      </w:r>
      <w:r w:rsidRPr="002414E9">
        <w:rPr>
          <w:rFonts w:eastAsia="DengXian" w:cs="Times New Roman"/>
          <w:i/>
          <w:iCs/>
          <w:noProof/>
          <w:lang w:eastAsia="zh-CN"/>
        </w:rPr>
        <w:t>113</w:t>
      </w:r>
      <w:r w:rsidRPr="002414E9">
        <w:rPr>
          <w:rFonts w:eastAsia="DengXian" w:cs="Times New Roman"/>
          <w:noProof/>
          <w:lang w:eastAsia="zh-CN"/>
        </w:rPr>
        <w:t>(5), 1291–1296. https://doi.org/10.1073/pnas.1509740113</w:t>
      </w:r>
    </w:p>
    <w:p w14:paraId="4E838FF4" w14:textId="14EC02D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Buser, T., &amp; Dreber, A. (2016). The flipside of comparative payment schemes. </w:t>
      </w:r>
      <w:r w:rsidRPr="002414E9">
        <w:rPr>
          <w:rFonts w:eastAsia="DengXian" w:cs="Times New Roman"/>
          <w:i/>
          <w:iCs/>
          <w:noProof/>
          <w:lang w:eastAsia="zh-CN"/>
        </w:rPr>
        <w:t>Management Science</w:t>
      </w:r>
      <w:r w:rsidRPr="002414E9">
        <w:rPr>
          <w:rFonts w:eastAsia="DengXian" w:cs="Times New Roman"/>
          <w:noProof/>
          <w:lang w:eastAsia="zh-CN"/>
        </w:rPr>
        <w:t xml:space="preserve">, </w:t>
      </w:r>
      <w:r w:rsidRPr="002414E9">
        <w:rPr>
          <w:rFonts w:eastAsia="DengXian" w:cs="Times New Roman"/>
          <w:i/>
          <w:iCs/>
          <w:noProof/>
          <w:lang w:eastAsia="zh-CN"/>
        </w:rPr>
        <w:t>62</w:t>
      </w:r>
      <w:r w:rsidRPr="002414E9">
        <w:rPr>
          <w:rFonts w:eastAsia="DengXian" w:cs="Times New Roman"/>
          <w:noProof/>
          <w:lang w:eastAsia="zh-CN"/>
        </w:rPr>
        <w:t>(9), 2626–2638. https://doi.org/10.1287/mnsc.2015.2257</w:t>
      </w:r>
    </w:p>
    <w:p w14:paraId="28365996" w14:textId="3D36D57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Butler, D. J., Burbank, V. K., &amp; Chisholm, J. S. (2011). The frames behind the games: Player’s perceptions of prisoners dilemma, chicken, dictator, and ultimatum games. </w:t>
      </w:r>
      <w:r w:rsidRPr="002414E9">
        <w:rPr>
          <w:rFonts w:eastAsia="DengXian" w:cs="Times New Roman"/>
          <w:i/>
          <w:iCs/>
          <w:noProof/>
          <w:lang w:eastAsia="zh-CN"/>
        </w:rPr>
        <w:t>The Journal of Socio-Economics</w:t>
      </w:r>
      <w:r w:rsidRPr="002414E9">
        <w:rPr>
          <w:rFonts w:eastAsia="DengXian" w:cs="Times New Roman"/>
          <w:noProof/>
          <w:lang w:eastAsia="zh-CN"/>
        </w:rPr>
        <w:t xml:space="preserve">, </w:t>
      </w:r>
      <w:r w:rsidRPr="002414E9">
        <w:rPr>
          <w:rFonts w:eastAsia="DengXian" w:cs="Times New Roman"/>
          <w:i/>
          <w:iCs/>
          <w:noProof/>
          <w:lang w:eastAsia="zh-CN"/>
        </w:rPr>
        <w:t>40</w:t>
      </w:r>
      <w:r w:rsidRPr="002414E9">
        <w:rPr>
          <w:rFonts w:eastAsia="DengXian" w:cs="Times New Roman"/>
          <w:noProof/>
          <w:lang w:eastAsia="zh-CN"/>
        </w:rPr>
        <w:t>(2), 103–114. https://doi.org/10.1016/j.socec.2010.12.009</w:t>
      </w:r>
    </w:p>
    <w:p w14:paraId="48179015" w14:textId="7BA90A4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Butler, D. M., &amp; Kousser, T. (2015). </w:t>
      </w:r>
      <w:r w:rsidRPr="002414E9">
        <w:rPr>
          <w:rFonts w:eastAsia="DengXian" w:cs="Times New Roman"/>
          <w:noProof/>
          <w:lang w:eastAsia="zh-CN"/>
        </w:rPr>
        <w:t xml:space="preserve">How do public goods providers play public goods games? </w:t>
      </w:r>
      <w:r w:rsidRPr="002414E9">
        <w:rPr>
          <w:rFonts w:eastAsia="DengXian" w:cs="Times New Roman"/>
          <w:i/>
          <w:iCs/>
          <w:noProof/>
          <w:lang w:eastAsia="zh-CN"/>
        </w:rPr>
        <w:t>Legislative Studies Quarterly</w:t>
      </w:r>
      <w:r w:rsidRPr="002414E9">
        <w:rPr>
          <w:rFonts w:eastAsia="DengXian" w:cs="Times New Roman"/>
          <w:noProof/>
          <w:lang w:eastAsia="zh-CN"/>
        </w:rPr>
        <w:t xml:space="preserve">, </w:t>
      </w:r>
      <w:r w:rsidRPr="002414E9">
        <w:rPr>
          <w:rFonts w:eastAsia="DengXian" w:cs="Times New Roman"/>
          <w:i/>
          <w:iCs/>
          <w:noProof/>
          <w:lang w:eastAsia="zh-CN"/>
        </w:rPr>
        <w:t>40</w:t>
      </w:r>
      <w:r w:rsidRPr="002414E9">
        <w:rPr>
          <w:rFonts w:eastAsia="DengXian" w:cs="Times New Roman"/>
          <w:noProof/>
          <w:lang w:eastAsia="zh-CN"/>
        </w:rPr>
        <w:t>(2), 211–240. https://doi.org/10.1111/lsq.12073</w:t>
      </w:r>
    </w:p>
    <w:p w14:paraId="4AFF3F22" w14:textId="1EFB4465" w:rsidR="002414E9" w:rsidRPr="002414E9" w:rsidRDefault="002414E9" w:rsidP="002414E9">
      <w:pPr>
        <w:widowControl w:val="0"/>
        <w:autoSpaceDE w:val="0"/>
        <w:autoSpaceDN w:val="0"/>
        <w:adjustRightInd w:val="0"/>
        <w:ind w:left="709" w:hanging="709"/>
        <w:rPr>
          <w:rFonts w:eastAsia="DengXian" w:cs="Times New Roman"/>
          <w:noProof/>
          <w:lang w:val="es-ES" w:eastAsia="zh-CN"/>
        </w:rPr>
      </w:pPr>
      <w:r w:rsidRPr="002414E9">
        <w:rPr>
          <w:rFonts w:eastAsia="DengXian" w:cs="Times New Roman"/>
          <w:noProof/>
          <w:lang w:val="es-ES" w:eastAsia="zh-CN"/>
        </w:rPr>
        <w:t xml:space="preserve">Cabrera, S., Fatás, E., Lacomba, J. A., &amp; Neugebauer, T. (2013). </w:t>
      </w:r>
      <w:r w:rsidRPr="002414E9">
        <w:rPr>
          <w:rFonts w:eastAsia="DengXian" w:cs="Times New Roman"/>
          <w:noProof/>
          <w:lang w:eastAsia="zh-CN"/>
        </w:rPr>
        <w:t xml:space="preserve">Splitting leagues: Promotion and demotion in contribution-based regrouping experiments. </w:t>
      </w:r>
      <w:r w:rsidRPr="002414E9">
        <w:rPr>
          <w:rFonts w:eastAsia="DengXian" w:cs="Times New Roman"/>
          <w:i/>
          <w:iCs/>
          <w:noProof/>
          <w:lang w:val="es-ES" w:eastAsia="zh-CN"/>
        </w:rPr>
        <w:t>Experimental Economics</w:t>
      </w:r>
      <w:r w:rsidRPr="002414E9">
        <w:rPr>
          <w:rFonts w:eastAsia="DengXian" w:cs="Times New Roman"/>
          <w:noProof/>
          <w:lang w:val="es-ES" w:eastAsia="zh-CN"/>
        </w:rPr>
        <w:t xml:space="preserve">, </w:t>
      </w:r>
      <w:r w:rsidRPr="002414E9">
        <w:rPr>
          <w:rFonts w:eastAsia="DengXian" w:cs="Times New Roman"/>
          <w:i/>
          <w:iCs/>
          <w:noProof/>
          <w:lang w:val="es-ES" w:eastAsia="zh-CN"/>
        </w:rPr>
        <w:t>16</w:t>
      </w:r>
      <w:r w:rsidRPr="002414E9">
        <w:rPr>
          <w:rFonts w:eastAsia="DengXian" w:cs="Times New Roman"/>
          <w:noProof/>
          <w:lang w:val="es-ES" w:eastAsia="zh-CN"/>
        </w:rPr>
        <w:t>(3), 426–441. https://doi.org/10.1007/s10683-012-9346-4</w:t>
      </w:r>
    </w:p>
    <w:p w14:paraId="3D25DC76" w14:textId="287B960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n-GB" w:eastAsia="zh-CN"/>
        </w:rPr>
        <w:t xml:space="preserve">Cadsby, C. B., &amp; Maynes, E. (1998). </w:t>
      </w:r>
      <w:r w:rsidRPr="002414E9">
        <w:rPr>
          <w:rFonts w:eastAsia="DengXian" w:cs="Times New Roman"/>
          <w:noProof/>
          <w:lang w:eastAsia="zh-CN"/>
        </w:rPr>
        <w:t xml:space="preserve">Choosing between a socially efficient and free-riding equilibrium: Nurses versus economics and business students. </w:t>
      </w:r>
      <w:r w:rsidRPr="002414E9">
        <w:rPr>
          <w:rFonts w:eastAsia="DengXian" w:cs="Times New Roman"/>
          <w:i/>
          <w:iCs/>
          <w:noProof/>
          <w:lang w:eastAsia="zh-CN"/>
        </w:rPr>
        <w:t xml:space="preserve">Journal of Economic </w:t>
      </w:r>
      <w:r w:rsidRPr="002414E9">
        <w:rPr>
          <w:rFonts w:eastAsia="DengXian" w:cs="Times New Roman"/>
          <w:i/>
          <w:iCs/>
          <w:noProof/>
          <w:lang w:eastAsia="zh-CN"/>
        </w:rPr>
        <w:lastRenderedPageBreak/>
        <w:t>Behavior &amp; Organization</w:t>
      </w:r>
      <w:r w:rsidRPr="002414E9">
        <w:rPr>
          <w:rFonts w:eastAsia="DengXian" w:cs="Times New Roman"/>
          <w:noProof/>
          <w:lang w:eastAsia="zh-CN"/>
        </w:rPr>
        <w:t xml:space="preserve">, </w:t>
      </w:r>
      <w:r w:rsidRPr="002414E9">
        <w:rPr>
          <w:rFonts w:eastAsia="DengXian" w:cs="Times New Roman"/>
          <w:i/>
          <w:iCs/>
          <w:noProof/>
          <w:lang w:eastAsia="zh-CN"/>
        </w:rPr>
        <w:t>37</w:t>
      </w:r>
      <w:r w:rsidRPr="002414E9">
        <w:rPr>
          <w:rFonts w:eastAsia="DengXian" w:cs="Times New Roman"/>
          <w:noProof/>
          <w:lang w:eastAsia="zh-CN"/>
        </w:rPr>
        <w:t>(2), 183–192. https://doi.org/10.1016/S0167-2681(98)00083-3</w:t>
      </w:r>
    </w:p>
    <w:p w14:paraId="70875DED" w14:textId="283690D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Cadsby, C. Bram, &amp; Maynes, E. (1998). Gender and free riding in a threshold public goods game: Experimental evidence.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34</w:t>
      </w:r>
      <w:r w:rsidRPr="002414E9">
        <w:rPr>
          <w:rFonts w:eastAsia="DengXian" w:cs="Times New Roman"/>
          <w:noProof/>
          <w:lang w:eastAsia="zh-CN"/>
        </w:rPr>
        <w:t>(4), 603–620. https://doi.org/10.1016/S0167-2681(97)00010-3</w:t>
      </w:r>
    </w:p>
    <w:p w14:paraId="142B3CBE" w14:textId="5060225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Cadsby, C. Bram, Hamaguchi, Y., Kawagoe, T., Maynes, E., &amp; Song, F. (2007). Cross-national gender differences in behavior in a threshold public goods game: Japan versus Canada. </w:t>
      </w:r>
      <w:r w:rsidRPr="002414E9">
        <w:rPr>
          <w:rFonts w:eastAsia="DengXian" w:cs="Times New Roman"/>
          <w:i/>
          <w:iCs/>
          <w:noProof/>
          <w:lang w:eastAsia="zh-CN"/>
        </w:rPr>
        <w:t>Journal of Economic Psychology</w:t>
      </w:r>
      <w:r w:rsidRPr="002414E9">
        <w:rPr>
          <w:rFonts w:eastAsia="DengXian" w:cs="Times New Roman"/>
          <w:noProof/>
          <w:lang w:eastAsia="zh-CN"/>
        </w:rPr>
        <w:t xml:space="preserve">, </w:t>
      </w:r>
      <w:r w:rsidRPr="002414E9">
        <w:rPr>
          <w:rFonts w:eastAsia="DengXian" w:cs="Times New Roman"/>
          <w:i/>
          <w:iCs/>
          <w:noProof/>
          <w:lang w:eastAsia="zh-CN"/>
        </w:rPr>
        <w:t>28</w:t>
      </w:r>
      <w:r w:rsidRPr="002414E9">
        <w:rPr>
          <w:rFonts w:eastAsia="DengXian" w:cs="Times New Roman"/>
          <w:noProof/>
          <w:lang w:eastAsia="zh-CN"/>
        </w:rPr>
        <w:t>(2), 242–260. https://doi.org/10.1016/j.joep.2006.06.009</w:t>
      </w:r>
    </w:p>
    <w:p w14:paraId="59C61160" w14:textId="1313067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Cadsby, Charles Bram, &amp; Maynes, E. (1998). Choosing between a socially efficient and free-riding equilibrium: Nurses versus economics and business students.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37</w:t>
      </w:r>
      <w:r w:rsidRPr="002414E9">
        <w:rPr>
          <w:rFonts w:eastAsia="DengXian" w:cs="Times New Roman"/>
          <w:noProof/>
          <w:lang w:eastAsia="zh-CN"/>
        </w:rPr>
        <w:t>(2), 183–192. https://doi.org/10.1016/S0167-2681(98)00083-3</w:t>
      </w:r>
    </w:p>
    <w:p w14:paraId="1E956D3D" w14:textId="5BEC551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Cadsby, Charles Bram, &amp; Maynes, E. (1999). Voluntary provision of threshold public goods with continuous contributions: Experimental evidence.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71</w:t>
      </w:r>
      <w:r w:rsidRPr="002414E9">
        <w:rPr>
          <w:rFonts w:eastAsia="DengXian" w:cs="Times New Roman"/>
          <w:noProof/>
          <w:lang w:eastAsia="zh-CN"/>
        </w:rPr>
        <w:t>(1), 53–73. https://doi.org/10.1016/S0047-2727(98)00049-8</w:t>
      </w:r>
    </w:p>
    <w:p w14:paraId="658C7D12" w14:textId="1489BE0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Caldwell, M. D. (1976). Communication and sex effects in a five-person Prisoner’s Dilemma Game. </w:t>
      </w:r>
      <w:r w:rsidRPr="002414E9">
        <w:rPr>
          <w:rFonts w:eastAsia="DengXian" w:cs="Times New Roman"/>
          <w:i/>
          <w:iCs/>
          <w:noProof/>
          <w:lang w:eastAsia="zh-CN"/>
        </w:rPr>
        <w:t>Journal of Personality and Social Psychology</w:t>
      </w:r>
      <w:r w:rsidRPr="002414E9">
        <w:rPr>
          <w:rFonts w:eastAsia="DengXian" w:cs="Times New Roman"/>
          <w:noProof/>
          <w:lang w:eastAsia="zh-CN"/>
        </w:rPr>
        <w:t xml:space="preserve">, </w:t>
      </w:r>
      <w:r w:rsidRPr="002414E9">
        <w:rPr>
          <w:rFonts w:eastAsia="DengXian" w:cs="Times New Roman"/>
          <w:i/>
          <w:iCs/>
          <w:noProof/>
          <w:lang w:eastAsia="zh-CN"/>
        </w:rPr>
        <w:t>33</w:t>
      </w:r>
      <w:r w:rsidRPr="002414E9">
        <w:rPr>
          <w:rFonts w:eastAsia="DengXian" w:cs="Times New Roman"/>
          <w:noProof/>
          <w:lang w:eastAsia="zh-CN"/>
        </w:rPr>
        <w:t>(3), 273–280. https://doi.org/10.1037/0022-3514.33.3.273</w:t>
      </w:r>
    </w:p>
    <w:p w14:paraId="59A7196B" w14:textId="034C0ED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Campbell, W. K., Bonacci, A. M., Shelton, J., Exline, J. J., &amp; Bushman, B. J. (2004). Psychological entitlement: Interpersonal consequences and validation of a self-report measure. </w:t>
      </w:r>
      <w:r w:rsidRPr="002414E9">
        <w:rPr>
          <w:rFonts w:eastAsia="DengXian" w:cs="Times New Roman"/>
          <w:i/>
          <w:iCs/>
          <w:noProof/>
          <w:lang w:eastAsia="zh-CN"/>
        </w:rPr>
        <w:t>Journal of Personality Assessment</w:t>
      </w:r>
      <w:r w:rsidRPr="002414E9">
        <w:rPr>
          <w:rFonts w:eastAsia="DengXian" w:cs="Times New Roman"/>
          <w:noProof/>
          <w:lang w:eastAsia="zh-CN"/>
        </w:rPr>
        <w:t xml:space="preserve">, </w:t>
      </w:r>
      <w:r w:rsidRPr="002414E9">
        <w:rPr>
          <w:rFonts w:eastAsia="DengXian" w:cs="Times New Roman"/>
          <w:i/>
          <w:iCs/>
          <w:noProof/>
          <w:lang w:eastAsia="zh-CN"/>
        </w:rPr>
        <w:t>83</w:t>
      </w:r>
      <w:r w:rsidRPr="002414E9">
        <w:rPr>
          <w:rFonts w:eastAsia="DengXian" w:cs="Times New Roman"/>
          <w:noProof/>
          <w:lang w:eastAsia="zh-CN"/>
        </w:rPr>
        <w:t>(1), 29–45. https://doi.org/10.1207/s15327752jpa8301_04</w:t>
      </w:r>
    </w:p>
    <w:p w14:paraId="7A86FDB3" w14:textId="17E281C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lastRenderedPageBreak/>
        <w:t xml:space="preserve">Campbell, W. K., Bush, C. P., Brunell, A. B., &amp; Shelton, J. (2005). Understanding the social costs of narcissism: The case of the tragedy of the commons. </w:t>
      </w:r>
      <w:r w:rsidRPr="002414E9">
        <w:rPr>
          <w:rFonts w:eastAsia="DengXian" w:cs="Times New Roman"/>
          <w:i/>
          <w:iCs/>
          <w:noProof/>
          <w:lang w:eastAsia="zh-CN"/>
        </w:rPr>
        <w:t>Personality and Social Psychology Bulletin</w:t>
      </w:r>
      <w:r w:rsidRPr="002414E9">
        <w:rPr>
          <w:rFonts w:eastAsia="DengXian" w:cs="Times New Roman"/>
          <w:noProof/>
          <w:lang w:eastAsia="zh-CN"/>
        </w:rPr>
        <w:t xml:space="preserve">, </w:t>
      </w:r>
      <w:r w:rsidRPr="002414E9">
        <w:rPr>
          <w:rFonts w:eastAsia="DengXian" w:cs="Times New Roman"/>
          <w:i/>
          <w:iCs/>
          <w:noProof/>
          <w:lang w:eastAsia="zh-CN"/>
        </w:rPr>
        <w:t>31</w:t>
      </w:r>
      <w:r w:rsidRPr="002414E9">
        <w:rPr>
          <w:rFonts w:eastAsia="DengXian" w:cs="Times New Roman"/>
          <w:noProof/>
          <w:lang w:eastAsia="zh-CN"/>
        </w:rPr>
        <w:t>(10), 1358–1368. https://doi.org/10.1177/0146167205274855</w:t>
      </w:r>
    </w:p>
    <w:p w14:paraId="27BFC872" w14:textId="6799C58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s-ES" w:eastAsia="zh-CN"/>
        </w:rPr>
        <w:t xml:space="preserve">Campos-Vazquez, R. M., &amp; Mejia, L. A. (2016). </w:t>
      </w:r>
      <w:r w:rsidRPr="002414E9">
        <w:rPr>
          <w:rFonts w:eastAsia="DengXian" w:cs="Times New Roman"/>
          <w:noProof/>
          <w:lang w:eastAsia="zh-CN"/>
        </w:rPr>
        <w:t xml:space="preserve">Does corruption affect cooperation? A laboratory experiment. </w:t>
      </w:r>
      <w:r w:rsidRPr="002414E9">
        <w:rPr>
          <w:rFonts w:eastAsia="DengXian" w:cs="Times New Roman"/>
          <w:i/>
          <w:iCs/>
          <w:noProof/>
          <w:lang w:eastAsia="zh-CN"/>
        </w:rPr>
        <w:t>Latin American Economic Review</w:t>
      </w:r>
      <w:r w:rsidRPr="002414E9">
        <w:rPr>
          <w:rFonts w:eastAsia="DengXian" w:cs="Times New Roman"/>
          <w:noProof/>
          <w:lang w:eastAsia="zh-CN"/>
        </w:rPr>
        <w:t xml:space="preserve">, </w:t>
      </w:r>
      <w:r w:rsidRPr="002414E9">
        <w:rPr>
          <w:rFonts w:eastAsia="DengXian" w:cs="Times New Roman"/>
          <w:i/>
          <w:iCs/>
          <w:noProof/>
          <w:lang w:eastAsia="zh-CN"/>
        </w:rPr>
        <w:t>25</w:t>
      </w:r>
      <w:r w:rsidRPr="002414E9">
        <w:rPr>
          <w:rFonts w:eastAsia="DengXian" w:cs="Times New Roman"/>
          <w:noProof/>
          <w:lang w:eastAsia="zh-CN"/>
        </w:rPr>
        <w:t>(1), 1–19. https://doi.org/10.1007/s40503-016-0035-0</w:t>
      </w:r>
    </w:p>
    <w:p w14:paraId="0379802E" w14:textId="113B9DC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Candelo, N., Croson, R. T. A., &amp; Li, S. X. (2017). </w:t>
      </w:r>
      <w:r w:rsidRPr="002414E9">
        <w:rPr>
          <w:rFonts w:eastAsia="DengXian" w:cs="Times New Roman"/>
          <w:noProof/>
          <w:lang w:eastAsia="zh-CN"/>
        </w:rPr>
        <w:t xml:space="preserve">Identity and social exclusion: An experiment with Hispanic immigrants in the U.S.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20</w:t>
      </w:r>
      <w:r w:rsidRPr="002414E9">
        <w:rPr>
          <w:rFonts w:eastAsia="DengXian" w:cs="Times New Roman"/>
          <w:noProof/>
          <w:lang w:eastAsia="zh-CN"/>
        </w:rPr>
        <w:t>(2), 460–480. https://doi.org/10.1007/s10683-016-9492-1</w:t>
      </w:r>
    </w:p>
    <w:p w14:paraId="6737121E" w14:textId="37212EB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Cappelen, A. W., Reme, B.-A., Sørensen, E. Ø., &amp; Tungodden, B. (2016). </w:t>
      </w:r>
      <w:r w:rsidRPr="002414E9">
        <w:rPr>
          <w:rFonts w:eastAsia="DengXian" w:cs="Times New Roman"/>
          <w:noProof/>
          <w:lang w:eastAsia="zh-CN"/>
        </w:rPr>
        <w:t xml:space="preserve">Leadership and Incentives. </w:t>
      </w:r>
      <w:r w:rsidRPr="002414E9">
        <w:rPr>
          <w:rFonts w:eastAsia="DengXian" w:cs="Times New Roman"/>
          <w:i/>
          <w:iCs/>
          <w:noProof/>
          <w:lang w:eastAsia="zh-CN"/>
        </w:rPr>
        <w:t>Management Science</w:t>
      </w:r>
      <w:r w:rsidRPr="002414E9">
        <w:rPr>
          <w:rFonts w:eastAsia="DengXian" w:cs="Times New Roman"/>
          <w:noProof/>
          <w:lang w:eastAsia="zh-CN"/>
        </w:rPr>
        <w:t xml:space="preserve">, </w:t>
      </w:r>
      <w:r w:rsidRPr="002414E9">
        <w:rPr>
          <w:rFonts w:eastAsia="DengXian" w:cs="Times New Roman"/>
          <w:i/>
          <w:iCs/>
          <w:noProof/>
          <w:lang w:eastAsia="zh-CN"/>
        </w:rPr>
        <w:t>62</w:t>
      </w:r>
      <w:r w:rsidRPr="002414E9">
        <w:rPr>
          <w:rFonts w:eastAsia="DengXian" w:cs="Times New Roman"/>
          <w:noProof/>
          <w:lang w:eastAsia="zh-CN"/>
        </w:rPr>
        <w:t>(7), 1944–1953. https://doi.org/10.1287/mnsc.2015.2225</w:t>
      </w:r>
    </w:p>
    <w:p w14:paraId="247A796B" w14:textId="0F0AF92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s-ES" w:eastAsia="zh-CN"/>
        </w:rPr>
        <w:t xml:space="preserve">Capraro, V., Smyth, C., Mylona, K., &amp; Niblo, G. A. (2014). </w:t>
      </w:r>
      <w:r w:rsidRPr="002414E9">
        <w:rPr>
          <w:rFonts w:eastAsia="DengXian" w:cs="Times New Roman"/>
          <w:noProof/>
          <w:lang w:eastAsia="zh-CN"/>
        </w:rPr>
        <w:t xml:space="preserve">Benevolent characteristics promote cooperative behaviour among humans. </w:t>
      </w:r>
      <w:r w:rsidRPr="002414E9">
        <w:rPr>
          <w:rFonts w:eastAsia="DengXian" w:cs="Times New Roman"/>
          <w:i/>
          <w:iCs/>
          <w:noProof/>
          <w:lang w:eastAsia="zh-CN"/>
        </w:rPr>
        <w:t>PLoS ONE</w:t>
      </w:r>
      <w:r w:rsidRPr="002414E9">
        <w:rPr>
          <w:rFonts w:eastAsia="DengXian" w:cs="Times New Roman"/>
          <w:noProof/>
          <w:lang w:eastAsia="zh-CN"/>
        </w:rPr>
        <w:t xml:space="preserve">, </w:t>
      </w:r>
      <w:r w:rsidRPr="002414E9">
        <w:rPr>
          <w:rFonts w:eastAsia="DengXian" w:cs="Times New Roman"/>
          <w:i/>
          <w:iCs/>
          <w:noProof/>
          <w:lang w:eastAsia="zh-CN"/>
        </w:rPr>
        <w:t>9</w:t>
      </w:r>
      <w:r w:rsidRPr="002414E9">
        <w:rPr>
          <w:rFonts w:eastAsia="DengXian" w:cs="Times New Roman"/>
          <w:noProof/>
          <w:lang w:eastAsia="zh-CN"/>
        </w:rPr>
        <w:t>(8), e102881. https://doi.org/10.1371/journal.pone.0102881</w:t>
      </w:r>
    </w:p>
    <w:p w14:paraId="0990D41E" w14:textId="3304331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Cardador, M. T., Northcraft, G. B., Rockmann, K. W., &amp; Grant, B. C. (2016). Characteristics of affected third parties and cooperative behavior in social dilemmas. </w:t>
      </w:r>
      <w:r w:rsidRPr="002414E9">
        <w:rPr>
          <w:rFonts w:eastAsia="DengXian" w:cs="Times New Roman"/>
          <w:i/>
          <w:iCs/>
          <w:noProof/>
          <w:lang w:eastAsia="zh-CN"/>
        </w:rPr>
        <w:t>The Journal of Social Psychology</w:t>
      </w:r>
      <w:r w:rsidRPr="002414E9">
        <w:rPr>
          <w:rFonts w:eastAsia="DengXian" w:cs="Times New Roman"/>
          <w:noProof/>
          <w:lang w:eastAsia="zh-CN"/>
        </w:rPr>
        <w:t xml:space="preserve">, </w:t>
      </w:r>
      <w:r w:rsidRPr="002414E9">
        <w:rPr>
          <w:rFonts w:eastAsia="DengXian" w:cs="Times New Roman"/>
          <w:i/>
          <w:iCs/>
          <w:noProof/>
          <w:lang w:eastAsia="zh-CN"/>
        </w:rPr>
        <w:t>156</w:t>
      </w:r>
      <w:r w:rsidRPr="002414E9">
        <w:rPr>
          <w:rFonts w:eastAsia="DengXian" w:cs="Times New Roman"/>
          <w:noProof/>
          <w:lang w:eastAsia="zh-CN"/>
        </w:rPr>
        <w:t>(6), 565–580. https://doi.org/10.1080/00224545.2016.1140116</w:t>
      </w:r>
    </w:p>
    <w:p w14:paraId="14263900" w14:textId="4329CE5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Cardenas, J. C. (2011). Social norms and behavior in the local commons as seen through the lens of field experiments. </w:t>
      </w:r>
      <w:r w:rsidRPr="002414E9">
        <w:rPr>
          <w:rFonts w:eastAsia="DengXian" w:cs="Times New Roman"/>
          <w:i/>
          <w:iCs/>
          <w:noProof/>
          <w:lang w:eastAsia="zh-CN"/>
        </w:rPr>
        <w:t>Environmental and Resource Economics</w:t>
      </w:r>
      <w:r w:rsidRPr="002414E9">
        <w:rPr>
          <w:rFonts w:eastAsia="DengXian" w:cs="Times New Roman"/>
          <w:noProof/>
          <w:lang w:eastAsia="zh-CN"/>
        </w:rPr>
        <w:t xml:space="preserve">, </w:t>
      </w:r>
      <w:r w:rsidRPr="002414E9">
        <w:rPr>
          <w:rFonts w:eastAsia="DengXian" w:cs="Times New Roman"/>
          <w:i/>
          <w:iCs/>
          <w:noProof/>
          <w:lang w:eastAsia="zh-CN"/>
        </w:rPr>
        <w:t>48</w:t>
      </w:r>
      <w:r w:rsidRPr="002414E9">
        <w:rPr>
          <w:rFonts w:eastAsia="DengXian" w:cs="Times New Roman"/>
          <w:noProof/>
          <w:lang w:eastAsia="zh-CN"/>
        </w:rPr>
        <w:t>(3), 451–485. https://doi.org/10.1007/s10640-010-9452-8</w:t>
      </w:r>
    </w:p>
    <w:p w14:paraId="19656E06" w14:textId="35DE4556" w:rsidR="002414E9" w:rsidRPr="002414E9" w:rsidRDefault="002414E9" w:rsidP="002414E9">
      <w:pPr>
        <w:widowControl w:val="0"/>
        <w:autoSpaceDE w:val="0"/>
        <w:autoSpaceDN w:val="0"/>
        <w:adjustRightInd w:val="0"/>
        <w:ind w:left="709" w:hanging="709"/>
        <w:rPr>
          <w:rFonts w:eastAsia="DengXian" w:cs="Times New Roman"/>
          <w:noProof/>
          <w:lang w:val="es-ES" w:eastAsia="zh-CN"/>
        </w:rPr>
      </w:pPr>
      <w:r w:rsidRPr="002414E9">
        <w:rPr>
          <w:rFonts w:eastAsia="DengXian" w:cs="Times New Roman"/>
          <w:noProof/>
          <w:lang w:val="es-ES" w:eastAsia="zh-CN"/>
        </w:rPr>
        <w:t xml:space="preserve">Cardenas, J. C., &amp; Jaramillo, C. (2007). </w:t>
      </w:r>
      <w:r w:rsidRPr="002414E9">
        <w:rPr>
          <w:rFonts w:eastAsia="DengXian" w:cs="Times New Roman"/>
          <w:i/>
          <w:iCs/>
          <w:noProof/>
          <w:lang w:eastAsia="zh-CN"/>
        </w:rPr>
        <w:t>Cooperation in large networks: an experimental approach</w:t>
      </w:r>
      <w:r w:rsidRPr="002414E9">
        <w:rPr>
          <w:rFonts w:eastAsia="DengXian" w:cs="Times New Roman"/>
          <w:iCs/>
          <w:noProof/>
          <w:lang w:eastAsia="zh-CN"/>
        </w:rPr>
        <w:t xml:space="preserve"> (CEDE Working Paper No. 002202)</w:t>
      </w:r>
      <w:r w:rsidRPr="002414E9">
        <w:rPr>
          <w:rFonts w:eastAsia="DengXian" w:cs="Times New Roman"/>
          <w:noProof/>
          <w:lang w:eastAsia="zh-CN"/>
        </w:rPr>
        <w:t xml:space="preserve">. </w:t>
      </w:r>
      <w:r w:rsidRPr="002414E9">
        <w:rPr>
          <w:rFonts w:eastAsia="DengXian" w:cs="Times New Roman"/>
          <w:noProof/>
          <w:lang w:val="es-ES" w:eastAsia="zh-CN"/>
        </w:rPr>
        <w:t xml:space="preserve">Centro de Estudios Sobre Desarrollo </w:t>
      </w:r>
      <w:r w:rsidRPr="002414E9">
        <w:rPr>
          <w:rFonts w:eastAsia="DengXian" w:cs="Times New Roman"/>
          <w:noProof/>
          <w:lang w:val="es-ES" w:eastAsia="zh-CN"/>
        </w:rPr>
        <w:lastRenderedPageBreak/>
        <w:t>Económico, Universidad de los Andes. http://hdl.handle.net/1992/8041</w:t>
      </w:r>
    </w:p>
    <w:p w14:paraId="633A986C" w14:textId="2B16CAA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s-ES" w:eastAsia="zh-CN"/>
        </w:rPr>
        <w:t xml:space="preserve">Cardenas, J. C., &amp; Mantilla, C. (2015). </w:t>
      </w:r>
      <w:r w:rsidRPr="002414E9">
        <w:rPr>
          <w:rFonts w:eastAsia="DengXian" w:cs="Times New Roman"/>
          <w:noProof/>
          <w:lang w:eastAsia="zh-CN"/>
        </w:rPr>
        <w:t xml:space="preserve">Between-group competition, intra-group cooperation and relative performance. </w:t>
      </w:r>
      <w:r w:rsidRPr="002414E9">
        <w:rPr>
          <w:rFonts w:eastAsia="DengXian" w:cs="Times New Roman"/>
          <w:i/>
          <w:iCs/>
          <w:noProof/>
          <w:lang w:eastAsia="zh-CN"/>
        </w:rPr>
        <w:t>Frontiers in Behavioral Neuroscience</w:t>
      </w:r>
      <w:r w:rsidRPr="002414E9">
        <w:rPr>
          <w:rFonts w:eastAsia="DengXian" w:cs="Times New Roman"/>
          <w:noProof/>
          <w:lang w:eastAsia="zh-CN"/>
        </w:rPr>
        <w:t xml:space="preserve">, </w:t>
      </w:r>
      <w:r w:rsidRPr="002414E9">
        <w:rPr>
          <w:rFonts w:eastAsia="DengXian" w:cs="Times New Roman"/>
          <w:i/>
          <w:iCs/>
          <w:noProof/>
          <w:lang w:eastAsia="zh-CN"/>
        </w:rPr>
        <w:t>9</w:t>
      </w:r>
      <w:r w:rsidRPr="002414E9">
        <w:rPr>
          <w:rFonts w:eastAsia="DengXian" w:cs="Times New Roman"/>
          <w:noProof/>
          <w:lang w:eastAsia="zh-CN"/>
        </w:rPr>
        <w:t>, 33–33. https://doi.org/10.3389/fnbeh.2015.00033</w:t>
      </w:r>
    </w:p>
    <w:p w14:paraId="59F64292" w14:textId="2468934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s-ES" w:eastAsia="zh-CN"/>
        </w:rPr>
        <w:t xml:space="preserve">Cárdenas, J. C., Chong, A., &amp; Ñopo, H. (2008). </w:t>
      </w:r>
      <w:r w:rsidRPr="002414E9">
        <w:rPr>
          <w:rFonts w:eastAsia="DengXian" w:cs="Times New Roman"/>
          <w:i/>
          <w:iCs/>
          <w:noProof/>
          <w:lang w:eastAsia="zh-CN"/>
        </w:rPr>
        <w:t>To what extent do Latin Americans trust and cooperate? Field experiments on social exclusion in six Latin American countries</w:t>
      </w:r>
      <w:r w:rsidRPr="002414E9">
        <w:rPr>
          <w:rFonts w:eastAsia="DengXian" w:cs="Times New Roman"/>
          <w:noProof/>
          <w:lang w:eastAsia="zh-CN"/>
        </w:rPr>
        <w:t xml:space="preserve"> (Working Paper No. 635). Inter-American Development Bank. http://hdl.handle.net/10419/51486</w:t>
      </w:r>
    </w:p>
    <w:p w14:paraId="5764C4FD" w14:textId="5AE5D56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s-ES" w:eastAsia="zh-CN"/>
        </w:rPr>
        <w:t xml:space="preserve">Cardenas, J. C., Rodriquez, L. A., &amp; Johnson, N. (2011). </w:t>
      </w:r>
      <w:r w:rsidRPr="002414E9">
        <w:rPr>
          <w:rFonts w:eastAsia="DengXian" w:cs="Times New Roman"/>
          <w:noProof/>
          <w:lang w:eastAsia="zh-CN"/>
        </w:rPr>
        <w:t xml:space="preserve">Collective action for watershed management: Field experiments in Colombia and Kenya. </w:t>
      </w:r>
      <w:r w:rsidRPr="002414E9">
        <w:rPr>
          <w:rFonts w:eastAsia="DengXian" w:cs="Times New Roman"/>
          <w:i/>
          <w:iCs/>
          <w:noProof/>
          <w:lang w:eastAsia="zh-CN"/>
        </w:rPr>
        <w:t>Environment and Development Economics</w:t>
      </w:r>
      <w:r w:rsidRPr="002414E9">
        <w:rPr>
          <w:rFonts w:eastAsia="DengXian" w:cs="Times New Roman"/>
          <w:noProof/>
          <w:lang w:eastAsia="zh-CN"/>
        </w:rPr>
        <w:t xml:space="preserve">, </w:t>
      </w:r>
      <w:r w:rsidRPr="002414E9">
        <w:rPr>
          <w:rFonts w:eastAsia="DengXian" w:cs="Times New Roman"/>
          <w:i/>
          <w:iCs/>
          <w:noProof/>
          <w:lang w:eastAsia="zh-CN"/>
        </w:rPr>
        <w:t>16</w:t>
      </w:r>
      <w:r w:rsidRPr="002414E9">
        <w:rPr>
          <w:rFonts w:eastAsia="DengXian" w:cs="Times New Roman"/>
          <w:noProof/>
          <w:lang w:eastAsia="zh-CN"/>
        </w:rPr>
        <w:t>(3), 275–303. https://doi.org/10.1017/S1355770X10000392</w:t>
      </w:r>
    </w:p>
    <w:p w14:paraId="4FE5F19B" w14:textId="3E3840A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Cardenas, J.-C. (2003). Real wealth and experimental cooperation: experiments in the field lab. </w:t>
      </w:r>
      <w:r w:rsidRPr="002414E9">
        <w:rPr>
          <w:rFonts w:eastAsia="DengXian" w:cs="Times New Roman"/>
          <w:i/>
          <w:iCs/>
          <w:noProof/>
          <w:lang w:eastAsia="zh-CN"/>
        </w:rPr>
        <w:t>Journal of Development Economics</w:t>
      </w:r>
      <w:r w:rsidRPr="002414E9">
        <w:rPr>
          <w:rFonts w:eastAsia="DengXian" w:cs="Times New Roman"/>
          <w:noProof/>
          <w:lang w:eastAsia="zh-CN"/>
        </w:rPr>
        <w:t xml:space="preserve">, </w:t>
      </w:r>
      <w:r w:rsidRPr="002414E9">
        <w:rPr>
          <w:rFonts w:eastAsia="DengXian" w:cs="Times New Roman"/>
          <w:i/>
          <w:iCs/>
          <w:noProof/>
          <w:lang w:eastAsia="zh-CN"/>
        </w:rPr>
        <w:t>70</w:t>
      </w:r>
      <w:r w:rsidRPr="002414E9">
        <w:rPr>
          <w:rFonts w:eastAsia="DengXian" w:cs="Times New Roman"/>
          <w:noProof/>
          <w:lang w:eastAsia="zh-CN"/>
        </w:rPr>
        <w:t>(2), 263–289. https://doi.org/10.1016/S0304-3878(02)00098-6</w:t>
      </w:r>
    </w:p>
    <w:p w14:paraId="43729D07" w14:textId="0F164DD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Carpenter, J. P. (2007). The demand for punishment.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62</w:t>
      </w:r>
      <w:r w:rsidRPr="002414E9">
        <w:rPr>
          <w:rFonts w:eastAsia="DengXian" w:cs="Times New Roman"/>
          <w:noProof/>
          <w:lang w:eastAsia="zh-CN"/>
        </w:rPr>
        <w:t>(4), 522–542. https://doi.org/10.1016/j.jebo.2005.05.004</w:t>
      </w:r>
    </w:p>
    <w:p w14:paraId="1EFEE797" w14:textId="65B624B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Carpenter, J. P., &amp; Matthews, P. H. (2012). Norm enforcement: Anger, indignation, or reciprocity? </w:t>
      </w:r>
      <w:r w:rsidRPr="002414E9">
        <w:rPr>
          <w:rFonts w:eastAsia="DengXian" w:cs="Times New Roman"/>
          <w:i/>
          <w:iCs/>
          <w:noProof/>
          <w:lang w:eastAsia="zh-CN"/>
        </w:rPr>
        <w:t>Journal of the European Economic Association</w:t>
      </w:r>
      <w:r w:rsidRPr="002414E9">
        <w:rPr>
          <w:rFonts w:eastAsia="DengXian" w:cs="Times New Roman"/>
          <w:noProof/>
          <w:lang w:eastAsia="zh-CN"/>
        </w:rPr>
        <w:t xml:space="preserve">, </w:t>
      </w:r>
      <w:r w:rsidRPr="002414E9">
        <w:rPr>
          <w:rFonts w:eastAsia="DengXian" w:cs="Times New Roman"/>
          <w:i/>
          <w:iCs/>
          <w:noProof/>
          <w:lang w:eastAsia="zh-CN"/>
        </w:rPr>
        <w:t>10</w:t>
      </w:r>
      <w:r w:rsidRPr="002414E9">
        <w:rPr>
          <w:rFonts w:eastAsia="DengXian" w:cs="Times New Roman"/>
          <w:noProof/>
          <w:lang w:eastAsia="zh-CN"/>
        </w:rPr>
        <w:t>(3), 555–572. https://doi.org/10.1111/j.1542-4774.2011.01059.x</w:t>
      </w:r>
    </w:p>
    <w:p w14:paraId="340761B9" w14:textId="17ACB13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Carpenter, J. P., &amp; Seki, E. (2005). </w:t>
      </w:r>
      <w:r w:rsidRPr="002414E9">
        <w:rPr>
          <w:rFonts w:eastAsia="DengXian" w:cs="Times New Roman"/>
          <w:noProof/>
          <w:lang w:eastAsia="zh-CN"/>
        </w:rPr>
        <w:t xml:space="preserve">Competitive work environments and social preferences: Field experimental evidence from a Japanese fishing community. </w:t>
      </w:r>
      <w:r w:rsidRPr="002414E9">
        <w:rPr>
          <w:rFonts w:eastAsia="DengXian" w:cs="Times New Roman"/>
          <w:i/>
          <w:iCs/>
          <w:noProof/>
          <w:lang w:eastAsia="zh-CN"/>
        </w:rPr>
        <w:t>Contributions in Economic Analysis &amp; Policy</w:t>
      </w:r>
      <w:r w:rsidRPr="002414E9">
        <w:rPr>
          <w:rFonts w:eastAsia="DengXian" w:cs="Times New Roman"/>
          <w:noProof/>
          <w:lang w:eastAsia="zh-CN"/>
        </w:rPr>
        <w:t xml:space="preserve">, </w:t>
      </w:r>
      <w:r w:rsidRPr="002414E9">
        <w:rPr>
          <w:rFonts w:eastAsia="DengXian" w:cs="Times New Roman"/>
          <w:i/>
          <w:iCs/>
          <w:noProof/>
          <w:lang w:eastAsia="zh-CN"/>
        </w:rPr>
        <w:t>5</w:t>
      </w:r>
      <w:r w:rsidRPr="002414E9">
        <w:rPr>
          <w:rFonts w:eastAsia="DengXian" w:cs="Times New Roman"/>
          <w:noProof/>
          <w:lang w:eastAsia="zh-CN"/>
        </w:rPr>
        <w:t>(2). https://doi.org/10.2202/1538-0645.1460</w:t>
      </w:r>
    </w:p>
    <w:p w14:paraId="1A3CD631" w14:textId="57167DA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Carpenter, J. P., Daniere, A. G., &amp; Takahashi, L. M. (2004). Cooperation, trust, and social capital </w:t>
      </w:r>
      <w:r w:rsidRPr="002414E9">
        <w:rPr>
          <w:rFonts w:eastAsia="DengXian" w:cs="Times New Roman"/>
          <w:noProof/>
          <w:lang w:eastAsia="zh-CN"/>
        </w:rPr>
        <w:lastRenderedPageBreak/>
        <w:t xml:space="preserve">in Southeast Asian urban slums.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55</w:t>
      </w:r>
      <w:r w:rsidRPr="002414E9">
        <w:rPr>
          <w:rFonts w:eastAsia="DengXian" w:cs="Times New Roman"/>
          <w:noProof/>
          <w:lang w:eastAsia="zh-CN"/>
        </w:rPr>
        <w:t>(4), 533–551. https://doi.org/10.1016/j.jebo.2003.11.007</w:t>
      </w:r>
    </w:p>
    <w:p w14:paraId="2AF1E36E" w14:textId="14DFCCE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Carpenter, J., &amp; Matthews, P. H. (2009). What norms trigger punishment?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12</w:t>
      </w:r>
      <w:r w:rsidRPr="002414E9">
        <w:rPr>
          <w:rFonts w:eastAsia="DengXian" w:cs="Times New Roman"/>
          <w:noProof/>
          <w:lang w:eastAsia="zh-CN"/>
        </w:rPr>
        <w:t>(3), 272–288. https://doi.org/10.1007/s10683-009-9214-z</w:t>
      </w:r>
    </w:p>
    <w:p w14:paraId="1CAEAD55" w14:textId="68C5AF0F" w:rsidR="002414E9" w:rsidRPr="002414E9" w:rsidRDefault="002414E9" w:rsidP="002414E9">
      <w:pPr>
        <w:widowControl w:val="0"/>
        <w:autoSpaceDE w:val="0"/>
        <w:autoSpaceDN w:val="0"/>
        <w:adjustRightInd w:val="0"/>
        <w:ind w:left="709" w:hanging="709"/>
        <w:rPr>
          <w:rFonts w:eastAsia="DengXian" w:cs="Times New Roman"/>
          <w:noProof/>
          <w:lang w:val="it-IT" w:eastAsia="zh-CN"/>
        </w:rPr>
      </w:pPr>
      <w:r w:rsidRPr="002414E9">
        <w:rPr>
          <w:rFonts w:eastAsia="DengXian" w:cs="Times New Roman"/>
          <w:noProof/>
          <w:lang w:eastAsia="zh-CN"/>
        </w:rPr>
        <w:t xml:space="preserve">Carpenter, J., &amp; Seki, E. (2011). Do social preferences increase productivity? Field experimental evidence from evidence from fishermen in Toyama bay. </w:t>
      </w:r>
      <w:r w:rsidRPr="002414E9">
        <w:rPr>
          <w:rFonts w:eastAsia="DengXian" w:cs="Times New Roman"/>
          <w:i/>
          <w:iCs/>
          <w:noProof/>
          <w:lang w:val="it-IT" w:eastAsia="zh-CN"/>
        </w:rPr>
        <w:t>Economic Inquiry</w:t>
      </w:r>
      <w:r w:rsidRPr="002414E9">
        <w:rPr>
          <w:rFonts w:eastAsia="DengXian" w:cs="Times New Roman"/>
          <w:noProof/>
          <w:lang w:val="it-IT" w:eastAsia="zh-CN"/>
        </w:rPr>
        <w:t xml:space="preserve">, </w:t>
      </w:r>
      <w:r w:rsidRPr="002414E9">
        <w:rPr>
          <w:rFonts w:eastAsia="DengXian" w:cs="Times New Roman"/>
          <w:i/>
          <w:iCs/>
          <w:noProof/>
          <w:lang w:val="it-IT" w:eastAsia="zh-CN"/>
        </w:rPr>
        <w:t>49</w:t>
      </w:r>
      <w:r w:rsidRPr="002414E9">
        <w:rPr>
          <w:rFonts w:eastAsia="DengXian" w:cs="Times New Roman"/>
          <w:noProof/>
          <w:lang w:val="it-IT" w:eastAsia="zh-CN"/>
        </w:rPr>
        <w:t>(2), 612–630. https://doi.org/10.1111/j.1465-7295.2009.00268.x</w:t>
      </w:r>
    </w:p>
    <w:p w14:paraId="743C5C75" w14:textId="02D9C22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n-GB" w:eastAsia="zh-CN"/>
        </w:rPr>
        <w:t xml:space="preserve">Cartwright, E. J., &amp; Alberti, F. (2015). </w:t>
      </w:r>
      <w:r w:rsidRPr="002414E9">
        <w:rPr>
          <w:rFonts w:eastAsia="DengXian" w:cs="Times New Roman"/>
          <w:noProof/>
          <w:lang w:eastAsia="zh-CN"/>
        </w:rPr>
        <w:t xml:space="preserve">Does the Endowment of Contributors Make a Difference in Threshold Public-Good Games? </w:t>
      </w:r>
      <w:r w:rsidRPr="002414E9">
        <w:rPr>
          <w:rFonts w:eastAsia="DengXian" w:cs="Times New Roman"/>
          <w:i/>
          <w:iCs/>
          <w:noProof/>
          <w:lang w:eastAsia="zh-CN"/>
        </w:rPr>
        <w:t>FinanzArchiv</w:t>
      </w:r>
      <w:r w:rsidRPr="002414E9">
        <w:rPr>
          <w:rFonts w:eastAsia="DengXian" w:cs="Times New Roman"/>
          <w:noProof/>
          <w:lang w:eastAsia="zh-CN"/>
        </w:rPr>
        <w:t xml:space="preserve"> </w:t>
      </w:r>
      <w:r w:rsidRPr="002414E9">
        <w:rPr>
          <w:rFonts w:eastAsia="DengXian" w:cs="Times New Roman"/>
          <w:i/>
          <w:iCs/>
          <w:noProof/>
          <w:lang w:eastAsia="zh-CN"/>
        </w:rPr>
        <w:t>/ Public Finance Analysis</w:t>
      </w:r>
      <w:r w:rsidRPr="002414E9">
        <w:rPr>
          <w:rFonts w:eastAsia="DengXian" w:cs="Times New Roman"/>
          <w:noProof/>
          <w:lang w:eastAsia="zh-CN"/>
        </w:rPr>
        <w:t xml:space="preserve">, </w:t>
      </w:r>
      <w:r w:rsidRPr="002414E9">
        <w:rPr>
          <w:rFonts w:eastAsia="DengXian" w:cs="Times New Roman"/>
          <w:i/>
          <w:iCs/>
          <w:noProof/>
          <w:lang w:eastAsia="zh-CN"/>
        </w:rPr>
        <w:t>71</w:t>
      </w:r>
      <w:r w:rsidRPr="002414E9">
        <w:rPr>
          <w:rFonts w:eastAsia="DengXian" w:cs="Times New Roman"/>
          <w:noProof/>
          <w:lang w:eastAsia="zh-CN"/>
        </w:rPr>
        <w:t>(2), 216–239. https://doi.org/10.1628/001522115X14180267843207</w:t>
      </w:r>
    </w:p>
    <w:p w14:paraId="4AB3F8C1" w14:textId="76FABEC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Cartwright, E., &amp; Stepanova, A. (2017). Efficiency in a forced contribution threshold public good game. </w:t>
      </w:r>
      <w:r w:rsidRPr="002414E9">
        <w:rPr>
          <w:rFonts w:eastAsia="DengXian" w:cs="Times New Roman"/>
          <w:i/>
          <w:iCs/>
          <w:noProof/>
          <w:lang w:eastAsia="zh-CN"/>
        </w:rPr>
        <w:t>International Journal of Game Theory</w:t>
      </w:r>
      <w:r w:rsidRPr="002414E9">
        <w:rPr>
          <w:rFonts w:eastAsia="DengXian" w:cs="Times New Roman"/>
          <w:noProof/>
          <w:lang w:eastAsia="zh-CN"/>
        </w:rPr>
        <w:t xml:space="preserve">, </w:t>
      </w:r>
      <w:r w:rsidRPr="002414E9">
        <w:rPr>
          <w:rFonts w:eastAsia="DengXian" w:cs="Times New Roman"/>
          <w:i/>
          <w:iCs/>
          <w:noProof/>
          <w:lang w:eastAsia="zh-CN"/>
        </w:rPr>
        <w:t>46</w:t>
      </w:r>
      <w:r w:rsidRPr="002414E9">
        <w:rPr>
          <w:rFonts w:eastAsia="DengXian" w:cs="Times New Roman"/>
          <w:noProof/>
          <w:lang w:eastAsia="zh-CN"/>
        </w:rPr>
        <w:t>(4), 1163–1191. https://doi.org/10.1007/s00182-017-0570-1</w:t>
      </w:r>
    </w:p>
    <w:p w14:paraId="755ACE84" w14:textId="0C763D0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Casari, M., &amp; Luini, L. (2009). Cooperation under alternative punishment institutions: An experiment.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71</w:t>
      </w:r>
      <w:r w:rsidRPr="002414E9">
        <w:rPr>
          <w:rFonts w:eastAsia="DengXian" w:cs="Times New Roman"/>
          <w:noProof/>
          <w:lang w:eastAsia="zh-CN"/>
        </w:rPr>
        <w:t>(2), 273–282. https://doi.org/10.1016/j.jebo.2009.03.022</w:t>
      </w:r>
    </w:p>
    <w:p w14:paraId="37B185F4" w14:textId="2F10FB4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n-GB" w:eastAsia="zh-CN"/>
        </w:rPr>
        <w:t xml:space="preserve">Cason, T. N., &amp; Gangadharan, L. (2015). </w:t>
      </w:r>
      <w:r w:rsidRPr="002414E9">
        <w:rPr>
          <w:rFonts w:eastAsia="DengXian" w:cs="Times New Roman"/>
          <w:noProof/>
          <w:lang w:eastAsia="zh-CN"/>
        </w:rPr>
        <w:t xml:space="preserve">Promoting cooperation in nonlinear social dilemmas through peer punishment.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18</w:t>
      </w:r>
      <w:r w:rsidRPr="002414E9">
        <w:rPr>
          <w:rFonts w:eastAsia="DengXian" w:cs="Times New Roman"/>
          <w:noProof/>
          <w:lang w:eastAsia="zh-CN"/>
        </w:rPr>
        <w:t>(1), 66–88. https://doi.org/10.1007/s10683-014-9393-0</w:t>
      </w:r>
    </w:p>
    <w:p w14:paraId="306CBFFA" w14:textId="3983DD2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Cass, R. C., &amp; Edney, J. J. (1978). The commons dilemma: A simulation testing the effects of resource visibility and territorial division. </w:t>
      </w:r>
      <w:r w:rsidRPr="002414E9">
        <w:rPr>
          <w:rFonts w:eastAsia="DengXian" w:cs="Times New Roman"/>
          <w:i/>
          <w:iCs/>
          <w:noProof/>
          <w:lang w:eastAsia="zh-CN"/>
        </w:rPr>
        <w:t>Human Ecology</w:t>
      </w:r>
      <w:r w:rsidRPr="002414E9">
        <w:rPr>
          <w:rFonts w:eastAsia="DengXian" w:cs="Times New Roman"/>
          <w:noProof/>
          <w:lang w:eastAsia="zh-CN"/>
        </w:rPr>
        <w:t xml:space="preserve">, </w:t>
      </w:r>
      <w:r w:rsidRPr="002414E9">
        <w:rPr>
          <w:rFonts w:eastAsia="DengXian" w:cs="Times New Roman"/>
          <w:i/>
          <w:iCs/>
          <w:noProof/>
          <w:lang w:eastAsia="zh-CN"/>
        </w:rPr>
        <w:t>6</w:t>
      </w:r>
      <w:r w:rsidRPr="002414E9">
        <w:rPr>
          <w:rFonts w:eastAsia="DengXian" w:cs="Times New Roman"/>
          <w:noProof/>
          <w:lang w:eastAsia="zh-CN"/>
        </w:rPr>
        <w:t>(4), 371–386. https://doi.org/10.1007/BF00889415</w:t>
      </w:r>
    </w:p>
    <w:p w14:paraId="570DA798" w14:textId="12C81AA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Cassar, A. (2007). Coordination and cooperation in local, random and small world networks: </w:t>
      </w:r>
      <w:r w:rsidRPr="002414E9">
        <w:rPr>
          <w:rFonts w:eastAsia="DengXian" w:cs="Times New Roman"/>
          <w:noProof/>
          <w:lang w:eastAsia="zh-CN"/>
        </w:rPr>
        <w:lastRenderedPageBreak/>
        <w:t xml:space="preserve">Experimental evidence. </w:t>
      </w:r>
      <w:r w:rsidRPr="002414E9">
        <w:rPr>
          <w:rFonts w:eastAsia="DengXian" w:cs="Times New Roman"/>
          <w:i/>
          <w:iCs/>
          <w:noProof/>
          <w:lang w:eastAsia="zh-CN"/>
        </w:rPr>
        <w:t>Games and Economic Behavior</w:t>
      </w:r>
      <w:r w:rsidRPr="002414E9">
        <w:rPr>
          <w:rFonts w:eastAsia="DengXian" w:cs="Times New Roman"/>
          <w:noProof/>
          <w:lang w:eastAsia="zh-CN"/>
        </w:rPr>
        <w:t xml:space="preserve">, </w:t>
      </w:r>
      <w:r w:rsidRPr="002414E9">
        <w:rPr>
          <w:rFonts w:eastAsia="DengXian" w:cs="Times New Roman"/>
          <w:i/>
          <w:iCs/>
          <w:noProof/>
          <w:lang w:eastAsia="zh-CN"/>
        </w:rPr>
        <w:t>58</w:t>
      </w:r>
      <w:r w:rsidRPr="002414E9">
        <w:rPr>
          <w:rFonts w:eastAsia="DengXian" w:cs="Times New Roman"/>
          <w:noProof/>
          <w:lang w:eastAsia="zh-CN"/>
        </w:rPr>
        <w:t>(2), 209–230. https://doi.org/10.1016/j.geb.2006.03.008</w:t>
      </w:r>
    </w:p>
    <w:p w14:paraId="41E360E3" w14:textId="21B256D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Cederblom, D., &amp; Diers, C. J. (1970). Effects of race and strategy in the Prisoner's Dilemma (PD). </w:t>
      </w:r>
      <w:r w:rsidRPr="002414E9">
        <w:rPr>
          <w:rFonts w:eastAsia="DengXian" w:cs="Times New Roman"/>
          <w:i/>
          <w:iCs/>
          <w:noProof/>
          <w:lang w:eastAsia="zh-CN"/>
        </w:rPr>
        <w:t>The Journal of Social Psychology</w:t>
      </w:r>
      <w:r w:rsidRPr="002414E9">
        <w:rPr>
          <w:rFonts w:eastAsia="DengXian" w:cs="Times New Roman"/>
          <w:noProof/>
          <w:lang w:eastAsia="zh-CN"/>
        </w:rPr>
        <w:t xml:space="preserve">, </w:t>
      </w:r>
      <w:r w:rsidRPr="002414E9">
        <w:rPr>
          <w:rFonts w:eastAsia="DengXian" w:cs="Times New Roman"/>
          <w:i/>
          <w:iCs/>
          <w:noProof/>
          <w:lang w:eastAsia="zh-CN"/>
        </w:rPr>
        <w:t>81</w:t>
      </w:r>
      <w:r w:rsidRPr="002414E9">
        <w:rPr>
          <w:rFonts w:eastAsia="DengXian" w:cs="Times New Roman"/>
          <w:noProof/>
          <w:lang w:eastAsia="zh-CN"/>
        </w:rPr>
        <w:t>(2), 275–276. https://doi.org/10.1080/00224545.1970.9922453</w:t>
      </w:r>
    </w:p>
    <w:p w14:paraId="4B08C92B" w14:textId="51B9A94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Celse, J., Nicolas, M., &amp; Schilling, P. (2017). Are athletes more cooperative than nonathletes? A laboratory experiment. </w:t>
      </w:r>
      <w:r w:rsidRPr="002414E9">
        <w:rPr>
          <w:rFonts w:eastAsia="DengXian" w:cs="Times New Roman"/>
          <w:i/>
          <w:iCs/>
          <w:noProof/>
          <w:lang w:eastAsia="zh-CN"/>
        </w:rPr>
        <w:t>Managerial and Decision Economics</w:t>
      </w:r>
      <w:r w:rsidRPr="002414E9">
        <w:rPr>
          <w:rFonts w:eastAsia="DengXian" w:cs="Times New Roman"/>
          <w:noProof/>
          <w:lang w:eastAsia="zh-CN"/>
        </w:rPr>
        <w:t xml:space="preserve">, </w:t>
      </w:r>
      <w:r w:rsidRPr="002414E9">
        <w:rPr>
          <w:rFonts w:eastAsia="DengXian" w:cs="Times New Roman"/>
          <w:i/>
          <w:iCs/>
          <w:noProof/>
          <w:lang w:eastAsia="zh-CN"/>
        </w:rPr>
        <w:t>38</w:t>
      </w:r>
      <w:r w:rsidRPr="002414E9">
        <w:rPr>
          <w:rFonts w:eastAsia="DengXian" w:cs="Times New Roman"/>
          <w:noProof/>
          <w:lang w:eastAsia="zh-CN"/>
        </w:rPr>
        <w:t>(8), 1248–1261. https://doi.org/10.1002/mde.2862</w:t>
      </w:r>
    </w:p>
    <w:p w14:paraId="2B1A5542" w14:textId="5AA0E83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Ch’ng, K. S., Khoo, S. L., &amp; Chin, P. N. (2014). The effects of cultural and historical information and contribution threshold on public contributions: An experimental study on the conservation of heritage houses in Penang, Malaysia. </w:t>
      </w:r>
      <w:r w:rsidRPr="002414E9">
        <w:rPr>
          <w:rFonts w:eastAsia="DengXian" w:cs="Times New Roman"/>
          <w:i/>
          <w:iCs/>
          <w:noProof/>
          <w:lang w:eastAsia="zh-CN"/>
        </w:rPr>
        <w:t>Journal of Cultural Economics</w:t>
      </w:r>
      <w:r w:rsidRPr="002414E9">
        <w:rPr>
          <w:rFonts w:eastAsia="DengXian" w:cs="Times New Roman"/>
          <w:noProof/>
          <w:lang w:eastAsia="zh-CN"/>
        </w:rPr>
        <w:t xml:space="preserve">, </w:t>
      </w:r>
      <w:r w:rsidRPr="002414E9">
        <w:rPr>
          <w:rFonts w:eastAsia="DengXian" w:cs="Times New Roman"/>
          <w:i/>
          <w:iCs/>
          <w:noProof/>
          <w:lang w:eastAsia="zh-CN"/>
        </w:rPr>
        <w:t>38</w:t>
      </w:r>
      <w:r w:rsidRPr="002414E9">
        <w:rPr>
          <w:rFonts w:eastAsia="DengXian" w:cs="Times New Roman"/>
          <w:noProof/>
          <w:lang w:eastAsia="zh-CN"/>
        </w:rPr>
        <w:t>(3), 207–222. https://doi.org/10.1007/s10824-013-9206-x</w:t>
      </w:r>
    </w:p>
    <w:p w14:paraId="2C458844" w14:textId="69F90F0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Chamberlin, J. R. (1978). The logic of collective action: Some experimental results. </w:t>
      </w:r>
      <w:r w:rsidRPr="002414E9">
        <w:rPr>
          <w:rFonts w:eastAsia="DengXian" w:cs="Times New Roman"/>
          <w:i/>
          <w:iCs/>
          <w:noProof/>
          <w:lang w:eastAsia="zh-CN"/>
        </w:rPr>
        <w:t>Behavioral Science</w:t>
      </w:r>
      <w:r w:rsidRPr="002414E9">
        <w:rPr>
          <w:rFonts w:eastAsia="DengXian" w:cs="Times New Roman"/>
          <w:noProof/>
          <w:lang w:eastAsia="zh-CN"/>
        </w:rPr>
        <w:t xml:space="preserve">, </w:t>
      </w:r>
      <w:r w:rsidRPr="002414E9">
        <w:rPr>
          <w:rFonts w:eastAsia="DengXian" w:cs="Times New Roman"/>
          <w:i/>
          <w:iCs/>
          <w:noProof/>
          <w:lang w:eastAsia="zh-CN"/>
        </w:rPr>
        <w:t>23</w:t>
      </w:r>
      <w:r w:rsidRPr="002414E9">
        <w:rPr>
          <w:rFonts w:eastAsia="DengXian" w:cs="Times New Roman"/>
          <w:noProof/>
          <w:lang w:eastAsia="zh-CN"/>
        </w:rPr>
        <w:t>(5), 441–445. https://doi.org/10.1002/bs.3830230505</w:t>
      </w:r>
    </w:p>
    <w:p w14:paraId="02895087" w14:textId="12C3186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Chan, K. S., Godby, R., Mestelman, S., &amp; Andrew Muller, R. (2002). Crowding-out voluntary contributions to public goods.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48</w:t>
      </w:r>
      <w:r w:rsidRPr="002414E9">
        <w:rPr>
          <w:rFonts w:eastAsia="DengXian" w:cs="Times New Roman"/>
          <w:noProof/>
          <w:lang w:eastAsia="zh-CN"/>
        </w:rPr>
        <w:t>(3), 305–317. https://doi.org/10.1016/S0167-2681(01)00232-3</w:t>
      </w:r>
    </w:p>
    <w:p w14:paraId="692550A6" w14:textId="618AEC9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Chan, K. S., Mestelman, S., Muller, R. A., &amp; Moir, R. (2012). Communication, equity and the voluntary provision of a public good by heterogeneous groups. </w:t>
      </w:r>
      <w:r w:rsidRPr="002414E9">
        <w:rPr>
          <w:rFonts w:eastAsia="DengXian" w:cs="Times New Roman"/>
          <w:i/>
          <w:iCs/>
          <w:noProof/>
          <w:lang w:eastAsia="zh-CN"/>
        </w:rPr>
        <w:t>The Journal of Socio-Economics</w:t>
      </w:r>
      <w:r w:rsidRPr="002414E9">
        <w:rPr>
          <w:rFonts w:eastAsia="DengXian" w:cs="Times New Roman"/>
          <w:noProof/>
          <w:lang w:eastAsia="zh-CN"/>
        </w:rPr>
        <w:t xml:space="preserve">, </w:t>
      </w:r>
      <w:r w:rsidRPr="002414E9">
        <w:rPr>
          <w:rFonts w:eastAsia="DengXian" w:cs="Times New Roman"/>
          <w:i/>
          <w:iCs/>
          <w:noProof/>
          <w:lang w:eastAsia="zh-CN"/>
        </w:rPr>
        <w:t>41</w:t>
      </w:r>
      <w:r w:rsidRPr="002414E9">
        <w:rPr>
          <w:rFonts w:eastAsia="DengXian" w:cs="Times New Roman"/>
          <w:noProof/>
          <w:lang w:eastAsia="zh-CN"/>
        </w:rPr>
        <w:t>(1), 87–94. https://doi.org/10.1016/j.socec.2011.10.012</w:t>
      </w:r>
    </w:p>
    <w:p w14:paraId="5793EB43" w14:textId="29A4701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Chapman, J. G. (1991). The impact of socially projected group composition on behavior in a commons dilemma: A self-attention perspective. </w:t>
      </w:r>
      <w:r w:rsidRPr="002414E9">
        <w:rPr>
          <w:rFonts w:eastAsia="DengXian" w:cs="Times New Roman"/>
          <w:i/>
          <w:iCs/>
          <w:noProof/>
          <w:lang w:eastAsia="zh-CN"/>
        </w:rPr>
        <w:t>Current Psychology</w:t>
      </w:r>
      <w:r w:rsidRPr="002414E9">
        <w:rPr>
          <w:rFonts w:eastAsia="DengXian" w:cs="Times New Roman"/>
          <w:noProof/>
          <w:lang w:eastAsia="zh-CN"/>
        </w:rPr>
        <w:t xml:space="preserve">, </w:t>
      </w:r>
      <w:r w:rsidRPr="002414E9">
        <w:rPr>
          <w:rFonts w:eastAsia="DengXian" w:cs="Times New Roman"/>
          <w:i/>
          <w:iCs/>
          <w:noProof/>
          <w:lang w:eastAsia="zh-CN"/>
        </w:rPr>
        <w:t>10</w:t>
      </w:r>
      <w:r w:rsidRPr="002414E9">
        <w:rPr>
          <w:rFonts w:eastAsia="DengXian" w:cs="Times New Roman"/>
          <w:noProof/>
          <w:lang w:eastAsia="zh-CN"/>
        </w:rPr>
        <w:t>(3), 183–198. https://doi.org/10.1007/BF02686774</w:t>
      </w:r>
    </w:p>
    <w:p w14:paraId="60B545F3" w14:textId="246E1F5E" w:rsidR="002414E9" w:rsidRPr="002414E9" w:rsidRDefault="002414E9" w:rsidP="002414E9">
      <w:pPr>
        <w:widowControl w:val="0"/>
        <w:autoSpaceDE w:val="0"/>
        <w:autoSpaceDN w:val="0"/>
        <w:adjustRightInd w:val="0"/>
        <w:ind w:left="709" w:hanging="709"/>
        <w:rPr>
          <w:rFonts w:eastAsia="DengXian" w:cs="Times New Roman"/>
          <w:noProof/>
          <w:lang w:eastAsia="zh-CN"/>
        </w:rPr>
      </w:pPr>
      <w:bookmarkStart w:id="50" w:name="_Hlk74301163"/>
      <w:r w:rsidRPr="002414E9">
        <w:rPr>
          <w:rFonts w:eastAsia="DengXian" w:cs="Times New Roman"/>
          <w:noProof/>
          <w:lang w:eastAsia="zh-CN"/>
        </w:rPr>
        <w:lastRenderedPageBreak/>
        <w:t xml:space="preserve">Charlton, S. R. (2006). </w:t>
      </w:r>
      <w:r w:rsidRPr="002414E9">
        <w:rPr>
          <w:rFonts w:eastAsia="DengXian" w:cs="Times New Roman"/>
          <w:i/>
          <w:iCs/>
          <w:noProof/>
          <w:lang w:eastAsia="zh-CN"/>
        </w:rPr>
        <w:t>The relationship between behavioral measures of self-control: Temporal discounting and the single-player iterated prisoner's dilemma</w:t>
      </w:r>
      <w:r w:rsidRPr="002414E9">
        <w:rPr>
          <w:rFonts w:eastAsia="DengXian" w:cs="Times New Roman"/>
          <w:noProof/>
          <w:lang w:eastAsia="zh-CN"/>
        </w:rPr>
        <w:t xml:space="preserve"> [Doctoral dissertation, University of California, San Diego]. UC San Diego Electronic Theses and Dissertations. https://escholarship.org/content/qt91n6f0vf/qt91n6f0vf.pdf</w:t>
      </w:r>
    </w:p>
    <w:bookmarkEnd w:id="50"/>
    <w:p w14:paraId="0C3E8FF3" w14:textId="2FB6254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Charness, G., &amp; Rustichini, A. (2011). Gender differences in cooperation with group membership. </w:t>
      </w:r>
      <w:r w:rsidRPr="002414E9">
        <w:rPr>
          <w:rFonts w:eastAsia="DengXian" w:cs="Times New Roman"/>
          <w:i/>
          <w:iCs/>
          <w:noProof/>
          <w:lang w:eastAsia="zh-CN"/>
        </w:rPr>
        <w:t>Games and Economic Behavior</w:t>
      </w:r>
      <w:r w:rsidRPr="002414E9">
        <w:rPr>
          <w:rFonts w:eastAsia="DengXian" w:cs="Times New Roman"/>
          <w:noProof/>
          <w:lang w:eastAsia="zh-CN"/>
        </w:rPr>
        <w:t xml:space="preserve">, </w:t>
      </w:r>
      <w:r w:rsidRPr="002414E9">
        <w:rPr>
          <w:rFonts w:eastAsia="DengXian" w:cs="Times New Roman"/>
          <w:i/>
          <w:iCs/>
          <w:noProof/>
          <w:lang w:eastAsia="zh-CN"/>
        </w:rPr>
        <w:t>72</w:t>
      </w:r>
      <w:r w:rsidRPr="002414E9">
        <w:rPr>
          <w:rFonts w:eastAsia="DengXian" w:cs="Times New Roman"/>
          <w:noProof/>
          <w:lang w:eastAsia="zh-CN"/>
        </w:rPr>
        <w:t>(1), 77–85. https://doi.org/10.1016/j.geb.2010.07.006</w:t>
      </w:r>
    </w:p>
    <w:p w14:paraId="57251300" w14:textId="79C0DD3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Charness, G., &amp; Yang, C.-L. (2014). Starting small toward voluntary formation of efficient large groups in public goods provision.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102</w:t>
      </w:r>
      <w:r w:rsidRPr="002414E9">
        <w:rPr>
          <w:rFonts w:eastAsia="DengXian" w:cs="Times New Roman"/>
          <w:noProof/>
          <w:lang w:eastAsia="zh-CN"/>
        </w:rPr>
        <w:t>, 119–132. https://doi.org/10.1016/j.jebo.2014.03.005</w:t>
      </w:r>
    </w:p>
    <w:p w14:paraId="4456C9E8" w14:textId="76F4AC8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Charness, G., Cobo-Reyes, R., &amp; Jiménez, N. (2014). Identities, selection, and contributions in a public-goods game. </w:t>
      </w:r>
      <w:r w:rsidRPr="002414E9">
        <w:rPr>
          <w:rFonts w:eastAsia="DengXian" w:cs="Times New Roman"/>
          <w:i/>
          <w:iCs/>
          <w:noProof/>
          <w:lang w:eastAsia="zh-CN"/>
        </w:rPr>
        <w:t>Games and Economic Behavior</w:t>
      </w:r>
      <w:r w:rsidRPr="002414E9">
        <w:rPr>
          <w:rFonts w:eastAsia="DengXian" w:cs="Times New Roman"/>
          <w:noProof/>
          <w:lang w:eastAsia="zh-CN"/>
        </w:rPr>
        <w:t xml:space="preserve">, </w:t>
      </w:r>
      <w:r w:rsidRPr="002414E9">
        <w:rPr>
          <w:rFonts w:eastAsia="DengXian" w:cs="Times New Roman"/>
          <w:i/>
          <w:iCs/>
          <w:noProof/>
          <w:lang w:eastAsia="zh-CN"/>
        </w:rPr>
        <w:t>87</w:t>
      </w:r>
      <w:r w:rsidRPr="002414E9">
        <w:rPr>
          <w:rFonts w:eastAsia="DengXian" w:cs="Times New Roman"/>
          <w:noProof/>
          <w:lang w:eastAsia="zh-CN"/>
        </w:rPr>
        <w:t>, 322–338. https://doi.org/10.1016/j.geb.2014.05.002</w:t>
      </w:r>
    </w:p>
    <w:p w14:paraId="508C9A21" w14:textId="238B8D9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fr-FR" w:eastAsia="zh-CN"/>
        </w:rPr>
        <w:t xml:space="preserve">Charness, G., Fréchette, G. R., &amp; Qin, C.-Z. (2007). </w:t>
      </w:r>
      <w:r w:rsidRPr="002414E9">
        <w:rPr>
          <w:rFonts w:eastAsia="DengXian" w:cs="Times New Roman"/>
          <w:noProof/>
          <w:lang w:eastAsia="zh-CN"/>
        </w:rPr>
        <w:t xml:space="preserve">Endogenous transfers in the Prisoner’s Dilemma game: An experimental test of cooperation and coordination. </w:t>
      </w:r>
      <w:r w:rsidRPr="002414E9">
        <w:rPr>
          <w:rFonts w:eastAsia="DengXian" w:cs="Times New Roman"/>
          <w:i/>
          <w:iCs/>
          <w:noProof/>
          <w:lang w:eastAsia="zh-CN"/>
        </w:rPr>
        <w:t>Games and Economic Behavior</w:t>
      </w:r>
      <w:r w:rsidRPr="002414E9">
        <w:rPr>
          <w:rFonts w:eastAsia="DengXian" w:cs="Times New Roman"/>
          <w:noProof/>
          <w:lang w:eastAsia="zh-CN"/>
        </w:rPr>
        <w:t xml:space="preserve">, </w:t>
      </w:r>
      <w:r w:rsidRPr="002414E9">
        <w:rPr>
          <w:rFonts w:eastAsia="DengXian" w:cs="Times New Roman"/>
          <w:i/>
          <w:iCs/>
          <w:noProof/>
          <w:lang w:eastAsia="zh-CN"/>
        </w:rPr>
        <w:t>60</w:t>
      </w:r>
      <w:r w:rsidRPr="002414E9">
        <w:rPr>
          <w:rFonts w:eastAsia="DengXian" w:cs="Times New Roman"/>
          <w:noProof/>
          <w:lang w:eastAsia="zh-CN"/>
        </w:rPr>
        <w:t>(2), 287–306. https://doi.org/10.1016/j.geb.2006.10.010</w:t>
      </w:r>
    </w:p>
    <w:p w14:paraId="3D01BD74" w14:textId="3BC3858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Charness, G., Rigotti, L., &amp; Rustichini, A. (2016). </w:t>
      </w:r>
      <w:r w:rsidRPr="002414E9">
        <w:rPr>
          <w:rFonts w:eastAsia="DengXian" w:cs="Times New Roman"/>
          <w:noProof/>
          <w:lang w:eastAsia="zh-CN"/>
        </w:rPr>
        <w:t xml:space="preserve">Social surplus determines cooperation rates in the one-shot Prisoner’s Dilemma. </w:t>
      </w:r>
      <w:r w:rsidRPr="002414E9">
        <w:rPr>
          <w:rFonts w:eastAsia="DengXian" w:cs="Times New Roman"/>
          <w:i/>
          <w:iCs/>
          <w:noProof/>
          <w:lang w:eastAsia="zh-CN"/>
        </w:rPr>
        <w:t>Games and Economic Behavior</w:t>
      </w:r>
      <w:r w:rsidRPr="002414E9">
        <w:rPr>
          <w:rFonts w:eastAsia="DengXian" w:cs="Times New Roman"/>
          <w:noProof/>
          <w:lang w:eastAsia="zh-CN"/>
        </w:rPr>
        <w:t xml:space="preserve">, </w:t>
      </w:r>
      <w:r w:rsidRPr="002414E9">
        <w:rPr>
          <w:rFonts w:eastAsia="DengXian" w:cs="Times New Roman"/>
          <w:i/>
          <w:iCs/>
          <w:noProof/>
          <w:lang w:eastAsia="zh-CN"/>
        </w:rPr>
        <w:t>100</w:t>
      </w:r>
      <w:r w:rsidRPr="002414E9">
        <w:rPr>
          <w:rFonts w:eastAsia="DengXian" w:cs="Times New Roman"/>
          <w:noProof/>
          <w:lang w:eastAsia="zh-CN"/>
        </w:rPr>
        <w:t>, 113–124. https://doi.org/10.1016/j.geb.2016.08.010</w:t>
      </w:r>
    </w:p>
    <w:p w14:paraId="06CDE057" w14:textId="56E6D50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Chater, N., Vlaev, I., &amp; Grinberg, M. (2008). </w:t>
      </w:r>
      <w:r w:rsidRPr="002414E9">
        <w:rPr>
          <w:rFonts w:eastAsia="DengXian" w:cs="Times New Roman"/>
          <w:noProof/>
          <w:lang w:eastAsia="zh-CN"/>
        </w:rPr>
        <w:t xml:space="preserve">A new consequence of Simpson’s paradox: Stable cooperation in one-shot prisoner’s dilemma from populations of individualistic learners. </w:t>
      </w:r>
      <w:r w:rsidRPr="002414E9">
        <w:rPr>
          <w:rFonts w:eastAsia="DengXian" w:cs="Times New Roman"/>
          <w:i/>
          <w:iCs/>
          <w:noProof/>
          <w:lang w:eastAsia="zh-CN"/>
        </w:rPr>
        <w:t>Journal of Experimental Psychology: General</w:t>
      </w:r>
      <w:r w:rsidRPr="002414E9">
        <w:rPr>
          <w:rFonts w:eastAsia="DengXian" w:cs="Times New Roman"/>
          <w:noProof/>
          <w:lang w:eastAsia="zh-CN"/>
        </w:rPr>
        <w:t xml:space="preserve">, </w:t>
      </w:r>
      <w:r w:rsidRPr="002414E9">
        <w:rPr>
          <w:rFonts w:eastAsia="DengXian" w:cs="Times New Roman"/>
          <w:i/>
          <w:iCs/>
          <w:noProof/>
          <w:lang w:eastAsia="zh-CN"/>
        </w:rPr>
        <w:t>137</w:t>
      </w:r>
      <w:r w:rsidRPr="002414E9">
        <w:rPr>
          <w:rFonts w:eastAsia="DengXian" w:cs="Times New Roman"/>
          <w:noProof/>
          <w:lang w:eastAsia="zh-CN"/>
        </w:rPr>
        <w:t>(3), 403–421. https://doi.org/10.1037/0096-3445.137.3.403</w:t>
      </w:r>
    </w:p>
    <w:p w14:paraId="38C1FFBA" w14:textId="708640F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lastRenderedPageBreak/>
        <w:t xml:space="preserve">Chaudhuri, A., Graziano, S., &amp; Maitra, P. (2006). </w:t>
      </w:r>
      <w:r w:rsidRPr="002414E9">
        <w:rPr>
          <w:rFonts w:eastAsia="DengXian" w:cs="Times New Roman"/>
          <w:noProof/>
          <w:lang w:eastAsia="zh-CN"/>
        </w:rPr>
        <w:t xml:space="preserve">Social learning and norms in a public goods experiment with inter-generational advice. </w:t>
      </w:r>
      <w:r w:rsidRPr="002414E9">
        <w:rPr>
          <w:rFonts w:eastAsia="DengXian" w:cs="Times New Roman"/>
          <w:i/>
          <w:iCs/>
          <w:noProof/>
          <w:lang w:eastAsia="zh-CN"/>
        </w:rPr>
        <w:t>The Review of Economic Studies</w:t>
      </w:r>
      <w:r w:rsidRPr="002414E9">
        <w:rPr>
          <w:rFonts w:eastAsia="DengXian" w:cs="Times New Roman"/>
          <w:noProof/>
          <w:lang w:eastAsia="zh-CN"/>
        </w:rPr>
        <w:t xml:space="preserve">, </w:t>
      </w:r>
      <w:r w:rsidRPr="002414E9">
        <w:rPr>
          <w:rFonts w:eastAsia="DengXian" w:cs="Times New Roman"/>
          <w:i/>
          <w:iCs/>
          <w:noProof/>
          <w:lang w:eastAsia="zh-CN"/>
        </w:rPr>
        <w:t>73</w:t>
      </w:r>
      <w:r w:rsidRPr="002414E9">
        <w:rPr>
          <w:rFonts w:eastAsia="DengXian" w:cs="Times New Roman"/>
          <w:noProof/>
          <w:lang w:eastAsia="zh-CN"/>
        </w:rPr>
        <w:t>(2), 357–380. https://doi.org/10.1111/j.1467-937X.2006.0379.x</w:t>
      </w:r>
    </w:p>
    <w:p w14:paraId="057C5FEF" w14:textId="6977D12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Chaudhuri, A., Sopher, B., &amp; Strand, P. (2002). Cooperation in social dilemmas, trust and reciprocity. </w:t>
      </w:r>
      <w:r w:rsidRPr="002414E9">
        <w:rPr>
          <w:rFonts w:eastAsia="DengXian" w:cs="Times New Roman"/>
          <w:i/>
          <w:iCs/>
          <w:noProof/>
          <w:lang w:eastAsia="zh-CN"/>
        </w:rPr>
        <w:t>Journal of Economic Psychology</w:t>
      </w:r>
      <w:r w:rsidRPr="002414E9">
        <w:rPr>
          <w:rFonts w:eastAsia="DengXian" w:cs="Times New Roman"/>
          <w:noProof/>
          <w:lang w:eastAsia="zh-CN"/>
        </w:rPr>
        <w:t xml:space="preserve">, </w:t>
      </w:r>
      <w:r w:rsidRPr="002414E9">
        <w:rPr>
          <w:rFonts w:eastAsia="DengXian" w:cs="Times New Roman"/>
          <w:i/>
          <w:iCs/>
          <w:noProof/>
          <w:lang w:eastAsia="zh-CN"/>
        </w:rPr>
        <w:t>23</w:t>
      </w:r>
      <w:r w:rsidRPr="002414E9">
        <w:rPr>
          <w:rFonts w:eastAsia="DengXian" w:cs="Times New Roman"/>
          <w:noProof/>
          <w:lang w:eastAsia="zh-CN"/>
        </w:rPr>
        <w:t>(2), 231–249. https://doi.org/10.1016/S0167-4870(02)00065-X</w:t>
      </w:r>
    </w:p>
    <w:p w14:paraId="0F7913BE" w14:textId="34A065B8" w:rsidR="002414E9" w:rsidRPr="002414E9" w:rsidRDefault="002414E9" w:rsidP="002414E9">
      <w:pPr>
        <w:widowControl w:val="0"/>
        <w:autoSpaceDE w:val="0"/>
        <w:autoSpaceDN w:val="0"/>
        <w:adjustRightInd w:val="0"/>
        <w:ind w:left="709" w:hanging="709"/>
        <w:rPr>
          <w:rFonts w:eastAsia="DengXian" w:cs="Times New Roman"/>
          <w:noProof/>
          <w:lang w:eastAsia="zh-CN"/>
        </w:rPr>
      </w:pPr>
      <w:bookmarkStart w:id="51" w:name="_Hlk73017315"/>
      <w:r w:rsidRPr="002414E9">
        <w:rPr>
          <w:rFonts w:eastAsia="DengXian" w:cs="Times New Roman"/>
          <w:noProof/>
          <w:lang w:eastAsia="zh-CN"/>
        </w:rPr>
        <w:t xml:space="preserve">Chen, L. (2008). </w:t>
      </w:r>
      <w:r w:rsidRPr="002414E9">
        <w:rPr>
          <w:rFonts w:eastAsia="DengXian" w:cs="Times New Roman"/>
          <w:i/>
          <w:iCs/>
          <w:noProof/>
          <w:lang w:eastAsia="zh-CN"/>
        </w:rPr>
        <w:t>Chengfa he shehui jiazhi quxiang dui gonggong wupin liangnan zhong renji xinren he hezuo xingwei de yingxiang</w:t>
      </w:r>
      <w:r w:rsidRPr="002414E9">
        <w:rPr>
          <w:rFonts w:eastAsia="DengXian" w:cs="Times New Roman"/>
          <w:noProof/>
          <w:lang w:eastAsia="zh-CN"/>
        </w:rPr>
        <w:t xml:space="preserve"> [An experiment study of the effects of sanction and social value orientation on trust and cooperation in public goods dilemmas] [Master's thesis, Xibei shifan daxue]. CNKI Theses and Dissertations Database.</w:t>
      </w:r>
      <w:bookmarkEnd w:id="51"/>
    </w:p>
    <w:p w14:paraId="32F7112D" w14:textId="086B0A6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Chen, S., &amp; Ma, J. (2010). Hezuo dongji yu xinren: Jiyu buquedingxing jianhua jizhi de yanjiu [Trust as a simplification mechanism in uncertain situations: A motivational explanation]. </w:t>
      </w:r>
      <w:r w:rsidRPr="002414E9">
        <w:rPr>
          <w:rFonts w:eastAsia="DengXian" w:cs="Times New Roman"/>
          <w:i/>
          <w:noProof/>
          <w:lang w:eastAsia="zh-CN"/>
        </w:rPr>
        <w:t>Chinese Journal of Applied Psychology, 16</w:t>
      </w:r>
      <w:r w:rsidRPr="002414E9">
        <w:rPr>
          <w:rFonts w:eastAsia="DengXian" w:cs="Times New Roman"/>
          <w:noProof/>
          <w:lang w:eastAsia="zh-CN"/>
        </w:rPr>
        <w:t>(3), 208–214.</w:t>
      </w:r>
    </w:p>
    <w:p w14:paraId="4B5ACB2E"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n-GB" w:eastAsia="zh-CN"/>
        </w:rPr>
        <w:t xml:space="preserve">Chen, X., &amp; Komorita, S. S. (1994). </w:t>
      </w:r>
      <w:r w:rsidRPr="002414E9">
        <w:rPr>
          <w:rFonts w:eastAsia="DengXian" w:cs="Times New Roman"/>
          <w:noProof/>
          <w:lang w:eastAsia="zh-CN"/>
        </w:rPr>
        <w:t xml:space="preserve">The effects of communication and commitment in a public goods social dilemma. </w:t>
      </w:r>
      <w:r w:rsidRPr="002414E9">
        <w:rPr>
          <w:rFonts w:eastAsia="DengXian" w:cs="Times New Roman"/>
          <w:i/>
          <w:iCs/>
          <w:noProof/>
          <w:lang w:eastAsia="zh-CN"/>
        </w:rPr>
        <w:t>Organizational Behavior and Human Decision Processes</w:t>
      </w:r>
      <w:r w:rsidRPr="002414E9">
        <w:rPr>
          <w:rFonts w:eastAsia="DengXian" w:cs="Times New Roman"/>
          <w:noProof/>
          <w:lang w:eastAsia="zh-CN"/>
        </w:rPr>
        <w:t xml:space="preserve">, </w:t>
      </w:r>
      <w:r w:rsidRPr="002414E9">
        <w:rPr>
          <w:rFonts w:eastAsia="DengXian" w:cs="Times New Roman"/>
          <w:i/>
          <w:iCs/>
          <w:noProof/>
          <w:lang w:eastAsia="zh-CN"/>
        </w:rPr>
        <w:t>60</w:t>
      </w:r>
      <w:r w:rsidRPr="002414E9">
        <w:rPr>
          <w:rFonts w:eastAsia="DengXian" w:cs="Times New Roman"/>
          <w:noProof/>
          <w:lang w:eastAsia="zh-CN"/>
        </w:rPr>
        <w:t>(3), 367–386. https://doi.org/10.1006/obhd.1994.1090</w:t>
      </w:r>
    </w:p>
    <w:p w14:paraId="753189C3" w14:textId="0D7BD57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Chen, X., Hackett, P. D., DeMarco, A. C., Feng, C., Stair, S., Haroon, E., ... &amp; Rilling, J. K. (2016). Effects of oxytocin and vasopressin on the neural response to unreciprocated cooperation within brain regions involved in stress and anxiety in men and women. </w:t>
      </w:r>
      <w:r w:rsidRPr="002414E9">
        <w:rPr>
          <w:rFonts w:eastAsia="DengXian" w:cs="Times New Roman"/>
          <w:i/>
          <w:iCs/>
          <w:noProof/>
          <w:lang w:eastAsia="zh-CN"/>
        </w:rPr>
        <w:t>Brain Imaging and Behavior</w:t>
      </w:r>
      <w:r w:rsidRPr="002414E9">
        <w:rPr>
          <w:rFonts w:eastAsia="DengXian" w:cs="Times New Roman"/>
          <w:noProof/>
          <w:lang w:eastAsia="zh-CN"/>
        </w:rPr>
        <w:t xml:space="preserve">, </w:t>
      </w:r>
      <w:r w:rsidRPr="002414E9">
        <w:rPr>
          <w:rFonts w:eastAsia="DengXian" w:cs="Times New Roman"/>
          <w:i/>
          <w:iCs/>
          <w:noProof/>
          <w:lang w:eastAsia="zh-CN"/>
        </w:rPr>
        <w:t>10</w:t>
      </w:r>
      <w:r w:rsidRPr="002414E9">
        <w:rPr>
          <w:rFonts w:eastAsia="DengXian" w:cs="Times New Roman"/>
          <w:noProof/>
          <w:lang w:eastAsia="zh-CN"/>
        </w:rPr>
        <w:t>(2), 581–593. https://doi.org/10.1007/s11682-015-9411-7</w:t>
      </w:r>
    </w:p>
    <w:p w14:paraId="087EE6D1" w14:textId="62B9C06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Chen, X.-P. (1996). The group-based binding pledge as a solution to public goods problems. </w:t>
      </w:r>
      <w:r w:rsidRPr="002414E9">
        <w:rPr>
          <w:rFonts w:eastAsia="DengXian" w:cs="Times New Roman"/>
          <w:i/>
          <w:iCs/>
          <w:noProof/>
          <w:lang w:eastAsia="zh-CN"/>
        </w:rPr>
        <w:t>Organizational Behavior and Human Decision Processes</w:t>
      </w:r>
      <w:r w:rsidRPr="002414E9">
        <w:rPr>
          <w:rFonts w:eastAsia="DengXian" w:cs="Times New Roman"/>
          <w:noProof/>
          <w:lang w:eastAsia="zh-CN"/>
        </w:rPr>
        <w:t xml:space="preserve">, </w:t>
      </w:r>
      <w:r w:rsidRPr="002414E9">
        <w:rPr>
          <w:rFonts w:eastAsia="DengXian" w:cs="Times New Roman"/>
          <w:i/>
          <w:iCs/>
          <w:noProof/>
          <w:lang w:eastAsia="zh-CN"/>
        </w:rPr>
        <w:t>66</w:t>
      </w:r>
      <w:r w:rsidRPr="002414E9">
        <w:rPr>
          <w:rFonts w:eastAsia="DengXian" w:cs="Times New Roman"/>
          <w:noProof/>
          <w:lang w:eastAsia="zh-CN"/>
        </w:rPr>
        <w:t>(2), 192–202. https://doi.org/10.1006/obhd.1996.0048</w:t>
      </w:r>
    </w:p>
    <w:p w14:paraId="0769A5D6" w14:textId="0B1603E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lastRenderedPageBreak/>
        <w:t xml:space="preserve">Chen, X.-P., Arzu Wasti, S., &amp; Triandis, H. C. (2007). </w:t>
      </w:r>
      <w:r w:rsidRPr="002414E9">
        <w:rPr>
          <w:rFonts w:eastAsia="DengXian" w:cs="Times New Roman"/>
          <w:noProof/>
          <w:lang w:eastAsia="zh-CN"/>
        </w:rPr>
        <w:t xml:space="preserve">When does group norm or group identity predict cooperation in a public goods dilemma? The moderating effects of idiocentrism and allocentrism. </w:t>
      </w:r>
      <w:r w:rsidRPr="002414E9">
        <w:rPr>
          <w:rFonts w:eastAsia="DengXian" w:cs="Times New Roman"/>
          <w:i/>
          <w:iCs/>
          <w:noProof/>
          <w:lang w:eastAsia="zh-CN"/>
        </w:rPr>
        <w:t>International Journal of Intercultural Relations</w:t>
      </w:r>
      <w:r w:rsidRPr="002414E9">
        <w:rPr>
          <w:rFonts w:eastAsia="DengXian" w:cs="Times New Roman"/>
          <w:noProof/>
          <w:lang w:eastAsia="zh-CN"/>
        </w:rPr>
        <w:t xml:space="preserve">, </w:t>
      </w:r>
      <w:r w:rsidRPr="002414E9">
        <w:rPr>
          <w:rFonts w:eastAsia="DengXian" w:cs="Times New Roman"/>
          <w:i/>
          <w:iCs/>
          <w:noProof/>
          <w:lang w:eastAsia="zh-CN"/>
        </w:rPr>
        <w:t>31</w:t>
      </w:r>
      <w:r w:rsidRPr="002414E9">
        <w:rPr>
          <w:rFonts w:eastAsia="DengXian" w:cs="Times New Roman"/>
          <w:noProof/>
          <w:lang w:eastAsia="zh-CN"/>
        </w:rPr>
        <w:t>(2), 259–276. https://doi.org/10.1016/j.ijintrel.2006.02.004</w:t>
      </w:r>
    </w:p>
    <w:p w14:paraId="7B0BC846" w14:textId="66A0BDB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Chen, X.-P., Au, W. T., &amp; Komorita, S. S. (1996). </w:t>
      </w:r>
      <w:r w:rsidRPr="002414E9">
        <w:rPr>
          <w:rFonts w:eastAsia="DengXian" w:cs="Times New Roman"/>
          <w:noProof/>
          <w:lang w:eastAsia="zh-CN"/>
        </w:rPr>
        <w:t xml:space="preserve">Sequential choice in a step-level public goods dilemma: The effects of criticality and uncertainty. </w:t>
      </w:r>
      <w:r w:rsidRPr="002414E9">
        <w:rPr>
          <w:rFonts w:eastAsia="DengXian" w:cs="Times New Roman"/>
          <w:i/>
          <w:iCs/>
          <w:noProof/>
          <w:lang w:eastAsia="zh-CN"/>
        </w:rPr>
        <w:t>Organizational Behavior and Human Decision Processes</w:t>
      </w:r>
      <w:r w:rsidRPr="002414E9">
        <w:rPr>
          <w:rFonts w:eastAsia="DengXian" w:cs="Times New Roman"/>
          <w:noProof/>
          <w:lang w:eastAsia="zh-CN"/>
        </w:rPr>
        <w:t xml:space="preserve">, </w:t>
      </w:r>
      <w:r w:rsidRPr="002414E9">
        <w:rPr>
          <w:rFonts w:eastAsia="DengXian" w:cs="Times New Roman"/>
          <w:i/>
          <w:iCs/>
          <w:noProof/>
          <w:lang w:eastAsia="zh-CN"/>
        </w:rPr>
        <w:t>65</w:t>
      </w:r>
      <w:r w:rsidRPr="002414E9">
        <w:rPr>
          <w:rFonts w:eastAsia="DengXian" w:cs="Times New Roman"/>
          <w:noProof/>
          <w:lang w:eastAsia="zh-CN"/>
        </w:rPr>
        <w:t>(1), 37–47. https://doi.org/10.1006/obhd.1996.0003</w:t>
      </w:r>
    </w:p>
    <w:p w14:paraId="0E0F14DA" w14:textId="3F9BC91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Chen, X.-P., Pillutla, M. M., &amp; Xin Yao. (2009). Unintended consequences of coperation inducing and maintaining mechanisms in public goods dilemmas: Sanctions and moral appeals. </w:t>
      </w:r>
      <w:r w:rsidRPr="002414E9">
        <w:rPr>
          <w:rFonts w:eastAsia="DengXian" w:cs="Times New Roman"/>
          <w:i/>
          <w:iCs/>
          <w:noProof/>
          <w:lang w:eastAsia="zh-CN"/>
        </w:rPr>
        <w:t>Group Processes &amp; Intergroup Relations</w:t>
      </w:r>
      <w:r w:rsidRPr="002414E9">
        <w:rPr>
          <w:rFonts w:eastAsia="DengXian" w:cs="Times New Roman"/>
          <w:noProof/>
          <w:lang w:eastAsia="zh-CN"/>
        </w:rPr>
        <w:t xml:space="preserve">, </w:t>
      </w:r>
      <w:r w:rsidRPr="002414E9">
        <w:rPr>
          <w:rFonts w:eastAsia="DengXian" w:cs="Times New Roman"/>
          <w:i/>
          <w:iCs/>
          <w:noProof/>
          <w:lang w:eastAsia="zh-CN"/>
        </w:rPr>
        <w:t>12</w:t>
      </w:r>
      <w:r w:rsidRPr="002414E9">
        <w:rPr>
          <w:rFonts w:eastAsia="DengXian" w:cs="Times New Roman"/>
          <w:noProof/>
          <w:lang w:eastAsia="zh-CN"/>
        </w:rPr>
        <w:t>(2), 241–255. https://doi.org/10.1177/1368430208098783</w:t>
      </w:r>
    </w:p>
    <w:p w14:paraId="739FA691" w14:textId="567D36A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Cherry, T. L., &amp; McEvoy, D. M. (2013). Enforcing compliance with environmental agreements in the absence of strong institutions: An experimental analysis. </w:t>
      </w:r>
      <w:r w:rsidRPr="002414E9">
        <w:rPr>
          <w:rFonts w:eastAsia="DengXian" w:cs="Times New Roman"/>
          <w:i/>
          <w:iCs/>
          <w:noProof/>
          <w:lang w:eastAsia="zh-CN"/>
        </w:rPr>
        <w:t>Environmental and Resource Economics</w:t>
      </w:r>
      <w:r w:rsidRPr="002414E9">
        <w:rPr>
          <w:rFonts w:eastAsia="DengXian" w:cs="Times New Roman"/>
          <w:noProof/>
          <w:lang w:eastAsia="zh-CN"/>
        </w:rPr>
        <w:t xml:space="preserve">, </w:t>
      </w:r>
      <w:r w:rsidRPr="002414E9">
        <w:rPr>
          <w:rFonts w:eastAsia="DengXian" w:cs="Times New Roman"/>
          <w:i/>
          <w:iCs/>
          <w:noProof/>
          <w:lang w:eastAsia="zh-CN"/>
        </w:rPr>
        <w:t>54</w:t>
      </w:r>
      <w:r w:rsidRPr="002414E9">
        <w:rPr>
          <w:rFonts w:eastAsia="DengXian" w:cs="Times New Roman"/>
          <w:noProof/>
          <w:lang w:eastAsia="zh-CN"/>
        </w:rPr>
        <w:t xml:space="preserve">(1), 63–77. </w:t>
      </w:r>
      <w:bookmarkStart w:id="52" w:name="_Hlk54117908"/>
      <w:r w:rsidRPr="002414E9">
        <w:rPr>
          <w:rFonts w:eastAsia="DengXian" w:cs="Times New Roman"/>
          <w:noProof/>
          <w:lang w:eastAsia="zh-CN"/>
        </w:rPr>
        <w:t>https://doi.org/</w:t>
      </w:r>
      <w:bookmarkEnd w:id="52"/>
      <w:r w:rsidRPr="002414E9">
        <w:rPr>
          <w:rFonts w:eastAsia="DengXian" w:cs="Times New Roman"/>
          <w:noProof/>
          <w:lang w:eastAsia="zh-CN"/>
        </w:rPr>
        <w:t>10.1007/s10640-012-9581-3</w:t>
      </w:r>
    </w:p>
    <w:p w14:paraId="4EC5EB6E" w14:textId="1CA6048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Cherry, T. L., Cotten, S. J., &amp; Kroll, S. (2013). Heterogeneity, coordination and the provision of best-shot public goods.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16</w:t>
      </w:r>
      <w:r w:rsidRPr="002414E9">
        <w:rPr>
          <w:rFonts w:eastAsia="DengXian" w:cs="Times New Roman"/>
          <w:noProof/>
          <w:lang w:eastAsia="zh-CN"/>
        </w:rPr>
        <w:t>(4), 497–510. https://doi.org/10.1007/s10683-012-9349-1</w:t>
      </w:r>
    </w:p>
    <w:p w14:paraId="19E5C463"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Cherry, T. L., Kroll, S., &amp; Shogren, J. F. (2005). The impact of endowment heterogeneity and origin on public good contributions: Evidence from the lab. </w:t>
      </w:r>
      <w:r w:rsidRPr="002414E9">
        <w:rPr>
          <w:rFonts w:eastAsia="DengXian" w:cs="Times New Roman"/>
          <w:i/>
          <w:iCs/>
          <w:noProof/>
          <w:lang w:eastAsia="zh-CN"/>
        </w:rPr>
        <w:t>Journal of Economic Behavior and Organization</w:t>
      </w:r>
      <w:r w:rsidRPr="002414E9">
        <w:rPr>
          <w:rFonts w:eastAsia="DengXian" w:cs="Times New Roman"/>
          <w:noProof/>
          <w:lang w:eastAsia="zh-CN"/>
        </w:rPr>
        <w:t xml:space="preserve">, </w:t>
      </w:r>
      <w:r w:rsidRPr="002414E9">
        <w:rPr>
          <w:rFonts w:eastAsia="DengXian" w:cs="Times New Roman"/>
          <w:i/>
          <w:iCs/>
          <w:noProof/>
          <w:lang w:eastAsia="zh-CN"/>
        </w:rPr>
        <w:t>57</w:t>
      </w:r>
      <w:r w:rsidRPr="002414E9">
        <w:rPr>
          <w:rFonts w:eastAsia="DengXian" w:cs="Times New Roman"/>
          <w:noProof/>
          <w:lang w:eastAsia="zh-CN"/>
        </w:rPr>
        <w:t>(3), 357–365. https://doi.org/10.1016/j.jebo.2003.11.010</w:t>
      </w:r>
    </w:p>
    <w:p w14:paraId="1EABD33F" w14:textId="3C710FA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Cherry, T. L., McEvoy, D. M., &amp; Sælen, H. (2017). Conditional cooperation and cultural worldviews. </w:t>
      </w:r>
      <w:r w:rsidRPr="002414E9">
        <w:rPr>
          <w:rFonts w:eastAsia="DengXian" w:cs="Times New Roman"/>
          <w:i/>
          <w:iCs/>
          <w:noProof/>
          <w:lang w:eastAsia="zh-CN"/>
        </w:rPr>
        <w:t>Economics Letters</w:t>
      </w:r>
      <w:r w:rsidRPr="002414E9">
        <w:rPr>
          <w:rFonts w:eastAsia="DengXian" w:cs="Times New Roman"/>
          <w:noProof/>
          <w:lang w:eastAsia="zh-CN"/>
        </w:rPr>
        <w:t xml:space="preserve">, </w:t>
      </w:r>
      <w:r w:rsidRPr="002414E9">
        <w:rPr>
          <w:rFonts w:eastAsia="DengXian" w:cs="Times New Roman"/>
          <w:i/>
          <w:iCs/>
          <w:noProof/>
          <w:lang w:eastAsia="zh-CN"/>
        </w:rPr>
        <w:t>158</w:t>
      </w:r>
      <w:r w:rsidRPr="002414E9">
        <w:rPr>
          <w:rFonts w:eastAsia="DengXian" w:cs="Times New Roman"/>
          <w:noProof/>
          <w:lang w:eastAsia="zh-CN"/>
        </w:rPr>
        <w:t>, 51–53. https://doi.org/10.1016/j.econlet.2017.06.034</w:t>
      </w:r>
    </w:p>
    <w:p w14:paraId="40D3E417" w14:textId="5EBC0CA3" w:rsidR="002414E9" w:rsidRPr="002414E9" w:rsidRDefault="002414E9" w:rsidP="002414E9">
      <w:pPr>
        <w:widowControl w:val="0"/>
        <w:autoSpaceDE w:val="0"/>
        <w:autoSpaceDN w:val="0"/>
        <w:adjustRightInd w:val="0"/>
        <w:ind w:left="709" w:hanging="709"/>
        <w:rPr>
          <w:rFonts w:eastAsia="DengXian" w:cs="Times New Roman"/>
          <w:noProof/>
          <w:lang w:val="fr-FR" w:eastAsia="zh-CN"/>
        </w:rPr>
      </w:pPr>
      <w:r w:rsidRPr="002414E9">
        <w:rPr>
          <w:rFonts w:eastAsia="DengXian" w:cs="Times New Roman"/>
          <w:noProof/>
          <w:lang w:eastAsia="zh-CN"/>
        </w:rPr>
        <w:lastRenderedPageBreak/>
        <w:t xml:space="preserve">Cheshire, C. (2007). Selective incentives and generalized information exchange. </w:t>
      </w:r>
      <w:r w:rsidRPr="002414E9">
        <w:rPr>
          <w:rFonts w:eastAsia="DengXian" w:cs="Times New Roman"/>
          <w:i/>
          <w:iCs/>
          <w:noProof/>
          <w:lang w:val="fr-FR" w:eastAsia="zh-CN"/>
        </w:rPr>
        <w:t>Social Psychology Quarterly</w:t>
      </w:r>
      <w:r w:rsidRPr="002414E9">
        <w:rPr>
          <w:rFonts w:eastAsia="DengXian" w:cs="Times New Roman"/>
          <w:noProof/>
          <w:lang w:val="fr-FR" w:eastAsia="zh-CN"/>
        </w:rPr>
        <w:t xml:space="preserve">, </w:t>
      </w:r>
      <w:r w:rsidRPr="002414E9">
        <w:rPr>
          <w:rFonts w:eastAsia="DengXian" w:cs="Times New Roman"/>
          <w:i/>
          <w:iCs/>
          <w:noProof/>
          <w:lang w:val="fr-FR" w:eastAsia="zh-CN"/>
        </w:rPr>
        <w:t>70</w:t>
      </w:r>
      <w:r w:rsidRPr="002414E9">
        <w:rPr>
          <w:rFonts w:eastAsia="DengXian" w:cs="Times New Roman"/>
          <w:noProof/>
          <w:lang w:val="fr-FR" w:eastAsia="zh-CN"/>
        </w:rPr>
        <w:t>(1), 82–100. https://doi.org/10.1177/019027250707000109</w:t>
      </w:r>
    </w:p>
    <w:p w14:paraId="4B6A61D0" w14:textId="012865F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Cheung, S. L. (2014). New insights into conditional cooperation and punishment from a strategy method experiment.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17</w:t>
      </w:r>
      <w:r w:rsidRPr="002414E9">
        <w:rPr>
          <w:rFonts w:eastAsia="DengXian" w:cs="Times New Roman"/>
          <w:noProof/>
          <w:lang w:eastAsia="zh-CN"/>
        </w:rPr>
        <w:t>(1), 129–153. https://doi.org/10.1007/s10683-013-9360-1</w:t>
      </w:r>
    </w:p>
    <w:p w14:paraId="4B373F54" w14:textId="75378BA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Chien, P. M., Ritchie, B. W., Shipway, R., &amp; Henderson, H. (2012). I am having a dilemma. </w:t>
      </w:r>
      <w:r w:rsidRPr="002414E9">
        <w:rPr>
          <w:rFonts w:eastAsia="DengXian" w:cs="Times New Roman"/>
          <w:i/>
          <w:iCs/>
          <w:noProof/>
          <w:lang w:eastAsia="zh-CN"/>
        </w:rPr>
        <w:t>Journal of Travel Research</w:t>
      </w:r>
      <w:r w:rsidRPr="002414E9">
        <w:rPr>
          <w:rFonts w:eastAsia="DengXian" w:cs="Times New Roman"/>
          <w:noProof/>
          <w:lang w:eastAsia="zh-CN"/>
        </w:rPr>
        <w:t xml:space="preserve">, </w:t>
      </w:r>
      <w:r w:rsidRPr="002414E9">
        <w:rPr>
          <w:rFonts w:eastAsia="DengXian" w:cs="Times New Roman"/>
          <w:i/>
          <w:iCs/>
          <w:noProof/>
          <w:lang w:eastAsia="zh-CN"/>
        </w:rPr>
        <w:t>51</w:t>
      </w:r>
      <w:r w:rsidRPr="002414E9">
        <w:rPr>
          <w:rFonts w:eastAsia="DengXian" w:cs="Times New Roman"/>
          <w:noProof/>
          <w:lang w:eastAsia="zh-CN"/>
        </w:rPr>
        <w:t>(4), 451–463. https://doi.org/10.1177/0047287511426336</w:t>
      </w:r>
    </w:p>
    <w:p w14:paraId="21856065" w14:textId="6EF5750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fr-FR" w:eastAsia="zh-CN"/>
        </w:rPr>
        <w:t xml:space="preserve">Choi, J.-K., &amp; Ahn, T. K. (2013). </w:t>
      </w:r>
      <w:r w:rsidRPr="002414E9">
        <w:rPr>
          <w:rFonts w:eastAsia="DengXian" w:cs="Times New Roman"/>
          <w:noProof/>
          <w:lang w:eastAsia="zh-CN"/>
        </w:rPr>
        <w:t xml:space="preserve">Strategic reward and altruistic punishment support cooperation in a public goods game experiment. </w:t>
      </w:r>
      <w:r w:rsidRPr="002414E9">
        <w:rPr>
          <w:rFonts w:eastAsia="DengXian" w:cs="Times New Roman"/>
          <w:i/>
          <w:iCs/>
          <w:noProof/>
          <w:lang w:eastAsia="zh-CN"/>
        </w:rPr>
        <w:t>Journal of Economic Psychology</w:t>
      </w:r>
      <w:r w:rsidRPr="002414E9">
        <w:rPr>
          <w:rFonts w:eastAsia="DengXian" w:cs="Times New Roman"/>
          <w:noProof/>
          <w:lang w:eastAsia="zh-CN"/>
        </w:rPr>
        <w:t xml:space="preserve">, </w:t>
      </w:r>
      <w:r w:rsidRPr="002414E9">
        <w:rPr>
          <w:rFonts w:eastAsia="DengXian" w:cs="Times New Roman"/>
          <w:i/>
          <w:iCs/>
          <w:noProof/>
          <w:lang w:eastAsia="zh-CN"/>
        </w:rPr>
        <w:t>35</w:t>
      </w:r>
      <w:r w:rsidRPr="002414E9">
        <w:rPr>
          <w:rFonts w:eastAsia="DengXian" w:cs="Times New Roman"/>
          <w:noProof/>
          <w:lang w:eastAsia="zh-CN"/>
        </w:rPr>
        <w:t>, 17–30. https://doi.org/10.1016/j.joep.2013.01.001</w:t>
      </w:r>
    </w:p>
    <w:p w14:paraId="01CE274D" w14:textId="5996CAE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Chuah, S.-H., Hoffmann, R., Ramasamy, B., &amp; Tan, J. H. W. (2014). Religion, ethnicity and cooperation: An experimental study. </w:t>
      </w:r>
      <w:r w:rsidRPr="002414E9">
        <w:rPr>
          <w:rFonts w:eastAsia="DengXian" w:cs="Times New Roman"/>
          <w:i/>
          <w:iCs/>
          <w:noProof/>
          <w:lang w:eastAsia="zh-CN"/>
        </w:rPr>
        <w:t>Journal of Economic Psychology</w:t>
      </w:r>
      <w:r w:rsidRPr="002414E9">
        <w:rPr>
          <w:rFonts w:eastAsia="DengXian" w:cs="Times New Roman"/>
          <w:noProof/>
          <w:lang w:eastAsia="zh-CN"/>
        </w:rPr>
        <w:t xml:space="preserve">, </w:t>
      </w:r>
      <w:r w:rsidRPr="002414E9">
        <w:rPr>
          <w:rFonts w:eastAsia="DengXian" w:cs="Times New Roman"/>
          <w:i/>
          <w:iCs/>
          <w:noProof/>
          <w:lang w:eastAsia="zh-CN"/>
        </w:rPr>
        <w:t>45</w:t>
      </w:r>
      <w:r w:rsidRPr="002414E9">
        <w:rPr>
          <w:rFonts w:eastAsia="DengXian" w:cs="Times New Roman"/>
          <w:noProof/>
          <w:lang w:eastAsia="zh-CN"/>
        </w:rPr>
        <w:t>, 33–43. https://doi.org/10.1016/j.joep.2014.07.002</w:t>
      </w:r>
    </w:p>
    <w:p w14:paraId="5CC677A8" w14:textId="02945420" w:rsidR="002414E9" w:rsidRPr="002414E9" w:rsidRDefault="002414E9" w:rsidP="002414E9">
      <w:pPr>
        <w:widowControl w:val="0"/>
        <w:autoSpaceDE w:val="0"/>
        <w:autoSpaceDN w:val="0"/>
        <w:adjustRightInd w:val="0"/>
        <w:ind w:left="709" w:hanging="709"/>
        <w:rPr>
          <w:rFonts w:eastAsia="DengXian" w:cs="Times New Roman"/>
          <w:noProof/>
          <w:lang w:val="fr-FR" w:eastAsia="zh-CN"/>
        </w:rPr>
      </w:pPr>
      <w:r w:rsidRPr="002414E9">
        <w:rPr>
          <w:rFonts w:eastAsia="DengXian" w:cs="Times New Roman"/>
          <w:noProof/>
          <w:lang w:val="it-IT" w:eastAsia="zh-CN"/>
        </w:rPr>
        <w:t xml:space="preserve">Ciardo, F., Ricciardelli, P., Lugli, L., Rubichi, S., &amp; Iani, C. (2015). </w:t>
      </w:r>
      <w:r w:rsidRPr="002414E9">
        <w:rPr>
          <w:rFonts w:eastAsia="DengXian" w:cs="Times New Roman"/>
          <w:noProof/>
          <w:lang w:eastAsia="zh-CN"/>
        </w:rPr>
        <w:t xml:space="preserve">Eyes keep watch over you! Competition enhances joint attention in females. </w:t>
      </w:r>
      <w:r w:rsidRPr="002414E9">
        <w:rPr>
          <w:rFonts w:eastAsia="DengXian" w:cs="Times New Roman"/>
          <w:i/>
          <w:iCs/>
          <w:noProof/>
          <w:lang w:val="fr-FR" w:eastAsia="zh-CN"/>
        </w:rPr>
        <w:t>Acta Psychologica</w:t>
      </w:r>
      <w:r w:rsidRPr="002414E9">
        <w:rPr>
          <w:rFonts w:eastAsia="DengXian" w:cs="Times New Roman"/>
          <w:noProof/>
          <w:lang w:val="fr-FR" w:eastAsia="zh-CN"/>
        </w:rPr>
        <w:t xml:space="preserve">, </w:t>
      </w:r>
      <w:r w:rsidRPr="002414E9">
        <w:rPr>
          <w:rFonts w:eastAsia="DengXian" w:cs="Times New Roman"/>
          <w:i/>
          <w:iCs/>
          <w:noProof/>
          <w:lang w:val="fr-FR" w:eastAsia="zh-CN"/>
        </w:rPr>
        <w:t>160</w:t>
      </w:r>
      <w:r w:rsidRPr="002414E9">
        <w:rPr>
          <w:rFonts w:eastAsia="DengXian" w:cs="Times New Roman"/>
          <w:noProof/>
          <w:lang w:val="fr-FR" w:eastAsia="zh-CN"/>
        </w:rPr>
        <w:t>, 170–177. https://doi.org/10.1016/j.actpsy.2015.07.013</w:t>
      </w:r>
    </w:p>
    <w:p w14:paraId="44E95B33" w14:textId="0F6BFC96" w:rsidR="002414E9" w:rsidRPr="002414E9" w:rsidRDefault="002414E9" w:rsidP="002414E9">
      <w:pPr>
        <w:widowControl w:val="0"/>
        <w:autoSpaceDE w:val="0"/>
        <w:autoSpaceDN w:val="0"/>
        <w:adjustRightInd w:val="0"/>
        <w:ind w:left="709" w:hanging="709"/>
        <w:rPr>
          <w:rFonts w:eastAsia="DengXian" w:cs="Times New Roman"/>
          <w:noProof/>
          <w:lang w:val="it-IT" w:eastAsia="zh-CN"/>
        </w:rPr>
      </w:pPr>
      <w:r w:rsidRPr="002414E9">
        <w:rPr>
          <w:rFonts w:eastAsia="DengXian" w:cs="Times New Roman"/>
          <w:noProof/>
          <w:lang w:val="fr-FR" w:eastAsia="zh-CN"/>
        </w:rPr>
        <w:t xml:space="preserve">Cinyabuguma, M., Page, T., &amp; Putterman, L. (2006). </w:t>
      </w:r>
      <w:r w:rsidRPr="002414E9">
        <w:rPr>
          <w:rFonts w:eastAsia="DengXian" w:cs="Times New Roman"/>
          <w:noProof/>
          <w:lang w:eastAsia="zh-CN"/>
        </w:rPr>
        <w:t xml:space="preserve">Can second-order punishment deter perverse punishment? </w:t>
      </w:r>
      <w:r w:rsidRPr="002414E9">
        <w:rPr>
          <w:rFonts w:eastAsia="DengXian" w:cs="Times New Roman"/>
          <w:i/>
          <w:iCs/>
          <w:noProof/>
          <w:lang w:val="it-IT" w:eastAsia="zh-CN"/>
        </w:rPr>
        <w:t>Experimental Economics</w:t>
      </w:r>
      <w:r w:rsidRPr="002414E9">
        <w:rPr>
          <w:rFonts w:eastAsia="DengXian" w:cs="Times New Roman"/>
          <w:noProof/>
          <w:lang w:val="it-IT" w:eastAsia="zh-CN"/>
        </w:rPr>
        <w:t xml:space="preserve">, </w:t>
      </w:r>
      <w:r w:rsidRPr="002414E9">
        <w:rPr>
          <w:rFonts w:eastAsia="DengXian" w:cs="Times New Roman"/>
          <w:i/>
          <w:iCs/>
          <w:noProof/>
          <w:lang w:val="it-IT" w:eastAsia="zh-CN"/>
        </w:rPr>
        <w:t>9</w:t>
      </w:r>
      <w:r w:rsidRPr="002414E9">
        <w:rPr>
          <w:rFonts w:eastAsia="DengXian" w:cs="Times New Roman"/>
          <w:noProof/>
          <w:lang w:val="it-IT" w:eastAsia="zh-CN"/>
        </w:rPr>
        <w:t>(3), 265–279. https://doi.org/10.1007/s10683-006-9127-z</w:t>
      </w:r>
    </w:p>
    <w:p w14:paraId="475C84F9" w14:textId="3CC5B95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Cipriani, M., Giuliano, P., &amp; Jeanne, O. (2013). </w:t>
      </w:r>
      <w:r w:rsidRPr="002414E9">
        <w:rPr>
          <w:rFonts w:eastAsia="DengXian" w:cs="Times New Roman"/>
          <w:noProof/>
          <w:lang w:eastAsia="zh-CN"/>
        </w:rPr>
        <w:t xml:space="preserve">Like mother like son? Experimental evidence on the transmission of values from parents to children.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90</w:t>
      </w:r>
      <w:r w:rsidRPr="002414E9">
        <w:rPr>
          <w:rFonts w:eastAsia="DengXian" w:cs="Times New Roman"/>
          <w:noProof/>
          <w:lang w:eastAsia="zh-CN"/>
        </w:rPr>
        <w:t>, 100–111. https://doi.org/10.1016/j.jebo.2013.03.002</w:t>
      </w:r>
    </w:p>
    <w:p w14:paraId="43662F4E" w14:textId="086548C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Clark, B. C., Thorne, C. B., Hendricks, P. S., Sharp, C., Clark, S. K., &amp; Cropsey, K. L. (2015). </w:t>
      </w:r>
      <w:r w:rsidRPr="002414E9">
        <w:rPr>
          <w:rFonts w:eastAsia="DengXian" w:cs="Times New Roman"/>
          <w:noProof/>
          <w:lang w:eastAsia="zh-CN"/>
        </w:rPr>
        <w:lastRenderedPageBreak/>
        <w:t xml:space="preserve">Individuals in the criminal justice system show differences in cooperative behaviour: Implications from cooperative games. </w:t>
      </w:r>
      <w:r w:rsidRPr="002414E9">
        <w:rPr>
          <w:rFonts w:eastAsia="DengXian" w:cs="Times New Roman"/>
          <w:i/>
          <w:iCs/>
          <w:noProof/>
          <w:lang w:eastAsia="zh-CN"/>
        </w:rPr>
        <w:t>Criminal Behaviour and Mental Health</w:t>
      </w:r>
      <w:r w:rsidRPr="002414E9">
        <w:rPr>
          <w:rFonts w:eastAsia="DengXian" w:cs="Times New Roman"/>
          <w:noProof/>
          <w:lang w:eastAsia="zh-CN"/>
        </w:rPr>
        <w:t xml:space="preserve">, </w:t>
      </w:r>
      <w:r w:rsidRPr="002414E9">
        <w:rPr>
          <w:rFonts w:eastAsia="DengXian" w:cs="Times New Roman"/>
          <w:i/>
          <w:iCs/>
          <w:noProof/>
          <w:lang w:eastAsia="zh-CN"/>
        </w:rPr>
        <w:t>25</w:t>
      </w:r>
      <w:r w:rsidRPr="002414E9">
        <w:rPr>
          <w:rFonts w:eastAsia="DengXian" w:cs="Times New Roman"/>
          <w:noProof/>
          <w:lang w:eastAsia="zh-CN"/>
        </w:rPr>
        <w:t>(3), 169–180. https://doi.org/10.1002/cbm.1920</w:t>
      </w:r>
    </w:p>
    <w:p w14:paraId="42319DED" w14:textId="734EB01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Clark, C. B., Swails, J. A., Pontinen, H. M., Bowerman, S. E., Kriz, K. A., &amp; Hendricks, P. S. (2017). </w:t>
      </w:r>
      <w:r w:rsidRPr="002414E9">
        <w:rPr>
          <w:rFonts w:eastAsia="DengXian" w:cs="Times New Roman"/>
          <w:noProof/>
          <w:lang w:eastAsia="zh-CN"/>
        </w:rPr>
        <w:t xml:space="preserve">A behavioral economic assessment of individualizing versus binding moral foundations. </w:t>
      </w:r>
      <w:r w:rsidRPr="002414E9">
        <w:rPr>
          <w:rFonts w:eastAsia="DengXian" w:cs="Times New Roman"/>
          <w:i/>
          <w:iCs/>
          <w:noProof/>
          <w:lang w:eastAsia="zh-CN"/>
        </w:rPr>
        <w:t>Personality and Individual Differences</w:t>
      </w:r>
      <w:r w:rsidRPr="002414E9">
        <w:rPr>
          <w:rFonts w:eastAsia="DengXian" w:cs="Times New Roman"/>
          <w:noProof/>
          <w:lang w:eastAsia="zh-CN"/>
        </w:rPr>
        <w:t xml:space="preserve">, </w:t>
      </w:r>
      <w:r w:rsidRPr="002414E9">
        <w:rPr>
          <w:rFonts w:eastAsia="DengXian" w:cs="Times New Roman"/>
          <w:i/>
          <w:iCs/>
          <w:noProof/>
          <w:lang w:eastAsia="zh-CN"/>
        </w:rPr>
        <w:t>112</w:t>
      </w:r>
      <w:r w:rsidRPr="002414E9">
        <w:rPr>
          <w:rFonts w:eastAsia="DengXian" w:cs="Times New Roman"/>
          <w:noProof/>
          <w:lang w:eastAsia="zh-CN"/>
        </w:rPr>
        <w:t>, 49–54. https://doi.org/10.1016/j.paid.2017.02.052</w:t>
      </w:r>
    </w:p>
    <w:p w14:paraId="048457BB" w14:textId="2CC6153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Clark, J. (2002). House money effects in public good experiments.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5</w:t>
      </w:r>
      <w:r w:rsidRPr="002414E9">
        <w:rPr>
          <w:rFonts w:eastAsia="DengXian" w:cs="Times New Roman"/>
          <w:noProof/>
          <w:lang w:eastAsia="zh-CN"/>
        </w:rPr>
        <w:t>(3), 223–231. https://doi.org/10.1023/A:1020832203804</w:t>
      </w:r>
    </w:p>
    <w:p w14:paraId="6426511C" w14:textId="46295F2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Clark, K., &amp; Sefton, M. (2001). The sequential prisoner’s dilemma: Evidence on reciprocation. </w:t>
      </w:r>
      <w:r w:rsidRPr="002414E9">
        <w:rPr>
          <w:rFonts w:eastAsia="DengXian" w:cs="Times New Roman"/>
          <w:i/>
          <w:iCs/>
          <w:noProof/>
          <w:lang w:eastAsia="zh-CN"/>
        </w:rPr>
        <w:t>The Economic Journal</w:t>
      </w:r>
      <w:r w:rsidRPr="002414E9">
        <w:rPr>
          <w:rFonts w:eastAsia="DengXian" w:cs="Times New Roman"/>
          <w:noProof/>
          <w:lang w:eastAsia="zh-CN"/>
        </w:rPr>
        <w:t xml:space="preserve">, </w:t>
      </w:r>
      <w:r w:rsidRPr="002414E9">
        <w:rPr>
          <w:rFonts w:eastAsia="DengXian" w:cs="Times New Roman"/>
          <w:i/>
          <w:iCs/>
          <w:noProof/>
          <w:lang w:eastAsia="zh-CN"/>
        </w:rPr>
        <w:t>111</w:t>
      </w:r>
      <w:r w:rsidRPr="002414E9">
        <w:rPr>
          <w:rFonts w:eastAsia="DengXian" w:cs="Times New Roman"/>
          <w:noProof/>
          <w:lang w:eastAsia="zh-CN"/>
        </w:rPr>
        <w:t>(468), 51–68. https://doi.org/10.1111/1468-0297.00588</w:t>
      </w:r>
    </w:p>
    <w:p w14:paraId="2D029782" w14:textId="3C3482D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Clark, M. L. (1983). Effect of confederate's sex and status on competitive behavior of male and female college students. </w:t>
      </w:r>
      <w:r w:rsidRPr="002414E9">
        <w:rPr>
          <w:rFonts w:eastAsia="DengXian" w:cs="Times New Roman"/>
          <w:i/>
          <w:iCs/>
          <w:noProof/>
          <w:lang w:eastAsia="zh-CN"/>
        </w:rPr>
        <w:t>The Journal of Psychology</w:t>
      </w:r>
      <w:r w:rsidRPr="002414E9">
        <w:rPr>
          <w:rFonts w:eastAsia="DengXian" w:cs="Times New Roman"/>
          <w:noProof/>
          <w:lang w:eastAsia="zh-CN"/>
        </w:rPr>
        <w:t xml:space="preserve">, </w:t>
      </w:r>
      <w:r w:rsidRPr="002414E9">
        <w:rPr>
          <w:rFonts w:eastAsia="DengXian" w:cs="Times New Roman"/>
          <w:i/>
          <w:iCs/>
          <w:noProof/>
          <w:lang w:eastAsia="zh-CN"/>
        </w:rPr>
        <w:t>113</w:t>
      </w:r>
      <w:r w:rsidRPr="002414E9">
        <w:rPr>
          <w:rFonts w:eastAsia="DengXian" w:cs="Times New Roman"/>
          <w:noProof/>
          <w:lang w:eastAsia="zh-CN"/>
        </w:rPr>
        <w:t>(2), 191–198. https://doi.org/10.1080/00223980.1983.9923575</w:t>
      </w:r>
    </w:p>
    <w:p w14:paraId="2A4C20BB" w14:textId="458CF90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Cochard, F., Couprie, H., &amp; Hopfensitz, A. (2016). Do spouses cooperate? An experimental investigation. </w:t>
      </w:r>
      <w:r w:rsidRPr="002414E9">
        <w:rPr>
          <w:rFonts w:eastAsia="DengXian" w:cs="Times New Roman"/>
          <w:i/>
          <w:iCs/>
          <w:noProof/>
          <w:lang w:eastAsia="zh-CN"/>
        </w:rPr>
        <w:t>Review of Economics of the Household</w:t>
      </w:r>
      <w:r w:rsidRPr="002414E9">
        <w:rPr>
          <w:rFonts w:eastAsia="DengXian" w:cs="Times New Roman"/>
          <w:noProof/>
          <w:lang w:eastAsia="zh-CN"/>
        </w:rPr>
        <w:t xml:space="preserve">, </w:t>
      </w:r>
      <w:r w:rsidRPr="002414E9">
        <w:rPr>
          <w:rFonts w:eastAsia="DengXian" w:cs="Times New Roman"/>
          <w:i/>
          <w:iCs/>
          <w:noProof/>
          <w:lang w:eastAsia="zh-CN"/>
        </w:rPr>
        <w:t>14</w:t>
      </w:r>
      <w:r w:rsidRPr="002414E9">
        <w:rPr>
          <w:rFonts w:eastAsia="DengXian" w:cs="Times New Roman"/>
          <w:noProof/>
          <w:lang w:eastAsia="zh-CN"/>
        </w:rPr>
        <w:t>, 1–26. https://doi.org/10.1007/s11150-014-9276-3</w:t>
      </w:r>
    </w:p>
    <w:p w14:paraId="4590732F" w14:textId="4C3A69D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Coen, C. A. (2006). Seeking the comparative advantage: The dynamics of individual cooperation in single vs. multiple-team environments. </w:t>
      </w:r>
      <w:r w:rsidRPr="002414E9">
        <w:rPr>
          <w:rFonts w:eastAsia="DengXian" w:cs="Times New Roman"/>
          <w:i/>
          <w:iCs/>
          <w:noProof/>
          <w:lang w:eastAsia="zh-CN"/>
        </w:rPr>
        <w:t>Organizational Behavior and Human Decision Processes</w:t>
      </w:r>
      <w:r w:rsidRPr="002414E9">
        <w:rPr>
          <w:rFonts w:eastAsia="DengXian" w:cs="Times New Roman"/>
          <w:noProof/>
          <w:lang w:eastAsia="zh-CN"/>
        </w:rPr>
        <w:t xml:space="preserve">, </w:t>
      </w:r>
      <w:r w:rsidRPr="002414E9">
        <w:rPr>
          <w:rFonts w:eastAsia="DengXian" w:cs="Times New Roman"/>
          <w:i/>
          <w:iCs/>
          <w:noProof/>
          <w:lang w:eastAsia="zh-CN"/>
        </w:rPr>
        <w:t>100</w:t>
      </w:r>
      <w:r w:rsidRPr="002414E9">
        <w:rPr>
          <w:rFonts w:eastAsia="DengXian" w:cs="Times New Roman"/>
          <w:noProof/>
          <w:lang w:eastAsia="zh-CN"/>
        </w:rPr>
        <w:t>(2), 145–159. https://doi.org/10.1016/j.obhdp.2006.02.005</w:t>
      </w:r>
    </w:p>
    <w:p w14:paraId="77228FB3" w14:textId="21BB728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Colasante, A., &amp; Russo, A. (2017). Voting for the distribution rule in a Public Good Game with heterogeneous endowments. </w:t>
      </w:r>
      <w:r w:rsidRPr="002414E9">
        <w:rPr>
          <w:rFonts w:eastAsia="DengXian" w:cs="Times New Roman"/>
          <w:i/>
          <w:iCs/>
          <w:noProof/>
          <w:lang w:eastAsia="zh-CN"/>
        </w:rPr>
        <w:t>Journal of Economic Interaction and Coordination</w:t>
      </w:r>
      <w:r w:rsidRPr="002414E9">
        <w:rPr>
          <w:rFonts w:eastAsia="DengXian" w:cs="Times New Roman"/>
          <w:noProof/>
          <w:lang w:eastAsia="zh-CN"/>
        </w:rPr>
        <w:t xml:space="preserve">, </w:t>
      </w:r>
      <w:r w:rsidRPr="002414E9">
        <w:rPr>
          <w:rFonts w:eastAsia="DengXian" w:cs="Times New Roman"/>
          <w:i/>
          <w:iCs/>
          <w:noProof/>
          <w:lang w:eastAsia="zh-CN"/>
        </w:rPr>
        <w:t>12</w:t>
      </w:r>
      <w:r w:rsidRPr="002414E9">
        <w:rPr>
          <w:rFonts w:eastAsia="DengXian" w:cs="Times New Roman"/>
          <w:noProof/>
          <w:lang w:eastAsia="zh-CN"/>
        </w:rPr>
        <w:t>(3), 443–467. https://doi.org/10.1007/s11403-016-0172-1</w:t>
      </w:r>
    </w:p>
    <w:p w14:paraId="20E7F35B" w14:textId="7872B40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lastRenderedPageBreak/>
        <w:t xml:space="preserve">Columbus, S. (2013). </w:t>
      </w:r>
      <w:r w:rsidRPr="002414E9">
        <w:rPr>
          <w:rFonts w:eastAsia="DengXian" w:cs="Times New Roman"/>
          <w:i/>
          <w:iCs/>
          <w:noProof/>
          <w:lang w:eastAsia="zh-CN"/>
        </w:rPr>
        <w:t>Leadership in Altruistic Punishment and Reward</w:t>
      </w:r>
      <w:r w:rsidRPr="002414E9">
        <w:rPr>
          <w:rFonts w:eastAsia="DengXian" w:cs="Times New Roman"/>
          <w:noProof/>
          <w:lang w:eastAsia="zh-CN"/>
        </w:rPr>
        <w:t xml:space="preserve"> [Unpublished manuscript]. Graduate School of Psychology, University of Amsterdam.</w:t>
      </w:r>
    </w:p>
    <w:p w14:paraId="7CEF47A3" w14:textId="6372A08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Cooper, D. J., &amp; Stockman, C. K. (2002). Learning to punish: experimental evidence from a sequential step-level public goods game.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5</w:t>
      </w:r>
      <w:r w:rsidRPr="002414E9">
        <w:rPr>
          <w:rFonts w:eastAsia="DengXian" w:cs="Times New Roman"/>
          <w:noProof/>
          <w:lang w:eastAsia="zh-CN"/>
        </w:rPr>
        <w:t>, 39–51. https://doi.org/10.1023/A:1016364608108</w:t>
      </w:r>
    </w:p>
    <w:p w14:paraId="029C41CA" w14:textId="3F8454D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Corazzini, L., Cotton, C., &amp; Valbonesi, P. (2015). </w:t>
      </w:r>
      <w:r w:rsidRPr="002414E9">
        <w:rPr>
          <w:rFonts w:eastAsia="DengXian" w:cs="Times New Roman"/>
          <w:noProof/>
          <w:lang w:eastAsia="zh-CN"/>
        </w:rPr>
        <w:t xml:space="preserve">Donor coordination in project funding: Evidence from a threshold public goods experiment.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128</w:t>
      </w:r>
      <w:r w:rsidRPr="002414E9">
        <w:rPr>
          <w:rFonts w:eastAsia="DengXian" w:cs="Times New Roman"/>
          <w:noProof/>
          <w:lang w:eastAsia="zh-CN"/>
        </w:rPr>
        <w:t>, 16–29. https://doi.org/10.1016/j.jpubeco.2015.05.005</w:t>
      </w:r>
    </w:p>
    <w:p w14:paraId="3F948261" w14:textId="52B7D67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Corazzini, L., Faravelli, M., &amp; Stanca, L. (2010). </w:t>
      </w:r>
      <w:r w:rsidRPr="002414E9">
        <w:rPr>
          <w:rFonts w:eastAsia="DengXian" w:cs="Times New Roman"/>
          <w:noProof/>
          <w:lang w:eastAsia="zh-CN"/>
        </w:rPr>
        <w:t xml:space="preserve">A prize to give for: An experiment on public good funding mechanisms. </w:t>
      </w:r>
      <w:r w:rsidRPr="002414E9">
        <w:rPr>
          <w:rFonts w:eastAsia="DengXian" w:cs="Times New Roman"/>
          <w:i/>
          <w:iCs/>
          <w:noProof/>
          <w:lang w:eastAsia="zh-CN"/>
        </w:rPr>
        <w:t>The Economic Journal</w:t>
      </w:r>
      <w:r w:rsidRPr="002414E9">
        <w:rPr>
          <w:rFonts w:eastAsia="DengXian" w:cs="Times New Roman"/>
          <w:noProof/>
          <w:lang w:eastAsia="zh-CN"/>
        </w:rPr>
        <w:t xml:space="preserve">, </w:t>
      </w:r>
      <w:r w:rsidRPr="002414E9">
        <w:rPr>
          <w:rFonts w:eastAsia="DengXian" w:cs="Times New Roman"/>
          <w:i/>
          <w:iCs/>
          <w:noProof/>
          <w:lang w:eastAsia="zh-CN"/>
        </w:rPr>
        <w:t>120</w:t>
      </w:r>
      <w:r w:rsidRPr="002414E9">
        <w:rPr>
          <w:rFonts w:eastAsia="DengXian" w:cs="Times New Roman"/>
          <w:noProof/>
          <w:lang w:eastAsia="zh-CN"/>
        </w:rPr>
        <w:t>(547), 944–967. https://doi.org/10.1111/j.1468-0297.2009.02314.x</w:t>
      </w:r>
    </w:p>
    <w:p w14:paraId="3F5A8C39" w14:textId="71AB273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Coricelli, G., Fehr, D., &amp; Fellner, G. (2004). Partner selection in public goods experiments. </w:t>
      </w:r>
      <w:r w:rsidRPr="002414E9">
        <w:rPr>
          <w:rFonts w:eastAsia="DengXian" w:cs="Times New Roman"/>
          <w:i/>
          <w:iCs/>
          <w:noProof/>
          <w:lang w:eastAsia="zh-CN"/>
        </w:rPr>
        <w:t>Journal of Conflict Resolution</w:t>
      </w:r>
      <w:r w:rsidRPr="002414E9">
        <w:rPr>
          <w:rFonts w:eastAsia="DengXian" w:cs="Times New Roman"/>
          <w:noProof/>
          <w:lang w:eastAsia="zh-CN"/>
        </w:rPr>
        <w:t xml:space="preserve">, </w:t>
      </w:r>
      <w:r w:rsidRPr="002414E9">
        <w:rPr>
          <w:rFonts w:eastAsia="DengXian" w:cs="Times New Roman"/>
          <w:i/>
          <w:iCs/>
          <w:noProof/>
          <w:lang w:eastAsia="zh-CN"/>
        </w:rPr>
        <w:t>48</w:t>
      </w:r>
      <w:r w:rsidRPr="002414E9">
        <w:rPr>
          <w:rFonts w:eastAsia="DengXian" w:cs="Times New Roman"/>
          <w:noProof/>
          <w:lang w:eastAsia="zh-CN"/>
        </w:rPr>
        <w:t>(3), 356–378. https://doi.org/10.1177/0022002704264143</w:t>
      </w:r>
    </w:p>
    <w:p w14:paraId="0FC22E0B" w14:textId="4E0D15BE" w:rsidR="002414E9" w:rsidRPr="002414E9" w:rsidRDefault="002414E9" w:rsidP="002414E9">
      <w:pPr>
        <w:widowControl w:val="0"/>
        <w:autoSpaceDE w:val="0"/>
        <w:autoSpaceDN w:val="0"/>
        <w:adjustRightInd w:val="0"/>
        <w:ind w:left="709" w:hanging="709"/>
        <w:rPr>
          <w:rFonts w:eastAsia="DengXian" w:cs="Times New Roman"/>
          <w:noProof/>
          <w:lang w:val="nl-NL" w:eastAsia="zh-CN"/>
        </w:rPr>
      </w:pPr>
      <w:r w:rsidRPr="002414E9">
        <w:rPr>
          <w:rFonts w:eastAsia="DengXian" w:cs="Times New Roman"/>
          <w:noProof/>
          <w:lang w:eastAsia="zh-CN"/>
        </w:rPr>
        <w:t xml:space="preserve">Corr, P. J., Hargreaves Heap, S. P., Seger, C. R., &amp; Tsutsui, K. (2015). An experiment on individual ‘parochial altruism’ revealing no connection between individual ‘altruism’ and individual ‘parochialism.’ </w:t>
      </w:r>
      <w:r w:rsidRPr="002414E9">
        <w:rPr>
          <w:rFonts w:eastAsia="DengXian" w:cs="Times New Roman"/>
          <w:i/>
          <w:iCs/>
          <w:noProof/>
          <w:lang w:val="nl-NL" w:eastAsia="zh-CN"/>
        </w:rPr>
        <w:t>Frontiers in Psychology</w:t>
      </w:r>
      <w:r w:rsidRPr="002414E9">
        <w:rPr>
          <w:rFonts w:eastAsia="DengXian" w:cs="Times New Roman"/>
          <w:noProof/>
          <w:lang w:val="nl-NL" w:eastAsia="zh-CN"/>
        </w:rPr>
        <w:t xml:space="preserve">, </w:t>
      </w:r>
      <w:r w:rsidRPr="002414E9">
        <w:rPr>
          <w:rFonts w:eastAsia="DengXian" w:cs="Times New Roman"/>
          <w:i/>
          <w:iCs/>
          <w:noProof/>
          <w:lang w:val="nl-NL" w:eastAsia="zh-CN"/>
        </w:rPr>
        <w:t>6</w:t>
      </w:r>
      <w:r w:rsidRPr="002414E9">
        <w:rPr>
          <w:rFonts w:eastAsia="DengXian" w:cs="Times New Roman"/>
          <w:noProof/>
          <w:lang w:val="nl-NL" w:eastAsia="zh-CN"/>
        </w:rPr>
        <w:t>, 1261. https://doi.org/10.3389/fpsyg.2015.01261</w:t>
      </w:r>
    </w:p>
    <w:p w14:paraId="276D0C7A" w14:textId="6707F80E" w:rsidR="002414E9" w:rsidRPr="002414E9" w:rsidRDefault="002414E9" w:rsidP="002414E9">
      <w:pPr>
        <w:widowControl w:val="0"/>
        <w:autoSpaceDE w:val="0"/>
        <w:autoSpaceDN w:val="0"/>
        <w:adjustRightInd w:val="0"/>
        <w:ind w:left="709" w:hanging="709"/>
        <w:rPr>
          <w:rFonts w:eastAsia="DengXian" w:cs="Times New Roman"/>
          <w:noProof/>
          <w:lang w:val="de-DE" w:eastAsia="zh-CN"/>
        </w:rPr>
      </w:pPr>
      <w:r w:rsidRPr="002414E9">
        <w:rPr>
          <w:rFonts w:eastAsia="DengXian" w:cs="Times New Roman"/>
          <w:noProof/>
          <w:lang w:val="nl-NL" w:eastAsia="zh-CN"/>
        </w:rPr>
        <w:t xml:space="preserve">Côté, S., DeCelles, K. A., McCarthy, J. M., Van Kleef, G. A., &amp; Hideg, I. (2011). </w:t>
      </w:r>
      <w:r w:rsidRPr="002414E9">
        <w:rPr>
          <w:rFonts w:eastAsia="DengXian" w:cs="Times New Roman"/>
          <w:noProof/>
          <w:lang w:eastAsia="zh-CN"/>
        </w:rPr>
        <w:t xml:space="preserve">The Jekyll and Hyde of emotional intelligence: Emotion-regulation knowledge facilitates both prosocial and interpersonally deviant behavior. </w:t>
      </w:r>
      <w:r w:rsidRPr="002414E9">
        <w:rPr>
          <w:rFonts w:eastAsia="DengXian" w:cs="Times New Roman"/>
          <w:i/>
          <w:iCs/>
          <w:noProof/>
          <w:lang w:val="de-DE" w:eastAsia="zh-CN"/>
        </w:rPr>
        <w:t>Psychological Science</w:t>
      </w:r>
      <w:r w:rsidRPr="002414E9">
        <w:rPr>
          <w:rFonts w:eastAsia="DengXian" w:cs="Times New Roman"/>
          <w:noProof/>
          <w:lang w:val="de-DE" w:eastAsia="zh-CN"/>
        </w:rPr>
        <w:t xml:space="preserve">, </w:t>
      </w:r>
      <w:r w:rsidRPr="002414E9">
        <w:rPr>
          <w:rFonts w:eastAsia="DengXian" w:cs="Times New Roman"/>
          <w:i/>
          <w:iCs/>
          <w:noProof/>
          <w:lang w:val="de-DE" w:eastAsia="zh-CN"/>
        </w:rPr>
        <w:t>22</w:t>
      </w:r>
      <w:r w:rsidRPr="002414E9">
        <w:rPr>
          <w:rFonts w:eastAsia="DengXian" w:cs="Times New Roman"/>
          <w:noProof/>
          <w:lang w:val="de-DE" w:eastAsia="zh-CN"/>
        </w:rPr>
        <w:t>(8), 1073–1080. https://doi.org/10.1177/0956797611416251</w:t>
      </w:r>
    </w:p>
    <w:p w14:paraId="1D846BCE" w14:textId="37C42FB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Cotterell, N., Eisenberger, R., &amp; Speicher, H. (1992). </w:t>
      </w:r>
      <w:r w:rsidRPr="002414E9">
        <w:rPr>
          <w:rFonts w:eastAsia="DengXian" w:cs="Times New Roman"/>
          <w:noProof/>
          <w:lang w:eastAsia="zh-CN"/>
        </w:rPr>
        <w:t xml:space="preserve">Inhibiting effects of reciprocation wariness </w:t>
      </w:r>
      <w:r w:rsidRPr="002414E9">
        <w:rPr>
          <w:rFonts w:eastAsia="DengXian" w:cs="Times New Roman"/>
          <w:noProof/>
          <w:lang w:eastAsia="zh-CN"/>
        </w:rPr>
        <w:lastRenderedPageBreak/>
        <w:t xml:space="preserve">on interpersonal relationships. </w:t>
      </w:r>
      <w:r w:rsidRPr="002414E9">
        <w:rPr>
          <w:rFonts w:eastAsia="DengXian" w:cs="Times New Roman"/>
          <w:i/>
          <w:iCs/>
          <w:noProof/>
          <w:lang w:eastAsia="zh-CN"/>
        </w:rPr>
        <w:t>Journal of Personality and Social Psychology</w:t>
      </w:r>
      <w:r w:rsidRPr="002414E9">
        <w:rPr>
          <w:rFonts w:eastAsia="DengXian" w:cs="Times New Roman"/>
          <w:noProof/>
          <w:lang w:eastAsia="zh-CN"/>
        </w:rPr>
        <w:t xml:space="preserve">, </w:t>
      </w:r>
      <w:r w:rsidRPr="002414E9">
        <w:rPr>
          <w:rFonts w:eastAsia="DengXian" w:cs="Times New Roman"/>
          <w:i/>
          <w:iCs/>
          <w:noProof/>
          <w:lang w:eastAsia="zh-CN"/>
        </w:rPr>
        <w:t>62</w:t>
      </w:r>
      <w:r w:rsidRPr="002414E9">
        <w:rPr>
          <w:rFonts w:eastAsia="DengXian" w:cs="Times New Roman"/>
          <w:noProof/>
          <w:lang w:eastAsia="zh-CN"/>
        </w:rPr>
        <w:t>(4), 658–668. https://doi.org/10.1037/0022-3514.62.4.658</w:t>
      </w:r>
    </w:p>
    <w:p w14:paraId="7C287C3F" w14:textId="7C67584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Cox, C. A. (2015). Decomposing the effects of negative framing in linear public goods games. </w:t>
      </w:r>
      <w:r w:rsidRPr="002414E9">
        <w:rPr>
          <w:rFonts w:eastAsia="DengXian" w:cs="Times New Roman"/>
          <w:i/>
          <w:iCs/>
          <w:noProof/>
          <w:lang w:eastAsia="zh-CN"/>
        </w:rPr>
        <w:t>Economics Letters</w:t>
      </w:r>
      <w:r w:rsidRPr="002414E9">
        <w:rPr>
          <w:rFonts w:eastAsia="DengXian" w:cs="Times New Roman"/>
          <w:noProof/>
          <w:lang w:eastAsia="zh-CN"/>
        </w:rPr>
        <w:t xml:space="preserve">, </w:t>
      </w:r>
      <w:r w:rsidRPr="002414E9">
        <w:rPr>
          <w:rFonts w:eastAsia="DengXian" w:cs="Times New Roman"/>
          <w:i/>
          <w:iCs/>
          <w:noProof/>
          <w:lang w:eastAsia="zh-CN"/>
        </w:rPr>
        <w:t>126</w:t>
      </w:r>
      <w:r w:rsidRPr="002414E9">
        <w:rPr>
          <w:rFonts w:eastAsia="DengXian" w:cs="Times New Roman"/>
          <w:noProof/>
          <w:lang w:eastAsia="zh-CN"/>
        </w:rPr>
        <w:t>, 63–65. https://doi.org/10.1016/j.econlet.2014.11.015</w:t>
      </w:r>
    </w:p>
    <w:p w14:paraId="383388DB" w14:textId="23B2324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Cox, C. A., Karam, A., &amp; Murphy, R. J. (2017). Social preferences and cooperation in simple social dilemma games. </w:t>
      </w:r>
      <w:r w:rsidRPr="002414E9">
        <w:rPr>
          <w:rFonts w:eastAsia="DengXian" w:cs="Times New Roman"/>
          <w:i/>
          <w:iCs/>
          <w:noProof/>
          <w:lang w:eastAsia="zh-CN"/>
        </w:rPr>
        <w:t>Journal of Behavioral and Experimental Economics</w:t>
      </w:r>
      <w:r w:rsidRPr="002414E9">
        <w:rPr>
          <w:rFonts w:eastAsia="DengXian" w:cs="Times New Roman"/>
          <w:noProof/>
          <w:lang w:eastAsia="zh-CN"/>
        </w:rPr>
        <w:t xml:space="preserve">, </w:t>
      </w:r>
      <w:r w:rsidRPr="002414E9">
        <w:rPr>
          <w:rFonts w:eastAsia="DengXian" w:cs="Times New Roman"/>
          <w:i/>
          <w:iCs/>
          <w:noProof/>
          <w:lang w:eastAsia="zh-CN"/>
        </w:rPr>
        <w:t>69</w:t>
      </w:r>
      <w:r w:rsidRPr="002414E9">
        <w:rPr>
          <w:rFonts w:eastAsia="DengXian" w:cs="Times New Roman"/>
          <w:noProof/>
          <w:lang w:eastAsia="zh-CN"/>
        </w:rPr>
        <w:t>, 1–3. https://doi.org/10.1016/j.socec.2017.05.002</w:t>
      </w:r>
    </w:p>
    <w:p w14:paraId="2C15F8BA" w14:textId="063F6DC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Cox, C., &amp; Stoddard, B. (2015). Framing and feedback in social dilemmas with partners and strangers. </w:t>
      </w:r>
      <w:r w:rsidRPr="002414E9">
        <w:rPr>
          <w:rFonts w:eastAsia="DengXian" w:cs="Times New Roman"/>
          <w:i/>
          <w:iCs/>
          <w:noProof/>
          <w:lang w:eastAsia="zh-CN"/>
        </w:rPr>
        <w:t>Games</w:t>
      </w:r>
      <w:r w:rsidRPr="002414E9">
        <w:rPr>
          <w:rFonts w:eastAsia="DengXian" w:cs="Times New Roman"/>
          <w:noProof/>
          <w:lang w:eastAsia="zh-CN"/>
        </w:rPr>
        <w:t xml:space="preserve">, </w:t>
      </w:r>
      <w:r w:rsidRPr="002414E9">
        <w:rPr>
          <w:rFonts w:eastAsia="DengXian" w:cs="Times New Roman"/>
          <w:i/>
          <w:iCs/>
          <w:noProof/>
          <w:lang w:eastAsia="zh-CN"/>
        </w:rPr>
        <w:t>6</w:t>
      </w:r>
      <w:r w:rsidRPr="002414E9">
        <w:rPr>
          <w:rFonts w:eastAsia="DengXian" w:cs="Times New Roman"/>
          <w:noProof/>
          <w:lang w:eastAsia="zh-CN"/>
        </w:rPr>
        <w:t>(4), 394–412. https://doi.org/10.3390/g6040394</w:t>
      </w:r>
    </w:p>
    <w:p w14:paraId="61F3AFC4" w14:textId="4A63A75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Cox, T. H., Lobel, S. A., &amp; McLeod, P. L. (1991). </w:t>
      </w:r>
      <w:r w:rsidRPr="002414E9">
        <w:rPr>
          <w:rFonts w:eastAsia="DengXian" w:cs="Times New Roman"/>
          <w:noProof/>
          <w:lang w:eastAsia="zh-CN"/>
        </w:rPr>
        <w:t xml:space="preserve">Effects of ethnic group cultural differences on cooperative and competitive behavior on a group task. </w:t>
      </w:r>
      <w:r w:rsidRPr="002414E9">
        <w:rPr>
          <w:rFonts w:eastAsia="DengXian" w:cs="Times New Roman"/>
          <w:i/>
          <w:iCs/>
          <w:noProof/>
          <w:lang w:eastAsia="zh-CN"/>
        </w:rPr>
        <w:t>Academy of Management Journal</w:t>
      </w:r>
      <w:r w:rsidRPr="002414E9">
        <w:rPr>
          <w:rFonts w:eastAsia="DengXian" w:cs="Times New Roman"/>
          <w:noProof/>
          <w:lang w:eastAsia="zh-CN"/>
        </w:rPr>
        <w:t xml:space="preserve">, </w:t>
      </w:r>
      <w:r w:rsidRPr="002414E9">
        <w:rPr>
          <w:rFonts w:eastAsia="DengXian" w:cs="Times New Roman"/>
          <w:i/>
          <w:iCs/>
          <w:noProof/>
          <w:lang w:eastAsia="zh-CN"/>
        </w:rPr>
        <w:t>34</w:t>
      </w:r>
      <w:r w:rsidRPr="002414E9">
        <w:rPr>
          <w:rFonts w:eastAsia="DengXian" w:cs="Times New Roman"/>
          <w:noProof/>
          <w:lang w:eastAsia="zh-CN"/>
        </w:rPr>
        <w:t>(4), 827–847. https://doi.org/10.5465/256391</w:t>
      </w:r>
    </w:p>
    <w:p w14:paraId="783CAF9B" w14:textId="6C18717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Croson, R. T. A. (1999). The disjunction effect and reason-based choice in games. </w:t>
      </w:r>
      <w:r w:rsidRPr="002414E9">
        <w:rPr>
          <w:rFonts w:eastAsia="DengXian" w:cs="Times New Roman"/>
          <w:i/>
          <w:iCs/>
          <w:noProof/>
          <w:lang w:eastAsia="zh-CN"/>
        </w:rPr>
        <w:t>Organizational Behavior and Human Decision Processes</w:t>
      </w:r>
      <w:r w:rsidRPr="002414E9">
        <w:rPr>
          <w:rFonts w:eastAsia="DengXian" w:cs="Times New Roman"/>
          <w:noProof/>
          <w:lang w:eastAsia="zh-CN"/>
        </w:rPr>
        <w:t xml:space="preserve">, </w:t>
      </w:r>
      <w:r w:rsidRPr="002414E9">
        <w:rPr>
          <w:rFonts w:eastAsia="DengXian" w:cs="Times New Roman"/>
          <w:i/>
          <w:iCs/>
          <w:noProof/>
          <w:lang w:eastAsia="zh-CN"/>
        </w:rPr>
        <w:t>80</w:t>
      </w:r>
      <w:r w:rsidRPr="002414E9">
        <w:rPr>
          <w:rFonts w:eastAsia="DengXian" w:cs="Times New Roman"/>
          <w:noProof/>
          <w:lang w:eastAsia="zh-CN"/>
        </w:rPr>
        <w:t>(2), 118–133. https://doi.org/10.1006/obhd.1999.2846</w:t>
      </w:r>
    </w:p>
    <w:p w14:paraId="4B29C7BE" w14:textId="00C6353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Croson, R. T. A. (2000). Thinking like a game theorist: factors affecting the frequency of equilibrium play.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41</w:t>
      </w:r>
      <w:r w:rsidRPr="002414E9">
        <w:rPr>
          <w:rFonts w:eastAsia="DengXian" w:cs="Times New Roman"/>
          <w:noProof/>
          <w:lang w:eastAsia="zh-CN"/>
        </w:rPr>
        <w:t>(3), 299–314. https://doi.org/10.1016/S0167-2681(99)00078-5</w:t>
      </w:r>
    </w:p>
    <w:p w14:paraId="1CE0965F" w14:textId="4EF4DF1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Croson, R. T. A., &amp; Marks, M. B. (2000). Step returns in threshold public goods: A meta- and experimental analysis.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2</w:t>
      </w:r>
      <w:r w:rsidRPr="002414E9">
        <w:rPr>
          <w:rFonts w:eastAsia="DengXian" w:cs="Times New Roman"/>
          <w:noProof/>
          <w:lang w:eastAsia="zh-CN"/>
        </w:rPr>
        <w:t>(3), 239–259. https://doi.org/10.1023/A:1009918829192</w:t>
      </w:r>
    </w:p>
    <w:p w14:paraId="6EF585E3" w14:textId="231F5A3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Croson, R. T. A., &amp; Marks, M. B. (2000). Step returns in threshold public goods: A meta- and experimental analysis.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2</w:t>
      </w:r>
      <w:r w:rsidRPr="002414E9">
        <w:rPr>
          <w:rFonts w:eastAsia="DengXian" w:cs="Times New Roman"/>
          <w:noProof/>
          <w:lang w:eastAsia="zh-CN"/>
        </w:rPr>
        <w:t xml:space="preserve">(3), 239–259. </w:t>
      </w:r>
      <w:r w:rsidRPr="002414E9">
        <w:rPr>
          <w:rFonts w:eastAsia="DengXian" w:cs="Times New Roman"/>
          <w:noProof/>
          <w:lang w:eastAsia="zh-CN"/>
        </w:rPr>
        <w:lastRenderedPageBreak/>
        <w:t>https://doi.org/10.1023/A:1009918829192</w:t>
      </w:r>
    </w:p>
    <w:p w14:paraId="5C1E4B53" w14:textId="763FECD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Croson, R., &amp; Marks, M. (1998). Identifiability of individual contributions in a threshold public goods experiment. </w:t>
      </w:r>
      <w:r w:rsidRPr="002414E9">
        <w:rPr>
          <w:rFonts w:eastAsia="DengXian" w:cs="Times New Roman"/>
          <w:i/>
          <w:iCs/>
          <w:noProof/>
          <w:lang w:eastAsia="zh-CN"/>
        </w:rPr>
        <w:t>Journal of Mathematical Psychology</w:t>
      </w:r>
      <w:r w:rsidRPr="002414E9">
        <w:rPr>
          <w:rFonts w:eastAsia="DengXian" w:cs="Times New Roman"/>
          <w:noProof/>
          <w:lang w:eastAsia="zh-CN"/>
        </w:rPr>
        <w:t xml:space="preserve">, </w:t>
      </w:r>
      <w:r w:rsidRPr="002414E9">
        <w:rPr>
          <w:rFonts w:eastAsia="DengXian" w:cs="Times New Roman"/>
          <w:i/>
          <w:iCs/>
          <w:noProof/>
          <w:lang w:eastAsia="zh-CN"/>
        </w:rPr>
        <w:t>42</w:t>
      </w:r>
      <w:r w:rsidRPr="002414E9">
        <w:rPr>
          <w:rFonts w:eastAsia="DengXian" w:cs="Times New Roman"/>
          <w:noProof/>
          <w:lang w:eastAsia="zh-CN"/>
        </w:rPr>
        <w:t>(2), 167–190. https://doi.org/10.1006/jmps.1997.1203</w:t>
      </w:r>
    </w:p>
    <w:p w14:paraId="113CA4B8" w14:textId="0D6D774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Croson, R., Fatas, E., Neugebauer, T., &amp; Morales, A. J. (2015). </w:t>
      </w:r>
      <w:r w:rsidRPr="002414E9">
        <w:rPr>
          <w:rFonts w:eastAsia="DengXian" w:cs="Times New Roman"/>
          <w:noProof/>
          <w:lang w:eastAsia="zh-CN"/>
        </w:rPr>
        <w:t xml:space="preserve">Excludability: A laboratory study on forced ranking in team production.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114</w:t>
      </w:r>
      <w:r w:rsidRPr="002414E9">
        <w:rPr>
          <w:rFonts w:eastAsia="DengXian" w:cs="Times New Roman"/>
          <w:noProof/>
          <w:lang w:eastAsia="zh-CN"/>
        </w:rPr>
        <w:t>, 13–26. https://doi.org/10.1016/j.jebo.2015.03.005</w:t>
      </w:r>
    </w:p>
    <w:p w14:paraId="5E87DA18" w14:textId="3B84C45E" w:rsidR="002414E9" w:rsidRPr="002414E9" w:rsidRDefault="002414E9" w:rsidP="002414E9">
      <w:pPr>
        <w:widowControl w:val="0"/>
        <w:autoSpaceDE w:val="0"/>
        <w:autoSpaceDN w:val="0"/>
        <w:adjustRightInd w:val="0"/>
        <w:ind w:left="709" w:hanging="709"/>
        <w:rPr>
          <w:rFonts w:eastAsia="DengXian" w:cs="Times New Roman"/>
          <w:noProof/>
          <w:lang w:val="en-GB" w:eastAsia="zh-CN"/>
        </w:rPr>
      </w:pPr>
      <w:r w:rsidRPr="002414E9">
        <w:rPr>
          <w:rFonts w:eastAsia="DengXian" w:cs="Times New Roman"/>
          <w:noProof/>
          <w:lang w:eastAsia="zh-CN"/>
        </w:rPr>
        <w:t xml:space="preserve">Cross, L., Wilson, A. D., &amp; Golonka, S. (2016). How moving together brings us together: When coordinated rhythmic movement affects cooperation. </w:t>
      </w:r>
      <w:r w:rsidRPr="002414E9">
        <w:rPr>
          <w:rFonts w:eastAsia="DengXian" w:cs="Times New Roman"/>
          <w:i/>
          <w:iCs/>
          <w:noProof/>
          <w:lang w:val="en-GB" w:eastAsia="zh-CN"/>
        </w:rPr>
        <w:t>Frontiers in Psychology</w:t>
      </w:r>
      <w:r w:rsidRPr="002414E9">
        <w:rPr>
          <w:rFonts w:eastAsia="DengXian" w:cs="Times New Roman"/>
          <w:noProof/>
          <w:lang w:val="en-GB" w:eastAsia="zh-CN"/>
        </w:rPr>
        <w:t xml:space="preserve">, </w:t>
      </w:r>
      <w:r w:rsidRPr="002414E9">
        <w:rPr>
          <w:rFonts w:eastAsia="DengXian" w:cs="Times New Roman"/>
          <w:i/>
          <w:iCs/>
          <w:noProof/>
          <w:lang w:val="en-GB" w:eastAsia="zh-CN"/>
        </w:rPr>
        <w:t>7</w:t>
      </w:r>
      <w:r w:rsidRPr="002414E9">
        <w:rPr>
          <w:rFonts w:eastAsia="DengXian" w:cs="Times New Roman"/>
          <w:noProof/>
          <w:lang w:val="en-GB" w:eastAsia="zh-CN"/>
        </w:rPr>
        <w:t>, 1983. https://doi.org/10.3389/fpsyg.2016.01983</w:t>
      </w:r>
    </w:p>
    <w:p w14:paraId="1CC6ADDA" w14:textId="6F6E162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n-GB" w:eastAsia="zh-CN"/>
        </w:rPr>
        <w:t xml:space="preserve">Crowne, D. P. (1966). </w:t>
      </w:r>
      <w:r w:rsidRPr="002414E9">
        <w:rPr>
          <w:rFonts w:eastAsia="DengXian" w:cs="Times New Roman"/>
          <w:noProof/>
          <w:lang w:eastAsia="zh-CN"/>
        </w:rPr>
        <w:t xml:space="preserve">Family orientation, level of aspiration, and interpersonal bargaining. </w:t>
      </w:r>
      <w:r w:rsidRPr="002414E9">
        <w:rPr>
          <w:rFonts w:eastAsia="DengXian" w:cs="Times New Roman"/>
          <w:i/>
          <w:iCs/>
          <w:noProof/>
          <w:lang w:eastAsia="zh-CN"/>
        </w:rPr>
        <w:t>Journal of Personality and Social Psychology, 3</w:t>
      </w:r>
      <w:r w:rsidRPr="002414E9">
        <w:rPr>
          <w:rFonts w:eastAsia="DengXian" w:cs="Times New Roman"/>
          <w:noProof/>
          <w:lang w:eastAsia="zh-CN"/>
        </w:rPr>
        <w:t>(6), 641–645. https://doi.org/10.1037/h0023282</w:t>
      </w:r>
    </w:p>
    <w:p w14:paraId="0D084397" w14:textId="6D53AA8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Cubitt, R. P., Drouvelis, M., &amp; Gächter, S. (2011). </w:t>
      </w:r>
      <w:r w:rsidRPr="002414E9">
        <w:rPr>
          <w:rFonts w:eastAsia="DengXian" w:cs="Times New Roman"/>
          <w:noProof/>
          <w:lang w:eastAsia="zh-CN"/>
        </w:rPr>
        <w:t xml:space="preserve">Framing and free riding: emotional responses and punishment in social dilemma games.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14</w:t>
      </w:r>
      <w:r w:rsidRPr="002414E9">
        <w:rPr>
          <w:rFonts w:eastAsia="DengXian" w:cs="Times New Roman"/>
          <w:noProof/>
          <w:lang w:eastAsia="zh-CN"/>
        </w:rPr>
        <w:t>(2), 254–272. https://doi.org/10.1007/s10683-010-9266-0</w:t>
      </w:r>
    </w:p>
    <w:p w14:paraId="11159E99" w14:textId="3DC111D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Cui, L., &amp; Qian, Y. (2016). Zhengfu qingxu dui shehui liangnan kunjing zhong hezuo juece de yingxiang [The effects of postive and negative emotions on cooperative decision making in social dilemmas]. </w:t>
      </w:r>
      <w:r w:rsidRPr="002414E9">
        <w:rPr>
          <w:rFonts w:eastAsia="DengXian" w:cs="Times New Roman"/>
          <w:i/>
          <w:noProof/>
          <w:lang w:eastAsia="zh-CN"/>
        </w:rPr>
        <w:t>Shehui xinli kexue [Science of Social Psychology], 31</w:t>
      </w:r>
      <w:r w:rsidRPr="002414E9">
        <w:rPr>
          <w:rFonts w:eastAsia="DengXian" w:cs="Times New Roman"/>
          <w:noProof/>
          <w:lang w:eastAsia="zh-CN"/>
        </w:rPr>
        <w:t>(4), 14–21.</w:t>
      </w:r>
    </w:p>
    <w:p w14:paraId="0572038A" w14:textId="32D581FA" w:rsidR="002414E9" w:rsidRPr="002414E9" w:rsidRDefault="002414E9" w:rsidP="002414E9">
      <w:pPr>
        <w:widowControl w:val="0"/>
        <w:autoSpaceDE w:val="0"/>
        <w:autoSpaceDN w:val="0"/>
        <w:adjustRightInd w:val="0"/>
        <w:ind w:left="709" w:hanging="709"/>
        <w:rPr>
          <w:rFonts w:eastAsia="DengXian" w:cs="Times New Roman"/>
          <w:noProof/>
          <w:lang w:val="nl-NL" w:eastAsia="zh-CN"/>
        </w:rPr>
      </w:pPr>
      <w:r w:rsidRPr="002414E9">
        <w:rPr>
          <w:rFonts w:eastAsia="DengXian" w:cs="Times New Roman"/>
          <w:noProof/>
          <w:lang w:eastAsia="zh-CN"/>
        </w:rPr>
        <w:t xml:space="preserve">Cui, L., He, X., Luo, J., Huang, X., Cao, W., &amp; Chen, X. (2017). The effects of moral punishment and relationship punishment on junior middle school students’ cooperation behaviors in public goods dilemma. </w:t>
      </w:r>
      <w:r w:rsidRPr="002414E9">
        <w:rPr>
          <w:rFonts w:eastAsia="DengXian" w:cs="Times New Roman"/>
          <w:i/>
          <w:iCs/>
          <w:noProof/>
          <w:lang w:val="nl-NL" w:eastAsia="zh-CN"/>
        </w:rPr>
        <w:t>Acta Psychologica Sinica</w:t>
      </w:r>
      <w:r w:rsidRPr="002414E9">
        <w:rPr>
          <w:rFonts w:eastAsia="DengXian" w:cs="Times New Roman"/>
          <w:noProof/>
          <w:lang w:val="nl-NL" w:eastAsia="zh-CN"/>
        </w:rPr>
        <w:t xml:space="preserve">, </w:t>
      </w:r>
      <w:r w:rsidRPr="002414E9">
        <w:rPr>
          <w:rFonts w:eastAsia="DengXian" w:cs="Times New Roman"/>
          <w:i/>
          <w:iCs/>
          <w:noProof/>
          <w:lang w:val="nl-NL" w:eastAsia="zh-CN"/>
        </w:rPr>
        <w:t>49</w:t>
      </w:r>
      <w:r w:rsidRPr="002414E9">
        <w:rPr>
          <w:rFonts w:eastAsia="DengXian" w:cs="Times New Roman"/>
          <w:noProof/>
          <w:lang w:val="nl-NL" w:eastAsia="zh-CN"/>
        </w:rPr>
        <w:t>(10), 1322–1333. https://doi.org/10.3724/SP.J.1041.2017.01322</w:t>
      </w:r>
    </w:p>
    <w:p w14:paraId="01FE8234" w14:textId="43E821B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lastRenderedPageBreak/>
        <w:t xml:space="preserve">Currie, J., Buruju, D., Perrin, J. S., Reid, I. C., Steele, J. D., &amp; Feltovich, N. (2017). </w:t>
      </w:r>
      <w:r w:rsidRPr="002414E9">
        <w:rPr>
          <w:rFonts w:eastAsia="DengXian" w:cs="Times New Roman"/>
          <w:noProof/>
          <w:lang w:eastAsia="zh-CN"/>
        </w:rPr>
        <w:t xml:space="preserve">Schizophrenia illness severity is associated with reduced loss aversion. </w:t>
      </w:r>
      <w:r w:rsidRPr="002414E9">
        <w:rPr>
          <w:rFonts w:eastAsia="DengXian" w:cs="Times New Roman"/>
          <w:i/>
          <w:iCs/>
          <w:noProof/>
          <w:lang w:eastAsia="zh-CN"/>
        </w:rPr>
        <w:t>Brain Research</w:t>
      </w:r>
      <w:r w:rsidRPr="002414E9">
        <w:rPr>
          <w:rFonts w:eastAsia="DengXian" w:cs="Times New Roman"/>
          <w:noProof/>
          <w:lang w:eastAsia="zh-CN"/>
        </w:rPr>
        <w:t xml:space="preserve">, </w:t>
      </w:r>
      <w:r w:rsidRPr="002414E9">
        <w:rPr>
          <w:rFonts w:eastAsia="DengXian" w:cs="Times New Roman"/>
          <w:i/>
          <w:iCs/>
          <w:noProof/>
          <w:lang w:eastAsia="zh-CN"/>
        </w:rPr>
        <w:t>1664</w:t>
      </w:r>
      <w:r w:rsidRPr="002414E9">
        <w:rPr>
          <w:rFonts w:eastAsia="DengXian" w:cs="Times New Roman"/>
          <w:noProof/>
          <w:lang w:eastAsia="zh-CN"/>
        </w:rPr>
        <w:t>, 9–16. https://doi.org/10.1016/j.brainres.2017.03.006</w:t>
      </w:r>
    </w:p>
    <w:p w14:paraId="1BD5B9CB" w14:textId="3B6372A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Curry, O. S., Price, M. E., &amp; Price, J. G. (2008). Patience is a virtue: Cooperative people have lower discount rates. </w:t>
      </w:r>
      <w:r w:rsidRPr="002414E9">
        <w:rPr>
          <w:rFonts w:eastAsia="DengXian" w:cs="Times New Roman"/>
          <w:i/>
          <w:iCs/>
          <w:noProof/>
          <w:lang w:eastAsia="zh-CN"/>
        </w:rPr>
        <w:t>Personality and Individual Differences</w:t>
      </w:r>
      <w:r w:rsidRPr="002414E9">
        <w:rPr>
          <w:rFonts w:eastAsia="DengXian" w:cs="Times New Roman"/>
          <w:noProof/>
          <w:lang w:eastAsia="zh-CN"/>
        </w:rPr>
        <w:t xml:space="preserve">, </w:t>
      </w:r>
      <w:r w:rsidRPr="002414E9">
        <w:rPr>
          <w:rFonts w:eastAsia="DengXian" w:cs="Times New Roman"/>
          <w:i/>
          <w:iCs/>
          <w:noProof/>
          <w:lang w:eastAsia="zh-CN"/>
        </w:rPr>
        <w:t>44</w:t>
      </w:r>
      <w:r w:rsidRPr="002414E9">
        <w:rPr>
          <w:rFonts w:eastAsia="DengXian" w:cs="Times New Roman"/>
          <w:noProof/>
          <w:lang w:eastAsia="zh-CN"/>
        </w:rPr>
        <w:t>(3), 780–785. https://doi.org/10.1016/j.paid.2007.09.023</w:t>
      </w:r>
    </w:p>
    <w:p w14:paraId="71455D5D" w14:textId="713166F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Curry, O., Chesters, M. J., &amp; Viding, E. (2011). The psychopath’s dilemma: The effects of psychopathic personality traits in one-shot games. </w:t>
      </w:r>
      <w:r w:rsidRPr="002414E9">
        <w:rPr>
          <w:rFonts w:eastAsia="DengXian" w:cs="Times New Roman"/>
          <w:i/>
          <w:iCs/>
          <w:noProof/>
          <w:lang w:eastAsia="zh-CN"/>
        </w:rPr>
        <w:t>Personality and Individual Differences</w:t>
      </w:r>
      <w:r w:rsidRPr="002414E9">
        <w:rPr>
          <w:rFonts w:eastAsia="DengXian" w:cs="Times New Roman"/>
          <w:noProof/>
          <w:lang w:eastAsia="zh-CN"/>
        </w:rPr>
        <w:t xml:space="preserve">, </w:t>
      </w:r>
      <w:r w:rsidRPr="002414E9">
        <w:rPr>
          <w:rFonts w:eastAsia="DengXian" w:cs="Times New Roman"/>
          <w:i/>
          <w:iCs/>
          <w:noProof/>
          <w:lang w:eastAsia="zh-CN"/>
        </w:rPr>
        <w:t>50</w:t>
      </w:r>
      <w:r w:rsidRPr="002414E9">
        <w:rPr>
          <w:rFonts w:eastAsia="DengXian" w:cs="Times New Roman"/>
          <w:noProof/>
          <w:lang w:eastAsia="zh-CN"/>
        </w:rPr>
        <w:t>(6), 804–809. https://doi.org/10.1016/j.paid.2010.12.036</w:t>
      </w:r>
    </w:p>
    <w:p w14:paraId="0D1BA79C" w14:textId="0F4757A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D’Adda, G., Capraro, V., &amp; Tavoni, M. (2017). </w:t>
      </w:r>
      <w:r w:rsidRPr="002414E9">
        <w:rPr>
          <w:rFonts w:eastAsia="DengXian" w:cs="Times New Roman"/>
          <w:noProof/>
          <w:lang w:eastAsia="zh-CN"/>
        </w:rPr>
        <w:t xml:space="preserve">Push, don’t nudge: Behavioral spillovers and policy instruments. </w:t>
      </w:r>
      <w:r w:rsidRPr="002414E9">
        <w:rPr>
          <w:rFonts w:eastAsia="DengXian" w:cs="Times New Roman"/>
          <w:i/>
          <w:iCs/>
          <w:noProof/>
          <w:lang w:eastAsia="zh-CN"/>
        </w:rPr>
        <w:t>Economics Letters</w:t>
      </w:r>
      <w:r w:rsidRPr="002414E9">
        <w:rPr>
          <w:rFonts w:eastAsia="DengXian" w:cs="Times New Roman"/>
          <w:noProof/>
          <w:lang w:eastAsia="zh-CN"/>
        </w:rPr>
        <w:t xml:space="preserve">, </w:t>
      </w:r>
      <w:r w:rsidRPr="002414E9">
        <w:rPr>
          <w:rFonts w:eastAsia="DengXian" w:cs="Times New Roman"/>
          <w:i/>
          <w:iCs/>
          <w:noProof/>
          <w:lang w:eastAsia="zh-CN"/>
        </w:rPr>
        <w:t>154</w:t>
      </w:r>
      <w:r w:rsidRPr="002414E9">
        <w:rPr>
          <w:rFonts w:eastAsia="DengXian" w:cs="Times New Roman"/>
          <w:noProof/>
          <w:lang w:eastAsia="zh-CN"/>
        </w:rPr>
        <w:t>, 92–95. https://doi.org/10.1016/j.econlet.2017.02.029</w:t>
      </w:r>
    </w:p>
    <w:p w14:paraId="78F9B1A8" w14:textId="3EFAD11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Dai, Z., Hogarth, R. M., &amp; Villeval, M. C. (2015). </w:t>
      </w:r>
      <w:r w:rsidRPr="002414E9">
        <w:rPr>
          <w:rFonts w:eastAsia="DengXian" w:cs="Times New Roman"/>
          <w:noProof/>
          <w:lang w:eastAsia="zh-CN"/>
        </w:rPr>
        <w:t xml:space="preserve">Ambiguity on audits and cooperation in a public goods game. </w:t>
      </w:r>
      <w:r w:rsidRPr="002414E9">
        <w:rPr>
          <w:rFonts w:eastAsia="DengXian" w:cs="Times New Roman"/>
          <w:i/>
          <w:iCs/>
          <w:noProof/>
          <w:lang w:eastAsia="zh-CN"/>
        </w:rPr>
        <w:t>European Economic Review</w:t>
      </w:r>
      <w:r w:rsidRPr="002414E9">
        <w:rPr>
          <w:rFonts w:eastAsia="DengXian" w:cs="Times New Roman"/>
          <w:noProof/>
          <w:lang w:eastAsia="zh-CN"/>
        </w:rPr>
        <w:t xml:space="preserve">, </w:t>
      </w:r>
      <w:r w:rsidRPr="002414E9">
        <w:rPr>
          <w:rFonts w:eastAsia="DengXian" w:cs="Times New Roman"/>
          <w:i/>
          <w:iCs/>
          <w:noProof/>
          <w:lang w:eastAsia="zh-CN"/>
        </w:rPr>
        <w:t>74</w:t>
      </w:r>
      <w:r w:rsidRPr="002414E9">
        <w:rPr>
          <w:rFonts w:eastAsia="DengXian" w:cs="Times New Roman"/>
          <w:noProof/>
          <w:lang w:eastAsia="zh-CN"/>
        </w:rPr>
        <w:t>, 146–162. https://doi.org/10.1016/j.euroecorev.2014.11.009</w:t>
      </w:r>
    </w:p>
    <w:p w14:paraId="1E217DC2" w14:textId="3733A836" w:rsidR="002414E9" w:rsidRPr="002414E9" w:rsidRDefault="002414E9" w:rsidP="002414E9">
      <w:pPr>
        <w:widowControl w:val="0"/>
        <w:autoSpaceDE w:val="0"/>
        <w:autoSpaceDN w:val="0"/>
        <w:adjustRightInd w:val="0"/>
        <w:ind w:left="709" w:hanging="709"/>
        <w:rPr>
          <w:rFonts w:eastAsia="DengXian" w:cs="Times New Roman"/>
          <w:noProof/>
          <w:lang w:eastAsia="zh-CN"/>
        </w:rPr>
      </w:pPr>
      <w:bookmarkStart w:id="53" w:name="_Hlk74301339"/>
      <w:r w:rsidRPr="002414E9">
        <w:rPr>
          <w:rFonts w:eastAsia="DengXian" w:cs="Times New Roman"/>
          <w:noProof/>
          <w:lang w:eastAsia="zh-CN"/>
        </w:rPr>
        <w:t xml:space="preserve">Dal Bó, P. (2005). Cooperation under the shadow of the future: experimental evidence from infinitely repeated games. </w:t>
      </w:r>
      <w:r w:rsidRPr="002414E9">
        <w:rPr>
          <w:rFonts w:eastAsia="DengXian" w:cs="Times New Roman"/>
          <w:i/>
          <w:iCs/>
          <w:noProof/>
          <w:lang w:eastAsia="zh-CN"/>
        </w:rPr>
        <w:t>American Economic Review</w:t>
      </w:r>
      <w:r w:rsidRPr="002414E9">
        <w:rPr>
          <w:rFonts w:eastAsia="DengXian" w:cs="Times New Roman"/>
          <w:noProof/>
          <w:lang w:eastAsia="zh-CN"/>
        </w:rPr>
        <w:t xml:space="preserve">, </w:t>
      </w:r>
      <w:r w:rsidRPr="002414E9">
        <w:rPr>
          <w:rFonts w:eastAsia="DengXian" w:cs="Times New Roman"/>
          <w:i/>
          <w:iCs/>
          <w:noProof/>
          <w:lang w:eastAsia="zh-CN"/>
        </w:rPr>
        <w:t>95</w:t>
      </w:r>
      <w:r w:rsidRPr="002414E9">
        <w:rPr>
          <w:rFonts w:eastAsia="DengXian" w:cs="Times New Roman"/>
          <w:noProof/>
          <w:lang w:eastAsia="zh-CN"/>
        </w:rPr>
        <w:t>(5), 1591–1604. https://doi.org/10.1257/000282805775014434</w:t>
      </w:r>
    </w:p>
    <w:bookmarkEnd w:id="53"/>
    <w:p w14:paraId="05E23B8B" w14:textId="53C8DF1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Danheiser, P. R., &amp; Graziano, W. G. (1982). </w:t>
      </w:r>
      <w:r w:rsidRPr="002414E9">
        <w:rPr>
          <w:rFonts w:eastAsia="DengXian" w:cs="Times New Roman"/>
          <w:noProof/>
          <w:lang w:eastAsia="zh-CN"/>
        </w:rPr>
        <w:t xml:space="preserve">Self-monitoring and cooperation as a self-presentational strategy. </w:t>
      </w:r>
      <w:r w:rsidRPr="002414E9">
        <w:rPr>
          <w:rFonts w:eastAsia="DengXian" w:cs="Times New Roman"/>
          <w:i/>
          <w:iCs/>
          <w:noProof/>
          <w:lang w:eastAsia="zh-CN"/>
        </w:rPr>
        <w:t>Journal of Personality and Social Psychology, 42</w:t>
      </w:r>
      <w:r w:rsidRPr="002414E9">
        <w:rPr>
          <w:rFonts w:eastAsia="DengXian" w:cs="Times New Roman"/>
          <w:noProof/>
          <w:lang w:eastAsia="zh-CN"/>
        </w:rPr>
        <w:t>(3), 497–505.</w:t>
      </w:r>
      <w:bookmarkStart w:id="54" w:name="_Hlk54045333"/>
      <w:r w:rsidRPr="002414E9">
        <w:rPr>
          <w:rFonts w:eastAsia="DengXian" w:cs="Times New Roman"/>
          <w:noProof/>
          <w:lang w:eastAsia="zh-CN"/>
        </w:rPr>
        <w:t xml:space="preserve"> https://doi.org/</w:t>
      </w:r>
      <w:bookmarkEnd w:id="54"/>
      <w:r w:rsidRPr="002414E9">
        <w:rPr>
          <w:rFonts w:eastAsia="DengXian" w:cs="Times New Roman"/>
          <w:noProof/>
          <w:lang w:eastAsia="zh-CN"/>
        </w:rPr>
        <w:t>10.1037/0022-3514.42.3.497</w:t>
      </w:r>
    </w:p>
    <w:p w14:paraId="53130296" w14:textId="5C22FCB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Dannenberg, A. (2015). Leading by example versus leading by words in voluntary contribution experiments. </w:t>
      </w:r>
      <w:r w:rsidRPr="002414E9">
        <w:rPr>
          <w:rFonts w:eastAsia="DengXian" w:cs="Times New Roman"/>
          <w:i/>
          <w:iCs/>
          <w:noProof/>
          <w:lang w:eastAsia="zh-CN"/>
        </w:rPr>
        <w:t>Social Choice and Welfare</w:t>
      </w:r>
      <w:r w:rsidRPr="002414E9">
        <w:rPr>
          <w:rFonts w:eastAsia="DengXian" w:cs="Times New Roman"/>
          <w:noProof/>
          <w:lang w:eastAsia="zh-CN"/>
        </w:rPr>
        <w:t xml:space="preserve">, </w:t>
      </w:r>
      <w:r w:rsidRPr="002414E9">
        <w:rPr>
          <w:rFonts w:eastAsia="DengXian" w:cs="Times New Roman"/>
          <w:i/>
          <w:iCs/>
          <w:noProof/>
          <w:lang w:eastAsia="zh-CN"/>
        </w:rPr>
        <w:t>44</w:t>
      </w:r>
      <w:r w:rsidRPr="002414E9">
        <w:rPr>
          <w:rFonts w:eastAsia="DengXian" w:cs="Times New Roman"/>
          <w:noProof/>
          <w:lang w:eastAsia="zh-CN"/>
        </w:rPr>
        <w:t>(1), 71–85. https://doi.org/10.1007/s00355-</w:t>
      </w:r>
      <w:r w:rsidRPr="002414E9">
        <w:rPr>
          <w:rFonts w:eastAsia="DengXian" w:cs="Times New Roman"/>
          <w:noProof/>
          <w:lang w:eastAsia="zh-CN"/>
        </w:rPr>
        <w:lastRenderedPageBreak/>
        <w:t>014-0817-8</w:t>
      </w:r>
    </w:p>
    <w:p w14:paraId="1B570C16" w14:textId="45453139" w:rsidR="002414E9" w:rsidRPr="002414E9" w:rsidRDefault="002414E9" w:rsidP="002414E9">
      <w:pPr>
        <w:widowControl w:val="0"/>
        <w:autoSpaceDE w:val="0"/>
        <w:autoSpaceDN w:val="0"/>
        <w:adjustRightInd w:val="0"/>
        <w:ind w:left="709" w:hanging="709"/>
        <w:rPr>
          <w:rFonts w:eastAsia="DengXian" w:cs="Times New Roman"/>
          <w:noProof/>
          <w:lang w:val="it-IT" w:eastAsia="zh-CN"/>
        </w:rPr>
      </w:pPr>
      <w:r w:rsidRPr="002414E9">
        <w:rPr>
          <w:rFonts w:eastAsia="DengXian" w:cs="Times New Roman"/>
          <w:noProof/>
          <w:lang w:val="de-DE" w:eastAsia="zh-CN"/>
        </w:rPr>
        <w:t xml:space="preserve">Dannenberg, A., Lange, A., &amp; Sturm, B. (2014). </w:t>
      </w:r>
      <w:r w:rsidRPr="002414E9">
        <w:rPr>
          <w:rFonts w:eastAsia="DengXian" w:cs="Times New Roman"/>
          <w:noProof/>
          <w:lang w:eastAsia="zh-CN"/>
        </w:rPr>
        <w:t xml:space="preserve">Participation and commitment in voluntary coalitions to provide public goods. </w:t>
      </w:r>
      <w:r w:rsidRPr="002414E9">
        <w:rPr>
          <w:rFonts w:eastAsia="DengXian" w:cs="Times New Roman"/>
          <w:i/>
          <w:iCs/>
          <w:noProof/>
          <w:lang w:val="it-IT" w:eastAsia="zh-CN"/>
        </w:rPr>
        <w:t>Economica</w:t>
      </w:r>
      <w:r w:rsidRPr="002414E9">
        <w:rPr>
          <w:rFonts w:eastAsia="DengXian" w:cs="Times New Roman"/>
          <w:noProof/>
          <w:lang w:val="it-IT" w:eastAsia="zh-CN"/>
        </w:rPr>
        <w:t xml:space="preserve">, </w:t>
      </w:r>
      <w:r w:rsidRPr="002414E9">
        <w:rPr>
          <w:rFonts w:eastAsia="DengXian" w:cs="Times New Roman"/>
          <w:i/>
          <w:iCs/>
          <w:noProof/>
          <w:lang w:val="it-IT" w:eastAsia="zh-CN"/>
        </w:rPr>
        <w:t>81</w:t>
      </w:r>
      <w:r w:rsidRPr="002414E9">
        <w:rPr>
          <w:rFonts w:eastAsia="DengXian" w:cs="Times New Roman"/>
          <w:noProof/>
          <w:lang w:val="it-IT" w:eastAsia="zh-CN"/>
        </w:rPr>
        <w:t>(322), 257–275. https://doi.org/10.1111/ecca.12073</w:t>
      </w:r>
    </w:p>
    <w:p w14:paraId="7577686D" w14:textId="0A7E3B8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Dannenberg, A., Löschel, A., Paolacci, G., Reif, C., &amp; Tavoni, A. (2015). </w:t>
      </w:r>
      <w:r w:rsidRPr="002414E9">
        <w:rPr>
          <w:rFonts w:eastAsia="DengXian" w:cs="Times New Roman"/>
          <w:noProof/>
          <w:lang w:eastAsia="zh-CN"/>
        </w:rPr>
        <w:t xml:space="preserve">On the provision of public goods with probabilistic and ambiguous thresholds. </w:t>
      </w:r>
      <w:r w:rsidRPr="002414E9">
        <w:rPr>
          <w:rFonts w:eastAsia="DengXian" w:cs="Times New Roman"/>
          <w:i/>
          <w:iCs/>
          <w:noProof/>
          <w:lang w:eastAsia="zh-CN"/>
        </w:rPr>
        <w:t>Environmental and Resource Economics</w:t>
      </w:r>
      <w:r w:rsidRPr="002414E9">
        <w:rPr>
          <w:rFonts w:eastAsia="DengXian" w:cs="Times New Roman"/>
          <w:noProof/>
          <w:lang w:eastAsia="zh-CN"/>
        </w:rPr>
        <w:t xml:space="preserve">, </w:t>
      </w:r>
      <w:r w:rsidRPr="002414E9">
        <w:rPr>
          <w:rFonts w:eastAsia="DengXian" w:cs="Times New Roman"/>
          <w:i/>
          <w:iCs/>
          <w:noProof/>
          <w:lang w:eastAsia="zh-CN"/>
        </w:rPr>
        <w:t>61</w:t>
      </w:r>
      <w:r w:rsidRPr="002414E9">
        <w:rPr>
          <w:rFonts w:eastAsia="DengXian" w:cs="Times New Roman"/>
          <w:noProof/>
          <w:lang w:eastAsia="zh-CN"/>
        </w:rPr>
        <w:t>(3), 365–385. https://doi.org/10.1007/s10640-014-9796-6</w:t>
      </w:r>
    </w:p>
    <w:p w14:paraId="00EE25E5" w14:textId="27BDE85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Danvers, A. F., &amp; Shiota, M. N. (2018). Dynamically engaged smiling predicts cooperation above and beyond average smiling levels. </w:t>
      </w:r>
      <w:r w:rsidRPr="002414E9">
        <w:rPr>
          <w:rFonts w:eastAsia="DengXian" w:cs="Times New Roman"/>
          <w:i/>
          <w:iCs/>
          <w:noProof/>
          <w:lang w:eastAsia="zh-CN"/>
        </w:rPr>
        <w:t>Evolution and Human Behavior</w:t>
      </w:r>
      <w:r w:rsidRPr="002414E9">
        <w:rPr>
          <w:rFonts w:eastAsia="DengXian" w:cs="Times New Roman"/>
          <w:noProof/>
          <w:lang w:eastAsia="zh-CN"/>
        </w:rPr>
        <w:t xml:space="preserve">, </w:t>
      </w:r>
      <w:r w:rsidRPr="002414E9">
        <w:rPr>
          <w:rFonts w:eastAsia="DengXian" w:cs="Times New Roman"/>
          <w:i/>
          <w:iCs/>
          <w:noProof/>
          <w:lang w:eastAsia="zh-CN"/>
        </w:rPr>
        <w:t>39</w:t>
      </w:r>
      <w:r w:rsidRPr="002414E9">
        <w:rPr>
          <w:rFonts w:eastAsia="DengXian" w:cs="Times New Roman"/>
          <w:noProof/>
          <w:lang w:eastAsia="zh-CN"/>
        </w:rPr>
        <w:t>(1), 112–119. https://doi.org/10.1016/j.evolhumbehav.2017.10.007</w:t>
      </w:r>
    </w:p>
    <w:p w14:paraId="4B308540" w14:textId="3B86D34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Dasgupta, U., &amp; Orman, W. H. (2014). </w:t>
      </w:r>
      <w:r w:rsidRPr="002414E9">
        <w:rPr>
          <w:rFonts w:eastAsia="DengXian" w:cs="Times New Roman"/>
          <w:noProof/>
          <w:lang w:eastAsia="zh-CN"/>
        </w:rPr>
        <w:t xml:space="preserve">Does heterogeneity help in overcoming the public goods dilemma in a sequential contribution environment?. </w:t>
      </w:r>
      <w:r w:rsidRPr="002414E9">
        <w:rPr>
          <w:rFonts w:eastAsia="DengXian" w:cs="Times New Roman"/>
          <w:i/>
          <w:iCs/>
          <w:noProof/>
          <w:lang w:eastAsia="zh-CN"/>
        </w:rPr>
        <w:t>Group Decision and Negotiation</w:t>
      </w:r>
      <w:r w:rsidRPr="002414E9">
        <w:rPr>
          <w:rFonts w:eastAsia="DengXian" w:cs="Times New Roman"/>
          <w:noProof/>
          <w:lang w:eastAsia="zh-CN"/>
        </w:rPr>
        <w:t xml:space="preserve">, </w:t>
      </w:r>
      <w:r w:rsidRPr="002414E9">
        <w:rPr>
          <w:rFonts w:eastAsia="DengXian" w:cs="Times New Roman"/>
          <w:i/>
          <w:iCs/>
          <w:noProof/>
          <w:lang w:eastAsia="zh-CN"/>
        </w:rPr>
        <w:t>23</w:t>
      </w:r>
      <w:r w:rsidRPr="002414E9">
        <w:rPr>
          <w:rFonts w:eastAsia="DengXian" w:cs="Times New Roman"/>
          <w:noProof/>
          <w:lang w:eastAsia="zh-CN"/>
        </w:rPr>
        <w:t>(5), 1219–1239. https://doi.org/10.1007/s10726-013-9370-6</w:t>
      </w:r>
    </w:p>
    <w:p w14:paraId="1F74D7E6" w14:textId="3E633E4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fr-FR" w:eastAsia="zh-CN"/>
        </w:rPr>
        <w:t xml:space="preserve">Davis, D., Ivanov, A., &amp; Korenok, O. (2016). </w:t>
      </w:r>
      <w:r w:rsidRPr="002414E9">
        <w:rPr>
          <w:rFonts w:eastAsia="DengXian" w:cs="Times New Roman"/>
          <w:noProof/>
          <w:lang w:eastAsia="zh-CN"/>
        </w:rPr>
        <w:t xml:space="preserve">Individual characteristics and behavior in repeated games: An experimental study.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19</w:t>
      </w:r>
      <w:r w:rsidRPr="002414E9">
        <w:rPr>
          <w:rFonts w:eastAsia="DengXian" w:cs="Times New Roman"/>
          <w:noProof/>
          <w:lang w:eastAsia="zh-CN"/>
        </w:rPr>
        <w:t>(1), 67–99. https://doi.org/10.1007/s10683-014-9427-7</w:t>
      </w:r>
    </w:p>
    <w:p w14:paraId="59B71654"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Dawes, R. M., McTavish, J., &amp; Shaklee, H. (1977). Behavior, communication, and assumptions about other people’s behavior in a commons dilemma situation. </w:t>
      </w:r>
      <w:r w:rsidRPr="002414E9">
        <w:rPr>
          <w:rFonts w:eastAsia="DengXian" w:cs="Times New Roman"/>
          <w:i/>
          <w:iCs/>
          <w:noProof/>
          <w:lang w:eastAsia="zh-CN"/>
        </w:rPr>
        <w:t>Journal of Personality and Social Psychology</w:t>
      </w:r>
      <w:r w:rsidRPr="002414E9">
        <w:rPr>
          <w:rFonts w:eastAsia="DengXian" w:cs="Times New Roman"/>
          <w:noProof/>
          <w:lang w:eastAsia="zh-CN"/>
        </w:rPr>
        <w:t xml:space="preserve">, </w:t>
      </w:r>
      <w:r w:rsidRPr="002414E9">
        <w:rPr>
          <w:rFonts w:eastAsia="DengXian" w:cs="Times New Roman"/>
          <w:i/>
          <w:iCs/>
          <w:noProof/>
          <w:lang w:eastAsia="zh-CN"/>
        </w:rPr>
        <w:t>35</w:t>
      </w:r>
      <w:r w:rsidRPr="002414E9">
        <w:rPr>
          <w:rFonts w:eastAsia="DengXian" w:cs="Times New Roman"/>
          <w:noProof/>
          <w:lang w:eastAsia="zh-CN"/>
        </w:rPr>
        <w:t>(1), 1–11. https://doi.org/10.1037/0022-3514.35.1.1</w:t>
      </w:r>
    </w:p>
    <w:p w14:paraId="5FE07253" w14:textId="639371F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Dawes, R. M., Orbell, J. M., Simmons, R. T., &amp; Van De Kragt, A. J. (1986). </w:t>
      </w:r>
      <w:r w:rsidRPr="002414E9">
        <w:rPr>
          <w:rFonts w:eastAsia="DengXian" w:cs="Times New Roman"/>
          <w:noProof/>
          <w:lang w:eastAsia="zh-CN"/>
        </w:rPr>
        <w:t xml:space="preserve">Organizing groups for collective action. </w:t>
      </w:r>
      <w:r w:rsidRPr="002414E9">
        <w:rPr>
          <w:rFonts w:eastAsia="DengXian" w:cs="Times New Roman"/>
          <w:i/>
          <w:iCs/>
          <w:noProof/>
          <w:lang w:eastAsia="zh-CN"/>
        </w:rPr>
        <w:t>The American Political Science Review</w:t>
      </w:r>
      <w:r w:rsidRPr="002414E9">
        <w:rPr>
          <w:rFonts w:eastAsia="DengXian" w:cs="Times New Roman"/>
          <w:noProof/>
          <w:lang w:eastAsia="zh-CN"/>
        </w:rPr>
        <w:t xml:space="preserve">, </w:t>
      </w:r>
      <w:r w:rsidRPr="002414E9">
        <w:rPr>
          <w:rFonts w:eastAsia="DengXian" w:cs="Times New Roman"/>
          <w:i/>
          <w:iCs/>
          <w:noProof/>
          <w:lang w:eastAsia="zh-CN"/>
        </w:rPr>
        <w:t>80</w:t>
      </w:r>
      <w:r w:rsidRPr="002414E9">
        <w:rPr>
          <w:rFonts w:eastAsia="DengXian" w:cs="Times New Roman"/>
          <w:noProof/>
          <w:lang w:eastAsia="zh-CN"/>
        </w:rPr>
        <w:t>(4), 1171–1185. https://doi.org/10.2307/1960862</w:t>
      </w:r>
    </w:p>
    <w:p w14:paraId="408EC3E0" w14:textId="2A875FE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Dawes, R. M., Van De Kragt, A. J., &amp; Orbell, J. M. (1988). </w:t>
      </w:r>
      <w:r w:rsidRPr="002414E9">
        <w:rPr>
          <w:rFonts w:eastAsia="DengXian" w:cs="Times New Roman"/>
          <w:noProof/>
          <w:lang w:eastAsia="zh-CN"/>
        </w:rPr>
        <w:t xml:space="preserve">Not me or thee but we: The </w:t>
      </w:r>
      <w:r w:rsidRPr="002414E9">
        <w:rPr>
          <w:rFonts w:eastAsia="DengXian" w:cs="Times New Roman"/>
          <w:noProof/>
          <w:lang w:eastAsia="zh-CN"/>
        </w:rPr>
        <w:lastRenderedPageBreak/>
        <w:t xml:space="preserve">importance of group identity in eliciting cooperation in dilemma situations: Experimental manipulations. </w:t>
      </w:r>
      <w:r w:rsidRPr="002414E9">
        <w:rPr>
          <w:rFonts w:eastAsia="DengXian" w:cs="Times New Roman"/>
          <w:i/>
          <w:iCs/>
          <w:noProof/>
          <w:lang w:eastAsia="zh-CN"/>
        </w:rPr>
        <w:t>Acta Psychologica</w:t>
      </w:r>
      <w:r w:rsidRPr="002414E9">
        <w:rPr>
          <w:rFonts w:eastAsia="DengXian" w:cs="Times New Roman"/>
          <w:noProof/>
          <w:lang w:eastAsia="zh-CN"/>
        </w:rPr>
        <w:t xml:space="preserve">, </w:t>
      </w:r>
      <w:r w:rsidRPr="002414E9">
        <w:rPr>
          <w:rFonts w:eastAsia="DengXian" w:cs="Times New Roman"/>
          <w:i/>
          <w:iCs/>
          <w:noProof/>
          <w:lang w:eastAsia="zh-CN"/>
        </w:rPr>
        <w:t>68</w:t>
      </w:r>
      <w:r w:rsidRPr="002414E9">
        <w:rPr>
          <w:rFonts w:eastAsia="DengXian" w:cs="Times New Roman"/>
          <w:noProof/>
          <w:lang w:eastAsia="zh-CN"/>
        </w:rPr>
        <w:t>(1-3), 83–97. https://doi.org/10.1016/0001-6918(88)90047-9</w:t>
      </w:r>
    </w:p>
    <w:p w14:paraId="3FFD4D87" w14:textId="2676041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De Backer, C. J., Larson, C., Fisher, M. L., McAndrew, F. T., &amp; Rudnicki, K. (2016). When strangers start to gossip: Investigating the effect of gossip on cooperation in a Prisoner’s Dilemma game. </w:t>
      </w:r>
      <w:r w:rsidRPr="002414E9">
        <w:rPr>
          <w:rFonts w:eastAsia="DengXian" w:cs="Times New Roman"/>
          <w:i/>
          <w:iCs/>
          <w:noProof/>
          <w:lang w:eastAsia="zh-CN"/>
        </w:rPr>
        <w:t>Evolutionary Psychological Science</w:t>
      </w:r>
      <w:r w:rsidRPr="002414E9">
        <w:rPr>
          <w:rFonts w:eastAsia="DengXian" w:cs="Times New Roman"/>
          <w:noProof/>
          <w:lang w:eastAsia="zh-CN"/>
        </w:rPr>
        <w:t xml:space="preserve">, </w:t>
      </w:r>
      <w:r w:rsidRPr="002414E9">
        <w:rPr>
          <w:rFonts w:eastAsia="DengXian" w:cs="Times New Roman"/>
          <w:i/>
          <w:iCs/>
          <w:noProof/>
          <w:lang w:eastAsia="zh-CN"/>
        </w:rPr>
        <w:t>2</w:t>
      </w:r>
      <w:r w:rsidRPr="002414E9">
        <w:rPr>
          <w:rFonts w:eastAsia="DengXian" w:cs="Times New Roman"/>
          <w:noProof/>
          <w:lang w:eastAsia="zh-CN"/>
        </w:rPr>
        <w:t>(4), 268–277. https://doi.org/10.1007/s40806-016-0063-7</w:t>
      </w:r>
    </w:p>
    <w:p w14:paraId="7394161F" w14:textId="1887DFE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De Bruin, E. N. M., &amp; Van Lange, P. A. M. (1999). </w:t>
      </w:r>
      <w:r w:rsidRPr="002414E9">
        <w:rPr>
          <w:rFonts w:eastAsia="DengXian" w:cs="Times New Roman"/>
          <w:noProof/>
          <w:lang w:eastAsia="zh-CN"/>
        </w:rPr>
        <w:t xml:space="preserve">The double meaning of a single act: Influences of the perceiver and the perceived on cooperative behaviour. </w:t>
      </w:r>
      <w:r w:rsidRPr="002414E9">
        <w:rPr>
          <w:rFonts w:eastAsia="DengXian" w:cs="Times New Roman"/>
          <w:i/>
          <w:iCs/>
          <w:noProof/>
          <w:lang w:eastAsia="zh-CN"/>
        </w:rPr>
        <w:t>European Journal of Personality</w:t>
      </w:r>
      <w:r w:rsidRPr="002414E9">
        <w:rPr>
          <w:rFonts w:eastAsia="DengXian" w:cs="Times New Roman"/>
          <w:noProof/>
          <w:lang w:eastAsia="zh-CN"/>
        </w:rPr>
        <w:t xml:space="preserve">, </w:t>
      </w:r>
      <w:r w:rsidRPr="002414E9">
        <w:rPr>
          <w:rFonts w:eastAsia="DengXian" w:cs="Times New Roman"/>
          <w:i/>
          <w:iCs/>
          <w:noProof/>
          <w:lang w:eastAsia="zh-CN"/>
        </w:rPr>
        <w:t>13</w:t>
      </w:r>
      <w:r w:rsidRPr="002414E9">
        <w:rPr>
          <w:rFonts w:eastAsia="DengXian" w:cs="Times New Roman"/>
          <w:noProof/>
          <w:lang w:eastAsia="zh-CN"/>
        </w:rPr>
        <w:t>(3), 165–182. https://doi.org/10.1002/(SICI)1099-0984(199905/06)13:3&lt;165::AID-PER322&gt;3.0.CO;2-9</w:t>
      </w:r>
    </w:p>
    <w:p w14:paraId="13219A8D" w14:textId="2FA4F92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De Cremer, D. (2000). Leadership selection in social dilemmas—Not all prefer it: The moderating effect of social value orientation. </w:t>
      </w:r>
      <w:r w:rsidRPr="002414E9">
        <w:rPr>
          <w:rFonts w:eastAsia="DengXian" w:cs="Times New Roman"/>
          <w:i/>
          <w:iCs/>
          <w:noProof/>
          <w:lang w:eastAsia="zh-CN"/>
        </w:rPr>
        <w:t>Group Dynamics: Theory, Research, and Practice</w:t>
      </w:r>
      <w:r w:rsidRPr="002414E9">
        <w:rPr>
          <w:rFonts w:eastAsia="DengXian" w:cs="Times New Roman"/>
          <w:noProof/>
          <w:lang w:eastAsia="zh-CN"/>
        </w:rPr>
        <w:t xml:space="preserve">, </w:t>
      </w:r>
      <w:r w:rsidRPr="002414E9">
        <w:rPr>
          <w:rFonts w:eastAsia="DengXian" w:cs="Times New Roman"/>
          <w:i/>
          <w:iCs/>
          <w:noProof/>
          <w:lang w:eastAsia="zh-CN"/>
        </w:rPr>
        <w:t>4</w:t>
      </w:r>
      <w:r w:rsidRPr="002414E9">
        <w:rPr>
          <w:rFonts w:eastAsia="DengXian" w:cs="Times New Roman"/>
          <w:noProof/>
          <w:lang w:eastAsia="zh-CN"/>
        </w:rPr>
        <w:t>(4), 330–337. https://doi.org/10.1037/1089-2699.4.4.330</w:t>
      </w:r>
    </w:p>
    <w:p w14:paraId="0B32CD4C" w14:textId="66F655E1" w:rsidR="002414E9" w:rsidRPr="002414E9" w:rsidRDefault="002414E9" w:rsidP="002414E9">
      <w:pPr>
        <w:widowControl w:val="0"/>
        <w:autoSpaceDE w:val="0"/>
        <w:autoSpaceDN w:val="0"/>
        <w:adjustRightInd w:val="0"/>
        <w:ind w:left="709" w:hanging="709"/>
        <w:rPr>
          <w:rFonts w:eastAsia="DengXian" w:cs="Times New Roman"/>
          <w:noProof/>
          <w:u w:val="single"/>
          <w:lang w:eastAsia="zh-CN"/>
        </w:rPr>
      </w:pPr>
      <w:r w:rsidRPr="002414E9">
        <w:rPr>
          <w:rFonts w:eastAsia="DengXian" w:cs="Times New Roman"/>
          <w:noProof/>
          <w:lang w:eastAsia="zh-CN"/>
        </w:rPr>
        <w:t xml:space="preserve">De Cremer, D. (2002a). Respect and Cooperation in Social Dilemmas: The importance of feeling included. </w:t>
      </w:r>
      <w:r w:rsidRPr="002414E9">
        <w:rPr>
          <w:rFonts w:eastAsia="DengXian" w:cs="Times New Roman"/>
          <w:i/>
          <w:iCs/>
          <w:noProof/>
          <w:lang w:eastAsia="zh-CN"/>
        </w:rPr>
        <w:t>Personality and Social Psychology Bulletin</w:t>
      </w:r>
      <w:r w:rsidRPr="002414E9">
        <w:rPr>
          <w:rFonts w:eastAsia="DengXian" w:cs="Times New Roman"/>
          <w:noProof/>
          <w:lang w:eastAsia="zh-CN"/>
        </w:rPr>
        <w:t xml:space="preserve">, </w:t>
      </w:r>
      <w:r w:rsidRPr="002414E9">
        <w:rPr>
          <w:rFonts w:eastAsia="DengXian" w:cs="Times New Roman"/>
          <w:i/>
          <w:iCs/>
          <w:noProof/>
          <w:lang w:eastAsia="zh-CN"/>
        </w:rPr>
        <w:t>28</w:t>
      </w:r>
      <w:r w:rsidRPr="002414E9">
        <w:rPr>
          <w:rFonts w:eastAsia="DengXian" w:cs="Times New Roman"/>
          <w:noProof/>
          <w:lang w:eastAsia="zh-CN"/>
        </w:rPr>
        <w:t>(10), 1335–1341. https://doi.org/10.1177/014616702236830</w:t>
      </w:r>
    </w:p>
    <w:p w14:paraId="36FA8752" w14:textId="1349925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De Cremer, D. (2002b). Charismatic Leadership and Cooperation in Social Dilemmas: A Matter of Transforming Motives? 1. </w:t>
      </w:r>
      <w:r w:rsidRPr="002414E9">
        <w:rPr>
          <w:rFonts w:eastAsia="DengXian" w:cs="Times New Roman"/>
          <w:i/>
          <w:iCs/>
          <w:noProof/>
          <w:lang w:eastAsia="zh-CN"/>
        </w:rPr>
        <w:t>Journal of Applied Social Psychology</w:t>
      </w:r>
      <w:r w:rsidRPr="002414E9">
        <w:rPr>
          <w:rFonts w:eastAsia="DengXian" w:cs="Times New Roman"/>
          <w:noProof/>
          <w:lang w:eastAsia="zh-CN"/>
        </w:rPr>
        <w:t xml:space="preserve">, </w:t>
      </w:r>
      <w:r w:rsidRPr="002414E9">
        <w:rPr>
          <w:rFonts w:eastAsia="DengXian" w:cs="Times New Roman"/>
          <w:i/>
          <w:iCs/>
          <w:noProof/>
          <w:lang w:eastAsia="zh-CN"/>
        </w:rPr>
        <w:t>32</w:t>
      </w:r>
      <w:r w:rsidRPr="002414E9">
        <w:rPr>
          <w:rFonts w:eastAsia="DengXian" w:cs="Times New Roman"/>
          <w:noProof/>
          <w:lang w:eastAsia="zh-CN"/>
        </w:rPr>
        <w:t>(5), 997–1016. https://doi.org/10.1111/j.1559-1816.2002.tb00252.x</w:t>
      </w:r>
    </w:p>
    <w:p w14:paraId="44261CCC" w14:textId="0880329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De Cremer, D. (2003). Noneconomic motives predicting cooperation in public good dilemmas: The effect of received respect on contributions. </w:t>
      </w:r>
      <w:r w:rsidRPr="002414E9">
        <w:rPr>
          <w:rFonts w:eastAsia="DengXian" w:cs="Times New Roman"/>
          <w:i/>
          <w:iCs/>
          <w:noProof/>
          <w:lang w:eastAsia="zh-CN"/>
        </w:rPr>
        <w:t>Social Justice Research</w:t>
      </w:r>
      <w:r w:rsidRPr="002414E9">
        <w:rPr>
          <w:rFonts w:eastAsia="DengXian" w:cs="Times New Roman"/>
          <w:noProof/>
          <w:lang w:eastAsia="zh-CN"/>
        </w:rPr>
        <w:t xml:space="preserve">, </w:t>
      </w:r>
      <w:r w:rsidRPr="002414E9">
        <w:rPr>
          <w:rFonts w:eastAsia="DengXian" w:cs="Times New Roman"/>
          <w:i/>
          <w:iCs/>
          <w:noProof/>
          <w:lang w:eastAsia="zh-CN"/>
        </w:rPr>
        <w:t>16</w:t>
      </w:r>
      <w:r w:rsidRPr="002414E9">
        <w:rPr>
          <w:rFonts w:eastAsia="DengXian" w:cs="Times New Roman"/>
          <w:noProof/>
          <w:lang w:eastAsia="zh-CN"/>
        </w:rPr>
        <w:t>(4), 367–377. https://doi.org/10.1023/A:1026361632114</w:t>
      </w:r>
    </w:p>
    <w:p w14:paraId="052B86F2" w14:textId="392228B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lastRenderedPageBreak/>
        <w:t xml:space="preserve">De Cremer, D. (2007a). When the rich contribute more in public good dilemmas: The role of provision point level. </w:t>
      </w:r>
      <w:r w:rsidRPr="002414E9">
        <w:rPr>
          <w:rFonts w:eastAsia="DengXian" w:cs="Times New Roman"/>
          <w:i/>
          <w:iCs/>
          <w:noProof/>
          <w:lang w:eastAsia="zh-CN"/>
        </w:rPr>
        <w:t>European Journal of Social Psychology</w:t>
      </w:r>
      <w:r w:rsidRPr="002414E9">
        <w:rPr>
          <w:rFonts w:eastAsia="DengXian" w:cs="Times New Roman"/>
          <w:noProof/>
          <w:lang w:eastAsia="zh-CN"/>
        </w:rPr>
        <w:t xml:space="preserve">, </w:t>
      </w:r>
      <w:r w:rsidRPr="002414E9">
        <w:rPr>
          <w:rFonts w:eastAsia="DengXian" w:cs="Times New Roman"/>
          <w:i/>
          <w:iCs/>
          <w:noProof/>
          <w:lang w:eastAsia="zh-CN"/>
        </w:rPr>
        <w:t>37</w:t>
      </w:r>
      <w:r w:rsidRPr="002414E9">
        <w:rPr>
          <w:rFonts w:eastAsia="DengXian" w:cs="Times New Roman"/>
          <w:noProof/>
          <w:lang w:eastAsia="zh-CN"/>
        </w:rPr>
        <w:t>(3), 536–546. https://doi.org/10.1002/ejsp.368</w:t>
      </w:r>
    </w:p>
    <w:p w14:paraId="71E4944E" w14:textId="6E80EE7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De Cremer, D. (2007b). Which type of leader do I support in step-level public good dilemmas? The roles of level of threshold and trust. </w:t>
      </w:r>
      <w:r w:rsidRPr="002414E9">
        <w:rPr>
          <w:rFonts w:eastAsia="DengXian" w:cs="Times New Roman"/>
          <w:i/>
          <w:iCs/>
          <w:noProof/>
          <w:lang w:eastAsia="zh-CN"/>
        </w:rPr>
        <w:t>Scandinavian Journal of Psychology</w:t>
      </w:r>
      <w:r w:rsidRPr="002414E9">
        <w:rPr>
          <w:rFonts w:eastAsia="DengXian" w:cs="Times New Roman"/>
          <w:noProof/>
          <w:lang w:eastAsia="zh-CN"/>
        </w:rPr>
        <w:t xml:space="preserve">, </w:t>
      </w:r>
      <w:r w:rsidRPr="002414E9">
        <w:rPr>
          <w:rFonts w:eastAsia="DengXian" w:cs="Times New Roman"/>
          <w:i/>
          <w:iCs/>
          <w:noProof/>
          <w:lang w:eastAsia="zh-CN"/>
        </w:rPr>
        <w:t>48</w:t>
      </w:r>
      <w:r w:rsidRPr="002414E9">
        <w:rPr>
          <w:rFonts w:eastAsia="DengXian" w:cs="Times New Roman"/>
          <w:noProof/>
          <w:lang w:eastAsia="zh-CN"/>
        </w:rPr>
        <w:t>(1), 51–59. https://doi.org/10.1111/j.1467-9450.2007.00569.x</w:t>
      </w:r>
    </w:p>
    <w:p w14:paraId="691A5C7C" w14:textId="634919FA" w:rsidR="002414E9" w:rsidRPr="002414E9" w:rsidRDefault="002414E9" w:rsidP="002414E9">
      <w:pPr>
        <w:widowControl w:val="0"/>
        <w:autoSpaceDE w:val="0"/>
        <w:autoSpaceDN w:val="0"/>
        <w:adjustRightInd w:val="0"/>
        <w:ind w:left="709" w:hanging="709"/>
        <w:rPr>
          <w:rFonts w:eastAsia="DengXian" w:cs="Times New Roman"/>
          <w:noProof/>
          <w:lang w:val="en-GB" w:eastAsia="zh-CN"/>
        </w:rPr>
      </w:pPr>
      <w:r w:rsidRPr="002414E9">
        <w:rPr>
          <w:rFonts w:eastAsia="DengXian" w:cs="Times New Roman"/>
          <w:noProof/>
          <w:lang w:val="en-GB" w:eastAsia="zh-CN"/>
        </w:rPr>
        <w:t xml:space="preserve">De Cremer, D., &amp; Barker, M. (2003). </w:t>
      </w:r>
      <w:r w:rsidRPr="002414E9">
        <w:rPr>
          <w:rFonts w:eastAsia="DengXian" w:cs="Times New Roman"/>
          <w:noProof/>
          <w:lang w:eastAsia="zh-CN"/>
        </w:rPr>
        <w:t xml:space="preserve">Accountability and cooperation in social dilemmas: The influence of others’ reputational concerns. </w:t>
      </w:r>
      <w:r w:rsidRPr="002414E9">
        <w:rPr>
          <w:rFonts w:eastAsia="DengXian" w:cs="Times New Roman"/>
          <w:i/>
          <w:iCs/>
          <w:noProof/>
          <w:lang w:val="en-GB" w:eastAsia="zh-CN"/>
        </w:rPr>
        <w:t>Current Psychology</w:t>
      </w:r>
      <w:r w:rsidRPr="002414E9">
        <w:rPr>
          <w:rFonts w:eastAsia="DengXian" w:cs="Times New Roman"/>
          <w:noProof/>
          <w:lang w:val="en-GB" w:eastAsia="zh-CN"/>
        </w:rPr>
        <w:t xml:space="preserve">, </w:t>
      </w:r>
      <w:r w:rsidRPr="002414E9">
        <w:rPr>
          <w:rFonts w:eastAsia="DengXian" w:cs="Times New Roman"/>
          <w:i/>
          <w:iCs/>
          <w:noProof/>
          <w:lang w:val="en-GB" w:eastAsia="zh-CN"/>
        </w:rPr>
        <w:t>22</w:t>
      </w:r>
      <w:r w:rsidRPr="002414E9">
        <w:rPr>
          <w:rFonts w:eastAsia="DengXian" w:cs="Times New Roman"/>
          <w:noProof/>
          <w:lang w:val="en-GB" w:eastAsia="zh-CN"/>
        </w:rPr>
        <w:t>(2), 155–163. https://doi.org/10.1007/s12144-003-1006-6</w:t>
      </w:r>
    </w:p>
    <w:p w14:paraId="335AED78" w14:textId="0676886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De Cremer, D., &amp; Dewitte, S. (2002). Effect of trust and accountability in mixed-motive situations. </w:t>
      </w:r>
      <w:r w:rsidRPr="002414E9">
        <w:rPr>
          <w:rFonts w:eastAsia="DengXian" w:cs="Times New Roman"/>
          <w:i/>
          <w:iCs/>
          <w:noProof/>
          <w:lang w:eastAsia="zh-CN"/>
        </w:rPr>
        <w:t>The Journal of Social Psychology</w:t>
      </w:r>
      <w:r w:rsidRPr="002414E9">
        <w:rPr>
          <w:rFonts w:eastAsia="DengXian" w:cs="Times New Roman"/>
          <w:noProof/>
          <w:lang w:eastAsia="zh-CN"/>
        </w:rPr>
        <w:t xml:space="preserve">, </w:t>
      </w:r>
      <w:r w:rsidRPr="002414E9">
        <w:rPr>
          <w:rFonts w:eastAsia="DengXian" w:cs="Times New Roman"/>
          <w:i/>
          <w:iCs/>
          <w:noProof/>
          <w:lang w:eastAsia="zh-CN"/>
        </w:rPr>
        <w:t>142</w:t>
      </w:r>
      <w:r w:rsidRPr="002414E9">
        <w:rPr>
          <w:rFonts w:eastAsia="DengXian" w:cs="Times New Roman"/>
          <w:noProof/>
          <w:lang w:eastAsia="zh-CN"/>
        </w:rPr>
        <w:t>(4), 541–543. https://doi.org/10.1080/00224540209603917</w:t>
      </w:r>
    </w:p>
    <w:p w14:paraId="4254E810" w14:textId="0C5C9A1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De Cremer, D., &amp; Dijk, E. Van. </w:t>
      </w:r>
      <w:r w:rsidRPr="002414E9">
        <w:rPr>
          <w:rFonts w:eastAsia="DengXian" w:cs="Times New Roman"/>
          <w:noProof/>
          <w:lang w:eastAsia="zh-CN"/>
        </w:rPr>
        <w:t xml:space="preserve">(2009). Paying for sanctions in social dilemmas: The effects of endowment asymmetry and accountability. </w:t>
      </w:r>
      <w:r w:rsidRPr="002414E9">
        <w:rPr>
          <w:rFonts w:eastAsia="DengXian" w:cs="Times New Roman"/>
          <w:i/>
          <w:iCs/>
          <w:noProof/>
          <w:lang w:eastAsia="zh-CN"/>
        </w:rPr>
        <w:t>Organizational Behavior and Human Decision Processes</w:t>
      </w:r>
      <w:r w:rsidRPr="002414E9">
        <w:rPr>
          <w:rFonts w:eastAsia="DengXian" w:cs="Times New Roman"/>
          <w:noProof/>
          <w:lang w:eastAsia="zh-CN"/>
        </w:rPr>
        <w:t xml:space="preserve">, </w:t>
      </w:r>
      <w:r w:rsidRPr="002414E9">
        <w:rPr>
          <w:rFonts w:eastAsia="DengXian" w:cs="Times New Roman"/>
          <w:i/>
          <w:iCs/>
          <w:noProof/>
          <w:lang w:eastAsia="zh-CN"/>
        </w:rPr>
        <w:t>109</w:t>
      </w:r>
      <w:r w:rsidRPr="002414E9">
        <w:rPr>
          <w:rFonts w:eastAsia="DengXian" w:cs="Times New Roman"/>
          <w:noProof/>
          <w:lang w:eastAsia="zh-CN"/>
        </w:rPr>
        <w:t>(1), 45–55. https://doi.org/10.1016/j.obhdp.2009.01.004</w:t>
      </w:r>
    </w:p>
    <w:p w14:paraId="4E5794FD" w14:textId="578F10D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n-GB" w:eastAsia="zh-CN"/>
        </w:rPr>
        <w:t xml:space="preserve">De Cremer, D., &amp; Leonardelli, G. J. (2003). </w:t>
      </w:r>
      <w:r w:rsidRPr="002414E9">
        <w:rPr>
          <w:rFonts w:eastAsia="DengXian" w:cs="Times New Roman"/>
          <w:noProof/>
          <w:lang w:eastAsia="zh-CN"/>
        </w:rPr>
        <w:t xml:space="preserve">Cooperation in social dilemmas and the need to belong: The moderating effect of group size. </w:t>
      </w:r>
      <w:r w:rsidRPr="002414E9">
        <w:rPr>
          <w:rFonts w:eastAsia="DengXian" w:cs="Times New Roman"/>
          <w:i/>
          <w:iCs/>
          <w:noProof/>
          <w:lang w:eastAsia="zh-CN"/>
        </w:rPr>
        <w:t>Group Dynamics: Theory, Research, and Practice</w:t>
      </w:r>
      <w:r w:rsidRPr="002414E9">
        <w:rPr>
          <w:rFonts w:eastAsia="DengXian" w:cs="Times New Roman"/>
          <w:noProof/>
          <w:lang w:eastAsia="zh-CN"/>
        </w:rPr>
        <w:t xml:space="preserve">, </w:t>
      </w:r>
      <w:r w:rsidRPr="002414E9">
        <w:rPr>
          <w:rFonts w:eastAsia="DengXian" w:cs="Times New Roman"/>
          <w:i/>
          <w:iCs/>
          <w:noProof/>
          <w:lang w:eastAsia="zh-CN"/>
        </w:rPr>
        <w:t>7</w:t>
      </w:r>
      <w:r w:rsidRPr="002414E9">
        <w:rPr>
          <w:rFonts w:eastAsia="DengXian" w:cs="Times New Roman"/>
          <w:noProof/>
          <w:lang w:eastAsia="zh-CN"/>
        </w:rPr>
        <w:t>(2), 168–174. https://doi.org/10.1037/1089-2699.7.2.168</w:t>
      </w:r>
    </w:p>
    <w:p w14:paraId="10FB8C53" w14:textId="26859DF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De Cremer, D., &amp; Stouten, J. (2003). When do people find cooperation most justified? The effect of trust and self–other merging in social dilemmas. </w:t>
      </w:r>
      <w:r w:rsidRPr="002414E9">
        <w:rPr>
          <w:rFonts w:eastAsia="DengXian" w:cs="Times New Roman"/>
          <w:i/>
          <w:iCs/>
          <w:noProof/>
          <w:lang w:eastAsia="zh-CN"/>
        </w:rPr>
        <w:t>Social Justice Research</w:t>
      </w:r>
      <w:r w:rsidRPr="002414E9">
        <w:rPr>
          <w:rFonts w:eastAsia="DengXian" w:cs="Times New Roman"/>
          <w:noProof/>
          <w:lang w:eastAsia="zh-CN"/>
        </w:rPr>
        <w:t xml:space="preserve">, </w:t>
      </w:r>
      <w:r w:rsidRPr="002414E9">
        <w:rPr>
          <w:rFonts w:eastAsia="DengXian" w:cs="Times New Roman"/>
          <w:i/>
          <w:iCs/>
          <w:noProof/>
          <w:lang w:eastAsia="zh-CN"/>
        </w:rPr>
        <w:t>16</w:t>
      </w:r>
      <w:r w:rsidRPr="002414E9">
        <w:rPr>
          <w:rFonts w:eastAsia="DengXian" w:cs="Times New Roman"/>
          <w:noProof/>
          <w:lang w:eastAsia="zh-CN"/>
        </w:rPr>
        <w:t>, 41–52. https://doi.org/10.1023/A:1022974027023</w:t>
      </w:r>
    </w:p>
    <w:p w14:paraId="1D42FA89" w14:textId="6F0AA7E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De Cremer, D., &amp; Van Dijk, E. (2002a). Reactions to group success and failure as a function of identification level: a test of the goal-transformation hypothesis in social dilemmas. </w:t>
      </w:r>
      <w:r w:rsidRPr="002414E9">
        <w:rPr>
          <w:rFonts w:eastAsia="DengXian" w:cs="Times New Roman"/>
          <w:i/>
          <w:iCs/>
          <w:noProof/>
          <w:lang w:eastAsia="zh-CN"/>
        </w:rPr>
        <w:lastRenderedPageBreak/>
        <w:t>Journal of Experimental Social Psychology</w:t>
      </w:r>
      <w:r w:rsidRPr="002414E9">
        <w:rPr>
          <w:rFonts w:eastAsia="DengXian" w:cs="Times New Roman"/>
          <w:noProof/>
          <w:lang w:eastAsia="zh-CN"/>
        </w:rPr>
        <w:t xml:space="preserve">, </w:t>
      </w:r>
      <w:r w:rsidRPr="002414E9">
        <w:rPr>
          <w:rFonts w:eastAsia="DengXian" w:cs="Times New Roman"/>
          <w:i/>
          <w:iCs/>
          <w:noProof/>
          <w:lang w:eastAsia="zh-CN"/>
        </w:rPr>
        <w:t>38</w:t>
      </w:r>
      <w:r w:rsidRPr="002414E9">
        <w:rPr>
          <w:rFonts w:eastAsia="DengXian" w:cs="Times New Roman"/>
          <w:noProof/>
          <w:lang w:eastAsia="zh-CN"/>
        </w:rPr>
        <w:t>(5), 435–442. https://doi.org/10.1016/S0022-1031(02)00009-4</w:t>
      </w:r>
    </w:p>
    <w:p w14:paraId="2D921DF5" w14:textId="06D7730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De Cremer, D., &amp; Van Dijk, E. (2002b). </w:t>
      </w:r>
      <w:r w:rsidRPr="002414E9">
        <w:rPr>
          <w:rFonts w:eastAsia="DengXian" w:cs="Times New Roman"/>
          <w:noProof/>
          <w:lang w:eastAsia="zh-CN"/>
        </w:rPr>
        <w:t xml:space="preserve">Perceived criticality and contributions in public good dilemmas: A matter of feeling responsible to all? </w:t>
      </w:r>
      <w:r w:rsidRPr="002414E9">
        <w:rPr>
          <w:rFonts w:eastAsia="DengXian" w:cs="Times New Roman"/>
          <w:i/>
          <w:iCs/>
          <w:noProof/>
          <w:lang w:eastAsia="zh-CN"/>
        </w:rPr>
        <w:t>Group Processes &amp; Intergroup Relations</w:t>
      </w:r>
      <w:r w:rsidRPr="002414E9">
        <w:rPr>
          <w:rFonts w:eastAsia="DengXian" w:cs="Times New Roman"/>
          <w:noProof/>
          <w:lang w:eastAsia="zh-CN"/>
        </w:rPr>
        <w:t xml:space="preserve">, </w:t>
      </w:r>
      <w:r w:rsidRPr="002414E9">
        <w:rPr>
          <w:rFonts w:eastAsia="DengXian" w:cs="Times New Roman"/>
          <w:i/>
          <w:iCs/>
          <w:noProof/>
          <w:lang w:eastAsia="zh-CN"/>
        </w:rPr>
        <w:t>5</w:t>
      </w:r>
      <w:r w:rsidRPr="002414E9">
        <w:rPr>
          <w:rFonts w:eastAsia="DengXian" w:cs="Times New Roman"/>
          <w:noProof/>
          <w:lang w:eastAsia="zh-CN"/>
        </w:rPr>
        <w:t>(4), 319–331. https://doi.org/10.1177/1368430202005004004</w:t>
      </w:r>
    </w:p>
    <w:p w14:paraId="5993FEB8" w14:textId="12658D9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De Cremer, D., &amp; Van Dijk, E. (2005). </w:t>
      </w:r>
      <w:r w:rsidRPr="002414E9">
        <w:rPr>
          <w:rFonts w:eastAsia="DengXian" w:cs="Times New Roman"/>
          <w:noProof/>
          <w:lang w:eastAsia="zh-CN"/>
        </w:rPr>
        <w:t xml:space="preserve">When and why leaders put themselves first: Leader behaviour in resource allocations as a function of feeling entitled. </w:t>
      </w:r>
      <w:r w:rsidRPr="002414E9">
        <w:rPr>
          <w:rFonts w:eastAsia="DengXian" w:cs="Times New Roman"/>
          <w:i/>
          <w:iCs/>
          <w:noProof/>
          <w:lang w:eastAsia="zh-CN"/>
        </w:rPr>
        <w:t>European Journal of Social Psychology</w:t>
      </w:r>
      <w:r w:rsidRPr="002414E9">
        <w:rPr>
          <w:rFonts w:eastAsia="DengXian" w:cs="Times New Roman"/>
          <w:noProof/>
          <w:lang w:eastAsia="zh-CN"/>
        </w:rPr>
        <w:t xml:space="preserve">, </w:t>
      </w:r>
      <w:r w:rsidRPr="002414E9">
        <w:rPr>
          <w:rFonts w:eastAsia="DengXian" w:cs="Times New Roman"/>
          <w:i/>
          <w:iCs/>
          <w:noProof/>
          <w:lang w:eastAsia="zh-CN"/>
        </w:rPr>
        <w:t>35</w:t>
      </w:r>
      <w:r w:rsidRPr="002414E9">
        <w:rPr>
          <w:rFonts w:eastAsia="DengXian" w:cs="Times New Roman"/>
          <w:noProof/>
          <w:lang w:eastAsia="zh-CN"/>
        </w:rPr>
        <w:t>(4), 553–563. https://doi.org/10.1002/ejsp.260</w:t>
      </w:r>
    </w:p>
    <w:p w14:paraId="1D9FB3F5" w14:textId="5CF4D75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De Cremer, D., &amp; Van Dijk, E. (2008). </w:t>
      </w:r>
      <w:r w:rsidRPr="002414E9">
        <w:rPr>
          <w:rFonts w:eastAsia="DengXian" w:cs="Times New Roman"/>
          <w:noProof/>
          <w:lang w:eastAsia="zh-CN"/>
        </w:rPr>
        <w:t xml:space="preserve">Leader—follower effects in resource dilemmas: The roles of leadership selection and social responsibility. </w:t>
      </w:r>
      <w:r w:rsidRPr="002414E9">
        <w:rPr>
          <w:rFonts w:eastAsia="DengXian" w:cs="Times New Roman"/>
          <w:i/>
          <w:iCs/>
          <w:noProof/>
          <w:lang w:eastAsia="zh-CN"/>
        </w:rPr>
        <w:t>Group Processes &amp; Intergroup Relations</w:t>
      </w:r>
      <w:r w:rsidRPr="002414E9">
        <w:rPr>
          <w:rFonts w:eastAsia="DengXian" w:cs="Times New Roman"/>
          <w:noProof/>
          <w:lang w:eastAsia="zh-CN"/>
        </w:rPr>
        <w:t xml:space="preserve">, </w:t>
      </w:r>
      <w:r w:rsidRPr="002414E9">
        <w:rPr>
          <w:rFonts w:eastAsia="DengXian" w:cs="Times New Roman"/>
          <w:i/>
          <w:iCs/>
          <w:noProof/>
          <w:lang w:eastAsia="zh-CN"/>
        </w:rPr>
        <w:t>11</w:t>
      </w:r>
      <w:r w:rsidRPr="002414E9">
        <w:rPr>
          <w:rFonts w:eastAsia="DengXian" w:cs="Times New Roman"/>
          <w:noProof/>
          <w:lang w:eastAsia="zh-CN"/>
        </w:rPr>
        <w:t>(3), 355–369. https://doi.org/10.1177/1368430208090647</w:t>
      </w:r>
    </w:p>
    <w:p w14:paraId="12C7930D" w14:textId="37F5A1AF" w:rsidR="002414E9" w:rsidRPr="002414E9" w:rsidRDefault="002414E9" w:rsidP="002414E9">
      <w:pPr>
        <w:widowControl w:val="0"/>
        <w:autoSpaceDE w:val="0"/>
        <w:autoSpaceDN w:val="0"/>
        <w:adjustRightInd w:val="0"/>
        <w:ind w:left="709" w:hanging="709"/>
        <w:rPr>
          <w:rFonts w:eastAsia="DengXian" w:cs="Times New Roman"/>
          <w:noProof/>
          <w:lang w:val="nl-NL" w:eastAsia="zh-CN"/>
        </w:rPr>
      </w:pPr>
      <w:r w:rsidRPr="002414E9">
        <w:rPr>
          <w:rFonts w:eastAsia="DengXian" w:cs="Times New Roman"/>
          <w:noProof/>
          <w:lang w:val="nl-NL" w:eastAsia="zh-CN"/>
        </w:rPr>
        <w:t xml:space="preserve">De Cremer, D., &amp; Van Dijk, E. (2011). </w:t>
      </w:r>
      <w:r w:rsidRPr="002414E9">
        <w:rPr>
          <w:rFonts w:eastAsia="DengXian" w:cs="Times New Roman"/>
          <w:noProof/>
          <w:lang w:eastAsia="zh-CN"/>
        </w:rPr>
        <w:t xml:space="preserve">On the near miss in public good dilemmas: How upward counterfactuals influence group stability when the group fails. </w:t>
      </w:r>
      <w:r w:rsidRPr="002414E9">
        <w:rPr>
          <w:rFonts w:eastAsia="DengXian" w:cs="Times New Roman"/>
          <w:i/>
          <w:iCs/>
          <w:noProof/>
          <w:lang w:val="nl-NL" w:eastAsia="zh-CN"/>
        </w:rPr>
        <w:t>Journal of Experimental Social Psychology</w:t>
      </w:r>
      <w:r w:rsidRPr="002414E9">
        <w:rPr>
          <w:rFonts w:eastAsia="DengXian" w:cs="Times New Roman"/>
          <w:noProof/>
          <w:lang w:val="nl-NL" w:eastAsia="zh-CN"/>
        </w:rPr>
        <w:t xml:space="preserve">, </w:t>
      </w:r>
      <w:r w:rsidRPr="002414E9">
        <w:rPr>
          <w:rFonts w:eastAsia="DengXian" w:cs="Times New Roman"/>
          <w:i/>
          <w:iCs/>
          <w:noProof/>
          <w:lang w:val="nl-NL" w:eastAsia="zh-CN"/>
        </w:rPr>
        <w:t>47</w:t>
      </w:r>
      <w:r w:rsidRPr="002414E9">
        <w:rPr>
          <w:rFonts w:eastAsia="DengXian" w:cs="Times New Roman"/>
          <w:noProof/>
          <w:lang w:val="nl-NL" w:eastAsia="zh-CN"/>
        </w:rPr>
        <w:t>(1), 139–146. https://doi.org/10.1016/j.jesp.2010.09.006</w:t>
      </w:r>
    </w:p>
    <w:p w14:paraId="0D61136C" w14:textId="65488D3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De Cremer, D., &amp; Van Knippenberg, D. (2003). </w:t>
      </w:r>
      <w:r w:rsidRPr="002414E9">
        <w:rPr>
          <w:rFonts w:eastAsia="DengXian" w:cs="Times New Roman"/>
          <w:noProof/>
          <w:lang w:eastAsia="zh-CN"/>
        </w:rPr>
        <w:t xml:space="preserve">Cooperation with leaders in social dilemmas: On the effects of procedural fairness and outcome favorability in structural cooperation. </w:t>
      </w:r>
      <w:r w:rsidRPr="002414E9">
        <w:rPr>
          <w:rFonts w:eastAsia="DengXian" w:cs="Times New Roman"/>
          <w:i/>
          <w:iCs/>
          <w:noProof/>
          <w:lang w:eastAsia="zh-CN"/>
        </w:rPr>
        <w:t>Organizational Behavior and Human Decision Processes</w:t>
      </w:r>
      <w:r w:rsidRPr="002414E9">
        <w:rPr>
          <w:rFonts w:eastAsia="DengXian" w:cs="Times New Roman"/>
          <w:noProof/>
          <w:lang w:eastAsia="zh-CN"/>
        </w:rPr>
        <w:t xml:space="preserve">, </w:t>
      </w:r>
      <w:r w:rsidRPr="002414E9">
        <w:rPr>
          <w:rFonts w:eastAsia="DengXian" w:cs="Times New Roman"/>
          <w:i/>
          <w:iCs/>
          <w:noProof/>
          <w:lang w:eastAsia="zh-CN"/>
        </w:rPr>
        <w:t>91</w:t>
      </w:r>
      <w:r w:rsidRPr="002414E9">
        <w:rPr>
          <w:rFonts w:eastAsia="DengXian" w:cs="Times New Roman"/>
          <w:noProof/>
          <w:lang w:eastAsia="zh-CN"/>
        </w:rPr>
        <w:t>(1), 1–11. https://doi.org/10.1016/S0749-5978(02)00539-3</w:t>
      </w:r>
    </w:p>
    <w:p w14:paraId="6032C477" w14:textId="2B5D69B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De Cremer, D., &amp; Van Knippenberg, D. (2005). </w:t>
      </w:r>
      <w:r w:rsidRPr="002414E9">
        <w:rPr>
          <w:rFonts w:eastAsia="DengXian" w:cs="Times New Roman"/>
          <w:noProof/>
          <w:lang w:eastAsia="zh-CN"/>
        </w:rPr>
        <w:t xml:space="preserve">Cooperation as a function of leader self‐sacrifice, trust, and identification. </w:t>
      </w:r>
      <w:r w:rsidRPr="002414E9">
        <w:rPr>
          <w:rFonts w:eastAsia="DengXian" w:cs="Times New Roman"/>
          <w:i/>
          <w:iCs/>
          <w:noProof/>
          <w:lang w:eastAsia="zh-CN"/>
        </w:rPr>
        <w:t>Leadership &amp; Organization Development Journal</w:t>
      </w:r>
      <w:r w:rsidRPr="002414E9">
        <w:rPr>
          <w:rFonts w:eastAsia="DengXian" w:cs="Times New Roman"/>
          <w:noProof/>
          <w:lang w:eastAsia="zh-CN"/>
        </w:rPr>
        <w:t xml:space="preserve">, </w:t>
      </w:r>
      <w:r w:rsidRPr="002414E9">
        <w:rPr>
          <w:rFonts w:eastAsia="DengXian" w:cs="Times New Roman"/>
          <w:i/>
          <w:iCs/>
          <w:noProof/>
          <w:lang w:eastAsia="zh-CN"/>
        </w:rPr>
        <w:t>26</w:t>
      </w:r>
      <w:r w:rsidRPr="002414E9">
        <w:rPr>
          <w:rFonts w:eastAsia="DengXian" w:cs="Times New Roman"/>
          <w:noProof/>
          <w:lang w:eastAsia="zh-CN"/>
        </w:rPr>
        <w:t>(5), 355–369. https://doi.org/10.1108/01437730510607853</w:t>
      </w:r>
    </w:p>
    <w:p w14:paraId="16A7E5D8" w14:textId="39AE68C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De Cremer, D., &amp; Van Lange, P. A. M. (2001). </w:t>
      </w:r>
      <w:r w:rsidRPr="002414E9">
        <w:rPr>
          <w:rFonts w:eastAsia="DengXian" w:cs="Times New Roman"/>
          <w:noProof/>
          <w:lang w:eastAsia="zh-CN"/>
        </w:rPr>
        <w:t xml:space="preserve">Why prosocials exhibit greater cooperation than proselfs: The roles of social responsibility and reciprocity. </w:t>
      </w:r>
      <w:r w:rsidRPr="002414E9">
        <w:rPr>
          <w:rFonts w:eastAsia="DengXian" w:cs="Times New Roman"/>
          <w:i/>
          <w:iCs/>
          <w:noProof/>
          <w:lang w:eastAsia="zh-CN"/>
        </w:rPr>
        <w:t xml:space="preserve">European Journal of </w:t>
      </w:r>
      <w:r w:rsidRPr="002414E9">
        <w:rPr>
          <w:rFonts w:eastAsia="DengXian" w:cs="Times New Roman"/>
          <w:i/>
          <w:iCs/>
          <w:noProof/>
          <w:lang w:eastAsia="zh-CN"/>
        </w:rPr>
        <w:lastRenderedPageBreak/>
        <w:t>Personality</w:t>
      </w:r>
      <w:r w:rsidRPr="002414E9">
        <w:rPr>
          <w:rFonts w:eastAsia="DengXian" w:cs="Times New Roman"/>
          <w:noProof/>
          <w:lang w:eastAsia="zh-CN"/>
        </w:rPr>
        <w:t xml:space="preserve">, </w:t>
      </w:r>
      <w:r w:rsidRPr="002414E9">
        <w:rPr>
          <w:rFonts w:eastAsia="DengXian" w:cs="Times New Roman"/>
          <w:i/>
          <w:iCs/>
          <w:noProof/>
          <w:lang w:eastAsia="zh-CN"/>
        </w:rPr>
        <w:t>15</w:t>
      </w:r>
      <w:r w:rsidRPr="002414E9">
        <w:rPr>
          <w:rFonts w:eastAsia="DengXian" w:cs="Times New Roman"/>
          <w:noProof/>
          <w:lang w:eastAsia="zh-CN"/>
        </w:rPr>
        <w:t>(1_suppl), S5–S18. https://doi.org/10.1002/per.418</w:t>
      </w:r>
    </w:p>
    <w:p w14:paraId="4229566D" w14:textId="72F764F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De Cremer, D., &amp; Van Vugt, M. (1998). </w:t>
      </w:r>
      <w:r w:rsidRPr="002414E9">
        <w:rPr>
          <w:rFonts w:eastAsia="DengXian" w:cs="Times New Roman"/>
          <w:noProof/>
          <w:lang w:eastAsia="zh-CN"/>
        </w:rPr>
        <w:t xml:space="preserve">Collective identity and cooperation in a public goods dilemma: A matter of trust or self-efficacy? </w:t>
      </w:r>
      <w:r w:rsidRPr="002414E9">
        <w:rPr>
          <w:rFonts w:eastAsia="DengXian" w:cs="Times New Roman"/>
          <w:i/>
          <w:iCs/>
          <w:noProof/>
          <w:lang w:eastAsia="zh-CN"/>
        </w:rPr>
        <w:t>Current Research in Social Psychology</w:t>
      </w:r>
      <w:r w:rsidRPr="002414E9">
        <w:rPr>
          <w:rFonts w:eastAsia="DengXian" w:cs="Times New Roman"/>
          <w:noProof/>
          <w:lang w:eastAsia="zh-CN"/>
        </w:rPr>
        <w:t xml:space="preserve">, </w:t>
      </w:r>
      <w:r w:rsidRPr="002414E9">
        <w:rPr>
          <w:rFonts w:eastAsia="DengXian" w:cs="Times New Roman"/>
          <w:i/>
          <w:iCs/>
          <w:noProof/>
          <w:lang w:eastAsia="zh-CN"/>
        </w:rPr>
        <w:t>3</w:t>
      </w:r>
      <w:r w:rsidRPr="002414E9">
        <w:rPr>
          <w:rFonts w:eastAsia="DengXian" w:cs="Times New Roman"/>
          <w:noProof/>
          <w:lang w:eastAsia="zh-CN"/>
        </w:rPr>
        <w:t>(1), 1–11.</w:t>
      </w:r>
    </w:p>
    <w:p w14:paraId="46E56DF6"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De Cremer, D., &amp; Van Vugt, M. (1999). Social identification effects in social dilemmas: A transformation of motives. </w:t>
      </w:r>
      <w:r w:rsidRPr="002414E9">
        <w:rPr>
          <w:rFonts w:eastAsia="DengXian" w:cs="Times New Roman"/>
          <w:i/>
          <w:iCs/>
          <w:noProof/>
          <w:lang w:eastAsia="zh-CN"/>
        </w:rPr>
        <w:t>European Journal of Social Psychology</w:t>
      </w:r>
      <w:r w:rsidRPr="002414E9">
        <w:rPr>
          <w:rFonts w:eastAsia="DengXian" w:cs="Times New Roman"/>
          <w:noProof/>
          <w:lang w:eastAsia="zh-CN"/>
        </w:rPr>
        <w:t xml:space="preserve">, </w:t>
      </w:r>
      <w:r w:rsidRPr="002414E9">
        <w:rPr>
          <w:rFonts w:eastAsia="DengXian" w:cs="Times New Roman"/>
          <w:i/>
          <w:iCs/>
          <w:noProof/>
          <w:lang w:eastAsia="zh-CN"/>
        </w:rPr>
        <w:t>29</w:t>
      </w:r>
      <w:r w:rsidRPr="002414E9">
        <w:rPr>
          <w:rFonts w:eastAsia="DengXian" w:cs="Times New Roman"/>
          <w:noProof/>
          <w:lang w:eastAsia="zh-CN"/>
        </w:rPr>
        <w:t>(7), 871–893. https://doi.org/10.1002/(SICI)1099-0992(199911)29:7&lt;871::AID-EJSP962&gt;3.0.CO;2-I</w:t>
      </w:r>
    </w:p>
    <w:p w14:paraId="6AB85274" w14:textId="17E8AE5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De Cremer, D., &amp; Van Vugt, M. (2002). </w:t>
      </w:r>
      <w:r w:rsidRPr="002414E9">
        <w:rPr>
          <w:rFonts w:eastAsia="DengXian" w:cs="Times New Roman"/>
          <w:noProof/>
          <w:lang w:eastAsia="zh-CN"/>
        </w:rPr>
        <w:t xml:space="preserve">Intergroup and intragroup aspects of leadership in social dilemmas: A relational model of cooperation. </w:t>
      </w:r>
      <w:r w:rsidRPr="002414E9">
        <w:rPr>
          <w:rFonts w:eastAsia="DengXian" w:cs="Times New Roman"/>
          <w:i/>
          <w:iCs/>
          <w:noProof/>
          <w:lang w:eastAsia="zh-CN"/>
        </w:rPr>
        <w:t>Journal of Experimental Social Psychology</w:t>
      </w:r>
      <w:r w:rsidRPr="002414E9">
        <w:rPr>
          <w:rFonts w:eastAsia="DengXian" w:cs="Times New Roman"/>
          <w:noProof/>
          <w:lang w:eastAsia="zh-CN"/>
        </w:rPr>
        <w:t xml:space="preserve">, </w:t>
      </w:r>
      <w:r w:rsidRPr="002414E9">
        <w:rPr>
          <w:rFonts w:eastAsia="DengXian" w:cs="Times New Roman"/>
          <w:i/>
          <w:iCs/>
          <w:noProof/>
          <w:lang w:eastAsia="zh-CN"/>
        </w:rPr>
        <w:t>38</w:t>
      </w:r>
      <w:r w:rsidRPr="002414E9">
        <w:rPr>
          <w:rFonts w:eastAsia="DengXian" w:cs="Times New Roman"/>
          <w:noProof/>
          <w:lang w:eastAsia="zh-CN"/>
        </w:rPr>
        <w:t>(2), 126–136. https://doi.org/10.1006/jesp.2001.1499</w:t>
      </w:r>
    </w:p>
    <w:p w14:paraId="3C400F0C" w14:textId="5476422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De Cremer, D., Hoogervorst, N., &amp; Desmet, P. (2012). </w:t>
      </w:r>
      <w:r w:rsidRPr="002414E9">
        <w:rPr>
          <w:rFonts w:eastAsia="DengXian" w:cs="Times New Roman"/>
          <w:noProof/>
          <w:lang w:eastAsia="zh-CN"/>
        </w:rPr>
        <w:t xml:space="preserve">Procedural justice and sanctions in social dilemmas: The moderating effects of group feedback and identification. </w:t>
      </w:r>
      <w:r w:rsidRPr="002414E9">
        <w:rPr>
          <w:rFonts w:eastAsia="DengXian" w:cs="Times New Roman"/>
          <w:i/>
          <w:iCs/>
          <w:noProof/>
          <w:lang w:eastAsia="zh-CN"/>
        </w:rPr>
        <w:t>Journal of Applied Social Psychology</w:t>
      </w:r>
      <w:r w:rsidRPr="002414E9">
        <w:rPr>
          <w:rFonts w:eastAsia="DengXian" w:cs="Times New Roman"/>
          <w:noProof/>
          <w:lang w:eastAsia="zh-CN"/>
        </w:rPr>
        <w:t xml:space="preserve">, </w:t>
      </w:r>
      <w:r w:rsidRPr="002414E9">
        <w:rPr>
          <w:rFonts w:eastAsia="DengXian" w:cs="Times New Roman"/>
          <w:i/>
          <w:iCs/>
          <w:noProof/>
          <w:lang w:eastAsia="zh-CN"/>
        </w:rPr>
        <w:t>42</w:t>
      </w:r>
      <w:r w:rsidRPr="002414E9">
        <w:rPr>
          <w:rFonts w:eastAsia="DengXian" w:cs="Times New Roman"/>
          <w:noProof/>
          <w:lang w:eastAsia="zh-CN"/>
        </w:rPr>
        <w:t>(7), 1675–1693. https://doi.org/10.1111/j.1559-1816.2012.00914.x</w:t>
      </w:r>
    </w:p>
    <w:p w14:paraId="008E1036" w14:textId="57D4FBF4" w:rsidR="002414E9" w:rsidRPr="002414E9" w:rsidRDefault="002414E9" w:rsidP="002414E9">
      <w:pPr>
        <w:widowControl w:val="0"/>
        <w:autoSpaceDE w:val="0"/>
        <w:autoSpaceDN w:val="0"/>
        <w:adjustRightInd w:val="0"/>
        <w:ind w:left="709" w:hanging="709"/>
        <w:rPr>
          <w:rFonts w:eastAsia="DengXian" w:cs="Times New Roman"/>
          <w:noProof/>
          <w:lang w:val="nl-NL" w:eastAsia="zh-CN"/>
        </w:rPr>
      </w:pPr>
      <w:r w:rsidRPr="002414E9">
        <w:rPr>
          <w:rFonts w:eastAsia="DengXian" w:cs="Times New Roman"/>
          <w:noProof/>
          <w:lang w:val="nl-NL" w:eastAsia="zh-CN"/>
        </w:rPr>
        <w:t xml:space="preserve">De Cremer, D., Snyder, M., &amp; Dewitte, S. (2001). </w:t>
      </w:r>
      <w:r w:rsidRPr="002414E9">
        <w:rPr>
          <w:rFonts w:eastAsia="DengXian" w:cs="Times New Roman"/>
          <w:noProof/>
          <w:lang w:eastAsia="zh-CN"/>
        </w:rPr>
        <w:t xml:space="preserve">“The less I trust, the less I contribute (or not)?” The effects of trust, accountability and self-monitoring in social dilemmas. </w:t>
      </w:r>
      <w:r w:rsidRPr="002414E9">
        <w:rPr>
          <w:rFonts w:eastAsia="DengXian" w:cs="Times New Roman"/>
          <w:i/>
          <w:iCs/>
          <w:noProof/>
          <w:lang w:val="nl-NL" w:eastAsia="zh-CN"/>
        </w:rPr>
        <w:t>European Journal of Social Psychology</w:t>
      </w:r>
      <w:r w:rsidRPr="002414E9">
        <w:rPr>
          <w:rFonts w:eastAsia="DengXian" w:cs="Times New Roman"/>
          <w:noProof/>
          <w:lang w:val="nl-NL" w:eastAsia="zh-CN"/>
        </w:rPr>
        <w:t xml:space="preserve">, </w:t>
      </w:r>
      <w:r w:rsidRPr="002414E9">
        <w:rPr>
          <w:rFonts w:eastAsia="DengXian" w:cs="Times New Roman"/>
          <w:i/>
          <w:iCs/>
          <w:noProof/>
          <w:lang w:val="nl-NL" w:eastAsia="zh-CN"/>
        </w:rPr>
        <w:t>31</w:t>
      </w:r>
      <w:r w:rsidRPr="002414E9">
        <w:rPr>
          <w:rFonts w:eastAsia="DengXian" w:cs="Times New Roman"/>
          <w:noProof/>
          <w:lang w:val="nl-NL" w:eastAsia="zh-CN"/>
        </w:rPr>
        <w:t>(1), 93–107. https://doi.org/10.1002/ejsp.34</w:t>
      </w:r>
    </w:p>
    <w:p w14:paraId="65109AB7" w14:textId="20D2B06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De Cremer, D., Van Knippenberg, D., Van Dijk, E., &amp; Van Leeuwen, E. (2008). </w:t>
      </w:r>
      <w:r w:rsidRPr="002414E9">
        <w:rPr>
          <w:rFonts w:eastAsia="DengXian" w:cs="Times New Roman"/>
          <w:noProof/>
          <w:lang w:eastAsia="zh-CN"/>
        </w:rPr>
        <w:t xml:space="preserve">Cooperating if one’s goals are collective-based: Social identification effects in social dilemmas as a function of goal transformation. </w:t>
      </w:r>
      <w:r w:rsidRPr="002414E9">
        <w:rPr>
          <w:rFonts w:eastAsia="DengXian" w:cs="Times New Roman"/>
          <w:i/>
          <w:iCs/>
          <w:noProof/>
          <w:lang w:eastAsia="zh-CN"/>
        </w:rPr>
        <w:t>Journal of Applied Social Psychology</w:t>
      </w:r>
      <w:r w:rsidRPr="002414E9">
        <w:rPr>
          <w:rFonts w:eastAsia="DengXian" w:cs="Times New Roman"/>
          <w:noProof/>
          <w:lang w:eastAsia="zh-CN"/>
        </w:rPr>
        <w:t xml:space="preserve">, </w:t>
      </w:r>
      <w:r w:rsidRPr="002414E9">
        <w:rPr>
          <w:rFonts w:eastAsia="DengXian" w:cs="Times New Roman"/>
          <w:i/>
          <w:iCs/>
          <w:noProof/>
          <w:lang w:eastAsia="zh-CN"/>
        </w:rPr>
        <w:t>38</w:t>
      </w:r>
      <w:r w:rsidRPr="002414E9">
        <w:rPr>
          <w:rFonts w:eastAsia="DengXian" w:cs="Times New Roman"/>
          <w:noProof/>
          <w:lang w:eastAsia="zh-CN"/>
        </w:rPr>
        <w:t>(6), 1562–1579. https://doi.org/10.1111/j.1559-1816.2008.00359.x</w:t>
      </w:r>
    </w:p>
    <w:p w14:paraId="490C5A0A" w14:textId="4DC66DC8" w:rsidR="002414E9" w:rsidRPr="002414E9" w:rsidRDefault="002414E9" w:rsidP="002414E9">
      <w:pPr>
        <w:widowControl w:val="0"/>
        <w:autoSpaceDE w:val="0"/>
        <w:autoSpaceDN w:val="0"/>
        <w:adjustRightInd w:val="0"/>
        <w:ind w:left="709" w:hanging="709"/>
        <w:rPr>
          <w:rFonts w:eastAsia="DengXian" w:cs="Times New Roman"/>
          <w:noProof/>
          <w:lang w:val="nl-NL" w:eastAsia="zh-CN"/>
        </w:rPr>
      </w:pPr>
      <w:r w:rsidRPr="002414E9">
        <w:rPr>
          <w:rFonts w:eastAsia="DengXian" w:cs="Times New Roman"/>
          <w:noProof/>
          <w:lang w:eastAsia="zh-CN"/>
        </w:rPr>
        <w:t xml:space="preserve">De Dreu, C. K. W. (2012). Oxytocin modulates the link between adult attachment and cooperation through reduced betrayal aversion. </w:t>
      </w:r>
      <w:r w:rsidRPr="002414E9">
        <w:rPr>
          <w:rFonts w:eastAsia="DengXian" w:cs="Times New Roman"/>
          <w:i/>
          <w:iCs/>
          <w:noProof/>
          <w:lang w:val="nl-NL" w:eastAsia="zh-CN"/>
        </w:rPr>
        <w:t>Psychoneuroendocrinology</w:t>
      </w:r>
      <w:r w:rsidRPr="002414E9">
        <w:rPr>
          <w:rFonts w:eastAsia="DengXian" w:cs="Times New Roman"/>
          <w:noProof/>
          <w:lang w:val="nl-NL" w:eastAsia="zh-CN"/>
        </w:rPr>
        <w:t xml:space="preserve">, </w:t>
      </w:r>
      <w:r w:rsidRPr="002414E9">
        <w:rPr>
          <w:rFonts w:eastAsia="DengXian" w:cs="Times New Roman"/>
          <w:i/>
          <w:iCs/>
          <w:noProof/>
          <w:lang w:val="nl-NL" w:eastAsia="zh-CN"/>
        </w:rPr>
        <w:t>37</w:t>
      </w:r>
      <w:r w:rsidRPr="002414E9">
        <w:rPr>
          <w:rFonts w:eastAsia="DengXian" w:cs="Times New Roman"/>
          <w:noProof/>
          <w:lang w:val="nl-NL" w:eastAsia="zh-CN"/>
        </w:rPr>
        <w:t>(7), 871–</w:t>
      </w:r>
      <w:r w:rsidRPr="002414E9">
        <w:rPr>
          <w:rFonts w:eastAsia="DengXian" w:cs="Times New Roman"/>
          <w:noProof/>
          <w:lang w:val="nl-NL" w:eastAsia="zh-CN"/>
        </w:rPr>
        <w:lastRenderedPageBreak/>
        <w:t>880. https://doi.org/10.1016/j.psyneuen.2011.10.003</w:t>
      </w:r>
    </w:p>
    <w:p w14:paraId="79E704BA" w14:textId="506E6FF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fr-FR" w:eastAsia="zh-CN"/>
        </w:rPr>
        <w:t xml:space="preserve">De Dreu, C. K. W., &amp; McCusker, C. (1997). </w:t>
      </w:r>
      <w:r w:rsidRPr="002414E9">
        <w:rPr>
          <w:rFonts w:eastAsia="DengXian" w:cs="Times New Roman"/>
          <w:noProof/>
          <w:lang w:eastAsia="zh-CN"/>
        </w:rPr>
        <w:t xml:space="preserve">Gain–loss frames and cooperation in two-person social dilemmas: A transformational analysis. </w:t>
      </w:r>
      <w:r w:rsidRPr="002414E9">
        <w:rPr>
          <w:rFonts w:eastAsia="DengXian" w:cs="Times New Roman"/>
          <w:i/>
          <w:iCs/>
          <w:noProof/>
          <w:lang w:eastAsia="zh-CN"/>
        </w:rPr>
        <w:t>Journal of Personality and Social Psychology, 72</w:t>
      </w:r>
      <w:r w:rsidRPr="002414E9">
        <w:rPr>
          <w:rFonts w:eastAsia="DengXian" w:cs="Times New Roman"/>
          <w:noProof/>
          <w:lang w:eastAsia="zh-CN"/>
        </w:rPr>
        <w:t>(5), 1093–1106. https://doi.org/10.1037/0022-3514.72.5.1093</w:t>
      </w:r>
    </w:p>
    <w:p w14:paraId="2EAD3E45" w14:textId="37CB310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fr-FR" w:eastAsia="zh-CN"/>
        </w:rPr>
        <w:t xml:space="preserve">De Dreu, C. K. W., Yzerbyt, V. Y., &amp; Leyens, J.-P. (1995). </w:t>
      </w:r>
      <w:r w:rsidRPr="002414E9">
        <w:rPr>
          <w:rFonts w:eastAsia="DengXian" w:cs="Times New Roman"/>
          <w:noProof/>
          <w:lang w:eastAsia="zh-CN"/>
        </w:rPr>
        <w:t xml:space="preserve">Dilution of stereotype-based cooperation in mixed-motive interdependence. </w:t>
      </w:r>
      <w:r w:rsidRPr="002414E9">
        <w:rPr>
          <w:rFonts w:eastAsia="DengXian" w:cs="Times New Roman"/>
          <w:i/>
          <w:iCs/>
          <w:noProof/>
          <w:lang w:eastAsia="zh-CN"/>
        </w:rPr>
        <w:t>Journal of Experimental Social Psychology</w:t>
      </w:r>
      <w:r w:rsidRPr="002414E9">
        <w:rPr>
          <w:rFonts w:eastAsia="DengXian" w:cs="Times New Roman"/>
          <w:noProof/>
          <w:lang w:eastAsia="zh-CN"/>
        </w:rPr>
        <w:t xml:space="preserve">, </w:t>
      </w:r>
      <w:r w:rsidRPr="002414E9">
        <w:rPr>
          <w:rFonts w:eastAsia="DengXian" w:cs="Times New Roman"/>
          <w:i/>
          <w:iCs/>
          <w:noProof/>
          <w:lang w:eastAsia="zh-CN"/>
        </w:rPr>
        <w:t>31</w:t>
      </w:r>
      <w:r w:rsidRPr="002414E9">
        <w:rPr>
          <w:rFonts w:eastAsia="DengXian" w:cs="Times New Roman"/>
          <w:noProof/>
          <w:lang w:eastAsia="zh-CN"/>
        </w:rPr>
        <w:t>(6), 575–593. https://doi.org/10.1006/jesp.1995.1026</w:t>
      </w:r>
    </w:p>
    <w:p w14:paraId="473AA9B8" w14:textId="0925880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De Geest, L. R., Stranlund, J. K., &amp; Spraggon, J. M. (2017). </w:t>
      </w:r>
      <w:r w:rsidRPr="002414E9">
        <w:rPr>
          <w:rFonts w:eastAsia="DengXian" w:cs="Times New Roman"/>
          <w:noProof/>
          <w:lang w:eastAsia="zh-CN"/>
        </w:rPr>
        <w:t xml:space="preserve">Deterring poaching of a common pool resource.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141</w:t>
      </w:r>
      <w:r w:rsidRPr="002414E9">
        <w:rPr>
          <w:rFonts w:eastAsia="DengXian" w:cs="Times New Roman"/>
          <w:noProof/>
          <w:lang w:eastAsia="zh-CN"/>
        </w:rPr>
        <w:t>, 254–276. https://doi.org/10.1016/j.jebo.2017.06.006</w:t>
      </w:r>
    </w:p>
    <w:p w14:paraId="308DCAB7" w14:textId="7FE0593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De Haan, T., &amp; Van Veldhuizen, R. (2015). </w:t>
      </w:r>
      <w:r w:rsidRPr="002414E9">
        <w:rPr>
          <w:rFonts w:eastAsia="DengXian" w:cs="Times New Roman"/>
          <w:noProof/>
          <w:lang w:eastAsia="zh-CN"/>
        </w:rPr>
        <w:t xml:space="preserve">Willpower depletion and framing effects.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117</w:t>
      </w:r>
      <w:r w:rsidRPr="002414E9">
        <w:rPr>
          <w:rFonts w:eastAsia="DengXian" w:cs="Times New Roman"/>
          <w:noProof/>
          <w:lang w:eastAsia="zh-CN"/>
        </w:rPr>
        <w:t>, 47–61. https://doi.org/10.1016/j.jebo.2015.06.002</w:t>
      </w:r>
    </w:p>
    <w:p w14:paraId="4AA6A446" w14:textId="5CCCA485" w:rsidR="002414E9" w:rsidRPr="002414E9" w:rsidRDefault="002414E9" w:rsidP="002414E9">
      <w:pPr>
        <w:widowControl w:val="0"/>
        <w:autoSpaceDE w:val="0"/>
        <w:autoSpaceDN w:val="0"/>
        <w:adjustRightInd w:val="0"/>
        <w:ind w:left="709" w:hanging="709"/>
        <w:rPr>
          <w:rFonts w:eastAsia="DengXian" w:cs="Times New Roman"/>
          <w:noProof/>
          <w:lang w:val="nl-NL" w:eastAsia="zh-CN"/>
        </w:rPr>
      </w:pPr>
      <w:r w:rsidRPr="002414E9">
        <w:rPr>
          <w:rFonts w:eastAsia="DengXian" w:cs="Times New Roman"/>
          <w:noProof/>
          <w:lang w:val="nl-NL" w:eastAsia="zh-CN"/>
        </w:rPr>
        <w:t xml:space="preserve">De Heus, P., Hoogervorst, N., &amp; Van Dijk, E. (2010). </w:t>
      </w:r>
      <w:r w:rsidRPr="002414E9">
        <w:rPr>
          <w:rFonts w:eastAsia="DengXian" w:cs="Times New Roman"/>
          <w:noProof/>
          <w:lang w:eastAsia="zh-CN"/>
        </w:rPr>
        <w:t xml:space="preserve">Framing prisoners and chickens: Valence effects in the prisoner’s dilemma and the chicken game. </w:t>
      </w:r>
      <w:r w:rsidRPr="002414E9">
        <w:rPr>
          <w:rFonts w:eastAsia="DengXian" w:cs="Times New Roman"/>
          <w:i/>
          <w:iCs/>
          <w:noProof/>
          <w:lang w:val="nl-NL" w:eastAsia="zh-CN"/>
        </w:rPr>
        <w:t>Journal of Experimental Social Psychology</w:t>
      </w:r>
      <w:r w:rsidRPr="002414E9">
        <w:rPr>
          <w:rFonts w:eastAsia="DengXian" w:cs="Times New Roman"/>
          <w:noProof/>
          <w:lang w:val="nl-NL" w:eastAsia="zh-CN"/>
        </w:rPr>
        <w:t xml:space="preserve">, </w:t>
      </w:r>
      <w:r w:rsidRPr="002414E9">
        <w:rPr>
          <w:rFonts w:eastAsia="DengXian" w:cs="Times New Roman"/>
          <w:i/>
          <w:iCs/>
          <w:noProof/>
          <w:lang w:val="nl-NL" w:eastAsia="zh-CN"/>
        </w:rPr>
        <w:t>46</w:t>
      </w:r>
      <w:r w:rsidRPr="002414E9">
        <w:rPr>
          <w:rFonts w:eastAsia="DengXian" w:cs="Times New Roman"/>
          <w:noProof/>
          <w:lang w:val="nl-NL" w:eastAsia="zh-CN"/>
        </w:rPr>
        <w:t>(5), 736–742. https://doi.org/10.1016/j.jesp.2010.04.013</w:t>
      </w:r>
    </w:p>
    <w:p w14:paraId="75F8EA71" w14:textId="31D06C0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De Hooge, I. E., Breugelmans, S. M., &amp; Zeelenberg, M. (2008). </w:t>
      </w:r>
      <w:r w:rsidRPr="002414E9">
        <w:rPr>
          <w:rFonts w:eastAsia="DengXian" w:cs="Times New Roman"/>
          <w:noProof/>
          <w:lang w:eastAsia="zh-CN"/>
        </w:rPr>
        <w:t xml:space="preserve">Not so ugly after all: When shame acts as a commitment device. </w:t>
      </w:r>
      <w:r w:rsidRPr="002414E9">
        <w:rPr>
          <w:rFonts w:eastAsia="DengXian" w:cs="Times New Roman"/>
          <w:i/>
          <w:iCs/>
          <w:noProof/>
          <w:lang w:eastAsia="zh-CN"/>
        </w:rPr>
        <w:t>Journal of Personality and Social Psychology</w:t>
      </w:r>
      <w:r w:rsidRPr="002414E9">
        <w:rPr>
          <w:rFonts w:eastAsia="DengXian" w:cs="Times New Roman"/>
          <w:noProof/>
          <w:lang w:eastAsia="zh-CN"/>
        </w:rPr>
        <w:t xml:space="preserve">, </w:t>
      </w:r>
      <w:r w:rsidRPr="002414E9">
        <w:rPr>
          <w:rFonts w:eastAsia="DengXian" w:cs="Times New Roman"/>
          <w:i/>
          <w:iCs/>
          <w:noProof/>
          <w:lang w:eastAsia="zh-CN"/>
        </w:rPr>
        <w:t>95</w:t>
      </w:r>
      <w:r w:rsidRPr="002414E9">
        <w:rPr>
          <w:rFonts w:eastAsia="DengXian" w:cs="Times New Roman"/>
          <w:noProof/>
          <w:lang w:eastAsia="zh-CN"/>
        </w:rPr>
        <w:t>(4), 933–943. https://doi.org/10.1037/a0011991</w:t>
      </w:r>
    </w:p>
    <w:p w14:paraId="6946E929" w14:textId="23CDA0CA" w:rsidR="002414E9" w:rsidRPr="002414E9" w:rsidRDefault="002414E9" w:rsidP="002414E9">
      <w:pPr>
        <w:widowControl w:val="0"/>
        <w:autoSpaceDE w:val="0"/>
        <w:autoSpaceDN w:val="0"/>
        <w:adjustRightInd w:val="0"/>
        <w:ind w:left="709" w:hanging="709"/>
        <w:rPr>
          <w:rFonts w:eastAsia="DengXian" w:cs="Times New Roman"/>
          <w:noProof/>
          <w:lang w:val="nl-NL" w:eastAsia="zh-CN"/>
        </w:rPr>
      </w:pPr>
      <w:r w:rsidRPr="002414E9">
        <w:rPr>
          <w:rFonts w:eastAsia="DengXian" w:cs="Times New Roman"/>
          <w:noProof/>
          <w:lang w:val="nl-NL" w:eastAsia="zh-CN"/>
        </w:rPr>
        <w:t xml:space="preserve">De Jong, G., &amp; Veijer, J. (2014). </w:t>
      </w:r>
      <w:r w:rsidRPr="002414E9">
        <w:rPr>
          <w:rFonts w:eastAsia="DengXian" w:cs="Times New Roman"/>
          <w:noProof/>
          <w:lang w:eastAsia="zh-CN"/>
        </w:rPr>
        <w:t xml:space="preserve">Cooperative behavior in strategic decision making: Human capital and personality traits. In T. K. Das (Ed.), </w:t>
      </w:r>
      <w:r w:rsidRPr="002414E9">
        <w:rPr>
          <w:rFonts w:eastAsia="DengXian" w:cs="Times New Roman"/>
          <w:i/>
          <w:iCs/>
          <w:noProof/>
          <w:lang w:eastAsia="zh-CN"/>
        </w:rPr>
        <w:t>Research in behavioral strategy. Behavioral strategy: Emerging perspectives</w:t>
      </w:r>
      <w:r w:rsidRPr="002414E9">
        <w:rPr>
          <w:rFonts w:eastAsia="DengXian" w:cs="Times New Roman"/>
          <w:noProof/>
          <w:lang w:eastAsia="zh-CN"/>
        </w:rPr>
        <w:t xml:space="preserve"> (pp. 55–78). </w:t>
      </w:r>
      <w:r w:rsidRPr="002414E9">
        <w:rPr>
          <w:rFonts w:eastAsia="DengXian" w:cs="Times New Roman"/>
          <w:noProof/>
          <w:lang w:val="nl-NL" w:eastAsia="zh-CN"/>
        </w:rPr>
        <w:t>IAP Information Age Publishing.</w:t>
      </w:r>
    </w:p>
    <w:p w14:paraId="606BAA53" w14:textId="229E211A" w:rsidR="002414E9" w:rsidRPr="002414E9" w:rsidRDefault="002414E9" w:rsidP="002414E9">
      <w:pPr>
        <w:widowControl w:val="0"/>
        <w:autoSpaceDE w:val="0"/>
        <w:autoSpaceDN w:val="0"/>
        <w:adjustRightInd w:val="0"/>
        <w:ind w:left="709" w:hanging="709"/>
        <w:rPr>
          <w:rFonts w:eastAsia="DengXian" w:cs="Times New Roman"/>
          <w:noProof/>
          <w:lang w:val="nl-NL" w:eastAsia="zh-CN"/>
        </w:rPr>
      </w:pPr>
      <w:r w:rsidRPr="002414E9">
        <w:rPr>
          <w:rFonts w:eastAsia="DengXian" w:cs="Times New Roman"/>
          <w:noProof/>
          <w:lang w:val="nl-NL" w:eastAsia="zh-CN"/>
        </w:rPr>
        <w:lastRenderedPageBreak/>
        <w:t xml:space="preserve">De Kwaadsteniet, E. W., Van Dijk, E., Wit, A., &amp; De Cremer, D. (2006). </w:t>
      </w:r>
      <w:r w:rsidRPr="002414E9">
        <w:rPr>
          <w:rFonts w:eastAsia="DengXian" w:cs="Times New Roman"/>
          <w:noProof/>
          <w:lang w:eastAsia="zh-CN"/>
        </w:rPr>
        <w:t xml:space="preserve">Social dilemmas as strong versus weak situations: Social value orientations and tacit coordination under resource size uncertainty. </w:t>
      </w:r>
      <w:r w:rsidRPr="002414E9">
        <w:rPr>
          <w:rFonts w:eastAsia="DengXian" w:cs="Times New Roman"/>
          <w:i/>
          <w:iCs/>
          <w:noProof/>
          <w:lang w:val="nl-NL" w:eastAsia="zh-CN"/>
        </w:rPr>
        <w:t>Journal of Experimental Social Psychology</w:t>
      </w:r>
      <w:r w:rsidRPr="002414E9">
        <w:rPr>
          <w:rFonts w:eastAsia="DengXian" w:cs="Times New Roman"/>
          <w:noProof/>
          <w:lang w:val="nl-NL" w:eastAsia="zh-CN"/>
        </w:rPr>
        <w:t xml:space="preserve">, </w:t>
      </w:r>
      <w:r w:rsidRPr="002414E9">
        <w:rPr>
          <w:rFonts w:eastAsia="DengXian" w:cs="Times New Roman"/>
          <w:i/>
          <w:iCs/>
          <w:noProof/>
          <w:lang w:val="nl-NL" w:eastAsia="zh-CN"/>
        </w:rPr>
        <w:t>42</w:t>
      </w:r>
      <w:r w:rsidRPr="002414E9">
        <w:rPr>
          <w:rFonts w:eastAsia="DengXian" w:cs="Times New Roman"/>
          <w:noProof/>
          <w:lang w:val="nl-NL" w:eastAsia="zh-CN"/>
        </w:rPr>
        <w:t>(4), 509–516. https://doi.org/10.1016/j.jesp.2005.06.004</w:t>
      </w:r>
    </w:p>
    <w:p w14:paraId="1D722997" w14:textId="2768B35F" w:rsidR="002414E9" w:rsidRPr="002414E9" w:rsidRDefault="002414E9" w:rsidP="002414E9">
      <w:pPr>
        <w:widowControl w:val="0"/>
        <w:autoSpaceDE w:val="0"/>
        <w:autoSpaceDN w:val="0"/>
        <w:adjustRightInd w:val="0"/>
        <w:ind w:left="709" w:hanging="709"/>
        <w:rPr>
          <w:rFonts w:eastAsia="DengXian" w:cs="Times New Roman"/>
          <w:noProof/>
          <w:lang w:val="nl-NL" w:eastAsia="zh-CN"/>
        </w:rPr>
      </w:pPr>
      <w:r w:rsidRPr="002414E9">
        <w:rPr>
          <w:rFonts w:eastAsia="DengXian" w:cs="Times New Roman"/>
          <w:noProof/>
          <w:lang w:val="nl-NL" w:eastAsia="zh-CN"/>
        </w:rPr>
        <w:t xml:space="preserve">De Kwaadsteniet, E. W., Van Dijk, E., Wit, A., &amp; De Cremer, D. (2008). </w:t>
      </w:r>
      <w:r w:rsidRPr="002414E9">
        <w:rPr>
          <w:rFonts w:eastAsia="DengXian" w:cs="Times New Roman"/>
          <w:noProof/>
          <w:lang w:eastAsia="zh-CN"/>
        </w:rPr>
        <w:t xml:space="preserve">“How many of us are there?”: Group size uncertainty and social value orientations in common resource dilemmas. </w:t>
      </w:r>
      <w:r w:rsidRPr="002414E9">
        <w:rPr>
          <w:rFonts w:eastAsia="DengXian" w:cs="Times New Roman"/>
          <w:i/>
          <w:iCs/>
          <w:noProof/>
          <w:lang w:val="nl-NL" w:eastAsia="zh-CN"/>
        </w:rPr>
        <w:t>Group Processes &amp; Intergroup Relations</w:t>
      </w:r>
      <w:r w:rsidRPr="002414E9">
        <w:rPr>
          <w:rFonts w:eastAsia="DengXian" w:cs="Times New Roman"/>
          <w:noProof/>
          <w:lang w:val="nl-NL" w:eastAsia="zh-CN"/>
        </w:rPr>
        <w:t xml:space="preserve">, </w:t>
      </w:r>
      <w:r w:rsidRPr="002414E9">
        <w:rPr>
          <w:rFonts w:eastAsia="DengXian" w:cs="Times New Roman"/>
          <w:i/>
          <w:iCs/>
          <w:noProof/>
          <w:lang w:val="nl-NL" w:eastAsia="zh-CN"/>
        </w:rPr>
        <w:t>11</w:t>
      </w:r>
      <w:r w:rsidRPr="002414E9">
        <w:rPr>
          <w:rFonts w:eastAsia="DengXian" w:cs="Times New Roman"/>
          <w:noProof/>
          <w:lang w:val="nl-NL" w:eastAsia="zh-CN"/>
        </w:rPr>
        <w:t>(3), 387–399. https://doi.org/10.1177/1368430208090649</w:t>
      </w:r>
    </w:p>
    <w:p w14:paraId="3FB24DDD" w14:textId="76B5FD94" w:rsidR="002414E9" w:rsidRPr="002414E9" w:rsidRDefault="002414E9" w:rsidP="002414E9">
      <w:pPr>
        <w:widowControl w:val="0"/>
        <w:autoSpaceDE w:val="0"/>
        <w:autoSpaceDN w:val="0"/>
        <w:adjustRightInd w:val="0"/>
        <w:ind w:left="709" w:hanging="709"/>
        <w:rPr>
          <w:rFonts w:eastAsia="DengXian" w:cs="Times New Roman"/>
          <w:noProof/>
          <w:lang w:val="nl-NL" w:eastAsia="zh-CN"/>
        </w:rPr>
      </w:pPr>
      <w:r w:rsidRPr="002414E9">
        <w:rPr>
          <w:rFonts w:eastAsia="DengXian" w:cs="Times New Roman"/>
          <w:noProof/>
          <w:lang w:val="nl-NL" w:eastAsia="zh-CN"/>
        </w:rPr>
        <w:t xml:space="preserve">De Kwaadsteniet, E. W., Van Dijk, E., Wit, A., &amp; De Cremer, D. (2009). </w:t>
      </w:r>
      <w:r w:rsidRPr="002414E9">
        <w:rPr>
          <w:rFonts w:eastAsia="DengXian" w:cs="Times New Roman"/>
          <w:noProof/>
          <w:lang w:eastAsia="zh-CN"/>
        </w:rPr>
        <w:t xml:space="preserve">Anger and retribution after collective overuse: The role of blaming and environmental uncertainty in social dilemmas. </w:t>
      </w:r>
      <w:r w:rsidRPr="002414E9">
        <w:rPr>
          <w:rFonts w:eastAsia="DengXian" w:cs="Times New Roman"/>
          <w:i/>
          <w:iCs/>
          <w:noProof/>
          <w:lang w:val="nl-NL" w:eastAsia="zh-CN"/>
        </w:rPr>
        <w:t>Personality and Social Psychology Bulletin</w:t>
      </w:r>
      <w:r w:rsidRPr="002414E9">
        <w:rPr>
          <w:rFonts w:eastAsia="DengXian" w:cs="Times New Roman"/>
          <w:noProof/>
          <w:lang w:val="nl-NL" w:eastAsia="zh-CN"/>
        </w:rPr>
        <w:t xml:space="preserve">, </w:t>
      </w:r>
      <w:r w:rsidRPr="002414E9">
        <w:rPr>
          <w:rFonts w:eastAsia="DengXian" w:cs="Times New Roman"/>
          <w:i/>
          <w:iCs/>
          <w:noProof/>
          <w:lang w:val="nl-NL" w:eastAsia="zh-CN"/>
        </w:rPr>
        <w:t>36</w:t>
      </w:r>
      <w:r w:rsidRPr="002414E9">
        <w:rPr>
          <w:rFonts w:eastAsia="DengXian" w:cs="Times New Roman"/>
          <w:noProof/>
          <w:lang w:val="nl-NL" w:eastAsia="zh-CN"/>
        </w:rPr>
        <w:t>(1), 59–70. https://doi.org/10.1177/0146167209352192</w:t>
      </w:r>
    </w:p>
    <w:p w14:paraId="3661E01E" w14:textId="3ECE0E3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De Kwaadsteniet, E. W., Van Dijk, E., Wit, A., De Cremer, D., &amp; De Rooij, M. (2007). </w:t>
      </w:r>
      <w:r w:rsidRPr="002414E9">
        <w:rPr>
          <w:rFonts w:eastAsia="DengXian" w:cs="Times New Roman"/>
          <w:noProof/>
          <w:lang w:eastAsia="zh-CN"/>
        </w:rPr>
        <w:t xml:space="preserve">Justifying decisions in social dilemmas: Justification pressures and tacit coordination under environmental uncertainty. </w:t>
      </w:r>
      <w:r w:rsidRPr="002414E9">
        <w:rPr>
          <w:rFonts w:eastAsia="DengXian" w:cs="Times New Roman"/>
          <w:i/>
          <w:iCs/>
          <w:noProof/>
          <w:lang w:eastAsia="zh-CN"/>
        </w:rPr>
        <w:t>Personality and Social Psychology Bulletin</w:t>
      </w:r>
      <w:r w:rsidRPr="002414E9">
        <w:rPr>
          <w:rFonts w:eastAsia="DengXian" w:cs="Times New Roman"/>
          <w:noProof/>
          <w:lang w:eastAsia="zh-CN"/>
        </w:rPr>
        <w:t xml:space="preserve">, </w:t>
      </w:r>
      <w:r w:rsidRPr="002414E9">
        <w:rPr>
          <w:rFonts w:eastAsia="DengXian" w:cs="Times New Roman"/>
          <w:i/>
          <w:iCs/>
          <w:noProof/>
          <w:lang w:eastAsia="zh-CN"/>
        </w:rPr>
        <w:t>33</w:t>
      </w:r>
      <w:r w:rsidRPr="002414E9">
        <w:rPr>
          <w:rFonts w:eastAsia="DengXian" w:cs="Times New Roman"/>
          <w:noProof/>
          <w:lang w:eastAsia="zh-CN"/>
        </w:rPr>
        <w:t>(12), 1648–1660. https://doi.org/10.1177/0146167207307490</w:t>
      </w:r>
    </w:p>
    <w:p w14:paraId="63DFA7A7" w14:textId="0203A90D" w:rsidR="002414E9" w:rsidRPr="002414E9" w:rsidRDefault="002414E9" w:rsidP="002414E9">
      <w:pPr>
        <w:widowControl w:val="0"/>
        <w:autoSpaceDE w:val="0"/>
        <w:autoSpaceDN w:val="0"/>
        <w:adjustRightInd w:val="0"/>
        <w:ind w:left="709" w:hanging="709"/>
        <w:rPr>
          <w:rFonts w:eastAsia="DengXian" w:cs="Times New Roman"/>
          <w:noProof/>
          <w:lang w:eastAsia="zh-CN"/>
        </w:rPr>
      </w:pPr>
      <w:bookmarkStart w:id="55" w:name="_Hlk74301538"/>
      <w:r w:rsidRPr="002414E9">
        <w:rPr>
          <w:rFonts w:eastAsia="DengXian" w:cs="Times New Roman"/>
          <w:noProof/>
          <w:lang w:eastAsia="zh-CN"/>
        </w:rPr>
        <w:t xml:space="preserve">De Melo, C. M. (2012). </w:t>
      </w:r>
      <w:r w:rsidRPr="002414E9">
        <w:rPr>
          <w:rFonts w:eastAsia="DengXian" w:cs="Times New Roman"/>
          <w:i/>
          <w:iCs/>
          <w:noProof/>
          <w:lang w:eastAsia="zh-CN"/>
        </w:rPr>
        <w:t xml:space="preserve">The interpersonal effect of emotion in decision-making and social dilemmas </w:t>
      </w:r>
      <w:r w:rsidRPr="002414E9">
        <w:rPr>
          <w:rFonts w:eastAsia="DengXian" w:cs="Times New Roman"/>
          <w:noProof/>
          <w:lang w:eastAsia="zh-CN"/>
        </w:rPr>
        <w:t>[Doctoral dissertation, University of Southern California, Los Angeles]. USC Digital Library. https://celsodemelo.net/static/publications/deMelo12-PhD.pdf</w:t>
      </w:r>
    </w:p>
    <w:bookmarkEnd w:id="55"/>
    <w:p w14:paraId="162F99D2" w14:textId="61790820"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De Melo, C. M., Carnevale, P. J., Read, S. J., &amp; Gratch, J. (2014). Reading people’s minds from emotion expressions in interdependent decision making. </w:t>
      </w:r>
      <w:r w:rsidRPr="002414E9">
        <w:rPr>
          <w:rFonts w:eastAsia="DengXian" w:cs="Times New Roman"/>
          <w:bCs/>
          <w:i/>
          <w:iCs/>
          <w:noProof/>
          <w:lang w:eastAsia="zh-CN"/>
        </w:rPr>
        <w:t>Journal of Personality and Social Psychology, 106</w:t>
      </w:r>
      <w:r w:rsidRPr="002414E9">
        <w:rPr>
          <w:rFonts w:eastAsia="DengXian" w:cs="Times New Roman"/>
          <w:bCs/>
          <w:noProof/>
          <w:lang w:eastAsia="zh-CN"/>
        </w:rPr>
        <w:t>(1), 73–88. https://doi.org/10.1037/a0034251</w:t>
      </w:r>
    </w:p>
    <w:p w14:paraId="3B2CD333" w14:textId="7B399A8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De Melo, C. Marsella, S., &amp; Gratch, J. (2016). People do not feel guilty about exploiting </w:t>
      </w:r>
      <w:r w:rsidRPr="002414E9">
        <w:rPr>
          <w:rFonts w:eastAsia="DengXian" w:cs="Times New Roman"/>
          <w:noProof/>
          <w:lang w:eastAsia="zh-CN"/>
        </w:rPr>
        <w:lastRenderedPageBreak/>
        <w:t xml:space="preserve">machines. </w:t>
      </w:r>
      <w:r w:rsidRPr="002414E9">
        <w:rPr>
          <w:rFonts w:eastAsia="DengXian" w:cs="Times New Roman"/>
          <w:i/>
          <w:iCs/>
          <w:noProof/>
          <w:lang w:eastAsia="zh-CN"/>
        </w:rPr>
        <w:t>ACM Transactions on Computer-Human Interaction</w:t>
      </w:r>
      <w:r w:rsidRPr="002414E9">
        <w:rPr>
          <w:rFonts w:eastAsia="DengXian" w:cs="Times New Roman"/>
          <w:noProof/>
          <w:lang w:eastAsia="zh-CN"/>
        </w:rPr>
        <w:t xml:space="preserve">, </w:t>
      </w:r>
      <w:r w:rsidRPr="002414E9">
        <w:rPr>
          <w:rFonts w:eastAsia="DengXian" w:cs="Times New Roman"/>
          <w:i/>
          <w:iCs/>
          <w:noProof/>
          <w:lang w:eastAsia="zh-CN"/>
        </w:rPr>
        <w:t>23</w:t>
      </w:r>
      <w:r w:rsidRPr="002414E9">
        <w:rPr>
          <w:rFonts w:eastAsia="DengXian" w:cs="Times New Roman"/>
          <w:noProof/>
          <w:lang w:eastAsia="zh-CN"/>
        </w:rPr>
        <w:t>(2), 1–17. https://doi.org/10.1145/2890495</w:t>
      </w:r>
    </w:p>
    <w:p w14:paraId="41AF1110" w14:textId="6BE9206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s-ES" w:eastAsia="zh-CN"/>
        </w:rPr>
        <w:t xml:space="preserve">De Oliveira, A. C. M., Croson, R. T. A., &amp; Eckel, C. (2011). </w:t>
      </w:r>
      <w:r w:rsidRPr="002414E9">
        <w:rPr>
          <w:rFonts w:eastAsia="DengXian" w:cs="Times New Roman"/>
          <w:noProof/>
          <w:lang w:eastAsia="zh-CN"/>
        </w:rPr>
        <w:t xml:space="preserve">The giving type: Identifying donors.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95</w:t>
      </w:r>
      <w:r w:rsidRPr="002414E9">
        <w:rPr>
          <w:rFonts w:eastAsia="DengXian" w:cs="Times New Roman"/>
          <w:noProof/>
          <w:lang w:eastAsia="zh-CN"/>
        </w:rPr>
        <w:t>(5–6), 428–435. https://doi.org/10.1016/j.jpubeco.2010.11.012</w:t>
      </w:r>
    </w:p>
    <w:p w14:paraId="742E5BDD" w14:textId="698CEBA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s-ES" w:eastAsia="zh-CN"/>
        </w:rPr>
        <w:t xml:space="preserve">De Oliveira, A. C. M., Croson, R. T. A., &amp; Eckel, C. (2015). </w:t>
      </w:r>
      <w:r w:rsidRPr="002414E9">
        <w:rPr>
          <w:rFonts w:eastAsia="DengXian" w:cs="Times New Roman"/>
          <w:noProof/>
          <w:lang w:eastAsia="zh-CN"/>
        </w:rPr>
        <w:t xml:space="preserve">One bad apple? Heterogeneity and information in public good provision.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18</w:t>
      </w:r>
      <w:r w:rsidRPr="002414E9">
        <w:rPr>
          <w:rFonts w:eastAsia="DengXian" w:cs="Times New Roman"/>
          <w:noProof/>
          <w:lang w:eastAsia="zh-CN"/>
        </w:rPr>
        <w:t>(1), 116–135. https://doi.org/10.1007/s10683-014-9412-1</w:t>
      </w:r>
    </w:p>
    <w:p w14:paraId="3187314F" w14:textId="5E39569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s-ES" w:eastAsia="zh-CN"/>
        </w:rPr>
        <w:t xml:space="preserve">De Oliveira, A. C. M., Eckel, C., &amp; Croson, R. T. A. (2012). </w:t>
      </w:r>
      <w:r w:rsidRPr="002414E9">
        <w:rPr>
          <w:rFonts w:eastAsia="DengXian" w:cs="Times New Roman"/>
          <w:noProof/>
          <w:lang w:eastAsia="zh-CN"/>
        </w:rPr>
        <w:t xml:space="preserve">The stability of social preferences in a low-income neighborhood. </w:t>
      </w:r>
      <w:r w:rsidRPr="002414E9">
        <w:rPr>
          <w:rFonts w:eastAsia="DengXian" w:cs="Times New Roman"/>
          <w:i/>
          <w:iCs/>
          <w:noProof/>
          <w:lang w:eastAsia="zh-CN"/>
        </w:rPr>
        <w:t>Southern Economic Journal</w:t>
      </w:r>
      <w:r w:rsidRPr="002414E9">
        <w:rPr>
          <w:rFonts w:eastAsia="DengXian" w:cs="Times New Roman"/>
          <w:noProof/>
          <w:lang w:eastAsia="zh-CN"/>
        </w:rPr>
        <w:t xml:space="preserve">, </w:t>
      </w:r>
      <w:r w:rsidRPr="002414E9">
        <w:rPr>
          <w:rFonts w:eastAsia="DengXian" w:cs="Times New Roman"/>
          <w:i/>
          <w:iCs/>
          <w:noProof/>
          <w:lang w:eastAsia="zh-CN"/>
        </w:rPr>
        <w:t>79</w:t>
      </w:r>
      <w:r w:rsidRPr="002414E9">
        <w:rPr>
          <w:rFonts w:eastAsia="DengXian" w:cs="Times New Roman"/>
          <w:noProof/>
          <w:lang w:eastAsia="zh-CN"/>
        </w:rPr>
        <w:t>(1), 15–45. https://doi.org/10.4284/0038-4038-79.1.15</w:t>
      </w:r>
    </w:p>
    <w:p w14:paraId="2A7B7FA3" w14:textId="58BB8811" w:rsidR="002414E9" w:rsidRPr="002414E9" w:rsidRDefault="002414E9" w:rsidP="002414E9">
      <w:pPr>
        <w:widowControl w:val="0"/>
        <w:autoSpaceDE w:val="0"/>
        <w:autoSpaceDN w:val="0"/>
        <w:adjustRightInd w:val="0"/>
        <w:ind w:left="709" w:hanging="709"/>
        <w:rPr>
          <w:rFonts w:eastAsia="DengXian" w:cs="Times New Roman"/>
          <w:noProof/>
          <w:lang w:val="it-IT" w:eastAsia="zh-CN"/>
        </w:rPr>
      </w:pPr>
      <w:r w:rsidRPr="002414E9">
        <w:rPr>
          <w:rFonts w:eastAsia="DengXian" w:cs="Times New Roman"/>
          <w:noProof/>
          <w:lang w:val="es-ES" w:eastAsia="zh-CN"/>
        </w:rPr>
        <w:t xml:space="preserve">De Oliveira, A. C. M., Spraggon, J. M., &amp; Denny, M. J. (2016). </w:t>
      </w:r>
      <w:r w:rsidRPr="002414E9">
        <w:rPr>
          <w:rFonts w:eastAsia="DengXian" w:cs="Times New Roman"/>
          <w:noProof/>
          <w:lang w:eastAsia="zh-CN"/>
        </w:rPr>
        <w:t xml:space="preserve">Instrumenting beliefs in threshold public goods. </w:t>
      </w:r>
      <w:r w:rsidRPr="002414E9">
        <w:rPr>
          <w:rFonts w:eastAsia="DengXian" w:cs="Times New Roman"/>
          <w:i/>
          <w:iCs/>
          <w:noProof/>
          <w:lang w:val="it-IT" w:eastAsia="zh-CN"/>
        </w:rPr>
        <w:t>PLoS ONE</w:t>
      </w:r>
      <w:r w:rsidRPr="002414E9">
        <w:rPr>
          <w:rFonts w:eastAsia="DengXian" w:cs="Times New Roman"/>
          <w:noProof/>
          <w:lang w:val="it-IT" w:eastAsia="zh-CN"/>
        </w:rPr>
        <w:t xml:space="preserve">, </w:t>
      </w:r>
      <w:r w:rsidRPr="002414E9">
        <w:rPr>
          <w:rFonts w:eastAsia="DengXian" w:cs="Times New Roman"/>
          <w:i/>
          <w:iCs/>
          <w:noProof/>
          <w:lang w:val="it-IT" w:eastAsia="zh-CN"/>
        </w:rPr>
        <w:t>11</w:t>
      </w:r>
      <w:r w:rsidRPr="002414E9">
        <w:rPr>
          <w:rFonts w:eastAsia="DengXian" w:cs="Times New Roman"/>
          <w:noProof/>
          <w:lang w:val="it-IT" w:eastAsia="zh-CN"/>
        </w:rPr>
        <w:t>(2), e0147043. https://doi.org/10.1371/journal.pone.0147043</w:t>
      </w:r>
    </w:p>
    <w:p w14:paraId="5EDC652F" w14:textId="2D5FCA4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DeAngelo, G., &amp; McCannon, B. C. (2017). </w:t>
      </w:r>
      <w:r w:rsidRPr="002414E9">
        <w:rPr>
          <w:rFonts w:eastAsia="DengXian" w:cs="Times New Roman"/>
          <w:noProof/>
          <w:lang w:eastAsia="zh-CN"/>
        </w:rPr>
        <w:t xml:space="preserve">Theory of Mind predicts cooperative behavior. </w:t>
      </w:r>
      <w:r w:rsidRPr="002414E9">
        <w:rPr>
          <w:rFonts w:eastAsia="DengXian" w:cs="Times New Roman"/>
          <w:i/>
          <w:iCs/>
          <w:noProof/>
          <w:lang w:eastAsia="zh-CN"/>
        </w:rPr>
        <w:t>Economics Letters</w:t>
      </w:r>
      <w:r w:rsidRPr="002414E9">
        <w:rPr>
          <w:rFonts w:eastAsia="DengXian" w:cs="Times New Roman"/>
          <w:noProof/>
          <w:lang w:eastAsia="zh-CN"/>
        </w:rPr>
        <w:t xml:space="preserve">, </w:t>
      </w:r>
      <w:r w:rsidRPr="002414E9">
        <w:rPr>
          <w:rFonts w:eastAsia="DengXian" w:cs="Times New Roman"/>
          <w:i/>
          <w:iCs/>
          <w:noProof/>
          <w:lang w:eastAsia="zh-CN"/>
        </w:rPr>
        <w:t>155</w:t>
      </w:r>
      <w:r w:rsidRPr="002414E9">
        <w:rPr>
          <w:rFonts w:eastAsia="DengXian" w:cs="Times New Roman"/>
          <w:noProof/>
          <w:lang w:eastAsia="zh-CN"/>
        </w:rPr>
        <w:t>, 1–4. https://doi.org/10.1016/j.econlet.2017.02.009</w:t>
      </w:r>
    </w:p>
    <w:p w14:paraId="4822952A" w14:textId="4EDF879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DeCelles, K. A., DeRue, D. S., Margolis, J. D., &amp; Ceranic, T. L. (2012). Does power corrupt or enable? When and why power facilitates self-interested behavior. </w:t>
      </w:r>
      <w:r w:rsidRPr="002414E9">
        <w:rPr>
          <w:rFonts w:eastAsia="DengXian" w:cs="Times New Roman"/>
          <w:i/>
          <w:iCs/>
          <w:noProof/>
          <w:lang w:eastAsia="zh-CN"/>
        </w:rPr>
        <w:t>Journal of Applied Psychology</w:t>
      </w:r>
      <w:r w:rsidRPr="002414E9">
        <w:rPr>
          <w:rFonts w:eastAsia="DengXian" w:cs="Times New Roman"/>
          <w:noProof/>
          <w:lang w:eastAsia="zh-CN"/>
        </w:rPr>
        <w:t xml:space="preserve">, </w:t>
      </w:r>
      <w:r w:rsidRPr="002414E9">
        <w:rPr>
          <w:rFonts w:eastAsia="DengXian" w:cs="Times New Roman"/>
          <w:i/>
          <w:iCs/>
          <w:noProof/>
          <w:lang w:eastAsia="zh-CN"/>
        </w:rPr>
        <w:t>97</w:t>
      </w:r>
      <w:r w:rsidRPr="002414E9">
        <w:rPr>
          <w:rFonts w:eastAsia="DengXian" w:cs="Times New Roman"/>
          <w:noProof/>
          <w:lang w:eastAsia="zh-CN"/>
        </w:rPr>
        <w:t>(3), 681–689. https://doi.org/10.1037/a0026811</w:t>
      </w:r>
    </w:p>
    <w:p w14:paraId="71C144F8" w14:textId="7061937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Deck, C., &amp; Jahedi, S. (2015). An experimental investigation of time discounting in strategic settings. </w:t>
      </w:r>
      <w:r w:rsidRPr="002414E9">
        <w:rPr>
          <w:rFonts w:eastAsia="DengXian" w:cs="Times New Roman"/>
          <w:i/>
          <w:iCs/>
          <w:noProof/>
          <w:lang w:eastAsia="zh-CN"/>
        </w:rPr>
        <w:t>Journal of Behavioral and Experimental Economics</w:t>
      </w:r>
      <w:r w:rsidRPr="002414E9">
        <w:rPr>
          <w:rFonts w:eastAsia="DengXian" w:cs="Times New Roman"/>
          <w:noProof/>
          <w:lang w:eastAsia="zh-CN"/>
        </w:rPr>
        <w:t xml:space="preserve">, </w:t>
      </w:r>
      <w:r w:rsidRPr="002414E9">
        <w:rPr>
          <w:rFonts w:eastAsia="DengXian" w:cs="Times New Roman"/>
          <w:i/>
          <w:iCs/>
          <w:noProof/>
          <w:lang w:eastAsia="zh-CN"/>
        </w:rPr>
        <w:t>54</w:t>
      </w:r>
      <w:r w:rsidRPr="002414E9">
        <w:rPr>
          <w:rFonts w:eastAsia="DengXian" w:cs="Times New Roman"/>
          <w:noProof/>
          <w:lang w:eastAsia="zh-CN"/>
        </w:rPr>
        <w:t>, 95–104. https://doi.org/10.1016/j.socec.2014.12.004</w:t>
      </w:r>
    </w:p>
    <w:p w14:paraId="1E7FE0B2" w14:textId="6A63B78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Decker, T., Stiehler, A., &amp; Strobel, M. (2003). </w:t>
      </w:r>
      <w:r w:rsidRPr="002414E9">
        <w:rPr>
          <w:rFonts w:eastAsia="DengXian" w:cs="Times New Roman"/>
          <w:noProof/>
          <w:lang w:eastAsia="zh-CN"/>
        </w:rPr>
        <w:t xml:space="preserve">A comparison of punishment rules in repeated </w:t>
      </w:r>
      <w:r w:rsidRPr="002414E9">
        <w:rPr>
          <w:rFonts w:eastAsia="DengXian" w:cs="Times New Roman"/>
          <w:noProof/>
          <w:lang w:eastAsia="zh-CN"/>
        </w:rPr>
        <w:lastRenderedPageBreak/>
        <w:t xml:space="preserve">public good games. </w:t>
      </w:r>
      <w:r w:rsidRPr="002414E9">
        <w:rPr>
          <w:rFonts w:eastAsia="DengXian" w:cs="Times New Roman"/>
          <w:i/>
          <w:iCs/>
          <w:noProof/>
          <w:lang w:eastAsia="zh-CN"/>
        </w:rPr>
        <w:t>Journal of Conflict Resolution</w:t>
      </w:r>
      <w:r w:rsidRPr="002414E9">
        <w:rPr>
          <w:rFonts w:eastAsia="DengXian" w:cs="Times New Roman"/>
          <w:noProof/>
          <w:lang w:eastAsia="zh-CN"/>
        </w:rPr>
        <w:t xml:space="preserve">, </w:t>
      </w:r>
      <w:r w:rsidRPr="002414E9">
        <w:rPr>
          <w:rFonts w:eastAsia="DengXian" w:cs="Times New Roman"/>
          <w:i/>
          <w:iCs/>
          <w:noProof/>
          <w:lang w:eastAsia="zh-CN"/>
        </w:rPr>
        <w:t>47</w:t>
      </w:r>
      <w:r w:rsidRPr="002414E9">
        <w:rPr>
          <w:rFonts w:eastAsia="DengXian" w:cs="Times New Roman"/>
          <w:noProof/>
          <w:lang w:eastAsia="zh-CN"/>
        </w:rPr>
        <w:t>(6), 751–772. https://doi.org/10.1177/0022002703258795</w:t>
      </w:r>
    </w:p>
    <w:p w14:paraId="2ADBD738" w14:textId="0E850BA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Declerck, C. H., Boone, C., &amp; Kiyonari, T. (2010). Oxytocin and cooperation under conditions of uncertainty: the modulating role of incentives and social information. </w:t>
      </w:r>
      <w:r w:rsidRPr="002414E9">
        <w:rPr>
          <w:rFonts w:eastAsia="DengXian" w:cs="Times New Roman"/>
          <w:i/>
          <w:iCs/>
          <w:noProof/>
          <w:lang w:eastAsia="zh-CN"/>
        </w:rPr>
        <w:t>Hormones and Behavior</w:t>
      </w:r>
      <w:r w:rsidRPr="002414E9">
        <w:rPr>
          <w:rFonts w:eastAsia="DengXian" w:cs="Times New Roman"/>
          <w:noProof/>
          <w:lang w:eastAsia="zh-CN"/>
        </w:rPr>
        <w:t xml:space="preserve">, </w:t>
      </w:r>
      <w:r w:rsidRPr="002414E9">
        <w:rPr>
          <w:rFonts w:eastAsia="DengXian" w:cs="Times New Roman"/>
          <w:i/>
          <w:iCs/>
          <w:noProof/>
          <w:lang w:eastAsia="zh-CN"/>
        </w:rPr>
        <w:t>57</w:t>
      </w:r>
      <w:r w:rsidRPr="002414E9">
        <w:rPr>
          <w:rFonts w:eastAsia="DengXian" w:cs="Times New Roman"/>
          <w:noProof/>
          <w:lang w:eastAsia="zh-CN"/>
        </w:rPr>
        <w:t>(3), 368–374. https://doi.org/10.1016/j.yhbeh.2010.01.006</w:t>
      </w:r>
    </w:p>
    <w:p w14:paraId="4EDC4EEB" w14:textId="211D4D2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Declerck, C. H., Boone, C., &amp; Kiyonari, T. (2014). The effect of oxytocin on cooperation in a prisoner’s dilemma depends on the social context and a person’s social value orientation. </w:t>
      </w:r>
      <w:r w:rsidRPr="002414E9">
        <w:rPr>
          <w:rFonts w:eastAsia="DengXian" w:cs="Times New Roman"/>
          <w:i/>
          <w:iCs/>
          <w:noProof/>
          <w:lang w:eastAsia="zh-CN"/>
        </w:rPr>
        <w:t>Social Cognitive and Affective Neuroscience</w:t>
      </w:r>
      <w:r w:rsidRPr="002414E9">
        <w:rPr>
          <w:rFonts w:eastAsia="DengXian" w:cs="Times New Roman"/>
          <w:noProof/>
          <w:lang w:eastAsia="zh-CN"/>
        </w:rPr>
        <w:t xml:space="preserve">, </w:t>
      </w:r>
      <w:r w:rsidRPr="002414E9">
        <w:rPr>
          <w:rFonts w:eastAsia="DengXian" w:cs="Times New Roman"/>
          <w:i/>
          <w:iCs/>
          <w:noProof/>
          <w:lang w:eastAsia="zh-CN"/>
        </w:rPr>
        <w:t>9</w:t>
      </w:r>
      <w:r w:rsidRPr="002414E9">
        <w:rPr>
          <w:rFonts w:eastAsia="DengXian" w:cs="Times New Roman"/>
          <w:noProof/>
          <w:lang w:eastAsia="zh-CN"/>
        </w:rPr>
        <w:t>(6), 802–809. https://doi.org/10.1093/scan/nst040</w:t>
      </w:r>
    </w:p>
    <w:p w14:paraId="74CC6376" w14:textId="7C24B2B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Declerck, C. H., Boone, C., &amp; Kiyonari, T. (2014). No place to hide: When shame causes proselfs to cooperate. </w:t>
      </w:r>
      <w:r w:rsidRPr="002414E9">
        <w:rPr>
          <w:rFonts w:eastAsia="DengXian" w:cs="Times New Roman"/>
          <w:i/>
          <w:iCs/>
          <w:noProof/>
          <w:lang w:eastAsia="zh-CN"/>
        </w:rPr>
        <w:t>The Journal of Social Psychology</w:t>
      </w:r>
      <w:r w:rsidRPr="002414E9">
        <w:rPr>
          <w:rFonts w:eastAsia="DengXian" w:cs="Times New Roman"/>
          <w:noProof/>
          <w:lang w:eastAsia="zh-CN"/>
        </w:rPr>
        <w:t xml:space="preserve">, </w:t>
      </w:r>
      <w:r w:rsidRPr="002414E9">
        <w:rPr>
          <w:rFonts w:eastAsia="DengXian" w:cs="Times New Roman"/>
          <w:i/>
          <w:iCs/>
          <w:noProof/>
          <w:lang w:eastAsia="zh-CN"/>
        </w:rPr>
        <w:t>154</w:t>
      </w:r>
      <w:r w:rsidRPr="002414E9">
        <w:rPr>
          <w:rFonts w:eastAsia="DengXian" w:cs="Times New Roman"/>
          <w:noProof/>
          <w:lang w:eastAsia="zh-CN"/>
        </w:rPr>
        <w:t>(1), 74–88. https://doi.org/10.1080/00224545.2013.855158</w:t>
      </w:r>
    </w:p>
    <w:p w14:paraId="60109AC1" w14:textId="26E829F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Dekel, S., Fischer, S., &amp; Zultan, R. (2017). </w:t>
      </w:r>
      <w:r w:rsidRPr="002414E9">
        <w:rPr>
          <w:rFonts w:eastAsia="DengXian" w:cs="Times New Roman"/>
          <w:noProof/>
          <w:lang w:eastAsia="zh-CN"/>
        </w:rPr>
        <w:t xml:space="preserve">Potential pareto public goods.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146</w:t>
      </w:r>
      <w:r w:rsidRPr="002414E9">
        <w:rPr>
          <w:rFonts w:eastAsia="DengXian" w:cs="Times New Roman"/>
          <w:noProof/>
          <w:lang w:eastAsia="zh-CN"/>
        </w:rPr>
        <w:t>, 87–96. https://doi.org/10.1016/j.jpubeco.2016.12.007</w:t>
      </w:r>
    </w:p>
    <w:p w14:paraId="780DC5BC" w14:textId="339F81C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Delaney, J., &amp; Jacobson, S. (2014). Those outsiders: How downstream externalities affect public good provision. </w:t>
      </w:r>
      <w:r w:rsidRPr="002414E9">
        <w:rPr>
          <w:rFonts w:eastAsia="DengXian" w:cs="Times New Roman"/>
          <w:i/>
          <w:iCs/>
          <w:noProof/>
          <w:lang w:eastAsia="zh-CN"/>
        </w:rPr>
        <w:t>Journal of Environmental Economics and Management</w:t>
      </w:r>
      <w:r w:rsidRPr="002414E9">
        <w:rPr>
          <w:rFonts w:eastAsia="DengXian" w:cs="Times New Roman"/>
          <w:noProof/>
          <w:lang w:eastAsia="zh-CN"/>
        </w:rPr>
        <w:t xml:space="preserve">, </w:t>
      </w:r>
      <w:r w:rsidRPr="002414E9">
        <w:rPr>
          <w:rFonts w:eastAsia="DengXian" w:cs="Times New Roman"/>
          <w:i/>
          <w:iCs/>
          <w:noProof/>
          <w:lang w:eastAsia="zh-CN"/>
        </w:rPr>
        <w:t>67</w:t>
      </w:r>
      <w:r w:rsidRPr="002414E9">
        <w:rPr>
          <w:rFonts w:eastAsia="DengXian" w:cs="Times New Roman"/>
          <w:noProof/>
          <w:lang w:eastAsia="zh-CN"/>
        </w:rPr>
        <w:t>(3), 340–352. https://doi.org/10.1016/j.jeem.2013.12.007</w:t>
      </w:r>
    </w:p>
    <w:p w14:paraId="4367C584" w14:textId="0942E2AD" w:rsidR="002414E9" w:rsidRPr="002414E9" w:rsidRDefault="002414E9" w:rsidP="002414E9">
      <w:pPr>
        <w:widowControl w:val="0"/>
        <w:autoSpaceDE w:val="0"/>
        <w:autoSpaceDN w:val="0"/>
        <w:adjustRightInd w:val="0"/>
        <w:ind w:left="709" w:hanging="709"/>
        <w:rPr>
          <w:rFonts w:eastAsia="DengXian" w:cs="Times New Roman"/>
          <w:noProof/>
          <w:lang w:val="fr-FR" w:eastAsia="zh-CN"/>
        </w:rPr>
      </w:pPr>
      <w:r w:rsidRPr="002414E9">
        <w:rPr>
          <w:rFonts w:eastAsia="DengXian" w:cs="Times New Roman"/>
          <w:noProof/>
          <w:lang w:val="fr-FR" w:eastAsia="zh-CN"/>
        </w:rPr>
        <w:t xml:space="preserve">Denant-Boemont, L., Masclet, D., &amp; Noussair, C. (2011). </w:t>
      </w:r>
      <w:r w:rsidRPr="002414E9">
        <w:rPr>
          <w:rFonts w:eastAsia="DengXian" w:cs="Times New Roman"/>
          <w:noProof/>
          <w:lang w:eastAsia="zh-CN"/>
        </w:rPr>
        <w:t xml:space="preserve">Anouncement, observation and honesty in the voluntary contributions game. </w:t>
      </w:r>
      <w:r w:rsidRPr="002414E9">
        <w:rPr>
          <w:rFonts w:eastAsia="DengXian" w:cs="Times New Roman"/>
          <w:i/>
          <w:iCs/>
          <w:noProof/>
          <w:lang w:val="fr-FR" w:eastAsia="zh-CN"/>
        </w:rPr>
        <w:t>Pacific Economic Review</w:t>
      </w:r>
      <w:r w:rsidRPr="002414E9">
        <w:rPr>
          <w:rFonts w:eastAsia="DengXian" w:cs="Times New Roman"/>
          <w:noProof/>
          <w:lang w:val="fr-FR" w:eastAsia="zh-CN"/>
        </w:rPr>
        <w:t xml:space="preserve">, </w:t>
      </w:r>
      <w:r w:rsidRPr="002414E9">
        <w:rPr>
          <w:rFonts w:eastAsia="DengXian" w:cs="Times New Roman"/>
          <w:i/>
          <w:iCs/>
          <w:noProof/>
          <w:lang w:val="fr-FR" w:eastAsia="zh-CN"/>
        </w:rPr>
        <w:t>16</w:t>
      </w:r>
      <w:r w:rsidRPr="002414E9">
        <w:rPr>
          <w:rFonts w:eastAsia="DengXian" w:cs="Times New Roman"/>
          <w:noProof/>
          <w:lang w:val="fr-FR" w:eastAsia="zh-CN"/>
        </w:rPr>
        <w:t>(2), 207–228. https://doi.org/10.1111/j.1468-0106.2011.00543.x</w:t>
      </w:r>
    </w:p>
    <w:p w14:paraId="7F113B7B" w14:textId="65FEB47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fr-FR" w:eastAsia="zh-CN"/>
        </w:rPr>
        <w:t xml:space="preserve">Denant-Boemont, L., Masclet, D., &amp; Noussair, C. N. (2007). </w:t>
      </w:r>
      <w:r w:rsidRPr="002414E9">
        <w:rPr>
          <w:rFonts w:eastAsia="DengXian" w:cs="Times New Roman"/>
          <w:noProof/>
          <w:lang w:eastAsia="zh-CN"/>
        </w:rPr>
        <w:t xml:space="preserve">Punishment, counterpunishment and sanction enforcement in a social dilemma experiment. </w:t>
      </w:r>
      <w:r w:rsidRPr="002414E9">
        <w:rPr>
          <w:rFonts w:eastAsia="DengXian" w:cs="Times New Roman"/>
          <w:i/>
          <w:iCs/>
          <w:noProof/>
          <w:lang w:eastAsia="zh-CN"/>
        </w:rPr>
        <w:t>Economic Theory</w:t>
      </w:r>
      <w:r w:rsidRPr="002414E9">
        <w:rPr>
          <w:rFonts w:eastAsia="DengXian" w:cs="Times New Roman"/>
          <w:noProof/>
          <w:lang w:eastAsia="zh-CN"/>
        </w:rPr>
        <w:t xml:space="preserve">, </w:t>
      </w:r>
      <w:r w:rsidRPr="002414E9">
        <w:rPr>
          <w:rFonts w:eastAsia="DengXian" w:cs="Times New Roman"/>
          <w:i/>
          <w:iCs/>
          <w:noProof/>
          <w:lang w:eastAsia="zh-CN"/>
        </w:rPr>
        <w:t>33</w:t>
      </w:r>
      <w:r w:rsidRPr="002414E9">
        <w:rPr>
          <w:rFonts w:eastAsia="DengXian" w:cs="Times New Roman"/>
          <w:noProof/>
          <w:lang w:eastAsia="zh-CN"/>
        </w:rPr>
        <w:t>(1), 145–167. https://doi.org/10.1007/s00199-007-0212-0</w:t>
      </w:r>
    </w:p>
    <w:p w14:paraId="213248BB"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lastRenderedPageBreak/>
        <w:t xml:space="preserve">Deutsch, M. (1958). Trust and suspicion. </w:t>
      </w:r>
      <w:r w:rsidRPr="002414E9">
        <w:rPr>
          <w:rFonts w:eastAsia="DengXian" w:cs="Times New Roman"/>
          <w:i/>
          <w:iCs/>
          <w:noProof/>
          <w:lang w:eastAsia="zh-CN"/>
        </w:rPr>
        <w:t>Journal of Conflict Resolution</w:t>
      </w:r>
      <w:r w:rsidRPr="002414E9">
        <w:rPr>
          <w:rFonts w:eastAsia="DengXian" w:cs="Times New Roman"/>
          <w:noProof/>
          <w:lang w:eastAsia="zh-CN"/>
        </w:rPr>
        <w:t xml:space="preserve">, </w:t>
      </w:r>
      <w:r w:rsidRPr="002414E9">
        <w:rPr>
          <w:rFonts w:eastAsia="DengXian" w:cs="Times New Roman"/>
          <w:i/>
          <w:iCs/>
          <w:noProof/>
          <w:lang w:eastAsia="zh-CN"/>
        </w:rPr>
        <w:t>2</w:t>
      </w:r>
      <w:r w:rsidRPr="002414E9">
        <w:rPr>
          <w:rFonts w:eastAsia="DengXian" w:cs="Times New Roman"/>
          <w:noProof/>
          <w:lang w:eastAsia="zh-CN"/>
        </w:rPr>
        <w:t>(4), 265–279. https://doi.org/10.1177/002200275800200401</w:t>
      </w:r>
    </w:p>
    <w:p w14:paraId="211CE8D4" w14:textId="775E9DE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Deutsch, M. (1960a). The effect of motivational orientation upon trust and suspicion. </w:t>
      </w:r>
      <w:r w:rsidRPr="002414E9">
        <w:rPr>
          <w:rFonts w:eastAsia="DengXian" w:cs="Times New Roman"/>
          <w:i/>
          <w:iCs/>
          <w:noProof/>
          <w:lang w:eastAsia="zh-CN"/>
        </w:rPr>
        <w:t>Human Relations</w:t>
      </w:r>
      <w:r w:rsidRPr="002414E9">
        <w:rPr>
          <w:rFonts w:eastAsia="DengXian" w:cs="Times New Roman"/>
          <w:noProof/>
          <w:lang w:eastAsia="zh-CN"/>
        </w:rPr>
        <w:t xml:space="preserve">, </w:t>
      </w:r>
      <w:r w:rsidRPr="002414E9">
        <w:rPr>
          <w:rFonts w:eastAsia="DengXian" w:cs="Times New Roman"/>
          <w:i/>
          <w:iCs/>
          <w:noProof/>
          <w:lang w:eastAsia="zh-CN"/>
        </w:rPr>
        <w:t>13</w:t>
      </w:r>
      <w:r w:rsidRPr="002414E9">
        <w:rPr>
          <w:rFonts w:eastAsia="DengXian" w:cs="Times New Roman"/>
          <w:noProof/>
          <w:lang w:eastAsia="zh-CN"/>
        </w:rPr>
        <w:t>(2), 123–139. https://doi.org/10.1177/001872676001300202</w:t>
      </w:r>
    </w:p>
    <w:p w14:paraId="6D1CDE03" w14:textId="03DCDB9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Deutsch, M. (1960b). Trust, trustworthiness, and the F scale. </w:t>
      </w:r>
      <w:r w:rsidRPr="002414E9">
        <w:rPr>
          <w:rFonts w:eastAsia="DengXian" w:cs="Times New Roman"/>
          <w:i/>
          <w:iCs/>
          <w:noProof/>
          <w:lang w:eastAsia="zh-CN"/>
        </w:rPr>
        <w:t>The Journal of Abnormal and Social Psychology, 61</w:t>
      </w:r>
      <w:r w:rsidRPr="002414E9">
        <w:rPr>
          <w:rFonts w:eastAsia="DengXian" w:cs="Times New Roman"/>
          <w:noProof/>
          <w:lang w:eastAsia="zh-CN"/>
        </w:rPr>
        <w:t>(1), 138–140. https://doi.org/10.1037/h0046501</w:t>
      </w:r>
    </w:p>
    <w:p w14:paraId="077E007F" w14:textId="4AE0477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DeWall, C. N., Pond Jr, R. S., &amp; Bushman, B. J. (2010). Sweet revenge: Diabetic symptoms predict less forgiveness. </w:t>
      </w:r>
      <w:r w:rsidRPr="002414E9">
        <w:rPr>
          <w:rFonts w:eastAsia="DengXian" w:cs="Times New Roman"/>
          <w:i/>
          <w:iCs/>
          <w:noProof/>
          <w:lang w:eastAsia="zh-CN"/>
        </w:rPr>
        <w:t>Personality and Individual Differences</w:t>
      </w:r>
      <w:r w:rsidRPr="002414E9">
        <w:rPr>
          <w:rFonts w:eastAsia="DengXian" w:cs="Times New Roman"/>
          <w:noProof/>
          <w:lang w:eastAsia="zh-CN"/>
        </w:rPr>
        <w:t xml:space="preserve">, </w:t>
      </w:r>
      <w:r w:rsidRPr="002414E9">
        <w:rPr>
          <w:rFonts w:eastAsia="DengXian" w:cs="Times New Roman"/>
          <w:i/>
          <w:iCs/>
          <w:noProof/>
          <w:lang w:eastAsia="zh-CN"/>
        </w:rPr>
        <w:t>49</w:t>
      </w:r>
      <w:r w:rsidRPr="002414E9">
        <w:rPr>
          <w:rFonts w:eastAsia="DengXian" w:cs="Times New Roman"/>
          <w:noProof/>
          <w:lang w:eastAsia="zh-CN"/>
        </w:rPr>
        <w:t>(7), 823–826. https://doi.org/10.1016/j.paid.2010.06.030</w:t>
      </w:r>
    </w:p>
    <w:p w14:paraId="07E5AEBB" w14:textId="1923128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Dhont, K., Van Hiel, A., &amp; De Cremer, D. (2012). </w:t>
      </w:r>
      <w:r w:rsidRPr="002414E9">
        <w:rPr>
          <w:rFonts w:eastAsia="DengXian" w:cs="Times New Roman"/>
          <w:noProof/>
          <w:lang w:eastAsia="zh-CN"/>
        </w:rPr>
        <w:t xml:space="preserve">Externalities awareness in anticommons dilemmas decreases defective behavior. </w:t>
      </w:r>
      <w:r w:rsidRPr="002414E9">
        <w:rPr>
          <w:rFonts w:eastAsia="DengXian" w:cs="Times New Roman"/>
          <w:i/>
          <w:iCs/>
          <w:noProof/>
          <w:lang w:eastAsia="zh-CN"/>
        </w:rPr>
        <w:t>Journal of Behavioral Decision Making</w:t>
      </w:r>
      <w:r w:rsidRPr="002414E9">
        <w:rPr>
          <w:rFonts w:eastAsia="DengXian" w:cs="Times New Roman"/>
          <w:noProof/>
          <w:lang w:eastAsia="zh-CN"/>
        </w:rPr>
        <w:t xml:space="preserve">, </w:t>
      </w:r>
      <w:r w:rsidRPr="002414E9">
        <w:rPr>
          <w:rFonts w:eastAsia="DengXian" w:cs="Times New Roman"/>
          <w:i/>
          <w:iCs/>
          <w:noProof/>
          <w:lang w:eastAsia="zh-CN"/>
        </w:rPr>
        <w:t>25</w:t>
      </w:r>
      <w:r w:rsidRPr="002414E9">
        <w:rPr>
          <w:rFonts w:eastAsia="DengXian" w:cs="Times New Roman"/>
          <w:noProof/>
          <w:lang w:eastAsia="zh-CN"/>
        </w:rPr>
        <w:t>(3), 228–238. https://doi.org/10.1002/bdm.718</w:t>
      </w:r>
    </w:p>
    <w:p w14:paraId="116CDDF4" w14:textId="718B6F0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Di Cagno, D., Galliera, A., Güth, W., &amp; Panaccione, L. (2016). </w:t>
      </w:r>
      <w:r w:rsidRPr="002414E9">
        <w:rPr>
          <w:rFonts w:eastAsia="DengXian" w:cs="Times New Roman"/>
          <w:noProof/>
          <w:lang w:eastAsia="zh-CN"/>
        </w:rPr>
        <w:t xml:space="preserve">A hybrid public good experiment eliciting multi-dimensional choice data. </w:t>
      </w:r>
      <w:r w:rsidRPr="002414E9">
        <w:rPr>
          <w:rFonts w:eastAsia="DengXian" w:cs="Times New Roman"/>
          <w:i/>
          <w:iCs/>
          <w:noProof/>
          <w:lang w:eastAsia="zh-CN"/>
        </w:rPr>
        <w:t>Journal of Economic Psychology</w:t>
      </w:r>
      <w:r w:rsidRPr="002414E9">
        <w:rPr>
          <w:rFonts w:eastAsia="DengXian" w:cs="Times New Roman"/>
          <w:noProof/>
          <w:lang w:eastAsia="zh-CN"/>
        </w:rPr>
        <w:t xml:space="preserve">, </w:t>
      </w:r>
      <w:r w:rsidRPr="002414E9">
        <w:rPr>
          <w:rFonts w:eastAsia="DengXian" w:cs="Times New Roman"/>
          <w:i/>
          <w:iCs/>
          <w:noProof/>
          <w:lang w:eastAsia="zh-CN"/>
        </w:rPr>
        <w:t>56</w:t>
      </w:r>
      <w:r w:rsidRPr="002414E9">
        <w:rPr>
          <w:rFonts w:eastAsia="DengXian" w:cs="Times New Roman"/>
          <w:noProof/>
          <w:lang w:eastAsia="zh-CN"/>
        </w:rPr>
        <w:t>, 20–38. https://doi.org/10.1016/j.joep.2016.05.001</w:t>
      </w:r>
    </w:p>
    <w:p w14:paraId="188B9EF4" w14:textId="0D2F6E8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Di Mauro, C., &amp; Finocchiaro Castro, M. (2011). </w:t>
      </w:r>
      <w:r w:rsidRPr="002414E9">
        <w:rPr>
          <w:rFonts w:eastAsia="DengXian" w:cs="Times New Roman"/>
          <w:noProof/>
          <w:lang w:eastAsia="zh-CN"/>
        </w:rPr>
        <w:t xml:space="preserve">Kindness, confusion, or ambiguity?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14</w:t>
      </w:r>
      <w:r w:rsidRPr="002414E9">
        <w:rPr>
          <w:rFonts w:eastAsia="DengXian" w:cs="Times New Roman"/>
          <w:noProof/>
          <w:lang w:eastAsia="zh-CN"/>
        </w:rPr>
        <w:t>(4), 611–633. https://doi.org/10.1007/s10683-011-9284-6</w:t>
      </w:r>
    </w:p>
    <w:p w14:paraId="3F5DAACB" w14:textId="6FAF3A9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fr-FR" w:eastAsia="zh-CN"/>
        </w:rPr>
        <w:t xml:space="preserve">Dickinson, D. L., &amp; Masclet, D. (2015). </w:t>
      </w:r>
      <w:r w:rsidRPr="002414E9">
        <w:rPr>
          <w:rFonts w:eastAsia="DengXian" w:cs="Times New Roman"/>
          <w:noProof/>
          <w:lang w:eastAsia="zh-CN"/>
        </w:rPr>
        <w:t xml:space="preserve">Emotion venting and punishment in public good experiments.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122</w:t>
      </w:r>
      <w:r w:rsidRPr="002414E9">
        <w:rPr>
          <w:rFonts w:eastAsia="DengXian" w:cs="Times New Roman"/>
          <w:noProof/>
          <w:lang w:eastAsia="zh-CN"/>
        </w:rPr>
        <w:t>, 55–67. https://doi.org/10.1016/j.jpubeco.2014.10.008</w:t>
      </w:r>
    </w:p>
    <w:p w14:paraId="076DF169" w14:textId="3067394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Dickinson, D. L., Glenn Dutcher, E., &amp; Rodet, C. S. (2015). </w:t>
      </w:r>
      <w:r w:rsidRPr="002414E9">
        <w:rPr>
          <w:rFonts w:eastAsia="DengXian" w:cs="Times New Roman"/>
          <w:noProof/>
          <w:lang w:eastAsia="zh-CN"/>
        </w:rPr>
        <w:t xml:space="preserve">Observed punishment spillover effects: a laboratory investigation of behavior in a social dilemma.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18</w:t>
      </w:r>
      <w:r w:rsidRPr="002414E9">
        <w:rPr>
          <w:rFonts w:eastAsia="DengXian" w:cs="Times New Roman"/>
          <w:noProof/>
          <w:lang w:eastAsia="zh-CN"/>
        </w:rPr>
        <w:t>(1), 136–153. https://doi.org/10.1007/s10683-014-9399-7</w:t>
      </w:r>
    </w:p>
    <w:p w14:paraId="1FD2FD72" w14:textId="030E0A6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fr-FR" w:eastAsia="zh-CN"/>
        </w:rPr>
        <w:lastRenderedPageBreak/>
        <w:t xml:space="preserve">Dickinson, D. L., Masclet, D., &amp; Villeval, M. C. (2015). </w:t>
      </w:r>
      <w:r w:rsidRPr="002414E9">
        <w:rPr>
          <w:rFonts w:eastAsia="DengXian" w:cs="Times New Roman"/>
          <w:noProof/>
          <w:lang w:eastAsia="zh-CN"/>
        </w:rPr>
        <w:t xml:space="preserve">Norm enforcement in social dilemmas: An experiment with police commissioners.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126</w:t>
      </w:r>
      <w:r w:rsidRPr="002414E9">
        <w:rPr>
          <w:rFonts w:eastAsia="DengXian" w:cs="Times New Roman"/>
          <w:noProof/>
          <w:lang w:eastAsia="zh-CN"/>
        </w:rPr>
        <w:t>, 74–85. https://doi.org/10.1016/j.jpubeco.2015.03.012</w:t>
      </w:r>
    </w:p>
    <w:p w14:paraId="7C51D002" w14:textId="4CB2CE11" w:rsidR="002414E9" w:rsidRPr="002414E9" w:rsidRDefault="002414E9" w:rsidP="002414E9">
      <w:pPr>
        <w:widowControl w:val="0"/>
        <w:autoSpaceDE w:val="0"/>
        <w:autoSpaceDN w:val="0"/>
        <w:adjustRightInd w:val="0"/>
        <w:ind w:left="709" w:hanging="709"/>
        <w:rPr>
          <w:rFonts w:eastAsia="DengXian" w:cs="Times New Roman"/>
          <w:noProof/>
          <w:lang w:val="de-DE" w:eastAsia="zh-CN"/>
        </w:rPr>
      </w:pPr>
      <w:r w:rsidRPr="002414E9">
        <w:rPr>
          <w:rFonts w:eastAsia="DengXian" w:cs="Times New Roman"/>
          <w:noProof/>
          <w:lang w:eastAsia="zh-CN"/>
        </w:rPr>
        <w:t xml:space="preserve">Diekmann, Andreas. (1986). Volunteer’s dilemma. a social trap without a dominant strategy and some empirical results. In A. Diekmann &amp; P. Mitter (Eds.), </w:t>
      </w:r>
      <w:r w:rsidRPr="002414E9">
        <w:rPr>
          <w:rFonts w:eastAsia="DengXian" w:cs="Times New Roman"/>
          <w:i/>
          <w:iCs/>
          <w:noProof/>
          <w:lang w:eastAsia="zh-CN"/>
        </w:rPr>
        <w:t>Paradoxical effects of social behavior</w:t>
      </w:r>
      <w:r w:rsidRPr="002414E9">
        <w:rPr>
          <w:rFonts w:eastAsia="DengXian" w:cs="Times New Roman"/>
          <w:noProof/>
          <w:lang w:eastAsia="zh-CN"/>
        </w:rPr>
        <w:t xml:space="preserve"> (pp. 187–197). </w:t>
      </w:r>
      <w:r w:rsidRPr="002414E9">
        <w:rPr>
          <w:rFonts w:eastAsia="DengXian" w:cs="Times New Roman"/>
          <w:noProof/>
          <w:lang w:val="de-DE" w:eastAsia="zh-CN"/>
        </w:rPr>
        <w:t>Physica-Verlag HD. https://doi.org/10.1007/978-3-642-95874-8_13</w:t>
      </w:r>
    </w:p>
    <w:p w14:paraId="69A5D582" w14:textId="02982D2F"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nl-NL" w:eastAsia="zh-CN"/>
        </w:rPr>
        <w:t xml:space="preserve">Dijk, E. V., &amp; Wilke, H. (1999). </w:t>
      </w:r>
      <w:r w:rsidRPr="002414E9">
        <w:rPr>
          <w:rFonts w:eastAsia="DengXian" w:cs="Times New Roman"/>
          <w:bCs/>
          <w:noProof/>
          <w:lang w:eastAsia="zh-CN"/>
        </w:rPr>
        <w:t xml:space="preserve">Conditional contributions and public good provision: Perceptions, motives, and behavioral reactions. </w:t>
      </w:r>
      <w:r w:rsidRPr="002414E9">
        <w:rPr>
          <w:rFonts w:eastAsia="DengXian" w:cs="Times New Roman"/>
          <w:bCs/>
          <w:i/>
          <w:iCs/>
          <w:noProof/>
          <w:lang w:eastAsia="zh-CN"/>
        </w:rPr>
        <w:t>Group Processes &amp; Intergroup Relations</w:t>
      </w:r>
      <w:r w:rsidRPr="002414E9">
        <w:rPr>
          <w:rFonts w:eastAsia="DengXian" w:cs="Times New Roman"/>
          <w:bCs/>
          <w:noProof/>
          <w:lang w:eastAsia="zh-CN"/>
        </w:rPr>
        <w:t xml:space="preserve">, </w:t>
      </w:r>
      <w:r w:rsidRPr="002414E9">
        <w:rPr>
          <w:rFonts w:eastAsia="DengXian" w:cs="Times New Roman"/>
          <w:bCs/>
          <w:i/>
          <w:iCs/>
          <w:noProof/>
          <w:lang w:eastAsia="zh-CN"/>
        </w:rPr>
        <w:t>2</w:t>
      </w:r>
      <w:r w:rsidRPr="002414E9">
        <w:rPr>
          <w:rFonts w:eastAsia="DengXian" w:cs="Times New Roman"/>
          <w:bCs/>
          <w:noProof/>
          <w:lang w:eastAsia="zh-CN"/>
        </w:rPr>
        <w:t>(3), 245-258. https://doi.org/10.1177/1368430299023003</w:t>
      </w:r>
    </w:p>
    <w:p w14:paraId="19FCD4F0" w14:textId="230A27B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Dijk, E. Van, &amp; Wilke, H. (1994). </w:t>
      </w:r>
      <w:r w:rsidRPr="002414E9">
        <w:rPr>
          <w:rFonts w:eastAsia="DengXian" w:cs="Times New Roman"/>
          <w:noProof/>
          <w:lang w:eastAsia="zh-CN"/>
        </w:rPr>
        <w:t xml:space="preserve">Asymmetry of wealth and public good provision. </w:t>
      </w:r>
      <w:r w:rsidRPr="002414E9">
        <w:rPr>
          <w:rFonts w:eastAsia="DengXian" w:cs="Times New Roman"/>
          <w:i/>
          <w:iCs/>
          <w:noProof/>
          <w:lang w:eastAsia="zh-CN"/>
        </w:rPr>
        <w:t>Social Psychology Quarterly</w:t>
      </w:r>
      <w:r w:rsidRPr="002414E9">
        <w:rPr>
          <w:rFonts w:eastAsia="DengXian" w:cs="Times New Roman"/>
          <w:noProof/>
          <w:lang w:eastAsia="zh-CN"/>
        </w:rPr>
        <w:t xml:space="preserve">, </w:t>
      </w:r>
      <w:r w:rsidRPr="002414E9">
        <w:rPr>
          <w:rFonts w:eastAsia="DengXian" w:cs="Times New Roman"/>
          <w:i/>
          <w:iCs/>
          <w:noProof/>
          <w:lang w:eastAsia="zh-CN"/>
        </w:rPr>
        <w:t>57</w:t>
      </w:r>
      <w:r w:rsidRPr="002414E9">
        <w:rPr>
          <w:rFonts w:eastAsia="DengXian" w:cs="Times New Roman"/>
          <w:noProof/>
          <w:lang w:eastAsia="zh-CN"/>
        </w:rPr>
        <w:t>(4), 352–359. https://doi.org/10.2307/2787161</w:t>
      </w:r>
    </w:p>
    <w:p w14:paraId="1381C692" w14:textId="57A331F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Dijkstra, J. (2013). Put your money where your mouth is: Reciprocity, social preferences, trust and contributions to public goods. </w:t>
      </w:r>
      <w:r w:rsidRPr="002414E9">
        <w:rPr>
          <w:rFonts w:eastAsia="DengXian" w:cs="Times New Roman"/>
          <w:i/>
          <w:iCs/>
          <w:noProof/>
          <w:lang w:eastAsia="zh-CN"/>
        </w:rPr>
        <w:t>Rationality and Society</w:t>
      </w:r>
      <w:r w:rsidRPr="002414E9">
        <w:rPr>
          <w:rFonts w:eastAsia="DengXian" w:cs="Times New Roman"/>
          <w:noProof/>
          <w:lang w:eastAsia="zh-CN"/>
        </w:rPr>
        <w:t xml:space="preserve">, </w:t>
      </w:r>
      <w:r w:rsidRPr="002414E9">
        <w:rPr>
          <w:rFonts w:eastAsia="DengXian" w:cs="Times New Roman"/>
          <w:i/>
          <w:iCs/>
          <w:noProof/>
          <w:lang w:eastAsia="zh-CN"/>
        </w:rPr>
        <w:t>25</w:t>
      </w:r>
      <w:r w:rsidRPr="002414E9">
        <w:rPr>
          <w:rFonts w:eastAsia="DengXian" w:cs="Times New Roman"/>
          <w:noProof/>
          <w:lang w:eastAsia="zh-CN"/>
        </w:rPr>
        <w:t>(3), 290–334. https://doi.org/10.1177/1043463113492305</w:t>
      </w:r>
    </w:p>
    <w:p w14:paraId="74AB782C" w14:textId="2AC092F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Dijkstra, J., &amp; Bakker, D. M. (2017). </w:t>
      </w:r>
      <w:r w:rsidRPr="002414E9">
        <w:rPr>
          <w:rFonts w:eastAsia="DengXian" w:cs="Times New Roman"/>
          <w:noProof/>
          <w:lang w:eastAsia="zh-CN"/>
        </w:rPr>
        <w:t xml:space="preserve">Relative power: Material and contextual elements of efficacy in social dilemmas. </w:t>
      </w:r>
      <w:r w:rsidRPr="002414E9">
        <w:rPr>
          <w:rFonts w:eastAsia="DengXian" w:cs="Times New Roman"/>
          <w:i/>
          <w:iCs/>
          <w:noProof/>
          <w:lang w:eastAsia="zh-CN"/>
        </w:rPr>
        <w:t>Social Science Research</w:t>
      </w:r>
      <w:r w:rsidRPr="002414E9">
        <w:rPr>
          <w:rFonts w:eastAsia="DengXian" w:cs="Times New Roman"/>
          <w:noProof/>
          <w:lang w:eastAsia="zh-CN"/>
        </w:rPr>
        <w:t xml:space="preserve">, </w:t>
      </w:r>
      <w:r w:rsidRPr="002414E9">
        <w:rPr>
          <w:rFonts w:eastAsia="DengXian" w:cs="Times New Roman"/>
          <w:i/>
          <w:iCs/>
          <w:noProof/>
          <w:lang w:eastAsia="zh-CN"/>
        </w:rPr>
        <w:t>62</w:t>
      </w:r>
      <w:r w:rsidRPr="002414E9">
        <w:rPr>
          <w:rFonts w:eastAsia="DengXian" w:cs="Times New Roman"/>
          <w:noProof/>
          <w:lang w:eastAsia="zh-CN"/>
        </w:rPr>
        <w:t>, 255–271. https://doi.org/10.1016/j.ssresearch.2016.08.011</w:t>
      </w:r>
    </w:p>
    <w:p w14:paraId="712E2578" w14:textId="38D2FD7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Dion, K. L. (1973). Cohesiveness as a determinant of ingroup-outgroup bias. </w:t>
      </w:r>
      <w:r w:rsidRPr="002414E9">
        <w:rPr>
          <w:rFonts w:eastAsia="DengXian" w:cs="Times New Roman"/>
          <w:i/>
          <w:iCs/>
          <w:noProof/>
          <w:lang w:eastAsia="zh-CN"/>
        </w:rPr>
        <w:t>Journal of Personality and Social Psychology</w:t>
      </w:r>
      <w:r w:rsidRPr="002414E9">
        <w:rPr>
          <w:rFonts w:eastAsia="DengXian" w:cs="Times New Roman"/>
          <w:noProof/>
          <w:lang w:eastAsia="zh-CN"/>
        </w:rPr>
        <w:t xml:space="preserve">, </w:t>
      </w:r>
      <w:r w:rsidRPr="002414E9">
        <w:rPr>
          <w:rFonts w:eastAsia="DengXian" w:cs="Times New Roman"/>
          <w:i/>
          <w:iCs/>
          <w:noProof/>
          <w:lang w:eastAsia="zh-CN"/>
        </w:rPr>
        <w:t>28</w:t>
      </w:r>
      <w:r w:rsidRPr="002414E9">
        <w:rPr>
          <w:rFonts w:eastAsia="DengXian" w:cs="Times New Roman"/>
          <w:noProof/>
          <w:lang w:eastAsia="zh-CN"/>
        </w:rPr>
        <w:t>(2), 163–171. https://doi.org/10.1037/h0035725</w:t>
      </w:r>
    </w:p>
    <w:p w14:paraId="1260659B" w14:textId="1151F7F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Dong, Y., Zhang, B., &amp; Tao, Y. (2016). </w:t>
      </w:r>
      <w:r w:rsidRPr="002414E9">
        <w:rPr>
          <w:rFonts w:eastAsia="DengXian" w:cs="Times New Roman"/>
          <w:noProof/>
          <w:lang w:eastAsia="zh-CN"/>
        </w:rPr>
        <w:t xml:space="preserve">The dynamics of human behavior in the public goods game with institutional incentives. </w:t>
      </w:r>
      <w:r w:rsidRPr="002414E9">
        <w:rPr>
          <w:rFonts w:eastAsia="DengXian" w:cs="Times New Roman"/>
          <w:i/>
          <w:iCs/>
          <w:noProof/>
          <w:lang w:eastAsia="zh-CN"/>
        </w:rPr>
        <w:t>Scientific Reports</w:t>
      </w:r>
      <w:r w:rsidRPr="002414E9">
        <w:rPr>
          <w:rFonts w:eastAsia="DengXian" w:cs="Times New Roman"/>
          <w:noProof/>
          <w:lang w:eastAsia="zh-CN"/>
        </w:rPr>
        <w:t xml:space="preserve">, </w:t>
      </w:r>
      <w:r w:rsidRPr="002414E9">
        <w:rPr>
          <w:rFonts w:eastAsia="DengXian" w:cs="Times New Roman"/>
          <w:i/>
          <w:iCs/>
          <w:noProof/>
          <w:lang w:eastAsia="zh-CN"/>
        </w:rPr>
        <w:t>6</w:t>
      </w:r>
      <w:r w:rsidRPr="002414E9">
        <w:rPr>
          <w:rFonts w:eastAsia="DengXian" w:cs="Times New Roman"/>
          <w:noProof/>
          <w:lang w:eastAsia="zh-CN"/>
        </w:rPr>
        <w:t>(1), 28809. https://doi.org/10.1038/srep28809</w:t>
      </w:r>
    </w:p>
    <w:p w14:paraId="1726AC46" w14:textId="10A1F09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lastRenderedPageBreak/>
        <w:t xml:space="preserve">Dorrough, A., Glöckner, A., &amp; Lee, B. (2017). Race for power in public good games with unequal, unstable punishment power. </w:t>
      </w:r>
      <w:r w:rsidRPr="002414E9">
        <w:rPr>
          <w:rFonts w:eastAsia="DengXian" w:cs="Times New Roman"/>
          <w:i/>
          <w:iCs/>
          <w:noProof/>
          <w:lang w:eastAsia="zh-CN"/>
        </w:rPr>
        <w:t>Journal of Behavioral Decision Making</w:t>
      </w:r>
      <w:r w:rsidRPr="002414E9">
        <w:rPr>
          <w:rFonts w:eastAsia="DengXian" w:cs="Times New Roman"/>
          <w:noProof/>
          <w:lang w:eastAsia="zh-CN"/>
        </w:rPr>
        <w:t xml:space="preserve">, </w:t>
      </w:r>
      <w:r w:rsidRPr="002414E9">
        <w:rPr>
          <w:rFonts w:eastAsia="DengXian" w:cs="Times New Roman"/>
          <w:i/>
          <w:iCs/>
          <w:noProof/>
          <w:lang w:eastAsia="zh-CN"/>
        </w:rPr>
        <w:t>30</w:t>
      </w:r>
      <w:r w:rsidRPr="002414E9">
        <w:rPr>
          <w:rFonts w:eastAsia="DengXian" w:cs="Times New Roman"/>
          <w:noProof/>
          <w:lang w:eastAsia="zh-CN"/>
        </w:rPr>
        <w:t>(2), 582–609. https://doi.org/10.1002/bdm.1976</w:t>
      </w:r>
    </w:p>
    <w:p w14:paraId="41ABBF6A" w14:textId="2F974CA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Døssing, F., Piovesan, M., &amp; Wengström, E. (2017). Cognitive load and cooperation. </w:t>
      </w:r>
      <w:r w:rsidRPr="002414E9">
        <w:rPr>
          <w:rFonts w:eastAsia="DengXian" w:cs="Times New Roman"/>
          <w:i/>
          <w:iCs/>
          <w:noProof/>
          <w:lang w:eastAsia="zh-CN"/>
        </w:rPr>
        <w:t>Review of Behavioral Economics</w:t>
      </w:r>
      <w:r w:rsidRPr="002414E9">
        <w:rPr>
          <w:rFonts w:eastAsia="DengXian" w:cs="Times New Roman"/>
          <w:noProof/>
          <w:lang w:eastAsia="zh-CN"/>
        </w:rPr>
        <w:t xml:space="preserve">, </w:t>
      </w:r>
      <w:r w:rsidRPr="002414E9">
        <w:rPr>
          <w:rFonts w:eastAsia="DengXian" w:cs="Times New Roman"/>
          <w:i/>
          <w:iCs/>
          <w:noProof/>
          <w:lang w:eastAsia="zh-CN"/>
        </w:rPr>
        <w:t>4</w:t>
      </w:r>
      <w:r w:rsidRPr="002414E9">
        <w:rPr>
          <w:rFonts w:eastAsia="DengXian" w:cs="Times New Roman"/>
          <w:noProof/>
          <w:lang w:eastAsia="zh-CN"/>
        </w:rPr>
        <w:t>(1), 69–92. https://doi.org/10.1561/105.00000059</w:t>
      </w:r>
    </w:p>
    <w:p w14:paraId="74DB1202" w14:textId="5A64C2A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Downing, L. L., &amp; Ritter, E. H. (1976). Effects of contingencies on cooperative responding in a prisoner’s dilemma game with anticipated shock outcomes. </w:t>
      </w:r>
      <w:r w:rsidRPr="002414E9">
        <w:rPr>
          <w:rFonts w:eastAsia="DengXian" w:cs="Times New Roman"/>
          <w:i/>
          <w:iCs/>
          <w:noProof/>
          <w:lang w:eastAsia="zh-CN"/>
        </w:rPr>
        <w:t>Personality and Social Psychology Bulletin</w:t>
      </w:r>
      <w:r w:rsidRPr="002414E9">
        <w:rPr>
          <w:rFonts w:eastAsia="DengXian" w:cs="Times New Roman"/>
          <w:noProof/>
          <w:lang w:eastAsia="zh-CN"/>
        </w:rPr>
        <w:t xml:space="preserve">, </w:t>
      </w:r>
      <w:r w:rsidRPr="002414E9">
        <w:rPr>
          <w:rFonts w:eastAsia="DengXian" w:cs="Times New Roman"/>
          <w:i/>
          <w:iCs/>
          <w:noProof/>
          <w:lang w:eastAsia="zh-CN"/>
        </w:rPr>
        <w:t>2</w:t>
      </w:r>
      <w:r w:rsidRPr="002414E9">
        <w:rPr>
          <w:rFonts w:eastAsia="DengXian" w:cs="Times New Roman"/>
          <w:noProof/>
          <w:lang w:eastAsia="zh-CN"/>
        </w:rPr>
        <w:t>(1), 51–54. https://doi.org/10.1177/014616727600200111</w:t>
      </w:r>
    </w:p>
    <w:p w14:paraId="134EC207" w14:textId="668BDFD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Dreber, A., Fudenberg, D., &amp; Rand, D. G. (2014). </w:t>
      </w:r>
      <w:r w:rsidRPr="002414E9">
        <w:rPr>
          <w:rFonts w:eastAsia="DengXian" w:cs="Times New Roman"/>
          <w:noProof/>
          <w:lang w:eastAsia="zh-CN"/>
        </w:rPr>
        <w:t xml:space="preserve">Who cooperates in repeated games: The role of altruism, inequity aversion, and demographics.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98</w:t>
      </w:r>
      <w:r w:rsidRPr="002414E9">
        <w:rPr>
          <w:rFonts w:eastAsia="DengXian" w:cs="Times New Roman"/>
          <w:noProof/>
          <w:lang w:eastAsia="zh-CN"/>
        </w:rPr>
        <w:t>, 41–55. https://doi.org/10.1016/j.jebo.2013.12.007</w:t>
      </w:r>
    </w:p>
    <w:p w14:paraId="4F763E37" w14:textId="1F17729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Dreber, A., Rand, D. G., Fudenberg, D., &amp; Nowak, M. A. (2008). </w:t>
      </w:r>
      <w:r w:rsidRPr="002414E9">
        <w:rPr>
          <w:rFonts w:eastAsia="DengXian" w:cs="Times New Roman"/>
          <w:noProof/>
          <w:lang w:eastAsia="zh-CN"/>
        </w:rPr>
        <w:t xml:space="preserve">Winners don’t punish. </w:t>
      </w:r>
      <w:r w:rsidRPr="002414E9">
        <w:rPr>
          <w:rFonts w:eastAsia="DengXian" w:cs="Times New Roman"/>
          <w:i/>
          <w:iCs/>
          <w:noProof/>
          <w:lang w:eastAsia="zh-CN"/>
        </w:rPr>
        <w:t>Nature</w:t>
      </w:r>
      <w:r w:rsidRPr="002414E9">
        <w:rPr>
          <w:rFonts w:eastAsia="DengXian" w:cs="Times New Roman"/>
          <w:noProof/>
          <w:lang w:eastAsia="zh-CN"/>
        </w:rPr>
        <w:t xml:space="preserve">, </w:t>
      </w:r>
      <w:r w:rsidRPr="002414E9">
        <w:rPr>
          <w:rFonts w:eastAsia="DengXian" w:cs="Times New Roman"/>
          <w:i/>
          <w:iCs/>
          <w:noProof/>
          <w:lang w:eastAsia="zh-CN"/>
        </w:rPr>
        <w:t>452</w:t>
      </w:r>
      <w:r w:rsidRPr="002414E9">
        <w:rPr>
          <w:rFonts w:eastAsia="DengXian" w:cs="Times New Roman"/>
          <w:noProof/>
          <w:lang w:eastAsia="zh-CN"/>
        </w:rPr>
        <w:t>(7185), 348–351. https://doi.org/10.1038/nature06723</w:t>
      </w:r>
    </w:p>
    <w:p w14:paraId="063D9C40" w14:textId="619477E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Drolet, A. L., &amp; Morris, M. W. (2000). Rapport in conflict resolution: Accounting for how face-to-face contact fosters mutual cooperation in mixed-motive conflicts. </w:t>
      </w:r>
      <w:r w:rsidRPr="002414E9">
        <w:rPr>
          <w:rFonts w:eastAsia="DengXian" w:cs="Times New Roman"/>
          <w:i/>
          <w:iCs/>
          <w:noProof/>
          <w:lang w:eastAsia="zh-CN"/>
        </w:rPr>
        <w:t>Journal of Experimental Social Psychology</w:t>
      </w:r>
      <w:r w:rsidRPr="002414E9">
        <w:rPr>
          <w:rFonts w:eastAsia="DengXian" w:cs="Times New Roman"/>
          <w:noProof/>
          <w:lang w:eastAsia="zh-CN"/>
        </w:rPr>
        <w:t xml:space="preserve">, </w:t>
      </w:r>
      <w:r w:rsidRPr="002414E9">
        <w:rPr>
          <w:rFonts w:eastAsia="DengXian" w:cs="Times New Roman"/>
          <w:i/>
          <w:iCs/>
          <w:noProof/>
          <w:lang w:eastAsia="zh-CN"/>
        </w:rPr>
        <w:t>36</w:t>
      </w:r>
      <w:r w:rsidRPr="002414E9">
        <w:rPr>
          <w:rFonts w:eastAsia="DengXian" w:cs="Times New Roman"/>
          <w:noProof/>
          <w:lang w:eastAsia="zh-CN"/>
        </w:rPr>
        <w:t>(1), 26–50. https://doi.org/10.1006/jesp.1999.1395</w:t>
      </w:r>
    </w:p>
    <w:p w14:paraId="049FF5AE" w14:textId="17C9B43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Drouvelis, M., &amp; Grosskopf, B. (2016). The effects of induced emotions on pro-social behavior.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134</w:t>
      </w:r>
      <w:r w:rsidRPr="002414E9">
        <w:rPr>
          <w:rFonts w:eastAsia="DengXian" w:cs="Times New Roman"/>
          <w:noProof/>
          <w:lang w:eastAsia="zh-CN"/>
        </w:rPr>
        <w:t>, 1–8. https://doi.org/10.1016/j.jpubeco.2015.12.012</w:t>
      </w:r>
    </w:p>
    <w:p w14:paraId="07A0D10E" w14:textId="301351C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fr-FR" w:eastAsia="zh-CN"/>
        </w:rPr>
        <w:t xml:space="preserve">Drouvelis, M., &amp; Jamison, J. C. (2015). </w:t>
      </w:r>
      <w:r w:rsidRPr="002414E9">
        <w:rPr>
          <w:rFonts w:eastAsia="DengXian" w:cs="Times New Roman"/>
          <w:noProof/>
          <w:lang w:eastAsia="zh-CN"/>
        </w:rPr>
        <w:t xml:space="preserve">Selecting public goods institutions: Who likes to punish and reward? </w:t>
      </w:r>
      <w:r w:rsidRPr="002414E9">
        <w:rPr>
          <w:rFonts w:eastAsia="DengXian" w:cs="Times New Roman"/>
          <w:i/>
          <w:iCs/>
          <w:noProof/>
          <w:lang w:eastAsia="zh-CN"/>
        </w:rPr>
        <w:t>Southern Economic Journal</w:t>
      </w:r>
      <w:r w:rsidRPr="002414E9">
        <w:rPr>
          <w:rFonts w:eastAsia="DengXian" w:cs="Times New Roman"/>
          <w:noProof/>
          <w:lang w:eastAsia="zh-CN"/>
        </w:rPr>
        <w:t xml:space="preserve">, </w:t>
      </w:r>
      <w:r w:rsidRPr="002414E9">
        <w:rPr>
          <w:rFonts w:eastAsia="DengXian" w:cs="Times New Roman"/>
          <w:i/>
          <w:iCs/>
          <w:noProof/>
          <w:lang w:eastAsia="zh-CN"/>
        </w:rPr>
        <w:t>82</w:t>
      </w:r>
      <w:r w:rsidRPr="002414E9">
        <w:rPr>
          <w:rFonts w:eastAsia="DengXian" w:cs="Times New Roman"/>
          <w:noProof/>
          <w:lang w:eastAsia="zh-CN"/>
        </w:rPr>
        <w:t>(2), 501–534. https://doi.org/10.1002/soej.12049</w:t>
      </w:r>
    </w:p>
    <w:p w14:paraId="3F80CC72" w14:textId="7035618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Drouvelis, M., &amp; Nosenzo, D. (2013). Group identity and leading-by-example. </w:t>
      </w:r>
      <w:r w:rsidRPr="002414E9">
        <w:rPr>
          <w:rFonts w:eastAsia="DengXian" w:cs="Times New Roman"/>
          <w:i/>
          <w:iCs/>
          <w:noProof/>
          <w:lang w:eastAsia="zh-CN"/>
        </w:rPr>
        <w:t>Journal of Economic Psychology</w:t>
      </w:r>
      <w:r w:rsidRPr="002414E9">
        <w:rPr>
          <w:rFonts w:eastAsia="DengXian" w:cs="Times New Roman"/>
          <w:noProof/>
          <w:lang w:eastAsia="zh-CN"/>
        </w:rPr>
        <w:t xml:space="preserve">, </w:t>
      </w:r>
      <w:r w:rsidRPr="002414E9">
        <w:rPr>
          <w:rFonts w:eastAsia="DengXian" w:cs="Times New Roman"/>
          <w:i/>
          <w:iCs/>
          <w:noProof/>
          <w:lang w:eastAsia="zh-CN"/>
        </w:rPr>
        <w:t>39</w:t>
      </w:r>
      <w:r w:rsidRPr="002414E9">
        <w:rPr>
          <w:rFonts w:eastAsia="DengXian" w:cs="Times New Roman"/>
          <w:noProof/>
          <w:lang w:eastAsia="zh-CN"/>
        </w:rPr>
        <w:t>, 414–425. https://doi.org/10.1016/j.joep.2013.06.005</w:t>
      </w:r>
    </w:p>
    <w:p w14:paraId="4B2FFA65" w14:textId="4AEAC21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lastRenderedPageBreak/>
        <w:t xml:space="preserve">Drouvelis, M., Metcalfe, R., &amp; Powdthavee, N. (2015). Can priming cooperation increase public good contributions? </w:t>
      </w:r>
      <w:r w:rsidRPr="002414E9">
        <w:rPr>
          <w:rFonts w:eastAsia="DengXian" w:cs="Times New Roman"/>
          <w:i/>
          <w:iCs/>
          <w:noProof/>
          <w:lang w:eastAsia="zh-CN"/>
        </w:rPr>
        <w:t>Theory and Decision</w:t>
      </w:r>
      <w:r w:rsidRPr="002414E9">
        <w:rPr>
          <w:rFonts w:eastAsia="DengXian" w:cs="Times New Roman"/>
          <w:noProof/>
          <w:lang w:eastAsia="zh-CN"/>
        </w:rPr>
        <w:t xml:space="preserve">, </w:t>
      </w:r>
      <w:r w:rsidRPr="002414E9">
        <w:rPr>
          <w:rFonts w:eastAsia="DengXian" w:cs="Times New Roman"/>
          <w:i/>
          <w:iCs/>
          <w:noProof/>
          <w:lang w:eastAsia="zh-CN"/>
        </w:rPr>
        <w:t>79</w:t>
      </w:r>
      <w:r w:rsidRPr="002414E9">
        <w:rPr>
          <w:rFonts w:eastAsia="DengXian" w:cs="Times New Roman"/>
          <w:noProof/>
          <w:lang w:eastAsia="zh-CN"/>
        </w:rPr>
        <w:t>(3), 479–492. https://doi.org/10.1007/s11238-015-9481-4</w:t>
      </w:r>
    </w:p>
    <w:p w14:paraId="0AA5CB63" w14:textId="2B24F4F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Duchoslav, J. (2017). Prenatal Temperature shocks reduce cooperation: Evidence from public goods games in Uganda. </w:t>
      </w:r>
      <w:r w:rsidRPr="002414E9">
        <w:rPr>
          <w:rFonts w:eastAsia="DengXian" w:cs="Times New Roman"/>
          <w:i/>
          <w:iCs/>
          <w:noProof/>
          <w:lang w:eastAsia="zh-CN"/>
        </w:rPr>
        <w:t>Frontiers in Behavioral Neuroscience</w:t>
      </w:r>
      <w:r w:rsidRPr="002414E9">
        <w:rPr>
          <w:rFonts w:eastAsia="DengXian" w:cs="Times New Roman"/>
          <w:noProof/>
          <w:lang w:eastAsia="zh-CN"/>
        </w:rPr>
        <w:t xml:space="preserve">, </w:t>
      </w:r>
      <w:r w:rsidRPr="002414E9">
        <w:rPr>
          <w:rFonts w:eastAsia="DengXian" w:cs="Times New Roman"/>
          <w:i/>
          <w:iCs/>
          <w:noProof/>
          <w:lang w:eastAsia="zh-CN"/>
        </w:rPr>
        <w:t>11</w:t>
      </w:r>
      <w:r w:rsidRPr="002414E9">
        <w:rPr>
          <w:rFonts w:eastAsia="DengXian" w:cs="Times New Roman"/>
          <w:noProof/>
          <w:lang w:eastAsia="zh-CN"/>
        </w:rPr>
        <w:t>, 249. https://doi.org/10.3389/fnbeh.2017.00249</w:t>
      </w:r>
    </w:p>
    <w:p w14:paraId="15784E83" w14:textId="43D5ED2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Duffy, J., &amp; Fehr, D. (2018). Equilibrium selection in similar repeated games: Experimental evidence on the role of precedents.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21</w:t>
      </w:r>
      <w:r w:rsidRPr="002414E9">
        <w:rPr>
          <w:rFonts w:eastAsia="DengXian" w:cs="Times New Roman"/>
          <w:noProof/>
          <w:lang w:eastAsia="zh-CN"/>
        </w:rPr>
        <w:t xml:space="preserve">(3), 573–600. </w:t>
      </w:r>
      <w:bookmarkStart w:id="56" w:name="_Hlk54083910"/>
      <w:r w:rsidRPr="002414E9">
        <w:rPr>
          <w:rFonts w:eastAsia="DengXian" w:cs="Times New Roman"/>
          <w:noProof/>
          <w:lang w:eastAsia="zh-CN"/>
        </w:rPr>
        <w:t>https://doi.org/</w:t>
      </w:r>
      <w:bookmarkEnd w:id="56"/>
      <w:r w:rsidRPr="002414E9">
        <w:rPr>
          <w:rFonts w:eastAsia="DengXian" w:cs="Times New Roman"/>
          <w:noProof/>
          <w:lang w:eastAsia="zh-CN"/>
        </w:rPr>
        <w:t>10.1007/s10683-017-9531-6</w:t>
      </w:r>
    </w:p>
    <w:p w14:paraId="4368BE3F" w14:textId="00F72FE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Duffy, J., &amp; Feltovich, N. (2002). Do actions speak louder than words? An experimental comparison of observation and cheap talk. </w:t>
      </w:r>
      <w:r w:rsidRPr="002414E9">
        <w:rPr>
          <w:rFonts w:eastAsia="DengXian" w:cs="Times New Roman"/>
          <w:i/>
          <w:iCs/>
          <w:noProof/>
          <w:lang w:eastAsia="zh-CN"/>
        </w:rPr>
        <w:t>Games and Economic Behavior</w:t>
      </w:r>
      <w:r w:rsidRPr="002414E9">
        <w:rPr>
          <w:rFonts w:eastAsia="DengXian" w:cs="Times New Roman"/>
          <w:noProof/>
          <w:lang w:eastAsia="zh-CN"/>
        </w:rPr>
        <w:t xml:space="preserve">, </w:t>
      </w:r>
      <w:r w:rsidRPr="002414E9">
        <w:rPr>
          <w:rFonts w:eastAsia="DengXian" w:cs="Times New Roman"/>
          <w:i/>
          <w:iCs/>
          <w:noProof/>
          <w:lang w:eastAsia="zh-CN"/>
        </w:rPr>
        <w:t>39</w:t>
      </w:r>
      <w:r w:rsidRPr="002414E9">
        <w:rPr>
          <w:rFonts w:eastAsia="DengXian" w:cs="Times New Roman"/>
          <w:noProof/>
          <w:lang w:eastAsia="zh-CN"/>
        </w:rPr>
        <w:t>(1), 1–27. https://doi.org/10.1006/game.2001.0892</w:t>
      </w:r>
    </w:p>
    <w:p w14:paraId="24575BBE" w14:textId="25F5A91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Duffy, J., &amp; Lafky, J. (2016). Birth, death and public good provision.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19</w:t>
      </w:r>
      <w:r w:rsidRPr="002414E9">
        <w:rPr>
          <w:rFonts w:eastAsia="DengXian" w:cs="Times New Roman"/>
          <w:noProof/>
          <w:lang w:eastAsia="zh-CN"/>
        </w:rPr>
        <w:t>(2), 317–341. https://doi.org/10.1007/s10683-015-9439-y</w:t>
      </w:r>
    </w:p>
    <w:p w14:paraId="46674E3B" w14:textId="5C6531C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Duffy, J., Ochs, J., &amp; Vesterlund, L. (2007). </w:t>
      </w:r>
      <w:r w:rsidRPr="002414E9">
        <w:rPr>
          <w:rFonts w:eastAsia="DengXian" w:cs="Times New Roman"/>
          <w:noProof/>
          <w:lang w:eastAsia="zh-CN"/>
        </w:rPr>
        <w:t xml:space="preserve">Giving little by little: Dynamic voluntary contribution games.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91</w:t>
      </w:r>
      <w:r w:rsidRPr="002414E9">
        <w:rPr>
          <w:rFonts w:eastAsia="DengXian" w:cs="Times New Roman"/>
          <w:noProof/>
          <w:lang w:eastAsia="zh-CN"/>
        </w:rPr>
        <w:t>(9), 1708–1730. https://doi.org/10.1016/j.jpubeco.2007.04.001</w:t>
      </w:r>
    </w:p>
    <w:p w14:paraId="04310ED8" w14:textId="31334A6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Duffy, S., &amp; Smith, J. (2014). Cognitive load in the multi-player prisoner’s dilemma game: Are there brains in games? </w:t>
      </w:r>
      <w:r w:rsidRPr="002414E9">
        <w:rPr>
          <w:rFonts w:eastAsia="DengXian" w:cs="Times New Roman"/>
          <w:i/>
          <w:iCs/>
          <w:noProof/>
          <w:lang w:eastAsia="zh-CN"/>
        </w:rPr>
        <w:t>Journal of Behavioral and Experimental Economics</w:t>
      </w:r>
      <w:r w:rsidRPr="002414E9">
        <w:rPr>
          <w:rFonts w:eastAsia="DengXian" w:cs="Times New Roman"/>
          <w:noProof/>
          <w:lang w:eastAsia="zh-CN"/>
        </w:rPr>
        <w:t xml:space="preserve">, </w:t>
      </w:r>
      <w:r w:rsidRPr="002414E9">
        <w:rPr>
          <w:rFonts w:eastAsia="DengXian" w:cs="Times New Roman"/>
          <w:i/>
          <w:iCs/>
          <w:noProof/>
          <w:lang w:eastAsia="zh-CN"/>
        </w:rPr>
        <w:t>51</w:t>
      </w:r>
      <w:r w:rsidRPr="002414E9">
        <w:rPr>
          <w:rFonts w:eastAsia="DengXian" w:cs="Times New Roman"/>
          <w:noProof/>
          <w:lang w:eastAsia="zh-CN"/>
        </w:rPr>
        <w:t>, 47–56. https://doi.org/10.2139/ssrn.1841523</w:t>
      </w:r>
    </w:p>
    <w:p w14:paraId="69132D0A" w14:textId="17BA9FA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Dufwenberg, M., Gächter, S., &amp; Hennig-Schmidt, H. (2011). </w:t>
      </w:r>
      <w:r w:rsidRPr="002414E9">
        <w:rPr>
          <w:rFonts w:eastAsia="DengXian" w:cs="Times New Roman"/>
          <w:noProof/>
          <w:lang w:eastAsia="zh-CN"/>
        </w:rPr>
        <w:t xml:space="preserve">The framing of games and the psychology of play. </w:t>
      </w:r>
      <w:r w:rsidRPr="002414E9">
        <w:rPr>
          <w:rFonts w:eastAsia="DengXian" w:cs="Times New Roman"/>
          <w:i/>
          <w:iCs/>
          <w:noProof/>
          <w:lang w:eastAsia="zh-CN"/>
        </w:rPr>
        <w:t>Games and Economic Behavior</w:t>
      </w:r>
      <w:r w:rsidRPr="002414E9">
        <w:rPr>
          <w:rFonts w:eastAsia="DengXian" w:cs="Times New Roman"/>
          <w:noProof/>
          <w:lang w:eastAsia="zh-CN"/>
        </w:rPr>
        <w:t xml:space="preserve">, </w:t>
      </w:r>
      <w:r w:rsidRPr="002414E9">
        <w:rPr>
          <w:rFonts w:eastAsia="DengXian" w:cs="Times New Roman"/>
          <w:i/>
          <w:iCs/>
          <w:noProof/>
          <w:lang w:eastAsia="zh-CN"/>
        </w:rPr>
        <w:t>73</w:t>
      </w:r>
      <w:r w:rsidRPr="002414E9">
        <w:rPr>
          <w:rFonts w:eastAsia="DengXian" w:cs="Times New Roman"/>
          <w:noProof/>
          <w:lang w:eastAsia="zh-CN"/>
        </w:rPr>
        <w:t>(2), 459–478. https://doi.org/10.1016/j.geb.2011.02.003</w:t>
      </w:r>
    </w:p>
    <w:p w14:paraId="1FB3B7CB" w14:textId="6D8A6BC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lastRenderedPageBreak/>
        <w:t xml:space="preserve">Dugar, S. (2008). </w:t>
      </w:r>
      <w:r w:rsidRPr="002414E9">
        <w:rPr>
          <w:rFonts w:eastAsia="DengXian" w:cs="Times New Roman"/>
          <w:i/>
          <w:iCs/>
          <w:noProof/>
          <w:lang w:eastAsia="zh-CN"/>
        </w:rPr>
        <w:t>Asymmetric behavioral effects of informal sanction and reward on cooperation in an experimental public good game</w:t>
      </w:r>
      <w:r w:rsidRPr="002414E9">
        <w:rPr>
          <w:rFonts w:eastAsia="DengXian" w:cs="Times New Roman"/>
          <w:noProof/>
          <w:lang w:eastAsia="zh-CN"/>
        </w:rPr>
        <w:t>. Retrieved from SSRN 1125454. https://doi.org/10.2139/ssrn.</w:t>
      </w:r>
      <w:bookmarkStart w:id="57" w:name="_Hlk74038486"/>
      <w:r w:rsidRPr="002414E9">
        <w:rPr>
          <w:rFonts w:eastAsia="DengXian" w:cs="Times New Roman"/>
          <w:noProof/>
          <w:lang w:eastAsia="zh-CN"/>
        </w:rPr>
        <w:t>1125454</w:t>
      </w:r>
      <w:bookmarkEnd w:id="57"/>
    </w:p>
    <w:p w14:paraId="4C9EB472" w14:textId="72569DE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Dugar, S. (2013). Non-monetary incentives and opportunistic behavior: Evidence from a laboratory public good game. </w:t>
      </w:r>
      <w:r w:rsidRPr="002414E9">
        <w:rPr>
          <w:rFonts w:eastAsia="DengXian" w:cs="Times New Roman"/>
          <w:i/>
          <w:iCs/>
          <w:noProof/>
          <w:lang w:eastAsia="zh-CN"/>
        </w:rPr>
        <w:t>Economic Inquiry</w:t>
      </w:r>
      <w:r w:rsidRPr="002414E9">
        <w:rPr>
          <w:rFonts w:eastAsia="DengXian" w:cs="Times New Roman"/>
          <w:noProof/>
          <w:lang w:eastAsia="zh-CN"/>
        </w:rPr>
        <w:t xml:space="preserve">, </w:t>
      </w:r>
      <w:r w:rsidRPr="002414E9">
        <w:rPr>
          <w:rFonts w:eastAsia="DengXian" w:cs="Times New Roman"/>
          <w:i/>
          <w:iCs/>
          <w:noProof/>
          <w:lang w:eastAsia="zh-CN"/>
        </w:rPr>
        <w:t>51</w:t>
      </w:r>
      <w:r w:rsidRPr="002414E9">
        <w:rPr>
          <w:rFonts w:eastAsia="DengXian" w:cs="Times New Roman"/>
          <w:noProof/>
          <w:lang w:eastAsia="zh-CN"/>
        </w:rPr>
        <w:t>(2), 1374–1388. https://doi.org/10.1111/j.1465-7295.2011.00422.x</w:t>
      </w:r>
    </w:p>
    <w:p w14:paraId="7F7D611C" w14:textId="7FF42EE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Eckel, C. C., Fatas, E., Godoy, S., &amp; Wilson, R. K. (2016). Group-level selection increases cooperation in the public goods game. </w:t>
      </w:r>
      <w:r w:rsidRPr="002414E9">
        <w:rPr>
          <w:rFonts w:eastAsia="DengXian" w:cs="Times New Roman"/>
          <w:i/>
          <w:iCs/>
          <w:noProof/>
          <w:lang w:eastAsia="zh-CN"/>
        </w:rPr>
        <w:t>PLoS ONE</w:t>
      </w:r>
      <w:r w:rsidRPr="002414E9">
        <w:rPr>
          <w:rFonts w:eastAsia="DengXian" w:cs="Times New Roman"/>
          <w:noProof/>
          <w:lang w:eastAsia="zh-CN"/>
        </w:rPr>
        <w:t xml:space="preserve">, </w:t>
      </w:r>
      <w:r w:rsidRPr="002414E9">
        <w:rPr>
          <w:rFonts w:eastAsia="DengXian" w:cs="Times New Roman"/>
          <w:i/>
          <w:iCs/>
          <w:noProof/>
          <w:lang w:eastAsia="zh-CN"/>
        </w:rPr>
        <w:t>11</w:t>
      </w:r>
      <w:r w:rsidRPr="002414E9">
        <w:rPr>
          <w:rFonts w:eastAsia="DengXian" w:cs="Times New Roman"/>
          <w:noProof/>
          <w:lang w:eastAsia="zh-CN"/>
        </w:rPr>
        <w:t>(8), e0157840. https://doi.org/10.1371/journal.pone.0157840</w:t>
      </w:r>
    </w:p>
    <w:p w14:paraId="08037E5D" w14:textId="55B9717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Edney, J. J., &amp; Harper, C. S. (1978). The effects of information in a resource management problem: A social trap analog. </w:t>
      </w:r>
      <w:r w:rsidRPr="002414E9">
        <w:rPr>
          <w:rFonts w:eastAsia="DengXian" w:cs="Times New Roman"/>
          <w:i/>
          <w:iCs/>
          <w:noProof/>
          <w:lang w:eastAsia="zh-CN"/>
        </w:rPr>
        <w:t>Human Ecology</w:t>
      </w:r>
      <w:r w:rsidRPr="002414E9">
        <w:rPr>
          <w:rFonts w:eastAsia="DengXian" w:cs="Times New Roman"/>
          <w:noProof/>
          <w:lang w:eastAsia="zh-CN"/>
        </w:rPr>
        <w:t xml:space="preserve">, </w:t>
      </w:r>
      <w:r w:rsidRPr="002414E9">
        <w:rPr>
          <w:rFonts w:eastAsia="DengXian" w:cs="Times New Roman"/>
          <w:i/>
          <w:iCs/>
          <w:noProof/>
          <w:lang w:eastAsia="zh-CN"/>
        </w:rPr>
        <w:t>6</w:t>
      </w:r>
      <w:r w:rsidRPr="002414E9">
        <w:rPr>
          <w:rFonts w:eastAsia="DengXian" w:cs="Times New Roman"/>
          <w:noProof/>
          <w:lang w:eastAsia="zh-CN"/>
        </w:rPr>
        <w:t>(4), 387–395. https://doi.org/10.1007/BF00889416</w:t>
      </w:r>
    </w:p>
    <w:p w14:paraId="09136DC3" w14:textId="46420E8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Eek, D., &amp; Gärling, T. (2006). Prosocials prefer equal outcomes to maximizing joint outcomes. </w:t>
      </w:r>
      <w:r w:rsidRPr="002414E9">
        <w:rPr>
          <w:rFonts w:eastAsia="DengXian" w:cs="Times New Roman"/>
          <w:i/>
          <w:iCs/>
          <w:noProof/>
          <w:lang w:eastAsia="zh-CN"/>
        </w:rPr>
        <w:t>British Journal of Social Psychology</w:t>
      </w:r>
      <w:r w:rsidRPr="002414E9">
        <w:rPr>
          <w:rFonts w:eastAsia="DengXian" w:cs="Times New Roman"/>
          <w:noProof/>
          <w:lang w:eastAsia="zh-CN"/>
        </w:rPr>
        <w:t xml:space="preserve">, </w:t>
      </w:r>
      <w:r w:rsidRPr="002414E9">
        <w:rPr>
          <w:rFonts w:eastAsia="DengXian" w:cs="Times New Roman"/>
          <w:i/>
          <w:iCs/>
          <w:noProof/>
          <w:lang w:eastAsia="zh-CN"/>
        </w:rPr>
        <w:t>45</w:t>
      </w:r>
      <w:r w:rsidRPr="002414E9">
        <w:rPr>
          <w:rFonts w:eastAsia="DengXian" w:cs="Times New Roman"/>
          <w:noProof/>
          <w:lang w:eastAsia="zh-CN"/>
        </w:rPr>
        <w:t>(2), 321–337. https://doi.org/10.1348/014466605x52290</w:t>
      </w:r>
    </w:p>
    <w:p w14:paraId="7B467AEA" w14:textId="6F347BB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Eiser, J. R., &amp; Bhavnani, K.-K. (1974). </w:t>
      </w:r>
      <w:r w:rsidRPr="002414E9">
        <w:rPr>
          <w:rFonts w:eastAsia="DengXian" w:cs="Times New Roman"/>
          <w:noProof/>
          <w:lang w:eastAsia="zh-CN"/>
        </w:rPr>
        <w:t xml:space="preserve">The effect of situational meaning on the behaviour of subjects in the Prisoner’s Dilemma Game. </w:t>
      </w:r>
      <w:r w:rsidRPr="002414E9">
        <w:rPr>
          <w:rFonts w:eastAsia="DengXian" w:cs="Times New Roman"/>
          <w:i/>
          <w:iCs/>
          <w:noProof/>
          <w:lang w:eastAsia="zh-CN"/>
        </w:rPr>
        <w:t>European Journal of Social Psychology</w:t>
      </w:r>
      <w:r w:rsidRPr="002414E9">
        <w:rPr>
          <w:rFonts w:eastAsia="DengXian" w:cs="Times New Roman"/>
          <w:noProof/>
          <w:lang w:eastAsia="zh-CN"/>
        </w:rPr>
        <w:t xml:space="preserve">, </w:t>
      </w:r>
      <w:r w:rsidRPr="002414E9">
        <w:rPr>
          <w:rFonts w:eastAsia="DengXian" w:cs="Times New Roman"/>
          <w:i/>
          <w:iCs/>
          <w:noProof/>
          <w:lang w:eastAsia="zh-CN"/>
        </w:rPr>
        <w:t>4</w:t>
      </w:r>
      <w:r w:rsidRPr="002414E9">
        <w:rPr>
          <w:rFonts w:eastAsia="DengXian" w:cs="Times New Roman"/>
          <w:noProof/>
          <w:lang w:eastAsia="zh-CN"/>
        </w:rPr>
        <w:t>(1), 93–97. https://doi.org/10.1002/ejsp.2420040108</w:t>
      </w:r>
    </w:p>
    <w:p w14:paraId="59E66E13" w14:textId="4B7B863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Ellett, L., Allen-Crooks, R., Stevens, A., Wildschut, T., &amp; Chadwick, P. (2013). A paradigm for the study of paranoia in the general population: the Prisoner’s Dilemma Game. </w:t>
      </w:r>
      <w:r w:rsidRPr="002414E9">
        <w:rPr>
          <w:rFonts w:eastAsia="DengXian" w:cs="Times New Roman"/>
          <w:i/>
          <w:iCs/>
          <w:noProof/>
          <w:lang w:eastAsia="zh-CN"/>
        </w:rPr>
        <w:t>Cognition &amp; Emotion</w:t>
      </w:r>
      <w:r w:rsidRPr="002414E9">
        <w:rPr>
          <w:rFonts w:eastAsia="DengXian" w:cs="Times New Roman"/>
          <w:noProof/>
          <w:lang w:eastAsia="zh-CN"/>
        </w:rPr>
        <w:t xml:space="preserve">, </w:t>
      </w:r>
      <w:r w:rsidRPr="002414E9">
        <w:rPr>
          <w:rFonts w:eastAsia="DengXian" w:cs="Times New Roman"/>
          <w:i/>
          <w:iCs/>
          <w:noProof/>
          <w:lang w:eastAsia="zh-CN"/>
        </w:rPr>
        <w:t>27</w:t>
      </w:r>
      <w:r w:rsidRPr="002414E9">
        <w:rPr>
          <w:rFonts w:eastAsia="DengXian" w:cs="Times New Roman"/>
          <w:noProof/>
          <w:lang w:eastAsia="zh-CN"/>
        </w:rPr>
        <w:t>(1), 53–62. https://doi.org/10.1080/02699931.2012.689757</w:t>
      </w:r>
    </w:p>
    <w:p w14:paraId="7819AD89" w14:textId="5CD9626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Ellingsen, T., Johannesson, M., Mollerstrom, J., &amp; Munkhammar, S. (2012). Social framing effects: Preferences or beliefs? </w:t>
      </w:r>
      <w:r w:rsidRPr="002414E9">
        <w:rPr>
          <w:rFonts w:eastAsia="DengXian" w:cs="Times New Roman"/>
          <w:i/>
          <w:iCs/>
          <w:noProof/>
          <w:lang w:eastAsia="zh-CN"/>
        </w:rPr>
        <w:t>Games and Economic Behavior</w:t>
      </w:r>
      <w:r w:rsidRPr="002414E9">
        <w:rPr>
          <w:rFonts w:eastAsia="DengXian" w:cs="Times New Roman"/>
          <w:noProof/>
          <w:lang w:eastAsia="zh-CN"/>
        </w:rPr>
        <w:t xml:space="preserve">, </w:t>
      </w:r>
      <w:r w:rsidRPr="002414E9">
        <w:rPr>
          <w:rFonts w:eastAsia="DengXian" w:cs="Times New Roman"/>
          <w:i/>
          <w:iCs/>
          <w:noProof/>
          <w:lang w:eastAsia="zh-CN"/>
        </w:rPr>
        <w:t>76</w:t>
      </w:r>
      <w:r w:rsidRPr="002414E9">
        <w:rPr>
          <w:rFonts w:eastAsia="DengXian" w:cs="Times New Roman"/>
          <w:noProof/>
          <w:lang w:eastAsia="zh-CN"/>
        </w:rPr>
        <w:t xml:space="preserve">(1), 117–130. </w:t>
      </w:r>
      <w:r w:rsidRPr="002414E9">
        <w:rPr>
          <w:rFonts w:eastAsia="DengXian" w:cs="Times New Roman"/>
          <w:noProof/>
          <w:lang w:eastAsia="zh-CN"/>
        </w:rPr>
        <w:lastRenderedPageBreak/>
        <w:t>https://doi.org/10.1016/j.geb.2012.05.007</w:t>
      </w:r>
    </w:p>
    <w:p w14:paraId="0C234A6C" w14:textId="1AA18CA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Emonds, G., Declerck, C. H., Boone, C., Seurinck, R., &amp; Achten, R. (2014). Establishing cooperation in a mixed-motive social dilemma. An fMRI study investigating the role of social value orientation and dispositional trust. </w:t>
      </w:r>
      <w:r w:rsidRPr="002414E9">
        <w:rPr>
          <w:rFonts w:eastAsia="DengXian" w:cs="Times New Roman"/>
          <w:i/>
          <w:iCs/>
          <w:noProof/>
          <w:lang w:eastAsia="zh-CN"/>
        </w:rPr>
        <w:t>Social Neuroscience</w:t>
      </w:r>
      <w:r w:rsidRPr="002414E9">
        <w:rPr>
          <w:rFonts w:eastAsia="DengXian" w:cs="Times New Roman"/>
          <w:noProof/>
          <w:lang w:eastAsia="zh-CN"/>
        </w:rPr>
        <w:t xml:space="preserve">, </w:t>
      </w:r>
      <w:r w:rsidRPr="002414E9">
        <w:rPr>
          <w:rFonts w:eastAsia="DengXian" w:cs="Times New Roman"/>
          <w:i/>
          <w:iCs/>
          <w:noProof/>
          <w:lang w:eastAsia="zh-CN"/>
        </w:rPr>
        <w:t>9</w:t>
      </w:r>
      <w:r w:rsidRPr="002414E9">
        <w:rPr>
          <w:rFonts w:eastAsia="DengXian" w:cs="Times New Roman"/>
          <w:noProof/>
          <w:lang w:eastAsia="zh-CN"/>
        </w:rPr>
        <w:t>(1), 10–22. https://doi.org/10.1080/17470919.2013.858080</w:t>
      </w:r>
    </w:p>
    <w:p w14:paraId="40EAC935" w14:textId="429E683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Emonds, G., Declerck, C. H., Boone, C., Vandervliet, E. J. M., &amp; Parizel, P. M. (2011). </w:t>
      </w:r>
      <w:r w:rsidRPr="002414E9">
        <w:rPr>
          <w:rFonts w:eastAsia="DengXian" w:cs="Times New Roman"/>
          <w:noProof/>
          <w:lang w:eastAsia="zh-CN"/>
        </w:rPr>
        <w:t xml:space="preserve">Comparing the neural basis of decision making in social dilemmas of people with different social value orientations, a fMRI study. </w:t>
      </w:r>
      <w:r w:rsidRPr="002414E9">
        <w:rPr>
          <w:rFonts w:eastAsia="DengXian" w:cs="Times New Roman"/>
          <w:i/>
          <w:iCs/>
          <w:noProof/>
          <w:lang w:eastAsia="zh-CN"/>
        </w:rPr>
        <w:t>Journal of Neuroscience, Psychology, and Economics</w:t>
      </w:r>
      <w:r w:rsidRPr="002414E9">
        <w:rPr>
          <w:rFonts w:eastAsia="DengXian" w:cs="Times New Roman"/>
          <w:noProof/>
          <w:lang w:eastAsia="zh-CN"/>
        </w:rPr>
        <w:t xml:space="preserve">, </w:t>
      </w:r>
      <w:r w:rsidRPr="002414E9">
        <w:rPr>
          <w:rFonts w:eastAsia="DengXian" w:cs="Times New Roman"/>
          <w:i/>
          <w:iCs/>
          <w:noProof/>
          <w:lang w:eastAsia="zh-CN"/>
        </w:rPr>
        <w:t>4</w:t>
      </w:r>
      <w:r w:rsidRPr="002414E9">
        <w:rPr>
          <w:rFonts w:eastAsia="DengXian" w:cs="Times New Roman"/>
          <w:noProof/>
          <w:lang w:eastAsia="zh-CN"/>
        </w:rPr>
        <w:t>(1), 11–24. https://doi.org/10.1037/a0020151</w:t>
      </w:r>
    </w:p>
    <w:p w14:paraId="0A35C408" w14:textId="5211F07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Emonds, G., Declerck, C. H., Boone, C., Vandervliet, E. J. M., &amp; Parizel, P. M. (2012). </w:t>
      </w:r>
      <w:r w:rsidRPr="002414E9">
        <w:rPr>
          <w:rFonts w:eastAsia="DengXian" w:cs="Times New Roman"/>
          <w:noProof/>
          <w:lang w:eastAsia="zh-CN"/>
        </w:rPr>
        <w:t xml:space="preserve">The cognitive demands on cooperation in social dilemmas: an fMRI study. </w:t>
      </w:r>
      <w:r w:rsidRPr="002414E9">
        <w:rPr>
          <w:rFonts w:eastAsia="DengXian" w:cs="Times New Roman"/>
          <w:i/>
          <w:iCs/>
          <w:noProof/>
          <w:lang w:eastAsia="zh-CN"/>
        </w:rPr>
        <w:t>Social Neuroscience</w:t>
      </w:r>
      <w:r w:rsidRPr="002414E9">
        <w:rPr>
          <w:rFonts w:eastAsia="DengXian" w:cs="Times New Roman"/>
          <w:noProof/>
          <w:lang w:eastAsia="zh-CN"/>
        </w:rPr>
        <w:t xml:space="preserve">, </w:t>
      </w:r>
      <w:r w:rsidRPr="002414E9">
        <w:rPr>
          <w:rFonts w:eastAsia="DengXian" w:cs="Times New Roman"/>
          <w:i/>
          <w:iCs/>
          <w:noProof/>
          <w:lang w:eastAsia="zh-CN"/>
        </w:rPr>
        <w:t>7</w:t>
      </w:r>
      <w:r w:rsidRPr="002414E9">
        <w:rPr>
          <w:rFonts w:eastAsia="DengXian" w:cs="Times New Roman"/>
          <w:noProof/>
          <w:lang w:eastAsia="zh-CN"/>
        </w:rPr>
        <w:t>(5), 494–509. https://doi.org/10.1080/17470919.2012.655426</w:t>
      </w:r>
    </w:p>
    <w:p w14:paraId="74560F51" w14:textId="1543965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Engelmann, D., &amp; Nikiforakis, N. (2015). In the long-run we are all dead: On the benefits of peer punishment in rich environments. </w:t>
      </w:r>
      <w:r w:rsidRPr="002414E9">
        <w:rPr>
          <w:rFonts w:eastAsia="DengXian" w:cs="Times New Roman"/>
          <w:i/>
          <w:iCs/>
          <w:noProof/>
          <w:lang w:eastAsia="zh-CN"/>
        </w:rPr>
        <w:t>Social Choice and Welfare</w:t>
      </w:r>
      <w:r w:rsidRPr="002414E9">
        <w:rPr>
          <w:rFonts w:eastAsia="DengXian" w:cs="Times New Roman"/>
          <w:noProof/>
          <w:lang w:eastAsia="zh-CN"/>
        </w:rPr>
        <w:t xml:space="preserve">, </w:t>
      </w:r>
      <w:r w:rsidRPr="002414E9">
        <w:rPr>
          <w:rFonts w:eastAsia="DengXian" w:cs="Times New Roman"/>
          <w:i/>
          <w:iCs/>
          <w:noProof/>
          <w:lang w:eastAsia="zh-CN"/>
        </w:rPr>
        <w:t>45</w:t>
      </w:r>
      <w:r w:rsidRPr="002414E9">
        <w:rPr>
          <w:rFonts w:eastAsia="DengXian" w:cs="Times New Roman"/>
          <w:noProof/>
          <w:lang w:eastAsia="zh-CN"/>
        </w:rPr>
        <w:t>(3), 561–577. https://doi.org/10.1007/s00355-015-0884-5</w:t>
      </w:r>
    </w:p>
    <w:p w14:paraId="24969B6D" w14:textId="016B68D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English, W. (2012). Demystifying trust: Experimental evidence from Cambodia and Thailand. </w:t>
      </w:r>
      <w:r w:rsidRPr="002414E9">
        <w:rPr>
          <w:rFonts w:eastAsia="DengXian" w:cs="Times New Roman"/>
          <w:i/>
          <w:iCs/>
          <w:noProof/>
          <w:lang w:eastAsia="zh-CN"/>
        </w:rPr>
        <w:t>Journal of Theoretical Politics</w:t>
      </w:r>
      <w:r w:rsidRPr="002414E9">
        <w:rPr>
          <w:rFonts w:eastAsia="DengXian" w:cs="Times New Roman"/>
          <w:noProof/>
          <w:lang w:eastAsia="zh-CN"/>
        </w:rPr>
        <w:t xml:space="preserve">, </w:t>
      </w:r>
      <w:r w:rsidRPr="002414E9">
        <w:rPr>
          <w:rFonts w:eastAsia="DengXian" w:cs="Times New Roman"/>
          <w:i/>
          <w:iCs/>
          <w:noProof/>
          <w:lang w:eastAsia="zh-CN"/>
        </w:rPr>
        <w:t>24</w:t>
      </w:r>
      <w:r w:rsidRPr="002414E9">
        <w:rPr>
          <w:rFonts w:eastAsia="DengXian" w:cs="Times New Roman"/>
          <w:noProof/>
          <w:lang w:eastAsia="zh-CN"/>
        </w:rPr>
        <w:t>(2), 172–209. https://doi.org/10.1177/0951629811423233</w:t>
      </w:r>
    </w:p>
    <w:p w14:paraId="40D567F5" w14:textId="10A1CC9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Englmaier, F., &amp; Gebhardt, G. (2016). Social dilemmas in the laboratory and in the field.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128</w:t>
      </w:r>
      <w:r w:rsidRPr="002414E9">
        <w:rPr>
          <w:rFonts w:eastAsia="DengXian" w:cs="Times New Roman"/>
          <w:noProof/>
          <w:lang w:eastAsia="zh-CN"/>
        </w:rPr>
        <w:t>, 85–96. https://doi.org/10.1016/j.jebo.2016.03.006</w:t>
      </w:r>
    </w:p>
    <w:p w14:paraId="56020728" w14:textId="2A33419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Ensminger, J. (2004). Market integration and fairness: Evidence from ultimatum, dictator, and public goods experiments in East Africa. In J. Henrich, R. Boyd, S. Bowles, C. Camerer, </w:t>
      </w:r>
      <w:r w:rsidRPr="002414E9">
        <w:rPr>
          <w:rFonts w:eastAsia="DengXian" w:cs="Times New Roman"/>
          <w:noProof/>
          <w:lang w:eastAsia="zh-CN"/>
        </w:rPr>
        <w:lastRenderedPageBreak/>
        <w:t xml:space="preserve">E. Fehr, &amp; H. Gintis (Eds.), </w:t>
      </w:r>
      <w:r w:rsidRPr="002414E9">
        <w:rPr>
          <w:rFonts w:eastAsia="DengXian" w:cs="Times New Roman"/>
          <w:i/>
          <w:iCs/>
          <w:noProof/>
          <w:lang w:eastAsia="zh-CN"/>
        </w:rPr>
        <w:t>Foundations of Human Sociality</w:t>
      </w:r>
      <w:r w:rsidRPr="002414E9">
        <w:rPr>
          <w:rFonts w:eastAsia="DengXian" w:cs="Times New Roman"/>
          <w:noProof/>
          <w:lang w:eastAsia="zh-CN"/>
        </w:rPr>
        <w:t xml:space="preserve"> (pp. 356–381). Oxford University Press. https://doi.org/10.1093/0199262055.003.0012</w:t>
      </w:r>
    </w:p>
    <w:p w14:paraId="26D96B9D" w14:textId="34F8F90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Enzle, M. E., Harvey, M. D., &amp; Wright, E. F. (1992). Implicit role obligations versus social responsibility in constituency representation. </w:t>
      </w:r>
      <w:r w:rsidRPr="002414E9">
        <w:rPr>
          <w:rFonts w:eastAsia="DengXian" w:cs="Times New Roman"/>
          <w:i/>
          <w:iCs/>
          <w:noProof/>
          <w:lang w:eastAsia="zh-CN"/>
        </w:rPr>
        <w:t>Journal of Personality and Social Psychology</w:t>
      </w:r>
      <w:r w:rsidRPr="002414E9">
        <w:rPr>
          <w:rFonts w:eastAsia="DengXian" w:cs="Times New Roman"/>
          <w:noProof/>
          <w:lang w:eastAsia="zh-CN"/>
        </w:rPr>
        <w:t xml:space="preserve">, </w:t>
      </w:r>
      <w:r w:rsidRPr="002414E9">
        <w:rPr>
          <w:rFonts w:eastAsia="DengXian" w:cs="Times New Roman"/>
          <w:i/>
          <w:iCs/>
          <w:noProof/>
          <w:lang w:eastAsia="zh-CN"/>
        </w:rPr>
        <w:t>62</w:t>
      </w:r>
      <w:r w:rsidRPr="002414E9">
        <w:rPr>
          <w:rFonts w:eastAsia="DengXian" w:cs="Times New Roman"/>
          <w:noProof/>
          <w:lang w:eastAsia="zh-CN"/>
        </w:rPr>
        <w:t>(2), 238–245. https://doi.org/10.1037/0022-3514.62.2.238</w:t>
      </w:r>
    </w:p>
    <w:p w14:paraId="7E0236F4" w14:textId="4E7688A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Epley, N., &amp; Dunning, D. (2000). Feeling "holier than thou": Are self-serving assessments produced by errors in self- or social prediction? </w:t>
      </w:r>
      <w:r w:rsidRPr="002414E9">
        <w:rPr>
          <w:rFonts w:eastAsia="DengXian" w:cs="Times New Roman"/>
          <w:i/>
          <w:iCs/>
          <w:noProof/>
          <w:lang w:eastAsia="zh-CN"/>
        </w:rPr>
        <w:t>Journal of Personality and Social Psychology, 79</w:t>
      </w:r>
      <w:r w:rsidRPr="002414E9">
        <w:rPr>
          <w:rFonts w:eastAsia="DengXian" w:cs="Times New Roman"/>
          <w:noProof/>
          <w:lang w:eastAsia="zh-CN"/>
        </w:rPr>
        <w:t>(6), 861–875. https://doi.org/10.1037/0022-3514.79.6.861</w:t>
      </w:r>
    </w:p>
    <w:p w14:paraId="36033570" w14:textId="3464C22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Epstein, Y. M., &amp; Karlin, R. A. (1975). </w:t>
      </w:r>
      <w:r w:rsidRPr="002414E9">
        <w:rPr>
          <w:rFonts w:eastAsia="DengXian" w:cs="Times New Roman"/>
          <w:noProof/>
          <w:lang w:eastAsia="zh-CN"/>
        </w:rPr>
        <w:t xml:space="preserve">Effects of Acute Experimental Crowding. </w:t>
      </w:r>
      <w:r w:rsidRPr="002414E9">
        <w:rPr>
          <w:rFonts w:eastAsia="DengXian" w:cs="Times New Roman"/>
          <w:i/>
          <w:iCs/>
          <w:noProof/>
          <w:lang w:eastAsia="zh-CN"/>
        </w:rPr>
        <w:t>Journal of Applied Social Psychology</w:t>
      </w:r>
      <w:r w:rsidRPr="002414E9">
        <w:rPr>
          <w:rFonts w:eastAsia="DengXian" w:cs="Times New Roman"/>
          <w:noProof/>
          <w:lang w:eastAsia="zh-CN"/>
        </w:rPr>
        <w:t xml:space="preserve">, </w:t>
      </w:r>
      <w:r w:rsidRPr="002414E9">
        <w:rPr>
          <w:rFonts w:eastAsia="DengXian" w:cs="Times New Roman"/>
          <w:i/>
          <w:iCs/>
          <w:noProof/>
          <w:lang w:eastAsia="zh-CN"/>
        </w:rPr>
        <w:t>5</w:t>
      </w:r>
      <w:r w:rsidRPr="002414E9">
        <w:rPr>
          <w:rFonts w:eastAsia="DengXian" w:cs="Times New Roman"/>
          <w:noProof/>
          <w:lang w:eastAsia="zh-CN"/>
        </w:rPr>
        <w:t>(1), 34–53. https://doi.org/10.1111/j.1559-1816.1975.tb00670.x</w:t>
      </w:r>
    </w:p>
    <w:p w14:paraId="3425DAD6" w14:textId="18797CC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Erev, I., &amp; Rapoport, A. (1990). Provision of step-level public goods: The sequential contribution mechanism. </w:t>
      </w:r>
      <w:r w:rsidRPr="002414E9">
        <w:rPr>
          <w:rFonts w:eastAsia="DengXian" w:cs="Times New Roman"/>
          <w:i/>
          <w:iCs/>
          <w:noProof/>
          <w:lang w:eastAsia="zh-CN"/>
        </w:rPr>
        <w:t>The Journal of Conflict Resolution</w:t>
      </w:r>
      <w:r w:rsidRPr="002414E9">
        <w:rPr>
          <w:rFonts w:eastAsia="DengXian" w:cs="Times New Roman"/>
          <w:noProof/>
          <w:lang w:eastAsia="zh-CN"/>
        </w:rPr>
        <w:t xml:space="preserve">, </w:t>
      </w:r>
      <w:r w:rsidRPr="002414E9">
        <w:rPr>
          <w:rFonts w:eastAsia="DengXian" w:cs="Times New Roman"/>
          <w:i/>
          <w:iCs/>
          <w:noProof/>
          <w:lang w:eastAsia="zh-CN"/>
        </w:rPr>
        <w:t>34</w:t>
      </w:r>
      <w:r w:rsidRPr="002414E9">
        <w:rPr>
          <w:rFonts w:eastAsia="DengXian" w:cs="Times New Roman"/>
          <w:noProof/>
          <w:lang w:eastAsia="zh-CN"/>
        </w:rPr>
        <w:t>(3), 401–425. https://doi.org/10.1177/0022002790034003002</w:t>
      </w:r>
    </w:p>
    <w:p w14:paraId="2B4912B8" w14:textId="07B4CEF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Eriksson, K., &amp; Strimling, P. (2012). The hard problem of cooperation. </w:t>
      </w:r>
      <w:r w:rsidRPr="002414E9">
        <w:rPr>
          <w:rFonts w:eastAsia="DengXian" w:cs="Times New Roman"/>
          <w:i/>
          <w:iCs/>
          <w:noProof/>
          <w:lang w:eastAsia="zh-CN"/>
        </w:rPr>
        <w:t>PLoS ONE</w:t>
      </w:r>
      <w:r w:rsidRPr="002414E9">
        <w:rPr>
          <w:rFonts w:eastAsia="DengXian" w:cs="Times New Roman"/>
          <w:noProof/>
          <w:lang w:eastAsia="zh-CN"/>
        </w:rPr>
        <w:t xml:space="preserve">, </w:t>
      </w:r>
      <w:r w:rsidRPr="002414E9">
        <w:rPr>
          <w:rFonts w:eastAsia="DengXian" w:cs="Times New Roman"/>
          <w:i/>
          <w:iCs/>
          <w:noProof/>
          <w:lang w:eastAsia="zh-CN"/>
        </w:rPr>
        <w:t>7</w:t>
      </w:r>
      <w:r w:rsidRPr="002414E9">
        <w:rPr>
          <w:rFonts w:eastAsia="DengXian" w:cs="Times New Roman"/>
          <w:noProof/>
          <w:lang w:eastAsia="zh-CN"/>
        </w:rPr>
        <w:t>(7), e40325. https://doi.org/10.1371/journal.pone.0040325</w:t>
      </w:r>
    </w:p>
    <w:p w14:paraId="2D5FE18E" w14:textId="3E757A9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Eriksson, K., &amp; Strimling, P. (2014). Spontaneous associations and label framing have similar effects in the public goods game. </w:t>
      </w:r>
      <w:r w:rsidRPr="002414E9">
        <w:rPr>
          <w:rFonts w:eastAsia="DengXian" w:cs="Times New Roman"/>
          <w:i/>
          <w:iCs/>
          <w:noProof/>
          <w:lang w:eastAsia="zh-CN"/>
        </w:rPr>
        <w:t>Judgment and Decision Making</w:t>
      </w:r>
      <w:r w:rsidRPr="002414E9">
        <w:rPr>
          <w:rFonts w:eastAsia="DengXian" w:cs="Times New Roman"/>
          <w:noProof/>
          <w:lang w:eastAsia="zh-CN"/>
        </w:rPr>
        <w:t xml:space="preserve">, </w:t>
      </w:r>
      <w:r w:rsidRPr="002414E9">
        <w:rPr>
          <w:rFonts w:eastAsia="DengXian" w:cs="Times New Roman"/>
          <w:i/>
          <w:iCs/>
          <w:noProof/>
          <w:lang w:eastAsia="zh-CN"/>
        </w:rPr>
        <w:t>9</w:t>
      </w:r>
      <w:r w:rsidRPr="002414E9">
        <w:rPr>
          <w:rFonts w:eastAsia="DengXian" w:cs="Times New Roman"/>
          <w:noProof/>
          <w:lang w:eastAsia="zh-CN"/>
        </w:rPr>
        <w:t>(5), 360–372.</w:t>
      </w:r>
    </w:p>
    <w:p w14:paraId="525CCDB7" w14:textId="3BEC623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Eriksson, K., Strimling, P., &amp; Ehn, M. (2013). </w:t>
      </w:r>
      <w:r w:rsidRPr="002414E9">
        <w:rPr>
          <w:rFonts w:eastAsia="DengXian" w:cs="Times New Roman"/>
          <w:noProof/>
          <w:lang w:eastAsia="zh-CN"/>
        </w:rPr>
        <w:t xml:space="preserve">Ubiquity and efficiency of restrictions on informal punishment rights. </w:t>
      </w:r>
      <w:r w:rsidRPr="002414E9">
        <w:rPr>
          <w:rFonts w:eastAsia="DengXian" w:cs="Times New Roman"/>
          <w:i/>
          <w:iCs/>
          <w:noProof/>
          <w:lang w:eastAsia="zh-CN"/>
        </w:rPr>
        <w:t>Journal of Evolutionary Psychology</w:t>
      </w:r>
      <w:r w:rsidRPr="002414E9">
        <w:rPr>
          <w:rFonts w:eastAsia="DengXian" w:cs="Times New Roman"/>
          <w:noProof/>
          <w:lang w:eastAsia="zh-CN"/>
        </w:rPr>
        <w:t xml:space="preserve">, </w:t>
      </w:r>
      <w:r w:rsidRPr="002414E9">
        <w:rPr>
          <w:rFonts w:eastAsia="DengXian" w:cs="Times New Roman"/>
          <w:i/>
          <w:iCs/>
          <w:noProof/>
          <w:lang w:eastAsia="zh-CN"/>
        </w:rPr>
        <w:t>11</w:t>
      </w:r>
      <w:r w:rsidRPr="002414E9">
        <w:rPr>
          <w:rFonts w:eastAsia="DengXian" w:cs="Times New Roman"/>
          <w:noProof/>
          <w:lang w:eastAsia="zh-CN"/>
        </w:rPr>
        <w:t>(1), 17–34. https://doi.org/10.1556/JEP.11.2013.1.3</w:t>
      </w:r>
    </w:p>
    <w:p w14:paraId="4D4CCA1C" w14:textId="7680F21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Esteve, M., Urbig, D., Van Witteloostuijn, A., &amp; Boyne, G. (2016). </w:t>
      </w:r>
      <w:r w:rsidRPr="002414E9">
        <w:rPr>
          <w:rFonts w:eastAsia="DengXian" w:cs="Times New Roman"/>
          <w:noProof/>
          <w:lang w:eastAsia="zh-CN"/>
        </w:rPr>
        <w:t xml:space="preserve">Prosocial behavior and public service motivation. </w:t>
      </w:r>
      <w:r w:rsidRPr="002414E9">
        <w:rPr>
          <w:rFonts w:eastAsia="DengXian" w:cs="Times New Roman"/>
          <w:i/>
          <w:iCs/>
          <w:noProof/>
          <w:lang w:eastAsia="zh-CN"/>
        </w:rPr>
        <w:t>Public Administration Review</w:t>
      </w:r>
      <w:r w:rsidRPr="002414E9">
        <w:rPr>
          <w:rFonts w:eastAsia="DengXian" w:cs="Times New Roman"/>
          <w:noProof/>
          <w:lang w:eastAsia="zh-CN"/>
        </w:rPr>
        <w:t xml:space="preserve">, </w:t>
      </w:r>
      <w:r w:rsidRPr="002414E9">
        <w:rPr>
          <w:rFonts w:eastAsia="DengXian" w:cs="Times New Roman"/>
          <w:i/>
          <w:iCs/>
          <w:noProof/>
          <w:lang w:eastAsia="zh-CN"/>
        </w:rPr>
        <w:t>76</w:t>
      </w:r>
      <w:r w:rsidRPr="002414E9">
        <w:rPr>
          <w:rFonts w:eastAsia="DengXian" w:cs="Times New Roman"/>
          <w:noProof/>
          <w:lang w:eastAsia="zh-CN"/>
        </w:rPr>
        <w:t xml:space="preserve">(1), 177–187. </w:t>
      </w:r>
      <w:r w:rsidRPr="002414E9">
        <w:rPr>
          <w:rFonts w:eastAsia="DengXian" w:cs="Times New Roman"/>
          <w:noProof/>
          <w:lang w:eastAsia="zh-CN"/>
        </w:rPr>
        <w:lastRenderedPageBreak/>
        <w:t>https://doi.org/10.1111/puar.12480</w:t>
      </w:r>
    </w:p>
    <w:p w14:paraId="15F26BD7" w14:textId="4BD4E80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Evans, A. M., Dillon, K. D., &amp; Rand, D. G. (2015). Fast but not intuitive, slow but not reflective: Decision conflict drives reaction times in social dilemmas. </w:t>
      </w:r>
      <w:r w:rsidRPr="002414E9">
        <w:rPr>
          <w:rFonts w:eastAsia="DengXian" w:cs="Times New Roman"/>
          <w:i/>
          <w:iCs/>
          <w:noProof/>
          <w:lang w:eastAsia="zh-CN"/>
        </w:rPr>
        <w:t>Journal of Experimental Psychology: General</w:t>
      </w:r>
      <w:r w:rsidRPr="002414E9">
        <w:rPr>
          <w:rFonts w:eastAsia="DengXian" w:cs="Times New Roman"/>
          <w:noProof/>
          <w:lang w:eastAsia="zh-CN"/>
        </w:rPr>
        <w:t xml:space="preserve">, </w:t>
      </w:r>
      <w:r w:rsidRPr="002414E9">
        <w:rPr>
          <w:rFonts w:eastAsia="DengXian" w:cs="Times New Roman"/>
          <w:i/>
          <w:iCs/>
          <w:noProof/>
          <w:lang w:eastAsia="zh-CN"/>
        </w:rPr>
        <w:t>144</w:t>
      </w:r>
      <w:r w:rsidRPr="002414E9">
        <w:rPr>
          <w:rFonts w:eastAsia="DengXian" w:cs="Times New Roman"/>
          <w:noProof/>
          <w:lang w:eastAsia="zh-CN"/>
        </w:rPr>
        <w:t>(5), 951–966. https://doi.org/10.1037/xge0000107</w:t>
      </w:r>
    </w:p>
    <w:p w14:paraId="101FDE84" w14:textId="41D51AF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Evans, G. W., &amp; Crumbaugh, C. M. (1966). Payment schedule, sequence of choice, and cooperation in the Prisoner’s Dilemma game. </w:t>
      </w:r>
      <w:r w:rsidRPr="002414E9">
        <w:rPr>
          <w:rFonts w:eastAsia="DengXian" w:cs="Times New Roman"/>
          <w:i/>
          <w:iCs/>
          <w:noProof/>
          <w:lang w:eastAsia="zh-CN"/>
        </w:rPr>
        <w:t>Psychonomic Science</w:t>
      </w:r>
      <w:r w:rsidRPr="002414E9">
        <w:rPr>
          <w:rFonts w:eastAsia="DengXian" w:cs="Times New Roman"/>
          <w:noProof/>
          <w:lang w:eastAsia="zh-CN"/>
        </w:rPr>
        <w:t xml:space="preserve">, </w:t>
      </w:r>
      <w:r w:rsidRPr="002414E9">
        <w:rPr>
          <w:rFonts w:eastAsia="DengXian" w:cs="Times New Roman"/>
          <w:i/>
          <w:iCs/>
          <w:noProof/>
          <w:lang w:eastAsia="zh-CN"/>
        </w:rPr>
        <w:t>5</w:t>
      </w:r>
      <w:r w:rsidRPr="002414E9">
        <w:rPr>
          <w:rFonts w:eastAsia="DengXian" w:cs="Times New Roman"/>
          <w:noProof/>
          <w:lang w:eastAsia="zh-CN"/>
        </w:rPr>
        <w:t>(2), 87–88. https://doi.org/10.3758/BF03328294</w:t>
      </w:r>
    </w:p>
    <w:p w14:paraId="31A82567" w14:textId="277792A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Everett, J. A. C., Ingbretsen, Z., Cushman, F., &amp; Cikara, M. (2017). </w:t>
      </w:r>
      <w:r w:rsidRPr="002414E9">
        <w:rPr>
          <w:rFonts w:eastAsia="DengXian" w:cs="Times New Roman"/>
          <w:noProof/>
          <w:lang w:eastAsia="zh-CN"/>
        </w:rPr>
        <w:t xml:space="preserve">Deliberation erodes cooperative behavior—Even towards competitive out-groups, even when using a control condition, and even when eliminating selection bias. </w:t>
      </w:r>
      <w:r w:rsidRPr="002414E9">
        <w:rPr>
          <w:rFonts w:eastAsia="DengXian" w:cs="Times New Roman"/>
          <w:i/>
          <w:iCs/>
          <w:noProof/>
          <w:lang w:eastAsia="zh-CN"/>
        </w:rPr>
        <w:t>Journal of Experimental Social Psychology</w:t>
      </w:r>
      <w:r w:rsidRPr="002414E9">
        <w:rPr>
          <w:rFonts w:eastAsia="DengXian" w:cs="Times New Roman"/>
          <w:noProof/>
          <w:lang w:eastAsia="zh-CN"/>
        </w:rPr>
        <w:t xml:space="preserve">, </w:t>
      </w:r>
      <w:r w:rsidRPr="002414E9">
        <w:rPr>
          <w:rFonts w:eastAsia="DengXian" w:cs="Times New Roman"/>
          <w:i/>
          <w:iCs/>
          <w:noProof/>
          <w:lang w:eastAsia="zh-CN"/>
        </w:rPr>
        <w:t>73</w:t>
      </w:r>
      <w:r w:rsidRPr="002414E9">
        <w:rPr>
          <w:rFonts w:eastAsia="DengXian" w:cs="Times New Roman"/>
          <w:noProof/>
          <w:lang w:eastAsia="zh-CN"/>
        </w:rPr>
        <w:t>, 76–81. https://doi.org/10.1016/j.jesp.2017.06.014</w:t>
      </w:r>
    </w:p>
    <w:p w14:paraId="1AAFA3C8" w14:textId="3142CBB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Faillo, M., Grieco, D., &amp; Zarri, L. (2013). </w:t>
      </w:r>
      <w:r w:rsidRPr="002414E9">
        <w:rPr>
          <w:rFonts w:eastAsia="DengXian" w:cs="Times New Roman"/>
          <w:noProof/>
          <w:lang w:eastAsia="zh-CN"/>
        </w:rPr>
        <w:t xml:space="preserve">Legitimate punishment, feedback, and the enforcement of cooperation. </w:t>
      </w:r>
      <w:r w:rsidRPr="002414E9">
        <w:rPr>
          <w:rFonts w:eastAsia="DengXian" w:cs="Times New Roman"/>
          <w:i/>
          <w:iCs/>
          <w:noProof/>
          <w:lang w:eastAsia="zh-CN"/>
        </w:rPr>
        <w:t>Games and Economic Behavior</w:t>
      </w:r>
      <w:r w:rsidRPr="002414E9">
        <w:rPr>
          <w:rFonts w:eastAsia="DengXian" w:cs="Times New Roman"/>
          <w:noProof/>
          <w:lang w:eastAsia="zh-CN"/>
        </w:rPr>
        <w:t xml:space="preserve">, </w:t>
      </w:r>
      <w:r w:rsidRPr="002414E9">
        <w:rPr>
          <w:rFonts w:eastAsia="DengXian" w:cs="Times New Roman"/>
          <w:i/>
          <w:iCs/>
          <w:noProof/>
          <w:lang w:eastAsia="zh-CN"/>
        </w:rPr>
        <w:t>77</w:t>
      </w:r>
      <w:r w:rsidRPr="002414E9">
        <w:rPr>
          <w:rFonts w:eastAsia="DengXian" w:cs="Times New Roman"/>
          <w:noProof/>
          <w:lang w:eastAsia="zh-CN"/>
        </w:rPr>
        <w:t>(1), 271–283. https://doi.org/10.1016/j.geb.2012.10.011</w:t>
      </w:r>
    </w:p>
    <w:p w14:paraId="5F2AEE72" w14:textId="6A8F0A24" w:rsidR="002414E9" w:rsidRPr="002414E9" w:rsidRDefault="002414E9" w:rsidP="002414E9">
      <w:pPr>
        <w:widowControl w:val="0"/>
        <w:autoSpaceDE w:val="0"/>
        <w:autoSpaceDN w:val="0"/>
        <w:adjustRightInd w:val="0"/>
        <w:ind w:left="709" w:hanging="709"/>
        <w:rPr>
          <w:rFonts w:eastAsia="DengXian" w:cs="Times New Roman"/>
          <w:noProof/>
          <w:lang w:val="it-IT" w:eastAsia="zh-CN"/>
        </w:rPr>
      </w:pPr>
      <w:r w:rsidRPr="002414E9">
        <w:rPr>
          <w:rFonts w:eastAsia="DengXian" w:cs="Times New Roman"/>
          <w:noProof/>
          <w:lang w:val="de-DE" w:eastAsia="zh-CN"/>
        </w:rPr>
        <w:t xml:space="preserve">Falk, A., Fehr, E., &amp; Fischbacher, U. (2005). </w:t>
      </w:r>
      <w:r w:rsidRPr="002414E9">
        <w:rPr>
          <w:rFonts w:eastAsia="DengXian" w:cs="Times New Roman"/>
          <w:noProof/>
          <w:lang w:eastAsia="zh-CN"/>
        </w:rPr>
        <w:t xml:space="preserve">Driving forces behind informal sanctions. </w:t>
      </w:r>
      <w:r w:rsidRPr="002414E9">
        <w:rPr>
          <w:rFonts w:eastAsia="DengXian" w:cs="Times New Roman"/>
          <w:i/>
          <w:iCs/>
          <w:noProof/>
          <w:lang w:val="it-IT" w:eastAsia="zh-CN"/>
        </w:rPr>
        <w:t>Econometrica</w:t>
      </w:r>
      <w:r w:rsidRPr="002414E9">
        <w:rPr>
          <w:rFonts w:eastAsia="DengXian" w:cs="Times New Roman"/>
          <w:noProof/>
          <w:lang w:val="it-IT" w:eastAsia="zh-CN"/>
        </w:rPr>
        <w:t xml:space="preserve">, </w:t>
      </w:r>
      <w:r w:rsidRPr="002414E9">
        <w:rPr>
          <w:rFonts w:eastAsia="DengXian" w:cs="Times New Roman"/>
          <w:i/>
          <w:iCs/>
          <w:noProof/>
          <w:lang w:val="it-IT" w:eastAsia="zh-CN"/>
        </w:rPr>
        <w:t>73</w:t>
      </w:r>
      <w:r w:rsidRPr="002414E9">
        <w:rPr>
          <w:rFonts w:eastAsia="DengXian" w:cs="Times New Roman"/>
          <w:noProof/>
          <w:lang w:val="it-IT" w:eastAsia="zh-CN"/>
        </w:rPr>
        <w:t>(6), 2017–2030. https://doi.org/10.1111/j.1468-0262.2005.00644.x</w:t>
      </w:r>
    </w:p>
    <w:p w14:paraId="0D0A6D80" w14:textId="2249292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Faravelli, M., &amp; Stanca, L. (2012). </w:t>
      </w:r>
      <w:r w:rsidRPr="002414E9">
        <w:rPr>
          <w:rFonts w:eastAsia="DengXian" w:cs="Times New Roman"/>
          <w:noProof/>
          <w:lang w:eastAsia="zh-CN"/>
        </w:rPr>
        <w:t xml:space="preserve">Single versus multiple-prize all-pay auctions to finance public goods: An experimental analysis.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81</w:t>
      </w:r>
      <w:r w:rsidRPr="002414E9">
        <w:rPr>
          <w:rFonts w:eastAsia="DengXian" w:cs="Times New Roman"/>
          <w:noProof/>
          <w:lang w:eastAsia="zh-CN"/>
        </w:rPr>
        <w:t>(2), 677–688. https://doi.org/10.1016/j.jebo.2011.10.007</w:t>
      </w:r>
    </w:p>
    <w:p w14:paraId="6417720F" w14:textId="6BBC53A5" w:rsidR="002414E9" w:rsidRPr="002414E9" w:rsidRDefault="002414E9" w:rsidP="002414E9">
      <w:pPr>
        <w:widowControl w:val="0"/>
        <w:autoSpaceDE w:val="0"/>
        <w:autoSpaceDN w:val="0"/>
        <w:adjustRightInd w:val="0"/>
        <w:ind w:left="709" w:hanging="709"/>
        <w:rPr>
          <w:rFonts w:eastAsia="DengXian" w:cs="Times New Roman"/>
          <w:noProof/>
          <w:lang w:val="fr-FR" w:eastAsia="zh-CN"/>
        </w:rPr>
      </w:pPr>
      <w:r w:rsidRPr="002414E9">
        <w:rPr>
          <w:rFonts w:eastAsia="DengXian" w:cs="Times New Roman"/>
          <w:noProof/>
          <w:lang w:eastAsia="zh-CN"/>
        </w:rPr>
        <w:t xml:space="preserve">Fatas, E., &amp; Mateu, G. (2015). Antisocial punishment in two social dilemmas. </w:t>
      </w:r>
      <w:r w:rsidRPr="002414E9">
        <w:rPr>
          <w:rFonts w:eastAsia="DengXian" w:cs="Times New Roman"/>
          <w:i/>
          <w:iCs/>
          <w:noProof/>
          <w:lang w:val="fr-FR" w:eastAsia="zh-CN"/>
        </w:rPr>
        <w:t>Frontiers in Behavioral Neuroscience</w:t>
      </w:r>
      <w:r w:rsidRPr="002414E9">
        <w:rPr>
          <w:rFonts w:eastAsia="DengXian" w:cs="Times New Roman"/>
          <w:noProof/>
          <w:lang w:val="fr-FR" w:eastAsia="zh-CN"/>
        </w:rPr>
        <w:t xml:space="preserve">, </w:t>
      </w:r>
      <w:r w:rsidRPr="002414E9">
        <w:rPr>
          <w:rFonts w:eastAsia="DengXian" w:cs="Times New Roman"/>
          <w:i/>
          <w:iCs/>
          <w:noProof/>
          <w:lang w:val="fr-FR" w:eastAsia="zh-CN"/>
        </w:rPr>
        <w:t>9</w:t>
      </w:r>
      <w:r w:rsidRPr="002414E9">
        <w:rPr>
          <w:rFonts w:eastAsia="DengXian" w:cs="Times New Roman"/>
          <w:noProof/>
          <w:lang w:val="fr-FR" w:eastAsia="zh-CN"/>
        </w:rPr>
        <w:t>, 107. https://doi.org/10.3389/fnbeh.2015.00107</w:t>
      </w:r>
    </w:p>
    <w:p w14:paraId="727F89E1" w14:textId="32E1CDA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fr-FR" w:eastAsia="zh-CN"/>
        </w:rPr>
        <w:t xml:space="preserve">Fatas, E., Meléndez-Jiménez, M. A., Morales, A. J., &amp; Solaz, H. (2015). </w:t>
      </w:r>
      <w:r w:rsidRPr="002414E9">
        <w:rPr>
          <w:rFonts w:eastAsia="DengXian" w:cs="Times New Roman"/>
          <w:noProof/>
          <w:lang w:eastAsia="zh-CN"/>
        </w:rPr>
        <w:t xml:space="preserve">Public goods and decay in networks. </w:t>
      </w:r>
      <w:r w:rsidRPr="002414E9">
        <w:rPr>
          <w:rFonts w:eastAsia="DengXian" w:cs="Times New Roman"/>
          <w:i/>
          <w:iCs/>
          <w:noProof/>
          <w:lang w:eastAsia="zh-CN"/>
        </w:rPr>
        <w:t>SERIEs</w:t>
      </w:r>
      <w:r w:rsidRPr="002414E9">
        <w:rPr>
          <w:rFonts w:eastAsia="DengXian" w:cs="Times New Roman"/>
          <w:noProof/>
          <w:lang w:eastAsia="zh-CN"/>
        </w:rPr>
        <w:t xml:space="preserve">, </w:t>
      </w:r>
      <w:r w:rsidRPr="002414E9">
        <w:rPr>
          <w:rFonts w:eastAsia="DengXian" w:cs="Times New Roman"/>
          <w:i/>
          <w:iCs/>
          <w:noProof/>
          <w:lang w:eastAsia="zh-CN"/>
        </w:rPr>
        <w:t>6</w:t>
      </w:r>
      <w:r w:rsidRPr="002414E9">
        <w:rPr>
          <w:rFonts w:eastAsia="DengXian" w:cs="Times New Roman"/>
          <w:noProof/>
          <w:lang w:eastAsia="zh-CN"/>
        </w:rPr>
        <w:t>(1), 73–90. https://doi.org/10.1007/s13209-014-0114-x</w:t>
      </w:r>
    </w:p>
    <w:p w14:paraId="21D9742D" w14:textId="430A36B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n-GB" w:eastAsia="zh-CN"/>
        </w:rPr>
        <w:lastRenderedPageBreak/>
        <w:t xml:space="preserve">Fatas, E., Morales, A. J., &amp; Ubeda, P. (2010). </w:t>
      </w:r>
      <w:r w:rsidRPr="002414E9">
        <w:rPr>
          <w:rFonts w:eastAsia="DengXian" w:cs="Times New Roman"/>
          <w:noProof/>
          <w:lang w:eastAsia="zh-CN"/>
        </w:rPr>
        <w:t xml:space="preserve">Blind justice: An experimental analysis of random punishment in team production. </w:t>
      </w:r>
      <w:r w:rsidRPr="002414E9">
        <w:rPr>
          <w:rFonts w:eastAsia="DengXian" w:cs="Times New Roman"/>
          <w:i/>
          <w:iCs/>
          <w:noProof/>
          <w:lang w:eastAsia="zh-CN"/>
        </w:rPr>
        <w:t>Journal of Economic Psychology</w:t>
      </w:r>
      <w:r w:rsidRPr="002414E9">
        <w:rPr>
          <w:rFonts w:eastAsia="DengXian" w:cs="Times New Roman"/>
          <w:noProof/>
          <w:lang w:eastAsia="zh-CN"/>
        </w:rPr>
        <w:t xml:space="preserve">, </w:t>
      </w:r>
      <w:r w:rsidRPr="002414E9">
        <w:rPr>
          <w:rFonts w:eastAsia="DengXian" w:cs="Times New Roman"/>
          <w:i/>
          <w:iCs/>
          <w:noProof/>
          <w:lang w:eastAsia="zh-CN"/>
        </w:rPr>
        <w:t>31</w:t>
      </w:r>
      <w:r w:rsidRPr="002414E9">
        <w:rPr>
          <w:rFonts w:eastAsia="DengXian" w:cs="Times New Roman"/>
          <w:noProof/>
          <w:lang w:eastAsia="zh-CN"/>
        </w:rPr>
        <w:t>(3), 358–373. https://doi.org/10.1016/j.joep.2010.01.005</w:t>
      </w:r>
    </w:p>
    <w:p w14:paraId="2E4AAA81" w14:textId="79E314D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Feeley, T. H., Tutzauer, F., Rosenfeld, H. L., &amp; Young, M. J. (1997). Cooperation in an infinite-choice continuous-time prisoner’s dilemma. </w:t>
      </w:r>
      <w:r w:rsidRPr="002414E9">
        <w:rPr>
          <w:rFonts w:eastAsia="DengXian" w:cs="Times New Roman"/>
          <w:i/>
          <w:iCs/>
          <w:noProof/>
          <w:lang w:eastAsia="zh-CN"/>
        </w:rPr>
        <w:t>Simulation &amp; Gaming</w:t>
      </w:r>
      <w:r w:rsidRPr="002414E9">
        <w:rPr>
          <w:rFonts w:eastAsia="DengXian" w:cs="Times New Roman"/>
          <w:noProof/>
          <w:lang w:eastAsia="zh-CN"/>
        </w:rPr>
        <w:t xml:space="preserve">, </w:t>
      </w:r>
      <w:r w:rsidRPr="002414E9">
        <w:rPr>
          <w:rFonts w:eastAsia="DengXian" w:cs="Times New Roman"/>
          <w:i/>
          <w:iCs/>
          <w:noProof/>
          <w:lang w:eastAsia="zh-CN"/>
        </w:rPr>
        <w:t>28</w:t>
      </w:r>
      <w:r w:rsidRPr="002414E9">
        <w:rPr>
          <w:rFonts w:eastAsia="DengXian" w:cs="Times New Roman"/>
          <w:noProof/>
          <w:lang w:eastAsia="zh-CN"/>
        </w:rPr>
        <w:t>(4), 442–459. https://doi.org/10.1177/1046878197284007</w:t>
      </w:r>
    </w:p>
    <w:p w14:paraId="017BEDA2" w14:textId="17A2E1E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Fehr, E., &amp; Gächter, S. (2000). Cooperation and punishment in public goods experiments. </w:t>
      </w:r>
      <w:r w:rsidRPr="002414E9">
        <w:rPr>
          <w:rFonts w:eastAsia="DengXian" w:cs="Times New Roman"/>
          <w:i/>
          <w:iCs/>
          <w:noProof/>
          <w:lang w:eastAsia="zh-CN"/>
        </w:rPr>
        <w:t>American Economic Review</w:t>
      </w:r>
      <w:r w:rsidRPr="002414E9">
        <w:rPr>
          <w:rFonts w:eastAsia="DengXian" w:cs="Times New Roman"/>
          <w:noProof/>
          <w:lang w:eastAsia="zh-CN"/>
        </w:rPr>
        <w:t xml:space="preserve">, </w:t>
      </w:r>
      <w:r w:rsidRPr="002414E9">
        <w:rPr>
          <w:rFonts w:eastAsia="DengXian" w:cs="Times New Roman"/>
          <w:i/>
          <w:iCs/>
          <w:noProof/>
          <w:lang w:eastAsia="zh-CN"/>
        </w:rPr>
        <w:t>90</w:t>
      </w:r>
      <w:r w:rsidRPr="002414E9">
        <w:rPr>
          <w:rFonts w:eastAsia="DengXian" w:cs="Times New Roman"/>
          <w:noProof/>
          <w:lang w:eastAsia="zh-CN"/>
        </w:rPr>
        <w:t>(4), 980–994. https://doi.org/10.1257/aer.90.4.980</w:t>
      </w:r>
    </w:p>
    <w:p w14:paraId="76D2FBC8" w14:textId="5EC05F0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Feltovich, N., &amp; Grossman, P. J. (2015). How does the effect of pre-play suggestions vary with group size? Experimental evidence from a threshold public-good game. </w:t>
      </w:r>
      <w:r w:rsidRPr="002414E9">
        <w:rPr>
          <w:rFonts w:eastAsia="DengXian" w:cs="Times New Roman"/>
          <w:i/>
          <w:iCs/>
          <w:noProof/>
          <w:lang w:eastAsia="zh-CN"/>
        </w:rPr>
        <w:t>European Economic Review</w:t>
      </w:r>
      <w:r w:rsidRPr="002414E9">
        <w:rPr>
          <w:rFonts w:eastAsia="DengXian" w:cs="Times New Roman"/>
          <w:noProof/>
          <w:lang w:eastAsia="zh-CN"/>
        </w:rPr>
        <w:t xml:space="preserve">, </w:t>
      </w:r>
      <w:r w:rsidRPr="002414E9">
        <w:rPr>
          <w:rFonts w:eastAsia="DengXian" w:cs="Times New Roman"/>
          <w:i/>
          <w:iCs/>
          <w:noProof/>
          <w:lang w:eastAsia="zh-CN"/>
        </w:rPr>
        <w:t>79</w:t>
      </w:r>
      <w:r w:rsidRPr="002414E9">
        <w:rPr>
          <w:rFonts w:eastAsia="DengXian" w:cs="Times New Roman"/>
          <w:noProof/>
          <w:lang w:eastAsia="zh-CN"/>
        </w:rPr>
        <w:t>, 263–280. https://doi.org/10.1016/j.euroecorev.2015.08.001</w:t>
      </w:r>
    </w:p>
    <w:p w14:paraId="17121295" w14:textId="150BB8F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Fermin, A. S. R., Sakagami, M., Kiyonari, T., Li, Y., Matsumoto, Y., &amp; Yamagishi, T. (2016). </w:t>
      </w:r>
      <w:r w:rsidRPr="002414E9">
        <w:rPr>
          <w:rFonts w:eastAsia="DengXian" w:cs="Times New Roman"/>
          <w:noProof/>
          <w:lang w:eastAsia="zh-CN"/>
        </w:rPr>
        <w:t xml:space="preserve">Representation of economic preferences in the structure and function of the amygdala and prefrontal cortex. </w:t>
      </w:r>
      <w:r w:rsidRPr="002414E9">
        <w:rPr>
          <w:rFonts w:eastAsia="DengXian" w:cs="Times New Roman"/>
          <w:i/>
          <w:iCs/>
          <w:noProof/>
          <w:lang w:eastAsia="zh-CN"/>
        </w:rPr>
        <w:t>Scientific Reports</w:t>
      </w:r>
      <w:r w:rsidRPr="002414E9">
        <w:rPr>
          <w:rFonts w:eastAsia="DengXian" w:cs="Times New Roman"/>
          <w:noProof/>
          <w:lang w:eastAsia="zh-CN"/>
        </w:rPr>
        <w:t xml:space="preserve">, </w:t>
      </w:r>
      <w:r w:rsidRPr="002414E9">
        <w:rPr>
          <w:rFonts w:eastAsia="DengXian" w:cs="Times New Roman"/>
          <w:i/>
          <w:iCs/>
          <w:noProof/>
          <w:lang w:eastAsia="zh-CN"/>
        </w:rPr>
        <w:t>6</w:t>
      </w:r>
      <w:r w:rsidRPr="002414E9">
        <w:rPr>
          <w:rFonts w:eastAsia="DengXian" w:cs="Times New Roman"/>
          <w:noProof/>
          <w:lang w:eastAsia="zh-CN"/>
        </w:rPr>
        <w:t>, 20982. https://doi.org/10.1038/srep20982</w:t>
      </w:r>
    </w:p>
    <w:p w14:paraId="2B5F9966" w14:textId="7DC4830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Ferrin, D. L., Bligh, M. C., &amp; Kohles, J. C. (2008). </w:t>
      </w:r>
      <w:r w:rsidRPr="002414E9">
        <w:rPr>
          <w:rFonts w:eastAsia="DengXian" w:cs="Times New Roman"/>
          <w:noProof/>
          <w:lang w:eastAsia="zh-CN"/>
        </w:rPr>
        <w:t xml:space="preserve">It takes two to tango: An interdependence analysis of the spiraling of perceived trustworthiness and cooperation in interpersonal and intergroup relationships. </w:t>
      </w:r>
      <w:r w:rsidRPr="002414E9">
        <w:rPr>
          <w:rFonts w:eastAsia="DengXian" w:cs="Times New Roman"/>
          <w:i/>
          <w:iCs/>
          <w:noProof/>
          <w:lang w:eastAsia="zh-CN"/>
        </w:rPr>
        <w:t>Organizational Behavior and Human Decision Processes</w:t>
      </w:r>
      <w:r w:rsidRPr="002414E9">
        <w:rPr>
          <w:rFonts w:eastAsia="DengXian" w:cs="Times New Roman"/>
          <w:noProof/>
          <w:lang w:eastAsia="zh-CN"/>
        </w:rPr>
        <w:t xml:space="preserve">, </w:t>
      </w:r>
      <w:r w:rsidRPr="002414E9">
        <w:rPr>
          <w:rFonts w:eastAsia="DengXian" w:cs="Times New Roman"/>
          <w:i/>
          <w:iCs/>
          <w:noProof/>
          <w:lang w:eastAsia="zh-CN"/>
        </w:rPr>
        <w:t>107</w:t>
      </w:r>
      <w:r w:rsidRPr="002414E9">
        <w:rPr>
          <w:rFonts w:eastAsia="DengXian" w:cs="Times New Roman"/>
          <w:noProof/>
          <w:lang w:eastAsia="zh-CN"/>
        </w:rPr>
        <w:t>(2), 161–178. https://doi.org/10.1016/j.obhdp.2008.02.012</w:t>
      </w:r>
    </w:p>
    <w:p w14:paraId="0D8CAB89" w14:textId="76E35119" w:rsidR="002414E9" w:rsidRPr="002414E9" w:rsidRDefault="002414E9" w:rsidP="002414E9">
      <w:pPr>
        <w:widowControl w:val="0"/>
        <w:autoSpaceDE w:val="0"/>
        <w:autoSpaceDN w:val="0"/>
        <w:adjustRightInd w:val="0"/>
        <w:ind w:left="709" w:hanging="709"/>
        <w:rPr>
          <w:rFonts w:eastAsia="DengXian" w:cs="Times New Roman"/>
          <w:noProof/>
          <w:lang w:eastAsia="zh-CN"/>
        </w:rPr>
      </w:pPr>
      <w:bookmarkStart w:id="58" w:name="_Hlk74301792"/>
      <w:r w:rsidRPr="002414E9">
        <w:rPr>
          <w:rFonts w:eastAsia="DengXian" w:cs="Times New Roman"/>
          <w:noProof/>
          <w:lang w:eastAsia="zh-CN"/>
        </w:rPr>
        <w:t xml:space="preserve">Feyer, R., Leopold-Wildburger, U., &amp; Pickl, S. (2008). The influence of social values in cooperation. In J. Kalcsics &amp; S. Nickel (Eds.), </w:t>
      </w:r>
      <w:r w:rsidRPr="002414E9">
        <w:rPr>
          <w:rFonts w:eastAsia="DengXian" w:cs="Times New Roman"/>
          <w:i/>
          <w:iCs/>
          <w:noProof/>
          <w:lang w:eastAsia="zh-CN"/>
        </w:rPr>
        <w:t>Operations Research Proceedings 2007</w:t>
      </w:r>
      <w:r w:rsidRPr="002414E9">
        <w:rPr>
          <w:rFonts w:eastAsia="DengXian" w:cs="Times New Roman"/>
          <w:noProof/>
          <w:lang w:eastAsia="zh-CN"/>
        </w:rPr>
        <w:t xml:space="preserve"> (pp. 205–210). Springer. https://doi.org/10.1007/978-3-540-77903-2_32</w:t>
      </w:r>
    </w:p>
    <w:bookmarkEnd w:id="58"/>
    <w:p w14:paraId="689D5333" w14:textId="09AB16B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Figuières, C., Masclet, D., &amp; Willinger, M. (2012). Vanishing leadership and declining reciprocity in a sequential contribution experiment. </w:t>
      </w:r>
      <w:r w:rsidRPr="002414E9">
        <w:rPr>
          <w:rFonts w:eastAsia="DengXian" w:cs="Times New Roman"/>
          <w:i/>
          <w:iCs/>
          <w:noProof/>
          <w:lang w:eastAsia="zh-CN"/>
        </w:rPr>
        <w:t>Economic Inquiry</w:t>
      </w:r>
      <w:r w:rsidRPr="002414E9">
        <w:rPr>
          <w:rFonts w:eastAsia="DengXian" w:cs="Times New Roman"/>
          <w:noProof/>
          <w:lang w:eastAsia="zh-CN"/>
        </w:rPr>
        <w:t xml:space="preserve">, </w:t>
      </w:r>
      <w:r w:rsidRPr="002414E9">
        <w:rPr>
          <w:rFonts w:eastAsia="DengXian" w:cs="Times New Roman"/>
          <w:i/>
          <w:iCs/>
          <w:noProof/>
          <w:lang w:eastAsia="zh-CN"/>
        </w:rPr>
        <w:t>50</w:t>
      </w:r>
      <w:r w:rsidRPr="002414E9">
        <w:rPr>
          <w:rFonts w:eastAsia="DengXian" w:cs="Times New Roman"/>
          <w:noProof/>
          <w:lang w:eastAsia="zh-CN"/>
        </w:rPr>
        <w:t xml:space="preserve">(3), 567–584. </w:t>
      </w:r>
      <w:r w:rsidRPr="002414E9">
        <w:rPr>
          <w:rFonts w:eastAsia="DengXian" w:cs="Times New Roman"/>
          <w:noProof/>
          <w:lang w:eastAsia="zh-CN"/>
        </w:rPr>
        <w:lastRenderedPageBreak/>
        <w:t>https://doi.org/10.1111/j.1465-7295.2011.00415.x</w:t>
      </w:r>
    </w:p>
    <w:p w14:paraId="768DC0B6" w14:textId="6923E99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Finocchiaro Castro, M. (2008). Where are you from? Cultural differences in public good experiments. </w:t>
      </w:r>
      <w:r w:rsidRPr="002414E9">
        <w:rPr>
          <w:rFonts w:eastAsia="DengXian" w:cs="Times New Roman"/>
          <w:i/>
          <w:iCs/>
          <w:noProof/>
          <w:lang w:eastAsia="zh-CN"/>
        </w:rPr>
        <w:t>The Journal of Socio-Economics</w:t>
      </w:r>
      <w:r w:rsidRPr="002414E9">
        <w:rPr>
          <w:rFonts w:eastAsia="DengXian" w:cs="Times New Roman"/>
          <w:noProof/>
          <w:lang w:eastAsia="zh-CN"/>
        </w:rPr>
        <w:t xml:space="preserve">, </w:t>
      </w:r>
      <w:r w:rsidRPr="002414E9">
        <w:rPr>
          <w:rFonts w:eastAsia="DengXian" w:cs="Times New Roman"/>
          <w:i/>
          <w:iCs/>
          <w:noProof/>
          <w:lang w:eastAsia="zh-CN"/>
        </w:rPr>
        <w:t>37</w:t>
      </w:r>
      <w:r w:rsidRPr="002414E9">
        <w:rPr>
          <w:rFonts w:eastAsia="DengXian" w:cs="Times New Roman"/>
          <w:noProof/>
          <w:lang w:eastAsia="zh-CN"/>
        </w:rPr>
        <w:t>(6), 2319–2329. https://doi.org/10.1016/j.socec.2008.04.002</w:t>
      </w:r>
    </w:p>
    <w:p w14:paraId="3727099E" w14:textId="21C5AFB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Fischbacher, U., &amp; Gächter, S. (2010). Social preferences, beliefs, and the dynamics of free riding in public goods experiments. </w:t>
      </w:r>
      <w:r w:rsidRPr="002414E9">
        <w:rPr>
          <w:rFonts w:eastAsia="DengXian" w:cs="Times New Roman"/>
          <w:i/>
          <w:iCs/>
          <w:noProof/>
          <w:lang w:eastAsia="zh-CN"/>
        </w:rPr>
        <w:t>American Economic Review</w:t>
      </w:r>
      <w:r w:rsidRPr="002414E9">
        <w:rPr>
          <w:rFonts w:eastAsia="DengXian" w:cs="Times New Roman"/>
          <w:noProof/>
          <w:lang w:eastAsia="zh-CN"/>
        </w:rPr>
        <w:t xml:space="preserve">, </w:t>
      </w:r>
      <w:r w:rsidRPr="002414E9">
        <w:rPr>
          <w:rFonts w:eastAsia="DengXian" w:cs="Times New Roman"/>
          <w:i/>
          <w:iCs/>
          <w:noProof/>
          <w:lang w:eastAsia="zh-CN"/>
        </w:rPr>
        <w:t>100</w:t>
      </w:r>
      <w:r w:rsidRPr="002414E9">
        <w:rPr>
          <w:rFonts w:eastAsia="DengXian" w:cs="Times New Roman"/>
          <w:noProof/>
          <w:lang w:eastAsia="zh-CN"/>
        </w:rPr>
        <w:t>(1), 541–556. https://doi.org/10.1257/aer.100.1.541</w:t>
      </w:r>
    </w:p>
    <w:p w14:paraId="6FA8C3D8" w14:textId="77777777" w:rsidR="002414E9" w:rsidRPr="002414E9" w:rsidRDefault="002414E9" w:rsidP="002414E9">
      <w:pPr>
        <w:widowControl w:val="0"/>
        <w:autoSpaceDE w:val="0"/>
        <w:autoSpaceDN w:val="0"/>
        <w:adjustRightInd w:val="0"/>
        <w:ind w:left="709" w:hanging="709"/>
        <w:rPr>
          <w:rFonts w:eastAsia="DengXian" w:cs="Times New Roman"/>
          <w:noProof/>
          <w:lang w:val="en-GB" w:eastAsia="zh-CN"/>
        </w:rPr>
      </w:pPr>
      <w:r w:rsidRPr="002414E9">
        <w:rPr>
          <w:rFonts w:eastAsia="DengXian" w:cs="Times New Roman"/>
          <w:noProof/>
          <w:lang w:val="en-GB" w:eastAsia="zh-CN"/>
        </w:rPr>
        <w:t xml:space="preserve">Fischbacher, U., Gächter, S., &amp; Fehr, E. (2001). </w:t>
      </w:r>
      <w:r w:rsidRPr="002414E9">
        <w:rPr>
          <w:rFonts w:eastAsia="DengXian" w:cs="Times New Roman"/>
          <w:noProof/>
          <w:lang w:eastAsia="zh-CN"/>
        </w:rPr>
        <w:t xml:space="preserve">Are people conditionally cooperative? Evidence from a public goods experiment. </w:t>
      </w:r>
      <w:r w:rsidRPr="002414E9">
        <w:rPr>
          <w:rFonts w:eastAsia="DengXian" w:cs="Times New Roman"/>
          <w:i/>
          <w:iCs/>
          <w:noProof/>
          <w:lang w:val="en-GB" w:eastAsia="zh-CN"/>
        </w:rPr>
        <w:t>Economics Letters</w:t>
      </w:r>
      <w:r w:rsidRPr="002414E9">
        <w:rPr>
          <w:rFonts w:eastAsia="DengXian" w:cs="Times New Roman"/>
          <w:noProof/>
          <w:lang w:val="en-GB" w:eastAsia="zh-CN"/>
        </w:rPr>
        <w:t xml:space="preserve">, </w:t>
      </w:r>
      <w:r w:rsidRPr="002414E9">
        <w:rPr>
          <w:rFonts w:eastAsia="DengXian" w:cs="Times New Roman"/>
          <w:i/>
          <w:iCs/>
          <w:noProof/>
          <w:lang w:val="en-GB" w:eastAsia="zh-CN"/>
        </w:rPr>
        <w:t>71</w:t>
      </w:r>
      <w:r w:rsidRPr="002414E9">
        <w:rPr>
          <w:rFonts w:eastAsia="DengXian" w:cs="Times New Roman"/>
          <w:noProof/>
          <w:lang w:val="en-GB" w:eastAsia="zh-CN"/>
        </w:rPr>
        <w:t>(3), 397–404. https://doi.org/https://doi.org/10.1016/S0165-1765(01)00394-9</w:t>
      </w:r>
    </w:p>
    <w:p w14:paraId="386E2051" w14:textId="37F288C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Fischbacher, U., Schudy, S., &amp; Teyssier, S. (2014). </w:t>
      </w:r>
      <w:r w:rsidRPr="002414E9">
        <w:rPr>
          <w:rFonts w:eastAsia="DengXian" w:cs="Times New Roman"/>
          <w:noProof/>
          <w:lang w:eastAsia="zh-CN"/>
        </w:rPr>
        <w:t xml:space="preserve">Heterogeneous reactions to heterogeneity in returns from public goods. </w:t>
      </w:r>
      <w:r w:rsidRPr="002414E9">
        <w:rPr>
          <w:rFonts w:eastAsia="DengXian" w:cs="Times New Roman"/>
          <w:i/>
          <w:iCs/>
          <w:noProof/>
          <w:lang w:eastAsia="zh-CN"/>
        </w:rPr>
        <w:t>Social Choice and Welfare</w:t>
      </w:r>
      <w:r w:rsidRPr="002414E9">
        <w:rPr>
          <w:rFonts w:eastAsia="DengXian" w:cs="Times New Roman"/>
          <w:noProof/>
          <w:lang w:eastAsia="zh-CN"/>
        </w:rPr>
        <w:t xml:space="preserve">, </w:t>
      </w:r>
      <w:r w:rsidRPr="002414E9">
        <w:rPr>
          <w:rFonts w:eastAsia="DengXian" w:cs="Times New Roman"/>
          <w:i/>
          <w:iCs/>
          <w:noProof/>
          <w:lang w:eastAsia="zh-CN"/>
        </w:rPr>
        <w:t>43</w:t>
      </w:r>
      <w:r w:rsidRPr="002414E9">
        <w:rPr>
          <w:rFonts w:eastAsia="DengXian" w:cs="Times New Roman"/>
          <w:noProof/>
          <w:lang w:eastAsia="zh-CN"/>
        </w:rPr>
        <w:t>(1), 195–217. https://doi.org/10.1007/s00355-013-0763-x</w:t>
      </w:r>
    </w:p>
    <w:p w14:paraId="73DA9E29" w14:textId="6E75DB7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Fischer, I. (2009). Friend or foe: subjective expected relative similarity as a determinant of cooperation. </w:t>
      </w:r>
      <w:r w:rsidRPr="002414E9">
        <w:rPr>
          <w:rFonts w:eastAsia="DengXian" w:cs="Times New Roman"/>
          <w:i/>
          <w:iCs/>
          <w:noProof/>
          <w:lang w:eastAsia="zh-CN"/>
        </w:rPr>
        <w:t>Journal of Experimental Psychology: General</w:t>
      </w:r>
      <w:r w:rsidRPr="002414E9">
        <w:rPr>
          <w:rFonts w:eastAsia="DengXian" w:cs="Times New Roman"/>
          <w:noProof/>
          <w:lang w:eastAsia="zh-CN"/>
        </w:rPr>
        <w:t xml:space="preserve">, </w:t>
      </w:r>
      <w:r w:rsidRPr="002414E9">
        <w:rPr>
          <w:rFonts w:eastAsia="DengXian" w:cs="Times New Roman"/>
          <w:i/>
          <w:iCs/>
          <w:noProof/>
          <w:lang w:eastAsia="zh-CN"/>
        </w:rPr>
        <w:t>138</w:t>
      </w:r>
      <w:r w:rsidRPr="002414E9">
        <w:rPr>
          <w:rFonts w:eastAsia="DengXian" w:cs="Times New Roman"/>
          <w:noProof/>
          <w:lang w:eastAsia="zh-CN"/>
        </w:rPr>
        <w:t>(3), 341–350. https://doi.org/10.1037/a0016073</w:t>
      </w:r>
    </w:p>
    <w:p w14:paraId="24F289D3" w14:textId="3A720FC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Fischer, M.-E., Irlenbusch, B., &amp; Sadrieh, A. (2004). </w:t>
      </w:r>
      <w:r w:rsidRPr="002414E9">
        <w:rPr>
          <w:rFonts w:eastAsia="DengXian" w:cs="Times New Roman"/>
          <w:noProof/>
          <w:lang w:eastAsia="zh-CN"/>
        </w:rPr>
        <w:t xml:space="preserve">An intergenerational common pool resource experiment. </w:t>
      </w:r>
      <w:r w:rsidRPr="002414E9">
        <w:rPr>
          <w:rFonts w:eastAsia="DengXian" w:cs="Times New Roman"/>
          <w:i/>
          <w:iCs/>
          <w:noProof/>
          <w:lang w:eastAsia="zh-CN"/>
        </w:rPr>
        <w:t>Journal of Environmental Economics and Management</w:t>
      </w:r>
      <w:r w:rsidRPr="002414E9">
        <w:rPr>
          <w:rFonts w:eastAsia="DengXian" w:cs="Times New Roman"/>
          <w:noProof/>
          <w:lang w:eastAsia="zh-CN"/>
        </w:rPr>
        <w:t xml:space="preserve">, </w:t>
      </w:r>
      <w:r w:rsidRPr="002414E9">
        <w:rPr>
          <w:rFonts w:eastAsia="DengXian" w:cs="Times New Roman"/>
          <w:i/>
          <w:iCs/>
          <w:noProof/>
          <w:lang w:eastAsia="zh-CN"/>
        </w:rPr>
        <w:t>48</w:t>
      </w:r>
      <w:r w:rsidRPr="002414E9">
        <w:rPr>
          <w:rFonts w:eastAsia="DengXian" w:cs="Times New Roman"/>
          <w:noProof/>
          <w:lang w:eastAsia="zh-CN"/>
        </w:rPr>
        <w:t>(2), 811–836. https://doi.org/10.1016/j.jeem.2003.12.002</w:t>
      </w:r>
    </w:p>
    <w:p w14:paraId="079E321B" w14:textId="44D4C06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Fischer, S., Grechenig, K., &amp; Meier, N. (2016). </w:t>
      </w:r>
      <w:r w:rsidRPr="002414E9">
        <w:rPr>
          <w:rFonts w:eastAsia="DengXian" w:cs="Times New Roman"/>
          <w:noProof/>
          <w:lang w:eastAsia="zh-CN"/>
        </w:rPr>
        <w:t xml:space="preserve">Monopolizing sanctioning power under noise eiminates perverse punishment but does not increase cooperation. </w:t>
      </w:r>
      <w:r w:rsidRPr="002414E9">
        <w:rPr>
          <w:rFonts w:eastAsia="DengXian" w:cs="Times New Roman"/>
          <w:i/>
          <w:iCs/>
          <w:noProof/>
          <w:lang w:eastAsia="zh-CN"/>
        </w:rPr>
        <w:t>Frontiers in Behavioral Neuroscience</w:t>
      </w:r>
      <w:r w:rsidRPr="002414E9">
        <w:rPr>
          <w:rFonts w:eastAsia="DengXian" w:cs="Times New Roman"/>
          <w:noProof/>
          <w:lang w:eastAsia="zh-CN"/>
        </w:rPr>
        <w:t xml:space="preserve">, </w:t>
      </w:r>
      <w:r w:rsidRPr="002414E9">
        <w:rPr>
          <w:rFonts w:eastAsia="DengXian" w:cs="Times New Roman"/>
          <w:i/>
          <w:iCs/>
          <w:noProof/>
          <w:lang w:eastAsia="zh-CN"/>
        </w:rPr>
        <w:t>10</w:t>
      </w:r>
      <w:r w:rsidRPr="002414E9">
        <w:rPr>
          <w:rFonts w:eastAsia="DengXian" w:cs="Times New Roman"/>
          <w:noProof/>
          <w:lang w:eastAsia="zh-CN"/>
        </w:rPr>
        <w:t>, 180. https://doi.org/10.3389/fnbeh.2016.00180</w:t>
      </w:r>
    </w:p>
    <w:p w14:paraId="5AF4F01A" w14:textId="6AA897E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Fleishman, J. A. (1980). Collective action as helping behavior: Effects of responsibility diffusion </w:t>
      </w:r>
      <w:r w:rsidRPr="002414E9">
        <w:rPr>
          <w:rFonts w:eastAsia="DengXian" w:cs="Times New Roman"/>
          <w:noProof/>
          <w:lang w:eastAsia="zh-CN"/>
        </w:rPr>
        <w:lastRenderedPageBreak/>
        <w:t xml:space="preserve">on contributions to a public good. </w:t>
      </w:r>
      <w:r w:rsidRPr="002414E9">
        <w:rPr>
          <w:rFonts w:eastAsia="DengXian" w:cs="Times New Roman"/>
          <w:i/>
          <w:iCs/>
          <w:noProof/>
          <w:lang w:eastAsia="zh-CN"/>
        </w:rPr>
        <w:t>Journal of Personality and Social Psychology</w:t>
      </w:r>
      <w:r w:rsidRPr="002414E9">
        <w:rPr>
          <w:rFonts w:eastAsia="DengXian" w:cs="Times New Roman"/>
          <w:noProof/>
          <w:lang w:eastAsia="zh-CN"/>
        </w:rPr>
        <w:t xml:space="preserve">, </w:t>
      </w:r>
      <w:r w:rsidRPr="002414E9">
        <w:rPr>
          <w:rFonts w:eastAsia="DengXian" w:cs="Times New Roman"/>
          <w:i/>
          <w:iCs/>
          <w:noProof/>
          <w:lang w:eastAsia="zh-CN"/>
        </w:rPr>
        <w:t>38</w:t>
      </w:r>
      <w:r w:rsidRPr="002414E9">
        <w:rPr>
          <w:rFonts w:eastAsia="DengXian" w:cs="Times New Roman"/>
          <w:noProof/>
          <w:lang w:eastAsia="zh-CN"/>
        </w:rPr>
        <w:t>(4), 629–637. https://doi.org/10.1037/0022-3514.38.4.629</w:t>
      </w:r>
    </w:p>
    <w:p w14:paraId="01ABFB6D" w14:textId="4195A52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Fochmann, M., &amp; Kroll, E. B. (2016). </w:t>
      </w:r>
      <w:r w:rsidRPr="002414E9">
        <w:rPr>
          <w:rFonts w:eastAsia="DengXian" w:cs="Times New Roman"/>
          <w:noProof/>
          <w:lang w:eastAsia="zh-CN"/>
        </w:rPr>
        <w:t xml:space="preserve">The effects of rewards on tax compliance decisions. </w:t>
      </w:r>
      <w:r w:rsidRPr="002414E9">
        <w:rPr>
          <w:rFonts w:eastAsia="DengXian" w:cs="Times New Roman"/>
          <w:i/>
          <w:iCs/>
          <w:noProof/>
          <w:lang w:eastAsia="zh-CN"/>
        </w:rPr>
        <w:t>Journal of Economic Psychology</w:t>
      </w:r>
      <w:r w:rsidRPr="002414E9">
        <w:rPr>
          <w:rFonts w:eastAsia="DengXian" w:cs="Times New Roman"/>
          <w:noProof/>
          <w:lang w:eastAsia="zh-CN"/>
        </w:rPr>
        <w:t xml:space="preserve">, </w:t>
      </w:r>
      <w:r w:rsidRPr="002414E9">
        <w:rPr>
          <w:rFonts w:eastAsia="DengXian" w:cs="Times New Roman"/>
          <w:i/>
          <w:iCs/>
          <w:noProof/>
          <w:lang w:eastAsia="zh-CN"/>
        </w:rPr>
        <w:t>52</w:t>
      </w:r>
      <w:r w:rsidRPr="002414E9">
        <w:rPr>
          <w:rFonts w:eastAsia="DengXian" w:cs="Times New Roman"/>
          <w:noProof/>
          <w:lang w:eastAsia="zh-CN"/>
        </w:rPr>
        <w:t>, 38–55. https://doi.org/10.1016/j.joep.2015.09.009</w:t>
      </w:r>
    </w:p>
    <w:p w14:paraId="5282547B" w14:textId="1C69E9C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Fosgaard, M. R., Fosgaard, T. R., &amp; Foss, N. J. (2017). Consumer or citizen? Prosocial behaviors in markets and non-markets. </w:t>
      </w:r>
      <w:r w:rsidRPr="002414E9">
        <w:rPr>
          <w:rFonts w:eastAsia="DengXian" w:cs="Times New Roman"/>
          <w:i/>
          <w:iCs/>
          <w:noProof/>
          <w:lang w:eastAsia="zh-CN"/>
        </w:rPr>
        <w:t>Social Choice and Welfare</w:t>
      </w:r>
      <w:r w:rsidRPr="002414E9">
        <w:rPr>
          <w:rFonts w:eastAsia="DengXian" w:cs="Times New Roman"/>
          <w:noProof/>
          <w:lang w:eastAsia="zh-CN"/>
        </w:rPr>
        <w:t xml:space="preserve">, </w:t>
      </w:r>
      <w:r w:rsidRPr="002414E9">
        <w:rPr>
          <w:rFonts w:eastAsia="DengXian" w:cs="Times New Roman"/>
          <w:i/>
          <w:iCs/>
          <w:noProof/>
          <w:lang w:eastAsia="zh-CN"/>
        </w:rPr>
        <w:t>49</w:t>
      </w:r>
      <w:r w:rsidRPr="002414E9">
        <w:rPr>
          <w:rFonts w:eastAsia="DengXian" w:cs="Times New Roman"/>
          <w:noProof/>
          <w:lang w:eastAsia="zh-CN"/>
        </w:rPr>
        <w:t>(2), 231–253. https://doi.org/10.1007/s00355-017-1058-4</w:t>
      </w:r>
    </w:p>
    <w:p w14:paraId="6CEFC7E0" w14:textId="263ADA0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Fosgaard, Toke R., Hansen, L. G., &amp; Wengström, E. (2014). </w:t>
      </w:r>
      <w:r w:rsidRPr="002414E9">
        <w:rPr>
          <w:rFonts w:eastAsia="DengXian" w:cs="Times New Roman"/>
          <w:noProof/>
          <w:lang w:eastAsia="zh-CN"/>
        </w:rPr>
        <w:t xml:space="preserve">Understanding the nature of cooperation variability.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120</w:t>
      </w:r>
      <w:r w:rsidRPr="002414E9">
        <w:rPr>
          <w:rFonts w:eastAsia="DengXian" w:cs="Times New Roman"/>
          <w:noProof/>
          <w:lang w:eastAsia="zh-CN"/>
        </w:rPr>
        <w:t>, 134–143. https://doi.org/10.1016/j.jpubeco.2014.09.004</w:t>
      </w:r>
    </w:p>
    <w:p w14:paraId="45D3CA5F" w14:textId="3ACB0AB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Fosgaard, Toke Reinholt, Hansen, L. G., &amp; Wengström, E. (2017). Framing and misperception in public good experiments. </w:t>
      </w:r>
      <w:r w:rsidRPr="002414E9">
        <w:rPr>
          <w:rFonts w:eastAsia="DengXian" w:cs="Times New Roman"/>
          <w:i/>
          <w:iCs/>
          <w:noProof/>
          <w:lang w:eastAsia="zh-CN"/>
        </w:rPr>
        <w:t>The Scandinavian Journal of Economics</w:t>
      </w:r>
      <w:r w:rsidRPr="002414E9">
        <w:rPr>
          <w:rFonts w:eastAsia="DengXian" w:cs="Times New Roman"/>
          <w:noProof/>
          <w:lang w:eastAsia="zh-CN"/>
        </w:rPr>
        <w:t xml:space="preserve">, </w:t>
      </w:r>
      <w:r w:rsidRPr="002414E9">
        <w:rPr>
          <w:rFonts w:eastAsia="DengXian" w:cs="Times New Roman"/>
          <w:i/>
          <w:iCs/>
          <w:noProof/>
          <w:lang w:eastAsia="zh-CN"/>
        </w:rPr>
        <w:t>119</w:t>
      </w:r>
      <w:r w:rsidRPr="002414E9">
        <w:rPr>
          <w:rFonts w:eastAsia="DengXian" w:cs="Times New Roman"/>
          <w:noProof/>
          <w:lang w:eastAsia="zh-CN"/>
        </w:rPr>
        <w:t>(2), 435–456. https://doi.org/10.1111/sjoe.12165</w:t>
      </w:r>
    </w:p>
    <w:p w14:paraId="69076ADD" w14:textId="1A6810D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Fox, J., &amp; Guyer, M. (1977). Group size and others' strategy in an N-person game. </w:t>
      </w:r>
      <w:r w:rsidRPr="002414E9">
        <w:rPr>
          <w:rFonts w:eastAsia="DengXian" w:cs="Times New Roman"/>
          <w:i/>
          <w:iCs/>
          <w:noProof/>
          <w:lang w:eastAsia="zh-CN"/>
        </w:rPr>
        <w:t>Journal of Conflict Resolution</w:t>
      </w:r>
      <w:r w:rsidRPr="002414E9">
        <w:rPr>
          <w:rFonts w:eastAsia="DengXian" w:cs="Times New Roman"/>
          <w:noProof/>
          <w:lang w:eastAsia="zh-CN"/>
        </w:rPr>
        <w:t xml:space="preserve">, </w:t>
      </w:r>
      <w:r w:rsidRPr="002414E9">
        <w:rPr>
          <w:rFonts w:eastAsia="DengXian" w:cs="Times New Roman"/>
          <w:i/>
          <w:iCs/>
          <w:noProof/>
          <w:lang w:eastAsia="zh-CN"/>
        </w:rPr>
        <w:t>21</w:t>
      </w:r>
      <w:r w:rsidRPr="002414E9">
        <w:rPr>
          <w:rFonts w:eastAsia="DengXian" w:cs="Times New Roman"/>
          <w:noProof/>
          <w:lang w:eastAsia="zh-CN"/>
        </w:rPr>
        <w:t>(2), 323–338. https://doi.org/10.1177/002200277702100206</w:t>
      </w:r>
    </w:p>
    <w:p w14:paraId="5C9B7DA5"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Fox, J., &amp; Guyer, M. (1978). “Public” Choice and Cooperation in n-Person Prisoner ’ s Dilemma. </w:t>
      </w:r>
      <w:r w:rsidRPr="002414E9">
        <w:rPr>
          <w:rFonts w:eastAsia="DengXian" w:cs="Times New Roman"/>
          <w:i/>
          <w:iCs/>
          <w:noProof/>
          <w:lang w:eastAsia="zh-CN"/>
        </w:rPr>
        <w:t>Journal of Conflict Resolution</w:t>
      </w:r>
      <w:r w:rsidRPr="002414E9">
        <w:rPr>
          <w:rFonts w:eastAsia="DengXian" w:cs="Times New Roman"/>
          <w:noProof/>
          <w:lang w:eastAsia="zh-CN"/>
        </w:rPr>
        <w:t xml:space="preserve">, </w:t>
      </w:r>
      <w:r w:rsidRPr="002414E9">
        <w:rPr>
          <w:rFonts w:eastAsia="DengXian" w:cs="Times New Roman"/>
          <w:i/>
          <w:iCs/>
          <w:noProof/>
          <w:lang w:eastAsia="zh-CN"/>
        </w:rPr>
        <w:t>22</w:t>
      </w:r>
      <w:r w:rsidRPr="002414E9">
        <w:rPr>
          <w:rFonts w:eastAsia="DengXian" w:cs="Times New Roman"/>
          <w:noProof/>
          <w:lang w:eastAsia="zh-CN"/>
        </w:rPr>
        <w:t>(3), 469–481. https://www.jstor.org/stable/173730</w:t>
      </w:r>
    </w:p>
    <w:p w14:paraId="51DE80DC" w14:textId="2DF815F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Frackenpohl, G., Hillenbrand, A., &amp; Kube, S. (2016). </w:t>
      </w:r>
      <w:r w:rsidRPr="002414E9">
        <w:rPr>
          <w:rFonts w:eastAsia="DengXian" w:cs="Times New Roman"/>
          <w:noProof/>
          <w:lang w:eastAsia="zh-CN"/>
        </w:rPr>
        <w:t xml:space="preserve">Leadership effectiveness and institutional frames.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19</w:t>
      </w:r>
      <w:r w:rsidRPr="002414E9">
        <w:rPr>
          <w:rFonts w:eastAsia="DengXian" w:cs="Times New Roman"/>
          <w:noProof/>
          <w:lang w:eastAsia="zh-CN"/>
        </w:rPr>
        <w:t>(4), 842–863. https://doi.org/10.1007/s10683-015-9470-z</w:t>
      </w:r>
    </w:p>
    <w:p w14:paraId="600257C1" w14:textId="3128389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Frank, R. H., Gilovich, T., &amp; Regan, D. T. (1993</w:t>
      </w:r>
      <w:r w:rsidRPr="002414E9">
        <w:rPr>
          <w:rFonts w:eastAsia="DengXian" w:cs="Times New Roman" w:hint="eastAsia"/>
          <w:noProof/>
          <w:lang w:eastAsia="zh-CN"/>
        </w:rPr>
        <w:t>a</w:t>
      </w:r>
      <w:r w:rsidRPr="002414E9">
        <w:rPr>
          <w:rFonts w:eastAsia="DengXian" w:cs="Times New Roman"/>
          <w:noProof/>
          <w:lang w:eastAsia="zh-CN"/>
        </w:rPr>
        <w:t xml:space="preserve">). Does studying economics inhibit cooperation?. </w:t>
      </w:r>
      <w:r w:rsidRPr="002414E9">
        <w:rPr>
          <w:rFonts w:eastAsia="DengXian" w:cs="Times New Roman"/>
          <w:i/>
          <w:iCs/>
          <w:noProof/>
          <w:lang w:eastAsia="zh-CN"/>
        </w:rPr>
        <w:t>Journal of Economic Perspectives</w:t>
      </w:r>
      <w:r w:rsidRPr="002414E9">
        <w:rPr>
          <w:rFonts w:eastAsia="DengXian" w:cs="Times New Roman"/>
          <w:noProof/>
          <w:lang w:eastAsia="zh-CN"/>
        </w:rPr>
        <w:t xml:space="preserve">, </w:t>
      </w:r>
      <w:r w:rsidRPr="002414E9">
        <w:rPr>
          <w:rFonts w:eastAsia="DengXian" w:cs="Times New Roman"/>
          <w:i/>
          <w:iCs/>
          <w:noProof/>
          <w:lang w:eastAsia="zh-CN"/>
        </w:rPr>
        <w:t>7</w:t>
      </w:r>
      <w:r w:rsidRPr="002414E9">
        <w:rPr>
          <w:rFonts w:eastAsia="DengXian" w:cs="Times New Roman"/>
          <w:noProof/>
          <w:lang w:eastAsia="zh-CN"/>
        </w:rPr>
        <w:t xml:space="preserve">(2), 159–171. </w:t>
      </w:r>
      <w:r w:rsidRPr="002414E9">
        <w:rPr>
          <w:rFonts w:eastAsia="DengXian" w:cs="Times New Roman"/>
          <w:noProof/>
          <w:lang w:eastAsia="zh-CN"/>
        </w:rPr>
        <w:lastRenderedPageBreak/>
        <w:t>https://doi.org/10.1257/jep.7.2.159</w:t>
      </w:r>
    </w:p>
    <w:p w14:paraId="54ED6D2A" w14:textId="6F10555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Frank, R. H., Gilovich, T., &amp; Regan, D. T. (1993b). The evolution of one-shot cooperation: An experiment. </w:t>
      </w:r>
      <w:r w:rsidRPr="002414E9">
        <w:rPr>
          <w:rFonts w:eastAsia="DengXian" w:cs="Times New Roman"/>
          <w:i/>
          <w:iCs/>
          <w:noProof/>
          <w:lang w:eastAsia="zh-CN"/>
        </w:rPr>
        <w:t>Ethology and Sociobiology</w:t>
      </w:r>
      <w:r w:rsidRPr="002414E9">
        <w:rPr>
          <w:rFonts w:eastAsia="DengXian" w:cs="Times New Roman"/>
          <w:noProof/>
          <w:lang w:eastAsia="zh-CN"/>
        </w:rPr>
        <w:t xml:space="preserve">, </w:t>
      </w:r>
      <w:r w:rsidRPr="002414E9">
        <w:rPr>
          <w:rFonts w:eastAsia="DengXian" w:cs="Times New Roman"/>
          <w:i/>
          <w:iCs/>
          <w:noProof/>
          <w:lang w:eastAsia="zh-CN"/>
        </w:rPr>
        <w:t>14</w:t>
      </w:r>
      <w:r w:rsidRPr="002414E9">
        <w:rPr>
          <w:rFonts w:eastAsia="DengXian" w:cs="Times New Roman"/>
          <w:noProof/>
          <w:lang w:eastAsia="zh-CN"/>
        </w:rPr>
        <w:t>(4), 247–256. https://doi.org/10.1016/0162-3095(93)90020-I</w:t>
      </w:r>
    </w:p>
    <w:p w14:paraId="3381CD3C" w14:textId="60A7E6C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Franzen, A. (1995). Group size and one-shot collective action. </w:t>
      </w:r>
      <w:r w:rsidRPr="002414E9">
        <w:rPr>
          <w:rFonts w:eastAsia="DengXian" w:cs="Times New Roman"/>
          <w:i/>
          <w:iCs/>
          <w:noProof/>
          <w:lang w:eastAsia="zh-CN"/>
        </w:rPr>
        <w:t>Rationality and Society</w:t>
      </w:r>
      <w:r w:rsidRPr="002414E9">
        <w:rPr>
          <w:rFonts w:eastAsia="DengXian" w:cs="Times New Roman"/>
          <w:noProof/>
          <w:lang w:eastAsia="zh-CN"/>
        </w:rPr>
        <w:t xml:space="preserve">, </w:t>
      </w:r>
      <w:r w:rsidRPr="002414E9">
        <w:rPr>
          <w:rFonts w:eastAsia="DengXian" w:cs="Times New Roman"/>
          <w:i/>
          <w:iCs/>
          <w:noProof/>
          <w:lang w:eastAsia="zh-CN"/>
        </w:rPr>
        <w:t>7</w:t>
      </w:r>
      <w:r w:rsidRPr="002414E9">
        <w:rPr>
          <w:rFonts w:eastAsia="DengXian" w:cs="Times New Roman"/>
          <w:noProof/>
          <w:lang w:eastAsia="zh-CN"/>
        </w:rPr>
        <w:t>(2), 183–200. https://doi.org/10.1177/1043463195007002006</w:t>
      </w:r>
    </w:p>
    <w:p w14:paraId="6541D16A" w14:textId="039C5BC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Friedland, N. (1990). Attribution of control as a determinant of cooperation in exchange interactions. </w:t>
      </w:r>
      <w:r w:rsidRPr="002414E9">
        <w:rPr>
          <w:rFonts w:eastAsia="DengXian" w:cs="Times New Roman"/>
          <w:i/>
          <w:iCs/>
          <w:noProof/>
          <w:lang w:eastAsia="zh-CN"/>
        </w:rPr>
        <w:t>Journal of Applied Social Psychology</w:t>
      </w:r>
      <w:r w:rsidRPr="002414E9">
        <w:rPr>
          <w:rFonts w:eastAsia="DengXian" w:cs="Times New Roman"/>
          <w:noProof/>
          <w:lang w:eastAsia="zh-CN"/>
        </w:rPr>
        <w:t xml:space="preserve">, </w:t>
      </w:r>
      <w:r w:rsidRPr="002414E9">
        <w:rPr>
          <w:rFonts w:eastAsia="DengXian" w:cs="Times New Roman"/>
          <w:i/>
          <w:iCs/>
          <w:noProof/>
          <w:lang w:eastAsia="zh-CN"/>
        </w:rPr>
        <w:t>20</w:t>
      </w:r>
      <w:r w:rsidRPr="002414E9">
        <w:rPr>
          <w:rFonts w:eastAsia="DengXian" w:cs="Times New Roman"/>
          <w:noProof/>
          <w:lang w:eastAsia="zh-CN"/>
        </w:rPr>
        <w:t>(4), 303–320. https://doi.org/10.1111/j.1559-1816.1990.tb00413.x</w:t>
      </w:r>
    </w:p>
    <w:p w14:paraId="434680A5" w14:textId="45CDB6C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Frohlich, N., &amp; Oppenheimer, J. (1998). Some consequences of e-mail vs. face-to-face communication in experiment.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35</w:t>
      </w:r>
      <w:r w:rsidRPr="002414E9">
        <w:rPr>
          <w:rFonts w:eastAsia="DengXian" w:cs="Times New Roman"/>
          <w:noProof/>
          <w:lang w:eastAsia="zh-CN"/>
        </w:rPr>
        <w:t>(3), 389–403. https://doi.org/10.1016/S0167-2681(98)00044-4</w:t>
      </w:r>
    </w:p>
    <w:p w14:paraId="02C21941" w14:textId="7FE90FE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Frohlich, N., &amp; Oppenheimer, J. A. (1996). </w:t>
      </w:r>
      <w:r w:rsidRPr="002414E9">
        <w:rPr>
          <w:rFonts w:eastAsia="DengXian" w:cs="Times New Roman"/>
          <w:noProof/>
          <w:lang w:eastAsia="zh-CN"/>
        </w:rPr>
        <w:t xml:space="preserve">Experiencing impartiality to invoke fairness in the n-PD: Some experimental results. </w:t>
      </w:r>
      <w:r w:rsidRPr="002414E9">
        <w:rPr>
          <w:rFonts w:eastAsia="DengXian" w:cs="Times New Roman"/>
          <w:i/>
          <w:iCs/>
          <w:noProof/>
          <w:lang w:eastAsia="zh-CN"/>
        </w:rPr>
        <w:t>Public Choice</w:t>
      </w:r>
      <w:r w:rsidRPr="002414E9">
        <w:rPr>
          <w:rFonts w:eastAsia="DengXian" w:cs="Times New Roman"/>
          <w:noProof/>
          <w:lang w:eastAsia="zh-CN"/>
        </w:rPr>
        <w:t xml:space="preserve">, </w:t>
      </w:r>
      <w:r w:rsidRPr="002414E9">
        <w:rPr>
          <w:rFonts w:eastAsia="DengXian" w:cs="Times New Roman"/>
          <w:i/>
          <w:iCs/>
          <w:noProof/>
          <w:lang w:eastAsia="zh-CN"/>
        </w:rPr>
        <w:t>86</w:t>
      </w:r>
      <w:r w:rsidRPr="002414E9">
        <w:rPr>
          <w:rFonts w:eastAsia="DengXian" w:cs="Times New Roman"/>
          <w:noProof/>
          <w:lang w:eastAsia="zh-CN"/>
        </w:rPr>
        <w:t>(1–2), 117–135. https://doi.org/10.1007/BF00114878</w:t>
      </w:r>
    </w:p>
    <w:p w14:paraId="6B4F87E3" w14:textId="2B152D6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Fu, T., Ji, Y., Kamei, K., &amp; Putterman, L. (2017). Punishment can support cooperation even when punishable. </w:t>
      </w:r>
      <w:r w:rsidRPr="002414E9">
        <w:rPr>
          <w:rFonts w:eastAsia="DengXian" w:cs="Times New Roman"/>
          <w:i/>
          <w:iCs/>
          <w:noProof/>
          <w:lang w:eastAsia="zh-CN"/>
        </w:rPr>
        <w:t>Economics Letters</w:t>
      </w:r>
      <w:r w:rsidRPr="002414E9">
        <w:rPr>
          <w:rFonts w:eastAsia="DengXian" w:cs="Times New Roman"/>
          <w:noProof/>
          <w:lang w:eastAsia="zh-CN"/>
        </w:rPr>
        <w:t xml:space="preserve">, </w:t>
      </w:r>
      <w:r w:rsidRPr="002414E9">
        <w:rPr>
          <w:rFonts w:eastAsia="DengXian" w:cs="Times New Roman"/>
          <w:i/>
          <w:iCs/>
          <w:noProof/>
          <w:lang w:eastAsia="zh-CN"/>
        </w:rPr>
        <w:t>154</w:t>
      </w:r>
      <w:r w:rsidRPr="002414E9">
        <w:rPr>
          <w:rFonts w:eastAsia="DengXian" w:cs="Times New Roman"/>
          <w:noProof/>
          <w:lang w:eastAsia="zh-CN"/>
        </w:rPr>
        <w:t>, 84–87. https://doi.org/10.1016/j.econlet.2017.01.016</w:t>
      </w:r>
    </w:p>
    <w:p w14:paraId="651CEEED" w14:textId="667B795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Fudenberg, D., &amp; Pathak, P. A. (2010). </w:t>
      </w:r>
      <w:r w:rsidRPr="002414E9">
        <w:rPr>
          <w:rFonts w:eastAsia="DengXian" w:cs="Times New Roman"/>
          <w:noProof/>
          <w:lang w:eastAsia="zh-CN"/>
        </w:rPr>
        <w:t xml:space="preserve">Unobserved punishment supports cooperation.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94</w:t>
      </w:r>
      <w:r w:rsidRPr="002414E9">
        <w:rPr>
          <w:rFonts w:eastAsia="DengXian" w:cs="Times New Roman"/>
          <w:noProof/>
          <w:lang w:eastAsia="zh-CN"/>
        </w:rPr>
        <w:t>(1–2), 78–86. https://doi.org/10.1016/j.jpubeco.2009.10.007</w:t>
      </w:r>
    </w:p>
    <w:p w14:paraId="2206D463" w14:textId="29EB164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Fudenberg, D., Rand, D. G., &amp; Dreber, A. (2012). </w:t>
      </w:r>
      <w:r w:rsidRPr="002414E9">
        <w:rPr>
          <w:rFonts w:eastAsia="DengXian" w:cs="Times New Roman"/>
          <w:noProof/>
          <w:lang w:eastAsia="zh-CN"/>
        </w:rPr>
        <w:t xml:space="preserve">Slow to anger and fast to forgive: Cooperation in an uncertain world. </w:t>
      </w:r>
      <w:r w:rsidRPr="002414E9">
        <w:rPr>
          <w:rFonts w:eastAsia="DengXian" w:cs="Times New Roman"/>
          <w:i/>
          <w:iCs/>
          <w:noProof/>
          <w:lang w:eastAsia="zh-CN"/>
        </w:rPr>
        <w:t>American Economic Review</w:t>
      </w:r>
      <w:r w:rsidRPr="002414E9">
        <w:rPr>
          <w:rFonts w:eastAsia="DengXian" w:cs="Times New Roman"/>
          <w:noProof/>
          <w:lang w:eastAsia="zh-CN"/>
        </w:rPr>
        <w:t xml:space="preserve">, </w:t>
      </w:r>
      <w:r w:rsidRPr="002414E9">
        <w:rPr>
          <w:rFonts w:eastAsia="DengXian" w:cs="Times New Roman"/>
          <w:i/>
          <w:iCs/>
          <w:noProof/>
          <w:lang w:eastAsia="zh-CN"/>
        </w:rPr>
        <w:t>102</w:t>
      </w:r>
      <w:r w:rsidRPr="002414E9">
        <w:rPr>
          <w:rFonts w:eastAsia="DengXian" w:cs="Times New Roman"/>
          <w:noProof/>
          <w:lang w:eastAsia="zh-CN"/>
        </w:rPr>
        <w:t>(2), 720–49. https://doi.org/10.1257/aer.102.2.720</w:t>
      </w:r>
    </w:p>
    <w:p w14:paraId="7B0EAF15" w14:textId="3AC1D46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lastRenderedPageBreak/>
        <w:t xml:space="preserve">Fujiwara, H., &amp; Arai, K. (2008). Group competition and personality in an experimental public goods game. </w:t>
      </w:r>
      <w:r w:rsidRPr="002414E9">
        <w:rPr>
          <w:rFonts w:eastAsia="DengXian" w:cs="Times New Roman"/>
          <w:i/>
          <w:iCs/>
          <w:noProof/>
          <w:lang w:eastAsia="zh-CN"/>
        </w:rPr>
        <w:t>Hitotsubashi Journal of Economics</w:t>
      </w:r>
      <w:r w:rsidRPr="002414E9">
        <w:rPr>
          <w:rFonts w:eastAsia="DengXian" w:cs="Times New Roman"/>
          <w:noProof/>
          <w:lang w:eastAsia="zh-CN"/>
        </w:rPr>
        <w:t xml:space="preserve">, </w:t>
      </w:r>
      <w:r w:rsidRPr="002414E9">
        <w:rPr>
          <w:rFonts w:eastAsia="DengXian" w:cs="Times New Roman"/>
          <w:i/>
          <w:iCs/>
          <w:noProof/>
          <w:lang w:eastAsia="zh-CN"/>
        </w:rPr>
        <w:t>49</w:t>
      </w:r>
      <w:r w:rsidRPr="002414E9">
        <w:rPr>
          <w:rFonts w:eastAsia="DengXian" w:cs="Times New Roman"/>
          <w:noProof/>
          <w:lang w:eastAsia="zh-CN"/>
        </w:rPr>
        <w:t>(2), 149–161. http://www.jstor.org/stable/43296207</w:t>
      </w:r>
    </w:p>
    <w:p w14:paraId="7D5F9FA7" w14:textId="38FDE82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Fujiwara, H., &amp; Arai, K. (2011). Dōgaku kakudai shūjin no jirenma gēmu ni okeru settoku to komyunikēshon no kōka [The effects of persuasion and communication in dynamically expanding prisoner’s dilemma games: Values, creeds, and cooperative behavior]. </w:t>
      </w:r>
      <w:r w:rsidRPr="002414E9">
        <w:rPr>
          <w:rFonts w:eastAsia="DengXian" w:cs="Times New Roman"/>
          <w:i/>
          <w:iCs/>
          <w:noProof/>
          <w:lang w:eastAsia="zh-CN"/>
        </w:rPr>
        <w:t>Keizai Kenkyū [Economic Research]</w:t>
      </w:r>
      <w:r w:rsidRPr="002414E9">
        <w:rPr>
          <w:rFonts w:eastAsia="DengXian" w:cs="Times New Roman"/>
          <w:noProof/>
          <w:lang w:eastAsia="zh-CN"/>
        </w:rPr>
        <w:t xml:space="preserve">, </w:t>
      </w:r>
      <w:r w:rsidRPr="002414E9">
        <w:rPr>
          <w:rFonts w:eastAsia="DengXian" w:cs="Times New Roman"/>
          <w:i/>
          <w:iCs/>
          <w:noProof/>
          <w:lang w:eastAsia="zh-CN"/>
        </w:rPr>
        <w:t>24</w:t>
      </w:r>
      <w:r w:rsidRPr="002414E9">
        <w:rPr>
          <w:rFonts w:eastAsia="DengXian" w:cs="Times New Roman"/>
          <w:noProof/>
          <w:lang w:eastAsia="zh-CN"/>
        </w:rPr>
        <w:t>, 1–16. https://www.daito.ac.jp/research/laboratory/economics/publication/laboratory/file/economic_review2010_fujiwara_arai.pdf</w:t>
      </w:r>
    </w:p>
    <w:p w14:paraId="587CC094" w14:textId="7FC0FD1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Füllbrunn, S., &amp; Neugebauer, T. (2013). Limited liability, moral hazard, and risk taking: A safety net game. </w:t>
      </w:r>
      <w:r w:rsidRPr="002414E9">
        <w:rPr>
          <w:rFonts w:eastAsia="DengXian" w:cs="Times New Roman"/>
          <w:i/>
          <w:iCs/>
          <w:noProof/>
          <w:lang w:eastAsia="zh-CN"/>
        </w:rPr>
        <w:t>Economic Inquiry</w:t>
      </w:r>
      <w:r w:rsidRPr="002414E9">
        <w:rPr>
          <w:rFonts w:eastAsia="DengXian" w:cs="Times New Roman"/>
          <w:noProof/>
          <w:lang w:eastAsia="zh-CN"/>
        </w:rPr>
        <w:t xml:space="preserve">, </w:t>
      </w:r>
      <w:r w:rsidRPr="002414E9">
        <w:rPr>
          <w:rFonts w:eastAsia="DengXian" w:cs="Times New Roman"/>
          <w:i/>
          <w:iCs/>
          <w:noProof/>
          <w:lang w:eastAsia="zh-CN"/>
        </w:rPr>
        <w:t>51</w:t>
      </w:r>
      <w:r w:rsidRPr="002414E9">
        <w:rPr>
          <w:rFonts w:eastAsia="DengXian" w:cs="Times New Roman"/>
          <w:noProof/>
          <w:lang w:eastAsia="zh-CN"/>
        </w:rPr>
        <w:t>(2), 1389–1403. https://doi.org/10.1111/j.1465-7295.2012.00464.x</w:t>
      </w:r>
    </w:p>
    <w:p w14:paraId="44F4D1CB"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n-GB" w:eastAsia="zh-CN"/>
        </w:rPr>
        <w:t xml:space="preserve">Fung, J. M. Y., &amp; Au, W. T. (2014). </w:t>
      </w:r>
      <w:r w:rsidRPr="002414E9">
        <w:rPr>
          <w:rFonts w:eastAsia="DengXian" w:cs="Times New Roman"/>
          <w:noProof/>
          <w:lang w:eastAsia="zh-CN"/>
        </w:rPr>
        <w:t xml:space="preserve">Effect of inequality on cooperation: Heterogeneity and hegemony in public goods dilemma. </w:t>
      </w:r>
      <w:r w:rsidRPr="002414E9">
        <w:rPr>
          <w:rFonts w:eastAsia="DengXian" w:cs="Times New Roman"/>
          <w:i/>
          <w:iCs/>
          <w:noProof/>
          <w:lang w:eastAsia="zh-CN"/>
        </w:rPr>
        <w:t>Organizational Behavior and Human Decision Processes</w:t>
      </w:r>
      <w:r w:rsidRPr="002414E9">
        <w:rPr>
          <w:rFonts w:eastAsia="DengXian" w:cs="Times New Roman"/>
          <w:noProof/>
          <w:lang w:eastAsia="zh-CN"/>
        </w:rPr>
        <w:t xml:space="preserve">, </w:t>
      </w:r>
      <w:r w:rsidRPr="002414E9">
        <w:rPr>
          <w:rFonts w:eastAsia="DengXian" w:cs="Times New Roman"/>
          <w:i/>
          <w:iCs/>
          <w:noProof/>
          <w:lang w:eastAsia="zh-CN"/>
        </w:rPr>
        <w:t>123</w:t>
      </w:r>
      <w:r w:rsidRPr="002414E9">
        <w:rPr>
          <w:rFonts w:eastAsia="DengXian" w:cs="Times New Roman"/>
          <w:noProof/>
          <w:lang w:eastAsia="zh-CN"/>
        </w:rPr>
        <w:t>(1), 9–22. https://doi.org/10.1016/j.obhdp.2013.10.010</w:t>
      </w:r>
    </w:p>
    <w:p w14:paraId="7F214563" w14:textId="29C4C66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Fung, J. M. Y., Au, W. T., Hu, W., &amp; Shi, K. (2012). </w:t>
      </w:r>
      <w:r w:rsidRPr="002414E9">
        <w:rPr>
          <w:rFonts w:eastAsia="DengXian" w:cs="Times New Roman"/>
          <w:noProof/>
          <w:lang w:eastAsia="zh-CN"/>
        </w:rPr>
        <w:t xml:space="preserve">Effect of risk orientation on cooperation and decision process in public goods dilemma. </w:t>
      </w:r>
      <w:r w:rsidRPr="002414E9">
        <w:rPr>
          <w:rFonts w:eastAsia="DengXian" w:cs="Times New Roman"/>
          <w:i/>
          <w:iCs/>
          <w:noProof/>
          <w:lang w:eastAsia="zh-CN"/>
        </w:rPr>
        <w:t>Group Processes &amp; Intergroup Relations</w:t>
      </w:r>
      <w:r w:rsidRPr="002414E9">
        <w:rPr>
          <w:rFonts w:eastAsia="DengXian" w:cs="Times New Roman"/>
          <w:noProof/>
          <w:lang w:eastAsia="zh-CN"/>
        </w:rPr>
        <w:t xml:space="preserve">, </w:t>
      </w:r>
      <w:r w:rsidRPr="002414E9">
        <w:rPr>
          <w:rFonts w:eastAsia="DengXian" w:cs="Times New Roman"/>
          <w:i/>
          <w:iCs/>
          <w:noProof/>
          <w:lang w:eastAsia="zh-CN"/>
        </w:rPr>
        <w:t>15</w:t>
      </w:r>
      <w:r w:rsidRPr="002414E9">
        <w:rPr>
          <w:rFonts w:eastAsia="DengXian" w:cs="Times New Roman"/>
          <w:noProof/>
          <w:lang w:eastAsia="zh-CN"/>
        </w:rPr>
        <w:t>(6), 791–803. https://doi.org/10.1177/1368430212448443</w:t>
      </w:r>
    </w:p>
    <w:p w14:paraId="3A6FF5B4" w14:textId="19DCB1A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Furumoto, N. (2015). Shūjin no jirenma ni okeru sekando sōto [Second thought in the prisoner’s dilemma]. </w:t>
      </w:r>
      <w:r w:rsidRPr="002414E9">
        <w:rPr>
          <w:rFonts w:eastAsia="DengXian" w:cs="Times New Roman"/>
          <w:i/>
          <w:iCs/>
          <w:noProof/>
          <w:lang w:eastAsia="zh-CN"/>
        </w:rPr>
        <w:t>Kōchi Kōka Daigaku 2015 Nendo Sotsugyō Ronbun Yōshi [The Abstract of Graduation Thesis for the Academic Year 2015 in Kochi University of Technology]</w:t>
      </w:r>
      <w:r w:rsidRPr="002414E9">
        <w:rPr>
          <w:rFonts w:eastAsia="DengXian" w:cs="Times New Roman"/>
          <w:noProof/>
          <w:lang w:eastAsia="zh-CN"/>
        </w:rPr>
        <w:t>.</w:t>
      </w:r>
    </w:p>
    <w:p w14:paraId="7431D547" w14:textId="4297B0C0" w:rsidR="002414E9" w:rsidRPr="002414E9" w:rsidRDefault="002414E9" w:rsidP="002414E9">
      <w:pPr>
        <w:widowControl w:val="0"/>
        <w:autoSpaceDE w:val="0"/>
        <w:autoSpaceDN w:val="0"/>
        <w:adjustRightInd w:val="0"/>
        <w:ind w:left="709" w:hanging="709"/>
        <w:rPr>
          <w:rFonts w:eastAsia="DengXian" w:cs="Times New Roman"/>
          <w:noProof/>
          <w:lang w:val="fr-FR" w:eastAsia="zh-CN"/>
        </w:rPr>
      </w:pPr>
      <w:r w:rsidRPr="002414E9">
        <w:rPr>
          <w:rFonts w:eastAsia="DengXian" w:cs="Times New Roman"/>
          <w:noProof/>
          <w:lang w:eastAsia="zh-CN"/>
        </w:rPr>
        <w:t xml:space="preserve">Fuster, A., &amp; Meier, S. (2010). Another hidden cost of incentives: The detrimental effect on norm enforcement. </w:t>
      </w:r>
      <w:r w:rsidRPr="002414E9">
        <w:rPr>
          <w:rFonts w:eastAsia="DengXian" w:cs="Times New Roman"/>
          <w:i/>
          <w:iCs/>
          <w:noProof/>
          <w:lang w:val="fr-FR" w:eastAsia="zh-CN"/>
        </w:rPr>
        <w:t>Management Science</w:t>
      </w:r>
      <w:r w:rsidRPr="002414E9">
        <w:rPr>
          <w:rFonts w:eastAsia="DengXian" w:cs="Times New Roman"/>
          <w:noProof/>
          <w:lang w:val="fr-FR" w:eastAsia="zh-CN"/>
        </w:rPr>
        <w:t xml:space="preserve">, </w:t>
      </w:r>
      <w:r w:rsidRPr="002414E9">
        <w:rPr>
          <w:rFonts w:eastAsia="DengXian" w:cs="Times New Roman"/>
          <w:i/>
          <w:iCs/>
          <w:noProof/>
          <w:lang w:val="fr-FR" w:eastAsia="zh-CN"/>
        </w:rPr>
        <w:t>56</w:t>
      </w:r>
      <w:r w:rsidRPr="002414E9">
        <w:rPr>
          <w:rFonts w:eastAsia="DengXian" w:cs="Times New Roman"/>
          <w:noProof/>
          <w:lang w:val="fr-FR" w:eastAsia="zh-CN"/>
        </w:rPr>
        <w:t xml:space="preserve">(1), 57–70. </w:t>
      </w:r>
      <w:r w:rsidRPr="002414E9">
        <w:rPr>
          <w:rFonts w:eastAsia="DengXian" w:cs="Times New Roman"/>
          <w:noProof/>
          <w:lang w:val="fr-FR" w:eastAsia="zh-CN"/>
        </w:rPr>
        <w:lastRenderedPageBreak/>
        <w:t>https://doi.org/10.1287/mnsc.1090.1081</w:t>
      </w:r>
    </w:p>
    <w:p w14:paraId="36CFEB4C" w14:textId="4C055E7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fr-FR" w:eastAsia="zh-CN"/>
        </w:rPr>
        <w:t xml:space="preserve">Gächter, S., &amp; Fehr, E. (1999). </w:t>
      </w:r>
      <w:r w:rsidRPr="002414E9">
        <w:rPr>
          <w:rFonts w:eastAsia="DengXian" w:cs="Times New Roman"/>
          <w:noProof/>
          <w:lang w:eastAsia="zh-CN"/>
        </w:rPr>
        <w:t xml:space="preserve">Collective action as a social exchange.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39</w:t>
      </w:r>
      <w:r w:rsidRPr="002414E9">
        <w:rPr>
          <w:rFonts w:eastAsia="DengXian" w:cs="Times New Roman"/>
          <w:noProof/>
          <w:lang w:eastAsia="zh-CN"/>
        </w:rPr>
        <w:t>(4), 341–369. https://doi.org/10.1016/S0167-2681(99)00045-1</w:t>
      </w:r>
    </w:p>
    <w:p w14:paraId="67C1DB97" w14:textId="0505695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Gächter, S., Herrmann, B., &amp; Thöni, C. (2004). </w:t>
      </w:r>
      <w:r w:rsidRPr="002414E9">
        <w:rPr>
          <w:rFonts w:eastAsia="DengXian" w:cs="Times New Roman"/>
          <w:noProof/>
          <w:lang w:eastAsia="zh-CN"/>
        </w:rPr>
        <w:t xml:space="preserve">Trust, voluntary cooperation, and socio-economic background: Survey and experimental evidence.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55</w:t>
      </w:r>
      <w:r w:rsidRPr="002414E9">
        <w:rPr>
          <w:rFonts w:eastAsia="DengXian" w:cs="Times New Roman"/>
          <w:noProof/>
          <w:lang w:eastAsia="zh-CN"/>
        </w:rPr>
        <w:t>(4), 505–531. https://doi.org/10.1016/j.jebo.2003.11.006</w:t>
      </w:r>
    </w:p>
    <w:p w14:paraId="13121709" w14:textId="3BA65F2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Gächter, S., Herrmann, B., &amp; Thöni, C. (2010). </w:t>
      </w:r>
      <w:r w:rsidRPr="002414E9">
        <w:rPr>
          <w:rFonts w:eastAsia="DengXian" w:cs="Times New Roman"/>
          <w:noProof/>
          <w:lang w:eastAsia="zh-CN"/>
        </w:rPr>
        <w:t xml:space="preserve">Culture and cooperation. </w:t>
      </w:r>
      <w:r w:rsidRPr="002414E9">
        <w:rPr>
          <w:rFonts w:eastAsia="DengXian" w:cs="Times New Roman"/>
          <w:i/>
          <w:iCs/>
          <w:noProof/>
          <w:lang w:eastAsia="zh-CN"/>
        </w:rPr>
        <w:t>Philosophical Transactions of the Royal Society B: Biological Sciences</w:t>
      </w:r>
      <w:r w:rsidRPr="002414E9">
        <w:rPr>
          <w:rFonts w:eastAsia="DengXian" w:cs="Times New Roman"/>
          <w:noProof/>
          <w:lang w:eastAsia="zh-CN"/>
        </w:rPr>
        <w:t xml:space="preserve">, </w:t>
      </w:r>
      <w:r w:rsidRPr="002414E9">
        <w:rPr>
          <w:rFonts w:eastAsia="DengXian" w:cs="Times New Roman"/>
          <w:i/>
          <w:iCs/>
          <w:noProof/>
          <w:lang w:eastAsia="zh-CN"/>
        </w:rPr>
        <w:t>365</w:t>
      </w:r>
      <w:r w:rsidRPr="002414E9">
        <w:rPr>
          <w:rFonts w:eastAsia="DengXian" w:cs="Times New Roman"/>
          <w:noProof/>
          <w:lang w:eastAsia="zh-CN"/>
        </w:rPr>
        <w:t>(1553), 2651–2661. https://doi.org/10.1098/rstb.2010.0135</w:t>
      </w:r>
    </w:p>
    <w:p w14:paraId="380A6C51" w14:textId="789E533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Gächter, S., Kölle, F., &amp; Quercia, S. (2017). </w:t>
      </w:r>
      <w:r w:rsidRPr="002414E9">
        <w:rPr>
          <w:rFonts w:eastAsia="DengXian" w:cs="Times New Roman"/>
          <w:noProof/>
          <w:lang w:eastAsia="zh-CN"/>
        </w:rPr>
        <w:t xml:space="preserve">Reciprocity and the tragedies of maintaining and providing the commons. </w:t>
      </w:r>
      <w:r w:rsidRPr="002414E9">
        <w:rPr>
          <w:rFonts w:eastAsia="DengXian" w:cs="Times New Roman"/>
          <w:i/>
          <w:iCs/>
          <w:noProof/>
          <w:lang w:eastAsia="zh-CN"/>
        </w:rPr>
        <w:t>Nature Human Behaviour</w:t>
      </w:r>
      <w:r w:rsidRPr="002414E9">
        <w:rPr>
          <w:rFonts w:eastAsia="DengXian" w:cs="Times New Roman"/>
          <w:noProof/>
          <w:lang w:eastAsia="zh-CN"/>
        </w:rPr>
        <w:t xml:space="preserve">, </w:t>
      </w:r>
      <w:r w:rsidRPr="002414E9">
        <w:rPr>
          <w:rFonts w:eastAsia="DengXian" w:cs="Times New Roman"/>
          <w:i/>
          <w:iCs/>
          <w:noProof/>
          <w:lang w:eastAsia="zh-CN"/>
        </w:rPr>
        <w:t>1</w:t>
      </w:r>
      <w:r w:rsidRPr="002414E9">
        <w:rPr>
          <w:rFonts w:eastAsia="DengXian" w:cs="Times New Roman"/>
          <w:noProof/>
          <w:lang w:eastAsia="zh-CN"/>
        </w:rPr>
        <w:t>(9), 650–656. https://doi.org/10.1038/s41562-017-0191-5</w:t>
      </w:r>
    </w:p>
    <w:p w14:paraId="02EA342C" w14:textId="6CEBF15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Gächter, S., Nosenzo, D., Renner, E., &amp; Sefton, M. (2010). </w:t>
      </w:r>
      <w:r w:rsidRPr="002414E9">
        <w:rPr>
          <w:rFonts w:eastAsia="DengXian" w:cs="Times New Roman"/>
          <w:noProof/>
          <w:lang w:eastAsia="zh-CN"/>
        </w:rPr>
        <w:t xml:space="preserve">Sequential vs. simultaneous contributions to public goods: Experimental evidence.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94</w:t>
      </w:r>
      <w:r w:rsidRPr="002414E9">
        <w:rPr>
          <w:rFonts w:eastAsia="DengXian" w:cs="Times New Roman"/>
          <w:noProof/>
          <w:lang w:eastAsia="zh-CN"/>
        </w:rPr>
        <w:t>(7–8), 515–522. https://doi.org/10.1016/j.jpubeco.2010.03.002</w:t>
      </w:r>
    </w:p>
    <w:p w14:paraId="6DE0402B" w14:textId="3297BBE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Gächter, S., Nosenzo, D., Renner, E., &amp; Sefton, M. (2010). </w:t>
      </w:r>
      <w:r w:rsidRPr="002414E9">
        <w:rPr>
          <w:rFonts w:eastAsia="DengXian" w:cs="Times New Roman"/>
          <w:noProof/>
          <w:lang w:eastAsia="zh-CN"/>
        </w:rPr>
        <w:t xml:space="preserve">Sequential vs. simultaneous contributions to public goods: Experimental evidence.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94</w:t>
      </w:r>
      <w:r w:rsidRPr="002414E9">
        <w:rPr>
          <w:rFonts w:eastAsia="DengXian" w:cs="Times New Roman"/>
          <w:noProof/>
          <w:lang w:eastAsia="zh-CN"/>
        </w:rPr>
        <w:t>(7), 515–522. https://doi.org/10.1016/j.jpubeco.2010.03.002</w:t>
      </w:r>
    </w:p>
    <w:p w14:paraId="4F0A96B3" w14:textId="02115B0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Gächter, S., Nosenzo, D., Renner, E., &amp; Sefton, M. (2012). </w:t>
      </w:r>
      <w:r w:rsidRPr="002414E9">
        <w:rPr>
          <w:rFonts w:eastAsia="DengXian" w:cs="Times New Roman"/>
          <w:noProof/>
          <w:lang w:eastAsia="zh-CN"/>
        </w:rPr>
        <w:t xml:space="preserve">Who makes a good leader? Cooperativeness, optimism, and leading-by-example. </w:t>
      </w:r>
      <w:r w:rsidRPr="002414E9">
        <w:rPr>
          <w:rFonts w:eastAsia="DengXian" w:cs="Times New Roman"/>
          <w:i/>
          <w:iCs/>
          <w:noProof/>
          <w:lang w:eastAsia="zh-CN"/>
        </w:rPr>
        <w:t>Economic Inquiry</w:t>
      </w:r>
      <w:r w:rsidRPr="002414E9">
        <w:rPr>
          <w:rFonts w:eastAsia="DengXian" w:cs="Times New Roman"/>
          <w:noProof/>
          <w:lang w:eastAsia="zh-CN"/>
        </w:rPr>
        <w:t xml:space="preserve">, </w:t>
      </w:r>
      <w:r w:rsidRPr="002414E9">
        <w:rPr>
          <w:rFonts w:eastAsia="DengXian" w:cs="Times New Roman"/>
          <w:i/>
          <w:iCs/>
          <w:noProof/>
          <w:lang w:eastAsia="zh-CN"/>
        </w:rPr>
        <w:t>50</w:t>
      </w:r>
      <w:r w:rsidRPr="002414E9">
        <w:rPr>
          <w:rFonts w:eastAsia="DengXian" w:cs="Times New Roman"/>
          <w:noProof/>
          <w:lang w:eastAsia="zh-CN"/>
        </w:rPr>
        <w:t>(4), 953–967. https://doi.org/10.1111/j.1465-7295.2010.00295.x</w:t>
      </w:r>
    </w:p>
    <w:p w14:paraId="64444324" w14:textId="6EDDCC8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Gachter, S., Renner, E., &amp; Sefton, M. (2008). </w:t>
      </w:r>
      <w:r w:rsidRPr="002414E9">
        <w:rPr>
          <w:rFonts w:eastAsia="DengXian" w:cs="Times New Roman"/>
          <w:noProof/>
          <w:lang w:eastAsia="zh-CN"/>
        </w:rPr>
        <w:t xml:space="preserve">The long-run benefits of punishment. </w:t>
      </w:r>
      <w:r w:rsidRPr="002414E9">
        <w:rPr>
          <w:rFonts w:eastAsia="DengXian" w:cs="Times New Roman"/>
          <w:i/>
          <w:iCs/>
          <w:noProof/>
          <w:lang w:eastAsia="zh-CN"/>
        </w:rPr>
        <w:t>Science</w:t>
      </w:r>
      <w:r w:rsidRPr="002414E9">
        <w:rPr>
          <w:rFonts w:eastAsia="DengXian" w:cs="Times New Roman"/>
          <w:noProof/>
          <w:lang w:eastAsia="zh-CN"/>
        </w:rPr>
        <w:t xml:space="preserve">, </w:t>
      </w:r>
      <w:r w:rsidRPr="002414E9">
        <w:rPr>
          <w:rFonts w:eastAsia="DengXian" w:cs="Times New Roman"/>
          <w:i/>
          <w:iCs/>
          <w:noProof/>
          <w:lang w:eastAsia="zh-CN"/>
        </w:rPr>
        <w:lastRenderedPageBreak/>
        <w:t>322</w:t>
      </w:r>
      <w:r w:rsidRPr="002414E9">
        <w:rPr>
          <w:rFonts w:eastAsia="DengXian" w:cs="Times New Roman"/>
          <w:noProof/>
          <w:lang w:eastAsia="zh-CN"/>
        </w:rPr>
        <w:t>(5907), 1510. https://doi.org/10.1126/science.1164744</w:t>
      </w:r>
    </w:p>
    <w:p w14:paraId="29D0AE6C" w14:textId="4DFCE8C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Galbiati, R., &amp; Vertova, P. (2008). Obligations and cooperative behaviour in public good games. </w:t>
      </w:r>
      <w:r w:rsidRPr="002414E9">
        <w:rPr>
          <w:rFonts w:eastAsia="DengXian" w:cs="Times New Roman"/>
          <w:i/>
          <w:iCs/>
          <w:noProof/>
          <w:lang w:eastAsia="zh-CN"/>
        </w:rPr>
        <w:t>Games and Economic Behavior</w:t>
      </w:r>
      <w:r w:rsidRPr="002414E9">
        <w:rPr>
          <w:rFonts w:eastAsia="DengXian" w:cs="Times New Roman"/>
          <w:noProof/>
          <w:lang w:eastAsia="zh-CN"/>
        </w:rPr>
        <w:t xml:space="preserve">, </w:t>
      </w:r>
      <w:r w:rsidRPr="002414E9">
        <w:rPr>
          <w:rFonts w:eastAsia="DengXian" w:cs="Times New Roman"/>
          <w:i/>
          <w:iCs/>
          <w:noProof/>
          <w:lang w:eastAsia="zh-CN"/>
        </w:rPr>
        <w:t>64</w:t>
      </w:r>
      <w:r w:rsidRPr="002414E9">
        <w:rPr>
          <w:rFonts w:eastAsia="DengXian" w:cs="Times New Roman"/>
          <w:noProof/>
          <w:lang w:eastAsia="zh-CN"/>
        </w:rPr>
        <w:t>(1), 146–170. https://doi.org/10.1016/j.geb.2007.09.004</w:t>
      </w:r>
    </w:p>
    <w:p w14:paraId="45C01FC1" w14:textId="7A7A396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Galbiati, R., &amp; Vertova, P. (2014). How laws affect behavior: Obligations, incentives and cooperative behavior. </w:t>
      </w:r>
      <w:r w:rsidRPr="002414E9">
        <w:rPr>
          <w:rFonts w:eastAsia="DengXian" w:cs="Times New Roman"/>
          <w:i/>
          <w:iCs/>
          <w:noProof/>
          <w:lang w:eastAsia="zh-CN"/>
        </w:rPr>
        <w:t>International Review of Law and Economics</w:t>
      </w:r>
      <w:r w:rsidRPr="002414E9">
        <w:rPr>
          <w:rFonts w:eastAsia="DengXian" w:cs="Times New Roman"/>
          <w:noProof/>
          <w:lang w:eastAsia="zh-CN"/>
        </w:rPr>
        <w:t xml:space="preserve">, </w:t>
      </w:r>
      <w:r w:rsidRPr="002414E9">
        <w:rPr>
          <w:rFonts w:eastAsia="DengXian" w:cs="Times New Roman"/>
          <w:i/>
          <w:iCs/>
          <w:noProof/>
          <w:lang w:eastAsia="zh-CN"/>
        </w:rPr>
        <w:t>38</w:t>
      </w:r>
      <w:r w:rsidRPr="002414E9">
        <w:rPr>
          <w:rFonts w:eastAsia="DengXian" w:cs="Times New Roman"/>
          <w:noProof/>
          <w:lang w:eastAsia="zh-CN"/>
        </w:rPr>
        <w:t>, 48–57. https://doi.org/10.1016/j.irle.2014.03.001</w:t>
      </w:r>
    </w:p>
    <w:p w14:paraId="768F03A1" w14:textId="3DF9504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Galinsky, A. D., Gruenfeld, D. H., &amp; Magee, J. C. (2003). </w:t>
      </w:r>
      <w:r w:rsidRPr="002414E9">
        <w:rPr>
          <w:rFonts w:eastAsia="DengXian" w:cs="Times New Roman"/>
          <w:noProof/>
          <w:lang w:eastAsia="zh-CN"/>
        </w:rPr>
        <w:t xml:space="preserve">From power to action. </w:t>
      </w:r>
      <w:r w:rsidRPr="002414E9">
        <w:rPr>
          <w:rFonts w:eastAsia="DengXian" w:cs="Times New Roman"/>
          <w:i/>
          <w:iCs/>
          <w:noProof/>
          <w:lang w:eastAsia="zh-CN"/>
        </w:rPr>
        <w:t>Journal of Personality and Social Psychology</w:t>
      </w:r>
      <w:r w:rsidRPr="002414E9">
        <w:rPr>
          <w:rFonts w:eastAsia="DengXian" w:cs="Times New Roman"/>
          <w:noProof/>
          <w:lang w:eastAsia="zh-CN"/>
        </w:rPr>
        <w:t xml:space="preserve">, </w:t>
      </w:r>
      <w:r w:rsidRPr="002414E9">
        <w:rPr>
          <w:rFonts w:eastAsia="DengXian" w:cs="Times New Roman"/>
          <w:i/>
          <w:iCs/>
          <w:noProof/>
          <w:lang w:eastAsia="zh-CN"/>
        </w:rPr>
        <w:t>85</w:t>
      </w:r>
      <w:r w:rsidRPr="002414E9">
        <w:rPr>
          <w:rFonts w:eastAsia="DengXian" w:cs="Times New Roman"/>
          <w:noProof/>
          <w:lang w:eastAsia="zh-CN"/>
        </w:rPr>
        <w:t>(3), 453–466. https://doi.org/10.1037/0022-3514.85.3.453</w:t>
      </w:r>
    </w:p>
    <w:p w14:paraId="678B337E" w14:textId="208A8E3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Gallier, C., Kesternich, M., &amp; Sturm, B. (2017). </w:t>
      </w:r>
      <w:r w:rsidRPr="002414E9">
        <w:rPr>
          <w:rFonts w:eastAsia="DengXian" w:cs="Times New Roman"/>
          <w:noProof/>
          <w:lang w:eastAsia="zh-CN"/>
        </w:rPr>
        <w:t xml:space="preserve">Voting for burden sharing rules in public goods games. </w:t>
      </w:r>
      <w:r w:rsidRPr="002414E9">
        <w:rPr>
          <w:rFonts w:eastAsia="DengXian" w:cs="Times New Roman"/>
          <w:i/>
          <w:iCs/>
          <w:noProof/>
          <w:lang w:eastAsia="zh-CN"/>
        </w:rPr>
        <w:t>Environmental and Resource Economics</w:t>
      </w:r>
      <w:r w:rsidRPr="002414E9">
        <w:rPr>
          <w:rFonts w:eastAsia="DengXian" w:cs="Times New Roman"/>
          <w:noProof/>
          <w:lang w:eastAsia="zh-CN"/>
        </w:rPr>
        <w:t xml:space="preserve">, </w:t>
      </w:r>
      <w:r w:rsidRPr="002414E9">
        <w:rPr>
          <w:rFonts w:eastAsia="DengXian" w:cs="Times New Roman"/>
          <w:i/>
          <w:iCs/>
          <w:noProof/>
          <w:lang w:eastAsia="zh-CN"/>
        </w:rPr>
        <w:t>67</w:t>
      </w:r>
      <w:r w:rsidRPr="002414E9">
        <w:rPr>
          <w:rFonts w:eastAsia="DengXian" w:cs="Times New Roman"/>
          <w:noProof/>
          <w:lang w:eastAsia="zh-CN"/>
        </w:rPr>
        <w:t>(3), 535–557. https://doi.org/10.1007/s10640-016-0022-6</w:t>
      </w:r>
    </w:p>
    <w:p w14:paraId="62435A4A" w14:textId="7E7D96B5"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Gallo P. S., &amp; Winchell, J. D. (1970). Matrix indices, large rewards, and cooperative behavior in a Prisoner's Dilemma game. </w:t>
      </w:r>
      <w:r w:rsidRPr="002414E9">
        <w:rPr>
          <w:rFonts w:eastAsia="DengXian" w:cs="Times New Roman"/>
          <w:bCs/>
          <w:i/>
          <w:iCs/>
          <w:noProof/>
          <w:lang w:eastAsia="zh-CN"/>
        </w:rPr>
        <w:t>The Journal of Social Psychology</w:t>
      </w:r>
      <w:r w:rsidRPr="002414E9">
        <w:rPr>
          <w:rFonts w:eastAsia="DengXian" w:cs="Times New Roman"/>
          <w:bCs/>
          <w:noProof/>
          <w:lang w:eastAsia="zh-CN"/>
        </w:rPr>
        <w:t xml:space="preserve">, </w:t>
      </w:r>
      <w:r w:rsidRPr="002414E9">
        <w:rPr>
          <w:rFonts w:eastAsia="DengXian" w:cs="Times New Roman"/>
          <w:bCs/>
          <w:i/>
          <w:iCs/>
          <w:noProof/>
          <w:lang w:eastAsia="zh-CN"/>
        </w:rPr>
        <w:t>81</w:t>
      </w:r>
      <w:r w:rsidRPr="002414E9">
        <w:rPr>
          <w:rFonts w:eastAsia="DengXian" w:cs="Times New Roman"/>
          <w:bCs/>
          <w:noProof/>
          <w:lang w:eastAsia="zh-CN"/>
        </w:rPr>
        <w:t>(2), 235–241. https://doi.org/10.1080/00224545.1970.9922445</w:t>
      </w:r>
    </w:p>
    <w:p w14:paraId="4CEBA9D7" w14:textId="330BA4B3"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it-IT" w:eastAsia="zh-CN"/>
        </w:rPr>
        <w:t xml:space="preserve">Gallo, P. S., &amp; Dale, I. A. (1968). </w:t>
      </w:r>
      <w:r w:rsidRPr="002414E9">
        <w:rPr>
          <w:rFonts w:eastAsia="DengXian" w:cs="Times New Roman"/>
          <w:bCs/>
          <w:noProof/>
          <w:lang w:eastAsia="zh-CN"/>
        </w:rPr>
        <w:t xml:space="preserve">Experimenter bias in the prisoner’s dilemma game. </w:t>
      </w:r>
      <w:r w:rsidRPr="002414E9">
        <w:rPr>
          <w:rFonts w:eastAsia="DengXian" w:cs="Times New Roman"/>
          <w:bCs/>
          <w:i/>
          <w:iCs/>
          <w:noProof/>
          <w:lang w:eastAsia="zh-CN"/>
        </w:rPr>
        <w:t>Psychonomic Science</w:t>
      </w:r>
      <w:r w:rsidRPr="002414E9">
        <w:rPr>
          <w:rFonts w:eastAsia="DengXian" w:cs="Times New Roman"/>
          <w:bCs/>
          <w:noProof/>
          <w:lang w:eastAsia="zh-CN"/>
        </w:rPr>
        <w:t xml:space="preserve">, </w:t>
      </w:r>
      <w:r w:rsidRPr="002414E9">
        <w:rPr>
          <w:rFonts w:eastAsia="DengXian" w:cs="Times New Roman"/>
          <w:bCs/>
          <w:i/>
          <w:iCs/>
          <w:noProof/>
          <w:lang w:eastAsia="zh-CN"/>
        </w:rPr>
        <w:t>13</w:t>
      </w:r>
      <w:r w:rsidRPr="002414E9">
        <w:rPr>
          <w:rFonts w:eastAsia="DengXian" w:cs="Times New Roman"/>
          <w:bCs/>
          <w:noProof/>
          <w:lang w:eastAsia="zh-CN"/>
        </w:rPr>
        <w:t>(6), 340–340. https://doi.org/10.3758/BF03342616</w:t>
      </w:r>
    </w:p>
    <w:p w14:paraId="07DF7899" w14:textId="60BA461C"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it-IT" w:eastAsia="zh-CN"/>
        </w:rPr>
        <w:t xml:space="preserve">Gallo, P. S., Funk, S. G., &amp; Levine, J. R. (1969). </w:t>
      </w:r>
      <w:r w:rsidRPr="002414E9">
        <w:rPr>
          <w:rFonts w:eastAsia="DengXian" w:cs="Times New Roman"/>
          <w:bCs/>
          <w:noProof/>
          <w:lang w:eastAsia="zh-CN"/>
        </w:rPr>
        <w:t xml:space="preserve">Reward size, method of presentation, and number of alternatives in a Prisoner's Dilemma game. </w:t>
      </w:r>
      <w:r w:rsidRPr="002414E9">
        <w:rPr>
          <w:rFonts w:eastAsia="DengXian" w:cs="Times New Roman"/>
          <w:bCs/>
          <w:i/>
          <w:iCs/>
          <w:noProof/>
          <w:lang w:eastAsia="zh-CN"/>
        </w:rPr>
        <w:t>Journal of Personality and Social Psychology, 13</w:t>
      </w:r>
      <w:r w:rsidRPr="002414E9">
        <w:rPr>
          <w:rFonts w:eastAsia="DengXian" w:cs="Times New Roman"/>
          <w:bCs/>
          <w:noProof/>
          <w:lang w:eastAsia="zh-CN"/>
        </w:rPr>
        <w:t>(3), 239–244. https://doi.org/10.1037/h0028283</w:t>
      </w:r>
    </w:p>
    <w:p w14:paraId="232230BE" w14:textId="65208D44"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Gallo, P., &amp; Sheposh, J. (1971). Effects of incentive magnitude on cooperation in the Prisoner's Dilemma game: A reply to Gumpert, Deutsch, and Epstein. </w:t>
      </w:r>
      <w:r w:rsidRPr="002414E9">
        <w:rPr>
          <w:rFonts w:eastAsia="DengXian" w:cs="Times New Roman"/>
          <w:bCs/>
          <w:i/>
          <w:iCs/>
          <w:noProof/>
          <w:lang w:eastAsia="zh-CN"/>
        </w:rPr>
        <w:t xml:space="preserve">Journal of Personality and </w:t>
      </w:r>
      <w:r w:rsidRPr="002414E9">
        <w:rPr>
          <w:rFonts w:eastAsia="DengXian" w:cs="Times New Roman"/>
          <w:bCs/>
          <w:i/>
          <w:iCs/>
          <w:noProof/>
          <w:lang w:eastAsia="zh-CN"/>
        </w:rPr>
        <w:lastRenderedPageBreak/>
        <w:t>Social Psychology, 19</w:t>
      </w:r>
      <w:r w:rsidRPr="002414E9">
        <w:rPr>
          <w:rFonts w:eastAsia="DengXian" w:cs="Times New Roman"/>
          <w:bCs/>
          <w:noProof/>
          <w:lang w:eastAsia="zh-CN"/>
        </w:rPr>
        <w:t>(1), 42–46. https://doi.org/10.1037/h0031092</w:t>
      </w:r>
    </w:p>
    <w:p w14:paraId="71B4B479" w14:textId="2CD8558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Gallucci, M., &amp; Perugini, M. (2000). An experimental test of a game‐theoretical model of reciprocity. </w:t>
      </w:r>
      <w:r w:rsidRPr="002414E9">
        <w:rPr>
          <w:rFonts w:eastAsia="DengXian" w:cs="Times New Roman"/>
          <w:i/>
          <w:iCs/>
          <w:noProof/>
          <w:lang w:eastAsia="zh-CN"/>
        </w:rPr>
        <w:t>Journal of Behavioral Decision Making</w:t>
      </w:r>
      <w:r w:rsidRPr="002414E9">
        <w:rPr>
          <w:rFonts w:eastAsia="DengXian" w:cs="Times New Roman"/>
          <w:noProof/>
          <w:lang w:eastAsia="zh-CN"/>
        </w:rPr>
        <w:t xml:space="preserve">, </w:t>
      </w:r>
      <w:r w:rsidRPr="002414E9">
        <w:rPr>
          <w:rFonts w:eastAsia="DengXian" w:cs="Times New Roman"/>
          <w:i/>
          <w:iCs/>
          <w:noProof/>
          <w:lang w:eastAsia="zh-CN"/>
        </w:rPr>
        <w:t>13</w:t>
      </w:r>
      <w:r w:rsidRPr="002414E9">
        <w:rPr>
          <w:rFonts w:eastAsia="DengXian" w:cs="Times New Roman"/>
          <w:noProof/>
          <w:lang w:eastAsia="zh-CN"/>
        </w:rPr>
        <w:t>(4), 367–389. https://doi.org/10.1002/1099-0771(200010/12)13:4&lt;367::AID-BDM357&gt;3.0.CO;2-9</w:t>
      </w:r>
    </w:p>
    <w:p w14:paraId="3C7C82CA"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Gangadharan, L., &amp; Nikiforakis, N. (2009). Does the size of the action set matter for cooperation?. </w:t>
      </w:r>
      <w:r w:rsidRPr="002414E9">
        <w:rPr>
          <w:rFonts w:eastAsia="DengXian" w:cs="Times New Roman"/>
          <w:i/>
          <w:iCs/>
          <w:noProof/>
          <w:lang w:eastAsia="zh-CN"/>
        </w:rPr>
        <w:t>Economics Letters</w:t>
      </w:r>
      <w:r w:rsidRPr="002414E9">
        <w:rPr>
          <w:rFonts w:eastAsia="DengXian" w:cs="Times New Roman"/>
          <w:noProof/>
          <w:lang w:eastAsia="zh-CN"/>
        </w:rPr>
        <w:t xml:space="preserve">, </w:t>
      </w:r>
      <w:r w:rsidRPr="002414E9">
        <w:rPr>
          <w:rFonts w:eastAsia="DengXian" w:cs="Times New Roman"/>
          <w:i/>
          <w:iCs/>
          <w:noProof/>
          <w:lang w:eastAsia="zh-CN"/>
        </w:rPr>
        <w:t>104</w:t>
      </w:r>
      <w:r w:rsidRPr="002414E9">
        <w:rPr>
          <w:rFonts w:eastAsia="DengXian" w:cs="Times New Roman"/>
          <w:noProof/>
          <w:lang w:eastAsia="zh-CN"/>
        </w:rPr>
        <w:t>(3), 115–117. https://doi.org/10.1016/j.econlet.2009.04.023</w:t>
      </w:r>
    </w:p>
    <w:p w14:paraId="0FB24A8A" w14:textId="0255DE2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Gangadharan, L., Nikiforakis, N., &amp; Villeval, M. C. (2017). Normative conflict and the limits of self-governance in heterogeneous populations. </w:t>
      </w:r>
      <w:r w:rsidRPr="002414E9">
        <w:rPr>
          <w:rFonts w:eastAsia="DengXian" w:cs="Times New Roman"/>
          <w:i/>
          <w:iCs/>
          <w:noProof/>
          <w:lang w:eastAsia="zh-CN"/>
        </w:rPr>
        <w:t>European Economic Review</w:t>
      </w:r>
      <w:r w:rsidRPr="002414E9">
        <w:rPr>
          <w:rFonts w:eastAsia="DengXian" w:cs="Times New Roman"/>
          <w:noProof/>
          <w:lang w:eastAsia="zh-CN"/>
        </w:rPr>
        <w:t xml:space="preserve">, </w:t>
      </w:r>
      <w:r w:rsidRPr="002414E9">
        <w:rPr>
          <w:rFonts w:eastAsia="DengXian" w:cs="Times New Roman"/>
          <w:i/>
          <w:iCs/>
          <w:noProof/>
          <w:lang w:eastAsia="zh-CN"/>
        </w:rPr>
        <w:t>100</w:t>
      </w:r>
      <w:r w:rsidRPr="002414E9">
        <w:rPr>
          <w:rFonts w:eastAsia="DengXian" w:cs="Times New Roman"/>
          <w:noProof/>
          <w:lang w:eastAsia="zh-CN"/>
        </w:rPr>
        <w:t>, 143–156. https://doi.org/10.1016/j.euroecorev.2017.07.013</w:t>
      </w:r>
    </w:p>
    <w:p w14:paraId="45E24ABA" w14:textId="5AA8FA1C" w:rsidR="002414E9" w:rsidRPr="002414E9" w:rsidRDefault="002414E9" w:rsidP="002414E9">
      <w:pPr>
        <w:widowControl w:val="0"/>
        <w:autoSpaceDE w:val="0"/>
        <w:autoSpaceDN w:val="0"/>
        <w:adjustRightInd w:val="0"/>
        <w:ind w:left="709" w:hanging="709"/>
        <w:rPr>
          <w:rFonts w:eastAsia="DengXian" w:cs="Times New Roman"/>
          <w:noProof/>
          <w:lang w:val="it-IT" w:eastAsia="zh-CN"/>
        </w:rPr>
      </w:pPr>
      <w:r w:rsidRPr="002414E9">
        <w:rPr>
          <w:rFonts w:eastAsia="DengXian" w:cs="Times New Roman"/>
          <w:noProof/>
          <w:lang w:eastAsia="zh-CN"/>
        </w:rPr>
        <w:t xml:space="preserve">Gangharan, L., &amp; Nemes, V. (2009). Experimental analysis of risk and uncertainty in provisioning private and public goods. </w:t>
      </w:r>
      <w:r w:rsidRPr="002414E9">
        <w:rPr>
          <w:rFonts w:eastAsia="DengXian" w:cs="Times New Roman"/>
          <w:i/>
          <w:iCs/>
          <w:noProof/>
          <w:lang w:val="it-IT" w:eastAsia="zh-CN"/>
        </w:rPr>
        <w:t>Economic Inquiry</w:t>
      </w:r>
      <w:r w:rsidRPr="002414E9">
        <w:rPr>
          <w:rFonts w:eastAsia="DengXian" w:cs="Times New Roman"/>
          <w:noProof/>
          <w:lang w:val="it-IT" w:eastAsia="zh-CN"/>
        </w:rPr>
        <w:t xml:space="preserve">, </w:t>
      </w:r>
      <w:r w:rsidRPr="002414E9">
        <w:rPr>
          <w:rFonts w:eastAsia="DengXian" w:cs="Times New Roman"/>
          <w:i/>
          <w:iCs/>
          <w:noProof/>
          <w:lang w:val="it-IT" w:eastAsia="zh-CN"/>
        </w:rPr>
        <w:t>47</w:t>
      </w:r>
      <w:r w:rsidRPr="002414E9">
        <w:rPr>
          <w:rFonts w:eastAsia="DengXian" w:cs="Times New Roman"/>
          <w:noProof/>
          <w:lang w:val="it-IT" w:eastAsia="zh-CN"/>
        </w:rPr>
        <w:t>(1), 146–164. https://doi.org/10.1111/j.1465-7295.2007.00118.x</w:t>
      </w:r>
    </w:p>
    <w:p w14:paraId="15599D10" w14:textId="1F8FED2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Gao, P., &amp; Li, C. (2015). Lingdaozhe ziwo xisheng yu qingxu biaoda dui xiashu hezuo de yingxiang [How do leaders promote cooperation? </w:t>
      </w:r>
      <w:r w:rsidRPr="002414E9">
        <w:rPr>
          <w:rFonts w:eastAsia="DengXian" w:cs="Times New Roman"/>
          <w:noProof/>
          <w:lang w:eastAsia="zh-CN"/>
        </w:rPr>
        <w:t xml:space="preserve">The effects of self-sacrifice and emotional expression]. </w:t>
      </w:r>
      <w:r w:rsidRPr="002414E9">
        <w:rPr>
          <w:rFonts w:eastAsia="DengXian" w:cs="Times New Roman"/>
          <w:i/>
          <w:noProof/>
          <w:lang w:eastAsia="zh-CN"/>
        </w:rPr>
        <w:t>Chinese Journal of Management Science, 23</w:t>
      </w:r>
      <w:r w:rsidRPr="002414E9">
        <w:rPr>
          <w:rFonts w:eastAsia="DengXian" w:cs="Times New Roman"/>
          <w:noProof/>
          <w:lang w:eastAsia="zh-CN"/>
        </w:rPr>
        <w:t>(6), 162–168.</w:t>
      </w:r>
    </w:p>
    <w:p w14:paraId="29EB19F9" w14:textId="6F8990A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Gardin, H., Kaplan, K. J., Firestone, I. J., &amp; Cowan, G. A. (1973). Proxemic effects on cooperation, attitude, and approach-avoidance in a Prisoner’s Dilemma game. </w:t>
      </w:r>
      <w:r w:rsidRPr="002414E9">
        <w:rPr>
          <w:rFonts w:eastAsia="DengXian" w:cs="Times New Roman"/>
          <w:i/>
          <w:iCs/>
          <w:noProof/>
          <w:lang w:eastAsia="zh-CN"/>
        </w:rPr>
        <w:t>Journal of Personality and Social Psychology</w:t>
      </w:r>
      <w:r w:rsidRPr="002414E9">
        <w:rPr>
          <w:rFonts w:eastAsia="DengXian" w:cs="Times New Roman"/>
          <w:noProof/>
          <w:lang w:eastAsia="zh-CN"/>
        </w:rPr>
        <w:t xml:space="preserve">, </w:t>
      </w:r>
      <w:r w:rsidRPr="002414E9">
        <w:rPr>
          <w:rFonts w:eastAsia="DengXian" w:cs="Times New Roman"/>
          <w:i/>
          <w:iCs/>
          <w:noProof/>
          <w:lang w:eastAsia="zh-CN"/>
        </w:rPr>
        <w:t>27</w:t>
      </w:r>
      <w:r w:rsidRPr="002414E9">
        <w:rPr>
          <w:rFonts w:eastAsia="DengXian" w:cs="Times New Roman"/>
          <w:noProof/>
          <w:lang w:eastAsia="zh-CN"/>
        </w:rPr>
        <w:t>(1), 13–18. https://doi.org/10.1037/h0034456</w:t>
      </w:r>
    </w:p>
    <w:p w14:paraId="3B5030E9" w14:textId="287E33A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Gargalianou, V., Urbig, D., &amp; Van Witteloostuijn, A. (2017). </w:t>
      </w:r>
      <w:r w:rsidRPr="002414E9">
        <w:rPr>
          <w:rFonts w:eastAsia="DengXian" w:cs="Times New Roman"/>
          <w:noProof/>
          <w:lang w:eastAsia="zh-CN"/>
        </w:rPr>
        <w:t xml:space="preserve">Cooperating or competing in three languages: cultural accommodation or alienation? </w:t>
      </w:r>
      <w:r w:rsidRPr="002414E9">
        <w:rPr>
          <w:rFonts w:eastAsia="DengXian" w:cs="Times New Roman"/>
          <w:i/>
          <w:iCs/>
          <w:noProof/>
          <w:lang w:eastAsia="zh-CN"/>
        </w:rPr>
        <w:t>Cross Cultural &amp; Strategic Management</w:t>
      </w:r>
      <w:r w:rsidRPr="002414E9">
        <w:rPr>
          <w:rFonts w:eastAsia="DengXian" w:cs="Times New Roman"/>
          <w:noProof/>
          <w:lang w:eastAsia="zh-CN"/>
        </w:rPr>
        <w:t xml:space="preserve">, </w:t>
      </w:r>
      <w:r w:rsidRPr="002414E9">
        <w:rPr>
          <w:rFonts w:eastAsia="DengXian" w:cs="Times New Roman"/>
          <w:i/>
          <w:iCs/>
          <w:noProof/>
          <w:lang w:eastAsia="zh-CN"/>
        </w:rPr>
        <w:t>24</w:t>
      </w:r>
      <w:r w:rsidRPr="002414E9">
        <w:rPr>
          <w:rFonts w:eastAsia="DengXian" w:cs="Times New Roman"/>
          <w:noProof/>
          <w:lang w:eastAsia="zh-CN"/>
        </w:rPr>
        <w:t>(1), 167–191. https://doi.org/10.1108/CCSM-01-2016-0008</w:t>
      </w:r>
    </w:p>
    <w:p w14:paraId="0E71311D" w14:textId="0C8F65B8"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Garner, K., &amp; Deutsch, M. (1974). Cooperative behavior in dyads: Effects of dissimilar goal </w:t>
      </w:r>
      <w:r w:rsidRPr="002414E9">
        <w:rPr>
          <w:rFonts w:eastAsia="DengXian" w:cs="Times New Roman"/>
          <w:bCs/>
          <w:noProof/>
          <w:lang w:eastAsia="zh-CN"/>
        </w:rPr>
        <w:lastRenderedPageBreak/>
        <w:t xml:space="preserve">orientations and differing expectations about the partner.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18</w:t>
      </w:r>
      <w:r w:rsidRPr="002414E9">
        <w:rPr>
          <w:rFonts w:eastAsia="DengXian" w:cs="Times New Roman"/>
          <w:bCs/>
          <w:noProof/>
          <w:lang w:eastAsia="zh-CN"/>
        </w:rPr>
        <w:t>(4), 634–645. https://doi.org/10.1177/002200277401800405</w:t>
      </w:r>
    </w:p>
    <w:p w14:paraId="2775F08A" w14:textId="743E04D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Gartzia, L., &amp; Van Knippenberg, D. (2016). </w:t>
      </w:r>
      <w:r w:rsidRPr="002414E9">
        <w:rPr>
          <w:rFonts w:eastAsia="DengXian" w:cs="Times New Roman"/>
          <w:noProof/>
          <w:lang w:eastAsia="zh-CN"/>
        </w:rPr>
        <w:t xml:space="preserve">Too masculine, too bad: Effects of communion on leaders’ promotion of cooperation. </w:t>
      </w:r>
      <w:r w:rsidRPr="002414E9">
        <w:rPr>
          <w:rFonts w:eastAsia="DengXian" w:cs="Times New Roman"/>
          <w:i/>
          <w:iCs/>
          <w:noProof/>
          <w:lang w:eastAsia="zh-CN"/>
        </w:rPr>
        <w:t>Group &amp; Organization Management</w:t>
      </w:r>
      <w:r w:rsidRPr="002414E9">
        <w:rPr>
          <w:rFonts w:eastAsia="DengXian" w:cs="Times New Roman"/>
          <w:noProof/>
          <w:lang w:eastAsia="zh-CN"/>
        </w:rPr>
        <w:t xml:space="preserve">, </w:t>
      </w:r>
      <w:r w:rsidRPr="002414E9">
        <w:rPr>
          <w:rFonts w:eastAsia="DengXian" w:cs="Times New Roman"/>
          <w:i/>
          <w:iCs/>
          <w:noProof/>
          <w:lang w:eastAsia="zh-CN"/>
        </w:rPr>
        <w:t>41</w:t>
      </w:r>
      <w:r w:rsidRPr="002414E9">
        <w:rPr>
          <w:rFonts w:eastAsia="DengXian" w:cs="Times New Roman"/>
          <w:noProof/>
          <w:lang w:eastAsia="zh-CN"/>
        </w:rPr>
        <w:t>(4), 458–490. https://doi.org/10.1177/1059601115583580</w:t>
      </w:r>
    </w:p>
    <w:p w14:paraId="7299B127" w14:textId="0A4CAF1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Garza, R. T., &amp; Borchert, J. E. (1990). </w:t>
      </w:r>
      <w:r w:rsidRPr="002414E9">
        <w:rPr>
          <w:rFonts w:eastAsia="DengXian" w:cs="Times New Roman"/>
          <w:noProof/>
          <w:lang w:eastAsia="zh-CN"/>
        </w:rPr>
        <w:t xml:space="preserve">Maintaining social identity in a mixed-gender setting: Minority/majority status and cooperative/competitive feedback. </w:t>
      </w:r>
      <w:r w:rsidRPr="002414E9">
        <w:rPr>
          <w:rFonts w:eastAsia="DengXian" w:cs="Times New Roman"/>
          <w:i/>
          <w:iCs/>
          <w:noProof/>
          <w:lang w:eastAsia="zh-CN"/>
        </w:rPr>
        <w:t>Sex Roles</w:t>
      </w:r>
      <w:r w:rsidRPr="002414E9">
        <w:rPr>
          <w:rFonts w:eastAsia="DengXian" w:cs="Times New Roman"/>
          <w:noProof/>
          <w:lang w:eastAsia="zh-CN"/>
        </w:rPr>
        <w:t xml:space="preserve">, </w:t>
      </w:r>
      <w:r w:rsidRPr="002414E9">
        <w:rPr>
          <w:rFonts w:eastAsia="DengXian" w:cs="Times New Roman"/>
          <w:i/>
          <w:iCs/>
          <w:noProof/>
          <w:lang w:eastAsia="zh-CN"/>
        </w:rPr>
        <w:t>22</w:t>
      </w:r>
      <w:r w:rsidRPr="002414E9">
        <w:rPr>
          <w:rFonts w:eastAsia="DengXian" w:cs="Times New Roman"/>
          <w:noProof/>
          <w:lang w:eastAsia="zh-CN"/>
        </w:rPr>
        <w:t>, 679–691. https://doi.org/10.1007/BF00292054</w:t>
      </w:r>
    </w:p>
    <w:p w14:paraId="0D2E08E7" w14:textId="3AE6EFA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Gatiso, T. T., &amp; Vollan, B. (2017). </w:t>
      </w:r>
      <w:r w:rsidRPr="002414E9">
        <w:rPr>
          <w:rFonts w:eastAsia="DengXian" w:cs="Times New Roman"/>
          <w:noProof/>
          <w:lang w:eastAsia="zh-CN"/>
        </w:rPr>
        <w:t xml:space="preserve">Democracy and cooperation in commons management: Experimental evidence of representative and direct democracy from community forests in Ethiopia. </w:t>
      </w:r>
      <w:r w:rsidRPr="002414E9">
        <w:rPr>
          <w:rFonts w:eastAsia="DengXian" w:cs="Times New Roman"/>
          <w:i/>
          <w:iCs/>
          <w:noProof/>
          <w:lang w:eastAsia="zh-CN"/>
        </w:rPr>
        <w:t>Environment and Development Economics</w:t>
      </w:r>
      <w:r w:rsidRPr="002414E9">
        <w:rPr>
          <w:rFonts w:eastAsia="DengXian" w:cs="Times New Roman"/>
          <w:noProof/>
          <w:lang w:eastAsia="zh-CN"/>
        </w:rPr>
        <w:t xml:space="preserve">, </w:t>
      </w:r>
      <w:r w:rsidRPr="002414E9">
        <w:rPr>
          <w:rFonts w:eastAsia="DengXian" w:cs="Times New Roman"/>
          <w:i/>
          <w:iCs/>
          <w:noProof/>
          <w:lang w:eastAsia="zh-CN"/>
        </w:rPr>
        <w:t>22</w:t>
      </w:r>
      <w:r w:rsidRPr="002414E9">
        <w:rPr>
          <w:rFonts w:eastAsia="DengXian" w:cs="Times New Roman"/>
          <w:noProof/>
          <w:lang w:eastAsia="zh-CN"/>
        </w:rPr>
        <w:t>(2), 110–132. https://doi.org/10.1017/S1355770X16000322</w:t>
      </w:r>
    </w:p>
    <w:p w14:paraId="3A183067" w14:textId="4883FC9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Gaudeul, A., &amp; Giannetti, C. (2017). The effect of privacy concerns on social network formation.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141</w:t>
      </w:r>
      <w:r w:rsidRPr="002414E9">
        <w:rPr>
          <w:rFonts w:eastAsia="DengXian" w:cs="Times New Roman"/>
          <w:noProof/>
          <w:lang w:eastAsia="zh-CN"/>
        </w:rPr>
        <w:t>, 233–253. https://doi.org/10.1016/j.jebo.2017.07.007</w:t>
      </w:r>
    </w:p>
    <w:p w14:paraId="4D05B8E2" w14:textId="0A7EAF96"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Geiwitz, P. J. (1967). The effects of threats on prisoner's dilemma. </w:t>
      </w:r>
      <w:r w:rsidRPr="002414E9">
        <w:rPr>
          <w:rFonts w:eastAsia="DengXian" w:cs="Times New Roman"/>
          <w:bCs/>
          <w:i/>
          <w:iCs/>
          <w:noProof/>
          <w:lang w:eastAsia="zh-CN"/>
        </w:rPr>
        <w:t>Behavioral Science, 12</w:t>
      </w:r>
      <w:r w:rsidRPr="002414E9">
        <w:rPr>
          <w:rFonts w:eastAsia="DengXian" w:cs="Times New Roman"/>
          <w:bCs/>
          <w:noProof/>
          <w:lang w:eastAsia="zh-CN"/>
        </w:rPr>
        <w:t>(3), 232–233. https://doi.org/10.1002/bs.3830120307</w:t>
      </w:r>
    </w:p>
    <w:p w14:paraId="6F928B4B" w14:textId="3922C8D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Gerbasi, M. E., &amp; Prentice, D. A. (2013). </w:t>
      </w:r>
      <w:r w:rsidRPr="002414E9">
        <w:rPr>
          <w:rFonts w:eastAsia="DengXian" w:cs="Times New Roman"/>
          <w:noProof/>
          <w:lang w:eastAsia="zh-CN"/>
        </w:rPr>
        <w:t xml:space="preserve">The self- and other-interest inventory. </w:t>
      </w:r>
      <w:r w:rsidRPr="002414E9">
        <w:rPr>
          <w:rFonts w:eastAsia="DengXian" w:cs="Times New Roman"/>
          <w:i/>
          <w:iCs/>
          <w:noProof/>
          <w:lang w:eastAsia="zh-CN"/>
        </w:rPr>
        <w:t>Journal of Personality and Social Psychology</w:t>
      </w:r>
      <w:r w:rsidRPr="002414E9">
        <w:rPr>
          <w:rFonts w:eastAsia="DengXian" w:cs="Times New Roman"/>
          <w:noProof/>
          <w:lang w:eastAsia="zh-CN"/>
        </w:rPr>
        <w:t xml:space="preserve">, </w:t>
      </w:r>
      <w:r w:rsidRPr="002414E9">
        <w:rPr>
          <w:rFonts w:eastAsia="DengXian" w:cs="Times New Roman"/>
          <w:i/>
          <w:iCs/>
          <w:noProof/>
          <w:lang w:eastAsia="zh-CN"/>
        </w:rPr>
        <w:t>105</w:t>
      </w:r>
      <w:r w:rsidRPr="002414E9">
        <w:rPr>
          <w:rFonts w:eastAsia="DengXian" w:cs="Times New Roman"/>
          <w:noProof/>
          <w:lang w:eastAsia="zh-CN"/>
        </w:rPr>
        <w:t>(3), 495–514. https://doi.org/10.1037/a0033483</w:t>
      </w:r>
    </w:p>
    <w:p w14:paraId="63F6AA3D" w14:textId="067F8E3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Gerkey, D. (2013). Cooperation in context. </w:t>
      </w:r>
      <w:r w:rsidRPr="002414E9">
        <w:rPr>
          <w:rFonts w:eastAsia="DengXian" w:cs="Times New Roman"/>
          <w:i/>
          <w:iCs/>
          <w:noProof/>
          <w:lang w:eastAsia="zh-CN"/>
        </w:rPr>
        <w:t>Current Anthropology</w:t>
      </w:r>
      <w:r w:rsidRPr="002414E9">
        <w:rPr>
          <w:rFonts w:eastAsia="DengXian" w:cs="Times New Roman"/>
          <w:noProof/>
          <w:lang w:eastAsia="zh-CN"/>
        </w:rPr>
        <w:t xml:space="preserve">, </w:t>
      </w:r>
      <w:r w:rsidRPr="002414E9">
        <w:rPr>
          <w:rFonts w:eastAsia="DengXian" w:cs="Times New Roman"/>
          <w:i/>
          <w:iCs/>
          <w:noProof/>
          <w:lang w:eastAsia="zh-CN"/>
        </w:rPr>
        <w:t>54</w:t>
      </w:r>
      <w:r w:rsidRPr="002414E9">
        <w:rPr>
          <w:rFonts w:eastAsia="DengXian" w:cs="Times New Roman"/>
          <w:noProof/>
          <w:lang w:eastAsia="zh-CN"/>
        </w:rPr>
        <w:t>(2), 144–176. https://doi.org/10.1086/669856</w:t>
      </w:r>
    </w:p>
    <w:p w14:paraId="08EDD8E1" w14:textId="667E961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Gerkey, D., Barr, A., Baumard, N., Campo, J. C. C., Heintz, C., Purzycki, B. G., Sosis, R., Tucker, B., Wutich, A., &amp; Ziker, J. P. (2013). Cooperation in context: Public goods </w:t>
      </w:r>
      <w:r w:rsidRPr="002414E9">
        <w:rPr>
          <w:rFonts w:eastAsia="DengXian" w:cs="Times New Roman"/>
          <w:noProof/>
          <w:lang w:eastAsia="zh-CN"/>
        </w:rPr>
        <w:lastRenderedPageBreak/>
        <w:t xml:space="preserve">games and post-Soviet collectives in Kamchatka, Russia. </w:t>
      </w:r>
      <w:r w:rsidRPr="002414E9">
        <w:rPr>
          <w:rFonts w:eastAsia="DengXian" w:cs="Times New Roman"/>
          <w:i/>
          <w:iCs/>
          <w:noProof/>
          <w:lang w:eastAsia="zh-CN"/>
        </w:rPr>
        <w:t>Current Anthropology</w:t>
      </w:r>
      <w:r w:rsidRPr="002414E9">
        <w:rPr>
          <w:rFonts w:eastAsia="DengXian" w:cs="Times New Roman"/>
          <w:noProof/>
          <w:lang w:eastAsia="zh-CN"/>
        </w:rPr>
        <w:t xml:space="preserve">, </w:t>
      </w:r>
      <w:r w:rsidRPr="002414E9">
        <w:rPr>
          <w:rFonts w:eastAsia="DengXian" w:cs="Times New Roman"/>
          <w:i/>
          <w:iCs/>
          <w:noProof/>
          <w:lang w:eastAsia="zh-CN"/>
        </w:rPr>
        <w:t>54</w:t>
      </w:r>
      <w:r w:rsidRPr="002414E9">
        <w:rPr>
          <w:rFonts w:eastAsia="DengXian" w:cs="Times New Roman"/>
          <w:noProof/>
          <w:lang w:eastAsia="zh-CN"/>
        </w:rPr>
        <w:t>(2), 144–176. https://doi.org/10.1086/669856</w:t>
      </w:r>
    </w:p>
    <w:p w14:paraId="27A5E6BD" w14:textId="2151A5BD"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Gervais, M. M., Kline, M., Ludmer, M., George, R., &amp; Manson, J. H. (2013). </w:t>
      </w:r>
      <w:r w:rsidRPr="002414E9">
        <w:rPr>
          <w:rFonts w:eastAsia="DengXian" w:cs="Times New Roman"/>
          <w:bCs/>
          <w:noProof/>
          <w:lang w:eastAsia="zh-CN"/>
        </w:rPr>
        <w:t xml:space="preserve">The strategy of psychopathy: Primary psychopathic traits predict defection on low-value relationships. </w:t>
      </w:r>
      <w:r w:rsidRPr="002414E9">
        <w:rPr>
          <w:rFonts w:eastAsia="DengXian" w:cs="Times New Roman"/>
          <w:bCs/>
          <w:i/>
          <w:iCs/>
          <w:noProof/>
          <w:lang w:eastAsia="zh-CN"/>
        </w:rPr>
        <w:t>Proceedings of the Royal Society B: Biological Sciences</w:t>
      </w:r>
      <w:r w:rsidRPr="002414E9">
        <w:rPr>
          <w:rFonts w:eastAsia="DengXian" w:cs="Times New Roman"/>
          <w:bCs/>
          <w:noProof/>
          <w:lang w:eastAsia="zh-CN"/>
        </w:rPr>
        <w:t xml:space="preserve">, </w:t>
      </w:r>
      <w:r w:rsidRPr="002414E9">
        <w:rPr>
          <w:rFonts w:eastAsia="DengXian" w:cs="Times New Roman"/>
          <w:bCs/>
          <w:i/>
          <w:iCs/>
          <w:noProof/>
          <w:lang w:eastAsia="zh-CN"/>
        </w:rPr>
        <w:t>280</w:t>
      </w:r>
      <w:r w:rsidRPr="002414E9">
        <w:rPr>
          <w:rFonts w:eastAsia="DengXian" w:cs="Times New Roman"/>
          <w:bCs/>
          <w:noProof/>
          <w:lang w:eastAsia="zh-CN"/>
        </w:rPr>
        <w:t>(1757), 20122773. https://doi.org/10.1098/rspb.2012.2773</w:t>
      </w:r>
    </w:p>
    <w:p w14:paraId="2291A093" w14:textId="544FF6E9" w:rsidR="002414E9" w:rsidRPr="002414E9" w:rsidRDefault="002414E9" w:rsidP="002414E9">
      <w:pPr>
        <w:widowControl w:val="0"/>
        <w:autoSpaceDE w:val="0"/>
        <w:autoSpaceDN w:val="0"/>
        <w:adjustRightInd w:val="0"/>
        <w:ind w:left="709" w:hanging="709"/>
        <w:rPr>
          <w:rFonts w:eastAsia="DengXian" w:cs="Times New Roman"/>
          <w:noProof/>
          <w:lang w:val="de-DE" w:eastAsia="zh-CN"/>
        </w:rPr>
      </w:pPr>
      <w:r w:rsidRPr="002414E9">
        <w:rPr>
          <w:rFonts w:eastAsia="DengXian" w:cs="Times New Roman"/>
          <w:noProof/>
          <w:lang w:val="de-DE" w:eastAsia="zh-CN"/>
        </w:rPr>
        <w:t xml:space="preserve">Glöckner, A., &amp; Hilbig, B. E. (2012). </w:t>
      </w:r>
      <w:r w:rsidRPr="002414E9">
        <w:rPr>
          <w:rFonts w:eastAsia="DengXian" w:cs="Times New Roman"/>
          <w:noProof/>
          <w:lang w:eastAsia="zh-CN"/>
        </w:rPr>
        <w:t xml:space="preserve">Risk is relative: Risk aversion yields cooperation rather than defection in cooperation-friendly environments. </w:t>
      </w:r>
      <w:r w:rsidRPr="002414E9">
        <w:rPr>
          <w:rFonts w:eastAsia="DengXian" w:cs="Times New Roman"/>
          <w:i/>
          <w:iCs/>
          <w:noProof/>
          <w:lang w:val="de-DE" w:eastAsia="zh-CN"/>
        </w:rPr>
        <w:t>Psychonomic Bulletin &amp; Review</w:t>
      </w:r>
      <w:r w:rsidRPr="002414E9">
        <w:rPr>
          <w:rFonts w:eastAsia="DengXian" w:cs="Times New Roman"/>
          <w:noProof/>
          <w:lang w:val="de-DE" w:eastAsia="zh-CN"/>
        </w:rPr>
        <w:t xml:space="preserve">, </w:t>
      </w:r>
      <w:r w:rsidRPr="002414E9">
        <w:rPr>
          <w:rFonts w:eastAsia="DengXian" w:cs="Times New Roman"/>
          <w:i/>
          <w:iCs/>
          <w:noProof/>
          <w:lang w:val="de-DE" w:eastAsia="zh-CN"/>
        </w:rPr>
        <w:t>19</w:t>
      </w:r>
      <w:r w:rsidRPr="002414E9">
        <w:rPr>
          <w:rFonts w:eastAsia="DengXian" w:cs="Times New Roman"/>
          <w:noProof/>
          <w:lang w:val="de-DE" w:eastAsia="zh-CN"/>
        </w:rPr>
        <w:t>, 546–553. https://doi.org/10.3758/s13423-012-0224-z</w:t>
      </w:r>
    </w:p>
    <w:p w14:paraId="47C9FEEB" w14:textId="1AC02BC7" w:rsidR="002414E9" w:rsidRPr="002414E9" w:rsidRDefault="002414E9" w:rsidP="002414E9">
      <w:pPr>
        <w:widowControl w:val="0"/>
        <w:autoSpaceDE w:val="0"/>
        <w:autoSpaceDN w:val="0"/>
        <w:adjustRightInd w:val="0"/>
        <w:ind w:left="709" w:hanging="709"/>
        <w:rPr>
          <w:rFonts w:eastAsia="DengXian" w:cs="Times New Roman"/>
          <w:noProof/>
          <w:lang w:val="it-IT" w:eastAsia="zh-CN"/>
        </w:rPr>
      </w:pPr>
      <w:r w:rsidRPr="002414E9">
        <w:rPr>
          <w:rFonts w:eastAsia="DengXian" w:cs="Times New Roman"/>
          <w:noProof/>
          <w:lang w:val="de-DE" w:eastAsia="zh-CN"/>
        </w:rPr>
        <w:t xml:space="preserve">Glöckner, A., Irlenbusch, B., Kube, S., Nicklisch, A., &amp; Normann, H.-T. (2011). </w:t>
      </w:r>
      <w:r w:rsidRPr="002414E9">
        <w:rPr>
          <w:rFonts w:eastAsia="DengXian" w:cs="Times New Roman"/>
          <w:noProof/>
          <w:lang w:eastAsia="zh-CN"/>
        </w:rPr>
        <w:t xml:space="preserve">Leading with(out) sacrifice? A public-goods experiment with a privileged player. </w:t>
      </w:r>
      <w:r w:rsidRPr="002414E9">
        <w:rPr>
          <w:rFonts w:eastAsia="DengXian" w:cs="Times New Roman"/>
          <w:i/>
          <w:iCs/>
          <w:noProof/>
          <w:lang w:val="it-IT" w:eastAsia="zh-CN"/>
        </w:rPr>
        <w:t>Economic Inquiry</w:t>
      </w:r>
      <w:r w:rsidRPr="002414E9">
        <w:rPr>
          <w:rFonts w:eastAsia="DengXian" w:cs="Times New Roman"/>
          <w:noProof/>
          <w:lang w:val="it-IT" w:eastAsia="zh-CN"/>
        </w:rPr>
        <w:t xml:space="preserve">, </w:t>
      </w:r>
      <w:r w:rsidRPr="002414E9">
        <w:rPr>
          <w:rFonts w:eastAsia="DengXian" w:cs="Times New Roman"/>
          <w:i/>
          <w:iCs/>
          <w:noProof/>
          <w:lang w:val="it-IT" w:eastAsia="zh-CN"/>
        </w:rPr>
        <w:t>49</w:t>
      </w:r>
      <w:r w:rsidRPr="002414E9">
        <w:rPr>
          <w:rFonts w:eastAsia="DengXian" w:cs="Times New Roman"/>
          <w:noProof/>
          <w:lang w:val="it-IT" w:eastAsia="zh-CN"/>
        </w:rPr>
        <w:t>(2), 591–597. https://doi.org/10.1111/j.1465-7295.2010.00314.x</w:t>
      </w:r>
    </w:p>
    <w:p w14:paraId="1F1579F2" w14:textId="2EA331F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s-ES" w:eastAsia="zh-CN"/>
        </w:rPr>
        <w:t xml:space="preserve">Godoy, S., Morales, A. J., &amp; Rodero, J. (2013). </w:t>
      </w:r>
      <w:r w:rsidRPr="002414E9">
        <w:rPr>
          <w:rFonts w:eastAsia="DengXian" w:cs="Times New Roman"/>
          <w:noProof/>
          <w:lang w:eastAsia="zh-CN"/>
        </w:rPr>
        <w:t xml:space="preserve">Competition lessens competition: an experimental investigation of simultaneous participation in a public good game and a lottery contest game with shared endowment. </w:t>
      </w:r>
      <w:r w:rsidRPr="002414E9">
        <w:rPr>
          <w:rFonts w:eastAsia="DengXian" w:cs="Times New Roman"/>
          <w:i/>
          <w:iCs/>
          <w:noProof/>
          <w:lang w:eastAsia="zh-CN"/>
        </w:rPr>
        <w:t>Economics Letters</w:t>
      </w:r>
      <w:r w:rsidRPr="002414E9">
        <w:rPr>
          <w:rFonts w:eastAsia="DengXian" w:cs="Times New Roman"/>
          <w:noProof/>
          <w:lang w:eastAsia="zh-CN"/>
        </w:rPr>
        <w:t xml:space="preserve">, </w:t>
      </w:r>
      <w:r w:rsidRPr="002414E9">
        <w:rPr>
          <w:rFonts w:eastAsia="DengXian" w:cs="Times New Roman"/>
          <w:i/>
          <w:iCs/>
          <w:noProof/>
          <w:lang w:eastAsia="zh-CN"/>
        </w:rPr>
        <w:t>120</w:t>
      </w:r>
      <w:r w:rsidRPr="002414E9">
        <w:rPr>
          <w:rFonts w:eastAsia="DengXian" w:cs="Times New Roman"/>
          <w:noProof/>
          <w:lang w:eastAsia="zh-CN"/>
        </w:rPr>
        <w:t>(3), 419–423. https://doi.org/10.1016/j.econlet.2013.05.021</w:t>
      </w:r>
    </w:p>
    <w:p w14:paraId="15F3FB87" w14:textId="45C1127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Goeree, J. K., Holt, C. A., &amp; Laury, S. K. (2002). Private costs and public benefits: unraveling the effects of altruism and noisy behavior.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83</w:t>
      </w:r>
      <w:r w:rsidRPr="002414E9">
        <w:rPr>
          <w:rFonts w:eastAsia="DengXian" w:cs="Times New Roman"/>
          <w:noProof/>
          <w:lang w:eastAsia="zh-CN"/>
        </w:rPr>
        <w:t>(2), 255–276. https://doi.org/10.1016/S0047-2727(00)00160-2</w:t>
      </w:r>
    </w:p>
    <w:p w14:paraId="4C052FE0" w14:textId="1AEF615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Goerg, S. J., &amp; Walkowitz, G. (2010). </w:t>
      </w:r>
      <w:r w:rsidRPr="002414E9">
        <w:rPr>
          <w:rFonts w:eastAsia="DengXian" w:cs="Times New Roman"/>
          <w:noProof/>
          <w:lang w:eastAsia="zh-CN"/>
        </w:rPr>
        <w:t xml:space="preserve">On the prevalence of framing effects across subject-pools in a two-person cooperation game. </w:t>
      </w:r>
      <w:r w:rsidRPr="002414E9">
        <w:rPr>
          <w:rFonts w:eastAsia="DengXian" w:cs="Times New Roman"/>
          <w:i/>
          <w:iCs/>
          <w:noProof/>
          <w:lang w:eastAsia="zh-CN"/>
        </w:rPr>
        <w:t>Journal of Economic Psychology</w:t>
      </w:r>
      <w:r w:rsidRPr="002414E9">
        <w:rPr>
          <w:rFonts w:eastAsia="DengXian" w:cs="Times New Roman"/>
          <w:noProof/>
          <w:lang w:eastAsia="zh-CN"/>
        </w:rPr>
        <w:t xml:space="preserve">, </w:t>
      </w:r>
      <w:r w:rsidRPr="002414E9">
        <w:rPr>
          <w:rFonts w:eastAsia="DengXian" w:cs="Times New Roman"/>
          <w:i/>
          <w:iCs/>
          <w:noProof/>
          <w:lang w:eastAsia="zh-CN"/>
        </w:rPr>
        <w:t>31</w:t>
      </w:r>
      <w:r w:rsidRPr="002414E9">
        <w:rPr>
          <w:rFonts w:eastAsia="DengXian" w:cs="Times New Roman"/>
          <w:noProof/>
          <w:lang w:eastAsia="zh-CN"/>
        </w:rPr>
        <w:t>(6), 849–859. https://doi.org/10.1016/j.joep.2010.06.001</w:t>
      </w:r>
    </w:p>
    <w:p w14:paraId="7E0A894D" w14:textId="6C75F9D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Goeschl, T., &amp; Jarke, J. (2016). Second and third party punishment under costly monitoring. </w:t>
      </w:r>
      <w:r w:rsidRPr="002414E9">
        <w:rPr>
          <w:rFonts w:eastAsia="DengXian" w:cs="Times New Roman"/>
          <w:i/>
          <w:iCs/>
          <w:noProof/>
          <w:lang w:eastAsia="zh-CN"/>
        </w:rPr>
        <w:lastRenderedPageBreak/>
        <w:t>Journal of Economic Psychology</w:t>
      </w:r>
      <w:r w:rsidRPr="002414E9">
        <w:rPr>
          <w:rFonts w:eastAsia="DengXian" w:cs="Times New Roman"/>
          <w:noProof/>
          <w:lang w:eastAsia="zh-CN"/>
        </w:rPr>
        <w:t xml:space="preserve">, </w:t>
      </w:r>
      <w:r w:rsidRPr="002414E9">
        <w:rPr>
          <w:rFonts w:eastAsia="DengXian" w:cs="Times New Roman"/>
          <w:i/>
          <w:iCs/>
          <w:noProof/>
          <w:lang w:eastAsia="zh-CN"/>
        </w:rPr>
        <w:t>54</w:t>
      </w:r>
      <w:r w:rsidRPr="002414E9">
        <w:rPr>
          <w:rFonts w:eastAsia="DengXian" w:cs="Times New Roman"/>
          <w:noProof/>
          <w:lang w:eastAsia="zh-CN"/>
        </w:rPr>
        <w:t>, 124–133. https://doi.org/10.1016/j.joep.2016.03.002</w:t>
      </w:r>
    </w:p>
    <w:p w14:paraId="75424282" w14:textId="04FF29B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Goette, L., Huffman, D., &amp; Meier, S. (2006). The impact of group membership on cooperation and norm enforcement: Evidence using random assignment to real social groups. </w:t>
      </w:r>
      <w:r w:rsidRPr="002414E9">
        <w:rPr>
          <w:rFonts w:eastAsia="DengXian" w:cs="Times New Roman"/>
          <w:i/>
          <w:iCs/>
          <w:noProof/>
          <w:lang w:eastAsia="zh-CN"/>
        </w:rPr>
        <w:t>American Economic Review</w:t>
      </w:r>
      <w:r w:rsidRPr="002414E9">
        <w:rPr>
          <w:rFonts w:eastAsia="DengXian" w:cs="Times New Roman"/>
          <w:noProof/>
          <w:lang w:eastAsia="zh-CN"/>
        </w:rPr>
        <w:t xml:space="preserve">, </w:t>
      </w:r>
      <w:r w:rsidRPr="002414E9">
        <w:rPr>
          <w:rFonts w:eastAsia="DengXian" w:cs="Times New Roman"/>
          <w:i/>
          <w:iCs/>
          <w:noProof/>
          <w:lang w:eastAsia="zh-CN"/>
        </w:rPr>
        <w:t>96</w:t>
      </w:r>
      <w:r w:rsidRPr="002414E9">
        <w:rPr>
          <w:rFonts w:eastAsia="DengXian" w:cs="Times New Roman"/>
          <w:noProof/>
          <w:lang w:eastAsia="zh-CN"/>
        </w:rPr>
        <w:t>(2), 212–216. https://doi.org/10.1257/000282806777211658</w:t>
      </w:r>
    </w:p>
    <w:p w14:paraId="09FE7907" w14:textId="4BEF2AC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Goette, L., Huffman, D., &amp; Meier, S. (2012). The impact of social ties on group interactions: Evidence from minimal groups and randomly assigned real groups. </w:t>
      </w:r>
      <w:r w:rsidRPr="002414E9">
        <w:rPr>
          <w:rFonts w:eastAsia="DengXian" w:cs="Times New Roman"/>
          <w:i/>
          <w:iCs/>
          <w:noProof/>
          <w:lang w:eastAsia="zh-CN"/>
        </w:rPr>
        <w:t>American Economic Journal: Microeconomics</w:t>
      </w:r>
      <w:r w:rsidRPr="002414E9">
        <w:rPr>
          <w:rFonts w:eastAsia="DengXian" w:cs="Times New Roman"/>
          <w:noProof/>
          <w:lang w:eastAsia="zh-CN"/>
        </w:rPr>
        <w:t xml:space="preserve">, </w:t>
      </w:r>
      <w:r w:rsidRPr="002414E9">
        <w:rPr>
          <w:rFonts w:eastAsia="DengXian" w:cs="Times New Roman"/>
          <w:i/>
          <w:iCs/>
          <w:noProof/>
          <w:lang w:eastAsia="zh-CN"/>
        </w:rPr>
        <w:t>4</w:t>
      </w:r>
      <w:r w:rsidRPr="002414E9">
        <w:rPr>
          <w:rFonts w:eastAsia="DengXian" w:cs="Times New Roman"/>
          <w:noProof/>
          <w:lang w:eastAsia="zh-CN"/>
        </w:rPr>
        <w:t>(1), 101–115. https://doi.org/10.1257/mic.4.1.101</w:t>
      </w:r>
    </w:p>
    <w:p w14:paraId="0275C881" w14:textId="3148754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Gollwitzer, M., Rothmund, T., Pfeiffer, A., &amp; Ensenbach, C. (2009). </w:t>
      </w:r>
      <w:r w:rsidRPr="002414E9">
        <w:rPr>
          <w:rFonts w:eastAsia="DengXian" w:cs="Times New Roman"/>
          <w:noProof/>
          <w:lang w:eastAsia="zh-CN"/>
        </w:rPr>
        <w:t xml:space="preserve">Why and when justice sensitivity leads to pro- and antisocial behavior. </w:t>
      </w:r>
      <w:r w:rsidRPr="002414E9">
        <w:rPr>
          <w:rFonts w:eastAsia="DengXian" w:cs="Times New Roman"/>
          <w:i/>
          <w:iCs/>
          <w:noProof/>
          <w:lang w:eastAsia="zh-CN"/>
        </w:rPr>
        <w:t>Journal of Research in Personality</w:t>
      </w:r>
      <w:r w:rsidRPr="002414E9">
        <w:rPr>
          <w:rFonts w:eastAsia="DengXian" w:cs="Times New Roman"/>
          <w:noProof/>
          <w:lang w:eastAsia="zh-CN"/>
        </w:rPr>
        <w:t xml:space="preserve">, </w:t>
      </w:r>
      <w:r w:rsidRPr="002414E9">
        <w:rPr>
          <w:rFonts w:eastAsia="DengXian" w:cs="Times New Roman"/>
          <w:i/>
          <w:iCs/>
          <w:noProof/>
          <w:lang w:eastAsia="zh-CN"/>
        </w:rPr>
        <w:t>43</w:t>
      </w:r>
      <w:r w:rsidRPr="002414E9">
        <w:rPr>
          <w:rFonts w:eastAsia="DengXian" w:cs="Times New Roman"/>
          <w:noProof/>
          <w:lang w:eastAsia="zh-CN"/>
        </w:rPr>
        <w:t>(6), 999–1005. https://doi.org/10.1016/j.jrp.2009.07.003</w:t>
      </w:r>
    </w:p>
    <w:p w14:paraId="7B99B0DC" w14:textId="43C7D0A0"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Gong, M., Baron, J., &amp; Kunreuther, H. (2009). Group cooperation under uncertainty. </w:t>
      </w:r>
      <w:r w:rsidRPr="002414E9">
        <w:rPr>
          <w:rFonts w:eastAsia="DengXian" w:cs="Times New Roman"/>
          <w:bCs/>
          <w:i/>
          <w:iCs/>
          <w:noProof/>
          <w:lang w:eastAsia="zh-CN"/>
        </w:rPr>
        <w:t>Journal of Risk and Uncertainty</w:t>
      </w:r>
      <w:r w:rsidRPr="002414E9">
        <w:rPr>
          <w:rFonts w:eastAsia="DengXian" w:cs="Times New Roman"/>
          <w:bCs/>
          <w:noProof/>
          <w:lang w:eastAsia="zh-CN"/>
        </w:rPr>
        <w:t xml:space="preserve">, </w:t>
      </w:r>
      <w:r w:rsidRPr="002414E9">
        <w:rPr>
          <w:rFonts w:eastAsia="DengXian" w:cs="Times New Roman"/>
          <w:bCs/>
          <w:i/>
          <w:iCs/>
          <w:noProof/>
          <w:lang w:eastAsia="zh-CN"/>
        </w:rPr>
        <w:t>39</w:t>
      </w:r>
      <w:r w:rsidRPr="002414E9">
        <w:rPr>
          <w:rFonts w:eastAsia="DengXian" w:cs="Times New Roman"/>
          <w:bCs/>
          <w:noProof/>
          <w:lang w:eastAsia="zh-CN"/>
        </w:rPr>
        <w:t>(3), 251–270. https://doi.org/10.1007/s11166-009-9080-2</w:t>
      </w:r>
    </w:p>
    <w:p w14:paraId="5222EA60" w14:textId="639B6DED" w:rsidR="002414E9" w:rsidRPr="002414E9" w:rsidRDefault="002414E9" w:rsidP="002414E9">
      <w:pPr>
        <w:widowControl w:val="0"/>
        <w:autoSpaceDE w:val="0"/>
        <w:autoSpaceDN w:val="0"/>
        <w:adjustRightInd w:val="0"/>
        <w:ind w:left="709" w:hanging="709"/>
        <w:rPr>
          <w:rFonts w:eastAsia="DengXian" w:cs="Times New Roman"/>
          <w:noProof/>
          <w:lang w:val="es-ES" w:eastAsia="zh-CN"/>
        </w:rPr>
      </w:pPr>
      <w:r w:rsidRPr="002414E9">
        <w:rPr>
          <w:rFonts w:eastAsia="DengXian" w:cs="Times New Roman"/>
          <w:noProof/>
          <w:lang w:eastAsia="zh-CN"/>
        </w:rPr>
        <w:t xml:space="preserve">Gong, M., Baron, J., &amp; Kunreuther, H. (2013). Why do groups cooperate more than individuals to reduce risks? </w:t>
      </w:r>
      <w:r w:rsidRPr="002414E9">
        <w:rPr>
          <w:rFonts w:eastAsia="DengXian" w:cs="Times New Roman"/>
          <w:i/>
          <w:iCs/>
          <w:noProof/>
          <w:lang w:val="es-ES" w:eastAsia="zh-CN"/>
        </w:rPr>
        <w:t>Theory and Decision</w:t>
      </w:r>
      <w:r w:rsidRPr="002414E9">
        <w:rPr>
          <w:rFonts w:eastAsia="DengXian" w:cs="Times New Roman"/>
          <w:noProof/>
          <w:lang w:val="es-ES" w:eastAsia="zh-CN"/>
        </w:rPr>
        <w:t xml:space="preserve">, </w:t>
      </w:r>
      <w:r w:rsidRPr="002414E9">
        <w:rPr>
          <w:rFonts w:eastAsia="DengXian" w:cs="Times New Roman"/>
          <w:i/>
          <w:iCs/>
          <w:noProof/>
          <w:lang w:val="es-ES" w:eastAsia="zh-CN"/>
        </w:rPr>
        <w:t>75</w:t>
      </w:r>
      <w:r w:rsidRPr="002414E9">
        <w:rPr>
          <w:rFonts w:eastAsia="DengXian" w:cs="Times New Roman"/>
          <w:noProof/>
          <w:lang w:val="es-ES" w:eastAsia="zh-CN"/>
        </w:rPr>
        <w:t>, 101–116. https://doi.org/10.1007/s11238-012-9318-3</w:t>
      </w:r>
    </w:p>
    <w:p w14:paraId="2086386C" w14:textId="5CD51B3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s-ES" w:eastAsia="zh-CN"/>
        </w:rPr>
        <w:t xml:space="preserve">González, L. G., González-Farías, G., &amp; Levati, M. V. (2011). </w:t>
      </w:r>
      <w:r w:rsidRPr="002414E9">
        <w:rPr>
          <w:rFonts w:eastAsia="DengXian" w:cs="Times New Roman"/>
          <w:noProof/>
          <w:lang w:eastAsia="zh-CN"/>
        </w:rPr>
        <w:t xml:space="preserve">Identifying preferences for conditional cooperation using individual beliefs. </w:t>
      </w:r>
      <w:r w:rsidRPr="002414E9">
        <w:rPr>
          <w:rFonts w:eastAsia="DengXian" w:cs="Times New Roman"/>
          <w:i/>
          <w:iCs/>
          <w:noProof/>
          <w:lang w:eastAsia="zh-CN"/>
        </w:rPr>
        <w:t>Communications in Statistics - Theory and Methods</w:t>
      </w:r>
      <w:r w:rsidRPr="002414E9">
        <w:rPr>
          <w:rFonts w:eastAsia="DengXian" w:cs="Times New Roman"/>
          <w:noProof/>
          <w:lang w:eastAsia="zh-CN"/>
        </w:rPr>
        <w:t xml:space="preserve">, </w:t>
      </w:r>
      <w:r w:rsidRPr="002414E9">
        <w:rPr>
          <w:rFonts w:eastAsia="DengXian" w:cs="Times New Roman"/>
          <w:i/>
          <w:iCs/>
          <w:noProof/>
          <w:lang w:eastAsia="zh-CN"/>
        </w:rPr>
        <w:t>40</w:t>
      </w:r>
      <w:r w:rsidRPr="002414E9">
        <w:rPr>
          <w:rFonts w:eastAsia="DengXian" w:cs="Times New Roman"/>
          <w:noProof/>
          <w:lang w:eastAsia="zh-CN"/>
        </w:rPr>
        <w:t>(17), 3099–3118. https://doi.org/10.1080/03610926.2010.491588</w:t>
      </w:r>
    </w:p>
    <w:p w14:paraId="582F4F04" w14:textId="7681684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s-ES" w:eastAsia="zh-CN"/>
        </w:rPr>
        <w:t xml:space="preserve">González, L. G., Güth, W., &amp; Levati, M. V. (2005). </w:t>
      </w:r>
      <w:r w:rsidRPr="002414E9">
        <w:rPr>
          <w:rFonts w:eastAsia="DengXian" w:cs="Times New Roman"/>
          <w:noProof/>
          <w:lang w:eastAsia="zh-CN"/>
        </w:rPr>
        <w:t xml:space="preserve">When does the game end? Public goods experiments with non-definite and non-commonly known time horizons. </w:t>
      </w:r>
      <w:r w:rsidRPr="002414E9">
        <w:rPr>
          <w:rFonts w:eastAsia="DengXian" w:cs="Times New Roman"/>
          <w:i/>
          <w:iCs/>
          <w:noProof/>
          <w:lang w:eastAsia="zh-CN"/>
        </w:rPr>
        <w:t>Economics Letters</w:t>
      </w:r>
      <w:r w:rsidRPr="002414E9">
        <w:rPr>
          <w:rFonts w:eastAsia="DengXian" w:cs="Times New Roman"/>
          <w:noProof/>
          <w:lang w:eastAsia="zh-CN"/>
        </w:rPr>
        <w:t xml:space="preserve">, </w:t>
      </w:r>
      <w:r w:rsidRPr="002414E9">
        <w:rPr>
          <w:rFonts w:eastAsia="DengXian" w:cs="Times New Roman"/>
          <w:i/>
          <w:iCs/>
          <w:noProof/>
          <w:lang w:eastAsia="zh-CN"/>
        </w:rPr>
        <w:t>88</w:t>
      </w:r>
      <w:r w:rsidRPr="002414E9">
        <w:rPr>
          <w:rFonts w:eastAsia="DengXian" w:cs="Times New Roman"/>
          <w:noProof/>
          <w:lang w:eastAsia="zh-CN"/>
        </w:rPr>
        <w:t>(2), 221–226. https://doi.org/10.1016/j.econlet.2005.02.010</w:t>
      </w:r>
    </w:p>
    <w:p w14:paraId="29F726BE" w14:textId="5D89D26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lastRenderedPageBreak/>
        <w:t xml:space="preserve">Goren, H., Kurzban, R., &amp; Rapoport, A. (2003). </w:t>
      </w:r>
      <w:r w:rsidRPr="002414E9">
        <w:rPr>
          <w:rFonts w:eastAsia="DengXian" w:cs="Times New Roman"/>
          <w:noProof/>
          <w:lang w:eastAsia="zh-CN"/>
        </w:rPr>
        <w:t xml:space="preserve">Social loafing vs. social enhancement: Public goods provisioning in real-time with irrevocable commitments. </w:t>
      </w:r>
      <w:r w:rsidRPr="002414E9">
        <w:rPr>
          <w:rFonts w:eastAsia="DengXian" w:cs="Times New Roman"/>
          <w:i/>
          <w:iCs/>
          <w:noProof/>
          <w:lang w:eastAsia="zh-CN"/>
        </w:rPr>
        <w:t>Organizational Behavior and Human Decision Processes</w:t>
      </w:r>
      <w:r w:rsidRPr="002414E9">
        <w:rPr>
          <w:rFonts w:eastAsia="DengXian" w:cs="Times New Roman"/>
          <w:noProof/>
          <w:lang w:eastAsia="zh-CN"/>
        </w:rPr>
        <w:t xml:space="preserve">, </w:t>
      </w:r>
      <w:r w:rsidRPr="002414E9">
        <w:rPr>
          <w:rFonts w:eastAsia="DengXian" w:cs="Times New Roman"/>
          <w:i/>
          <w:iCs/>
          <w:noProof/>
          <w:lang w:eastAsia="zh-CN"/>
        </w:rPr>
        <w:t>90</w:t>
      </w:r>
      <w:r w:rsidRPr="002414E9">
        <w:rPr>
          <w:rFonts w:eastAsia="DengXian" w:cs="Times New Roman"/>
          <w:noProof/>
          <w:lang w:eastAsia="zh-CN"/>
        </w:rPr>
        <w:t>(2), 277–290. https://doi.org/10.1016/S0749-5978(02)00527-7</w:t>
      </w:r>
    </w:p>
    <w:p w14:paraId="09961C25" w14:textId="0B59308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Goren, H., Rapoport, A., &amp; Kurzban, R. (2004). </w:t>
      </w:r>
      <w:r w:rsidRPr="002414E9">
        <w:rPr>
          <w:rFonts w:eastAsia="DengXian" w:cs="Times New Roman"/>
          <w:noProof/>
          <w:lang w:eastAsia="zh-CN"/>
        </w:rPr>
        <w:t xml:space="preserve">Revocable commitments to public goods provision under the real-time protocol of play. </w:t>
      </w:r>
      <w:r w:rsidRPr="002414E9">
        <w:rPr>
          <w:rFonts w:eastAsia="DengXian" w:cs="Times New Roman"/>
          <w:i/>
          <w:iCs/>
          <w:noProof/>
          <w:lang w:eastAsia="zh-CN"/>
        </w:rPr>
        <w:t>Journal of Behavioral Decision Making</w:t>
      </w:r>
      <w:r w:rsidRPr="002414E9">
        <w:rPr>
          <w:rFonts w:eastAsia="DengXian" w:cs="Times New Roman"/>
          <w:noProof/>
          <w:lang w:eastAsia="zh-CN"/>
        </w:rPr>
        <w:t xml:space="preserve">, </w:t>
      </w:r>
      <w:r w:rsidRPr="002414E9">
        <w:rPr>
          <w:rFonts w:eastAsia="DengXian" w:cs="Times New Roman"/>
          <w:i/>
          <w:iCs/>
          <w:noProof/>
          <w:lang w:eastAsia="zh-CN"/>
        </w:rPr>
        <w:t>17</w:t>
      </w:r>
      <w:r w:rsidRPr="002414E9">
        <w:rPr>
          <w:rFonts w:eastAsia="DengXian" w:cs="Times New Roman"/>
          <w:noProof/>
          <w:lang w:eastAsia="zh-CN"/>
        </w:rPr>
        <w:t>(1), 17–37. https://doi.org/10.1002/bdm.455</w:t>
      </w:r>
    </w:p>
    <w:p w14:paraId="5EC2781A" w14:textId="77A68719" w:rsidR="002414E9" w:rsidRPr="002414E9" w:rsidRDefault="002414E9" w:rsidP="002414E9">
      <w:pPr>
        <w:widowControl w:val="0"/>
        <w:autoSpaceDE w:val="0"/>
        <w:autoSpaceDN w:val="0"/>
        <w:adjustRightInd w:val="0"/>
        <w:ind w:left="709" w:hanging="709"/>
        <w:rPr>
          <w:rFonts w:eastAsia="DengXian" w:cs="Times New Roman"/>
          <w:noProof/>
          <w:lang w:val="en-GB" w:eastAsia="zh-CN"/>
        </w:rPr>
      </w:pPr>
      <w:r w:rsidRPr="002414E9">
        <w:rPr>
          <w:rFonts w:eastAsia="DengXian" w:cs="Times New Roman"/>
          <w:noProof/>
          <w:lang w:eastAsia="zh-CN"/>
        </w:rPr>
        <w:t xml:space="preserve">Gradin, V. B., Pérez, A., Macfarlane, J. A., Cavin, I., Waiter, G., Tone, E. B., Dritschel, B., Maiche, A., &amp; Steele, J. D. (2016). Neural correlates of social exchanges during the Prisoner’s Dilemma game in depression. </w:t>
      </w:r>
      <w:r w:rsidRPr="002414E9">
        <w:rPr>
          <w:rFonts w:eastAsia="DengXian" w:cs="Times New Roman"/>
          <w:i/>
          <w:iCs/>
          <w:noProof/>
          <w:lang w:val="en-GB" w:eastAsia="zh-CN"/>
        </w:rPr>
        <w:t>Psychological Medicine</w:t>
      </w:r>
      <w:r w:rsidRPr="002414E9">
        <w:rPr>
          <w:rFonts w:eastAsia="DengXian" w:cs="Times New Roman"/>
          <w:noProof/>
          <w:lang w:val="en-GB" w:eastAsia="zh-CN"/>
        </w:rPr>
        <w:t xml:space="preserve">, </w:t>
      </w:r>
      <w:r w:rsidRPr="002414E9">
        <w:rPr>
          <w:rFonts w:eastAsia="DengXian" w:cs="Times New Roman"/>
          <w:i/>
          <w:iCs/>
          <w:noProof/>
          <w:lang w:val="en-GB" w:eastAsia="zh-CN"/>
        </w:rPr>
        <w:t>46</w:t>
      </w:r>
      <w:r w:rsidRPr="002414E9">
        <w:rPr>
          <w:rFonts w:eastAsia="DengXian" w:cs="Times New Roman"/>
          <w:noProof/>
          <w:lang w:val="en-GB" w:eastAsia="zh-CN"/>
        </w:rPr>
        <w:t>(6), 1289–1300. https://doi.org/10.1017/S0033291715002834</w:t>
      </w:r>
    </w:p>
    <w:p w14:paraId="65867448" w14:textId="4A99B9C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Greiff, M., &amp; Paetzel, F. (2016). Second-order beliefs in reputation systems with endogenous evaluations – An experimental study. </w:t>
      </w:r>
      <w:r w:rsidRPr="002414E9">
        <w:rPr>
          <w:rFonts w:eastAsia="DengXian" w:cs="Times New Roman"/>
          <w:i/>
          <w:iCs/>
          <w:noProof/>
          <w:lang w:eastAsia="zh-CN"/>
        </w:rPr>
        <w:t>Games and Economic Behavior</w:t>
      </w:r>
      <w:r w:rsidRPr="002414E9">
        <w:rPr>
          <w:rFonts w:eastAsia="DengXian" w:cs="Times New Roman"/>
          <w:noProof/>
          <w:lang w:eastAsia="zh-CN"/>
        </w:rPr>
        <w:t xml:space="preserve">, </w:t>
      </w:r>
      <w:r w:rsidRPr="002414E9">
        <w:rPr>
          <w:rFonts w:eastAsia="DengXian" w:cs="Times New Roman"/>
          <w:i/>
          <w:iCs/>
          <w:noProof/>
          <w:lang w:eastAsia="zh-CN"/>
        </w:rPr>
        <w:t>97</w:t>
      </w:r>
      <w:r w:rsidRPr="002414E9">
        <w:rPr>
          <w:rFonts w:eastAsia="DengXian" w:cs="Times New Roman"/>
          <w:noProof/>
          <w:lang w:eastAsia="zh-CN"/>
        </w:rPr>
        <w:t>, 32–43. https://doi.org/10.1016/j.geb.2016.02.009</w:t>
      </w:r>
    </w:p>
    <w:p w14:paraId="7227CB24" w14:textId="0679C0B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Greig, F., &amp; Bohnet, I. (2009). Exploring gendered behavior in the field with experiments: Why public goods are provided by women in a Nairobi slum.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70</w:t>
      </w:r>
      <w:r w:rsidRPr="002414E9">
        <w:rPr>
          <w:rFonts w:eastAsia="DengXian" w:cs="Times New Roman"/>
          <w:noProof/>
          <w:lang w:eastAsia="zh-CN"/>
        </w:rPr>
        <w:t>(1–2), 1–9. https://doi.org/10.1016/j.jebo.2008.12.006</w:t>
      </w:r>
    </w:p>
    <w:p w14:paraId="7BA90DE0" w14:textId="07E3251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n-GB" w:eastAsia="zh-CN"/>
        </w:rPr>
        <w:t xml:space="preserve">Greiner, B., &amp; Levati, M. V. (2005). </w:t>
      </w:r>
      <w:r w:rsidRPr="002414E9">
        <w:rPr>
          <w:rFonts w:eastAsia="DengXian" w:cs="Times New Roman"/>
          <w:noProof/>
          <w:lang w:eastAsia="zh-CN"/>
        </w:rPr>
        <w:t xml:space="preserve">Indirect reciprocity in cyclical networks: An experimental study. </w:t>
      </w:r>
      <w:r w:rsidRPr="002414E9">
        <w:rPr>
          <w:rFonts w:eastAsia="DengXian" w:cs="Times New Roman"/>
          <w:i/>
          <w:iCs/>
          <w:noProof/>
          <w:lang w:eastAsia="zh-CN"/>
        </w:rPr>
        <w:t>Journal of Economic Psychology</w:t>
      </w:r>
      <w:r w:rsidRPr="002414E9">
        <w:rPr>
          <w:rFonts w:eastAsia="DengXian" w:cs="Times New Roman"/>
          <w:noProof/>
          <w:lang w:eastAsia="zh-CN"/>
        </w:rPr>
        <w:t xml:space="preserve">, </w:t>
      </w:r>
      <w:r w:rsidRPr="002414E9">
        <w:rPr>
          <w:rFonts w:eastAsia="DengXian" w:cs="Times New Roman"/>
          <w:i/>
          <w:iCs/>
          <w:noProof/>
          <w:lang w:eastAsia="zh-CN"/>
        </w:rPr>
        <w:t>26</w:t>
      </w:r>
      <w:r w:rsidRPr="002414E9">
        <w:rPr>
          <w:rFonts w:eastAsia="DengXian" w:cs="Times New Roman"/>
          <w:noProof/>
          <w:lang w:eastAsia="zh-CN"/>
        </w:rPr>
        <w:t>(5), 711–731. https://doi.org/10.1016/j.joep.2004.04.003</w:t>
      </w:r>
    </w:p>
    <w:p w14:paraId="1F863680" w14:textId="3013B44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Greitemeyer, T., &amp; Cox, C. (2013). There’s no “I” in team: Effects of cooperative video games on cooperative behavior. </w:t>
      </w:r>
      <w:r w:rsidRPr="002414E9">
        <w:rPr>
          <w:rFonts w:eastAsia="DengXian" w:cs="Times New Roman"/>
          <w:i/>
          <w:iCs/>
          <w:noProof/>
          <w:lang w:eastAsia="zh-CN"/>
        </w:rPr>
        <w:t>European Journal of Social Psychology</w:t>
      </w:r>
      <w:r w:rsidRPr="002414E9">
        <w:rPr>
          <w:rFonts w:eastAsia="DengXian" w:cs="Times New Roman"/>
          <w:noProof/>
          <w:lang w:eastAsia="zh-CN"/>
        </w:rPr>
        <w:t xml:space="preserve">, </w:t>
      </w:r>
      <w:r w:rsidRPr="002414E9">
        <w:rPr>
          <w:rFonts w:eastAsia="DengXian" w:cs="Times New Roman"/>
          <w:i/>
          <w:iCs/>
          <w:noProof/>
          <w:lang w:eastAsia="zh-CN"/>
        </w:rPr>
        <w:t>43</w:t>
      </w:r>
      <w:r w:rsidRPr="002414E9">
        <w:rPr>
          <w:rFonts w:eastAsia="DengXian" w:cs="Times New Roman"/>
          <w:noProof/>
          <w:lang w:eastAsia="zh-CN"/>
        </w:rPr>
        <w:t>(3), 224–228. https://doi.org/10.1002/ejsp.1940</w:t>
      </w:r>
    </w:p>
    <w:p w14:paraId="7AE5842B" w14:textId="7EF90E5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lastRenderedPageBreak/>
        <w:t xml:space="preserve">Grieco, D., Faillo, M., &amp; Zarri, L. (2017). </w:t>
      </w:r>
      <w:r w:rsidRPr="002414E9">
        <w:rPr>
          <w:rFonts w:eastAsia="DengXian" w:cs="Times New Roman"/>
          <w:noProof/>
          <w:lang w:eastAsia="zh-CN"/>
        </w:rPr>
        <w:t xml:space="preserve">Enforcing cooperation in public goods games: Is one punisher enough? </w:t>
      </w:r>
      <w:r w:rsidRPr="002414E9">
        <w:rPr>
          <w:rFonts w:eastAsia="DengXian" w:cs="Times New Roman"/>
          <w:i/>
          <w:iCs/>
          <w:noProof/>
          <w:lang w:eastAsia="zh-CN"/>
        </w:rPr>
        <w:t>Journal of Economic Psychology</w:t>
      </w:r>
      <w:r w:rsidRPr="002414E9">
        <w:rPr>
          <w:rFonts w:eastAsia="DengXian" w:cs="Times New Roman"/>
          <w:noProof/>
          <w:lang w:eastAsia="zh-CN"/>
        </w:rPr>
        <w:t xml:space="preserve">, </w:t>
      </w:r>
      <w:r w:rsidRPr="002414E9">
        <w:rPr>
          <w:rFonts w:eastAsia="DengXian" w:cs="Times New Roman"/>
          <w:i/>
          <w:iCs/>
          <w:noProof/>
          <w:lang w:eastAsia="zh-CN"/>
        </w:rPr>
        <w:t>61</w:t>
      </w:r>
      <w:r w:rsidRPr="002414E9">
        <w:rPr>
          <w:rFonts w:eastAsia="DengXian" w:cs="Times New Roman"/>
          <w:noProof/>
          <w:lang w:eastAsia="zh-CN"/>
        </w:rPr>
        <w:t>, 55–73. https://doi.org/10.1016/j.joep.2017.03.007</w:t>
      </w:r>
    </w:p>
    <w:p w14:paraId="520C6440" w14:textId="33A72E8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Grigoriadis, T. (2017). Religion, administration &amp; public goods: Experimental evidence from Russia. </w:t>
      </w:r>
      <w:r w:rsidRPr="002414E9">
        <w:rPr>
          <w:rFonts w:eastAsia="DengXian" w:cs="Times New Roman"/>
          <w:i/>
          <w:iCs/>
          <w:noProof/>
          <w:lang w:eastAsia="zh-CN"/>
        </w:rPr>
        <w:t>Economic Modelling</w:t>
      </w:r>
      <w:r w:rsidRPr="002414E9">
        <w:rPr>
          <w:rFonts w:eastAsia="DengXian" w:cs="Times New Roman"/>
          <w:noProof/>
          <w:lang w:eastAsia="zh-CN"/>
        </w:rPr>
        <w:t xml:space="preserve">, </w:t>
      </w:r>
      <w:r w:rsidRPr="002414E9">
        <w:rPr>
          <w:rFonts w:eastAsia="DengXian" w:cs="Times New Roman"/>
          <w:i/>
          <w:iCs/>
          <w:noProof/>
          <w:lang w:eastAsia="zh-CN"/>
        </w:rPr>
        <w:t>66</w:t>
      </w:r>
      <w:r w:rsidRPr="002414E9">
        <w:rPr>
          <w:rFonts w:eastAsia="DengXian" w:cs="Times New Roman"/>
          <w:noProof/>
          <w:lang w:eastAsia="zh-CN"/>
        </w:rPr>
        <w:t>, 42–60. https://doi.org/10.1016/j.econmod.2017.05.014</w:t>
      </w:r>
    </w:p>
    <w:p w14:paraId="406EC431" w14:textId="2FB13A60" w:rsidR="002414E9" w:rsidRPr="002414E9" w:rsidRDefault="002414E9" w:rsidP="002414E9">
      <w:pPr>
        <w:widowControl w:val="0"/>
        <w:autoSpaceDE w:val="0"/>
        <w:autoSpaceDN w:val="0"/>
        <w:adjustRightInd w:val="0"/>
        <w:ind w:left="709" w:hanging="709"/>
        <w:rPr>
          <w:rFonts w:eastAsia="DengXian" w:cs="Times New Roman"/>
          <w:noProof/>
          <w:lang w:val="fr-FR" w:eastAsia="zh-CN"/>
        </w:rPr>
      </w:pPr>
      <w:r w:rsidRPr="002414E9">
        <w:rPr>
          <w:rFonts w:eastAsia="DengXian" w:cs="Times New Roman"/>
          <w:noProof/>
          <w:lang w:val="es-ES" w:eastAsia="zh-CN"/>
        </w:rPr>
        <w:t xml:space="preserve">Grimalda, G., Pondorfer, A., &amp; Tracer, D. P. (2016). </w:t>
      </w:r>
      <w:r w:rsidRPr="002414E9">
        <w:rPr>
          <w:rFonts w:eastAsia="DengXian" w:cs="Times New Roman"/>
          <w:noProof/>
          <w:lang w:eastAsia="zh-CN"/>
        </w:rPr>
        <w:t xml:space="preserve">Social image concerns promote cooperation more than altruistic punishment. </w:t>
      </w:r>
      <w:r w:rsidRPr="002414E9">
        <w:rPr>
          <w:rFonts w:eastAsia="DengXian" w:cs="Times New Roman"/>
          <w:i/>
          <w:iCs/>
          <w:noProof/>
          <w:lang w:val="fr-FR" w:eastAsia="zh-CN"/>
        </w:rPr>
        <w:t>Nature Communications</w:t>
      </w:r>
      <w:r w:rsidRPr="002414E9">
        <w:rPr>
          <w:rFonts w:eastAsia="DengXian" w:cs="Times New Roman"/>
          <w:noProof/>
          <w:lang w:val="fr-FR" w:eastAsia="zh-CN"/>
        </w:rPr>
        <w:t xml:space="preserve">, </w:t>
      </w:r>
      <w:r w:rsidRPr="002414E9">
        <w:rPr>
          <w:rFonts w:eastAsia="DengXian" w:cs="Times New Roman"/>
          <w:i/>
          <w:iCs/>
          <w:noProof/>
          <w:lang w:val="fr-FR" w:eastAsia="zh-CN"/>
        </w:rPr>
        <w:t>7</w:t>
      </w:r>
      <w:r w:rsidRPr="002414E9">
        <w:rPr>
          <w:rFonts w:eastAsia="DengXian" w:cs="Times New Roman"/>
          <w:noProof/>
          <w:lang w:val="fr-FR" w:eastAsia="zh-CN"/>
        </w:rPr>
        <w:t>, 12288. https://doi.org/10.1038/ncomms12288</w:t>
      </w:r>
    </w:p>
    <w:p w14:paraId="74695694" w14:textId="3D19515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fr-FR" w:eastAsia="zh-CN"/>
        </w:rPr>
        <w:t xml:space="preserve">Grimm, V., &amp; Mengel, F. (2009). </w:t>
      </w:r>
      <w:r w:rsidRPr="002414E9">
        <w:rPr>
          <w:rFonts w:eastAsia="DengXian" w:cs="Times New Roman"/>
          <w:noProof/>
          <w:lang w:eastAsia="zh-CN"/>
        </w:rPr>
        <w:t xml:space="preserve">Cooperation in viscous populations—experimental evidence. </w:t>
      </w:r>
      <w:r w:rsidRPr="002414E9">
        <w:rPr>
          <w:rFonts w:eastAsia="DengXian" w:cs="Times New Roman"/>
          <w:i/>
          <w:iCs/>
          <w:noProof/>
          <w:lang w:eastAsia="zh-CN"/>
        </w:rPr>
        <w:t>Games and Economic Behavior</w:t>
      </w:r>
      <w:r w:rsidRPr="002414E9">
        <w:rPr>
          <w:rFonts w:eastAsia="DengXian" w:cs="Times New Roman"/>
          <w:noProof/>
          <w:lang w:eastAsia="zh-CN"/>
        </w:rPr>
        <w:t xml:space="preserve">, </w:t>
      </w:r>
      <w:r w:rsidRPr="002414E9">
        <w:rPr>
          <w:rFonts w:eastAsia="DengXian" w:cs="Times New Roman"/>
          <w:i/>
          <w:iCs/>
          <w:noProof/>
          <w:lang w:eastAsia="zh-CN"/>
        </w:rPr>
        <w:t>66</w:t>
      </w:r>
      <w:r w:rsidRPr="002414E9">
        <w:rPr>
          <w:rFonts w:eastAsia="DengXian" w:cs="Times New Roman"/>
          <w:noProof/>
          <w:lang w:eastAsia="zh-CN"/>
        </w:rPr>
        <w:t>(1), 202–220. https://doi.org/10.1016/j.geb.2008.05.005</w:t>
      </w:r>
    </w:p>
    <w:p w14:paraId="082B5040" w14:textId="0F522FA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fr-FR" w:eastAsia="zh-CN"/>
        </w:rPr>
        <w:t xml:space="preserve">Grolleau, G., Sutan, A., &amp; Vranceanu, R. (2016). </w:t>
      </w:r>
      <w:r w:rsidRPr="002414E9">
        <w:rPr>
          <w:rFonts w:eastAsia="DengXian" w:cs="Times New Roman"/>
          <w:noProof/>
          <w:lang w:eastAsia="zh-CN"/>
        </w:rPr>
        <w:t xml:space="preserve">Do people contribute more to intra-temporal or inter-temporal public goods? </w:t>
      </w:r>
      <w:r w:rsidRPr="002414E9">
        <w:rPr>
          <w:rFonts w:eastAsia="DengXian" w:cs="Times New Roman"/>
          <w:i/>
          <w:iCs/>
          <w:noProof/>
          <w:lang w:eastAsia="zh-CN"/>
        </w:rPr>
        <w:t>Research in Economics</w:t>
      </w:r>
      <w:r w:rsidRPr="002414E9">
        <w:rPr>
          <w:rFonts w:eastAsia="DengXian" w:cs="Times New Roman"/>
          <w:noProof/>
          <w:lang w:eastAsia="zh-CN"/>
        </w:rPr>
        <w:t xml:space="preserve">, </w:t>
      </w:r>
      <w:r w:rsidRPr="002414E9">
        <w:rPr>
          <w:rFonts w:eastAsia="DengXian" w:cs="Times New Roman"/>
          <w:i/>
          <w:iCs/>
          <w:noProof/>
          <w:lang w:eastAsia="zh-CN"/>
        </w:rPr>
        <w:t>70</w:t>
      </w:r>
      <w:r w:rsidRPr="002414E9">
        <w:rPr>
          <w:rFonts w:eastAsia="DengXian" w:cs="Times New Roman"/>
          <w:noProof/>
          <w:lang w:eastAsia="zh-CN"/>
        </w:rPr>
        <w:t>(1), 186–195. https://doi.org/10.1016/j.rie.2015.05.001</w:t>
      </w:r>
    </w:p>
    <w:p w14:paraId="00B24AB2" w14:textId="5EF9EFB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Gronberg, T. J., Luccasen, R. A., Turocy, T. L., &amp; Van Huyck, J. B. (2012). </w:t>
      </w:r>
      <w:r w:rsidRPr="002414E9">
        <w:rPr>
          <w:rFonts w:eastAsia="DengXian" w:cs="Times New Roman"/>
          <w:noProof/>
          <w:lang w:eastAsia="zh-CN"/>
        </w:rPr>
        <w:t xml:space="preserve">Are tax-financed contributions to a public good completely crowded-out? Experimental evidence.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96</w:t>
      </w:r>
      <w:r w:rsidRPr="002414E9">
        <w:rPr>
          <w:rFonts w:eastAsia="DengXian" w:cs="Times New Roman"/>
          <w:noProof/>
          <w:lang w:eastAsia="zh-CN"/>
        </w:rPr>
        <w:t>(7–8), 596–603. https://doi.org/10.1016/j.jpubeco.2012.04.00</w:t>
      </w:r>
    </w:p>
    <w:p w14:paraId="52E83EEB" w14:textId="356EB44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Gross, J., Méder, Z. Z., Okamoto-Barth, S., &amp; Riedl, A. (2016). Building the Leviathan – Voluntary centralisation of punishment power sustains cooperation in humans. </w:t>
      </w:r>
      <w:r w:rsidRPr="002414E9">
        <w:rPr>
          <w:rFonts w:eastAsia="DengXian" w:cs="Times New Roman"/>
          <w:i/>
          <w:iCs/>
          <w:noProof/>
          <w:lang w:eastAsia="zh-CN"/>
        </w:rPr>
        <w:t>Scientific Reports</w:t>
      </w:r>
      <w:r w:rsidRPr="002414E9">
        <w:rPr>
          <w:rFonts w:eastAsia="DengXian" w:cs="Times New Roman"/>
          <w:noProof/>
          <w:lang w:eastAsia="zh-CN"/>
        </w:rPr>
        <w:t xml:space="preserve">, </w:t>
      </w:r>
      <w:r w:rsidRPr="002414E9">
        <w:rPr>
          <w:rFonts w:eastAsia="DengXian" w:cs="Times New Roman"/>
          <w:i/>
          <w:iCs/>
          <w:noProof/>
          <w:lang w:eastAsia="zh-CN"/>
        </w:rPr>
        <w:t>6</w:t>
      </w:r>
      <w:r w:rsidRPr="002414E9">
        <w:rPr>
          <w:rFonts w:eastAsia="DengXian" w:cs="Times New Roman"/>
          <w:noProof/>
          <w:lang w:eastAsia="zh-CN"/>
        </w:rPr>
        <w:t>(1), 20767. https://doi.org/10.1038/srep20767</w:t>
      </w:r>
    </w:p>
    <w:p w14:paraId="32C29650" w14:textId="7306A50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Grosse, S., Putterman, L., &amp; Rockenbach, B. (2011). </w:t>
      </w:r>
      <w:r w:rsidRPr="002414E9">
        <w:rPr>
          <w:rFonts w:eastAsia="DengXian" w:cs="Times New Roman"/>
          <w:noProof/>
          <w:lang w:eastAsia="zh-CN"/>
        </w:rPr>
        <w:t xml:space="preserve">Monitoring in teams: Using laboratory experiments to study a theory of the firm. </w:t>
      </w:r>
      <w:r w:rsidRPr="002414E9">
        <w:rPr>
          <w:rFonts w:eastAsia="DengXian" w:cs="Times New Roman"/>
          <w:i/>
          <w:iCs/>
          <w:noProof/>
          <w:lang w:eastAsia="zh-CN"/>
        </w:rPr>
        <w:t>Journal of the European Economic Association</w:t>
      </w:r>
      <w:r w:rsidRPr="002414E9">
        <w:rPr>
          <w:rFonts w:eastAsia="DengXian" w:cs="Times New Roman"/>
          <w:noProof/>
          <w:lang w:eastAsia="zh-CN"/>
        </w:rPr>
        <w:t xml:space="preserve">, </w:t>
      </w:r>
      <w:r w:rsidRPr="002414E9">
        <w:rPr>
          <w:rFonts w:eastAsia="DengXian" w:cs="Times New Roman"/>
          <w:i/>
          <w:iCs/>
          <w:noProof/>
          <w:lang w:eastAsia="zh-CN"/>
        </w:rPr>
        <w:t>9</w:t>
      </w:r>
      <w:r w:rsidRPr="002414E9">
        <w:rPr>
          <w:rFonts w:eastAsia="DengXian" w:cs="Times New Roman"/>
          <w:noProof/>
          <w:lang w:eastAsia="zh-CN"/>
        </w:rPr>
        <w:t>(4), 785–816. https://doi.org/10.1111/j.1542-4774.2011.01026.x</w:t>
      </w:r>
    </w:p>
    <w:p w14:paraId="6E0D514D" w14:textId="60F55E2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lastRenderedPageBreak/>
        <w:t xml:space="preserve">Guala, F., Mittone, L., &amp; Ploner, M. (2013). </w:t>
      </w:r>
      <w:r w:rsidRPr="002414E9">
        <w:rPr>
          <w:rFonts w:eastAsia="DengXian" w:cs="Times New Roman"/>
          <w:noProof/>
          <w:lang w:eastAsia="zh-CN"/>
        </w:rPr>
        <w:t xml:space="preserve">Group membership, team preferences, and expectations.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86</w:t>
      </w:r>
      <w:r w:rsidRPr="002414E9">
        <w:rPr>
          <w:rFonts w:eastAsia="DengXian" w:cs="Times New Roman"/>
          <w:noProof/>
          <w:lang w:eastAsia="zh-CN"/>
        </w:rPr>
        <w:t>, 183–190. https://doi.org/10.1016/j.jebo.2012.12.003</w:t>
      </w:r>
    </w:p>
    <w:p w14:paraId="0FF4F9CD" w14:textId="4029AD9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Guillen, P., Merrett, D., &amp; Slonim, R. (2015). A new solution for the moral hazard problem in team production. </w:t>
      </w:r>
      <w:r w:rsidRPr="002414E9">
        <w:rPr>
          <w:rFonts w:eastAsia="DengXian" w:cs="Times New Roman"/>
          <w:i/>
          <w:iCs/>
          <w:noProof/>
          <w:lang w:eastAsia="zh-CN"/>
        </w:rPr>
        <w:t>Management Science</w:t>
      </w:r>
      <w:r w:rsidRPr="002414E9">
        <w:rPr>
          <w:rFonts w:eastAsia="DengXian" w:cs="Times New Roman"/>
          <w:noProof/>
          <w:lang w:eastAsia="zh-CN"/>
        </w:rPr>
        <w:t xml:space="preserve">, </w:t>
      </w:r>
      <w:r w:rsidRPr="002414E9">
        <w:rPr>
          <w:rFonts w:eastAsia="DengXian" w:cs="Times New Roman"/>
          <w:i/>
          <w:iCs/>
          <w:noProof/>
          <w:lang w:eastAsia="zh-CN"/>
        </w:rPr>
        <w:t>61</w:t>
      </w:r>
      <w:r w:rsidRPr="002414E9">
        <w:rPr>
          <w:rFonts w:eastAsia="DengXian" w:cs="Times New Roman"/>
          <w:noProof/>
          <w:lang w:eastAsia="zh-CN"/>
        </w:rPr>
        <w:t>(7), 1514–1530. https://doi.org/10.1287/mnsc.2014.1922</w:t>
      </w:r>
    </w:p>
    <w:p w14:paraId="441FE6A5" w14:textId="19F59F99" w:rsidR="002414E9" w:rsidRPr="002414E9" w:rsidRDefault="002414E9" w:rsidP="002414E9">
      <w:pPr>
        <w:widowControl w:val="0"/>
        <w:autoSpaceDE w:val="0"/>
        <w:autoSpaceDN w:val="0"/>
        <w:adjustRightInd w:val="0"/>
        <w:ind w:left="709" w:hanging="709"/>
        <w:rPr>
          <w:rFonts w:eastAsia="DengXian" w:cs="Times New Roman"/>
          <w:noProof/>
          <w:lang w:val="de-DE" w:eastAsia="zh-CN"/>
        </w:rPr>
      </w:pPr>
      <w:r w:rsidRPr="002414E9">
        <w:rPr>
          <w:rFonts w:eastAsia="DengXian" w:cs="Times New Roman"/>
          <w:noProof/>
          <w:lang w:val="de-DE" w:eastAsia="zh-CN"/>
        </w:rPr>
        <w:t xml:space="preserve">Guillen, P., Schwieren, C., &amp; Staffiero, G. (2007). </w:t>
      </w:r>
      <w:r w:rsidRPr="002414E9">
        <w:rPr>
          <w:rFonts w:eastAsia="DengXian" w:cs="Times New Roman"/>
          <w:noProof/>
          <w:lang w:eastAsia="zh-CN"/>
        </w:rPr>
        <w:t xml:space="preserve">Why feed the Leviathan? </w:t>
      </w:r>
      <w:r w:rsidRPr="002414E9">
        <w:rPr>
          <w:rFonts w:eastAsia="DengXian" w:cs="Times New Roman"/>
          <w:i/>
          <w:iCs/>
          <w:noProof/>
          <w:lang w:val="de-DE" w:eastAsia="zh-CN"/>
        </w:rPr>
        <w:t>Public Choice</w:t>
      </w:r>
      <w:r w:rsidRPr="002414E9">
        <w:rPr>
          <w:rFonts w:eastAsia="DengXian" w:cs="Times New Roman"/>
          <w:noProof/>
          <w:lang w:val="de-DE" w:eastAsia="zh-CN"/>
        </w:rPr>
        <w:t xml:space="preserve">, </w:t>
      </w:r>
      <w:r w:rsidRPr="002414E9">
        <w:rPr>
          <w:rFonts w:eastAsia="DengXian" w:cs="Times New Roman"/>
          <w:i/>
          <w:iCs/>
          <w:noProof/>
          <w:lang w:val="de-DE" w:eastAsia="zh-CN"/>
        </w:rPr>
        <w:t>130</w:t>
      </w:r>
      <w:r w:rsidRPr="002414E9">
        <w:rPr>
          <w:rFonts w:eastAsia="DengXian" w:cs="Times New Roman"/>
          <w:noProof/>
          <w:lang w:val="de-DE" w:eastAsia="zh-CN"/>
        </w:rPr>
        <w:t>(1–2), 115–128. https://doi.org/10.1007/s11127-006-9075-3</w:t>
      </w:r>
    </w:p>
    <w:p w14:paraId="16E01220" w14:textId="7EF88253"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Gumpert, P., Deutsch, M., &amp; Epstein, Y. (1969). </w:t>
      </w:r>
      <w:r w:rsidRPr="002414E9">
        <w:rPr>
          <w:rFonts w:eastAsia="DengXian" w:cs="Times New Roman"/>
          <w:bCs/>
          <w:noProof/>
          <w:lang w:eastAsia="zh-CN"/>
        </w:rPr>
        <w:t xml:space="preserve">Effect of incentive magnitude on cooperation in the Prisoner's Dilemma game. </w:t>
      </w:r>
      <w:r w:rsidRPr="002414E9">
        <w:rPr>
          <w:rFonts w:eastAsia="DengXian" w:cs="Times New Roman"/>
          <w:bCs/>
          <w:i/>
          <w:iCs/>
          <w:noProof/>
          <w:lang w:eastAsia="zh-CN"/>
        </w:rPr>
        <w:t>Journal of Personality and Social Psychology, 11</w:t>
      </w:r>
      <w:r w:rsidRPr="002414E9">
        <w:rPr>
          <w:rFonts w:eastAsia="DengXian" w:cs="Times New Roman"/>
          <w:bCs/>
          <w:noProof/>
          <w:lang w:eastAsia="zh-CN"/>
        </w:rPr>
        <w:t>(1), 66–69. https://doi.org/10.1037/h0027030</w:t>
      </w:r>
    </w:p>
    <w:p w14:paraId="2D24025C" w14:textId="1EACB0E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Gunnthorsdottir, A., &amp; Rapoport, A. (2006). Egalitarian vs. proportional profit-sharing rules in multi-level collective action problems. </w:t>
      </w:r>
      <w:r w:rsidRPr="002414E9">
        <w:rPr>
          <w:rFonts w:eastAsia="DengXian" w:cs="Times New Roman"/>
          <w:i/>
          <w:iCs/>
          <w:noProof/>
          <w:lang w:eastAsia="zh-CN"/>
        </w:rPr>
        <w:t>Organizational Behavior and Human Decision Processes</w:t>
      </w:r>
      <w:r w:rsidRPr="002414E9">
        <w:rPr>
          <w:rFonts w:eastAsia="DengXian" w:cs="Times New Roman"/>
          <w:noProof/>
          <w:lang w:eastAsia="zh-CN"/>
        </w:rPr>
        <w:t xml:space="preserve">, </w:t>
      </w:r>
      <w:r w:rsidRPr="002414E9">
        <w:rPr>
          <w:rFonts w:eastAsia="DengXian" w:cs="Times New Roman"/>
          <w:i/>
          <w:iCs/>
          <w:noProof/>
          <w:lang w:eastAsia="zh-CN"/>
        </w:rPr>
        <w:t>101</w:t>
      </w:r>
      <w:r w:rsidRPr="002414E9">
        <w:rPr>
          <w:rFonts w:eastAsia="DengXian" w:cs="Times New Roman"/>
          <w:noProof/>
          <w:lang w:eastAsia="zh-CN"/>
        </w:rPr>
        <w:t>, 184–199.</w:t>
      </w:r>
    </w:p>
    <w:p w14:paraId="597B47C1" w14:textId="620A4BA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Gunnthorsdottir, A., &amp; Rapoport, A. (2006). Embedding social dilemmas in intergroup competition reduces free-riding. </w:t>
      </w:r>
      <w:r w:rsidRPr="002414E9">
        <w:rPr>
          <w:rFonts w:eastAsia="DengXian" w:cs="Times New Roman"/>
          <w:i/>
          <w:iCs/>
          <w:noProof/>
          <w:lang w:eastAsia="zh-CN"/>
        </w:rPr>
        <w:t>Organizational Behavior and Human Decision Processes</w:t>
      </w:r>
      <w:r w:rsidRPr="002414E9">
        <w:rPr>
          <w:rFonts w:eastAsia="DengXian" w:cs="Times New Roman"/>
          <w:noProof/>
          <w:lang w:eastAsia="zh-CN"/>
        </w:rPr>
        <w:t xml:space="preserve">, </w:t>
      </w:r>
      <w:r w:rsidRPr="002414E9">
        <w:rPr>
          <w:rFonts w:eastAsia="DengXian" w:cs="Times New Roman"/>
          <w:i/>
          <w:iCs/>
          <w:noProof/>
          <w:lang w:eastAsia="zh-CN"/>
        </w:rPr>
        <w:t>101</w:t>
      </w:r>
      <w:r w:rsidRPr="002414E9">
        <w:rPr>
          <w:rFonts w:eastAsia="DengXian" w:cs="Times New Roman"/>
          <w:noProof/>
          <w:lang w:eastAsia="zh-CN"/>
        </w:rPr>
        <w:t>(2), 184–199. https://doi.org/10.1016/j.obhdp.2005.08.005</w:t>
      </w:r>
    </w:p>
    <w:p w14:paraId="697CAA20" w14:textId="4004398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Gunnthorsdottir, A., Houser, D., &amp; McCabe, K. (2007). Disposition, history and contributions in public goods experiments.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62</w:t>
      </w:r>
      <w:r w:rsidRPr="002414E9">
        <w:rPr>
          <w:rFonts w:eastAsia="DengXian" w:cs="Times New Roman"/>
          <w:noProof/>
          <w:lang w:eastAsia="zh-CN"/>
        </w:rPr>
        <w:t>(2), 304–315. https://doi.org/10.1016/j.jebo.2005.03.008</w:t>
      </w:r>
    </w:p>
    <w:p w14:paraId="6E9786DB" w14:textId="7D20BCC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Gunnthorsdottir, A., Vragov, R., Seifert, S., &amp; McCabe, K. (2010). Near-efficient equilibria in contribution-based competitive grouping.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94</w:t>
      </w:r>
      <w:r w:rsidRPr="002414E9">
        <w:rPr>
          <w:rFonts w:eastAsia="DengXian" w:cs="Times New Roman"/>
          <w:noProof/>
          <w:lang w:eastAsia="zh-CN"/>
        </w:rPr>
        <w:t>(11–12), 987–994. https://doi.org/10.1016/j.jpubeco.2010.07.004</w:t>
      </w:r>
    </w:p>
    <w:p w14:paraId="461D7BB7" w14:textId="6BF7D17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lastRenderedPageBreak/>
        <w:t xml:space="preserve">Gürerk, Ö., Irlenbusch, B., &amp; Rockenbach, B. (2014). </w:t>
      </w:r>
      <w:r w:rsidRPr="002414E9">
        <w:rPr>
          <w:rFonts w:eastAsia="DengXian" w:cs="Times New Roman"/>
          <w:noProof/>
          <w:lang w:eastAsia="zh-CN"/>
        </w:rPr>
        <w:t xml:space="preserve">On cooperation in open communities.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120</w:t>
      </w:r>
      <w:r w:rsidRPr="002414E9">
        <w:rPr>
          <w:rFonts w:eastAsia="DengXian" w:cs="Times New Roman"/>
          <w:noProof/>
          <w:lang w:eastAsia="zh-CN"/>
        </w:rPr>
        <w:t>, 220–230. https://doi.org/10.1016/j.jpubeco.2014.10.001</w:t>
      </w:r>
    </w:p>
    <w:p w14:paraId="741FF491" w14:textId="1D2CEAD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Gurven, M. (2004). Does market exposure affect economic game behavior. In J. Henrich, R. Boyd, S. Bowles, C. Camerer, E. Fehr, &amp; H. Gintis (Eds.), </w:t>
      </w:r>
      <w:r w:rsidRPr="002414E9">
        <w:rPr>
          <w:rFonts w:eastAsia="DengXian" w:cs="Times New Roman"/>
          <w:i/>
          <w:iCs/>
          <w:noProof/>
          <w:lang w:eastAsia="zh-CN"/>
        </w:rPr>
        <w:t>Foundations of Human Sociality: Economic Experiments and Ethnographic Evidence from Fifteen Small-Scale Societies</w:t>
      </w:r>
      <w:r w:rsidRPr="002414E9">
        <w:rPr>
          <w:rFonts w:eastAsia="DengXian" w:cs="Times New Roman"/>
          <w:noProof/>
          <w:lang w:eastAsia="zh-CN"/>
        </w:rPr>
        <w:t xml:space="preserve"> (pp. 194–231). Oxford Scholarship Online. https://doi.org/10.1093/0199262055.003.0007</w:t>
      </w:r>
    </w:p>
    <w:p w14:paraId="08F65DC2" w14:textId="5F3A6E75" w:rsidR="002414E9" w:rsidRPr="002414E9" w:rsidRDefault="002414E9" w:rsidP="002414E9">
      <w:pPr>
        <w:widowControl w:val="0"/>
        <w:autoSpaceDE w:val="0"/>
        <w:autoSpaceDN w:val="0"/>
        <w:adjustRightInd w:val="0"/>
        <w:ind w:left="709" w:hanging="709"/>
        <w:rPr>
          <w:rFonts w:eastAsia="DengXian" w:cs="Times New Roman"/>
          <w:noProof/>
          <w:lang w:val="en-GB" w:eastAsia="zh-CN"/>
        </w:rPr>
      </w:pPr>
      <w:r w:rsidRPr="002414E9">
        <w:rPr>
          <w:rFonts w:eastAsia="DengXian" w:cs="Times New Roman"/>
          <w:noProof/>
          <w:lang w:eastAsia="zh-CN"/>
        </w:rPr>
        <w:t xml:space="preserve">Gurven, M. (2004). Economic games among the Amazonian Tsimane: Exploring the roles of market access, costs of giving, and cooperation on pro-social game behavior. </w:t>
      </w:r>
      <w:r w:rsidRPr="002414E9">
        <w:rPr>
          <w:rFonts w:eastAsia="DengXian" w:cs="Times New Roman"/>
          <w:i/>
          <w:iCs/>
          <w:noProof/>
          <w:lang w:val="en-GB" w:eastAsia="zh-CN"/>
        </w:rPr>
        <w:t>Experimental Economics</w:t>
      </w:r>
      <w:r w:rsidRPr="002414E9">
        <w:rPr>
          <w:rFonts w:eastAsia="DengXian" w:cs="Times New Roman"/>
          <w:noProof/>
          <w:lang w:val="en-GB" w:eastAsia="zh-CN"/>
        </w:rPr>
        <w:t xml:space="preserve">, </w:t>
      </w:r>
      <w:r w:rsidRPr="002414E9">
        <w:rPr>
          <w:rFonts w:eastAsia="DengXian" w:cs="Times New Roman"/>
          <w:i/>
          <w:iCs/>
          <w:noProof/>
          <w:lang w:val="en-GB" w:eastAsia="zh-CN"/>
        </w:rPr>
        <w:t>7</w:t>
      </w:r>
      <w:r w:rsidRPr="002414E9">
        <w:rPr>
          <w:rFonts w:eastAsia="DengXian" w:cs="Times New Roman"/>
          <w:noProof/>
          <w:lang w:val="en-GB" w:eastAsia="zh-CN"/>
        </w:rPr>
        <w:t>(1), 5–24. https://doi.org/10.1023/A:1026256404208</w:t>
      </w:r>
    </w:p>
    <w:p w14:paraId="6E779159" w14:textId="5FAC605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n-GB" w:eastAsia="zh-CN"/>
        </w:rPr>
        <w:t xml:space="preserve">Gustafsson, M., Biel, A., &amp; Gärling, T. (2000). </w:t>
      </w:r>
      <w:r w:rsidRPr="002414E9">
        <w:rPr>
          <w:rFonts w:eastAsia="DengXian" w:cs="Times New Roman"/>
          <w:noProof/>
          <w:lang w:eastAsia="zh-CN"/>
        </w:rPr>
        <w:t xml:space="preserve">Egoism bias in social dilemmas with resource uncertainty. </w:t>
      </w:r>
      <w:r w:rsidRPr="002414E9">
        <w:rPr>
          <w:rFonts w:eastAsia="DengXian" w:cs="Times New Roman"/>
          <w:i/>
          <w:iCs/>
          <w:noProof/>
          <w:lang w:eastAsia="zh-CN"/>
        </w:rPr>
        <w:t>Group Processes &amp; Intergroup Relations</w:t>
      </w:r>
      <w:r w:rsidRPr="002414E9">
        <w:rPr>
          <w:rFonts w:eastAsia="DengXian" w:cs="Times New Roman"/>
          <w:noProof/>
          <w:lang w:eastAsia="zh-CN"/>
        </w:rPr>
        <w:t xml:space="preserve">, </w:t>
      </w:r>
      <w:r w:rsidRPr="002414E9">
        <w:rPr>
          <w:rFonts w:eastAsia="DengXian" w:cs="Times New Roman"/>
          <w:i/>
          <w:iCs/>
          <w:noProof/>
          <w:lang w:eastAsia="zh-CN"/>
        </w:rPr>
        <w:t>3</w:t>
      </w:r>
      <w:r w:rsidRPr="002414E9">
        <w:rPr>
          <w:rFonts w:eastAsia="DengXian" w:cs="Times New Roman"/>
          <w:noProof/>
          <w:lang w:eastAsia="zh-CN"/>
        </w:rPr>
        <w:t>(4), 351–365. https://doi.org/10.1177/1368430200003004002</w:t>
      </w:r>
    </w:p>
    <w:p w14:paraId="7C0FF42C" w14:textId="72F98BCD" w:rsidR="002414E9" w:rsidRPr="002414E9" w:rsidRDefault="002414E9" w:rsidP="002414E9">
      <w:pPr>
        <w:widowControl w:val="0"/>
        <w:autoSpaceDE w:val="0"/>
        <w:autoSpaceDN w:val="0"/>
        <w:adjustRightInd w:val="0"/>
        <w:ind w:left="709" w:hanging="709"/>
        <w:rPr>
          <w:rFonts w:eastAsia="DengXian" w:cs="Times New Roman"/>
          <w:noProof/>
          <w:lang w:val="en-GB" w:eastAsia="zh-CN"/>
        </w:rPr>
      </w:pPr>
      <w:r w:rsidRPr="002414E9">
        <w:rPr>
          <w:rFonts w:eastAsia="DengXian" w:cs="Times New Roman"/>
          <w:noProof/>
          <w:lang w:val="nl-NL" w:eastAsia="zh-CN"/>
        </w:rPr>
        <w:t xml:space="preserve">Güth, W., Levati, M. V., Sutter, M., &amp; Van der Heijden, E. (2007). </w:t>
      </w:r>
      <w:r w:rsidRPr="002414E9">
        <w:rPr>
          <w:rFonts w:eastAsia="DengXian" w:cs="Times New Roman"/>
          <w:noProof/>
          <w:lang w:eastAsia="zh-CN"/>
        </w:rPr>
        <w:t xml:space="preserve">Leading by example with and without exclusion power in voluntary contribution experiments. </w:t>
      </w:r>
      <w:r w:rsidRPr="002414E9">
        <w:rPr>
          <w:rFonts w:eastAsia="DengXian" w:cs="Times New Roman"/>
          <w:i/>
          <w:iCs/>
          <w:noProof/>
          <w:lang w:val="en-GB" w:eastAsia="zh-CN"/>
        </w:rPr>
        <w:t>Journal of Public Economics</w:t>
      </w:r>
      <w:r w:rsidRPr="002414E9">
        <w:rPr>
          <w:rFonts w:eastAsia="DengXian" w:cs="Times New Roman"/>
          <w:noProof/>
          <w:lang w:val="en-GB" w:eastAsia="zh-CN"/>
        </w:rPr>
        <w:t xml:space="preserve">, </w:t>
      </w:r>
      <w:r w:rsidRPr="002414E9">
        <w:rPr>
          <w:rFonts w:eastAsia="DengXian" w:cs="Times New Roman"/>
          <w:i/>
          <w:iCs/>
          <w:noProof/>
          <w:lang w:val="en-GB" w:eastAsia="zh-CN"/>
        </w:rPr>
        <w:t>91</w:t>
      </w:r>
      <w:r w:rsidRPr="002414E9">
        <w:rPr>
          <w:rFonts w:eastAsia="DengXian" w:cs="Times New Roman"/>
          <w:noProof/>
          <w:lang w:val="en-GB" w:eastAsia="zh-CN"/>
        </w:rPr>
        <w:t>(5–6), 1023–1042. https://doi.org/10.1016/j.jpubeco.2006.10.007</w:t>
      </w:r>
    </w:p>
    <w:p w14:paraId="0B172B1B" w14:textId="6A75244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Guttman, J. M. (1986). Matching behavior and collective action.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7</w:t>
      </w:r>
      <w:r w:rsidRPr="002414E9">
        <w:rPr>
          <w:rFonts w:eastAsia="DengXian" w:cs="Times New Roman"/>
          <w:noProof/>
          <w:lang w:eastAsia="zh-CN"/>
        </w:rPr>
        <w:t>(2), 171–198. https://doi.org/10.1016/0167-2681(86)90004-1</w:t>
      </w:r>
    </w:p>
    <w:p w14:paraId="12DD6CAC" w14:textId="2AFD3B04"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Guyer, M. (1968). Response‐dependent parameter changes in the prisoner's dilemma game. </w:t>
      </w:r>
      <w:r w:rsidRPr="002414E9">
        <w:rPr>
          <w:rFonts w:eastAsia="DengXian" w:cs="Times New Roman"/>
          <w:bCs/>
          <w:i/>
          <w:iCs/>
          <w:noProof/>
          <w:lang w:eastAsia="zh-CN"/>
        </w:rPr>
        <w:t>Behavioral Science</w:t>
      </w:r>
      <w:r w:rsidRPr="002414E9">
        <w:rPr>
          <w:rFonts w:eastAsia="DengXian" w:cs="Times New Roman"/>
          <w:bCs/>
          <w:noProof/>
          <w:lang w:eastAsia="zh-CN"/>
        </w:rPr>
        <w:t xml:space="preserve">, </w:t>
      </w:r>
      <w:r w:rsidRPr="002414E9">
        <w:rPr>
          <w:rFonts w:eastAsia="DengXian" w:cs="Times New Roman"/>
          <w:bCs/>
          <w:i/>
          <w:iCs/>
          <w:noProof/>
          <w:lang w:eastAsia="zh-CN"/>
        </w:rPr>
        <w:t>13</w:t>
      </w:r>
      <w:r w:rsidRPr="002414E9">
        <w:rPr>
          <w:rFonts w:eastAsia="DengXian" w:cs="Times New Roman"/>
          <w:bCs/>
          <w:noProof/>
          <w:lang w:eastAsia="zh-CN"/>
        </w:rPr>
        <w:t>(3), 205–219. https://doi.org/10.1002/bs.3830130305</w:t>
      </w:r>
    </w:p>
    <w:p w14:paraId="539ECF5C" w14:textId="4FCDDB06"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Guyer, M., Fox, J., &amp; Hamburger, H. (1973). Format effects in the prisoner's dilemma game.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17</w:t>
      </w:r>
      <w:r w:rsidRPr="002414E9">
        <w:rPr>
          <w:rFonts w:eastAsia="DengXian" w:cs="Times New Roman"/>
          <w:bCs/>
          <w:noProof/>
          <w:lang w:eastAsia="zh-CN"/>
        </w:rPr>
        <w:t xml:space="preserve">(4), 719–744. </w:t>
      </w:r>
      <w:r w:rsidRPr="002414E9">
        <w:rPr>
          <w:rFonts w:eastAsia="DengXian" w:cs="Times New Roman"/>
          <w:bCs/>
          <w:noProof/>
          <w:lang w:eastAsia="zh-CN"/>
        </w:rPr>
        <w:lastRenderedPageBreak/>
        <w:t>https://doi.org/10.1177/002200277301700407</w:t>
      </w:r>
    </w:p>
    <w:p w14:paraId="0E85E433" w14:textId="275855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Haesevoets, T., Folmer, C. R., &amp; Van Hiel, A. (2015). </w:t>
      </w:r>
      <w:r w:rsidRPr="002414E9">
        <w:rPr>
          <w:rFonts w:eastAsia="DengXian" w:cs="Times New Roman"/>
          <w:noProof/>
          <w:lang w:eastAsia="zh-CN"/>
        </w:rPr>
        <w:t xml:space="preserve">Cooperation in mixed–motive games: The role of individual differences in selfish and social orientation. </w:t>
      </w:r>
      <w:r w:rsidRPr="002414E9">
        <w:rPr>
          <w:rFonts w:eastAsia="DengXian" w:cs="Times New Roman"/>
          <w:i/>
          <w:iCs/>
          <w:noProof/>
          <w:lang w:eastAsia="zh-CN"/>
        </w:rPr>
        <w:t>European Journal of Personality</w:t>
      </w:r>
      <w:r w:rsidRPr="002414E9">
        <w:rPr>
          <w:rFonts w:eastAsia="DengXian" w:cs="Times New Roman"/>
          <w:noProof/>
          <w:lang w:eastAsia="zh-CN"/>
        </w:rPr>
        <w:t xml:space="preserve">, </w:t>
      </w:r>
      <w:r w:rsidRPr="002414E9">
        <w:rPr>
          <w:rFonts w:eastAsia="DengXian" w:cs="Times New Roman"/>
          <w:i/>
          <w:iCs/>
          <w:noProof/>
          <w:lang w:eastAsia="zh-CN"/>
        </w:rPr>
        <w:t>29</w:t>
      </w:r>
      <w:r w:rsidRPr="002414E9">
        <w:rPr>
          <w:rFonts w:eastAsia="DengXian" w:cs="Times New Roman"/>
          <w:noProof/>
          <w:lang w:eastAsia="zh-CN"/>
        </w:rPr>
        <w:t>(4), 445–458. https://doi.org/10.1002/per.1992</w:t>
      </w:r>
    </w:p>
    <w:p w14:paraId="419041F5" w14:textId="02D3795F" w:rsidR="002414E9" w:rsidRPr="002414E9" w:rsidRDefault="002414E9" w:rsidP="002414E9">
      <w:pPr>
        <w:widowControl w:val="0"/>
        <w:autoSpaceDE w:val="0"/>
        <w:autoSpaceDN w:val="0"/>
        <w:adjustRightInd w:val="0"/>
        <w:ind w:left="709" w:hanging="709"/>
        <w:rPr>
          <w:rFonts w:eastAsia="DengXian" w:cs="Times New Roman"/>
          <w:noProof/>
          <w:lang w:val="en-GB" w:eastAsia="zh-CN"/>
        </w:rPr>
      </w:pPr>
      <w:r w:rsidRPr="002414E9">
        <w:rPr>
          <w:rFonts w:eastAsia="DengXian" w:cs="Times New Roman"/>
          <w:noProof/>
          <w:lang w:eastAsia="zh-CN"/>
        </w:rPr>
        <w:t xml:space="preserve">Haigner, S. D., &amp; Wakolbinger, F. (2010). To lead or not to lead: Endogenous sequencing in public goods games. </w:t>
      </w:r>
      <w:r w:rsidRPr="002414E9">
        <w:rPr>
          <w:rFonts w:eastAsia="DengXian" w:cs="Times New Roman"/>
          <w:i/>
          <w:iCs/>
          <w:noProof/>
          <w:lang w:val="en-GB" w:eastAsia="zh-CN"/>
        </w:rPr>
        <w:t>Economics Letters</w:t>
      </w:r>
      <w:r w:rsidRPr="002414E9">
        <w:rPr>
          <w:rFonts w:eastAsia="DengXian" w:cs="Times New Roman"/>
          <w:noProof/>
          <w:lang w:val="en-GB" w:eastAsia="zh-CN"/>
        </w:rPr>
        <w:t xml:space="preserve">, </w:t>
      </w:r>
      <w:r w:rsidRPr="002414E9">
        <w:rPr>
          <w:rFonts w:eastAsia="DengXian" w:cs="Times New Roman"/>
          <w:i/>
          <w:iCs/>
          <w:noProof/>
          <w:lang w:val="en-GB" w:eastAsia="zh-CN"/>
        </w:rPr>
        <w:t>108</w:t>
      </w:r>
      <w:r w:rsidRPr="002414E9">
        <w:rPr>
          <w:rFonts w:eastAsia="DengXian" w:cs="Times New Roman"/>
          <w:noProof/>
          <w:lang w:val="en-GB" w:eastAsia="zh-CN"/>
        </w:rPr>
        <w:t>(1), 93–95. https://doi.org/10.1016/j.econlet.2010.04.025</w:t>
      </w:r>
    </w:p>
    <w:p w14:paraId="563F2E24" w14:textId="05E3DB6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n-GB" w:eastAsia="zh-CN"/>
        </w:rPr>
        <w:t xml:space="preserve">Haile, D., Sadrieh, A., &amp; Verbon, H. A. A. (2008). </w:t>
      </w:r>
      <w:r w:rsidRPr="002414E9">
        <w:rPr>
          <w:rFonts w:eastAsia="DengXian" w:cs="Times New Roman"/>
          <w:noProof/>
          <w:lang w:eastAsia="zh-CN"/>
        </w:rPr>
        <w:t xml:space="preserve">Self-serving dictators and economic growth.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67</w:t>
      </w:r>
      <w:r w:rsidRPr="002414E9">
        <w:rPr>
          <w:rFonts w:eastAsia="DengXian" w:cs="Times New Roman"/>
          <w:noProof/>
          <w:lang w:eastAsia="zh-CN"/>
        </w:rPr>
        <w:t>(3), 573–586. https://doi.org/10.1016/j.jebo.2007.09.004</w:t>
      </w:r>
    </w:p>
    <w:p w14:paraId="50DA089F" w14:textId="1164A024"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Halevy, N., Chou, E. Y., &amp; Murnighan, J. K. (2012). Mind games: The mental representation of conflict. </w:t>
      </w:r>
      <w:r w:rsidRPr="002414E9">
        <w:rPr>
          <w:rFonts w:eastAsia="DengXian" w:cs="Times New Roman"/>
          <w:bCs/>
          <w:i/>
          <w:iCs/>
          <w:noProof/>
          <w:lang w:eastAsia="zh-CN"/>
        </w:rPr>
        <w:t>Journal of Personality and Social Psychology, 102</w:t>
      </w:r>
      <w:r w:rsidRPr="002414E9">
        <w:rPr>
          <w:rFonts w:eastAsia="DengXian" w:cs="Times New Roman"/>
          <w:bCs/>
          <w:noProof/>
          <w:lang w:eastAsia="zh-CN"/>
        </w:rPr>
        <w:t>(1), 132–148. https://doi.org/10.1037/a0025389</w:t>
      </w:r>
    </w:p>
    <w:p w14:paraId="577321A1" w14:textId="5C60458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Halimatussadiah, A., Resosudarmo, B. P., &amp; Widyawati, D. (2017). Social capital to induce a contribution to environmental collective action: results from a laboratory experiment in Indonesia. </w:t>
      </w:r>
      <w:r w:rsidRPr="002414E9">
        <w:rPr>
          <w:rFonts w:eastAsia="DengXian" w:cs="Times New Roman"/>
          <w:i/>
          <w:iCs/>
          <w:noProof/>
          <w:lang w:eastAsia="zh-CN"/>
        </w:rPr>
        <w:t>International Journal of Environment and Sustainable Development</w:t>
      </w:r>
      <w:r w:rsidRPr="002414E9">
        <w:rPr>
          <w:rFonts w:eastAsia="DengXian" w:cs="Times New Roman"/>
          <w:noProof/>
          <w:lang w:eastAsia="zh-CN"/>
        </w:rPr>
        <w:t xml:space="preserve">, </w:t>
      </w:r>
      <w:r w:rsidRPr="002414E9">
        <w:rPr>
          <w:rFonts w:eastAsia="DengXian" w:cs="Times New Roman"/>
          <w:i/>
          <w:iCs/>
          <w:noProof/>
          <w:lang w:eastAsia="zh-CN"/>
        </w:rPr>
        <w:t>16</w:t>
      </w:r>
      <w:r w:rsidRPr="002414E9">
        <w:rPr>
          <w:rFonts w:eastAsia="DengXian" w:cs="Times New Roman"/>
          <w:noProof/>
          <w:lang w:eastAsia="zh-CN"/>
        </w:rPr>
        <w:t>(4), 397–414. https://doi.org/10.1504/IJESD.2017.087262</w:t>
      </w:r>
    </w:p>
    <w:p w14:paraId="76DE0184" w14:textId="74575EE8"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en-GB" w:eastAsia="zh-CN"/>
        </w:rPr>
        <w:t xml:space="preserve">Halpin, S. M., &amp; Pilisuk, M. (1970). </w:t>
      </w:r>
      <w:r w:rsidRPr="002414E9">
        <w:rPr>
          <w:rFonts w:eastAsia="DengXian" w:cs="Times New Roman"/>
          <w:bCs/>
          <w:noProof/>
          <w:lang w:eastAsia="zh-CN"/>
        </w:rPr>
        <w:t xml:space="preserve">Prediction and choice in the Prisoner's Dilemma. </w:t>
      </w:r>
      <w:r w:rsidRPr="002414E9">
        <w:rPr>
          <w:rFonts w:eastAsia="DengXian" w:cs="Times New Roman"/>
          <w:bCs/>
          <w:i/>
          <w:iCs/>
          <w:noProof/>
          <w:lang w:eastAsia="zh-CN"/>
        </w:rPr>
        <w:t>Behavioral Science</w:t>
      </w:r>
      <w:r w:rsidRPr="002414E9">
        <w:rPr>
          <w:rFonts w:eastAsia="DengXian" w:cs="Times New Roman"/>
          <w:bCs/>
          <w:noProof/>
          <w:lang w:eastAsia="zh-CN"/>
        </w:rPr>
        <w:t xml:space="preserve">, </w:t>
      </w:r>
      <w:r w:rsidRPr="002414E9">
        <w:rPr>
          <w:rFonts w:eastAsia="DengXian" w:cs="Times New Roman"/>
          <w:bCs/>
          <w:i/>
          <w:iCs/>
          <w:noProof/>
          <w:lang w:eastAsia="zh-CN"/>
        </w:rPr>
        <w:t>15</w:t>
      </w:r>
      <w:r w:rsidRPr="002414E9">
        <w:rPr>
          <w:rFonts w:eastAsia="DengXian" w:cs="Times New Roman"/>
          <w:bCs/>
          <w:noProof/>
          <w:lang w:eastAsia="zh-CN"/>
        </w:rPr>
        <w:t>(2), 141–153. https://doi.org/10.1002/bs.3830150205</w:t>
      </w:r>
    </w:p>
    <w:p w14:paraId="3DED119A" w14:textId="56E0E82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Hama, Y. (1980). Shakai teki sōgo sayō bamen ni okeru mokuhyō settei no kōka</w:t>
      </w:r>
      <w:r w:rsidRPr="002414E9">
        <w:rPr>
          <w:rFonts w:eastAsia="DengXian" w:cs="Times New Roman" w:hint="eastAsia"/>
          <w:noProof/>
          <w:lang w:eastAsia="zh-CN"/>
        </w:rPr>
        <w:t xml:space="preserve"> </w:t>
      </w:r>
      <w:r w:rsidRPr="002414E9">
        <w:rPr>
          <w:rFonts w:eastAsia="DengXian" w:cs="Times New Roman"/>
          <w:noProof/>
          <w:lang w:eastAsia="zh-CN"/>
        </w:rPr>
        <w:t xml:space="preserve">[The effect of goal setting on cooperative responding in social interaction using the PD Game]. </w:t>
      </w:r>
      <w:r w:rsidRPr="002414E9">
        <w:rPr>
          <w:rFonts w:eastAsia="DengXian" w:cs="Times New Roman"/>
          <w:i/>
          <w:iCs/>
          <w:noProof/>
          <w:lang w:eastAsia="zh-CN"/>
        </w:rPr>
        <w:t>The Japanese Journal of Experimental Social Psychology</w:t>
      </w:r>
      <w:r w:rsidRPr="002414E9">
        <w:rPr>
          <w:rFonts w:eastAsia="DengXian" w:cs="Times New Roman"/>
          <w:noProof/>
          <w:lang w:eastAsia="zh-CN"/>
        </w:rPr>
        <w:t xml:space="preserve">, </w:t>
      </w:r>
      <w:r w:rsidRPr="002414E9">
        <w:rPr>
          <w:rFonts w:eastAsia="DengXian" w:cs="Times New Roman"/>
          <w:i/>
          <w:iCs/>
          <w:noProof/>
          <w:lang w:eastAsia="zh-CN"/>
        </w:rPr>
        <w:t>19</w:t>
      </w:r>
      <w:r w:rsidRPr="002414E9">
        <w:rPr>
          <w:rFonts w:eastAsia="DengXian" w:cs="Times New Roman"/>
          <w:noProof/>
          <w:lang w:eastAsia="zh-CN"/>
        </w:rPr>
        <w:t>(2), 137–145. https://doi.org/10.2130/jjesp.19.137</w:t>
      </w:r>
    </w:p>
    <w:p w14:paraId="1C890B90" w14:textId="12650BF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lastRenderedPageBreak/>
        <w:t xml:space="preserve">Hao, F., Gong Q., &amp; Liu, C. (2016). Shehui kunjing zhong tongban xingwei, hezuo xinnian dui hezuo bianhua de yingxiang [Impact of peer behavior and cooperative belief on cooperative changes in social dilemmas]. </w:t>
      </w:r>
      <w:r w:rsidRPr="002414E9">
        <w:rPr>
          <w:rFonts w:eastAsia="DengXian" w:cs="Times New Roman"/>
          <w:i/>
          <w:noProof/>
          <w:lang w:eastAsia="zh-CN"/>
        </w:rPr>
        <w:t>Psychological Science (Chinese), 39</w:t>
      </w:r>
      <w:r w:rsidRPr="002414E9">
        <w:rPr>
          <w:rFonts w:eastAsia="DengXian" w:cs="Times New Roman"/>
          <w:noProof/>
          <w:lang w:eastAsia="zh-CN"/>
        </w:rPr>
        <w:t>(2), 448–453.</w:t>
      </w:r>
    </w:p>
    <w:p w14:paraId="567FC973" w14:textId="65C629D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Hardy, C. L., &amp; Van Vugt, M. (2006). </w:t>
      </w:r>
      <w:r w:rsidRPr="002414E9">
        <w:rPr>
          <w:rFonts w:eastAsia="DengXian" w:cs="Times New Roman"/>
          <w:noProof/>
          <w:lang w:eastAsia="zh-CN"/>
        </w:rPr>
        <w:t xml:space="preserve">Nice Guys Finish First: The competitive altruism hypothesis. </w:t>
      </w:r>
      <w:r w:rsidRPr="002414E9">
        <w:rPr>
          <w:rFonts w:eastAsia="DengXian" w:cs="Times New Roman"/>
          <w:i/>
          <w:iCs/>
          <w:noProof/>
          <w:lang w:eastAsia="zh-CN"/>
        </w:rPr>
        <w:t>Personality and Social Psychology Bulletin</w:t>
      </w:r>
      <w:r w:rsidRPr="002414E9">
        <w:rPr>
          <w:rFonts w:eastAsia="DengXian" w:cs="Times New Roman"/>
          <w:noProof/>
          <w:lang w:eastAsia="zh-CN"/>
        </w:rPr>
        <w:t xml:space="preserve">, </w:t>
      </w:r>
      <w:r w:rsidRPr="002414E9">
        <w:rPr>
          <w:rFonts w:eastAsia="DengXian" w:cs="Times New Roman"/>
          <w:i/>
          <w:iCs/>
          <w:noProof/>
          <w:lang w:eastAsia="zh-CN"/>
        </w:rPr>
        <w:t>32</w:t>
      </w:r>
      <w:r w:rsidRPr="002414E9">
        <w:rPr>
          <w:rFonts w:eastAsia="DengXian" w:cs="Times New Roman"/>
          <w:noProof/>
          <w:lang w:eastAsia="zh-CN"/>
        </w:rPr>
        <w:t>(10), 1402–1413. https://doi.org/10.1177/0146167206291006</w:t>
      </w:r>
    </w:p>
    <w:p w14:paraId="7F603330" w14:textId="7E40C8A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Harford, T., &amp; Cutter, H. S. (1966). Cooperation among Negro and white boys and girls. </w:t>
      </w:r>
      <w:r w:rsidRPr="002414E9">
        <w:rPr>
          <w:rFonts w:eastAsia="DengXian" w:cs="Times New Roman"/>
          <w:i/>
          <w:iCs/>
          <w:noProof/>
          <w:lang w:eastAsia="zh-CN"/>
        </w:rPr>
        <w:t>Psychological Reports</w:t>
      </w:r>
      <w:r w:rsidRPr="002414E9">
        <w:rPr>
          <w:rFonts w:eastAsia="DengXian" w:cs="Times New Roman"/>
          <w:noProof/>
          <w:lang w:eastAsia="zh-CN"/>
        </w:rPr>
        <w:t xml:space="preserve">, </w:t>
      </w:r>
      <w:r w:rsidRPr="002414E9">
        <w:rPr>
          <w:rFonts w:eastAsia="DengXian" w:cs="Times New Roman"/>
          <w:i/>
          <w:iCs/>
          <w:noProof/>
          <w:lang w:eastAsia="zh-CN"/>
        </w:rPr>
        <w:t>18</w:t>
      </w:r>
      <w:r w:rsidRPr="002414E9">
        <w:rPr>
          <w:rFonts w:eastAsia="DengXian" w:cs="Times New Roman"/>
          <w:noProof/>
          <w:lang w:eastAsia="zh-CN"/>
        </w:rPr>
        <w:t>(3), 818. https://doi.org/10.2466/pr0.1966.18.3.818</w:t>
      </w:r>
    </w:p>
    <w:p w14:paraId="2898C6A7" w14:textId="165F299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Hargreaves Heap, S. P., Ramalingam, A., &amp; Stoddard, B. V. (2016). Endowment inequality in public goods games: A re-examination. </w:t>
      </w:r>
      <w:r w:rsidRPr="002414E9">
        <w:rPr>
          <w:rFonts w:eastAsia="DengXian" w:cs="Times New Roman"/>
          <w:i/>
          <w:iCs/>
          <w:noProof/>
          <w:lang w:eastAsia="zh-CN"/>
        </w:rPr>
        <w:t>Economics Letters</w:t>
      </w:r>
      <w:r w:rsidRPr="002414E9">
        <w:rPr>
          <w:rFonts w:eastAsia="DengXian" w:cs="Times New Roman"/>
          <w:noProof/>
          <w:lang w:eastAsia="zh-CN"/>
        </w:rPr>
        <w:t xml:space="preserve">, </w:t>
      </w:r>
      <w:r w:rsidRPr="002414E9">
        <w:rPr>
          <w:rFonts w:eastAsia="DengXian" w:cs="Times New Roman"/>
          <w:i/>
          <w:iCs/>
          <w:noProof/>
          <w:lang w:eastAsia="zh-CN"/>
        </w:rPr>
        <w:t>146</w:t>
      </w:r>
      <w:r w:rsidRPr="002414E9">
        <w:rPr>
          <w:rFonts w:eastAsia="DengXian" w:cs="Times New Roman"/>
          <w:noProof/>
          <w:lang w:eastAsia="zh-CN"/>
        </w:rPr>
        <w:t>, 4–7. https://doi.org/10.1016/j.econlet.2016.07.015</w:t>
      </w:r>
    </w:p>
    <w:p w14:paraId="0809C538" w14:textId="5BCBDEEC"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Harrison, A. A., &amp; McClintock, C. G. (1965). Previous experience within the dyad and cooperative game behavior. </w:t>
      </w:r>
      <w:r w:rsidRPr="002414E9">
        <w:rPr>
          <w:rFonts w:eastAsia="DengXian" w:cs="Times New Roman"/>
          <w:bCs/>
          <w:i/>
          <w:iCs/>
          <w:noProof/>
          <w:lang w:eastAsia="zh-CN"/>
        </w:rPr>
        <w:t>Journal of Personality and Social Psychology, 1</w:t>
      </w:r>
      <w:r w:rsidRPr="002414E9">
        <w:rPr>
          <w:rFonts w:eastAsia="DengXian" w:cs="Times New Roman"/>
          <w:bCs/>
          <w:noProof/>
          <w:lang w:eastAsia="zh-CN"/>
        </w:rPr>
        <w:t>(6), 671–675. https://doi.org/10.1037/h0022097</w:t>
      </w:r>
    </w:p>
    <w:p w14:paraId="79DFB2EE" w14:textId="3733E5BE" w:rsidR="002414E9" w:rsidRPr="002414E9" w:rsidRDefault="002414E9" w:rsidP="002414E9">
      <w:pPr>
        <w:widowControl w:val="0"/>
        <w:autoSpaceDE w:val="0"/>
        <w:autoSpaceDN w:val="0"/>
        <w:adjustRightInd w:val="0"/>
        <w:ind w:left="709" w:hanging="709"/>
        <w:rPr>
          <w:rFonts w:eastAsia="DengXian" w:cs="Times New Roman"/>
          <w:noProof/>
          <w:lang w:val="nl-NL" w:eastAsia="zh-CN"/>
        </w:rPr>
      </w:pPr>
      <w:r w:rsidRPr="002414E9">
        <w:rPr>
          <w:rFonts w:eastAsia="DengXian" w:cs="Times New Roman"/>
          <w:noProof/>
          <w:lang w:val="es-ES" w:eastAsia="zh-CN"/>
        </w:rPr>
        <w:t xml:space="preserve">Harrison, F., &amp; el Mouden, C. (2011). </w:t>
      </w:r>
      <w:r w:rsidRPr="002414E9">
        <w:rPr>
          <w:rFonts w:eastAsia="DengXian" w:cs="Times New Roman"/>
          <w:noProof/>
          <w:lang w:eastAsia="zh-CN"/>
        </w:rPr>
        <w:t xml:space="preserve">Exploring the effects of working for endowments on behaviour in Standard Economic Games. </w:t>
      </w:r>
      <w:r w:rsidRPr="002414E9">
        <w:rPr>
          <w:rFonts w:eastAsia="DengXian" w:cs="Times New Roman"/>
          <w:i/>
          <w:iCs/>
          <w:noProof/>
          <w:lang w:val="nl-NL" w:eastAsia="zh-CN"/>
        </w:rPr>
        <w:t>PLoS ONE</w:t>
      </w:r>
      <w:r w:rsidRPr="002414E9">
        <w:rPr>
          <w:rFonts w:eastAsia="DengXian" w:cs="Times New Roman"/>
          <w:noProof/>
          <w:lang w:val="nl-NL" w:eastAsia="zh-CN"/>
        </w:rPr>
        <w:t xml:space="preserve">, </w:t>
      </w:r>
      <w:r w:rsidRPr="002414E9">
        <w:rPr>
          <w:rFonts w:eastAsia="DengXian" w:cs="Times New Roman"/>
          <w:i/>
          <w:iCs/>
          <w:noProof/>
          <w:lang w:val="nl-NL" w:eastAsia="zh-CN"/>
        </w:rPr>
        <w:t>6</w:t>
      </w:r>
      <w:r w:rsidRPr="002414E9">
        <w:rPr>
          <w:rFonts w:eastAsia="DengXian" w:cs="Times New Roman"/>
          <w:noProof/>
          <w:lang w:val="nl-NL" w:eastAsia="zh-CN"/>
        </w:rPr>
        <w:t>(11), e27623. https://doi.org/10.1371/journal.pone.0027623</w:t>
      </w:r>
    </w:p>
    <w:p w14:paraId="15E06081" w14:textId="5D0173F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Hart, C. M., &amp; Van Vugt, M. (2006). </w:t>
      </w:r>
      <w:r w:rsidRPr="002414E9">
        <w:rPr>
          <w:rFonts w:eastAsia="DengXian" w:cs="Times New Roman"/>
          <w:noProof/>
          <w:lang w:eastAsia="zh-CN"/>
        </w:rPr>
        <w:t xml:space="preserve">From fault line to group fission: Understanding membership changes in small groups. </w:t>
      </w:r>
      <w:r w:rsidRPr="002414E9">
        <w:rPr>
          <w:rFonts w:eastAsia="DengXian" w:cs="Times New Roman"/>
          <w:i/>
          <w:iCs/>
          <w:noProof/>
          <w:lang w:eastAsia="zh-CN"/>
        </w:rPr>
        <w:t>Personality and Social Psychology Bulletin</w:t>
      </w:r>
      <w:r w:rsidRPr="002414E9">
        <w:rPr>
          <w:rFonts w:eastAsia="DengXian" w:cs="Times New Roman"/>
          <w:noProof/>
          <w:lang w:eastAsia="zh-CN"/>
        </w:rPr>
        <w:t xml:space="preserve">, </w:t>
      </w:r>
      <w:r w:rsidRPr="002414E9">
        <w:rPr>
          <w:rFonts w:eastAsia="DengXian" w:cs="Times New Roman"/>
          <w:i/>
          <w:iCs/>
          <w:noProof/>
          <w:lang w:eastAsia="zh-CN"/>
        </w:rPr>
        <w:t>32</w:t>
      </w:r>
      <w:r w:rsidRPr="002414E9">
        <w:rPr>
          <w:rFonts w:eastAsia="DengXian" w:cs="Times New Roman"/>
          <w:noProof/>
          <w:lang w:eastAsia="zh-CN"/>
        </w:rPr>
        <w:t>(3), 392–404. https://doi.org/10.1177/0146167205282149</w:t>
      </w:r>
    </w:p>
    <w:p w14:paraId="5BE2FB12" w14:textId="1BCB2260"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Hartman, E. A. (1974). Degree of cooperation in a Prisoner's Dilemma as a function of sex roles, responsiveness and the exploitativeness of the simulated other. </w:t>
      </w:r>
      <w:r w:rsidRPr="002414E9">
        <w:rPr>
          <w:rFonts w:eastAsia="DengXian" w:cs="Times New Roman"/>
          <w:bCs/>
          <w:i/>
          <w:iCs/>
          <w:noProof/>
          <w:lang w:eastAsia="zh-CN"/>
        </w:rPr>
        <w:t xml:space="preserve">Proceedings of the </w:t>
      </w:r>
      <w:r w:rsidRPr="002414E9">
        <w:rPr>
          <w:rFonts w:eastAsia="DengXian" w:cs="Times New Roman"/>
          <w:bCs/>
          <w:i/>
          <w:iCs/>
          <w:noProof/>
          <w:lang w:eastAsia="zh-CN"/>
        </w:rPr>
        <w:lastRenderedPageBreak/>
        <w:t>Division of Personality and Society Psychology</w:t>
      </w:r>
      <w:r w:rsidRPr="002414E9">
        <w:rPr>
          <w:rFonts w:eastAsia="DengXian" w:cs="Times New Roman"/>
          <w:bCs/>
          <w:noProof/>
          <w:lang w:eastAsia="zh-CN"/>
        </w:rPr>
        <w:t xml:space="preserve">, </w:t>
      </w:r>
      <w:r w:rsidRPr="002414E9">
        <w:rPr>
          <w:rFonts w:eastAsia="DengXian" w:cs="Times New Roman"/>
          <w:bCs/>
          <w:i/>
          <w:iCs/>
          <w:noProof/>
          <w:lang w:eastAsia="zh-CN"/>
        </w:rPr>
        <w:t>1</w:t>
      </w:r>
      <w:r w:rsidRPr="002414E9">
        <w:rPr>
          <w:rFonts w:eastAsia="DengXian" w:cs="Times New Roman"/>
          <w:bCs/>
          <w:noProof/>
          <w:lang w:eastAsia="zh-CN"/>
        </w:rPr>
        <w:t>(1), 287–289. https://doi.org/10.1177/014616727400100197</w:t>
      </w:r>
    </w:p>
    <w:p w14:paraId="2DC6C2F3" w14:textId="5AF28D92"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Hartman, E. A. (1980). Motivational bases of sex differences in choice behavior.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24</w:t>
      </w:r>
      <w:r w:rsidRPr="002414E9">
        <w:rPr>
          <w:rFonts w:eastAsia="DengXian" w:cs="Times New Roman"/>
          <w:bCs/>
          <w:noProof/>
          <w:lang w:eastAsia="zh-CN"/>
        </w:rPr>
        <w:t>(3), 455–475. https://doi.org/10.1177/002200278002400304</w:t>
      </w:r>
    </w:p>
    <w:p w14:paraId="3D319CD9" w14:textId="262E0BE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Haruvy, E., Li, S. X., McCabe, K., &amp; Twieg, P. (2017). Communication and visibility in public goods provision. </w:t>
      </w:r>
      <w:r w:rsidRPr="002414E9">
        <w:rPr>
          <w:rFonts w:eastAsia="DengXian" w:cs="Times New Roman"/>
          <w:i/>
          <w:iCs/>
          <w:noProof/>
          <w:lang w:eastAsia="zh-CN"/>
        </w:rPr>
        <w:t>Games and Economic Behavior</w:t>
      </w:r>
      <w:r w:rsidRPr="002414E9">
        <w:rPr>
          <w:rFonts w:eastAsia="DengXian" w:cs="Times New Roman"/>
          <w:noProof/>
          <w:lang w:eastAsia="zh-CN"/>
        </w:rPr>
        <w:t xml:space="preserve">, </w:t>
      </w:r>
      <w:r w:rsidRPr="002414E9">
        <w:rPr>
          <w:rFonts w:eastAsia="DengXian" w:cs="Times New Roman"/>
          <w:i/>
          <w:iCs/>
          <w:noProof/>
          <w:lang w:eastAsia="zh-CN"/>
        </w:rPr>
        <w:t>105</w:t>
      </w:r>
      <w:r w:rsidRPr="002414E9">
        <w:rPr>
          <w:rFonts w:eastAsia="DengXian" w:cs="Times New Roman"/>
          <w:noProof/>
          <w:lang w:eastAsia="zh-CN"/>
        </w:rPr>
        <w:t>, 276–296. https://doi.org/10.1016/j.geb.2017.08.002</w:t>
      </w:r>
    </w:p>
    <w:p w14:paraId="335B0FFE" w14:textId="4F8C86E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Hasson, R., Löfgren, Å., &amp; Visser, M. (2010). Climate change in a public goods game: Investment decision in mitigation versus adaptation. </w:t>
      </w:r>
      <w:r w:rsidRPr="002414E9">
        <w:rPr>
          <w:rFonts w:eastAsia="DengXian" w:cs="Times New Roman"/>
          <w:i/>
          <w:iCs/>
          <w:noProof/>
          <w:lang w:eastAsia="zh-CN"/>
        </w:rPr>
        <w:t>Ecological Economics</w:t>
      </w:r>
      <w:r w:rsidRPr="002414E9">
        <w:rPr>
          <w:rFonts w:eastAsia="DengXian" w:cs="Times New Roman"/>
          <w:noProof/>
          <w:lang w:eastAsia="zh-CN"/>
        </w:rPr>
        <w:t xml:space="preserve">, </w:t>
      </w:r>
      <w:r w:rsidRPr="002414E9">
        <w:rPr>
          <w:rFonts w:eastAsia="DengXian" w:cs="Times New Roman"/>
          <w:i/>
          <w:iCs/>
          <w:noProof/>
          <w:lang w:eastAsia="zh-CN"/>
        </w:rPr>
        <w:t>70</w:t>
      </w:r>
      <w:r w:rsidRPr="002414E9">
        <w:rPr>
          <w:rFonts w:eastAsia="DengXian" w:cs="Times New Roman"/>
          <w:noProof/>
          <w:lang w:eastAsia="zh-CN"/>
        </w:rPr>
        <w:t>(2), 331–338. https://doi.org/10.1016/j.ecolecon.2010.09.004</w:t>
      </w:r>
    </w:p>
    <w:p w14:paraId="478150F9" w14:textId="5D1FEC6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Hayashi, N., Ostrom, E., Walker, J., &amp; Yamagishi, T. (1999). Reciprocity, trust, and the sense of control: A cross-societal study. </w:t>
      </w:r>
      <w:r w:rsidRPr="002414E9">
        <w:rPr>
          <w:rFonts w:eastAsia="DengXian" w:cs="Times New Roman"/>
          <w:i/>
          <w:iCs/>
          <w:noProof/>
          <w:lang w:eastAsia="zh-CN"/>
        </w:rPr>
        <w:t>Rationality and Society</w:t>
      </w:r>
      <w:r w:rsidRPr="002414E9">
        <w:rPr>
          <w:rFonts w:eastAsia="DengXian" w:cs="Times New Roman"/>
          <w:noProof/>
          <w:lang w:eastAsia="zh-CN"/>
        </w:rPr>
        <w:t xml:space="preserve">, </w:t>
      </w:r>
      <w:r w:rsidRPr="002414E9">
        <w:rPr>
          <w:rFonts w:eastAsia="DengXian" w:cs="Times New Roman"/>
          <w:i/>
          <w:iCs/>
          <w:noProof/>
          <w:lang w:eastAsia="zh-CN"/>
        </w:rPr>
        <w:t>11</w:t>
      </w:r>
      <w:r w:rsidRPr="002414E9">
        <w:rPr>
          <w:rFonts w:eastAsia="DengXian" w:cs="Times New Roman"/>
          <w:noProof/>
          <w:lang w:eastAsia="zh-CN"/>
        </w:rPr>
        <w:t>(1), 27–46. https://doi.org/10.1177/104346399011001002</w:t>
      </w:r>
    </w:p>
    <w:p w14:paraId="3D390F5B" w14:textId="2CBE581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He, S., Offerman, T., &amp; van de Ven, J. (2017). </w:t>
      </w:r>
      <w:r w:rsidRPr="002414E9">
        <w:rPr>
          <w:rFonts w:eastAsia="DengXian" w:cs="Times New Roman"/>
          <w:noProof/>
          <w:lang w:eastAsia="zh-CN"/>
        </w:rPr>
        <w:t xml:space="preserve">The sources of the communication gap. </w:t>
      </w:r>
      <w:r w:rsidRPr="002414E9">
        <w:rPr>
          <w:rFonts w:eastAsia="DengXian" w:cs="Times New Roman"/>
          <w:i/>
          <w:iCs/>
          <w:noProof/>
          <w:lang w:eastAsia="zh-CN"/>
        </w:rPr>
        <w:t>Management Science</w:t>
      </w:r>
      <w:r w:rsidRPr="002414E9">
        <w:rPr>
          <w:rFonts w:eastAsia="DengXian" w:cs="Times New Roman"/>
          <w:noProof/>
          <w:lang w:eastAsia="zh-CN"/>
        </w:rPr>
        <w:t xml:space="preserve">, </w:t>
      </w:r>
      <w:r w:rsidRPr="002414E9">
        <w:rPr>
          <w:rFonts w:eastAsia="DengXian" w:cs="Times New Roman"/>
          <w:i/>
          <w:iCs/>
          <w:noProof/>
          <w:lang w:eastAsia="zh-CN"/>
        </w:rPr>
        <w:t>63</w:t>
      </w:r>
      <w:r w:rsidRPr="002414E9">
        <w:rPr>
          <w:rFonts w:eastAsia="DengXian" w:cs="Times New Roman"/>
          <w:noProof/>
          <w:lang w:eastAsia="zh-CN"/>
        </w:rPr>
        <w:t>(9), 2832–2846. https://doi.org/10.1287/mnsc.2016.2518</w:t>
      </w:r>
    </w:p>
    <w:p w14:paraId="510EF451" w14:textId="1D45FDD7" w:rsidR="002414E9" w:rsidRPr="002414E9" w:rsidRDefault="002414E9" w:rsidP="002414E9">
      <w:pPr>
        <w:widowControl w:val="0"/>
        <w:autoSpaceDE w:val="0"/>
        <w:autoSpaceDN w:val="0"/>
        <w:adjustRightInd w:val="0"/>
        <w:ind w:left="709" w:hanging="709"/>
        <w:rPr>
          <w:rFonts w:eastAsia="DengXian" w:cs="Times New Roman"/>
          <w:noProof/>
          <w:lang w:eastAsia="zh-CN"/>
        </w:rPr>
      </w:pPr>
      <w:bookmarkStart w:id="59" w:name="_Hlk73017620"/>
      <w:bookmarkStart w:id="60" w:name="_Hlk73017251"/>
      <w:r w:rsidRPr="002414E9">
        <w:rPr>
          <w:rFonts w:eastAsia="DengXian" w:cs="Times New Roman"/>
          <w:noProof/>
          <w:lang w:eastAsia="zh-CN"/>
        </w:rPr>
        <w:t xml:space="preserve">He, X. (2006). </w:t>
      </w:r>
      <w:r w:rsidRPr="002414E9">
        <w:rPr>
          <w:rFonts w:eastAsia="DengXian" w:cs="Times New Roman"/>
          <w:i/>
          <w:iCs/>
          <w:noProof/>
          <w:lang w:eastAsia="zh-CN"/>
        </w:rPr>
        <w:t>Ziyuan liangnan boyi zhong renji pingjia zeren guiyin ji fuxing qingxu de yanjiu</w:t>
      </w:r>
      <w:r w:rsidRPr="002414E9">
        <w:rPr>
          <w:rFonts w:eastAsia="DengXian" w:cs="Times New Roman"/>
          <w:noProof/>
          <w:lang w:eastAsia="zh-CN"/>
        </w:rPr>
        <w:t xml:space="preserve"> [A research on interpersonal evaluation, responsibility attribution and negative emotion in public resource dilemma] [Master's thesis, Zhejiang daxue]. CNKI Theses and Dissertations Database.</w:t>
      </w:r>
      <w:bookmarkEnd w:id="59"/>
      <w:bookmarkEnd w:id="60"/>
    </w:p>
    <w:p w14:paraId="66801E02" w14:textId="2127DD4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Heider, J. D., &amp; Skowronski, J. J. (2007). </w:t>
      </w:r>
      <w:r w:rsidRPr="002414E9">
        <w:rPr>
          <w:rFonts w:eastAsia="DengXian" w:cs="Times New Roman"/>
          <w:noProof/>
          <w:lang w:eastAsia="zh-CN"/>
        </w:rPr>
        <w:t xml:space="preserve">Improving the predictive validity of the implicit association test. </w:t>
      </w:r>
      <w:r w:rsidRPr="002414E9">
        <w:rPr>
          <w:rFonts w:eastAsia="DengXian" w:cs="Times New Roman"/>
          <w:i/>
          <w:iCs/>
          <w:noProof/>
          <w:lang w:eastAsia="zh-CN"/>
        </w:rPr>
        <w:t>North American Journal of Psychology</w:t>
      </w:r>
      <w:r w:rsidRPr="002414E9">
        <w:rPr>
          <w:rFonts w:eastAsia="DengXian" w:cs="Times New Roman"/>
          <w:noProof/>
          <w:lang w:eastAsia="zh-CN"/>
        </w:rPr>
        <w:t xml:space="preserve">, </w:t>
      </w:r>
      <w:r w:rsidRPr="002414E9">
        <w:rPr>
          <w:rFonts w:eastAsia="DengXian" w:cs="Times New Roman"/>
          <w:i/>
          <w:iCs/>
          <w:noProof/>
          <w:lang w:eastAsia="zh-CN"/>
        </w:rPr>
        <w:t>9</w:t>
      </w:r>
      <w:r w:rsidRPr="002414E9">
        <w:rPr>
          <w:rFonts w:eastAsia="DengXian" w:cs="Times New Roman"/>
          <w:noProof/>
          <w:lang w:eastAsia="zh-CN"/>
        </w:rPr>
        <w:t>(1), 53–76.</w:t>
      </w:r>
    </w:p>
    <w:p w14:paraId="5C0C170E" w14:textId="11609ACD" w:rsidR="002414E9" w:rsidRPr="002414E9" w:rsidRDefault="002414E9" w:rsidP="002414E9">
      <w:pPr>
        <w:widowControl w:val="0"/>
        <w:autoSpaceDE w:val="0"/>
        <w:autoSpaceDN w:val="0"/>
        <w:adjustRightInd w:val="0"/>
        <w:ind w:left="709" w:hanging="709"/>
        <w:rPr>
          <w:rFonts w:eastAsia="DengXian" w:cs="Times New Roman"/>
          <w:noProof/>
          <w:lang w:val="it-IT" w:eastAsia="zh-CN"/>
        </w:rPr>
      </w:pPr>
      <w:r w:rsidRPr="002414E9">
        <w:rPr>
          <w:rFonts w:eastAsia="DengXian" w:cs="Times New Roman"/>
          <w:noProof/>
          <w:lang w:eastAsia="zh-CN"/>
        </w:rPr>
        <w:t xml:space="preserve">Hemesath, M. (1994). Survey article: Cooperate or defect? Russian and American students in a prisoner’s dilemma. </w:t>
      </w:r>
      <w:r w:rsidRPr="002414E9">
        <w:rPr>
          <w:rFonts w:eastAsia="DengXian" w:cs="Times New Roman"/>
          <w:i/>
          <w:iCs/>
          <w:noProof/>
          <w:lang w:val="it-IT" w:eastAsia="zh-CN"/>
        </w:rPr>
        <w:t>Comparative Economic Studies</w:t>
      </w:r>
      <w:r w:rsidRPr="002414E9">
        <w:rPr>
          <w:rFonts w:eastAsia="DengXian" w:cs="Times New Roman"/>
          <w:noProof/>
          <w:lang w:val="it-IT" w:eastAsia="zh-CN"/>
        </w:rPr>
        <w:t xml:space="preserve">, </w:t>
      </w:r>
      <w:r w:rsidRPr="002414E9">
        <w:rPr>
          <w:rFonts w:eastAsia="DengXian" w:cs="Times New Roman"/>
          <w:i/>
          <w:iCs/>
          <w:noProof/>
          <w:lang w:val="it-IT" w:eastAsia="zh-CN"/>
        </w:rPr>
        <w:t>36</w:t>
      </w:r>
      <w:r w:rsidRPr="002414E9">
        <w:rPr>
          <w:rFonts w:eastAsia="DengXian" w:cs="Times New Roman"/>
          <w:noProof/>
          <w:lang w:val="it-IT" w:eastAsia="zh-CN"/>
        </w:rPr>
        <w:t xml:space="preserve">, 83–93. </w:t>
      </w:r>
      <w:r w:rsidRPr="002414E9">
        <w:rPr>
          <w:rFonts w:eastAsia="DengXian" w:cs="Times New Roman"/>
          <w:noProof/>
          <w:lang w:val="it-IT" w:eastAsia="zh-CN"/>
        </w:rPr>
        <w:lastRenderedPageBreak/>
        <w:t>https://doi.org/10.1057/ces.1994.6</w:t>
      </w:r>
    </w:p>
    <w:p w14:paraId="56DD563E" w14:textId="421F722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Hemesath, M., &amp; Pomponio, X. (1998). </w:t>
      </w:r>
      <w:r w:rsidRPr="002414E9">
        <w:rPr>
          <w:rFonts w:eastAsia="DengXian" w:cs="Times New Roman"/>
          <w:noProof/>
          <w:lang w:eastAsia="zh-CN"/>
        </w:rPr>
        <w:t xml:space="preserve">Cooperation and culture: Students from China and the United States in a prisoner’s dilemma. </w:t>
      </w:r>
      <w:r w:rsidRPr="002414E9">
        <w:rPr>
          <w:rFonts w:eastAsia="DengXian" w:cs="Times New Roman"/>
          <w:i/>
          <w:iCs/>
          <w:noProof/>
          <w:lang w:eastAsia="zh-CN"/>
        </w:rPr>
        <w:t>Cross-Cultural Research</w:t>
      </w:r>
      <w:r w:rsidRPr="002414E9">
        <w:rPr>
          <w:rFonts w:eastAsia="DengXian" w:cs="Times New Roman"/>
          <w:noProof/>
          <w:lang w:eastAsia="zh-CN"/>
        </w:rPr>
        <w:t xml:space="preserve">, </w:t>
      </w:r>
      <w:r w:rsidRPr="002414E9">
        <w:rPr>
          <w:rFonts w:eastAsia="DengXian" w:cs="Times New Roman"/>
          <w:i/>
          <w:iCs/>
          <w:noProof/>
          <w:lang w:eastAsia="zh-CN"/>
        </w:rPr>
        <w:t>32</w:t>
      </w:r>
      <w:r w:rsidRPr="002414E9">
        <w:rPr>
          <w:rFonts w:eastAsia="DengXian" w:cs="Times New Roman"/>
          <w:noProof/>
          <w:lang w:eastAsia="zh-CN"/>
        </w:rPr>
        <w:t>(2), 171–184. https://doi.org/10.1177/106939719803200203</w:t>
      </w:r>
    </w:p>
    <w:p w14:paraId="0442606B" w14:textId="4B6C220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Henrich, J., Boyd, R., Bowles, S., Camerer, C., Fehr, E., Gintis, H., McElreath, R., Alvard, M., Barr, A., Ensminger, J., Henrich, N. S., Hill, K., Gil-White, F., Gurven, M., Marlowe, F. W., Patton, J. Q., &amp; Tracer, D. (2005). “Economic man” in cross-cultural perspective: Behavioral experiments in 15 small-scale societies. </w:t>
      </w:r>
      <w:r w:rsidRPr="002414E9">
        <w:rPr>
          <w:rFonts w:eastAsia="DengXian" w:cs="Times New Roman"/>
          <w:i/>
          <w:iCs/>
          <w:noProof/>
          <w:lang w:eastAsia="zh-CN"/>
        </w:rPr>
        <w:t>Behavioral and Brain Sciences</w:t>
      </w:r>
      <w:r w:rsidRPr="002414E9">
        <w:rPr>
          <w:rFonts w:eastAsia="DengXian" w:cs="Times New Roman"/>
          <w:noProof/>
          <w:lang w:eastAsia="zh-CN"/>
        </w:rPr>
        <w:t xml:space="preserve">, </w:t>
      </w:r>
      <w:r w:rsidRPr="002414E9">
        <w:rPr>
          <w:rFonts w:eastAsia="DengXian" w:cs="Times New Roman"/>
          <w:i/>
          <w:iCs/>
          <w:noProof/>
          <w:lang w:eastAsia="zh-CN"/>
        </w:rPr>
        <w:t>28</w:t>
      </w:r>
      <w:r w:rsidRPr="002414E9">
        <w:rPr>
          <w:rFonts w:eastAsia="DengXian" w:cs="Times New Roman"/>
          <w:noProof/>
          <w:lang w:eastAsia="zh-CN"/>
        </w:rPr>
        <w:t>(6), 795–815. https://doi.org/10.1017/S0140525X05000142</w:t>
      </w:r>
    </w:p>
    <w:p w14:paraId="31CEAFBD" w14:textId="0E62662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Hergueux, J., &amp; Jacquemet, N. (2015). Social preferences in the online laboratory: A randomized experiment.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18</w:t>
      </w:r>
      <w:r w:rsidRPr="002414E9">
        <w:rPr>
          <w:rFonts w:eastAsia="DengXian" w:cs="Times New Roman"/>
          <w:noProof/>
          <w:lang w:eastAsia="zh-CN"/>
        </w:rPr>
        <w:t>(2), 251–283. https://doi.org/10.1007/s10683-014-9400-5</w:t>
      </w:r>
    </w:p>
    <w:p w14:paraId="6138AA25"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n-GB" w:eastAsia="zh-CN"/>
        </w:rPr>
        <w:t xml:space="preserve">Herrmann, B., Thöni, C., &amp; Gächter, S. (2008). </w:t>
      </w:r>
      <w:r w:rsidRPr="002414E9">
        <w:rPr>
          <w:rFonts w:eastAsia="DengXian" w:cs="Times New Roman"/>
          <w:noProof/>
          <w:lang w:eastAsia="zh-CN"/>
        </w:rPr>
        <w:t xml:space="preserve">Antisocial punishment across societies. </w:t>
      </w:r>
      <w:r w:rsidRPr="002414E9">
        <w:rPr>
          <w:rFonts w:eastAsia="DengXian" w:cs="Times New Roman"/>
          <w:i/>
          <w:iCs/>
          <w:noProof/>
          <w:lang w:eastAsia="zh-CN"/>
        </w:rPr>
        <w:t>Science</w:t>
      </w:r>
      <w:r w:rsidRPr="002414E9">
        <w:rPr>
          <w:rFonts w:eastAsia="DengXian" w:cs="Times New Roman"/>
          <w:noProof/>
          <w:lang w:eastAsia="zh-CN"/>
        </w:rPr>
        <w:t xml:space="preserve">, </w:t>
      </w:r>
      <w:r w:rsidRPr="002414E9">
        <w:rPr>
          <w:rFonts w:eastAsia="DengXian" w:cs="Times New Roman"/>
          <w:i/>
          <w:iCs/>
          <w:noProof/>
          <w:lang w:eastAsia="zh-CN"/>
        </w:rPr>
        <w:t>319</w:t>
      </w:r>
      <w:r w:rsidRPr="002414E9">
        <w:rPr>
          <w:rFonts w:eastAsia="DengXian" w:cs="Times New Roman"/>
          <w:noProof/>
          <w:lang w:eastAsia="zh-CN"/>
        </w:rPr>
        <w:t>(5868), 1362–1367. https://doi.org/10.1126/science.1153808</w:t>
      </w:r>
    </w:p>
    <w:p w14:paraId="55E43388" w14:textId="6FF5801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Hertel, G., &amp; Fiedler, K. (1994). Affective and cognitive influences in social dilemma game. </w:t>
      </w:r>
      <w:r w:rsidRPr="002414E9">
        <w:rPr>
          <w:rFonts w:eastAsia="DengXian" w:cs="Times New Roman"/>
          <w:i/>
          <w:iCs/>
          <w:noProof/>
          <w:lang w:eastAsia="zh-CN"/>
        </w:rPr>
        <w:t>European Journal of Social Psychology</w:t>
      </w:r>
      <w:r w:rsidRPr="002414E9">
        <w:rPr>
          <w:rFonts w:eastAsia="DengXian" w:cs="Times New Roman"/>
          <w:noProof/>
          <w:lang w:eastAsia="zh-CN"/>
        </w:rPr>
        <w:t xml:space="preserve">, </w:t>
      </w:r>
      <w:r w:rsidRPr="002414E9">
        <w:rPr>
          <w:rFonts w:eastAsia="DengXian" w:cs="Times New Roman"/>
          <w:i/>
          <w:iCs/>
          <w:noProof/>
          <w:lang w:eastAsia="zh-CN"/>
        </w:rPr>
        <w:t>24</w:t>
      </w:r>
      <w:r w:rsidRPr="002414E9">
        <w:rPr>
          <w:rFonts w:eastAsia="DengXian" w:cs="Times New Roman"/>
          <w:noProof/>
          <w:lang w:eastAsia="zh-CN"/>
        </w:rPr>
        <w:t>(1), 131–145. https://doi.org/10.1002/ejsp.2420240110</w:t>
      </w:r>
    </w:p>
    <w:p w14:paraId="150AAE1B" w14:textId="46CB8FD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Hichri, W. (2004). Interior collective optimum in a voluntary contribution to a public-goods game. </w:t>
      </w:r>
      <w:r w:rsidRPr="002414E9">
        <w:rPr>
          <w:rFonts w:eastAsia="DengXian" w:cs="Times New Roman"/>
          <w:i/>
          <w:iCs/>
          <w:noProof/>
          <w:lang w:eastAsia="zh-CN"/>
        </w:rPr>
        <w:t>Applied Economics Letters</w:t>
      </w:r>
      <w:r w:rsidRPr="002414E9">
        <w:rPr>
          <w:rFonts w:eastAsia="DengXian" w:cs="Times New Roman"/>
          <w:noProof/>
          <w:lang w:eastAsia="zh-CN"/>
        </w:rPr>
        <w:t xml:space="preserve">, </w:t>
      </w:r>
      <w:r w:rsidRPr="002414E9">
        <w:rPr>
          <w:rFonts w:eastAsia="DengXian" w:cs="Times New Roman"/>
          <w:i/>
          <w:iCs/>
          <w:noProof/>
          <w:lang w:eastAsia="zh-CN"/>
        </w:rPr>
        <w:t>11</w:t>
      </w:r>
      <w:r w:rsidRPr="002414E9">
        <w:rPr>
          <w:rFonts w:eastAsia="DengXian" w:cs="Times New Roman"/>
          <w:noProof/>
          <w:lang w:eastAsia="zh-CN"/>
        </w:rPr>
        <w:t>(3), 135–140. https://doi.org/10.1080/1350485042000203724</w:t>
      </w:r>
    </w:p>
    <w:p w14:paraId="29FD598D" w14:textId="07C1F14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Hilbe, C., Hagel, K., &amp; Milinski, M. (2016). </w:t>
      </w:r>
      <w:r w:rsidRPr="002414E9">
        <w:rPr>
          <w:rFonts w:eastAsia="DengXian" w:cs="Times New Roman"/>
          <w:noProof/>
          <w:lang w:eastAsia="zh-CN"/>
        </w:rPr>
        <w:t xml:space="preserve">Asymmetric power boosts extortion in an economic experiment. </w:t>
      </w:r>
      <w:r w:rsidRPr="002414E9">
        <w:rPr>
          <w:rFonts w:eastAsia="DengXian" w:cs="Times New Roman"/>
          <w:i/>
          <w:iCs/>
          <w:noProof/>
          <w:lang w:eastAsia="zh-CN"/>
        </w:rPr>
        <w:t>PLoS ONE</w:t>
      </w:r>
      <w:r w:rsidRPr="002414E9">
        <w:rPr>
          <w:rFonts w:eastAsia="DengXian" w:cs="Times New Roman"/>
          <w:noProof/>
          <w:lang w:eastAsia="zh-CN"/>
        </w:rPr>
        <w:t xml:space="preserve">, </w:t>
      </w:r>
      <w:r w:rsidRPr="002414E9">
        <w:rPr>
          <w:rFonts w:eastAsia="DengXian" w:cs="Times New Roman"/>
          <w:i/>
          <w:iCs/>
          <w:noProof/>
          <w:lang w:eastAsia="zh-CN"/>
        </w:rPr>
        <w:t>11</w:t>
      </w:r>
      <w:r w:rsidRPr="002414E9">
        <w:rPr>
          <w:rFonts w:eastAsia="DengXian" w:cs="Times New Roman"/>
          <w:noProof/>
          <w:lang w:eastAsia="zh-CN"/>
        </w:rPr>
        <w:t>(10), e0163867. https://doi.org/10.1371/journal.pone.0163867</w:t>
      </w:r>
    </w:p>
    <w:p w14:paraId="776138FB" w14:textId="3650F5B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Hilbig, B. E., Zettler, I., &amp; Heydasch, T. (2012). </w:t>
      </w:r>
      <w:r w:rsidRPr="002414E9">
        <w:rPr>
          <w:rFonts w:eastAsia="DengXian" w:cs="Times New Roman"/>
          <w:noProof/>
          <w:lang w:eastAsia="zh-CN"/>
        </w:rPr>
        <w:t xml:space="preserve">Personality, punishment and public goods: </w:t>
      </w:r>
      <w:r w:rsidRPr="002414E9">
        <w:rPr>
          <w:rFonts w:eastAsia="DengXian" w:cs="Times New Roman"/>
          <w:noProof/>
          <w:lang w:eastAsia="zh-CN"/>
        </w:rPr>
        <w:lastRenderedPageBreak/>
        <w:t xml:space="preserve">Strategic shifts towards cooperation as a matter of dispositional honesty–humility. </w:t>
      </w:r>
      <w:r w:rsidRPr="002414E9">
        <w:rPr>
          <w:rFonts w:eastAsia="DengXian" w:cs="Times New Roman"/>
          <w:i/>
          <w:iCs/>
          <w:noProof/>
          <w:lang w:eastAsia="zh-CN"/>
        </w:rPr>
        <w:t>European Journal of Personality</w:t>
      </w:r>
      <w:r w:rsidRPr="002414E9">
        <w:rPr>
          <w:rFonts w:eastAsia="DengXian" w:cs="Times New Roman"/>
          <w:noProof/>
          <w:lang w:eastAsia="zh-CN"/>
        </w:rPr>
        <w:t xml:space="preserve">, </w:t>
      </w:r>
      <w:r w:rsidRPr="002414E9">
        <w:rPr>
          <w:rFonts w:eastAsia="DengXian" w:cs="Times New Roman"/>
          <w:i/>
          <w:iCs/>
          <w:noProof/>
          <w:lang w:eastAsia="zh-CN"/>
        </w:rPr>
        <w:t>26</w:t>
      </w:r>
      <w:r w:rsidRPr="002414E9">
        <w:rPr>
          <w:rFonts w:eastAsia="DengXian" w:cs="Times New Roman"/>
          <w:noProof/>
          <w:lang w:eastAsia="zh-CN"/>
        </w:rPr>
        <w:t>(3), 245–254. https://doi.org/10.1002/per.830</w:t>
      </w:r>
    </w:p>
    <w:p w14:paraId="67D3EF51" w14:textId="5AEE988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Hillis, V., &amp; Lubell, M. (2015). Breeding cooperation: cultural evolution in an intergenerational public goods experiment. </w:t>
      </w:r>
      <w:r w:rsidRPr="002414E9">
        <w:rPr>
          <w:rFonts w:eastAsia="DengXian" w:cs="Times New Roman"/>
          <w:i/>
          <w:iCs/>
          <w:noProof/>
          <w:lang w:eastAsia="zh-CN"/>
        </w:rPr>
        <w:t>Ecology and Society</w:t>
      </w:r>
      <w:r w:rsidRPr="002414E9">
        <w:rPr>
          <w:rFonts w:eastAsia="DengXian" w:cs="Times New Roman"/>
          <w:noProof/>
          <w:lang w:eastAsia="zh-CN"/>
        </w:rPr>
        <w:t xml:space="preserve">, </w:t>
      </w:r>
      <w:r w:rsidRPr="002414E9">
        <w:rPr>
          <w:rFonts w:eastAsia="DengXian" w:cs="Times New Roman"/>
          <w:i/>
          <w:iCs/>
          <w:noProof/>
          <w:lang w:eastAsia="zh-CN"/>
        </w:rPr>
        <w:t>20</w:t>
      </w:r>
      <w:r w:rsidRPr="002414E9">
        <w:rPr>
          <w:rFonts w:eastAsia="DengXian" w:cs="Times New Roman"/>
          <w:noProof/>
          <w:lang w:eastAsia="zh-CN"/>
        </w:rPr>
        <w:t>(2), 8–18. https://doi.org/10.5751/ES-07424-200208</w:t>
      </w:r>
    </w:p>
    <w:p w14:paraId="77058D33" w14:textId="450D773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Hirsh, J. B., &amp; Peterson, J. B. (2009). Extraversion, neuroticism, and the prisoner’s dilemma. </w:t>
      </w:r>
      <w:r w:rsidRPr="002414E9">
        <w:rPr>
          <w:rFonts w:eastAsia="DengXian" w:cs="Times New Roman"/>
          <w:i/>
          <w:iCs/>
          <w:noProof/>
          <w:lang w:eastAsia="zh-CN"/>
        </w:rPr>
        <w:t>Personality and Individual Differences</w:t>
      </w:r>
      <w:r w:rsidRPr="002414E9">
        <w:rPr>
          <w:rFonts w:eastAsia="DengXian" w:cs="Times New Roman"/>
          <w:noProof/>
          <w:lang w:eastAsia="zh-CN"/>
        </w:rPr>
        <w:t xml:space="preserve">, </w:t>
      </w:r>
      <w:r w:rsidRPr="002414E9">
        <w:rPr>
          <w:rFonts w:eastAsia="DengXian" w:cs="Times New Roman"/>
          <w:i/>
          <w:iCs/>
          <w:noProof/>
          <w:lang w:eastAsia="zh-CN"/>
        </w:rPr>
        <w:t>46</w:t>
      </w:r>
      <w:r w:rsidRPr="002414E9">
        <w:rPr>
          <w:rFonts w:eastAsia="DengXian" w:cs="Times New Roman"/>
          <w:noProof/>
          <w:lang w:eastAsia="zh-CN"/>
        </w:rPr>
        <w:t>(2), 254–256. https://doi.org/10.1016/j.paid.2008.10.006</w:t>
      </w:r>
    </w:p>
    <w:p w14:paraId="3FAEF51D" w14:textId="07D9158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Hoeft, L., &amp; Mill, W. (2017). Selfish punishers. </w:t>
      </w:r>
      <w:r w:rsidRPr="002414E9">
        <w:rPr>
          <w:rFonts w:eastAsia="DengXian" w:cs="Times New Roman"/>
          <w:i/>
          <w:iCs/>
          <w:noProof/>
          <w:lang w:eastAsia="zh-CN"/>
        </w:rPr>
        <w:t>Economics Letters</w:t>
      </w:r>
      <w:r w:rsidRPr="002414E9">
        <w:rPr>
          <w:rFonts w:eastAsia="DengXian" w:cs="Times New Roman"/>
          <w:noProof/>
          <w:lang w:eastAsia="zh-CN"/>
        </w:rPr>
        <w:t xml:space="preserve">, </w:t>
      </w:r>
      <w:r w:rsidRPr="002414E9">
        <w:rPr>
          <w:rFonts w:eastAsia="DengXian" w:cs="Times New Roman"/>
          <w:i/>
          <w:iCs/>
          <w:noProof/>
          <w:lang w:eastAsia="zh-CN"/>
        </w:rPr>
        <w:t>157</w:t>
      </w:r>
      <w:r w:rsidRPr="002414E9">
        <w:rPr>
          <w:rFonts w:eastAsia="DengXian" w:cs="Times New Roman"/>
          <w:noProof/>
          <w:lang w:eastAsia="zh-CN"/>
        </w:rPr>
        <w:t>, 41–44. https://doi.org/10.1016/j.econlet.2017.05.022</w:t>
      </w:r>
    </w:p>
    <w:p w14:paraId="35FE38D8" w14:textId="2E1B09E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Hofmeyr, A., Burns, J., &amp; Visser, M. (2007). Income inequality, reciprocity and public good provision: An experiment analysis. </w:t>
      </w:r>
      <w:r w:rsidRPr="002414E9">
        <w:rPr>
          <w:rFonts w:eastAsia="DengXian" w:cs="Times New Roman"/>
          <w:i/>
          <w:iCs/>
          <w:noProof/>
          <w:lang w:eastAsia="zh-CN"/>
        </w:rPr>
        <w:t>The South African Journal of Economics</w:t>
      </w:r>
      <w:r w:rsidRPr="002414E9">
        <w:rPr>
          <w:rFonts w:eastAsia="DengXian" w:cs="Times New Roman"/>
          <w:noProof/>
          <w:lang w:eastAsia="zh-CN"/>
        </w:rPr>
        <w:t xml:space="preserve">, </w:t>
      </w:r>
      <w:r w:rsidRPr="002414E9">
        <w:rPr>
          <w:rFonts w:eastAsia="DengXian" w:cs="Times New Roman"/>
          <w:i/>
          <w:iCs/>
          <w:noProof/>
          <w:lang w:eastAsia="zh-CN"/>
        </w:rPr>
        <w:t>75</w:t>
      </w:r>
      <w:r w:rsidRPr="002414E9">
        <w:rPr>
          <w:rFonts w:eastAsia="DengXian" w:cs="Times New Roman"/>
          <w:noProof/>
          <w:lang w:eastAsia="zh-CN"/>
        </w:rPr>
        <w:t>(3), 509–520. https://doi.org/10.1111/j.1813-6982.2007.00127.x</w:t>
      </w:r>
    </w:p>
    <w:p w14:paraId="74D7921A" w14:textId="5E587993"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Hogan, J. L., Fisher, R. H., &amp; Morrison, B. J. (1973). Accuracy of perception and cooperative game behavior. </w:t>
      </w:r>
      <w:r w:rsidRPr="002414E9">
        <w:rPr>
          <w:rFonts w:eastAsia="DengXian" w:cs="Times New Roman"/>
          <w:bCs/>
          <w:i/>
          <w:iCs/>
          <w:noProof/>
          <w:lang w:eastAsia="zh-CN"/>
        </w:rPr>
        <w:t>Perceptual and Motor Skills</w:t>
      </w:r>
      <w:r w:rsidRPr="002414E9">
        <w:rPr>
          <w:rFonts w:eastAsia="DengXian" w:cs="Times New Roman"/>
          <w:bCs/>
          <w:noProof/>
          <w:lang w:eastAsia="zh-CN"/>
        </w:rPr>
        <w:t xml:space="preserve">, </w:t>
      </w:r>
      <w:r w:rsidRPr="002414E9">
        <w:rPr>
          <w:rFonts w:eastAsia="DengXian" w:cs="Times New Roman"/>
          <w:bCs/>
          <w:i/>
          <w:iCs/>
          <w:noProof/>
          <w:lang w:eastAsia="zh-CN"/>
        </w:rPr>
        <w:t>37</w:t>
      </w:r>
      <w:r w:rsidRPr="002414E9">
        <w:rPr>
          <w:rFonts w:eastAsia="DengXian" w:cs="Times New Roman"/>
          <w:bCs/>
          <w:noProof/>
          <w:lang w:eastAsia="zh-CN"/>
        </w:rPr>
        <w:t>(2), 391–398. https://doi.org/10.2466/pms.1973.37.2.391</w:t>
      </w:r>
    </w:p>
    <w:p w14:paraId="0D0CF545" w14:textId="033CEA40"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Hogan, J. L., Fisher, R. H., &amp; Morrison, B. J. (1974). Social feedback and cooperative game behavior. </w:t>
      </w:r>
      <w:r w:rsidRPr="002414E9">
        <w:rPr>
          <w:rFonts w:eastAsia="DengXian" w:cs="Times New Roman"/>
          <w:bCs/>
          <w:i/>
          <w:iCs/>
          <w:noProof/>
          <w:lang w:eastAsia="zh-CN"/>
        </w:rPr>
        <w:t>Psychological Reports</w:t>
      </w:r>
      <w:r w:rsidRPr="002414E9">
        <w:rPr>
          <w:rFonts w:eastAsia="DengXian" w:cs="Times New Roman"/>
          <w:bCs/>
          <w:noProof/>
          <w:lang w:eastAsia="zh-CN"/>
        </w:rPr>
        <w:t xml:space="preserve">, </w:t>
      </w:r>
      <w:r w:rsidRPr="002414E9">
        <w:rPr>
          <w:rFonts w:eastAsia="DengXian" w:cs="Times New Roman"/>
          <w:bCs/>
          <w:i/>
          <w:iCs/>
          <w:noProof/>
          <w:lang w:eastAsia="zh-CN"/>
        </w:rPr>
        <w:t>34</w:t>
      </w:r>
      <w:r w:rsidRPr="002414E9">
        <w:rPr>
          <w:rFonts w:eastAsia="DengXian" w:cs="Times New Roman"/>
          <w:bCs/>
          <w:noProof/>
          <w:lang w:eastAsia="zh-CN"/>
        </w:rPr>
        <w:t>(3_suppl), 1075–1082. https://doi.org/10.2466/pr0.1974.34.3c.1075</w:t>
      </w:r>
    </w:p>
    <w:p w14:paraId="452A1B6D" w14:textId="52F357A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Holloway, S., Tucker, L., &amp; Hornstein, H. A. (1977). </w:t>
      </w:r>
      <w:r w:rsidRPr="002414E9">
        <w:rPr>
          <w:rFonts w:eastAsia="DengXian" w:cs="Times New Roman"/>
          <w:noProof/>
          <w:lang w:eastAsia="zh-CN"/>
        </w:rPr>
        <w:t xml:space="preserve">The effects of social and nonsocial information on interpersonal behavior of males: The news makes news. </w:t>
      </w:r>
      <w:r w:rsidRPr="002414E9">
        <w:rPr>
          <w:rFonts w:eastAsia="DengXian" w:cs="Times New Roman"/>
          <w:i/>
          <w:iCs/>
          <w:noProof/>
          <w:lang w:eastAsia="zh-CN"/>
        </w:rPr>
        <w:t>Journal of Personality and Social Psychology</w:t>
      </w:r>
      <w:r w:rsidRPr="002414E9">
        <w:rPr>
          <w:rFonts w:eastAsia="DengXian" w:cs="Times New Roman"/>
          <w:noProof/>
          <w:lang w:eastAsia="zh-CN"/>
        </w:rPr>
        <w:t xml:space="preserve">, </w:t>
      </w:r>
      <w:r w:rsidRPr="002414E9">
        <w:rPr>
          <w:rFonts w:eastAsia="DengXian" w:cs="Times New Roman"/>
          <w:i/>
          <w:iCs/>
          <w:noProof/>
          <w:lang w:eastAsia="zh-CN"/>
        </w:rPr>
        <w:t>35</w:t>
      </w:r>
      <w:r w:rsidRPr="002414E9">
        <w:rPr>
          <w:rFonts w:eastAsia="DengXian" w:cs="Times New Roman"/>
          <w:noProof/>
          <w:lang w:eastAsia="zh-CN"/>
        </w:rPr>
        <w:t>(7), 514–522. https://doi.org/10.1037/0022-3514.35.7.514</w:t>
      </w:r>
    </w:p>
    <w:p w14:paraId="7B6B09BF" w14:textId="54B7933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lastRenderedPageBreak/>
        <w:t xml:space="preserve">Hopthrow, T., &amp; Abrams, D. (2010). Group transformation: How demonstrability promotes intra-group cooperation in social dilemmas. </w:t>
      </w:r>
      <w:r w:rsidRPr="002414E9">
        <w:rPr>
          <w:rFonts w:eastAsia="DengXian" w:cs="Times New Roman"/>
          <w:i/>
          <w:iCs/>
          <w:noProof/>
          <w:lang w:eastAsia="zh-CN"/>
        </w:rPr>
        <w:t>Journal of Experimental Social Psychology</w:t>
      </w:r>
      <w:r w:rsidRPr="002414E9">
        <w:rPr>
          <w:rFonts w:eastAsia="DengXian" w:cs="Times New Roman"/>
          <w:noProof/>
          <w:lang w:eastAsia="zh-CN"/>
        </w:rPr>
        <w:t xml:space="preserve">, </w:t>
      </w:r>
      <w:r w:rsidRPr="002414E9">
        <w:rPr>
          <w:rFonts w:eastAsia="DengXian" w:cs="Times New Roman"/>
          <w:i/>
          <w:iCs/>
          <w:noProof/>
          <w:lang w:eastAsia="zh-CN"/>
        </w:rPr>
        <w:t>46</w:t>
      </w:r>
      <w:r w:rsidRPr="002414E9">
        <w:rPr>
          <w:rFonts w:eastAsia="DengXian" w:cs="Times New Roman"/>
          <w:noProof/>
          <w:lang w:eastAsia="zh-CN"/>
        </w:rPr>
        <w:t>(5), 799–803. https://doi.org/10.1016/j.jesp.2010.04.002</w:t>
      </w:r>
    </w:p>
    <w:p w14:paraId="5461ECD5" w14:textId="2196AFC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Hopthrow, T., &amp; Hulbert, L. G. (2005). The effect of group decision making on cooperation in social dilemmas. </w:t>
      </w:r>
      <w:r w:rsidRPr="002414E9">
        <w:rPr>
          <w:rFonts w:eastAsia="DengXian" w:cs="Times New Roman"/>
          <w:i/>
          <w:iCs/>
          <w:noProof/>
          <w:lang w:eastAsia="zh-CN"/>
        </w:rPr>
        <w:t>Group Processes &amp; Intergroup Relations</w:t>
      </w:r>
      <w:r w:rsidRPr="002414E9">
        <w:rPr>
          <w:rFonts w:eastAsia="DengXian" w:cs="Times New Roman"/>
          <w:noProof/>
          <w:lang w:eastAsia="zh-CN"/>
        </w:rPr>
        <w:t xml:space="preserve">, </w:t>
      </w:r>
      <w:r w:rsidRPr="002414E9">
        <w:rPr>
          <w:rFonts w:eastAsia="DengXian" w:cs="Times New Roman"/>
          <w:i/>
          <w:iCs/>
          <w:noProof/>
          <w:lang w:eastAsia="zh-CN"/>
        </w:rPr>
        <w:t>8</w:t>
      </w:r>
      <w:r w:rsidRPr="002414E9">
        <w:rPr>
          <w:rFonts w:eastAsia="DengXian" w:cs="Times New Roman"/>
          <w:noProof/>
          <w:lang w:eastAsia="zh-CN"/>
        </w:rPr>
        <w:t>(1), 89–100. https://doi.org/10.1177/1368430205049253</w:t>
      </w:r>
    </w:p>
    <w:p w14:paraId="4BC77860" w14:textId="2CE2D54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Hopthrow, T., Abrams, D., Frings, D., &amp; Hulbert, L. G. (2007). Groupdrink: The effects of alcohol on intergroup competitiveness. </w:t>
      </w:r>
      <w:r w:rsidRPr="002414E9">
        <w:rPr>
          <w:rFonts w:eastAsia="DengXian" w:cs="Times New Roman"/>
          <w:i/>
          <w:iCs/>
          <w:noProof/>
          <w:lang w:eastAsia="zh-CN"/>
        </w:rPr>
        <w:t>Psychology of Addictive Behaviors</w:t>
      </w:r>
      <w:r w:rsidRPr="002414E9">
        <w:rPr>
          <w:rFonts w:eastAsia="DengXian" w:cs="Times New Roman"/>
          <w:noProof/>
          <w:lang w:eastAsia="zh-CN"/>
        </w:rPr>
        <w:t xml:space="preserve">, </w:t>
      </w:r>
      <w:r w:rsidRPr="002414E9">
        <w:rPr>
          <w:rFonts w:eastAsia="DengXian" w:cs="Times New Roman"/>
          <w:i/>
          <w:iCs/>
          <w:noProof/>
          <w:lang w:eastAsia="zh-CN"/>
        </w:rPr>
        <w:t>21</w:t>
      </w:r>
      <w:r w:rsidRPr="002414E9">
        <w:rPr>
          <w:rFonts w:eastAsia="DengXian" w:cs="Times New Roman"/>
          <w:noProof/>
          <w:lang w:eastAsia="zh-CN"/>
        </w:rPr>
        <w:t>(2), 272–276. https://doi.org/10.1037/0893-164X.21.2.272</w:t>
      </w:r>
    </w:p>
    <w:p w14:paraId="3E61E247" w14:textId="151D49DB"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it-IT" w:eastAsia="zh-CN"/>
        </w:rPr>
        <w:t xml:space="preserve">Horai, J., &amp; Tedeschi, J. T. (1969). </w:t>
      </w:r>
      <w:r w:rsidRPr="002414E9">
        <w:rPr>
          <w:rFonts w:eastAsia="DengXian" w:cs="Times New Roman"/>
          <w:bCs/>
          <w:noProof/>
          <w:lang w:eastAsia="zh-CN"/>
        </w:rPr>
        <w:t xml:space="preserve">Effects of credibility and magnitude of punishment on compliance to threats. </w:t>
      </w:r>
      <w:r w:rsidRPr="002414E9">
        <w:rPr>
          <w:rFonts w:eastAsia="DengXian" w:cs="Times New Roman"/>
          <w:bCs/>
          <w:i/>
          <w:iCs/>
          <w:noProof/>
          <w:lang w:eastAsia="zh-CN"/>
        </w:rPr>
        <w:t>Journal of Personality and Social Psychology, 12</w:t>
      </w:r>
      <w:r w:rsidRPr="002414E9">
        <w:rPr>
          <w:rFonts w:eastAsia="DengXian" w:cs="Times New Roman"/>
          <w:bCs/>
          <w:noProof/>
          <w:lang w:eastAsia="zh-CN"/>
        </w:rPr>
        <w:t>(2), 164–169. https://doi.org/10.1037/h0027486</w:t>
      </w:r>
    </w:p>
    <w:p w14:paraId="4C328ABE" w14:textId="1FA72576" w:rsidR="002414E9" w:rsidRPr="002414E9" w:rsidRDefault="002414E9" w:rsidP="002414E9">
      <w:pPr>
        <w:widowControl w:val="0"/>
        <w:autoSpaceDE w:val="0"/>
        <w:autoSpaceDN w:val="0"/>
        <w:adjustRightInd w:val="0"/>
        <w:ind w:left="709" w:hanging="709"/>
        <w:rPr>
          <w:rFonts w:eastAsia="DengXian" w:cs="Times New Roman"/>
          <w:bCs/>
          <w:noProof/>
          <w:lang w:val="fr-FR" w:eastAsia="zh-CN"/>
        </w:rPr>
      </w:pPr>
      <w:r w:rsidRPr="002414E9">
        <w:rPr>
          <w:rFonts w:eastAsia="DengXian" w:cs="Times New Roman"/>
          <w:bCs/>
          <w:noProof/>
          <w:lang w:val="it-IT" w:eastAsia="zh-CN"/>
        </w:rPr>
        <w:t xml:space="preserve">Horai, J., Lindskold, S., Gahagan, J., &amp; Tedeschi, J. (1969). </w:t>
      </w:r>
      <w:r w:rsidRPr="002414E9">
        <w:rPr>
          <w:rFonts w:eastAsia="DengXian" w:cs="Times New Roman"/>
          <w:bCs/>
          <w:noProof/>
          <w:lang w:eastAsia="zh-CN"/>
        </w:rPr>
        <w:t xml:space="preserve">The effects of conflict intensity and promisor credibility on a target’s behavior. </w:t>
      </w:r>
      <w:r w:rsidRPr="002414E9">
        <w:rPr>
          <w:rFonts w:eastAsia="DengXian" w:cs="Times New Roman"/>
          <w:bCs/>
          <w:i/>
          <w:iCs/>
          <w:noProof/>
          <w:lang w:val="fr-FR" w:eastAsia="zh-CN"/>
        </w:rPr>
        <w:t>Psychonomic Science</w:t>
      </w:r>
      <w:r w:rsidRPr="002414E9">
        <w:rPr>
          <w:rFonts w:eastAsia="DengXian" w:cs="Times New Roman"/>
          <w:bCs/>
          <w:noProof/>
          <w:lang w:val="fr-FR" w:eastAsia="zh-CN"/>
        </w:rPr>
        <w:t xml:space="preserve">, </w:t>
      </w:r>
      <w:r w:rsidRPr="002414E9">
        <w:rPr>
          <w:rFonts w:eastAsia="DengXian" w:cs="Times New Roman"/>
          <w:bCs/>
          <w:i/>
          <w:iCs/>
          <w:noProof/>
          <w:lang w:val="fr-FR" w:eastAsia="zh-CN"/>
        </w:rPr>
        <w:t>14</w:t>
      </w:r>
      <w:r w:rsidRPr="002414E9">
        <w:rPr>
          <w:rFonts w:eastAsia="DengXian" w:cs="Times New Roman"/>
          <w:bCs/>
          <w:noProof/>
          <w:lang w:val="fr-FR" w:eastAsia="zh-CN"/>
        </w:rPr>
        <w:t>(2), 73–74. https://doi.org/10.3758/BF03336436</w:t>
      </w:r>
    </w:p>
    <w:p w14:paraId="4A0189C4" w14:textId="6A54DD9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fr-FR" w:eastAsia="zh-CN"/>
        </w:rPr>
        <w:t xml:space="preserve">Horita, Y., &amp; Yamagishi, T. (2010). </w:t>
      </w:r>
      <w:r w:rsidRPr="002414E9">
        <w:rPr>
          <w:rFonts w:eastAsia="DengXian" w:cs="Times New Roman"/>
          <w:noProof/>
          <w:lang w:eastAsia="zh-CN"/>
        </w:rPr>
        <w:t xml:space="preserve">Shūdannai ni okeru gokeisei no tekiō kiban [Adaptive foundation of group-based reciprocity]. </w:t>
      </w:r>
      <w:r w:rsidRPr="002414E9">
        <w:rPr>
          <w:rFonts w:eastAsia="DengXian" w:cs="Times New Roman"/>
          <w:i/>
          <w:iCs/>
          <w:noProof/>
          <w:lang w:eastAsia="zh-CN"/>
        </w:rPr>
        <w:t>The Japanese Journal of Psychology</w:t>
      </w:r>
      <w:r w:rsidRPr="002414E9">
        <w:rPr>
          <w:rFonts w:eastAsia="DengXian" w:cs="Times New Roman"/>
          <w:noProof/>
          <w:lang w:eastAsia="zh-CN"/>
        </w:rPr>
        <w:t xml:space="preserve">, </w:t>
      </w:r>
      <w:r w:rsidRPr="002414E9">
        <w:rPr>
          <w:rFonts w:eastAsia="DengXian" w:cs="Times New Roman"/>
          <w:i/>
          <w:iCs/>
          <w:noProof/>
          <w:lang w:eastAsia="zh-CN"/>
        </w:rPr>
        <w:t>81</w:t>
      </w:r>
      <w:r w:rsidRPr="002414E9">
        <w:rPr>
          <w:rFonts w:eastAsia="DengXian" w:cs="Times New Roman"/>
          <w:noProof/>
          <w:lang w:eastAsia="zh-CN"/>
        </w:rPr>
        <w:t>(2), 114–122. https://doi.org/10.4992/jjpsy.81.114</w:t>
      </w:r>
    </w:p>
    <w:p w14:paraId="380F0FE0"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Horton, J. J., Rand, D. G., &amp; Zeckhauser, R. J. (2011). The online laboratory: Conducting experiments in a real labor market.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14</w:t>
      </w:r>
      <w:r w:rsidRPr="002414E9">
        <w:rPr>
          <w:rFonts w:eastAsia="DengXian" w:cs="Times New Roman"/>
          <w:noProof/>
          <w:lang w:eastAsia="zh-CN"/>
        </w:rPr>
        <w:t>(3), 399–425. https://doi.org/10.1007/s10683-011-9273-9</w:t>
      </w:r>
    </w:p>
    <w:p w14:paraId="34E0DEE4" w14:textId="54C676EC"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Hottes, J. H., &amp; Kahn, A. (1974). </w:t>
      </w:r>
      <w:r w:rsidRPr="002414E9">
        <w:rPr>
          <w:rFonts w:eastAsia="DengXian" w:cs="Times New Roman"/>
          <w:bCs/>
          <w:noProof/>
          <w:lang w:eastAsia="zh-CN"/>
        </w:rPr>
        <w:t xml:space="preserve">Sex differences in a mixed-motive conflict situation. </w:t>
      </w:r>
      <w:r w:rsidRPr="002414E9">
        <w:rPr>
          <w:rFonts w:eastAsia="DengXian" w:cs="Times New Roman"/>
          <w:bCs/>
          <w:i/>
          <w:iCs/>
          <w:noProof/>
          <w:lang w:eastAsia="zh-CN"/>
        </w:rPr>
        <w:t>Journal of Personality, 42</w:t>
      </w:r>
      <w:r w:rsidRPr="002414E9">
        <w:rPr>
          <w:rFonts w:eastAsia="DengXian" w:cs="Times New Roman"/>
          <w:bCs/>
          <w:noProof/>
          <w:lang w:eastAsia="zh-CN"/>
        </w:rPr>
        <w:t>(2), 260–275. https://doi.org/10.1111/j.1467-6494.1974.tb00673.x</w:t>
      </w:r>
    </w:p>
    <w:p w14:paraId="31D3947D" w14:textId="48E48E3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lastRenderedPageBreak/>
        <w:t xml:space="preserve">Houser, D., &amp; Kurzban, R. (2002). Revisiting kindness and confusion in public goods experiments. </w:t>
      </w:r>
      <w:r w:rsidRPr="002414E9">
        <w:rPr>
          <w:rFonts w:eastAsia="DengXian" w:cs="Times New Roman"/>
          <w:i/>
          <w:iCs/>
          <w:noProof/>
          <w:lang w:eastAsia="zh-CN"/>
        </w:rPr>
        <w:t>American Economic Review</w:t>
      </w:r>
      <w:r w:rsidRPr="002414E9">
        <w:rPr>
          <w:rFonts w:eastAsia="DengXian" w:cs="Times New Roman"/>
          <w:noProof/>
          <w:lang w:eastAsia="zh-CN"/>
        </w:rPr>
        <w:t xml:space="preserve">, </w:t>
      </w:r>
      <w:r w:rsidRPr="002414E9">
        <w:rPr>
          <w:rFonts w:eastAsia="DengXian" w:cs="Times New Roman"/>
          <w:i/>
          <w:iCs/>
          <w:noProof/>
          <w:lang w:eastAsia="zh-CN"/>
        </w:rPr>
        <w:t>92</w:t>
      </w:r>
      <w:r w:rsidRPr="002414E9">
        <w:rPr>
          <w:rFonts w:eastAsia="DengXian" w:cs="Times New Roman"/>
          <w:noProof/>
          <w:lang w:eastAsia="zh-CN"/>
        </w:rPr>
        <w:t>(4), 1062–1069. https://doi.org/10.1257/00028280260344605</w:t>
      </w:r>
    </w:p>
    <w:p w14:paraId="1CF45A13" w14:textId="0330AE93" w:rsidR="002414E9" w:rsidRPr="002414E9" w:rsidRDefault="002414E9" w:rsidP="002414E9">
      <w:pPr>
        <w:widowControl w:val="0"/>
        <w:autoSpaceDE w:val="0"/>
        <w:autoSpaceDN w:val="0"/>
        <w:adjustRightInd w:val="0"/>
        <w:ind w:left="709" w:hanging="709"/>
        <w:rPr>
          <w:rFonts w:eastAsia="DengXian" w:cs="Times New Roman"/>
          <w:noProof/>
          <w:lang w:val="nl-NL" w:eastAsia="zh-CN"/>
        </w:rPr>
      </w:pPr>
      <w:r w:rsidRPr="002414E9">
        <w:rPr>
          <w:rFonts w:eastAsia="DengXian" w:cs="Times New Roman"/>
          <w:noProof/>
          <w:lang w:eastAsia="zh-CN"/>
        </w:rPr>
        <w:t xml:space="preserve">Howe, E. L., Murphy, J. J., Gerkey, D., &amp; West, C. T. (2016). Indirect reciprocity, resource sharing, and environmental risk: Evidence from field experiments in Siberia. </w:t>
      </w:r>
      <w:r w:rsidRPr="002414E9">
        <w:rPr>
          <w:rFonts w:eastAsia="DengXian" w:cs="Times New Roman"/>
          <w:i/>
          <w:iCs/>
          <w:noProof/>
          <w:lang w:val="nl-NL" w:eastAsia="zh-CN"/>
        </w:rPr>
        <w:t>PLoS ONE</w:t>
      </w:r>
      <w:r w:rsidRPr="002414E9">
        <w:rPr>
          <w:rFonts w:eastAsia="DengXian" w:cs="Times New Roman"/>
          <w:noProof/>
          <w:lang w:val="nl-NL" w:eastAsia="zh-CN"/>
        </w:rPr>
        <w:t xml:space="preserve">, </w:t>
      </w:r>
      <w:r w:rsidRPr="002414E9">
        <w:rPr>
          <w:rFonts w:eastAsia="DengXian" w:cs="Times New Roman"/>
          <w:i/>
          <w:iCs/>
          <w:noProof/>
          <w:lang w:val="nl-NL" w:eastAsia="zh-CN"/>
        </w:rPr>
        <w:t>11</w:t>
      </w:r>
      <w:r w:rsidRPr="002414E9">
        <w:rPr>
          <w:rFonts w:eastAsia="DengXian" w:cs="Times New Roman"/>
          <w:noProof/>
          <w:lang w:val="nl-NL" w:eastAsia="zh-CN"/>
        </w:rPr>
        <w:t>(7), e0158940. https://doi.org/10.1371/journal.pone.0158940</w:t>
      </w:r>
    </w:p>
    <w:p w14:paraId="65305C7F" w14:textId="7DA5E1A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Hoyer, M., Bault, N., Loerakker, B., &amp; Van Winden, F. (2014). </w:t>
      </w:r>
      <w:r w:rsidRPr="002414E9">
        <w:rPr>
          <w:rFonts w:eastAsia="DengXian" w:cs="Times New Roman"/>
          <w:noProof/>
          <w:lang w:eastAsia="zh-CN"/>
        </w:rPr>
        <w:t xml:space="preserve">Destructive behavior in a Fragile Public Good game. </w:t>
      </w:r>
      <w:r w:rsidRPr="002414E9">
        <w:rPr>
          <w:rFonts w:eastAsia="DengXian" w:cs="Times New Roman"/>
          <w:i/>
          <w:iCs/>
          <w:noProof/>
          <w:lang w:eastAsia="zh-CN"/>
        </w:rPr>
        <w:t>Economics Letters</w:t>
      </w:r>
      <w:r w:rsidRPr="002414E9">
        <w:rPr>
          <w:rFonts w:eastAsia="DengXian" w:cs="Times New Roman"/>
          <w:noProof/>
          <w:lang w:eastAsia="zh-CN"/>
        </w:rPr>
        <w:t xml:space="preserve">, </w:t>
      </w:r>
      <w:r w:rsidRPr="002414E9">
        <w:rPr>
          <w:rFonts w:eastAsia="DengXian" w:cs="Times New Roman"/>
          <w:i/>
          <w:iCs/>
          <w:noProof/>
          <w:lang w:eastAsia="zh-CN"/>
        </w:rPr>
        <w:t>123</w:t>
      </w:r>
      <w:r w:rsidRPr="002414E9">
        <w:rPr>
          <w:rFonts w:eastAsia="DengXian" w:cs="Times New Roman"/>
          <w:noProof/>
          <w:lang w:eastAsia="zh-CN"/>
        </w:rPr>
        <w:t>(3), 295–299. https://doi.org/10.1016/j.econlet.2014.02.023</w:t>
      </w:r>
    </w:p>
    <w:p w14:paraId="0B596CED" w14:textId="5FCF33AA" w:rsidR="002414E9" w:rsidRPr="002414E9" w:rsidRDefault="002414E9" w:rsidP="002414E9">
      <w:pPr>
        <w:widowControl w:val="0"/>
        <w:autoSpaceDE w:val="0"/>
        <w:autoSpaceDN w:val="0"/>
        <w:adjustRightInd w:val="0"/>
        <w:ind w:left="709" w:hanging="709"/>
        <w:rPr>
          <w:rFonts w:eastAsia="DengXian" w:cs="Times New Roman"/>
          <w:noProof/>
          <w:lang w:eastAsia="zh-CN"/>
        </w:rPr>
      </w:pPr>
      <w:bookmarkStart w:id="61" w:name="_Hlk74302167"/>
      <w:r w:rsidRPr="002414E9">
        <w:rPr>
          <w:rFonts w:eastAsia="DengXian" w:cs="Times New Roman"/>
          <w:noProof/>
          <w:lang w:eastAsia="zh-CN"/>
        </w:rPr>
        <w:t xml:space="preserve">Hristova, E., &amp; Grinberg, M. (2008, July 23-26). </w:t>
      </w:r>
      <w:r w:rsidRPr="002414E9">
        <w:rPr>
          <w:rFonts w:eastAsia="DengXian" w:cs="Times New Roman"/>
          <w:i/>
          <w:iCs/>
          <w:noProof/>
          <w:lang w:eastAsia="zh-CN"/>
        </w:rPr>
        <w:t>Disjunction effect in prisoner’s dilemma: Evidences from an eye-tracking study</w:t>
      </w:r>
      <w:r w:rsidRPr="002414E9">
        <w:rPr>
          <w:rFonts w:eastAsia="DengXian" w:cs="Times New Roman"/>
          <w:noProof/>
          <w:lang w:eastAsia="zh-CN"/>
        </w:rPr>
        <w:t>. [Paper presentation]. Annual Conference of the Cognitive Science Society, Washington, DC, United States.</w:t>
      </w:r>
    </w:p>
    <w:bookmarkEnd w:id="61"/>
    <w:p w14:paraId="00B46C16" w14:textId="2AFDE9B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Hristova, E., Grinberg, M., Georgieva, I., &amp; Borisova, M. (2013). </w:t>
      </w:r>
      <w:r w:rsidRPr="002414E9">
        <w:rPr>
          <w:rFonts w:eastAsia="DengXian" w:cs="Times New Roman"/>
          <w:noProof/>
          <w:lang w:eastAsia="zh-CN"/>
        </w:rPr>
        <w:t xml:space="preserve">Cooperation in prisoner’s dilemma game: Influence of players’ social roles. </w:t>
      </w:r>
      <w:r w:rsidRPr="002414E9">
        <w:rPr>
          <w:rFonts w:eastAsia="DengXian" w:cs="Times New Roman"/>
          <w:i/>
          <w:iCs/>
          <w:noProof/>
          <w:lang w:eastAsia="zh-CN"/>
        </w:rPr>
        <w:t>Proceedings of the Annual Meeting of the Cognitive Science Society</w:t>
      </w:r>
      <w:r w:rsidRPr="002414E9">
        <w:rPr>
          <w:rFonts w:eastAsia="DengXian" w:cs="Times New Roman"/>
          <w:noProof/>
          <w:lang w:eastAsia="zh-CN"/>
        </w:rPr>
        <w:t xml:space="preserve">, </w:t>
      </w:r>
      <w:r w:rsidRPr="002414E9">
        <w:rPr>
          <w:rFonts w:eastAsia="DengXian" w:cs="Times New Roman"/>
          <w:i/>
          <w:iCs/>
          <w:noProof/>
          <w:lang w:eastAsia="zh-CN"/>
        </w:rPr>
        <w:t>35,</w:t>
      </w:r>
      <w:r w:rsidRPr="002414E9">
        <w:rPr>
          <w:rFonts w:eastAsia="DengXian" w:cs="Times New Roman"/>
          <w:iCs/>
          <w:noProof/>
          <w:lang w:eastAsia="zh-CN"/>
        </w:rPr>
        <w:t xml:space="preserve"> 2578</w:t>
      </w:r>
      <w:r w:rsidRPr="002414E9">
        <w:rPr>
          <w:rFonts w:eastAsia="DengXian" w:cs="Times New Roman"/>
          <w:noProof/>
          <w:lang w:eastAsia="zh-CN"/>
        </w:rPr>
        <w:t>–</w:t>
      </w:r>
      <w:r w:rsidRPr="002414E9">
        <w:rPr>
          <w:rFonts w:eastAsia="DengXian" w:cs="Times New Roman"/>
          <w:iCs/>
          <w:noProof/>
          <w:lang w:eastAsia="zh-CN"/>
        </w:rPr>
        <w:t>2583</w:t>
      </w:r>
      <w:r w:rsidRPr="002414E9">
        <w:rPr>
          <w:rFonts w:eastAsia="DengXian" w:cs="Times New Roman"/>
          <w:noProof/>
          <w:lang w:eastAsia="zh-CN"/>
        </w:rPr>
        <w:t>. https://escholarship.org/uc/item/3b94c84v</w:t>
      </w:r>
    </w:p>
    <w:p w14:paraId="24A32D02" w14:textId="69FC9721" w:rsidR="002414E9" w:rsidRPr="002414E9" w:rsidRDefault="002414E9" w:rsidP="002414E9">
      <w:pPr>
        <w:widowControl w:val="0"/>
        <w:autoSpaceDE w:val="0"/>
        <w:autoSpaceDN w:val="0"/>
        <w:adjustRightInd w:val="0"/>
        <w:ind w:left="709" w:hanging="709"/>
        <w:rPr>
          <w:rFonts w:eastAsia="DengXian" w:cs="Times New Roman"/>
          <w:noProof/>
          <w:lang w:eastAsia="zh-CN"/>
        </w:rPr>
      </w:pPr>
      <w:bookmarkStart w:id="62" w:name="_Hlk73018613"/>
      <w:r w:rsidRPr="002414E9">
        <w:rPr>
          <w:rFonts w:eastAsia="DengXian" w:cs="Times New Roman"/>
          <w:noProof/>
          <w:lang w:eastAsia="zh-CN"/>
        </w:rPr>
        <w:t xml:space="preserve">Hu, H. (2008). </w:t>
      </w:r>
      <w:r w:rsidRPr="002414E9">
        <w:rPr>
          <w:rFonts w:eastAsia="DengXian" w:cs="Times New Roman"/>
          <w:i/>
          <w:iCs/>
          <w:noProof/>
          <w:lang w:eastAsia="zh-CN"/>
        </w:rPr>
        <w:t>Liangnan qingjing zhong hezuo xingwei de shehui lixing yanjiu</w:t>
      </w:r>
      <w:r w:rsidRPr="002414E9">
        <w:rPr>
          <w:rFonts w:eastAsia="DengXian" w:cs="Times New Roman" w:hint="eastAsia"/>
          <w:i/>
          <w:iCs/>
          <w:noProof/>
          <w:lang w:eastAsia="zh-CN"/>
        </w:rPr>
        <w:t>:</w:t>
      </w:r>
      <w:r w:rsidRPr="002414E9">
        <w:rPr>
          <w:rFonts w:eastAsia="DengXian" w:cs="Times New Roman"/>
          <w:i/>
          <w:iCs/>
          <w:noProof/>
          <w:lang w:eastAsia="zh-CN"/>
        </w:rPr>
        <w:t xml:space="preserve"> Shehui shenfen ji qi zuoyong jizhi</w:t>
      </w:r>
      <w:r w:rsidRPr="002414E9">
        <w:rPr>
          <w:rFonts w:eastAsia="DengXian" w:cs="Times New Roman"/>
          <w:noProof/>
          <w:lang w:eastAsia="zh-CN"/>
        </w:rPr>
        <w:t xml:space="preserve"> [A study on the social rationality of cooperative behavior in social dilemma: The effect of social identity and its functional mechanism] [Doctoral dissertation, Zhejiang daxue]. CNKI Theses and Dissertations Database.</w:t>
      </w:r>
      <w:bookmarkEnd w:id="62"/>
    </w:p>
    <w:p w14:paraId="2302753B" w14:textId="1A3EB1E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Hu, H., &amp; Ma, J. (2008). Gonggong wupin kunjing zhong de tuxian shenfen xiaoying ji hezuo dongji dui hezuo xingwei yingxiang [The function of salient identity and the influence of motivation on cooperation in a public-good dilemma]. </w:t>
      </w:r>
      <w:r w:rsidRPr="002414E9">
        <w:rPr>
          <w:rFonts w:eastAsia="DengXian" w:cs="Times New Roman"/>
          <w:i/>
          <w:noProof/>
          <w:lang w:eastAsia="zh-CN"/>
        </w:rPr>
        <w:t>Chinese Journal of Applied Psychology, 14</w:t>
      </w:r>
      <w:r w:rsidRPr="002414E9">
        <w:rPr>
          <w:rFonts w:eastAsia="DengXian" w:cs="Times New Roman"/>
          <w:noProof/>
          <w:lang w:eastAsia="zh-CN"/>
        </w:rPr>
        <w:t>(1), 35–41.</w:t>
      </w:r>
    </w:p>
    <w:p w14:paraId="30580CB3" w14:textId="723C518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fr-FR" w:eastAsia="zh-CN"/>
        </w:rPr>
        <w:lastRenderedPageBreak/>
        <w:t xml:space="preserve">Hu, W., Ou, Y., &amp; Shi, K. (2005). </w:t>
      </w:r>
      <w:r w:rsidRPr="002414E9">
        <w:rPr>
          <w:rFonts w:eastAsia="DengXian" w:cs="Times New Roman"/>
          <w:noProof/>
          <w:lang w:eastAsia="zh-CN"/>
        </w:rPr>
        <w:t xml:space="preserve">Lianxuxing gonggong wupin </w:t>
      </w:r>
      <w:r w:rsidRPr="002414E9">
        <w:rPr>
          <w:rFonts w:eastAsia="DengXian" w:cs="Times New Roman" w:hint="eastAsia"/>
          <w:noProof/>
          <w:lang w:eastAsia="zh-CN"/>
        </w:rPr>
        <w:t>kunjing</w:t>
      </w:r>
      <w:r w:rsidRPr="002414E9">
        <w:rPr>
          <w:rFonts w:eastAsia="DengXian" w:cs="Times New Roman"/>
          <w:noProof/>
          <w:lang w:eastAsia="zh-CN"/>
        </w:rPr>
        <w:t xml:space="preserve"> </w:t>
      </w:r>
      <w:r w:rsidRPr="002414E9">
        <w:rPr>
          <w:rFonts w:eastAsia="DengXian" w:cs="Times New Roman" w:hint="eastAsia"/>
          <w:noProof/>
          <w:lang w:eastAsia="zh-CN"/>
        </w:rPr>
        <w:t>zhong</w:t>
      </w:r>
      <w:r w:rsidRPr="002414E9">
        <w:rPr>
          <w:rFonts w:eastAsia="DengXian" w:cs="Times New Roman"/>
          <w:noProof/>
          <w:lang w:eastAsia="zh-CN"/>
        </w:rPr>
        <w:t xml:space="preserve"> </w:t>
      </w:r>
      <w:r w:rsidRPr="002414E9">
        <w:rPr>
          <w:rFonts w:eastAsia="DengXian" w:cs="Times New Roman" w:hint="eastAsia"/>
          <w:noProof/>
          <w:lang w:eastAsia="zh-CN"/>
        </w:rPr>
        <w:t>xinxi</w:t>
      </w:r>
      <w:r w:rsidRPr="002414E9">
        <w:rPr>
          <w:rFonts w:eastAsia="DengXian" w:cs="Times New Roman"/>
          <w:noProof/>
          <w:lang w:eastAsia="zh-CN"/>
        </w:rPr>
        <w:t xml:space="preserve"> </w:t>
      </w:r>
      <w:r w:rsidRPr="002414E9">
        <w:rPr>
          <w:rFonts w:eastAsia="DengXian" w:cs="Times New Roman" w:hint="eastAsia"/>
          <w:noProof/>
          <w:lang w:eastAsia="zh-CN"/>
        </w:rPr>
        <w:t>jiegou</w:t>
      </w:r>
      <w:r w:rsidRPr="002414E9">
        <w:rPr>
          <w:rFonts w:eastAsia="DengXian" w:cs="Times New Roman"/>
          <w:noProof/>
          <w:lang w:eastAsia="zh-CN"/>
        </w:rPr>
        <w:t xml:space="preserve"> </w:t>
      </w:r>
      <w:r w:rsidRPr="002414E9">
        <w:rPr>
          <w:rFonts w:eastAsia="DengXian" w:cs="Times New Roman" w:hint="eastAsia"/>
          <w:noProof/>
          <w:lang w:eastAsia="zh-CN"/>
        </w:rPr>
        <w:t>dui</w:t>
      </w:r>
      <w:r w:rsidRPr="002414E9">
        <w:rPr>
          <w:rFonts w:eastAsia="DengXian" w:cs="Times New Roman"/>
          <w:noProof/>
          <w:lang w:eastAsia="zh-CN"/>
        </w:rPr>
        <w:t xml:space="preserve"> </w:t>
      </w:r>
      <w:r w:rsidRPr="002414E9">
        <w:rPr>
          <w:rFonts w:eastAsia="DengXian" w:cs="Times New Roman" w:hint="eastAsia"/>
          <w:noProof/>
          <w:lang w:eastAsia="zh-CN"/>
        </w:rPr>
        <w:t>juece</w:t>
      </w:r>
      <w:r w:rsidRPr="002414E9">
        <w:rPr>
          <w:rFonts w:eastAsia="DengXian" w:cs="Times New Roman"/>
          <w:noProof/>
          <w:lang w:eastAsia="zh-CN"/>
        </w:rPr>
        <w:t xml:space="preserve"> </w:t>
      </w:r>
      <w:r w:rsidRPr="002414E9">
        <w:rPr>
          <w:rFonts w:eastAsia="DengXian" w:cs="Times New Roman" w:hint="eastAsia"/>
          <w:noProof/>
          <w:lang w:eastAsia="zh-CN"/>
        </w:rPr>
        <w:t>xingwei</w:t>
      </w:r>
      <w:r w:rsidRPr="002414E9">
        <w:rPr>
          <w:rFonts w:eastAsia="DengXian" w:cs="Times New Roman"/>
          <w:noProof/>
          <w:lang w:eastAsia="zh-CN"/>
        </w:rPr>
        <w:t xml:space="preserve"> </w:t>
      </w:r>
      <w:r w:rsidRPr="002414E9">
        <w:rPr>
          <w:rFonts w:eastAsia="DengXian" w:cs="Times New Roman" w:hint="eastAsia"/>
          <w:noProof/>
          <w:lang w:eastAsia="zh-CN"/>
        </w:rPr>
        <w:t>de</w:t>
      </w:r>
      <w:r w:rsidRPr="002414E9">
        <w:rPr>
          <w:rFonts w:eastAsia="DengXian" w:cs="Times New Roman"/>
          <w:noProof/>
          <w:lang w:eastAsia="zh-CN"/>
        </w:rPr>
        <w:t xml:space="preserve"> </w:t>
      </w:r>
      <w:r w:rsidRPr="002414E9">
        <w:rPr>
          <w:rFonts w:eastAsia="DengXian" w:cs="Times New Roman" w:hint="eastAsia"/>
          <w:noProof/>
          <w:lang w:eastAsia="zh-CN"/>
        </w:rPr>
        <w:t>yingxiang</w:t>
      </w:r>
      <w:r w:rsidRPr="002414E9">
        <w:rPr>
          <w:rFonts w:eastAsia="DengXian" w:cs="Times New Roman"/>
          <w:noProof/>
          <w:lang w:eastAsia="zh-CN"/>
        </w:rPr>
        <w:t xml:space="preserve"> [Effects of information structure in a continuous public goods dilemma on decision-making under a self-paced sequential protocol]</w:t>
      </w:r>
      <w:r w:rsidRPr="002414E9">
        <w:rPr>
          <w:rFonts w:eastAsia="DengXian" w:cs="Times New Roman" w:hint="eastAsia"/>
          <w:noProof/>
          <w:lang w:eastAsia="zh-CN"/>
        </w:rPr>
        <w:t>.</w:t>
      </w:r>
      <w:r w:rsidRPr="002414E9">
        <w:rPr>
          <w:rFonts w:eastAsia="DengXian" w:cs="Times New Roman"/>
          <w:noProof/>
          <w:lang w:eastAsia="zh-CN"/>
        </w:rPr>
        <w:t xml:space="preserve"> </w:t>
      </w:r>
      <w:r w:rsidRPr="002414E9">
        <w:rPr>
          <w:rFonts w:eastAsia="DengXian" w:cs="Times New Roman"/>
          <w:i/>
          <w:noProof/>
          <w:lang w:eastAsia="zh-CN"/>
        </w:rPr>
        <w:t>Psychological Science (Chinese), 28</w:t>
      </w:r>
      <w:r w:rsidRPr="002414E9">
        <w:rPr>
          <w:rFonts w:eastAsia="DengXian" w:cs="Times New Roman"/>
          <w:noProof/>
          <w:lang w:eastAsia="zh-CN"/>
        </w:rPr>
        <w:t>(3), 580–583.</w:t>
      </w:r>
    </w:p>
    <w:p w14:paraId="3CEBE9F5" w14:textId="0F11452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Hu, Y., &amp; Liu, D. (2003). Altruism versus egoism in human behavior of mixed motives: An experimental study. </w:t>
      </w:r>
      <w:r w:rsidRPr="002414E9">
        <w:rPr>
          <w:rFonts w:eastAsia="DengXian" w:cs="Times New Roman"/>
          <w:i/>
          <w:iCs/>
          <w:noProof/>
          <w:lang w:eastAsia="zh-CN"/>
        </w:rPr>
        <w:t>American Journal of Economics and Sociology</w:t>
      </w:r>
      <w:r w:rsidRPr="002414E9">
        <w:rPr>
          <w:rFonts w:eastAsia="DengXian" w:cs="Times New Roman"/>
          <w:noProof/>
          <w:lang w:eastAsia="zh-CN"/>
        </w:rPr>
        <w:t xml:space="preserve">, </w:t>
      </w:r>
      <w:r w:rsidRPr="002414E9">
        <w:rPr>
          <w:rFonts w:eastAsia="DengXian" w:cs="Times New Roman"/>
          <w:i/>
          <w:iCs/>
          <w:noProof/>
          <w:lang w:eastAsia="zh-CN"/>
        </w:rPr>
        <w:t>62</w:t>
      </w:r>
      <w:r w:rsidRPr="002414E9">
        <w:rPr>
          <w:rFonts w:eastAsia="DengXian" w:cs="Times New Roman"/>
          <w:noProof/>
          <w:lang w:eastAsia="zh-CN"/>
        </w:rPr>
        <w:t>(4), 677–705. https://doi.org/10.1111/1536-7150.00240</w:t>
      </w:r>
    </w:p>
    <w:p w14:paraId="417B43AB" w14:textId="24967BD4" w:rsidR="002414E9" w:rsidRPr="002414E9" w:rsidRDefault="002414E9" w:rsidP="002414E9">
      <w:pPr>
        <w:widowControl w:val="0"/>
        <w:autoSpaceDE w:val="0"/>
        <w:autoSpaceDN w:val="0"/>
        <w:adjustRightInd w:val="0"/>
        <w:ind w:left="709" w:hanging="709"/>
        <w:rPr>
          <w:rFonts w:eastAsia="DengXian" w:cs="Times New Roman"/>
          <w:noProof/>
          <w:lang w:eastAsia="zh-CN"/>
        </w:rPr>
      </w:pPr>
      <w:bookmarkStart w:id="63" w:name="_Hlk73019463"/>
      <w:r w:rsidRPr="002414E9">
        <w:rPr>
          <w:rFonts w:eastAsia="DengXian" w:cs="Times New Roman"/>
          <w:noProof/>
          <w:lang w:eastAsia="zh-CN"/>
        </w:rPr>
        <w:t xml:space="preserve">Hu, Z. (2008). </w:t>
      </w:r>
      <w:r w:rsidRPr="002414E9">
        <w:rPr>
          <w:rFonts w:eastAsia="DengXian" w:cs="Times New Roman"/>
          <w:i/>
          <w:iCs/>
          <w:noProof/>
          <w:lang w:eastAsia="zh-CN"/>
        </w:rPr>
        <w:t>Duoren chongfu gonggong wupin kunjing zhong hezuo xingwei yingxiang de shiyan yanjiu</w:t>
      </w:r>
      <w:r w:rsidRPr="002414E9">
        <w:rPr>
          <w:rFonts w:eastAsia="DengXian" w:cs="Times New Roman"/>
          <w:noProof/>
          <w:lang w:eastAsia="zh-CN"/>
        </w:rPr>
        <w:t xml:space="preserve"> [The influence of cooperation behavior in repeated N-Person public goods experiments] [Doctoral dissertation, Tongji daxue]. CNKI Theses and Dissertations Database.</w:t>
      </w:r>
      <w:bookmarkEnd w:id="63"/>
    </w:p>
    <w:p w14:paraId="30DFC93E" w14:textId="3C19304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Hulbert, L. G., Corrêa da Silva, M. L., &amp; Adegboyega, G. (2001). </w:t>
      </w:r>
      <w:r w:rsidRPr="002414E9">
        <w:rPr>
          <w:rFonts w:eastAsia="DengXian" w:cs="Times New Roman"/>
          <w:noProof/>
          <w:lang w:eastAsia="zh-CN"/>
        </w:rPr>
        <w:t xml:space="preserve">Cooperation in social dilemmas and allocentrism: A social values approach. </w:t>
      </w:r>
      <w:r w:rsidRPr="002414E9">
        <w:rPr>
          <w:rFonts w:eastAsia="DengXian" w:cs="Times New Roman"/>
          <w:i/>
          <w:iCs/>
          <w:noProof/>
          <w:lang w:eastAsia="zh-CN"/>
        </w:rPr>
        <w:t>European Journal of Social Psychology</w:t>
      </w:r>
      <w:r w:rsidRPr="002414E9">
        <w:rPr>
          <w:rFonts w:eastAsia="DengXian" w:cs="Times New Roman"/>
          <w:noProof/>
          <w:lang w:eastAsia="zh-CN"/>
        </w:rPr>
        <w:t xml:space="preserve">, </w:t>
      </w:r>
      <w:r w:rsidRPr="002414E9">
        <w:rPr>
          <w:rFonts w:eastAsia="DengXian" w:cs="Times New Roman"/>
          <w:i/>
          <w:iCs/>
          <w:noProof/>
          <w:lang w:eastAsia="zh-CN"/>
        </w:rPr>
        <w:t>31</w:t>
      </w:r>
      <w:r w:rsidRPr="002414E9">
        <w:rPr>
          <w:rFonts w:eastAsia="DengXian" w:cs="Times New Roman"/>
          <w:noProof/>
          <w:lang w:eastAsia="zh-CN"/>
        </w:rPr>
        <w:t>(6), 641–657. https://doi.org/10.1002/ejsp.53</w:t>
      </w:r>
    </w:p>
    <w:p w14:paraId="4A0AA149" w14:textId="2D5D2F5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Huo, R., Ma, J., &amp; Liu, X. (2009). </w:t>
      </w:r>
      <w:r w:rsidRPr="002414E9">
        <w:rPr>
          <w:rFonts w:eastAsia="DengXian" w:cs="Times New Roman"/>
          <w:noProof/>
          <w:lang w:eastAsia="zh-CN"/>
        </w:rPr>
        <w:t xml:space="preserve">Gonggong wupin liangnan zhong xianghu yilai guanxi dui hezuo xingwei de yingxiang [Effect of interdependence on cooperation in public good dilemma]. </w:t>
      </w:r>
      <w:r w:rsidRPr="002414E9">
        <w:rPr>
          <w:rFonts w:eastAsia="DengXian" w:cs="Times New Roman"/>
          <w:i/>
          <w:noProof/>
          <w:lang w:eastAsia="zh-CN"/>
        </w:rPr>
        <w:t>Chinese Journal of Applied Psychology, 15</w:t>
      </w:r>
      <w:r w:rsidRPr="002414E9">
        <w:rPr>
          <w:rFonts w:eastAsia="DengXian" w:cs="Times New Roman"/>
          <w:noProof/>
          <w:lang w:eastAsia="zh-CN"/>
        </w:rPr>
        <w:t>(1), 37–44.</w:t>
      </w:r>
    </w:p>
    <w:p w14:paraId="14DA3B86" w14:textId="6AECFA0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Iida, Y., &amp; Oda, S. H. (2011). Does economics education make bad citizens? The effect of economics education in Japan. </w:t>
      </w:r>
      <w:r w:rsidRPr="002414E9">
        <w:rPr>
          <w:rFonts w:eastAsia="DengXian" w:cs="Times New Roman"/>
          <w:i/>
          <w:iCs/>
          <w:noProof/>
          <w:lang w:eastAsia="zh-CN"/>
        </w:rPr>
        <w:t>Journal of Education for Business</w:t>
      </w:r>
      <w:r w:rsidRPr="002414E9">
        <w:rPr>
          <w:rFonts w:eastAsia="DengXian" w:cs="Times New Roman"/>
          <w:noProof/>
          <w:lang w:eastAsia="zh-CN"/>
        </w:rPr>
        <w:t xml:space="preserve">, </w:t>
      </w:r>
      <w:r w:rsidRPr="002414E9">
        <w:rPr>
          <w:rFonts w:eastAsia="DengXian" w:cs="Times New Roman"/>
          <w:i/>
          <w:iCs/>
          <w:noProof/>
          <w:lang w:eastAsia="zh-CN"/>
        </w:rPr>
        <w:t>86</w:t>
      </w:r>
      <w:r w:rsidRPr="002414E9">
        <w:rPr>
          <w:rFonts w:eastAsia="DengXian" w:cs="Times New Roman"/>
          <w:noProof/>
          <w:lang w:eastAsia="zh-CN"/>
        </w:rPr>
        <w:t>(4), 234–239. https://doi.org/10.1080/08832323.2010.511303</w:t>
      </w:r>
    </w:p>
    <w:p w14:paraId="132A3A88" w14:textId="204018C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Inaba, M. (2016). </w:t>
      </w:r>
      <w:r w:rsidRPr="002414E9">
        <w:rPr>
          <w:rFonts w:eastAsia="DengXian" w:cs="Times New Roman"/>
          <w:i/>
          <w:iCs/>
          <w:noProof/>
          <w:lang w:eastAsia="zh-CN"/>
        </w:rPr>
        <w:t>Renketsu ni yoru kyōryoku mondai kaiketsu mekanizumu no kaimei [Elucidation of mechanism for solving cooperative problems through linkage]</w:t>
      </w:r>
      <w:r w:rsidRPr="002414E9">
        <w:rPr>
          <w:rFonts w:eastAsia="DengXian" w:cs="Times New Roman"/>
          <w:noProof/>
          <w:lang w:eastAsia="zh-CN"/>
        </w:rPr>
        <w:t xml:space="preserve"> [Theses (doctoral), Hokkaido University]. </w:t>
      </w:r>
      <w:r w:rsidRPr="002414E9">
        <w:rPr>
          <w:rFonts w:eastAsia="DengXian" w:cs="Times New Roman"/>
          <w:noProof/>
          <w:lang w:eastAsia="zh-CN"/>
        </w:rPr>
        <w:lastRenderedPageBreak/>
        <w:t>https://eprints.lib.hokudai.ac.jp/dspace/handle/2115/63283</w:t>
      </w:r>
    </w:p>
    <w:p w14:paraId="56142562" w14:textId="5603ACD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Inaba, M., &amp; Takahashi, N. (2012). Shakaiteki kōkan no keitai ga shakaiteki rentai ni oyoboasu eikyō no hikaku [Comparison of the effects of exchange forms on social solidarity]. </w:t>
      </w:r>
      <w:r w:rsidRPr="002414E9">
        <w:rPr>
          <w:rFonts w:eastAsia="DengXian" w:cs="Times New Roman"/>
          <w:i/>
          <w:iCs/>
          <w:noProof/>
          <w:lang w:eastAsia="zh-CN"/>
        </w:rPr>
        <w:t>The Japanese Journal of Psychology</w:t>
      </w:r>
      <w:r w:rsidRPr="002414E9">
        <w:rPr>
          <w:rFonts w:eastAsia="DengXian" w:cs="Times New Roman"/>
          <w:noProof/>
          <w:lang w:eastAsia="zh-CN"/>
        </w:rPr>
        <w:t xml:space="preserve">, </w:t>
      </w:r>
      <w:r w:rsidRPr="002414E9">
        <w:rPr>
          <w:rFonts w:eastAsia="DengXian" w:cs="Times New Roman"/>
          <w:i/>
          <w:iCs/>
          <w:noProof/>
          <w:lang w:eastAsia="zh-CN"/>
        </w:rPr>
        <w:t>83</w:t>
      </w:r>
      <w:r w:rsidRPr="002414E9">
        <w:rPr>
          <w:rFonts w:eastAsia="DengXian" w:cs="Times New Roman"/>
          <w:noProof/>
          <w:lang w:eastAsia="zh-CN"/>
        </w:rPr>
        <w:t>(1), 27–34. https://doi.org/10.4992/jjpsy.83.27</w:t>
      </w:r>
    </w:p>
    <w:p w14:paraId="5DEB005C" w14:textId="66098093"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Insko, C. A., Hoyle, R. H., Pinkley, R. L., Hong, G. Y., Slim, R. M., Dalton, B., ... &amp; Schopler, J. (1988). Individual-group discontinuity: The role of a consensus rule. </w:t>
      </w:r>
      <w:r w:rsidRPr="002414E9">
        <w:rPr>
          <w:rFonts w:eastAsia="DengXian" w:cs="Times New Roman"/>
          <w:bCs/>
          <w:i/>
          <w:iCs/>
          <w:noProof/>
          <w:lang w:eastAsia="zh-CN"/>
        </w:rPr>
        <w:t>Journal of Experimental Social Psychology</w:t>
      </w:r>
      <w:r w:rsidRPr="002414E9">
        <w:rPr>
          <w:rFonts w:eastAsia="DengXian" w:cs="Times New Roman"/>
          <w:bCs/>
          <w:noProof/>
          <w:lang w:eastAsia="zh-CN"/>
        </w:rPr>
        <w:t xml:space="preserve">, </w:t>
      </w:r>
      <w:r w:rsidRPr="002414E9">
        <w:rPr>
          <w:rFonts w:eastAsia="DengXian" w:cs="Times New Roman"/>
          <w:bCs/>
          <w:i/>
          <w:iCs/>
          <w:noProof/>
          <w:lang w:eastAsia="zh-CN"/>
        </w:rPr>
        <w:t>24</w:t>
      </w:r>
      <w:r w:rsidRPr="002414E9">
        <w:rPr>
          <w:rFonts w:eastAsia="DengXian" w:cs="Times New Roman"/>
          <w:bCs/>
          <w:noProof/>
          <w:lang w:eastAsia="zh-CN"/>
        </w:rPr>
        <w:t>(6), 505–519. https://doi.org/10.1016/0022-1031(88)90049-2</w:t>
      </w:r>
    </w:p>
    <w:p w14:paraId="1B79A882" w14:textId="15967F84"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Insko, C. A., Pinkley, R. L., Hoyle, R. H., Dalton, B., Hong, G., Slim, R. M., ... &amp; Thibaut, J. (1987). Individual versus group discontinuity: The role of intergroup contact. </w:t>
      </w:r>
      <w:r w:rsidRPr="002414E9">
        <w:rPr>
          <w:rFonts w:eastAsia="DengXian" w:cs="Times New Roman"/>
          <w:bCs/>
          <w:i/>
          <w:iCs/>
          <w:noProof/>
          <w:lang w:eastAsia="zh-CN"/>
        </w:rPr>
        <w:t>Journal of Experimental Social Psychology</w:t>
      </w:r>
      <w:r w:rsidRPr="002414E9">
        <w:rPr>
          <w:rFonts w:eastAsia="DengXian" w:cs="Times New Roman"/>
          <w:bCs/>
          <w:noProof/>
          <w:lang w:eastAsia="zh-CN"/>
        </w:rPr>
        <w:t xml:space="preserve">, </w:t>
      </w:r>
      <w:r w:rsidRPr="002414E9">
        <w:rPr>
          <w:rFonts w:eastAsia="DengXian" w:cs="Times New Roman"/>
          <w:bCs/>
          <w:i/>
          <w:iCs/>
          <w:noProof/>
          <w:lang w:eastAsia="zh-CN"/>
        </w:rPr>
        <w:t>23</w:t>
      </w:r>
      <w:r w:rsidRPr="002414E9">
        <w:rPr>
          <w:rFonts w:eastAsia="DengXian" w:cs="Times New Roman"/>
          <w:bCs/>
          <w:noProof/>
          <w:lang w:eastAsia="zh-CN"/>
        </w:rPr>
        <w:t>(3), 250–267. https://doi.org/10.1016/0022-1031(87)90035-7</w:t>
      </w:r>
    </w:p>
    <w:p w14:paraId="254249F6" w14:textId="49A6A4F3"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Insko, C. A., Schopler, J., Gaertner, L., Wildschut, T., Kozar, R., Pinter, B., Finkel, E. J., Brazil, D. M., Cecil, C. L., &amp; Montoya, M. R. (2001). Interindividual–intergroup discontinuity reduction through the anticipation of future interaction. </w:t>
      </w:r>
      <w:r w:rsidRPr="002414E9">
        <w:rPr>
          <w:rFonts w:eastAsia="DengXian" w:cs="Times New Roman"/>
          <w:bCs/>
          <w:i/>
          <w:iCs/>
          <w:noProof/>
          <w:lang w:eastAsia="zh-CN"/>
        </w:rPr>
        <w:t>Journal of Personality and Social Psychology, 80</w:t>
      </w:r>
      <w:r w:rsidRPr="002414E9">
        <w:rPr>
          <w:rFonts w:eastAsia="DengXian" w:cs="Times New Roman"/>
          <w:bCs/>
          <w:noProof/>
          <w:lang w:eastAsia="zh-CN"/>
        </w:rPr>
        <w:t>(1), 95–111. https://doi.org/10.1037/0022-3514.80.1.95</w:t>
      </w:r>
    </w:p>
    <w:p w14:paraId="7B1C27D3" w14:textId="1912C862"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Insko, C. A., Schopler, J., Graetz, K. A., Drigotas, S. M., Currey, D. P., Smith, S. L., ... &amp; Bornstein, G. (1994). Interindividual-intergroup discontinuity in the prisoner's dilemma game.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38</w:t>
      </w:r>
      <w:r w:rsidRPr="002414E9">
        <w:rPr>
          <w:rFonts w:eastAsia="DengXian" w:cs="Times New Roman"/>
          <w:bCs/>
          <w:noProof/>
          <w:lang w:eastAsia="zh-CN"/>
        </w:rPr>
        <w:t>(1), 87–116. https://doi.org/10.1177/0022002794038001005</w:t>
      </w:r>
    </w:p>
    <w:p w14:paraId="0230B21B" w14:textId="009E23BC"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Insko, C. A., Schopler, J., Hoyle, R. H., Dardis, G. J., &amp; Graetz, K. A. (1990). </w:t>
      </w:r>
      <w:r w:rsidRPr="002414E9">
        <w:rPr>
          <w:rFonts w:eastAsia="DengXian" w:cs="Times New Roman"/>
          <w:bCs/>
          <w:noProof/>
          <w:lang w:eastAsia="zh-CN"/>
        </w:rPr>
        <w:t xml:space="preserve">Individual-group discontinuity as a function of fear and greed. </w:t>
      </w:r>
      <w:r w:rsidRPr="002414E9">
        <w:rPr>
          <w:rFonts w:eastAsia="DengXian" w:cs="Times New Roman"/>
          <w:bCs/>
          <w:i/>
          <w:iCs/>
          <w:noProof/>
          <w:lang w:eastAsia="zh-CN"/>
        </w:rPr>
        <w:t>Journal of Personality and Social Psychology, 58</w:t>
      </w:r>
      <w:r w:rsidRPr="002414E9">
        <w:rPr>
          <w:rFonts w:eastAsia="DengXian" w:cs="Times New Roman"/>
          <w:bCs/>
          <w:noProof/>
          <w:lang w:eastAsia="zh-CN"/>
        </w:rPr>
        <w:t>(1), 68–79. https://doi.org/10.1037/0022-3514.58.1.68</w:t>
      </w:r>
    </w:p>
    <w:p w14:paraId="212D7161" w14:textId="4DCD8564"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lastRenderedPageBreak/>
        <w:t xml:space="preserve">Insko, C. A., Schopler, J., Pemberton, M. B., Wieselquist, J., McIlraith, S. A., Currey, D. P., &amp; Gaertner, L. (1998). Long-term outcome maximization and the reduction of interindividual–intergroup discontinuity. </w:t>
      </w:r>
      <w:r w:rsidRPr="002414E9">
        <w:rPr>
          <w:rFonts w:eastAsia="DengXian" w:cs="Times New Roman"/>
          <w:bCs/>
          <w:i/>
          <w:iCs/>
          <w:noProof/>
          <w:lang w:eastAsia="zh-CN"/>
        </w:rPr>
        <w:t>Journal of Personality and Social Psychology, 75</w:t>
      </w:r>
      <w:r w:rsidRPr="002414E9">
        <w:rPr>
          <w:rFonts w:eastAsia="DengXian" w:cs="Times New Roman"/>
          <w:bCs/>
          <w:noProof/>
          <w:lang w:eastAsia="zh-CN"/>
        </w:rPr>
        <w:t>(3), 695–710. https://doi.org/10.1037/0022-3514.75.3.695</w:t>
      </w:r>
    </w:p>
    <w:p w14:paraId="67635939" w14:textId="6083199B"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Insko, C. A., Wildschut, T., &amp; Cohen, T. R. (2013). </w:t>
      </w:r>
      <w:r w:rsidRPr="002414E9">
        <w:rPr>
          <w:rFonts w:eastAsia="DengXian" w:cs="Times New Roman"/>
          <w:bCs/>
          <w:noProof/>
          <w:lang w:eastAsia="zh-CN"/>
        </w:rPr>
        <w:t xml:space="preserve">Interindividual–intergroup discontinuity in the prisoner’s dilemma game: How common fate, proximity, and similarity affect intergroup competition. </w:t>
      </w:r>
      <w:r w:rsidRPr="002414E9">
        <w:rPr>
          <w:rFonts w:eastAsia="DengXian" w:cs="Times New Roman"/>
          <w:bCs/>
          <w:i/>
          <w:iCs/>
          <w:noProof/>
          <w:lang w:eastAsia="zh-CN"/>
        </w:rPr>
        <w:t>Organizational Behavior and Human Decision Processes</w:t>
      </w:r>
      <w:r w:rsidRPr="002414E9">
        <w:rPr>
          <w:rFonts w:eastAsia="DengXian" w:cs="Times New Roman"/>
          <w:bCs/>
          <w:noProof/>
          <w:lang w:eastAsia="zh-CN"/>
        </w:rPr>
        <w:t xml:space="preserve">, </w:t>
      </w:r>
      <w:r w:rsidRPr="002414E9">
        <w:rPr>
          <w:rFonts w:eastAsia="DengXian" w:cs="Times New Roman"/>
          <w:bCs/>
          <w:i/>
          <w:iCs/>
          <w:noProof/>
          <w:lang w:eastAsia="zh-CN"/>
        </w:rPr>
        <w:t>120</w:t>
      </w:r>
      <w:r w:rsidRPr="002414E9">
        <w:rPr>
          <w:rFonts w:eastAsia="DengXian" w:cs="Times New Roman"/>
          <w:bCs/>
          <w:noProof/>
          <w:lang w:eastAsia="zh-CN"/>
        </w:rPr>
        <w:t>(2), 168–180. https://doi.org/10.1016/j.obhdp.2012.07.004</w:t>
      </w:r>
    </w:p>
    <w:p w14:paraId="1120A03A" w14:textId="207A312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Irlenbusch, B., &amp; ter Meer, J. (2013). </w:t>
      </w:r>
      <w:r w:rsidRPr="002414E9">
        <w:rPr>
          <w:rFonts w:eastAsia="DengXian" w:cs="Times New Roman"/>
          <w:noProof/>
          <w:lang w:eastAsia="zh-CN"/>
        </w:rPr>
        <w:t xml:space="preserve">Fooling the nice guys: Explaining receiver credulity in a public good game with lying and punishment.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93</w:t>
      </w:r>
      <w:r w:rsidRPr="002414E9">
        <w:rPr>
          <w:rFonts w:eastAsia="DengXian" w:cs="Times New Roman"/>
          <w:noProof/>
          <w:lang w:eastAsia="zh-CN"/>
        </w:rPr>
        <w:t>, 321–327. https://doi.org/10.1016/j.jebo.2013.03.023</w:t>
      </w:r>
    </w:p>
    <w:p w14:paraId="2BAF7A95" w14:textId="0ABCFAA4"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Irwin, K., McGrimmon, T., &amp; Simpson, B. (2008). Sympathy and social order. </w:t>
      </w:r>
      <w:r w:rsidRPr="002414E9">
        <w:rPr>
          <w:rFonts w:eastAsia="DengXian" w:cs="Times New Roman"/>
          <w:bCs/>
          <w:i/>
          <w:iCs/>
          <w:noProof/>
          <w:lang w:eastAsia="zh-CN"/>
        </w:rPr>
        <w:t>Social Psychology Quarterly</w:t>
      </w:r>
      <w:r w:rsidRPr="002414E9">
        <w:rPr>
          <w:rFonts w:eastAsia="DengXian" w:cs="Times New Roman"/>
          <w:bCs/>
          <w:noProof/>
          <w:lang w:eastAsia="zh-CN"/>
        </w:rPr>
        <w:t xml:space="preserve">, </w:t>
      </w:r>
      <w:r w:rsidRPr="002414E9">
        <w:rPr>
          <w:rFonts w:eastAsia="DengXian" w:cs="Times New Roman"/>
          <w:bCs/>
          <w:i/>
          <w:iCs/>
          <w:noProof/>
          <w:lang w:eastAsia="zh-CN"/>
        </w:rPr>
        <w:t>71</w:t>
      </w:r>
      <w:r w:rsidRPr="002414E9">
        <w:rPr>
          <w:rFonts w:eastAsia="DengXian" w:cs="Times New Roman"/>
          <w:bCs/>
          <w:noProof/>
          <w:lang w:eastAsia="zh-CN"/>
        </w:rPr>
        <w:t>(4), 379–397. https://doi.org/10.1177/019027250807100406</w:t>
      </w:r>
    </w:p>
    <w:p w14:paraId="05FE71BC" w14:textId="0EE82C0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Irwin, K., Mulder, L., &amp; Simpson, B. (2014). The detrimental effects of sanctions on intragroup trust. </w:t>
      </w:r>
      <w:r w:rsidRPr="002414E9">
        <w:rPr>
          <w:rFonts w:eastAsia="DengXian" w:cs="Times New Roman"/>
          <w:i/>
          <w:iCs/>
          <w:noProof/>
          <w:lang w:eastAsia="zh-CN"/>
        </w:rPr>
        <w:t>Social Psychology Quarterly</w:t>
      </w:r>
      <w:r w:rsidRPr="002414E9">
        <w:rPr>
          <w:rFonts w:eastAsia="DengXian" w:cs="Times New Roman"/>
          <w:noProof/>
          <w:lang w:eastAsia="zh-CN"/>
        </w:rPr>
        <w:t xml:space="preserve">, </w:t>
      </w:r>
      <w:r w:rsidRPr="002414E9">
        <w:rPr>
          <w:rFonts w:eastAsia="DengXian" w:cs="Times New Roman"/>
          <w:i/>
          <w:iCs/>
          <w:noProof/>
          <w:lang w:eastAsia="zh-CN"/>
        </w:rPr>
        <w:t>77</w:t>
      </w:r>
      <w:r w:rsidRPr="002414E9">
        <w:rPr>
          <w:rFonts w:eastAsia="DengXian" w:cs="Times New Roman"/>
          <w:noProof/>
          <w:lang w:eastAsia="zh-CN"/>
        </w:rPr>
        <w:t>(3), 253–272. https://doi.org/10.1177/0190272513518803</w:t>
      </w:r>
    </w:p>
    <w:p w14:paraId="0D5DF757" w14:textId="7BED3F09"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Irwin, K., Mulder, L., &amp; Simpson, B. (2014). The detrimental effects of sanctions on intragroup trust: Comparing punishments and rewards. </w:t>
      </w:r>
      <w:r w:rsidRPr="002414E9">
        <w:rPr>
          <w:rFonts w:eastAsia="DengXian" w:cs="Times New Roman"/>
          <w:bCs/>
          <w:i/>
          <w:iCs/>
          <w:noProof/>
          <w:lang w:eastAsia="zh-CN"/>
        </w:rPr>
        <w:t>Social Psychology Quarterly</w:t>
      </w:r>
      <w:r w:rsidRPr="002414E9">
        <w:rPr>
          <w:rFonts w:eastAsia="DengXian" w:cs="Times New Roman"/>
          <w:bCs/>
          <w:noProof/>
          <w:lang w:eastAsia="zh-CN"/>
        </w:rPr>
        <w:t xml:space="preserve">, </w:t>
      </w:r>
      <w:r w:rsidRPr="002414E9">
        <w:rPr>
          <w:rFonts w:eastAsia="DengXian" w:cs="Times New Roman"/>
          <w:bCs/>
          <w:i/>
          <w:iCs/>
          <w:noProof/>
          <w:lang w:eastAsia="zh-CN"/>
        </w:rPr>
        <w:t>77</w:t>
      </w:r>
      <w:r w:rsidRPr="002414E9">
        <w:rPr>
          <w:rFonts w:eastAsia="DengXian" w:cs="Times New Roman"/>
          <w:bCs/>
          <w:noProof/>
          <w:lang w:eastAsia="zh-CN"/>
        </w:rPr>
        <w:t>(3), 253–272. https://doi.org/10.1177/0190272513518803</w:t>
      </w:r>
    </w:p>
    <w:p w14:paraId="6EE3F4EA" w14:textId="0B396219"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Isaac, R. M., &amp; Walker, J. M. (1998). Nash as an organizing principle in the voluntary provision of public goods: Experimental evidence. </w:t>
      </w:r>
      <w:r w:rsidRPr="002414E9">
        <w:rPr>
          <w:rFonts w:eastAsia="DengXian" w:cs="Times New Roman"/>
          <w:bCs/>
          <w:i/>
          <w:iCs/>
          <w:noProof/>
          <w:lang w:eastAsia="zh-CN"/>
        </w:rPr>
        <w:t>Experimental Economics</w:t>
      </w:r>
      <w:r w:rsidRPr="002414E9">
        <w:rPr>
          <w:rFonts w:eastAsia="DengXian" w:cs="Times New Roman"/>
          <w:bCs/>
          <w:noProof/>
          <w:lang w:eastAsia="zh-CN"/>
        </w:rPr>
        <w:t>,</w:t>
      </w:r>
      <w:bookmarkStart w:id="64" w:name="_Hlk54102878"/>
      <w:r w:rsidRPr="002414E9">
        <w:rPr>
          <w:rFonts w:eastAsia="DengXian" w:cs="Times New Roman"/>
          <w:bCs/>
          <w:noProof/>
          <w:lang w:eastAsia="zh-CN"/>
        </w:rPr>
        <w:t xml:space="preserve"> </w:t>
      </w:r>
      <w:r w:rsidRPr="002414E9">
        <w:rPr>
          <w:rFonts w:eastAsia="DengXian" w:cs="Times New Roman"/>
          <w:bCs/>
          <w:i/>
          <w:iCs/>
          <w:noProof/>
          <w:lang w:eastAsia="zh-CN"/>
        </w:rPr>
        <w:t>1</w:t>
      </w:r>
      <w:r w:rsidRPr="002414E9">
        <w:rPr>
          <w:rFonts w:eastAsia="DengXian" w:cs="Times New Roman"/>
          <w:bCs/>
          <w:noProof/>
          <w:lang w:eastAsia="zh-CN"/>
        </w:rPr>
        <w:t xml:space="preserve">(3), </w:t>
      </w:r>
      <w:bookmarkEnd w:id="64"/>
      <w:r w:rsidRPr="002414E9">
        <w:rPr>
          <w:rFonts w:eastAsia="DengXian" w:cs="Times New Roman"/>
          <w:bCs/>
          <w:noProof/>
          <w:lang w:eastAsia="zh-CN"/>
        </w:rPr>
        <w:t xml:space="preserve">191–206. </w:t>
      </w:r>
      <w:bookmarkStart w:id="65" w:name="_Hlk54102889"/>
      <w:r w:rsidRPr="002414E9">
        <w:rPr>
          <w:rFonts w:eastAsia="DengXian" w:cs="Times New Roman"/>
          <w:bCs/>
          <w:noProof/>
          <w:lang w:eastAsia="zh-CN"/>
        </w:rPr>
        <w:t>https://doi.org/</w:t>
      </w:r>
      <w:bookmarkEnd w:id="65"/>
      <w:r w:rsidRPr="002414E9">
        <w:rPr>
          <w:rFonts w:eastAsia="DengXian" w:cs="Times New Roman"/>
          <w:bCs/>
          <w:noProof/>
          <w:lang w:eastAsia="zh-CN"/>
        </w:rPr>
        <w:t>10.1023/A:1009996324622</w:t>
      </w:r>
    </w:p>
    <w:p w14:paraId="3A37B80F" w14:textId="337521D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Isaac, R. M., Walker, J. M., &amp; Thomas, S. H. (1984). Divergent evidence on free riding: An </w:t>
      </w:r>
      <w:r w:rsidRPr="002414E9">
        <w:rPr>
          <w:rFonts w:eastAsia="DengXian" w:cs="Times New Roman"/>
          <w:noProof/>
          <w:lang w:eastAsia="zh-CN"/>
        </w:rPr>
        <w:lastRenderedPageBreak/>
        <w:t xml:space="preserve">experimental examination of possible explanations. </w:t>
      </w:r>
      <w:r w:rsidRPr="002414E9">
        <w:rPr>
          <w:rFonts w:eastAsia="DengXian" w:cs="Times New Roman"/>
          <w:i/>
          <w:iCs/>
          <w:noProof/>
          <w:lang w:eastAsia="zh-CN"/>
        </w:rPr>
        <w:t>Public Choice</w:t>
      </w:r>
      <w:r w:rsidRPr="002414E9">
        <w:rPr>
          <w:rFonts w:eastAsia="DengXian" w:cs="Times New Roman"/>
          <w:noProof/>
          <w:lang w:eastAsia="zh-CN"/>
        </w:rPr>
        <w:t xml:space="preserve">, </w:t>
      </w:r>
      <w:r w:rsidRPr="002414E9">
        <w:rPr>
          <w:rFonts w:eastAsia="DengXian" w:cs="Times New Roman"/>
          <w:i/>
          <w:iCs/>
          <w:noProof/>
          <w:lang w:eastAsia="zh-CN"/>
        </w:rPr>
        <w:t>43</w:t>
      </w:r>
      <w:r w:rsidRPr="002414E9">
        <w:rPr>
          <w:rFonts w:eastAsia="DengXian" w:cs="Times New Roman"/>
          <w:noProof/>
          <w:lang w:eastAsia="zh-CN"/>
        </w:rPr>
        <w:t>(2), 113–149. https://doi.org/10.1007/BF00140829</w:t>
      </w:r>
    </w:p>
    <w:p w14:paraId="4DF24740" w14:textId="2F9FF6E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Ishii, K., &amp; Kurzban, R. (2008). Public goods games in Japan. </w:t>
      </w:r>
      <w:r w:rsidRPr="002414E9">
        <w:rPr>
          <w:rFonts w:eastAsia="DengXian" w:cs="Times New Roman"/>
          <w:i/>
          <w:iCs/>
          <w:noProof/>
          <w:lang w:eastAsia="zh-CN"/>
        </w:rPr>
        <w:t>Human Nature</w:t>
      </w:r>
      <w:r w:rsidRPr="002414E9">
        <w:rPr>
          <w:rFonts w:eastAsia="DengXian" w:cs="Times New Roman"/>
          <w:noProof/>
          <w:lang w:eastAsia="zh-CN"/>
        </w:rPr>
        <w:t xml:space="preserve">, </w:t>
      </w:r>
      <w:r w:rsidRPr="002414E9">
        <w:rPr>
          <w:rFonts w:eastAsia="DengXian" w:cs="Times New Roman"/>
          <w:i/>
          <w:iCs/>
          <w:noProof/>
          <w:lang w:eastAsia="zh-CN"/>
        </w:rPr>
        <w:t>19</w:t>
      </w:r>
      <w:r w:rsidRPr="002414E9">
        <w:rPr>
          <w:rFonts w:eastAsia="DengXian" w:cs="Times New Roman"/>
          <w:noProof/>
          <w:lang w:eastAsia="zh-CN"/>
        </w:rPr>
        <w:t>(2), 138–156. https://doi.org/10.1007/s12110-008-9034-4</w:t>
      </w:r>
    </w:p>
    <w:p w14:paraId="62A44202" w14:textId="26CF751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Ishikawa, M., &amp; Nojima, E. (1999). Konpyūta tsūshin o riyō shita shūjin no jirenma gēmu ni oite pātonā no dōgazō fuka ga kyōchō teki kōdō ni oyobosu eikyō [The effect of the addition of partner’s facial image on cooperative behavior in prisoner’s dilemma game by computer network]. </w:t>
      </w:r>
      <w:r w:rsidRPr="002414E9">
        <w:rPr>
          <w:rFonts w:eastAsia="DengXian" w:cs="Times New Roman"/>
          <w:i/>
          <w:iCs/>
          <w:noProof/>
          <w:lang w:eastAsia="zh-CN"/>
        </w:rPr>
        <w:t>Japan Journal of Educational Technology</w:t>
      </w:r>
      <w:r w:rsidRPr="002414E9">
        <w:rPr>
          <w:rFonts w:eastAsia="DengXian" w:cs="Times New Roman"/>
          <w:noProof/>
          <w:lang w:eastAsia="zh-CN"/>
        </w:rPr>
        <w:t xml:space="preserve">, </w:t>
      </w:r>
      <w:r w:rsidRPr="002414E9">
        <w:rPr>
          <w:rFonts w:eastAsia="DengXian" w:cs="Times New Roman"/>
          <w:i/>
          <w:iCs/>
          <w:noProof/>
          <w:lang w:eastAsia="zh-CN"/>
        </w:rPr>
        <w:t>22</w:t>
      </w:r>
      <w:r w:rsidRPr="002414E9">
        <w:rPr>
          <w:rFonts w:eastAsia="DengXian" w:cs="Times New Roman"/>
          <w:noProof/>
          <w:lang w:eastAsia="zh-CN"/>
        </w:rPr>
        <w:t>(4), 227–238. https://doi.org/10.15077/jmet.22.4_227</w:t>
      </w:r>
    </w:p>
    <w:p w14:paraId="528525CF" w14:textId="7FCC2BF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Iturbe-Ormaetxe, I., Ponti, G., Tomás, J., &amp; Ubeda, L. (2011). Framing effects in public goods: Prospect Theory and experimental evidence. </w:t>
      </w:r>
      <w:r w:rsidRPr="002414E9">
        <w:rPr>
          <w:rFonts w:eastAsia="DengXian" w:cs="Times New Roman"/>
          <w:i/>
          <w:iCs/>
          <w:noProof/>
          <w:lang w:eastAsia="zh-CN"/>
        </w:rPr>
        <w:t>Games and Economic Behavior</w:t>
      </w:r>
      <w:r w:rsidRPr="002414E9">
        <w:rPr>
          <w:rFonts w:eastAsia="DengXian" w:cs="Times New Roman"/>
          <w:noProof/>
          <w:lang w:eastAsia="zh-CN"/>
        </w:rPr>
        <w:t xml:space="preserve">, </w:t>
      </w:r>
      <w:r w:rsidRPr="002414E9">
        <w:rPr>
          <w:rFonts w:eastAsia="DengXian" w:cs="Times New Roman"/>
          <w:i/>
          <w:iCs/>
          <w:noProof/>
          <w:lang w:eastAsia="zh-CN"/>
        </w:rPr>
        <w:t>72</w:t>
      </w:r>
      <w:r w:rsidRPr="002414E9">
        <w:rPr>
          <w:rFonts w:eastAsia="DengXian" w:cs="Times New Roman"/>
          <w:noProof/>
          <w:lang w:eastAsia="zh-CN"/>
        </w:rPr>
        <w:t>(2), 439–447. https://doi.org/10.1016/j.geb.2010.10.004</w:t>
      </w:r>
    </w:p>
    <w:p w14:paraId="5908634B" w14:textId="56C0053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Jack, B. K., &amp; Recalde, M. P. (2015). Leadership and the voluntary provision of public goods: Field evidence from Bolivia.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122</w:t>
      </w:r>
      <w:r w:rsidRPr="002414E9">
        <w:rPr>
          <w:rFonts w:eastAsia="DengXian" w:cs="Times New Roman"/>
          <w:noProof/>
          <w:lang w:eastAsia="zh-CN"/>
        </w:rPr>
        <w:t>, 80–93. https://doi.org/10.1016/j.jpubeco.2014.10.003</w:t>
      </w:r>
    </w:p>
    <w:p w14:paraId="31D62012" w14:textId="1F95D2E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Jackson, J. W. (2008). Reactions to social dilemmas as a function of group identity, rational calculations, and social context. </w:t>
      </w:r>
      <w:r w:rsidRPr="002414E9">
        <w:rPr>
          <w:rFonts w:eastAsia="DengXian" w:cs="Times New Roman"/>
          <w:i/>
          <w:iCs/>
          <w:noProof/>
          <w:lang w:eastAsia="zh-CN"/>
        </w:rPr>
        <w:t>Small Group Research</w:t>
      </w:r>
      <w:r w:rsidRPr="002414E9">
        <w:rPr>
          <w:rFonts w:eastAsia="DengXian" w:cs="Times New Roman"/>
          <w:noProof/>
          <w:lang w:eastAsia="zh-CN"/>
        </w:rPr>
        <w:t xml:space="preserve">, </w:t>
      </w:r>
      <w:r w:rsidRPr="002414E9">
        <w:rPr>
          <w:rFonts w:eastAsia="DengXian" w:cs="Times New Roman"/>
          <w:i/>
          <w:iCs/>
          <w:noProof/>
          <w:lang w:eastAsia="zh-CN"/>
        </w:rPr>
        <w:t>39</w:t>
      </w:r>
      <w:r w:rsidRPr="002414E9">
        <w:rPr>
          <w:rFonts w:eastAsia="DengXian" w:cs="Times New Roman"/>
          <w:noProof/>
          <w:lang w:eastAsia="zh-CN"/>
        </w:rPr>
        <w:t>(6), 673–705. https://doi.org/10.1177/1046496408322761</w:t>
      </w:r>
    </w:p>
    <w:p w14:paraId="7E99149F" w14:textId="51C87DF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Jackson, J. W. (2011). Intragroup cooperation as a function of group performance and group identity. </w:t>
      </w:r>
      <w:r w:rsidRPr="002414E9">
        <w:rPr>
          <w:rFonts w:eastAsia="DengXian" w:cs="Times New Roman"/>
          <w:i/>
          <w:iCs/>
          <w:noProof/>
          <w:lang w:eastAsia="zh-CN"/>
        </w:rPr>
        <w:t>Group Dynamics: Theory, Research, and Practice</w:t>
      </w:r>
      <w:r w:rsidRPr="002414E9">
        <w:rPr>
          <w:rFonts w:eastAsia="DengXian" w:cs="Times New Roman"/>
          <w:noProof/>
          <w:lang w:eastAsia="zh-CN"/>
        </w:rPr>
        <w:t xml:space="preserve">, </w:t>
      </w:r>
      <w:r w:rsidRPr="002414E9">
        <w:rPr>
          <w:rFonts w:eastAsia="DengXian" w:cs="Times New Roman"/>
          <w:i/>
          <w:iCs/>
          <w:noProof/>
          <w:lang w:eastAsia="zh-CN"/>
        </w:rPr>
        <w:t>15</w:t>
      </w:r>
      <w:r w:rsidRPr="002414E9">
        <w:rPr>
          <w:rFonts w:eastAsia="DengXian" w:cs="Times New Roman"/>
          <w:noProof/>
          <w:lang w:eastAsia="zh-CN"/>
        </w:rPr>
        <w:t>(4), 343–356. https://doi.org/10.1037/a0024575</w:t>
      </w:r>
    </w:p>
    <w:p w14:paraId="51B91FE8" w14:textId="1394963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Jackson, J. W. (2012). Reactions to a social dilemma as a function of intragroup interactions and group performance. </w:t>
      </w:r>
      <w:r w:rsidRPr="002414E9">
        <w:rPr>
          <w:rFonts w:eastAsia="DengXian" w:cs="Times New Roman"/>
          <w:i/>
          <w:iCs/>
          <w:noProof/>
          <w:lang w:eastAsia="zh-CN"/>
        </w:rPr>
        <w:t>Group Processes &amp; Intergroup Relations</w:t>
      </w:r>
      <w:r w:rsidRPr="002414E9">
        <w:rPr>
          <w:rFonts w:eastAsia="DengXian" w:cs="Times New Roman"/>
          <w:noProof/>
          <w:lang w:eastAsia="zh-CN"/>
        </w:rPr>
        <w:t xml:space="preserve">, </w:t>
      </w:r>
      <w:r w:rsidRPr="002414E9">
        <w:rPr>
          <w:rFonts w:eastAsia="DengXian" w:cs="Times New Roman"/>
          <w:i/>
          <w:iCs/>
          <w:noProof/>
          <w:lang w:eastAsia="zh-CN"/>
        </w:rPr>
        <w:t>15</w:t>
      </w:r>
      <w:r w:rsidRPr="002414E9">
        <w:rPr>
          <w:rFonts w:eastAsia="DengXian" w:cs="Times New Roman"/>
          <w:noProof/>
          <w:lang w:eastAsia="zh-CN"/>
        </w:rPr>
        <w:t xml:space="preserve">(4), 559–574. </w:t>
      </w:r>
      <w:r w:rsidRPr="002414E9">
        <w:rPr>
          <w:rFonts w:eastAsia="DengXian" w:cs="Times New Roman"/>
          <w:noProof/>
          <w:lang w:eastAsia="zh-CN"/>
        </w:rPr>
        <w:lastRenderedPageBreak/>
        <w:t>https://doi.org/10.1177/1368430211428743</w:t>
      </w:r>
    </w:p>
    <w:p w14:paraId="4609E2C5" w14:textId="46529125" w:rsidR="002414E9" w:rsidRPr="002414E9" w:rsidRDefault="002414E9" w:rsidP="002414E9">
      <w:pPr>
        <w:widowControl w:val="0"/>
        <w:autoSpaceDE w:val="0"/>
        <w:autoSpaceDN w:val="0"/>
        <w:adjustRightInd w:val="0"/>
        <w:ind w:left="709" w:hanging="709"/>
        <w:rPr>
          <w:rFonts w:eastAsia="DengXian" w:cs="Times New Roman"/>
          <w:bCs/>
          <w:noProof/>
          <w:lang w:eastAsia="zh-CN"/>
        </w:rPr>
      </w:pPr>
      <w:bookmarkStart w:id="66" w:name="_Hlk74302553"/>
      <w:r w:rsidRPr="002414E9">
        <w:rPr>
          <w:rFonts w:eastAsia="DengXian" w:cs="Times New Roman"/>
          <w:bCs/>
          <w:noProof/>
          <w:lang w:eastAsia="zh-CN"/>
        </w:rPr>
        <w:t xml:space="preserve">Jacobs, M. K. (1976, April). </w:t>
      </w:r>
      <w:r w:rsidRPr="002414E9">
        <w:rPr>
          <w:rFonts w:eastAsia="DengXian" w:cs="Times New Roman"/>
          <w:bCs/>
          <w:i/>
          <w:iCs/>
          <w:noProof/>
          <w:lang w:eastAsia="zh-CN"/>
        </w:rPr>
        <w:t>Women's moral reasoning and behavior in a contractual form of prisoner's dilemma</w:t>
      </w:r>
      <w:r w:rsidRPr="002414E9">
        <w:rPr>
          <w:rFonts w:eastAsia="DengXian" w:cs="Times New Roman"/>
          <w:bCs/>
          <w:noProof/>
          <w:lang w:eastAsia="zh-CN"/>
        </w:rPr>
        <w:t xml:space="preserve"> [Paper presentation]. Annual Meeting of the American Educational Association, San Francisco, CA, United States. https://files.eric.ed.gov/fulltext/ED128706.pdf</w:t>
      </w:r>
    </w:p>
    <w:bookmarkEnd w:id="66"/>
    <w:p w14:paraId="044D7118" w14:textId="68970CE2" w:rsidR="002414E9" w:rsidRPr="002414E9" w:rsidRDefault="002414E9" w:rsidP="002414E9">
      <w:pPr>
        <w:widowControl w:val="0"/>
        <w:autoSpaceDE w:val="0"/>
        <w:autoSpaceDN w:val="0"/>
        <w:adjustRightInd w:val="0"/>
        <w:ind w:left="709" w:hanging="709"/>
        <w:rPr>
          <w:rFonts w:eastAsia="DengXian" w:cs="Times New Roman"/>
          <w:noProof/>
          <w:lang w:val="nl-NL" w:eastAsia="zh-CN"/>
        </w:rPr>
      </w:pPr>
      <w:r w:rsidRPr="002414E9">
        <w:rPr>
          <w:rFonts w:eastAsia="DengXian" w:cs="Times New Roman"/>
          <w:noProof/>
          <w:lang w:eastAsia="zh-CN"/>
        </w:rPr>
        <w:t xml:space="preserve">Jacobson, S., &amp; Petrie, R. (2014). Favor trading in public good provision. </w:t>
      </w:r>
      <w:r w:rsidRPr="002414E9">
        <w:rPr>
          <w:rFonts w:eastAsia="DengXian" w:cs="Times New Roman"/>
          <w:i/>
          <w:iCs/>
          <w:noProof/>
          <w:lang w:val="nl-NL" w:eastAsia="zh-CN"/>
        </w:rPr>
        <w:t>Experimental Economics</w:t>
      </w:r>
      <w:r w:rsidRPr="002414E9">
        <w:rPr>
          <w:rFonts w:eastAsia="DengXian" w:cs="Times New Roman"/>
          <w:noProof/>
          <w:lang w:val="nl-NL" w:eastAsia="zh-CN"/>
        </w:rPr>
        <w:t xml:space="preserve">, </w:t>
      </w:r>
      <w:r w:rsidRPr="002414E9">
        <w:rPr>
          <w:rFonts w:eastAsia="DengXian" w:cs="Times New Roman"/>
          <w:i/>
          <w:iCs/>
          <w:noProof/>
          <w:lang w:val="nl-NL" w:eastAsia="zh-CN"/>
        </w:rPr>
        <w:t>17</w:t>
      </w:r>
      <w:r w:rsidRPr="002414E9">
        <w:rPr>
          <w:rFonts w:eastAsia="DengXian" w:cs="Times New Roman"/>
          <w:noProof/>
          <w:lang w:val="nl-NL" w:eastAsia="zh-CN"/>
        </w:rPr>
        <w:t>(3), 439–460. https://doi.org/10.1007/s10683-013-9377-5</w:t>
      </w:r>
    </w:p>
    <w:p w14:paraId="355ABDAB" w14:textId="0EF44EC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Janssen, M. A., Anderies, J. M., &amp; Cardenas, J.-C. (2011). </w:t>
      </w:r>
      <w:r w:rsidRPr="002414E9">
        <w:rPr>
          <w:rFonts w:eastAsia="DengXian" w:cs="Times New Roman"/>
          <w:noProof/>
          <w:lang w:eastAsia="zh-CN"/>
        </w:rPr>
        <w:t xml:space="preserve">Head-enders as stationary bandits in asymmetric commons: Comparing irrigation experiments in the laboratory and the field. </w:t>
      </w:r>
      <w:r w:rsidRPr="002414E9">
        <w:rPr>
          <w:rFonts w:eastAsia="DengXian" w:cs="Times New Roman"/>
          <w:i/>
          <w:iCs/>
          <w:noProof/>
          <w:lang w:eastAsia="zh-CN"/>
        </w:rPr>
        <w:t>Ecological Economics</w:t>
      </w:r>
      <w:r w:rsidRPr="002414E9">
        <w:rPr>
          <w:rFonts w:eastAsia="DengXian" w:cs="Times New Roman"/>
          <w:noProof/>
          <w:lang w:eastAsia="zh-CN"/>
        </w:rPr>
        <w:t xml:space="preserve">, </w:t>
      </w:r>
      <w:r w:rsidRPr="002414E9">
        <w:rPr>
          <w:rFonts w:eastAsia="DengXian" w:cs="Times New Roman"/>
          <w:i/>
          <w:iCs/>
          <w:noProof/>
          <w:lang w:eastAsia="zh-CN"/>
        </w:rPr>
        <w:t>70</w:t>
      </w:r>
      <w:r w:rsidRPr="002414E9">
        <w:rPr>
          <w:rFonts w:eastAsia="DengXian" w:cs="Times New Roman"/>
          <w:noProof/>
          <w:lang w:eastAsia="zh-CN"/>
        </w:rPr>
        <w:t>(9), 1590–1598. https://doi.org/10.1016/j.ecolecon.2011.01.006</w:t>
      </w:r>
    </w:p>
    <w:p w14:paraId="752B141F" w14:textId="4D7FD07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Janssen, M. A., Bousquet, F., Cardenas, J.-C., Castillo, D., &amp; Worrapimphong, K. (2012). Field experiments on irrigation dilemmas. </w:t>
      </w:r>
      <w:r w:rsidRPr="002414E9">
        <w:rPr>
          <w:rFonts w:eastAsia="DengXian" w:cs="Times New Roman"/>
          <w:i/>
          <w:iCs/>
          <w:noProof/>
          <w:lang w:eastAsia="zh-CN"/>
        </w:rPr>
        <w:t>Agricultural Systems</w:t>
      </w:r>
      <w:r w:rsidRPr="002414E9">
        <w:rPr>
          <w:rFonts w:eastAsia="DengXian" w:cs="Times New Roman"/>
          <w:noProof/>
          <w:lang w:eastAsia="zh-CN"/>
        </w:rPr>
        <w:t xml:space="preserve">, </w:t>
      </w:r>
      <w:r w:rsidRPr="002414E9">
        <w:rPr>
          <w:rFonts w:eastAsia="DengXian" w:cs="Times New Roman"/>
          <w:i/>
          <w:iCs/>
          <w:noProof/>
          <w:lang w:eastAsia="zh-CN"/>
        </w:rPr>
        <w:t>109</w:t>
      </w:r>
      <w:r w:rsidRPr="002414E9">
        <w:rPr>
          <w:rFonts w:eastAsia="DengXian" w:cs="Times New Roman"/>
          <w:noProof/>
          <w:lang w:eastAsia="zh-CN"/>
        </w:rPr>
        <w:t>, 65–75. https://doi.org/10.1016/j.agsy.2012.03.004</w:t>
      </w:r>
    </w:p>
    <w:p w14:paraId="4696B7AC" w14:textId="3B6DFFD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Jensen, C., Farnham, S. D., Drucker, S. M., &amp; Kollock, P. (2000, April 1–6). </w:t>
      </w:r>
      <w:r w:rsidRPr="002414E9">
        <w:rPr>
          <w:rFonts w:eastAsia="DengXian" w:cs="Times New Roman"/>
          <w:i/>
          <w:iCs/>
          <w:noProof/>
          <w:lang w:eastAsia="zh-CN"/>
        </w:rPr>
        <w:t>The effect of communication modality on cooperation in online environments</w:t>
      </w:r>
      <w:r w:rsidRPr="002414E9">
        <w:rPr>
          <w:rFonts w:eastAsia="DengXian" w:cs="Times New Roman"/>
          <w:noProof/>
          <w:lang w:eastAsia="zh-CN"/>
        </w:rPr>
        <w:t xml:space="preserve"> [Paper presentation]. CHI00: Human Factors in Computing Systems, The Hague, Netherlands. </w:t>
      </w:r>
    </w:p>
    <w:p w14:paraId="1F111242" w14:textId="1EDF1DED"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nl-NL" w:eastAsia="zh-CN"/>
        </w:rPr>
        <w:t xml:space="preserve">Jerdee, T. H., &amp; Rosen, B. (1974). </w:t>
      </w:r>
      <w:r w:rsidRPr="002414E9">
        <w:rPr>
          <w:rFonts w:eastAsia="DengXian" w:cs="Times New Roman"/>
          <w:bCs/>
          <w:noProof/>
          <w:lang w:eastAsia="zh-CN"/>
        </w:rPr>
        <w:t xml:space="preserve">Effects of opportunity to communicate and visibility of individual decisions on behavior in the common interest. </w:t>
      </w:r>
      <w:r w:rsidRPr="002414E9">
        <w:rPr>
          <w:rFonts w:eastAsia="DengXian" w:cs="Times New Roman"/>
          <w:bCs/>
          <w:i/>
          <w:iCs/>
          <w:noProof/>
          <w:lang w:eastAsia="zh-CN"/>
        </w:rPr>
        <w:t>Journal of Applied Psychology, 59</w:t>
      </w:r>
      <w:r w:rsidRPr="002414E9">
        <w:rPr>
          <w:rFonts w:eastAsia="DengXian" w:cs="Times New Roman"/>
          <w:bCs/>
          <w:noProof/>
          <w:lang w:eastAsia="zh-CN"/>
        </w:rPr>
        <w:t>(6), 712–716. https://doi.org/10.1037/h0037450</w:t>
      </w:r>
    </w:p>
    <w:p w14:paraId="6CF64078" w14:textId="708BD70D" w:rsidR="002414E9" w:rsidRPr="002414E9" w:rsidRDefault="002414E9" w:rsidP="002414E9">
      <w:pPr>
        <w:widowControl w:val="0"/>
        <w:autoSpaceDE w:val="0"/>
        <w:autoSpaceDN w:val="0"/>
        <w:adjustRightInd w:val="0"/>
        <w:ind w:left="709" w:hanging="709"/>
        <w:rPr>
          <w:rFonts w:eastAsia="DengXian" w:cs="Times New Roman"/>
          <w:noProof/>
          <w:lang w:eastAsia="zh-CN"/>
        </w:rPr>
      </w:pPr>
      <w:bookmarkStart w:id="67" w:name="_Hlk73019617"/>
      <w:r w:rsidRPr="002414E9">
        <w:rPr>
          <w:rFonts w:eastAsia="DengXian" w:cs="Times New Roman"/>
          <w:noProof/>
          <w:lang w:eastAsia="zh-CN"/>
        </w:rPr>
        <w:t xml:space="preserve">Ji, H. (2007). </w:t>
      </w:r>
      <w:r w:rsidRPr="002414E9">
        <w:rPr>
          <w:rFonts w:eastAsia="DengXian" w:cs="Times New Roman"/>
          <w:i/>
          <w:iCs/>
          <w:noProof/>
          <w:lang w:eastAsia="zh-CN"/>
        </w:rPr>
        <w:t>Shehui jiazhi quxiang fankui yiji chengfa dui liangnan juece de yingxiang</w:t>
      </w:r>
      <w:r w:rsidRPr="002414E9">
        <w:rPr>
          <w:rFonts w:eastAsia="DengXian" w:cs="Times New Roman"/>
          <w:noProof/>
          <w:lang w:eastAsia="zh-CN"/>
        </w:rPr>
        <w:t xml:space="preserve"> [Effects of social value orientation, feedback and punishment in decision dilemma] [Master's thesis, Xibei shifan daxue]. CNKI Theses and Dissertations Database.</w:t>
      </w:r>
      <w:bookmarkEnd w:id="67"/>
    </w:p>
    <w:p w14:paraId="3E143B46" w14:textId="3FC5FDC7" w:rsidR="002414E9" w:rsidRPr="002414E9" w:rsidRDefault="002414E9" w:rsidP="002414E9">
      <w:pPr>
        <w:widowControl w:val="0"/>
        <w:autoSpaceDE w:val="0"/>
        <w:autoSpaceDN w:val="0"/>
        <w:adjustRightInd w:val="0"/>
        <w:ind w:left="709" w:hanging="709"/>
        <w:rPr>
          <w:rFonts w:eastAsia="DengXian" w:cs="Times New Roman"/>
          <w:noProof/>
          <w:lang w:eastAsia="zh-CN"/>
        </w:rPr>
      </w:pPr>
      <w:bookmarkStart w:id="68" w:name="_Hlk73020058"/>
      <w:r w:rsidRPr="002414E9">
        <w:rPr>
          <w:rFonts w:eastAsia="DengXian" w:cs="Times New Roman"/>
          <w:noProof/>
          <w:lang w:eastAsia="zh-CN"/>
        </w:rPr>
        <w:t xml:space="preserve">Jiang, X. (2011). </w:t>
      </w:r>
      <w:r w:rsidRPr="002414E9">
        <w:rPr>
          <w:rFonts w:eastAsia="DengXian" w:cs="Times New Roman"/>
          <w:i/>
          <w:iCs/>
          <w:noProof/>
          <w:lang w:eastAsia="zh-CN"/>
        </w:rPr>
        <w:t>Renji hudong zhong de shehui juece: Qiutu kunjing renwu de ERP yanjiu</w:t>
      </w:r>
      <w:r w:rsidRPr="002414E9">
        <w:rPr>
          <w:rFonts w:eastAsia="DengXian" w:cs="Times New Roman"/>
          <w:noProof/>
          <w:lang w:eastAsia="zh-CN"/>
        </w:rPr>
        <w:t xml:space="preserve"> </w:t>
      </w:r>
      <w:r w:rsidRPr="002414E9">
        <w:rPr>
          <w:rFonts w:eastAsia="DengXian" w:cs="Times New Roman"/>
          <w:noProof/>
          <w:lang w:eastAsia="zh-CN"/>
        </w:rPr>
        <w:lastRenderedPageBreak/>
        <w:t>[Social decision making in interpersonal interactions: An ERP study in a prisoner's dilemma task] [Doctoral dissertation, Shandong shifan daxue]. CNKI Theses and Dissertations Database.</w:t>
      </w:r>
    </w:p>
    <w:bookmarkEnd w:id="68"/>
    <w:p w14:paraId="2932B3B0" w14:textId="79A90C3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Jin, N. (2000). Shakai teki jirenma ni okeru shūdan dōitsuka kōka: Shukan teki sōgo izon kōzō no bunseki [Effects of group identity on social dilemma: A transformational analysis]. </w:t>
      </w:r>
      <w:r w:rsidRPr="002414E9">
        <w:rPr>
          <w:rFonts w:eastAsia="DengXian" w:cs="Times New Roman"/>
          <w:i/>
          <w:iCs/>
          <w:noProof/>
          <w:lang w:eastAsia="zh-CN"/>
        </w:rPr>
        <w:t>College of Sociology bulletin</w:t>
      </w:r>
      <w:r w:rsidRPr="002414E9">
        <w:rPr>
          <w:rFonts w:eastAsia="DengXian" w:cs="Times New Roman"/>
          <w:noProof/>
          <w:lang w:eastAsia="zh-CN"/>
        </w:rPr>
        <w:t xml:space="preserve">, </w:t>
      </w:r>
      <w:r w:rsidRPr="002414E9">
        <w:rPr>
          <w:rFonts w:eastAsia="DengXian" w:cs="Times New Roman"/>
          <w:i/>
          <w:iCs/>
          <w:noProof/>
          <w:lang w:eastAsia="zh-CN"/>
        </w:rPr>
        <w:t>34</w:t>
      </w:r>
      <w:r w:rsidRPr="002414E9">
        <w:rPr>
          <w:rFonts w:eastAsia="DengXian" w:cs="Times New Roman"/>
          <w:noProof/>
          <w:lang w:eastAsia="zh-CN"/>
        </w:rPr>
        <w:t>, 143–159.</w:t>
      </w:r>
    </w:p>
    <w:p w14:paraId="192436D0" w14:textId="6546943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Jin, N. (2005). Shakai teki torirenma ni okeru kyōryoku kōdō [Cooperation in social trilemma]. </w:t>
      </w:r>
      <w:r w:rsidRPr="002414E9">
        <w:rPr>
          <w:rFonts w:eastAsia="DengXian" w:cs="Times New Roman"/>
          <w:i/>
          <w:iCs/>
          <w:noProof/>
          <w:lang w:eastAsia="zh-CN"/>
        </w:rPr>
        <w:t>College of Sociology bulletin</w:t>
      </w:r>
      <w:r w:rsidRPr="002414E9">
        <w:rPr>
          <w:rFonts w:eastAsia="DengXian" w:cs="Times New Roman"/>
          <w:noProof/>
          <w:lang w:eastAsia="zh-CN"/>
        </w:rPr>
        <w:t xml:space="preserve">, </w:t>
      </w:r>
      <w:r w:rsidRPr="002414E9">
        <w:rPr>
          <w:rFonts w:eastAsia="DengXian" w:cs="Times New Roman"/>
          <w:i/>
          <w:iCs/>
          <w:noProof/>
          <w:lang w:eastAsia="zh-CN"/>
        </w:rPr>
        <w:t>39</w:t>
      </w:r>
      <w:r w:rsidRPr="002414E9">
        <w:rPr>
          <w:rFonts w:eastAsia="DengXian" w:cs="Times New Roman"/>
          <w:noProof/>
          <w:lang w:eastAsia="zh-CN"/>
        </w:rPr>
        <w:t>, 113–130.</w:t>
      </w:r>
    </w:p>
    <w:p w14:paraId="1D57952B" w14:textId="5FAFD92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Jin, N., &amp; Yamagishi, T. (1997). Shakai teki jirenma ni okeru shūdan kyōryoku hyūrisutikkusu no kōka [Group heuristics in social dilemma]. </w:t>
      </w:r>
      <w:r w:rsidRPr="002414E9">
        <w:rPr>
          <w:rFonts w:eastAsia="DengXian" w:cs="Times New Roman"/>
          <w:i/>
          <w:iCs/>
          <w:noProof/>
          <w:lang w:eastAsia="zh-CN"/>
        </w:rPr>
        <w:t>Japanese Journal of Social Psychology</w:t>
      </w:r>
      <w:r w:rsidRPr="002414E9">
        <w:rPr>
          <w:rFonts w:eastAsia="DengXian" w:cs="Times New Roman"/>
          <w:noProof/>
          <w:lang w:eastAsia="zh-CN"/>
        </w:rPr>
        <w:t xml:space="preserve">, </w:t>
      </w:r>
      <w:r w:rsidRPr="002414E9">
        <w:rPr>
          <w:rFonts w:eastAsia="DengXian" w:cs="Times New Roman"/>
          <w:i/>
          <w:iCs/>
          <w:noProof/>
          <w:lang w:eastAsia="zh-CN"/>
        </w:rPr>
        <w:t>12</w:t>
      </w:r>
      <w:r w:rsidRPr="002414E9">
        <w:rPr>
          <w:rFonts w:eastAsia="DengXian" w:cs="Times New Roman"/>
          <w:noProof/>
          <w:lang w:eastAsia="zh-CN"/>
        </w:rPr>
        <w:t>(3), 190–198. https://doi.org/10.14966/jssp.KJ00003724741</w:t>
      </w:r>
    </w:p>
    <w:p w14:paraId="440250A9" w14:textId="782B176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Jin, N., Hayashi, N., &amp; Shinotsuka, H. (1996). An experimental study of prisoner’s dilemma network. </w:t>
      </w:r>
      <w:r w:rsidRPr="002414E9">
        <w:rPr>
          <w:rFonts w:eastAsia="DengXian" w:cs="Times New Roman"/>
          <w:i/>
          <w:iCs/>
          <w:noProof/>
          <w:lang w:eastAsia="zh-CN"/>
        </w:rPr>
        <w:t>The Japanese Journal of Experimental Social Psychology</w:t>
      </w:r>
      <w:r w:rsidRPr="002414E9">
        <w:rPr>
          <w:rFonts w:eastAsia="DengXian" w:cs="Times New Roman"/>
          <w:noProof/>
          <w:lang w:eastAsia="zh-CN"/>
        </w:rPr>
        <w:t xml:space="preserve">, </w:t>
      </w:r>
      <w:r w:rsidRPr="002414E9">
        <w:rPr>
          <w:rFonts w:eastAsia="DengXian" w:cs="Times New Roman"/>
          <w:i/>
          <w:iCs/>
          <w:noProof/>
          <w:lang w:eastAsia="zh-CN"/>
        </w:rPr>
        <w:t>35</w:t>
      </w:r>
      <w:r w:rsidRPr="002414E9">
        <w:rPr>
          <w:rFonts w:eastAsia="DengXian" w:cs="Times New Roman"/>
          <w:noProof/>
          <w:lang w:eastAsia="zh-CN"/>
        </w:rPr>
        <w:t>(3), 292–303. https://doi.org/10.2130/jjesp.35.292</w:t>
      </w:r>
    </w:p>
    <w:p w14:paraId="6FCD5E15" w14:textId="1A4A5AC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Jin, Y., &amp; Li, J. (2017). When newbies and veterans play together: The effect of video game content, context and experience on cooperation. </w:t>
      </w:r>
      <w:r w:rsidRPr="002414E9">
        <w:rPr>
          <w:rFonts w:eastAsia="DengXian" w:cs="Times New Roman"/>
          <w:i/>
          <w:iCs/>
          <w:noProof/>
          <w:lang w:eastAsia="zh-CN"/>
        </w:rPr>
        <w:t>Computers in Human Behavior</w:t>
      </w:r>
      <w:r w:rsidRPr="002414E9">
        <w:rPr>
          <w:rFonts w:eastAsia="DengXian" w:cs="Times New Roman"/>
          <w:noProof/>
          <w:lang w:eastAsia="zh-CN"/>
        </w:rPr>
        <w:t xml:space="preserve">, </w:t>
      </w:r>
      <w:r w:rsidRPr="002414E9">
        <w:rPr>
          <w:rFonts w:eastAsia="DengXian" w:cs="Times New Roman"/>
          <w:i/>
          <w:iCs/>
          <w:noProof/>
          <w:lang w:eastAsia="zh-CN"/>
        </w:rPr>
        <w:t>68</w:t>
      </w:r>
      <w:r w:rsidRPr="002414E9">
        <w:rPr>
          <w:rFonts w:eastAsia="DengXian" w:cs="Times New Roman"/>
          <w:noProof/>
          <w:lang w:eastAsia="zh-CN"/>
        </w:rPr>
        <w:t>, 556–563. https://doi.org/10.1016/j.chb.2016.11.059</w:t>
      </w:r>
    </w:p>
    <w:p w14:paraId="349F4EAE" w14:textId="3189187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fr-FR" w:eastAsia="zh-CN"/>
        </w:rPr>
        <w:t xml:space="preserve">Joffily, M., Masclet, D., Noussair, C. N., &amp; Villeval, M. C. (2014). </w:t>
      </w:r>
      <w:r w:rsidRPr="002414E9">
        <w:rPr>
          <w:rFonts w:eastAsia="DengXian" w:cs="Times New Roman"/>
          <w:noProof/>
          <w:lang w:eastAsia="zh-CN"/>
        </w:rPr>
        <w:t xml:space="preserve">Emotions, sanctions, and cooperation. </w:t>
      </w:r>
      <w:r w:rsidRPr="002414E9">
        <w:rPr>
          <w:rFonts w:eastAsia="DengXian" w:cs="Times New Roman"/>
          <w:i/>
          <w:iCs/>
          <w:noProof/>
          <w:lang w:eastAsia="zh-CN"/>
        </w:rPr>
        <w:t>Southern Economic Journal</w:t>
      </w:r>
      <w:r w:rsidRPr="002414E9">
        <w:rPr>
          <w:rFonts w:eastAsia="DengXian" w:cs="Times New Roman"/>
          <w:noProof/>
          <w:lang w:eastAsia="zh-CN"/>
        </w:rPr>
        <w:t xml:space="preserve">, </w:t>
      </w:r>
      <w:r w:rsidRPr="002414E9">
        <w:rPr>
          <w:rFonts w:eastAsia="DengXian" w:cs="Times New Roman"/>
          <w:i/>
          <w:iCs/>
          <w:noProof/>
          <w:lang w:eastAsia="zh-CN"/>
        </w:rPr>
        <w:t>80</w:t>
      </w:r>
      <w:r w:rsidRPr="002414E9">
        <w:rPr>
          <w:rFonts w:eastAsia="DengXian" w:cs="Times New Roman"/>
          <w:noProof/>
          <w:lang w:eastAsia="zh-CN"/>
        </w:rPr>
        <w:t>(4), 1002–1027. https://doi.org/10.4284/0038-4038-2012.067</w:t>
      </w:r>
    </w:p>
    <w:p w14:paraId="5D44EFD4" w14:textId="1481ED3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Joireman, J., Posey, D. C., Truelove, H. B., &amp; Parks, C. D. (2009). The environmentalist who cried drought: Reactions to repeated warnings about depleting resources under conditions of uncertainty. </w:t>
      </w:r>
      <w:r w:rsidRPr="002414E9">
        <w:rPr>
          <w:rFonts w:eastAsia="DengXian" w:cs="Times New Roman"/>
          <w:i/>
          <w:iCs/>
          <w:noProof/>
          <w:lang w:eastAsia="zh-CN"/>
        </w:rPr>
        <w:t>Journal of Environmental Psychology</w:t>
      </w:r>
      <w:r w:rsidRPr="002414E9">
        <w:rPr>
          <w:rFonts w:eastAsia="DengXian" w:cs="Times New Roman"/>
          <w:noProof/>
          <w:lang w:eastAsia="zh-CN"/>
        </w:rPr>
        <w:t xml:space="preserve">, </w:t>
      </w:r>
      <w:r w:rsidRPr="002414E9">
        <w:rPr>
          <w:rFonts w:eastAsia="DengXian" w:cs="Times New Roman"/>
          <w:i/>
          <w:iCs/>
          <w:noProof/>
          <w:lang w:eastAsia="zh-CN"/>
        </w:rPr>
        <w:t>29</w:t>
      </w:r>
      <w:r w:rsidRPr="002414E9">
        <w:rPr>
          <w:rFonts w:eastAsia="DengXian" w:cs="Times New Roman"/>
          <w:noProof/>
          <w:lang w:eastAsia="zh-CN"/>
        </w:rPr>
        <w:t xml:space="preserve">(2), 181–192. </w:t>
      </w:r>
      <w:r w:rsidRPr="002414E9">
        <w:rPr>
          <w:rFonts w:eastAsia="DengXian" w:cs="Times New Roman"/>
          <w:noProof/>
          <w:lang w:eastAsia="zh-CN"/>
        </w:rPr>
        <w:lastRenderedPageBreak/>
        <w:t>https://doi.org/10.1016/j.jenvp.2008.10.003</w:t>
      </w:r>
    </w:p>
    <w:p w14:paraId="0A3032D2" w14:textId="5C08D60C" w:rsidR="002414E9" w:rsidRPr="002414E9" w:rsidRDefault="002414E9" w:rsidP="002414E9">
      <w:pPr>
        <w:widowControl w:val="0"/>
        <w:autoSpaceDE w:val="0"/>
        <w:autoSpaceDN w:val="0"/>
        <w:adjustRightInd w:val="0"/>
        <w:ind w:left="709" w:hanging="709"/>
        <w:rPr>
          <w:rFonts w:eastAsia="DengXian" w:cs="Times New Roman"/>
          <w:bCs/>
          <w:noProof/>
          <w:lang w:eastAsia="zh-CN"/>
        </w:rPr>
      </w:pPr>
      <w:bookmarkStart w:id="69" w:name="_Hlk74302822"/>
      <w:r w:rsidRPr="002414E9">
        <w:rPr>
          <w:rFonts w:eastAsia="DengXian" w:cs="Times New Roman"/>
          <w:bCs/>
          <w:noProof/>
          <w:lang w:eastAsia="zh-CN"/>
        </w:rPr>
        <w:t xml:space="preserve">Jones, B. A. (2007). </w:t>
      </w:r>
      <w:r w:rsidRPr="002414E9">
        <w:rPr>
          <w:rFonts w:eastAsia="DengXian" w:cs="Times New Roman"/>
          <w:bCs/>
          <w:i/>
          <w:iCs/>
          <w:noProof/>
          <w:lang w:eastAsia="zh-CN"/>
        </w:rPr>
        <w:t>Social discounting: Social distance and altruistic choice</w:t>
      </w:r>
      <w:r w:rsidRPr="002414E9">
        <w:rPr>
          <w:rFonts w:eastAsia="DengXian" w:cs="Times New Roman"/>
          <w:bCs/>
          <w:noProof/>
          <w:lang w:eastAsia="zh-CN"/>
        </w:rPr>
        <w:t xml:space="preserve"> (Publication No. 3334911) [Doctoral dissertation, State University of New York at Stony Brook]. ProQuest Dissertations Publishing.</w:t>
      </w:r>
      <w:bookmarkEnd w:id="69"/>
    </w:p>
    <w:p w14:paraId="761A5B02" w14:textId="3E3A3B9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Jones, B. A., &amp; Rachlin, H. (2009). Delay, probability, and social discounting in a public goods game. </w:t>
      </w:r>
      <w:r w:rsidRPr="002414E9">
        <w:rPr>
          <w:rFonts w:eastAsia="DengXian" w:cs="Times New Roman"/>
          <w:i/>
          <w:iCs/>
          <w:noProof/>
          <w:lang w:eastAsia="zh-CN"/>
        </w:rPr>
        <w:t>Journal of the Experimental Analysis of Behavior</w:t>
      </w:r>
      <w:r w:rsidRPr="002414E9">
        <w:rPr>
          <w:rFonts w:eastAsia="DengXian" w:cs="Times New Roman"/>
          <w:noProof/>
          <w:lang w:eastAsia="zh-CN"/>
        </w:rPr>
        <w:t xml:space="preserve">, </w:t>
      </w:r>
      <w:r w:rsidRPr="002414E9">
        <w:rPr>
          <w:rFonts w:eastAsia="DengXian" w:cs="Times New Roman"/>
          <w:i/>
          <w:iCs/>
          <w:noProof/>
          <w:lang w:eastAsia="zh-CN"/>
        </w:rPr>
        <w:t>91</w:t>
      </w:r>
      <w:r w:rsidRPr="002414E9">
        <w:rPr>
          <w:rFonts w:eastAsia="DengXian" w:cs="Times New Roman"/>
          <w:noProof/>
          <w:lang w:eastAsia="zh-CN"/>
        </w:rPr>
        <w:t>(1), 61–73. https://doi.org/10.1901/jeab.2009.91-61</w:t>
      </w:r>
    </w:p>
    <w:p w14:paraId="6C2248D2" w14:textId="5B0D1587"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Jones, M., &amp; McKee, M. (2004). Feedback information and contributions to not-for-profit enterprises: Experimental investigations and implications for large-scale fund-raising. </w:t>
      </w:r>
      <w:r w:rsidRPr="002414E9">
        <w:rPr>
          <w:rFonts w:eastAsia="DengXian" w:cs="Times New Roman"/>
          <w:bCs/>
          <w:i/>
          <w:iCs/>
          <w:noProof/>
          <w:lang w:eastAsia="zh-CN"/>
        </w:rPr>
        <w:t>Public Finance Review</w:t>
      </w:r>
      <w:r w:rsidRPr="002414E9">
        <w:rPr>
          <w:rFonts w:eastAsia="DengXian" w:cs="Times New Roman"/>
          <w:bCs/>
          <w:noProof/>
          <w:lang w:eastAsia="zh-CN"/>
        </w:rPr>
        <w:t xml:space="preserve">, </w:t>
      </w:r>
      <w:r w:rsidRPr="002414E9">
        <w:rPr>
          <w:rFonts w:eastAsia="DengXian" w:cs="Times New Roman"/>
          <w:bCs/>
          <w:i/>
          <w:iCs/>
          <w:noProof/>
          <w:lang w:eastAsia="zh-CN"/>
        </w:rPr>
        <w:t>32</w:t>
      </w:r>
      <w:r w:rsidRPr="002414E9">
        <w:rPr>
          <w:rFonts w:eastAsia="DengXian" w:cs="Times New Roman"/>
          <w:bCs/>
          <w:noProof/>
          <w:lang w:eastAsia="zh-CN"/>
        </w:rPr>
        <w:t>(5), 512–527. https://doi.org/10.1177/1091142104267064</w:t>
      </w:r>
    </w:p>
    <w:p w14:paraId="7A508C1C" w14:textId="1FFFB7AF"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Jones, S. C., &amp; Panitch, D. (1971). The self-fulfilling prophecy and interpersonal attraction. </w:t>
      </w:r>
      <w:r w:rsidRPr="002414E9">
        <w:rPr>
          <w:rFonts w:eastAsia="DengXian" w:cs="Times New Roman"/>
          <w:bCs/>
          <w:i/>
          <w:iCs/>
          <w:noProof/>
          <w:lang w:eastAsia="zh-CN"/>
        </w:rPr>
        <w:t>Journal of Experimental Social Psychology</w:t>
      </w:r>
      <w:r w:rsidRPr="002414E9">
        <w:rPr>
          <w:rFonts w:eastAsia="DengXian" w:cs="Times New Roman"/>
          <w:bCs/>
          <w:noProof/>
          <w:lang w:eastAsia="zh-CN"/>
        </w:rPr>
        <w:t xml:space="preserve">, </w:t>
      </w:r>
      <w:r w:rsidRPr="002414E9">
        <w:rPr>
          <w:rFonts w:eastAsia="DengXian" w:cs="Times New Roman"/>
          <w:bCs/>
          <w:i/>
          <w:iCs/>
          <w:noProof/>
          <w:lang w:eastAsia="zh-CN"/>
        </w:rPr>
        <w:t>7</w:t>
      </w:r>
      <w:r w:rsidRPr="002414E9">
        <w:rPr>
          <w:rFonts w:eastAsia="DengXian" w:cs="Times New Roman"/>
          <w:bCs/>
          <w:noProof/>
          <w:lang w:eastAsia="zh-CN"/>
        </w:rPr>
        <w:t>(3), 356–366. https://doi.org/10.1016/0022-1031(71)90034-5</w:t>
      </w:r>
    </w:p>
    <w:p w14:paraId="7F1BF6B1" w14:textId="30366DA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Kagihara M. (2010). Hikyōryoku tanchi gata jōhō kōzō no dōnyū wa shūjin no jirenma no kaiketsuhō to shite yūkō ka: Jikken kenkyū ni motozuku tōkei teki shōko to sono yobi teki kōsatsu [How effective is the information structure of observable defection in solving the prisoners’ dilemma?: Experimental evidence and its preliminary study]. </w:t>
      </w:r>
      <w:r w:rsidRPr="002414E9">
        <w:rPr>
          <w:rFonts w:eastAsia="DengXian" w:cs="Times New Roman"/>
          <w:i/>
          <w:iCs/>
          <w:noProof/>
          <w:lang w:eastAsia="zh-CN"/>
        </w:rPr>
        <w:t>Fukuoka University Review of Economics</w:t>
      </w:r>
      <w:r w:rsidRPr="002414E9">
        <w:rPr>
          <w:rFonts w:eastAsia="DengXian" w:cs="Times New Roman"/>
          <w:noProof/>
          <w:lang w:eastAsia="zh-CN"/>
        </w:rPr>
        <w:t xml:space="preserve">, </w:t>
      </w:r>
      <w:r w:rsidRPr="002414E9">
        <w:rPr>
          <w:rFonts w:eastAsia="DengXian" w:cs="Times New Roman"/>
          <w:i/>
          <w:iCs/>
          <w:noProof/>
          <w:lang w:eastAsia="zh-CN"/>
        </w:rPr>
        <w:t>55</w:t>
      </w:r>
      <w:r w:rsidRPr="002414E9">
        <w:rPr>
          <w:rFonts w:eastAsia="DengXian" w:cs="Times New Roman"/>
          <w:noProof/>
          <w:lang w:eastAsia="zh-CN"/>
        </w:rPr>
        <w:t>, 11–35.</w:t>
      </w:r>
    </w:p>
    <w:p w14:paraId="6ED3F37C" w14:textId="331A22B2"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Kahan, J. P. (1973). Noninteraction in an anonymous three‐person prisoner's dilemma game. </w:t>
      </w:r>
      <w:r w:rsidRPr="002414E9">
        <w:rPr>
          <w:rFonts w:eastAsia="DengXian" w:cs="Times New Roman"/>
          <w:bCs/>
          <w:i/>
          <w:iCs/>
          <w:noProof/>
          <w:lang w:eastAsia="zh-CN"/>
        </w:rPr>
        <w:t>Behavioral Science</w:t>
      </w:r>
      <w:r w:rsidRPr="002414E9">
        <w:rPr>
          <w:rFonts w:eastAsia="DengXian" w:cs="Times New Roman"/>
          <w:bCs/>
          <w:noProof/>
          <w:lang w:eastAsia="zh-CN"/>
        </w:rPr>
        <w:t xml:space="preserve">, </w:t>
      </w:r>
      <w:r w:rsidRPr="002414E9">
        <w:rPr>
          <w:rFonts w:eastAsia="DengXian" w:cs="Times New Roman"/>
          <w:bCs/>
          <w:i/>
          <w:iCs/>
          <w:noProof/>
          <w:lang w:eastAsia="zh-CN"/>
        </w:rPr>
        <w:t>18</w:t>
      </w:r>
      <w:r w:rsidRPr="002414E9">
        <w:rPr>
          <w:rFonts w:eastAsia="DengXian" w:cs="Times New Roman"/>
          <w:bCs/>
          <w:noProof/>
          <w:lang w:eastAsia="zh-CN"/>
        </w:rPr>
        <w:t>(2), 124–127. https://doi.org/10.1002/bs.3830180206</w:t>
      </w:r>
    </w:p>
    <w:p w14:paraId="5430E0BE" w14:textId="0CB1DDE2"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fr-FR" w:eastAsia="zh-CN"/>
        </w:rPr>
        <w:t xml:space="preserve">Kahn, A., Hottes, J., &amp; Davis, W. L. (1971). </w:t>
      </w:r>
      <w:r w:rsidRPr="002414E9">
        <w:rPr>
          <w:rFonts w:eastAsia="DengXian" w:cs="Times New Roman"/>
          <w:bCs/>
          <w:noProof/>
          <w:lang w:eastAsia="zh-CN"/>
        </w:rPr>
        <w:t xml:space="preserve">Cooperation and optimal responding in the Prisoner's Dilemma game: Effects of sex and physical attractiveness. </w:t>
      </w:r>
      <w:r w:rsidRPr="002414E9">
        <w:rPr>
          <w:rFonts w:eastAsia="DengXian" w:cs="Times New Roman"/>
          <w:bCs/>
          <w:i/>
          <w:iCs/>
          <w:noProof/>
          <w:lang w:eastAsia="zh-CN"/>
        </w:rPr>
        <w:t>Journal of Personality and Social Psychology, 17</w:t>
      </w:r>
      <w:r w:rsidRPr="002414E9">
        <w:rPr>
          <w:rFonts w:eastAsia="DengXian" w:cs="Times New Roman"/>
          <w:bCs/>
          <w:noProof/>
          <w:lang w:eastAsia="zh-CN"/>
        </w:rPr>
        <w:t>(3), 267–279. https://doi.org/10.1037/h0030597</w:t>
      </w:r>
    </w:p>
    <w:p w14:paraId="722ACD3C" w14:textId="1E99EB1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lastRenderedPageBreak/>
        <w:t xml:space="preserve">Kaiser, F. G., &amp; Byrka, K. (2015). The Campbell Paradigm as a conceptual alternative to the expectation of hypocrisy in contemporary attitude research. </w:t>
      </w:r>
      <w:r w:rsidRPr="002414E9">
        <w:rPr>
          <w:rFonts w:eastAsia="DengXian" w:cs="Times New Roman"/>
          <w:i/>
          <w:iCs/>
          <w:noProof/>
          <w:lang w:eastAsia="zh-CN"/>
        </w:rPr>
        <w:t>The Journal of Social Psychology</w:t>
      </w:r>
      <w:r w:rsidRPr="002414E9">
        <w:rPr>
          <w:rFonts w:eastAsia="DengXian" w:cs="Times New Roman"/>
          <w:noProof/>
          <w:lang w:eastAsia="zh-CN"/>
        </w:rPr>
        <w:t xml:space="preserve">, </w:t>
      </w:r>
      <w:r w:rsidRPr="002414E9">
        <w:rPr>
          <w:rFonts w:eastAsia="DengXian" w:cs="Times New Roman"/>
          <w:i/>
          <w:iCs/>
          <w:noProof/>
          <w:lang w:eastAsia="zh-CN"/>
        </w:rPr>
        <w:t>155</w:t>
      </w:r>
      <w:r w:rsidRPr="002414E9">
        <w:rPr>
          <w:rFonts w:eastAsia="DengXian" w:cs="Times New Roman"/>
          <w:noProof/>
          <w:lang w:eastAsia="zh-CN"/>
        </w:rPr>
        <w:t>(1), 12–29. https://doi.org/10.1080/00224545.2014.959884</w:t>
      </w:r>
    </w:p>
    <w:p w14:paraId="6F106C6F" w14:textId="11DB94F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Kamei, K., &amp; Putterman, L. (2017). Play it again: partner choice, reputation building and learning from finitely repeated dilemma games. </w:t>
      </w:r>
      <w:r w:rsidRPr="002414E9">
        <w:rPr>
          <w:rFonts w:eastAsia="DengXian" w:cs="Times New Roman"/>
          <w:i/>
          <w:iCs/>
          <w:noProof/>
          <w:lang w:eastAsia="zh-CN"/>
        </w:rPr>
        <w:t>The Economic Journal</w:t>
      </w:r>
      <w:r w:rsidRPr="002414E9">
        <w:rPr>
          <w:rFonts w:eastAsia="DengXian" w:cs="Times New Roman"/>
          <w:noProof/>
          <w:lang w:eastAsia="zh-CN"/>
        </w:rPr>
        <w:t xml:space="preserve">, </w:t>
      </w:r>
      <w:r w:rsidRPr="002414E9">
        <w:rPr>
          <w:rFonts w:eastAsia="DengXian" w:cs="Times New Roman"/>
          <w:i/>
          <w:iCs/>
          <w:noProof/>
          <w:lang w:eastAsia="zh-CN"/>
        </w:rPr>
        <w:t>127</w:t>
      </w:r>
      <w:r w:rsidRPr="002414E9">
        <w:rPr>
          <w:rFonts w:eastAsia="DengXian" w:cs="Times New Roman"/>
          <w:noProof/>
          <w:lang w:eastAsia="zh-CN"/>
        </w:rPr>
        <w:t>(602), 1069–1095. https://doi.org/10.1111/ecoj.12320</w:t>
      </w:r>
    </w:p>
    <w:p w14:paraId="641CBF0E" w14:textId="2FEF6F0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Kamijo Y., &amp; Takeuchi A. (2007). Kōkyōzai kyōkyū gēmu to naisei teki seido sentaku: Sentaku tetsuzuki to taimingu no eikyō ni kansuru jikken bunseki [Voluntary contribution mechanism game and endogenous institution selection]. </w:t>
      </w:r>
      <w:r w:rsidRPr="002414E9">
        <w:rPr>
          <w:rFonts w:eastAsia="DengXian" w:cs="Times New Roman"/>
          <w:i/>
          <w:iCs/>
          <w:noProof/>
          <w:lang w:eastAsia="zh-CN"/>
        </w:rPr>
        <w:t>The Waseda journal of political science and economics</w:t>
      </w:r>
      <w:r w:rsidRPr="002414E9">
        <w:rPr>
          <w:rFonts w:eastAsia="DengXian" w:cs="Times New Roman"/>
          <w:noProof/>
          <w:lang w:eastAsia="zh-CN"/>
        </w:rPr>
        <w:t xml:space="preserve">, </w:t>
      </w:r>
      <w:r w:rsidRPr="002414E9">
        <w:rPr>
          <w:rFonts w:eastAsia="DengXian" w:cs="Times New Roman"/>
          <w:i/>
          <w:iCs/>
          <w:noProof/>
          <w:lang w:eastAsia="zh-CN"/>
        </w:rPr>
        <w:t>368</w:t>
      </w:r>
      <w:r w:rsidRPr="002414E9">
        <w:rPr>
          <w:rFonts w:eastAsia="DengXian" w:cs="Times New Roman"/>
          <w:noProof/>
          <w:lang w:eastAsia="zh-CN"/>
        </w:rPr>
        <w:t>, 21–40.</w:t>
      </w:r>
    </w:p>
    <w:p w14:paraId="3DDA691B" w14:textId="0F830D1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Kamijo, Y., Nihonsugi, T., Takeuchi, A., &amp; Funaki, Y. (2014). Sustaining cooperation in social dilemmas: Comparison of centralized punishment institutions. </w:t>
      </w:r>
      <w:r w:rsidRPr="002414E9">
        <w:rPr>
          <w:rFonts w:eastAsia="DengXian" w:cs="Times New Roman"/>
          <w:i/>
          <w:iCs/>
          <w:noProof/>
          <w:lang w:eastAsia="zh-CN"/>
        </w:rPr>
        <w:t>Games and Economic Behavior</w:t>
      </w:r>
      <w:r w:rsidRPr="002414E9">
        <w:rPr>
          <w:rFonts w:eastAsia="DengXian" w:cs="Times New Roman"/>
          <w:noProof/>
          <w:lang w:eastAsia="zh-CN"/>
        </w:rPr>
        <w:t xml:space="preserve">, </w:t>
      </w:r>
      <w:r w:rsidRPr="002414E9">
        <w:rPr>
          <w:rFonts w:eastAsia="DengXian" w:cs="Times New Roman"/>
          <w:i/>
          <w:iCs/>
          <w:noProof/>
          <w:lang w:eastAsia="zh-CN"/>
        </w:rPr>
        <w:t>84</w:t>
      </w:r>
      <w:r w:rsidRPr="002414E9">
        <w:rPr>
          <w:rFonts w:eastAsia="DengXian" w:cs="Times New Roman"/>
          <w:noProof/>
          <w:lang w:eastAsia="zh-CN"/>
        </w:rPr>
        <w:t>, 180–195. https://doi.org/10.1016/j.geb.2014.01.002</w:t>
      </w:r>
    </w:p>
    <w:p w14:paraId="7EFF15A9" w14:textId="319A62B5" w:rsidR="002414E9" w:rsidRPr="002414E9" w:rsidRDefault="002414E9" w:rsidP="002414E9">
      <w:pPr>
        <w:widowControl w:val="0"/>
        <w:autoSpaceDE w:val="0"/>
        <w:autoSpaceDN w:val="0"/>
        <w:adjustRightInd w:val="0"/>
        <w:ind w:left="709" w:hanging="709"/>
        <w:rPr>
          <w:rFonts w:eastAsia="DengXian" w:cs="Times New Roman"/>
          <w:bCs/>
          <w:noProof/>
          <w:lang w:eastAsia="zh-CN"/>
        </w:rPr>
      </w:pPr>
      <w:bookmarkStart w:id="70" w:name="_Hlk74302965"/>
      <w:r w:rsidRPr="002414E9">
        <w:rPr>
          <w:rFonts w:eastAsia="DengXian" w:cs="Times New Roman"/>
          <w:bCs/>
          <w:noProof/>
          <w:lang w:eastAsia="zh-CN"/>
        </w:rPr>
        <w:t xml:space="preserve">Kammerer, W. D. (2012). </w:t>
      </w:r>
      <w:r w:rsidRPr="002414E9">
        <w:rPr>
          <w:rFonts w:eastAsia="DengXian" w:cs="Times New Roman"/>
          <w:bCs/>
          <w:i/>
          <w:iCs/>
          <w:noProof/>
          <w:lang w:eastAsia="zh-CN"/>
        </w:rPr>
        <w:t>Developing public policy and law based solely on reciprocal cooperation equilibria is ill-founded: The implications of four psychological factors in a repeated prisoner's dilemma game</w:t>
      </w:r>
      <w:r w:rsidRPr="002414E9">
        <w:rPr>
          <w:rFonts w:eastAsia="DengXian" w:cs="Times New Roman"/>
          <w:bCs/>
          <w:noProof/>
          <w:lang w:eastAsia="zh-CN"/>
        </w:rPr>
        <w:t xml:space="preserve"> (Publication No. 3539449) [Doctoral dissertation, Alliant International University]. ProQuest Dissertations Publishing.</w:t>
      </w:r>
    </w:p>
    <w:bookmarkEnd w:id="70"/>
    <w:p w14:paraId="1AEEE0F8" w14:textId="0AC97F7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Kanazawa, S., &amp; Fontaine, L. (2013). Intelligent people defect more in a one-shot prisoner’s dilemma game. </w:t>
      </w:r>
      <w:r w:rsidRPr="002414E9">
        <w:rPr>
          <w:rFonts w:eastAsia="DengXian" w:cs="Times New Roman"/>
          <w:i/>
          <w:iCs/>
          <w:noProof/>
          <w:lang w:eastAsia="zh-CN"/>
        </w:rPr>
        <w:t>Journal of Neuroscience, Psychology, and Economics</w:t>
      </w:r>
      <w:r w:rsidRPr="002414E9">
        <w:rPr>
          <w:rFonts w:eastAsia="DengXian" w:cs="Times New Roman"/>
          <w:noProof/>
          <w:lang w:eastAsia="zh-CN"/>
        </w:rPr>
        <w:t xml:space="preserve">, </w:t>
      </w:r>
      <w:r w:rsidRPr="002414E9">
        <w:rPr>
          <w:rFonts w:eastAsia="DengXian" w:cs="Times New Roman"/>
          <w:i/>
          <w:iCs/>
          <w:noProof/>
          <w:lang w:eastAsia="zh-CN"/>
        </w:rPr>
        <w:t>6</w:t>
      </w:r>
      <w:r w:rsidRPr="002414E9">
        <w:rPr>
          <w:rFonts w:eastAsia="DengXian" w:cs="Times New Roman"/>
          <w:noProof/>
          <w:lang w:eastAsia="zh-CN"/>
        </w:rPr>
        <w:t>(3), 201–213. https://doi.org/10.1037/npe0000010</w:t>
      </w:r>
    </w:p>
    <w:p w14:paraId="59394536" w14:textId="6F2AC2A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Kanouse, D. E., &amp; Wiest, W. M. (1967). </w:t>
      </w:r>
      <w:r w:rsidRPr="002414E9">
        <w:rPr>
          <w:rFonts w:eastAsia="DengXian" w:cs="Times New Roman"/>
          <w:noProof/>
          <w:lang w:eastAsia="zh-CN"/>
        </w:rPr>
        <w:t xml:space="preserve">Some factors affecting choice in the Prisoner’s Dilemma. </w:t>
      </w:r>
      <w:r w:rsidRPr="002414E9">
        <w:rPr>
          <w:rFonts w:eastAsia="DengXian" w:cs="Times New Roman"/>
          <w:i/>
          <w:iCs/>
          <w:noProof/>
          <w:lang w:eastAsia="zh-CN"/>
        </w:rPr>
        <w:t>Journal of Conflict Resolution</w:t>
      </w:r>
      <w:r w:rsidRPr="002414E9">
        <w:rPr>
          <w:rFonts w:eastAsia="DengXian" w:cs="Times New Roman"/>
          <w:noProof/>
          <w:lang w:eastAsia="zh-CN"/>
        </w:rPr>
        <w:t xml:space="preserve">, </w:t>
      </w:r>
      <w:r w:rsidRPr="002414E9">
        <w:rPr>
          <w:rFonts w:eastAsia="DengXian" w:cs="Times New Roman"/>
          <w:i/>
          <w:iCs/>
          <w:noProof/>
          <w:lang w:eastAsia="zh-CN"/>
        </w:rPr>
        <w:t>11</w:t>
      </w:r>
      <w:r w:rsidRPr="002414E9">
        <w:rPr>
          <w:rFonts w:eastAsia="DengXian" w:cs="Times New Roman"/>
          <w:noProof/>
          <w:lang w:eastAsia="zh-CN"/>
        </w:rPr>
        <w:t>(2), 206–213. https://doi.org/10.1177/002200276701100208</w:t>
      </w:r>
    </w:p>
    <w:p w14:paraId="05210E86" w14:textId="567B62A1"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lastRenderedPageBreak/>
        <w:t xml:space="preserve">Kassinove, H., Roth, D., Owens, S. G., &amp; Fuller, J. R. (2002). Effects of trait anger and anger expression style on competitive attack responses in a wartime prisoner’s dilemma game. </w:t>
      </w:r>
      <w:r w:rsidRPr="002414E9">
        <w:rPr>
          <w:rFonts w:eastAsia="DengXian" w:cs="Times New Roman"/>
          <w:bCs/>
          <w:i/>
          <w:iCs/>
          <w:noProof/>
          <w:lang w:eastAsia="zh-CN"/>
        </w:rPr>
        <w:t>Aggressive Behavior: Official Journal of the International Society for Research on Aggression</w:t>
      </w:r>
      <w:r w:rsidRPr="002414E9">
        <w:rPr>
          <w:rFonts w:eastAsia="DengXian" w:cs="Times New Roman"/>
          <w:bCs/>
          <w:noProof/>
          <w:lang w:eastAsia="zh-CN"/>
        </w:rPr>
        <w:t xml:space="preserve">, </w:t>
      </w:r>
      <w:r w:rsidRPr="002414E9">
        <w:rPr>
          <w:rFonts w:eastAsia="DengXian" w:cs="Times New Roman"/>
          <w:bCs/>
          <w:i/>
          <w:iCs/>
          <w:noProof/>
          <w:lang w:eastAsia="zh-CN"/>
        </w:rPr>
        <w:t>28</w:t>
      </w:r>
      <w:r w:rsidRPr="002414E9">
        <w:rPr>
          <w:rFonts w:eastAsia="DengXian" w:cs="Times New Roman"/>
          <w:bCs/>
          <w:noProof/>
          <w:lang w:eastAsia="zh-CN"/>
        </w:rPr>
        <w:t>(2), 117–125. https://doi.org/10.1002/ab.90013</w:t>
      </w:r>
    </w:p>
    <w:p w14:paraId="6036DF5A" w14:textId="5683970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Kato, J., Sakaiya, S., &amp; Takesue, H. (2016). Nōshinkē kagaku no hōhō ha seijigaku no hōhō ni nariuruka: Shūjin no jirenma gēmu no fMRI jikken wo tōshite [Neurocognitive approach and political science: </w:t>
      </w:r>
      <w:r w:rsidRPr="002414E9">
        <w:rPr>
          <w:rFonts w:eastAsia="DengXian" w:cs="Times New Roman" w:hint="eastAsia"/>
          <w:noProof/>
          <w:lang w:eastAsia="zh-CN"/>
        </w:rPr>
        <w:t>fMRI</w:t>
      </w:r>
      <w:r w:rsidRPr="002414E9">
        <w:rPr>
          <w:rFonts w:eastAsia="DengXian" w:cs="Times New Roman"/>
          <w:noProof/>
          <w:lang w:eastAsia="zh-CN"/>
        </w:rPr>
        <w:t xml:space="preserve"> experiments of prisoners’ dilemma games]. </w:t>
      </w:r>
      <w:r w:rsidRPr="002414E9">
        <w:rPr>
          <w:rFonts w:eastAsia="DengXian" w:cs="Times New Roman"/>
          <w:i/>
          <w:iCs/>
          <w:noProof/>
          <w:lang w:eastAsia="zh-CN"/>
        </w:rPr>
        <w:t>Kōdō Keiryōgaku [The Japanese Journal of Behaviormetrics]</w:t>
      </w:r>
      <w:r w:rsidRPr="002414E9">
        <w:rPr>
          <w:rFonts w:eastAsia="DengXian" w:cs="Times New Roman"/>
          <w:noProof/>
          <w:lang w:eastAsia="zh-CN"/>
        </w:rPr>
        <w:t xml:space="preserve">, </w:t>
      </w:r>
      <w:r w:rsidRPr="002414E9">
        <w:rPr>
          <w:rFonts w:eastAsia="DengXian" w:cs="Times New Roman"/>
          <w:i/>
          <w:iCs/>
          <w:noProof/>
          <w:lang w:eastAsia="zh-CN"/>
        </w:rPr>
        <w:t>43</w:t>
      </w:r>
      <w:r w:rsidRPr="002414E9">
        <w:rPr>
          <w:rFonts w:eastAsia="DengXian" w:cs="Times New Roman"/>
          <w:noProof/>
          <w:lang w:eastAsia="zh-CN"/>
        </w:rPr>
        <w:t>(2), 143–154. https://doi.org/10.2333/jbhmk.43.143</w:t>
      </w:r>
    </w:p>
    <w:p w14:paraId="34237423" w14:textId="1145A78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Kaufman, C. M., &amp; Kerr, N. L. (1993). </w:t>
      </w:r>
      <w:r w:rsidRPr="002414E9">
        <w:rPr>
          <w:rFonts w:eastAsia="DengXian" w:cs="Times New Roman"/>
          <w:noProof/>
          <w:lang w:eastAsia="zh-CN"/>
        </w:rPr>
        <w:t xml:space="preserve">Small wins: Perceptual focus, efficacy, and cooperation in a stage-conjunctive social dilemma1. </w:t>
      </w:r>
      <w:r w:rsidRPr="002414E9">
        <w:rPr>
          <w:rFonts w:eastAsia="DengXian" w:cs="Times New Roman"/>
          <w:i/>
          <w:iCs/>
          <w:noProof/>
          <w:lang w:eastAsia="zh-CN"/>
        </w:rPr>
        <w:t>Journal of Applied Social Psychology</w:t>
      </w:r>
      <w:r w:rsidRPr="002414E9">
        <w:rPr>
          <w:rFonts w:eastAsia="DengXian" w:cs="Times New Roman"/>
          <w:noProof/>
          <w:lang w:eastAsia="zh-CN"/>
        </w:rPr>
        <w:t xml:space="preserve">, </w:t>
      </w:r>
      <w:r w:rsidRPr="002414E9">
        <w:rPr>
          <w:rFonts w:eastAsia="DengXian" w:cs="Times New Roman"/>
          <w:i/>
          <w:iCs/>
          <w:noProof/>
          <w:lang w:eastAsia="zh-CN"/>
        </w:rPr>
        <w:t>23</w:t>
      </w:r>
      <w:r w:rsidRPr="002414E9">
        <w:rPr>
          <w:rFonts w:eastAsia="DengXian" w:cs="Times New Roman"/>
          <w:noProof/>
          <w:lang w:eastAsia="zh-CN"/>
        </w:rPr>
        <w:t>(1), 3–20. https://doi.org/10.1111/j.1559-1816.1993.tb01001.x</w:t>
      </w:r>
    </w:p>
    <w:p w14:paraId="448BD5A0" w14:textId="42E0387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Kazemi, A., &amp; Eek, D. (2007). Effects of group goal and resource valence on allocation preferences in public good dilemmas. </w:t>
      </w:r>
      <w:r w:rsidRPr="002414E9">
        <w:rPr>
          <w:rFonts w:eastAsia="DengXian" w:cs="Times New Roman"/>
          <w:i/>
          <w:iCs/>
          <w:noProof/>
          <w:lang w:eastAsia="zh-CN"/>
        </w:rPr>
        <w:t>Social Behavior and Personality: An International Journal</w:t>
      </w:r>
      <w:r w:rsidRPr="002414E9">
        <w:rPr>
          <w:rFonts w:eastAsia="DengXian" w:cs="Times New Roman"/>
          <w:noProof/>
          <w:lang w:eastAsia="zh-CN"/>
        </w:rPr>
        <w:t xml:space="preserve">, </w:t>
      </w:r>
      <w:r w:rsidRPr="002414E9">
        <w:rPr>
          <w:rFonts w:eastAsia="DengXian" w:cs="Times New Roman"/>
          <w:i/>
          <w:iCs/>
          <w:noProof/>
          <w:lang w:eastAsia="zh-CN"/>
        </w:rPr>
        <w:t>35</w:t>
      </w:r>
      <w:r w:rsidRPr="002414E9">
        <w:rPr>
          <w:rFonts w:eastAsia="DengXian" w:cs="Times New Roman"/>
          <w:noProof/>
          <w:lang w:eastAsia="zh-CN"/>
        </w:rPr>
        <w:t>(6), 803–818. https://doi.org/10.2224/sbp.2007.35.6.803</w:t>
      </w:r>
    </w:p>
    <w:p w14:paraId="438F3B42" w14:textId="2EE3B79A" w:rsidR="002414E9" w:rsidRPr="002414E9" w:rsidRDefault="002414E9" w:rsidP="002414E9">
      <w:pPr>
        <w:widowControl w:val="0"/>
        <w:autoSpaceDE w:val="0"/>
        <w:autoSpaceDN w:val="0"/>
        <w:adjustRightInd w:val="0"/>
        <w:ind w:left="709" w:hanging="709"/>
        <w:rPr>
          <w:rFonts w:eastAsia="DengXian" w:cs="Times New Roman"/>
          <w:noProof/>
          <w:lang w:val="nl-NL" w:eastAsia="zh-CN"/>
        </w:rPr>
      </w:pPr>
      <w:r w:rsidRPr="002414E9">
        <w:rPr>
          <w:rFonts w:eastAsia="DengXian" w:cs="Times New Roman"/>
          <w:noProof/>
          <w:lang w:val="nl-NL" w:eastAsia="zh-CN"/>
        </w:rPr>
        <w:t xml:space="preserve">Kazemi, A., Eek, D., &amp; Gärling, T. (2005). </w:t>
      </w:r>
      <w:r w:rsidRPr="002414E9">
        <w:rPr>
          <w:rFonts w:eastAsia="DengXian" w:cs="Times New Roman"/>
          <w:i/>
          <w:iCs/>
          <w:noProof/>
          <w:lang w:eastAsia="zh-CN"/>
        </w:rPr>
        <w:t>Effects of fairness and distributive goal on preferred allocations in public good dilemmas</w:t>
      </w:r>
      <w:r w:rsidRPr="002414E9">
        <w:rPr>
          <w:rFonts w:eastAsia="DengXian" w:cs="Times New Roman"/>
          <w:noProof/>
          <w:lang w:eastAsia="zh-CN"/>
        </w:rPr>
        <w:t xml:space="preserve"> (Göteborg Psychological Reports No. 34194). </w:t>
      </w:r>
      <w:r w:rsidRPr="002414E9">
        <w:rPr>
          <w:rFonts w:eastAsia="DengXian" w:cs="Times New Roman"/>
          <w:noProof/>
          <w:lang w:val="nl-NL" w:eastAsia="zh-CN"/>
        </w:rPr>
        <w:t>Göteborg University. http://urn.kb.se/resolve?urn=urn:nbn:se:his:diva-19639</w:t>
      </w:r>
    </w:p>
    <w:p w14:paraId="68E12E89" w14:textId="71075E8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Kazemi, A., Eek, D., &amp; Gärling, T. (2016). </w:t>
      </w:r>
      <w:r w:rsidRPr="002414E9">
        <w:rPr>
          <w:rFonts w:eastAsia="DengXian" w:cs="Times New Roman"/>
          <w:noProof/>
          <w:lang w:eastAsia="zh-CN"/>
        </w:rPr>
        <w:t xml:space="preserve">Allocation of public goods. </w:t>
      </w:r>
      <w:r w:rsidRPr="002414E9">
        <w:rPr>
          <w:rFonts w:eastAsia="DengXian" w:cs="Times New Roman"/>
          <w:i/>
          <w:iCs/>
          <w:noProof/>
          <w:lang w:eastAsia="zh-CN"/>
        </w:rPr>
        <w:t>Social Psychology</w:t>
      </w:r>
      <w:r w:rsidRPr="002414E9">
        <w:rPr>
          <w:rFonts w:eastAsia="DengXian" w:cs="Times New Roman"/>
          <w:noProof/>
          <w:lang w:eastAsia="zh-CN"/>
        </w:rPr>
        <w:t xml:space="preserve">, </w:t>
      </w:r>
      <w:r w:rsidRPr="002414E9">
        <w:rPr>
          <w:rFonts w:eastAsia="DengXian" w:cs="Times New Roman"/>
          <w:i/>
          <w:iCs/>
          <w:noProof/>
          <w:lang w:eastAsia="zh-CN"/>
        </w:rPr>
        <w:t>47</w:t>
      </w:r>
      <w:r w:rsidRPr="002414E9">
        <w:rPr>
          <w:rFonts w:eastAsia="DengXian" w:cs="Times New Roman"/>
          <w:noProof/>
          <w:lang w:eastAsia="zh-CN"/>
        </w:rPr>
        <w:t>(4), 214–222. https://doi.org/10.1027/1864-9335/a000275</w:t>
      </w:r>
    </w:p>
    <w:p w14:paraId="21C33CA0" w14:textId="42C1EA6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Kazemi, A., Eek, D., &amp; Gärling, T. (2017). </w:t>
      </w:r>
      <w:r w:rsidRPr="002414E9">
        <w:rPr>
          <w:rFonts w:eastAsia="DengXian" w:cs="Times New Roman"/>
          <w:noProof/>
          <w:lang w:eastAsia="zh-CN"/>
        </w:rPr>
        <w:t xml:space="preserve">Equity, equal shares or equal final outcomes? Group Goal Guides Allocations of Public Goods. </w:t>
      </w:r>
      <w:r w:rsidRPr="002414E9">
        <w:rPr>
          <w:rFonts w:eastAsia="DengXian" w:cs="Times New Roman"/>
          <w:i/>
          <w:iCs/>
          <w:noProof/>
          <w:lang w:eastAsia="zh-CN"/>
        </w:rPr>
        <w:t>Frontiers in Psychology</w:t>
      </w:r>
      <w:r w:rsidRPr="002414E9">
        <w:rPr>
          <w:rFonts w:eastAsia="DengXian" w:cs="Times New Roman"/>
          <w:noProof/>
          <w:lang w:eastAsia="zh-CN"/>
        </w:rPr>
        <w:t xml:space="preserve">, </w:t>
      </w:r>
      <w:r w:rsidRPr="002414E9">
        <w:rPr>
          <w:rFonts w:eastAsia="DengXian" w:cs="Times New Roman"/>
          <w:i/>
          <w:iCs/>
          <w:noProof/>
          <w:lang w:eastAsia="zh-CN"/>
        </w:rPr>
        <w:t>8</w:t>
      </w:r>
      <w:r w:rsidRPr="002414E9">
        <w:rPr>
          <w:rFonts w:eastAsia="DengXian" w:cs="Times New Roman"/>
          <w:noProof/>
          <w:lang w:eastAsia="zh-CN"/>
        </w:rPr>
        <w:t>, 36. https://doi.org/10.3389/fpsyg.2017.00036</w:t>
      </w:r>
    </w:p>
    <w:p w14:paraId="59F98D75" w14:textId="244A8CB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lastRenderedPageBreak/>
        <w:t xml:space="preserve">Kee, H. W. (1969). </w:t>
      </w:r>
      <w:r w:rsidRPr="002414E9">
        <w:rPr>
          <w:rFonts w:eastAsia="DengXian" w:cs="Times New Roman"/>
          <w:i/>
          <w:iCs/>
          <w:noProof/>
          <w:lang w:eastAsia="zh-CN"/>
        </w:rPr>
        <w:t>Development, and the effects upon bargaining, of trust and suspicion</w:t>
      </w:r>
      <w:r w:rsidRPr="002414E9">
        <w:rPr>
          <w:rFonts w:eastAsia="DengXian" w:cs="Times New Roman"/>
          <w:noProof/>
          <w:lang w:eastAsia="zh-CN"/>
        </w:rPr>
        <w:t xml:space="preserve"> [Doctoral dissertation, University of British Columbia]. Vancouver: University of British Columbia Library. https://doi.org/10.14288/1.0104029</w:t>
      </w:r>
    </w:p>
    <w:p w14:paraId="55B49858" w14:textId="5B06439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Keil, J., Michel, A., Sticca, F., Leipold, K., Klein, A. M., Sierau, S., Von Klitzing, K., &amp; White, L. O. (2017). </w:t>
      </w:r>
      <w:r w:rsidRPr="002414E9">
        <w:rPr>
          <w:rFonts w:eastAsia="DengXian" w:cs="Times New Roman"/>
          <w:noProof/>
          <w:lang w:eastAsia="zh-CN"/>
        </w:rPr>
        <w:t xml:space="preserve">The Pizzagame: A virtual public goods game to assess cooperative behavior in children and adolescents. </w:t>
      </w:r>
      <w:r w:rsidRPr="002414E9">
        <w:rPr>
          <w:rFonts w:eastAsia="DengXian" w:cs="Times New Roman"/>
          <w:i/>
          <w:iCs/>
          <w:noProof/>
          <w:lang w:eastAsia="zh-CN"/>
        </w:rPr>
        <w:t>Behavior Research Methods</w:t>
      </w:r>
      <w:r w:rsidRPr="002414E9">
        <w:rPr>
          <w:rFonts w:eastAsia="DengXian" w:cs="Times New Roman"/>
          <w:noProof/>
          <w:lang w:eastAsia="zh-CN"/>
        </w:rPr>
        <w:t xml:space="preserve">, </w:t>
      </w:r>
      <w:r w:rsidRPr="002414E9">
        <w:rPr>
          <w:rFonts w:eastAsia="DengXian" w:cs="Times New Roman"/>
          <w:i/>
          <w:iCs/>
          <w:noProof/>
          <w:lang w:eastAsia="zh-CN"/>
        </w:rPr>
        <w:t>49</w:t>
      </w:r>
      <w:r w:rsidRPr="002414E9">
        <w:rPr>
          <w:rFonts w:eastAsia="DengXian" w:cs="Times New Roman"/>
          <w:noProof/>
          <w:lang w:eastAsia="zh-CN"/>
        </w:rPr>
        <w:t>(4), 1432–1443. https://doi.org/10.3758/s13428-016-0799-9</w:t>
      </w:r>
    </w:p>
    <w:p w14:paraId="0C4555D1" w14:textId="1A5CE223"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Kelley, H. H., &amp; Grzelak, J. (1972). Conflict between individual and common interest in an N-person relationship. </w:t>
      </w:r>
      <w:r w:rsidRPr="002414E9">
        <w:rPr>
          <w:rFonts w:eastAsia="DengXian" w:cs="Times New Roman"/>
          <w:bCs/>
          <w:i/>
          <w:iCs/>
          <w:noProof/>
          <w:lang w:eastAsia="zh-CN"/>
        </w:rPr>
        <w:t>Journal of Personality and Social Psychology, 21</w:t>
      </w:r>
      <w:r w:rsidRPr="002414E9">
        <w:rPr>
          <w:rFonts w:eastAsia="DengXian" w:cs="Times New Roman"/>
          <w:bCs/>
          <w:noProof/>
          <w:lang w:eastAsia="zh-CN"/>
        </w:rPr>
        <w:t>(2), 190–197. https://doi.org/10.1037/h0032224</w:t>
      </w:r>
    </w:p>
    <w:p w14:paraId="7579F136" w14:textId="4610C88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Keren, G., &amp; Raub, W. (1993). Resolving social conflicts through hostage posting: Theoretical and empirical considerations. </w:t>
      </w:r>
      <w:r w:rsidRPr="002414E9">
        <w:rPr>
          <w:rFonts w:eastAsia="DengXian" w:cs="Times New Roman"/>
          <w:i/>
          <w:iCs/>
          <w:noProof/>
          <w:lang w:eastAsia="zh-CN"/>
        </w:rPr>
        <w:t>Journal of Experimental Psychology: General</w:t>
      </w:r>
      <w:r w:rsidRPr="002414E9">
        <w:rPr>
          <w:rFonts w:eastAsia="DengXian" w:cs="Times New Roman"/>
          <w:noProof/>
          <w:lang w:eastAsia="zh-CN"/>
        </w:rPr>
        <w:t xml:space="preserve">, </w:t>
      </w:r>
      <w:r w:rsidRPr="002414E9">
        <w:rPr>
          <w:rFonts w:eastAsia="DengXian" w:cs="Times New Roman"/>
          <w:i/>
          <w:iCs/>
          <w:noProof/>
          <w:lang w:eastAsia="zh-CN"/>
        </w:rPr>
        <w:t>122</w:t>
      </w:r>
      <w:r w:rsidRPr="002414E9">
        <w:rPr>
          <w:rFonts w:eastAsia="DengXian" w:cs="Times New Roman"/>
          <w:noProof/>
          <w:lang w:eastAsia="zh-CN"/>
        </w:rPr>
        <w:t>(4), 429–448. https://doi.org/10.1037/0096-3445.122.4.429</w:t>
      </w:r>
    </w:p>
    <w:p w14:paraId="6227ADA9"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Kerr, N. L. (1989). Illusions of efficacy: The effects of group size on perceived efficacy in social dilemmas. </w:t>
      </w:r>
      <w:r w:rsidRPr="002414E9">
        <w:rPr>
          <w:rFonts w:eastAsia="DengXian" w:cs="Times New Roman"/>
          <w:i/>
          <w:iCs/>
          <w:noProof/>
          <w:lang w:eastAsia="zh-CN"/>
        </w:rPr>
        <w:t>Journal of Experimental Social Psychology</w:t>
      </w:r>
      <w:r w:rsidRPr="002414E9">
        <w:rPr>
          <w:rFonts w:eastAsia="DengXian" w:cs="Times New Roman"/>
          <w:noProof/>
          <w:lang w:eastAsia="zh-CN"/>
        </w:rPr>
        <w:t xml:space="preserve">, </w:t>
      </w:r>
      <w:r w:rsidRPr="002414E9">
        <w:rPr>
          <w:rFonts w:eastAsia="DengXian" w:cs="Times New Roman"/>
          <w:i/>
          <w:iCs/>
          <w:noProof/>
          <w:lang w:eastAsia="zh-CN"/>
        </w:rPr>
        <w:t>25</w:t>
      </w:r>
      <w:r w:rsidRPr="002414E9">
        <w:rPr>
          <w:rFonts w:eastAsia="DengXian" w:cs="Times New Roman"/>
          <w:noProof/>
          <w:lang w:eastAsia="zh-CN"/>
        </w:rPr>
        <w:t>(4), 287–313. https://doi.org/10.1016/0022-1031(89)90024-3</w:t>
      </w:r>
    </w:p>
    <w:p w14:paraId="273E0EC7" w14:textId="3E3B55EB" w:rsidR="002414E9" w:rsidRPr="002414E9" w:rsidRDefault="002414E9" w:rsidP="002414E9">
      <w:pPr>
        <w:widowControl w:val="0"/>
        <w:autoSpaceDE w:val="0"/>
        <w:autoSpaceDN w:val="0"/>
        <w:adjustRightInd w:val="0"/>
        <w:ind w:left="709" w:hanging="709"/>
        <w:rPr>
          <w:rFonts w:eastAsia="DengXian" w:cs="Times New Roman"/>
          <w:noProof/>
          <w:lang w:val="de-DE" w:eastAsia="zh-CN"/>
        </w:rPr>
      </w:pPr>
      <w:r w:rsidRPr="002414E9">
        <w:rPr>
          <w:rFonts w:eastAsia="DengXian" w:cs="Times New Roman"/>
          <w:noProof/>
          <w:lang w:val="de-DE" w:eastAsia="zh-CN"/>
        </w:rPr>
        <w:t xml:space="preserve">Kerr, N. L., &amp; Harris, S. E. (1996). </w:t>
      </w:r>
      <w:r w:rsidRPr="002414E9">
        <w:rPr>
          <w:rFonts w:eastAsia="DengXian" w:cs="Times New Roman"/>
          <w:noProof/>
          <w:lang w:eastAsia="zh-CN"/>
        </w:rPr>
        <w:t xml:space="preserve">Why do cooperators cooperate?: Efficacy as a moderator of social motive effects. In W. B. G. Liebrand &amp; D. M. Messick (Eds.), </w:t>
      </w:r>
      <w:r w:rsidRPr="002414E9">
        <w:rPr>
          <w:rFonts w:eastAsia="DengXian" w:cs="Times New Roman"/>
          <w:i/>
          <w:iCs/>
          <w:noProof/>
          <w:lang w:eastAsia="zh-CN"/>
        </w:rPr>
        <w:t>Frontiers in Social Dilemmas Research</w:t>
      </w:r>
      <w:r w:rsidRPr="002414E9">
        <w:rPr>
          <w:rFonts w:eastAsia="DengXian" w:cs="Times New Roman"/>
          <w:noProof/>
          <w:lang w:eastAsia="zh-CN"/>
        </w:rPr>
        <w:t xml:space="preserve"> (pp. 101–115). </w:t>
      </w:r>
      <w:r w:rsidRPr="002414E9">
        <w:rPr>
          <w:rFonts w:eastAsia="DengXian" w:cs="Times New Roman"/>
          <w:noProof/>
          <w:lang w:val="de-DE" w:eastAsia="zh-CN"/>
        </w:rPr>
        <w:t>Springer Berlin Heidelberg. https://doi.org/10.1007/978-3-642-85261-9_6</w:t>
      </w:r>
    </w:p>
    <w:p w14:paraId="12C9AEBB"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Kerr, N. L., &amp; Kaufman-Gilliland, C. M. (1994). </w:t>
      </w:r>
      <w:r w:rsidRPr="002414E9">
        <w:rPr>
          <w:rFonts w:eastAsia="DengXian" w:cs="Times New Roman"/>
          <w:noProof/>
          <w:lang w:eastAsia="zh-CN"/>
        </w:rPr>
        <w:t xml:space="preserve">Communication, commitment, and cooperation in social dilemma. </w:t>
      </w:r>
      <w:r w:rsidRPr="002414E9">
        <w:rPr>
          <w:rFonts w:eastAsia="DengXian" w:cs="Times New Roman"/>
          <w:i/>
          <w:iCs/>
          <w:noProof/>
          <w:lang w:eastAsia="zh-CN"/>
        </w:rPr>
        <w:t>Journal of Personality and Social Psychology</w:t>
      </w:r>
      <w:r w:rsidRPr="002414E9">
        <w:rPr>
          <w:rFonts w:eastAsia="DengXian" w:cs="Times New Roman"/>
          <w:noProof/>
          <w:lang w:eastAsia="zh-CN"/>
        </w:rPr>
        <w:t xml:space="preserve">, </w:t>
      </w:r>
      <w:r w:rsidRPr="002414E9">
        <w:rPr>
          <w:rFonts w:eastAsia="DengXian" w:cs="Times New Roman"/>
          <w:i/>
          <w:iCs/>
          <w:noProof/>
          <w:lang w:eastAsia="zh-CN"/>
        </w:rPr>
        <w:t>66</w:t>
      </w:r>
      <w:r w:rsidRPr="002414E9">
        <w:rPr>
          <w:rFonts w:eastAsia="DengXian" w:cs="Times New Roman"/>
          <w:noProof/>
          <w:lang w:eastAsia="zh-CN"/>
        </w:rPr>
        <w:t>(3), 513–529. https://doi.org/10.1037/0022-3514.66.3.513</w:t>
      </w:r>
    </w:p>
    <w:p w14:paraId="5E40E584"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n-GB" w:eastAsia="zh-CN"/>
        </w:rPr>
        <w:lastRenderedPageBreak/>
        <w:t xml:space="preserve">Kerr, N. L., Garst, J., Lewandowski, D. A., &amp; Harris, S. E. (1997). </w:t>
      </w:r>
      <w:r w:rsidRPr="002414E9">
        <w:rPr>
          <w:rFonts w:eastAsia="DengXian" w:cs="Times New Roman"/>
          <w:noProof/>
          <w:lang w:eastAsia="zh-CN"/>
        </w:rPr>
        <w:t xml:space="preserve">That still, small voice: Commitment to cooperate as an internalized versus a social norm. </w:t>
      </w:r>
      <w:r w:rsidRPr="002414E9">
        <w:rPr>
          <w:rFonts w:eastAsia="DengXian" w:cs="Times New Roman"/>
          <w:i/>
          <w:iCs/>
          <w:noProof/>
          <w:lang w:eastAsia="zh-CN"/>
        </w:rPr>
        <w:t>Personality and Social Psychology Bulletin</w:t>
      </w:r>
      <w:r w:rsidRPr="002414E9">
        <w:rPr>
          <w:rFonts w:eastAsia="DengXian" w:cs="Times New Roman"/>
          <w:noProof/>
          <w:lang w:eastAsia="zh-CN"/>
        </w:rPr>
        <w:t xml:space="preserve">, </w:t>
      </w:r>
      <w:r w:rsidRPr="002414E9">
        <w:rPr>
          <w:rFonts w:eastAsia="DengXian" w:cs="Times New Roman"/>
          <w:i/>
          <w:iCs/>
          <w:noProof/>
          <w:lang w:eastAsia="zh-CN"/>
        </w:rPr>
        <w:t>23</w:t>
      </w:r>
      <w:r w:rsidRPr="002414E9">
        <w:rPr>
          <w:rFonts w:eastAsia="DengXian" w:cs="Times New Roman"/>
          <w:noProof/>
          <w:lang w:eastAsia="zh-CN"/>
        </w:rPr>
        <w:t>(12), 1300–1311. https://doi.org/10.1177/01461672972312007</w:t>
      </w:r>
    </w:p>
    <w:p w14:paraId="7AB1F1E2" w14:textId="055BF94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Kerr, N. L., Rumble, A. C., Park, E. S., Ouwerkerk, J. W., Parks, C. D., Gallucci, M., &amp; Van Lange, P. A. M. (2009). </w:t>
      </w:r>
      <w:r w:rsidRPr="002414E9">
        <w:rPr>
          <w:rFonts w:eastAsia="DengXian" w:cs="Times New Roman"/>
          <w:noProof/>
          <w:lang w:eastAsia="zh-CN"/>
        </w:rPr>
        <w:t xml:space="preserve">“How many bad apples does it take to spoil the whole barrel?”: Social exclusion and toleration for bad apples. </w:t>
      </w:r>
      <w:r w:rsidRPr="002414E9">
        <w:rPr>
          <w:rFonts w:eastAsia="DengXian" w:cs="Times New Roman"/>
          <w:i/>
          <w:iCs/>
          <w:noProof/>
          <w:lang w:eastAsia="zh-CN"/>
        </w:rPr>
        <w:t>Journal of Experimental Social Psychology</w:t>
      </w:r>
      <w:r w:rsidRPr="002414E9">
        <w:rPr>
          <w:rFonts w:eastAsia="DengXian" w:cs="Times New Roman"/>
          <w:noProof/>
          <w:lang w:eastAsia="zh-CN"/>
        </w:rPr>
        <w:t xml:space="preserve">, </w:t>
      </w:r>
      <w:r w:rsidRPr="002414E9">
        <w:rPr>
          <w:rFonts w:eastAsia="DengXian" w:cs="Times New Roman"/>
          <w:i/>
          <w:iCs/>
          <w:noProof/>
          <w:lang w:eastAsia="zh-CN"/>
        </w:rPr>
        <w:t>45</w:t>
      </w:r>
      <w:r w:rsidRPr="002414E9">
        <w:rPr>
          <w:rFonts w:eastAsia="DengXian" w:cs="Times New Roman"/>
          <w:noProof/>
          <w:lang w:eastAsia="zh-CN"/>
        </w:rPr>
        <w:t>(4), 603–613. https://doi.org/10.1016/j.jesp.2009.02.017</w:t>
      </w:r>
    </w:p>
    <w:p w14:paraId="179971C0" w14:textId="0EFC031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Keser, C. (1996). Voluntary contributions to a public good when partial contribution is a dominant strategy. </w:t>
      </w:r>
      <w:r w:rsidRPr="002414E9">
        <w:rPr>
          <w:rFonts w:eastAsia="DengXian" w:cs="Times New Roman"/>
          <w:i/>
          <w:iCs/>
          <w:noProof/>
          <w:lang w:eastAsia="zh-CN"/>
        </w:rPr>
        <w:t>Economics Letters</w:t>
      </w:r>
      <w:r w:rsidRPr="002414E9">
        <w:rPr>
          <w:rFonts w:eastAsia="DengXian" w:cs="Times New Roman"/>
          <w:noProof/>
          <w:lang w:eastAsia="zh-CN"/>
        </w:rPr>
        <w:t xml:space="preserve">, </w:t>
      </w:r>
      <w:r w:rsidRPr="002414E9">
        <w:rPr>
          <w:rFonts w:eastAsia="DengXian" w:cs="Times New Roman"/>
          <w:i/>
          <w:iCs/>
          <w:noProof/>
          <w:lang w:eastAsia="zh-CN"/>
        </w:rPr>
        <w:t>50</w:t>
      </w:r>
      <w:r w:rsidRPr="002414E9">
        <w:rPr>
          <w:rFonts w:eastAsia="DengXian" w:cs="Times New Roman"/>
          <w:noProof/>
          <w:lang w:eastAsia="zh-CN"/>
        </w:rPr>
        <w:t>(3), 359–366. https://doi.org/10.1016/0165-1765(95)00769-5</w:t>
      </w:r>
    </w:p>
    <w:p w14:paraId="74AD95F5" w14:textId="750F29B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Keser, C., &amp; Montmarquette, C. (2008). Voluntary contributions to reduce expected public losses.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66</w:t>
      </w:r>
      <w:r w:rsidRPr="002414E9">
        <w:rPr>
          <w:rFonts w:eastAsia="DengXian" w:cs="Times New Roman"/>
          <w:noProof/>
          <w:lang w:eastAsia="zh-CN"/>
        </w:rPr>
        <w:t>(3–4), 477–491. https://doi.org/10.1016/j.jebo.2006.06.007</w:t>
      </w:r>
    </w:p>
    <w:p w14:paraId="425ED595" w14:textId="61C08A0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Keser, C., &amp; Van Winden, F. (2000). </w:t>
      </w:r>
      <w:r w:rsidRPr="002414E9">
        <w:rPr>
          <w:rFonts w:eastAsia="DengXian" w:cs="Times New Roman"/>
          <w:noProof/>
          <w:lang w:eastAsia="zh-CN"/>
        </w:rPr>
        <w:t xml:space="preserve">Conditional cooperation and voluntary contributions to public goods. </w:t>
      </w:r>
      <w:r w:rsidRPr="002414E9">
        <w:rPr>
          <w:rFonts w:eastAsia="DengXian" w:cs="Times New Roman"/>
          <w:i/>
          <w:iCs/>
          <w:noProof/>
          <w:lang w:eastAsia="zh-CN"/>
        </w:rPr>
        <w:t>The Scandinavian Journal of Economics</w:t>
      </w:r>
      <w:r w:rsidRPr="002414E9">
        <w:rPr>
          <w:rFonts w:eastAsia="DengXian" w:cs="Times New Roman"/>
          <w:noProof/>
          <w:lang w:eastAsia="zh-CN"/>
        </w:rPr>
        <w:t xml:space="preserve">, </w:t>
      </w:r>
      <w:r w:rsidRPr="002414E9">
        <w:rPr>
          <w:rFonts w:eastAsia="DengXian" w:cs="Times New Roman"/>
          <w:i/>
          <w:iCs/>
          <w:noProof/>
          <w:lang w:eastAsia="zh-CN"/>
        </w:rPr>
        <w:t>102</w:t>
      </w:r>
      <w:r w:rsidRPr="002414E9">
        <w:rPr>
          <w:rFonts w:eastAsia="DengXian" w:cs="Times New Roman"/>
          <w:noProof/>
          <w:lang w:eastAsia="zh-CN"/>
        </w:rPr>
        <w:t>(1), 23–39. https://doi.org/10.1111/1467-9442.00182</w:t>
      </w:r>
    </w:p>
    <w:p w14:paraId="4B349F74" w14:textId="327C171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Keser, C., Markstädter, A., &amp; Schmidt, M. (2017). </w:t>
      </w:r>
      <w:r w:rsidRPr="002414E9">
        <w:rPr>
          <w:rFonts w:eastAsia="DengXian" w:cs="Times New Roman"/>
          <w:noProof/>
          <w:lang w:eastAsia="zh-CN"/>
        </w:rPr>
        <w:t xml:space="preserve">Mandatory minimum contributions, heterogeneous endowments and voluntary public-good provision. </w:t>
      </w:r>
      <w:r w:rsidRPr="002414E9">
        <w:rPr>
          <w:rFonts w:eastAsia="DengXian" w:cs="Times New Roman"/>
          <w:i/>
          <w:iCs/>
          <w:noProof/>
          <w:lang w:eastAsia="zh-CN"/>
        </w:rPr>
        <w:t>Games and Economic Behavior</w:t>
      </w:r>
      <w:r w:rsidRPr="002414E9">
        <w:rPr>
          <w:rFonts w:eastAsia="DengXian" w:cs="Times New Roman"/>
          <w:noProof/>
          <w:lang w:eastAsia="zh-CN"/>
        </w:rPr>
        <w:t xml:space="preserve">, </w:t>
      </w:r>
      <w:r w:rsidRPr="002414E9">
        <w:rPr>
          <w:rFonts w:eastAsia="DengXian" w:cs="Times New Roman"/>
          <w:i/>
          <w:iCs/>
          <w:noProof/>
          <w:lang w:eastAsia="zh-CN"/>
        </w:rPr>
        <w:t>101</w:t>
      </w:r>
      <w:r w:rsidRPr="002414E9">
        <w:rPr>
          <w:rFonts w:eastAsia="DengXian" w:cs="Times New Roman"/>
          <w:noProof/>
          <w:lang w:eastAsia="zh-CN"/>
        </w:rPr>
        <w:t>, 291–310. https://doi.org/10.1016/j.geb.2016.06.001</w:t>
      </w:r>
    </w:p>
    <w:p w14:paraId="3CD5F550" w14:textId="5D8DCFE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Kesternich, M., Lange, A., &amp; Sturm, B. (2014). </w:t>
      </w:r>
      <w:r w:rsidRPr="002414E9">
        <w:rPr>
          <w:rFonts w:eastAsia="DengXian" w:cs="Times New Roman"/>
          <w:noProof/>
          <w:lang w:eastAsia="zh-CN"/>
        </w:rPr>
        <w:t xml:space="preserve">The impact of burden sharing rules on the voluntary provision of public goods.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105</w:t>
      </w:r>
      <w:r w:rsidRPr="002414E9">
        <w:rPr>
          <w:rFonts w:eastAsia="DengXian" w:cs="Times New Roman"/>
          <w:noProof/>
          <w:lang w:eastAsia="zh-CN"/>
        </w:rPr>
        <w:t>, 107–123. https://doi.org/10.1016/j.jebo.2014.04.024</w:t>
      </w:r>
    </w:p>
    <w:p w14:paraId="7730E589" w14:textId="246E8E6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Keuschnigg, M., &amp; Schikora, J. (2014). The dark side of leadership: An experiment on religious </w:t>
      </w:r>
      <w:r w:rsidRPr="002414E9">
        <w:rPr>
          <w:rFonts w:eastAsia="DengXian" w:cs="Times New Roman"/>
          <w:noProof/>
          <w:lang w:eastAsia="zh-CN"/>
        </w:rPr>
        <w:lastRenderedPageBreak/>
        <w:t xml:space="preserve">heterogeneity and cooperation in India. </w:t>
      </w:r>
      <w:r w:rsidRPr="002414E9">
        <w:rPr>
          <w:rFonts w:eastAsia="DengXian" w:cs="Times New Roman"/>
          <w:i/>
          <w:iCs/>
          <w:noProof/>
          <w:lang w:eastAsia="zh-CN"/>
        </w:rPr>
        <w:t>The Journal of Socio-Economics</w:t>
      </w:r>
      <w:r w:rsidRPr="002414E9">
        <w:rPr>
          <w:rFonts w:eastAsia="DengXian" w:cs="Times New Roman"/>
          <w:noProof/>
          <w:lang w:eastAsia="zh-CN"/>
        </w:rPr>
        <w:t xml:space="preserve">, </w:t>
      </w:r>
      <w:r w:rsidRPr="002414E9">
        <w:rPr>
          <w:rFonts w:eastAsia="DengXian" w:cs="Times New Roman"/>
          <w:i/>
          <w:iCs/>
          <w:noProof/>
          <w:lang w:eastAsia="zh-CN"/>
        </w:rPr>
        <w:t>48</w:t>
      </w:r>
      <w:r w:rsidRPr="002414E9">
        <w:rPr>
          <w:rFonts w:eastAsia="DengXian" w:cs="Times New Roman"/>
          <w:noProof/>
          <w:lang w:eastAsia="zh-CN"/>
        </w:rPr>
        <w:t>, 19–26. https://doi.org/10.1016/j.socec.2013.09.006</w:t>
      </w:r>
    </w:p>
    <w:p w14:paraId="29E2B30E" w14:textId="7F91353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Khadjavi, M., &amp; Lange, A. (2013). Prisoners and their dilemma.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92</w:t>
      </w:r>
      <w:r w:rsidRPr="002414E9">
        <w:rPr>
          <w:rFonts w:eastAsia="DengXian" w:cs="Times New Roman"/>
          <w:noProof/>
          <w:lang w:eastAsia="zh-CN"/>
        </w:rPr>
        <w:t>, 163–175. https://doi.org/10.1016/j.jebo.2013.05.015</w:t>
      </w:r>
    </w:p>
    <w:p w14:paraId="78FBE458" w14:textId="00B39F2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Khadjavi, M., &amp; Lange, A. (2015). Doing good or doing harm: Experimental evidence on giving and taking in public good games.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18</w:t>
      </w:r>
      <w:r w:rsidRPr="002414E9">
        <w:rPr>
          <w:rFonts w:eastAsia="DengXian" w:cs="Times New Roman"/>
          <w:noProof/>
          <w:lang w:eastAsia="zh-CN"/>
        </w:rPr>
        <w:t>(3), 432–441. https://doi.org/10.1007/s10683-014-9411-2</w:t>
      </w:r>
    </w:p>
    <w:p w14:paraId="7273F003" w14:textId="05EE68AD"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Kiesler, S., Sproull, L., &amp; Waters, K. (1996). A prisoner's dilemma experiment on cooperation with people and human-like computers. </w:t>
      </w:r>
      <w:r w:rsidRPr="002414E9">
        <w:rPr>
          <w:rFonts w:eastAsia="DengXian" w:cs="Times New Roman"/>
          <w:bCs/>
          <w:i/>
          <w:iCs/>
          <w:noProof/>
          <w:lang w:eastAsia="zh-CN"/>
        </w:rPr>
        <w:t>Journal of Personality and Social Psychology, 70</w:t>
      </w:r>
      <w:r w:rsidRPr="002414E9">
        <w:rPr>
          <w:rFonts w:eastAsia="DengXian" w:cs="Times New Roman"/>
          <w:bCs/>
          <w:noProof/>
          <w:lang w:eastAsia="zh-CN"/>
        </w:rPr>
        <w:t>(1), 47</w:t>
      </w:r>
      <w:bookmarkStart w:id="71" w:name="_Hlk54035640"/>
      <w:r w:rsidRPr="002414E9">
        <w:rPr>
          <w:rFonts w:eastAsia="DengXian" w:cs="Times New Roman"/>
          <w:bCs/>
          <w:noProof/>
          <w:lang w:eastAsia="zh-CN"/>
        </w:rPr>
        <w:t>–</w:t>
      </w:r>
      <w:bookmarkEnd w:id="71"/>
      <w:r w:rsidRPr="002414E9">
        <w:rPr>
          <w:rFonts w:eastAsia="DengXian" w:cs="Times New Roman"/>
          <w:bCs/>
          <w:noProof/>
          <w:lang w:eastAsia="zh-CN"/>
        </w:rPr>
        <w:t>65. https://doi.org/10.1037/0022-3514.70.1.47</w:t>
      </w:r>
    </w:p>
    <w:p w14:paraId="64CBA098" w14:textId="26327AD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Kikuchi, M., Watanabe, Y., &amp; Yamagishi, T. (1997). Tasha no shinraisei handan no seikakusa to ippan teki shinrai [Judgment accuracy of other’s trustworthiness and general trust: An experimental study]. </w:t>
      </w:r>
      <w:r w:rsidRPr="002414E9">
        <w:rPr>
          <w:rFonts w:eastAsia="DengXian" w:cs="Times New Roman"/>
          <w:i/>
          <w:iCs/>
          <w:noProof/>
          <w:lang w:eastAsia="zh-CN"/>
        </w:rPr>
        <w:t>The Japanese Journal of Experimental Social Psychology</w:t>
      </w:r>
      <w:r w:rsidRPr="002414E9">
        <w:rPr>
          <w:rFonts w:eastAsia="DengXian" w:cs="Times New Roman"/>
          <w:noProof/>
          <w:lang w:eastAsia="zh-CN"/>
        </w:rPr>
        <w:t xml:space="preserve">, </w:t>
      </w:r>
      <w:r w:rsidRPr="002414E9">
        <w:rPr>
          <w:rFonts w:eastAsia="DengXian" w:cs="Times New Roman"/>
          <w:i/>
          <w:iCs/>
          <w:noProof/>
          <w:lang w:eastAsia="zh-CN"/>
        </w:rPr>
        <w:t>37</w:t>
      </w:r>
      <w:r w:rsidRPr="002414E9">
        <w:rPr>
          <w:rFonts w:eastAsia="DengXian" w:cs="Times New Roman"/>
          <w:noProof/>
          <w:lang w:eastAsia="zh-CN"/>
        </w:rPr>
        <w:t>(1), 23–36. https://doi.org/10.2130/jjesp.37.23</w:t>
      </w:r>
    </w:p>
    <w:p w14:paraId="72DCCAA5" w14:textId="799F156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Kim, O., &amp; Walker, M. (1984). The free rider problem: Experimental evidence. </w:t>
      </w:r>
      <w:r w:rsidRPr="002414E9">
        <w:rPr>
          <w:rFonts w:eastAsia="DengXian" w:cs="Times New Roman"/>
          <w:i/>
          <w:iCs/>
          <w:noProof/>
          <w:lang w:eastAsia="zh-CN"/>
        </w:rPr>
        <w:t>Public Choice</w:t>
      </w:r>
      <w:r w:rsidRPr="002414E9">
        <w:rPr>
          <w:rFonts w:eastAsia="DengXian" w:cs="Times New Roman"/>
          <w:noProof/>
          <w:lang w:eastAsia="zh-CN"/>
        </w:rPr>
        <w:t xml:space="preserve">, </w:t>
      </w:r>
      <w:r w:rsidRPr="002414E9">
        <w:rPr>
          <w:rFonts w:eastAsia="DengXian" w:cs="Times New Roman"/>
          <w:i/>
          <w:iCs/>
          <w:noProof/>
          <w:lang w:eastAsia="zh-CN"/>
        </w:rPr>
        <w:t>43</w:t>
      </w:r>
      <w:r w:rsidRPr="002414E9">
        <w:rPr>
          <w:rFonts w:eastAsia="DengXian" w:cs="Times New Roman"/>
          <w:noProof/>
          <w:lang w:eastAsia="zh-CN"/>
        </w:rPr>
        <w:t>(1), 3–24. https://doi.org/10.1007/BF00137902</w:t>
      </w:r>
    </w:p>
    <w:p w14:paraId="1B571D92" w14:textId="6703F62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Kimbrough, E. O., &amp; Vostroknutov, A. (2016). Norms make preferences social. </w:t>
      </w:r>
      <w:r w:rsidRPr="002414E9">
        <w:rPr>
          <w:rFonts w:eastAsia="DengXian" w:cs="Times New Roman"/>
          <w:i/>
          <w:iCs/>
          <w:noProof/>
          <w:lang w:eastAsia="zh-CN"/>
        </w:rPr>
        <w:t>Journal of the European Economic Association</w:t>
      </w:r>
      <w:r w:rsidRPr="002414E9">
        <w:rPr>
          <w:rFonts w:eastAsia="DengXian" w:cs="Times New Roman"/>
          <w:noProof/>
          <w:lang w:eastAsia="zh-CN"/>
        </w:rPr>
        <w:t xml:space="preserve">, </w:t>
      </w:r>
      <w:r w:rsidRPr="002414E9">
        <w:rPr>
          <w:rFonts w:eastAsia="DengXian" w:cs="Times New Roman"/>
          <w:i/>
          <w:iCs/>
          <w:noProof/>
          <w:lang w:eastAsia="zh-CN"/>
        </w:rPr>
        <w:t>14</w:t>
      </w:r>
      <w:r w:rsidRPr="002414E9">
        <w:rPr>
          <w:rFonts w:eastAsia="DengXian" w:cs="Times New Roman"/>
          <w:noProof/>
          <w:lang w:eastAsia="zh-CN"/>
        </w:rPr>
        <w:t>(3), 608–638. https://doi.org/10.1111/jeea.12152</w:t>
      </w:r>
    </w:p>
    <w:p w14:paraId="04DB9298" w14:textId="68EAFCD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Kimmerle, J., &amp; Cress, U. (2013). The impact of cognitive anchors on information-sharing behavior. </w:t>
      </w:r>
      <w:r w:rsidRPr="002414E9">
        <w:rPr>
          <w:rFonts w:eastAsia="DengXian" w:cs="Times New Roman"/>
          <w:i/>
          <w:iCs/>
          <w:noProof/>
          <w:lang w:eastAsia="zh-CN"/>
        </w:rPr>
        <w:t>Cyberpsychology, Behavior, and Social Networking</w:t>
      </w:r>
      <w:r w:rsidRPr="002414E9">
        <w:rPr>
          <w:rFonts w:eastAsia="DengXian" w:cs="Times New Roman"/>
          <w:noProof/>
          <w:lang w:eastAsia="zh-CN"/>
        </w:rPr>
        <w:t xml:space="preserve">, </w:t>
      </w:r>
      <w:r w:rsidRPr="002414E9">
        <w:rPr>
          <w:rFonts w:eastAsia="DengXian" w:cs="Times New Roman"/>
          <w:i/>
          <w:iCs/>
          <w:noProof/>
          <w:lang w:eastAsia="zh-CN"/>
        </w:rPr>
        <w:t>16</w:t>
      </w:r>
      <w:r w:rsidRPr="002414E9">
        <w:rPr>
          <w:rFonts w:eastAsia="DengXian" w:cs="Times New Roman"/>
          <w:noProof/>
          <w:lang w:eastAsia="zh-CN"/>
        </w:rPr>
        <w:t>(1), 45–49. https://doi.org/10.1089/cyber.2012.0144</w:t>
      </w:r>
    </w:p>
    <w:p w14:paraId="7693781B" w14:textId="19F34B8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Kimmerle, J., Wodzicki, K., Jarodzka, H., &amp; Cress, U. (2011). Value of information, behavioral guidelines, and social value orientation in an information-exchange dilemma. </w:t>
      </w:r>
      <w:r w:rsidRPr="002414E9">
        <w:rPr>
          <w:rFonts w:eastAsia="DengXian" w:cs="Times New Roman"/>
          <w:i/>
          <w:iCs/>
          <w:noProof/>
          <w:lang w:eastAsia="zh-CN"/>
        </w:rPr>
        <w:t xml:space="preserve">Group </w:t>
      </w:r>
      <w:r w:rsidRPr="002414E9">
        <w:rPr>
          <w:rFonts w:eastAsia="DengXian" w:cs="Times New Roman"/>
          <w:i/>
          <w:iCs/>
          <w:noProof/>
          <w:lang w:eastAsia="zh-CN"/>
        </w:rPr>
        <w:lastRenderedPageBreak/>
        <w:t>Dynamics: Theory, Research, and Practice</w:t>
      </w:r>
      <w:r w:rsidRPr="002414E9">
        <w:rPr>
          <w:rFonts w:eastAsia="DengXian" w:cs="Times New Roman"/>
          <w:noProof/>
          <w:lang w:eastAsia="zh-CN"/>
        </w:rPr>
        <w:t xml:space="preserve">, </w:t>
      </w:r>
      <w:r w:rsidRPr="002414E9">
        <w:rPr>
          <w:rFonts w:eastAsia="DengXian" w:cs="Times New Roman"/>
          <w:i/>
          <w:iCs/>
          <w:noProof/>
          <w:lang w:eastAsia="zh-CN"/>
        </w:rPr>
        <w:t>15</w:t>
      </w:r>
      <w:r w:rsidRPr="002414E9">
        <w:rPr>
          <w:rFonts w:eastAsia="DengXian" w:cs="Times New Roman"/>
          <w:noProof/>
          <w:lang w:eastAsia="zh-CN"/>
        </w:rPr>
        <w:t>(2), 173–186. https://doi.org/10.1037/a0021467</w:t>
      </w:r>
    </w:p>
    <w:p w14:paraId="12738811" w14:textId="25A652F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Kingsley, D. C. (2016). Endowment heterogeneity and peer punishment in a public good experiment: Cooperation and normative conflict. </w:t>
      </w:r>
      <w:r w:rsidRPr="002414E9">
        <w:rPr>
          <w:rFonts w:eastAsia="DengXian" w:cs="Times New Roman"/>
          <w:i/>
          <w:iCs/>
          <w:noProof/>
          <w:lang w:eastAsia="zh-CN"/>
        </w:rPr>
        <w:t>Journal of Behavioral and Experimental Economics</w:t>
      </w:r>
      <w:r w:rsidRPr="002414E9">
        <w:rPr>
          <w:rFonts w:eastAsia="DengXian" w:cs="Times New Roman"/>
          <w:noProof/>
          <w:lang w:eastAsia="zh-CN"/>
        </w:rPr>
        <w:t xml:space="preserve">, </w:t>
      </w:r>
      <w:r w:rsidRPr="002414E9">
        <w:rPr>
          <w:rFonts w:eastAsia="DengXian" w:cs="Times New Roman"/>
          <w:i/>
          <w:iCs/>
          <w:noProof/>
          <w:lang w:eastAsia="zh-CN"/>
        </w:rPr>
        <w:t>60</w:t>
      </w:r>
      <w:r w:rsidRPr="002414E9">
        <w:rPr>
          <w:rFonts w:eastAsia="DengXian" w:cs="Times New Roman"/>
          <w:noProof/>
          <w:lang w:eastAsia="zh-CN"/>
        </w:rPr>
        <w:t>, 49–61. https://doi.org/10.1016/j.socec.2015.12.002</w:t>
      </w:r>
    </w:p>
    <w:p w14:paraId="7537A926" w14:textId="78C89E8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Kingsley, D. C., &amp; Brown, T. C. (2016). Endogenous and costly institutional deterrence in a public good experiment. </w:t>
      </w:r>
      <w:r w:rsidRPr="002414E9">
        <w:rPr>
          <w:rFonts w:eastAsia="DengXian" w:cs="Times New Roman"/>
          <w:i/>
          <w:iCs/>
          <w:noProof/>
          <w:lang w:eastAsia="zh-CN"/>
        </w:rPr>
        <w:t>Journal of Behavioral and Experimental Economics</w:t>
      </w:r>
      <w:r w:rsidRPr="002414E9">
        <w:rPr>
          <w:rFonts w:eastAsia="DengXian" w:cs="Times New Roman"/>
          <w:noProof/>
          <w:lang w:eastAsia="zh-CN"/>
        </w:rPr>
        <w:t xml:space="preserve">, </w:t>
      </w:r>
      <w:r w:rsidRPr="002414E9">
        <w:rPr>
          <w:rFonts w:eastAsia="DengXian" w:cs="Times New Roman"/>
          <w:i/>
          <w:iCs/>
          <w:noProof/>
          <w:lang w:eastAsia="zh-CN"/>
        </w:rPr>
        <w:t>62</w:t>
      </w:r>
      <w:r w:rsidRPr="002414E9">
        <w:rPr>
          <w:rFonts w:eastAsia="DengXian" w:cs="Times New Roman"/>
          <w:noProof/>
          <w:lang w:eastAsia="zh-CN"/>
        </w:rPr>
        <w:t>, 33–41. https://doi.org/10.1016/j.socec.2016.03.005</w:t>
      </w:r>
    </w:p>
    <w:p w14:paraId="736100C0" w14:textId="43774723"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Kipnis, D. (1968). Studies in character structure. </w:t>
      </w:r>
      <w:r w:rsidRPr="002414E9">
        <w:rPr>
          <w:rFonts w:eastAsia="DengXian" w:cs="Times New Roman"/>
          <w:bCs/>
          <w:i/>
          <w:iCs/>
          <w:noProof/>
          <w:lang w:eastAsia="zh-CN"/>
        </w:rPr>
        <w:t>Journal of Personality and Social Psychology, 8</w:t>
      </w:r>
      <w:r w:rsidRPr="002414E9">
        <w:rPr>
          <w:rFonts w:eastAsia="DengXian" w:cs="Times New Roman"/>
          <w:bCs/>
          <w:noProof/>
          <w:lang w:eastAsia="zh-CN"/>
        </w:rPr>
        <w:t>(3), 217–227. https://doi.org/10.1037/h0025601</w:t>
      </w:r>
    </w:p>
    <w:p w14:paraId="6B66BFF5" w14:textId="51F0E14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Kistler, D., Thöni, C., &amp; Welzel, C. (2017). </w:t>
      </w:r>
      <w:r w:rsidRPr="002414E9">
        <w:rPr>
          <w:rFonts w:eastAsia="DengXian" w:cs="Times New Roman"/>
          <w:noProof/>
          <w:lang w:eastAsia="zh-CN"/>
        </w:rPr>
        <w:t xml:space="preserve">Survey response and observed behavior: Emancipative and secular values predict prosocial behaviors. </w:t>
      </w:r>
      <w:r w:rsidRPr="002414E9">
        <w:rPr>
          <w:rFonts w:eastAsia="DengXian" w:cs="Times New Roman"/>
          <w:i/>
          <w:iCs/>
          <w:noProof/>
          <w:lang w:eastAsia="zh-CN"/>
        </w:rPr>
        <w:t>Journal of Cross-Cultural Psychology</w:t>
      </w:r>
      <w:r w:rsidRPr="002414E9">
        <w:rPr>
          <w:rFonts w:eastAsia="DengXian" w:cs="Times New Roman"/>
          <w:noProof/>
          <w:lang w:eastAsia="zh-CN"/>
        </w:rPr>
        <w:t xml:space="preserve">, </w:t>
      </w:r>
      <w:r w:rsidRPr="002414E9">
        <w:rPr>
          <w:rFonts w:eastAsia="DengXian" w:cs="Times New Roman"/>
          <w:i/>
          <w:iCs/>
          <w:noProof/>
          <w:lang w:eastAsia="zh-CN"/>
        </w:rPr>
        <w:t>48</w:t>
      </w:r>
      <w:r w:rsidRPr="002414E9">
        <w:rPr>
          <w:rFonts w:eastAsia="DengXian" w:cs="Times New Roman"/>
          <w:noProof/>
          <w:lang w:eastAsia="zh-CN"/>
        </w:rPr>
        <w:t>(4), 461–489. https://doi.org/10.1177/0022022117696799</w:t>
      </w:r>
    </w:p>
    <w:p w14:paraId="5FDEFDBB" w14:textId="2100542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Kitakaji, Y., Sone, M., Sato, K., Kobayashi, T., &amp; Ohnuma, S. (2016). Shūjin no jirenma gēmu ni oite tasha ni tsuite kangaeru koto ga kyōryokuritsu ni ataeru eikyō [The effects of imagining the other person on cooperation in a Prisoner’s Dilemma game]. </w:t>
      </w:r>
      <w:r w:rsidRPr="002414E9">
        <w:rPr>
          <w:rFonts w:eastAsia="DengXian" w:cs="Times New Roman"/>
          <w:i/>
          <w:iCs/>
          <w:noProof/>
          <w:lang w:eastAsia="zh-CN"/>
        </w:rPr>
        <w:t>Japanese Journal of Social Psychology</w:t>
      </w:r>
      <w:r w:rsidRPr="002414E9">
        <w:rPr>
          <w:rFonts w:eastAsia="DengXian" w:cs="Times New Roman"/>
          <w:noProof/>
          <w:lang w:eastAsia="zh-CN"/>
        </w:rPr>
        <w:t xml:space="preserve">, </w:t>
      </w:r>
      <w:r w:rsidRPr="002414E9">
        <w:rPr>
          <w:rFonts w:eastAsia="DengXian" w:cs="Times New Roman"/>
          <w:i/>
          <w:iCs/>
          <w:noProof/>
          <w:lang w:eastAsia="zh-CN"/>
        </w:rPr>
        <w:t>32</w:t>
      </w:r>
      <w:r w:rsidRPr="002414E9">
        <w:rPr>
          <w:rFonts w:eastAsia="DengXian" w:cs="Times New Roman"/>
          <w:noProof/>
          <w:lang w:eastAsia="zh-CN"/>
        </w:rPr>
        <w:t>(2), 115–122. https://doi.org/10.14966/jssp.0905</w:t>
      </w:r>
    </w:p>
    <w:p w14:paraId="08B8E626" w14:textId="24A8A4A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Kiyonari, T. (2002). Ippan kōkan shisutemu ni taisuru kitai to naishūdan hiiki: Tozasareta goshūsei no kitai ni kansuru jikken kenkyū</w:t>
      </w:r>
      <w:r w:rsidRPr="002414E9">
        <w:rPr>
          <w:rFonts w:eastAsia="DengXian" w:cs="Times New Roman" w:hint="eastAsia"/>
          <w:noProof/>
          <w:lang w:eastAsia="zh-CN"/>
        </w:rPr>
        <w:t xml:space="preserve"> </w:t>
      </w:r>
      <w:r w:rsidRPr="002414E9">
        <w:rPr>
          <w:rFonts w:eastAsia="DengXian" w:cs="Times New Roman"/>
          <w:noProof/>
          <w:lang w:eastAsia="zh-CN"/>
        </w:rPr>
        <w:t xml:space="preserve">[Expectations of a generalized exchange system and ingroup favoritism]. </w:t>
      </w:r>
      <w:r w:rsidRPr="002414E9">
        <w:rPr>
          <w:rFonts w:eastAsia="DengXian" w:cs="Times New Roman"/>
          <w:i/>
          <w:iCs/>
          <w:noProof/>
          <w:lang w:eastAsia="zh-CN"/>
        </w:rPr>
        <w:t>The Japanese Journal of Psychology</w:t>
      </w:r>
      <w:r w:rsidRPr="002414E9">
        <w:rPr>
          <w:rFonts w:eastAsia="DengXian" w:cs="Times New Roman"/>
          <w:noProof/>
          <w:lang w:eastAsia="zh-CN"/>
        </w:rPr>
        <w:t xml:space="preserve">, </w:t>
      </w:r>
      <w:r w:rsidRPr="002414E9">
        <w:rPr>
          <w:rFonts w:eastAsia="DengXian" w:cs="Times New Roman"/>
          <w:i/>
          <w:iCs/>
          <w:noProof/>
          <w:lang w:eastAsia="zh-CN"/>
        </w:rPr>
        <w:t>73</w:t>
      </w:r>
      <w:r w:rsidRPr="002414E9">
        <w:rPr>
          <w:rFonts w:eastAsia="DengXian" w:cs="Times New Roman"/>
          <w:noProof/>
          <w:lang w:eastAsia="zh-CN"/>
        </w:rPr>
        <w:t>(1), 1–9. https://doi.org/10.4992/jjpsy.73.1</w:t>
      </w:r>
    </w:p>
    <w:p w14:paraId="3861F2E8" w14:textId="74C1374A"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Kiyonari, T., &amp; Barclay, P. (2008). Cooperation in social dilemmas: Free riding may be thwarted by second-order reward rather than by punishment. </w:t>
      </w:r>
      <w:r w:rsidRPr="002414E9">
        <w:rPr>
          <w:rFonts w:eastAsia="DengXian" w:cs="Times New Roman"/>
          <w:bCs/>
          <w:i/>
          <w:iCs/>
          <w:noProof/>
          <w:lang w:eastAsia="zh-CN"/>
        </w:rPr>
        <w:t xml:space="preserve">Journal of Personality and Social </w:t>
      </w:r>
      <w:r w:rsidRPr="002414E9">
        <w:rPr>
          <w:rFonts w:eastAsia="DengXian" w:cs="Times New Roman"/>
          <w:bCs/>
          <w:i/>
          <w:iCs/>
          <w:noProof/>
          <w:lang w:eastAsia="zh-CN"/>
        </w:rPr>
        <w:lastRenderedPageBreak/>
        <w:t>Psychology</w:t>
      </w:r>
      <w:r w:rsidRPr="002414E9">
        <w:rPr>
          <w:rFonts w:eastAsia="DengXian" w:cs="Times New Roman"/>
          <w:bCs/>
          <w:noProof/>
          <w:lang w:eastAsia="zh-CN"/>
        </w:rPr>
        <w:t xml:space="preserve">, </w:t>
      </w:r>
      <w:r w:rsidRPr="002414E9">
        <w:rPr>
          <w:rFonts w:eastAsia="DengXian" w:cs="Times New Roman"/>
          <w:bCs/>
          <w:i/>
          <w:iCs/>
          <w:noProof/>
          <w:lang w:eastAsia="zh-CN"/>
        </w:rPr>
        <w:t>95</w:t>
      </w:r>
      <w:r w:rsidRPr="002414E9">
        <w:rPr>
          <w:rFonts w:eastAsia="DengXian" w:cs="Times New Roman"/>
          <w:bCs/>
          <w:noProof/>
          <w:lang w:eastAsia="zh-CN"/>
        </w:rPr>
        <w:t>(4), 826–842. https://doi.org/10.1037/a0011381</w:t>
      </w:r>
    </w:p>
    <w:p w14:paraId="20B0837A" w14:textId="3372FA8F" w:rsidR="002414E9" w:rsidRPr="002414E9" w:rsidRDefault="002414E9" w:rsidP="002414E9">
      <w:pPr>
        <w:widowControl w:val="0"/>
        <w:autoSpaceDE w:val="0"/>
        <w:autoSpaceDN w:val="0"/>
        <w:adjustRightInd w:val="0"/>
        <w:ind w:left="709" w:hanging="709"/>
        <w:rPr>
          <w:rFonts w:eastAsia="DengXian" w:cs="Times New Roman"/>
          <w:bCs/>
          <w:noProof/>
          <w:lang w:eastAsia="zh-CN"/>
        </w:rPr>
      </w:pPr>
      <w:bookmarkStart w:id="72" w:name="_Hlk74303512"/>
      <w:r w:rsidRPr="002414E9">
        <w:rPr>
          <w:rFonts w:eastAsia="DengXian" w:cs="Times New Roman"/>
          <w:bCs/>
          <w:noProof/>
          <w:lang w:eastAsia="zh-CN"/>
        </w:rPr>
        <w:t xml:space="preserve">Kiyonari, T., &amp; Yamagishi, T. (2004). Ingroup cooperation and the social exchange heuristic. In R. Suleiman, D. Budescu, I. Fischer, &amp; D. M. Messick (Eds.), </w:t>
      </w:r>
      <w:r w:rsidRPr="002414E9">
        <w:rPr>
          <w:rFonts w:eastAsia="DengXian" w:cs="Times New Roman"/>
          <w:bCs/>
          <w:i/>
          <w:iCs/>
          <w:noProof/>
          <w:lang w:eastAsia="zh-CN"/>
        </w:rPr>
        <w:t xml:space="preserve">Contemporary psychological research on social dilemmas </w:t>
      </w:r>
      <w:r w:rsidRPr="002414E9">
        <w:rPr>
          <w:rFonts w:eastAsia="DengXian" w:cs="Times New Roman"/>
          <w:bCs/>
          <w:noProof/>
          <w:lang w:eastAsia="zh-CN"/>
        </w:rPr>
        <w:t>(pp. 269–286). Cambridge University Press.</w:t>
      </w:r>
    </w:p>
    <w:bookmarkEnd w:id="72"/>
    <w:p w14:paraId="2EB0A6F4" w14:textId="5D031059"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Kiyonari, T., Tanida, S., &amp; Yamagishi, T. (2000). Social exchange and reciprocity: Confusion or a heuristic?. </w:t>
      </w:r>
      <w:r w:rsidRPr="002414E9">
        <w:rPr>
          <w:rFonts w:eastAsia="DengXian" w:cs="Times New Roman"/>
          <w:bCs/>
          <w:i/>
          <w:iCs/>
          <w:noProof/>
          <w:lang w:eastAsia="zh-CN"/>
        </w:rPr>
        <w:t>Evolution and human behavior</w:t>
      </w:r>
      <w:r w:rsidRPr="002414E9">
        <w:rPr>
          <w:rFonts w:eastAsia="DengXian" w:cs="Times New Roman"/>
          <w:bCs/>
          <w:noProof/>
          <w:lang w:eastAsia="zh-CN"/>
        </w:rPr>
        <w:t xml:space="preserve">, </w:t>
      </w:r>
      <w:r w:rsidRPr="002414E9">
        <w:rPr>
          <w:rFonts w:eastAsia="DengXian" w:cs="Times New Roman"/>
          <w:bCs/>
          <w:i/>
          <w:iCs/>
          <w:noProof/>
          <w:lang w:eastAsia="zh-CN"/>
        </w:rPr>
        <w:t>21</w:t>
      </w:r>
      <w:r w:rsidRPr="002414E9">
        <w:rPr>
          <w:rFonts w:eastAsia="DengXian" w:cs="Times New Roman"/>
          <w:bCs/>
          <w:noProof/>
          <w:lang w:eastAsia="zh-CN"/>
        </w:rPr>
        <w:t>(6), 411–427. https://doi.org/10.1016/S1090-5138(00)00055-6</w:t>
      </w:r>
    </w:p>
    <w:p w14:paraId="4A01AAFE" w14:textId="5996FC59"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Kleinke, C. L., &amp; Pohlen, P. D. (1971). </w:t>
      </w:r>
      <w:r w:rsidRPr="002414E9">
        <w:rPr>
          <w:rFonts w:eastAsia="DengXian" w:cs="Times New Roman"/>
          <w:bCs/>
          <w:noProof/>
          <w:lang w:eastAsia="zh-CN"/>
        </w:rPr>
        <w:t xml:space="preserve">Affective and emotional responses as a function of other person's gaze and cooperativeness in a two-person game. </w:t>
      </w:r>
      <w:r w:rsidRPr="002414E9">
        <w:rPr>
          <w:rFonts w:eastAsia="DengXian" w:cs="Times New Roman"/>
          <w:bCs/>
          <w:i/>
          <w:iCs/>
          <w:noProof/>
          <w:lang w:eastAsia="zh-CN"/>
        </w:rPr>
        <w:t>Journal of Personality and Social Psychology, 17</w:t>
      </w:r>
      <w:r w:rsidRPr="002414E9">
        <w:rPr>
          <w:rFonts w:eastAsia="DengXian" w:cs="Times New Roman"/>
          <w:bCs/>
          <w:noProof/>
          <w:lang w:eastAsia="zh-CN"/>
        </w:rPr>
        <w:t>(3), 308–313. https://doi.org/10.1037/h0030600</w:t>
      </w:r>
    </w:p>
    <w:p w14:paraId="3D09AFA2" w14:textId="105BD041"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Knapp, W. M., &amp; Podell, J. E. (1968). </w:t>
      </w:r>
      <w:r w:rsidRPr="002414E9">
        <w:rPr>
          <w:rFonts w:eastAsia="DengXian" w:cs="Times New Roman"/>
          <w:bCs/>
          <w:noProof/>
          <w:lang w:eastAsia="zh-CN"/>
        </w:rPr>
        <w:t xml:space="preserve">Mental patients, prisoners, and students with simulated partners in a mixed-motive game.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12</w:t>
      </w:r>
      <w:r w:rsidRPr="002414E9">
        <w:rPr>
          <w:rFonts w:eastAsia="DengXian" w:cs="Times New Roman"/>
          <w:bCs/>
          <w:noProof/>
          <w:lang w:eastAsia="zh-CN"/>
        </w:rPr>
        <w:t>(2), 235–241. https://doi.org/10.1177/002200276801200209</w:t>
      </w:r>
    </w:p>
    <w:p w14:paraId="37A3C021" w14:textId="2D51130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Knez, M., &amp; Camerer, C. (2000). Increasing cooperation in prisoner’s dilemmas by establishing a precedent of efficiency in coordination games. </w:t>
      </w:r>
      <w:r w:rsidRPr="002414E9">
        <w:rPr>
          <w:rFonts w:eastAsia="DengXian" w:cs="Times New Roman"/>
          <w:i/>
          <w:iCs/>
          <w:noProof/>
          <w:lang w:eastAsia="zh-CN"/>
        </w:rPr>
        <w:t>Organizational Behavior and Human Decision Processes</w:t>
      </w:r>
      <w:r w:rsidRPr="002414E9">
        <w:rPr>
          <w:rFonts w:eastAsia="DengXian" w:cs="Times New Roman"/>
          <w:noProof/>
          <w:lang w:eastAsia="zh-CN"/>
        </w:rPr>
        <w:t xml:space="preserve">, </w:t>
      </w:r>
      <w:r w:rsidRPr="002414E9">
        <w:rPr>
          <w:rFonts w:eastAsia="DengXian" w:cs="Times New Roman"/>
          <w:i/>
          <w:iCs/>
          <w:noProof/>
          <w:lang w:eastAsia="zh-CN"/>
        </w:rPr>
        <w:t>82</w:t>
      </w:r>
      <w:r w:rsidRPr="002414E9">
        <w:rPr>
          <w:rFonts w:eastAsia="DengXian" w:cs="Times New Roman"/>
          <w:noProof/>
          <w:lang w:eastAsia="zh-CN"/>
        </w:rPr>
        <w:t>(2), 194–216. https://doi.org/10.1006/obhd.2000.2882</w:t>
      </w:r>
    </w:p>
    <w:p w14:paraId="200E8982" w14:textId="1A52A21F"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Knight, G. P. (1980). Behavioral similarity, confederate strategy, and sex composition of dyad as determinants of interpersonal judgments and behavior in the prisoner's dilemma game. </w:t>
      </w:r>
      <w:r w:rsidRPr="002414E9">
        <w:rPr>
          <w:rFonts w:eastAsia="DengXian" w:cs="Times New Roman"/>
          <w:bCs/>
          <w:i/>
          <w:iCs/>
          <w:noProof/>
          <w:lang w:eastAsia="zh-CN"/>
        </w:rPr>
        <w:t>Journal of Research in Personality</w:t>
      </w:r>
      <w:r w:rsidRPr="002414E9">
        <w:rPr>
          <w:rFonts w:eastAsia="DengXian" w:cs="Times New Roman"/>
          <w:bCs/>
          <w:noProof/>
          <w:lang w:eastAsia="zh-CN"/>
        </w:rPr>
        <w:t xml:space="preserve">, </w:t>
      </w:r>
      <w:r w:rsidRPr="002414E9">
        <w:rPr>
          <w:rFonts w:eastAsia="DengXian" w:cs="Times New Roman"/>
          <w:bCs/>
          <w:i/>
          <w:iCs/>
          <w:noProof/>
          <w:lang w:eastAsia="zh-CN"/>
        </w:rPr>
        <w:t>14</w:t>
      </w:r>
      <w:r w:rsidRPr="002414E9">
        <w:rPr>
          <w:rFonts w:eastAsia="DengXian" w:cs="Times New Roman"/>
          <w:bCs/>
          <w:noProof/>
          <w:lang w:eastAsia="zh-CN"/>
        </w:rPr>
        <w:t>(1), 91–103. https://doi.org/10.1016/0092-6566(80)90043-4</w:t>
      </w:r>
    </w:p>
    <w:p w14:paraId="68BDF9B2" w14:textId="6F223EC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Kocher, M. G., Cherry, T., Kroll, S., Netzer, R. J., &amp; Sutter, M. (2008). </w:t>
      </w:r>
      <w:r w:rsidRPr="002414E9">
        <w:rPr>
          <w:rFonts w:eastAsia="DengXian" w:cs="Times New Roman"/>
          <w:noProof/>
          <w:lang w:eastAsia="zh-CN"/>
        </w:rPr>
        <w:t xml:space="preserve">Conditional cooperation on three continents. </w:t>
      </w:r>
      <w:r w:rsidRPr="002414E9">
        <w:rPr>
          <w:rFonts w:eastAsia="DengXian" w:cs="Times New Roman"/>
          <w:i/>
          <w:iCs/>
          <w:noProof/>
          <w:lang w:eastAsia="zh-CN"/>
        </w:rPr>
        <w:t>Economics Letters</w:t>
      </w:r>
      <w:r w:rsidRPr="002414E9">
        <w:rPr>
          <w:rFonts w:eastAsia="DengXian" w:cs="Times New Roman"/>
          <w:noProof/>
          <w:lang w:eastAsia="zh-CN"/>
        </w:rPr>
        <w:t xml:space="preserve">, </w:t>
      </w:r>
      <w:r w:rsidRPr="002414E9">
        <w:rPr>
          <w:rFonts w:eastAsia="DengXian" w:cs="Times New Roman"/>
          <w:i/>
          <w:iCs/>
          <w:noProof/>
          <w:lang w:eastAsia="zh-CN"/>
        </w:rPr>
        <w:t>101</w:t>
      </w:r>
      <w:r w:rsidRPr="002414E9">
        <w:rPr>
          <w:rFonts w:eastAsia="DengXian" w:cs="Times New Roman"/>
          <w:noProof/>
          <w:lang w:eastAsia="zh-CN"/>
        </w:rPr>
        <w:t>(3), 175–178. https://doi.org/10.1016/j.econlet.2008.07.015</w:t>
      </w:r>
    </w:p>
    <w:p w14:paraId="5B2107B7" w14:textId="0FD0198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n-GB" w:eastAsia="zh-CN"/>
        </w:rPr>
        <w:lastRenderedPageBreak/>
        <w:t xml:space="preserve">Kocher, M. G., Martinsson, P., &amp; Visser, M. (2008). </w:t>
      </w:r>
      <w:r w:rsidRPr="002414E9">
        <w:rPr>
          <w:rFonts w:eastAsia="DengXian" w:cs="Times New Roman"/>
          <w:noProof/>
          <w:lang w:eastAsia="zh-CN"/>
        </w:rPr>
        <w:t xml:space="preserve">Does stake size matter for cooperation and punishment? </w:t>
      </w:r>
      <w:r w:rsidRPr="002414E9">
        <w:rPr>
          <w:rFonts w:eastAsia="DengXian" w:cs="Times New Roman"/>
          <w:i/>
          <w:iCs/>
          <w:noProof/>
          <w:lang w:eastAsia="zh-CN"/>
        </w:rPr>
        <w:t>Economics Letters</w:t>
      </w:r>
      <w:r w:rsidRPr="002414E9">
        <w:rPr>
          <w:rFonts w:eastAsia="DengXian" w:cs="Times New Roman"/>
          <w:noProof/>
          <w:lang w:eastAsia="zh-CN"/>
        </w:rPr>
        <w:t xml:space="preserve">, </w:t>
      </w:r>
      <w:r w:rsidRPr="002414E9">
        <w:rPr>
          <w:rFonts w:eastAsia="DengXian" w:cs="Times New Roman"/>
          <w:i/>
          <w:iCs/>
          <w:noProof/>
          <w:lang w:eastAsia="zh-CN"/>
        </w:rPr>
        <w:t>99</w:t>
      </w:r>
      <w:r w:rsidRPr="002414E9">
        <w:rPr>
          <w:rFonts w:eastAsia="DengXian" w:cs="Times New Roman"/>
          <w:noProof/>
          <w:lang w:eastAsia="zh-CN"/>
        </w:rPr>
        <w:t>(3), 508–511. https://doi.org/10.1016/j.econlet.2007.09.048</w:t>
      </w:r>
    </w:p>
    <w:p w14:paraId="1D31E075" w14:textId="3D6F84B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Kocher, M. G., Martinsson, P., Matzat, D., &amp; Wollbrant, C. (2015). </w:t>
      </w:r>
      <w:r w:rsidRPr="002414E9">
        <w:rPr>
          <w:rFonts w:eastAsia="DengXian" w:cs="Times New Roman"/>
          <w:noProof/>
          <w:lang w:eastAsia="zh-CN"/>
        </w:rPr>
        <w:t xml:space="preserve">The role of beliefs, trust, and risk in contributions to a public good. </w:t>
      </w:r>
      <w:r w:rsidRPr="002414E9">
        <w:rPr>
          <w:rFonts w:eastAsia="DengXian" w:cs="Times New Roman"/>
          <w:i/>
          <w:iCs/>
          <w:noProof/>
          <w:lang w:eastAsia="zh-CN"/>
        </w:rPr>
        <w:t>Journal of Economic Psychology</w:t>
      </w:r>
      <w:r w:rsidRPr="002414E9">
        <w:rPr>
          <w:rFonts w:eastAsia="DengXian" w:cs="Times New Roman"/>
          <w:noProof/>
          <w:lang w:eastAsia="zh-CN"/>
        </w:rPr>
        <w:t xml:space="preserve">, </w:t>
      </w:r>
      <w:r w:rsidRPr="002414E9">
        <w:rPr>
          <w:rFonts w:eastAsia="DengXian" w:cs="Times New Roman"/>
          <w:i/>
          <w:iCs/>
          <w:noProof/>
          <w:lang w:eastAsia="zh-CN"/>
        </w:rPr>
        <w:t>51</w:t>
      </w:r>
      <w:r w:rsidRPr="002414E9">
        <w:rPr>
          <w:rFonts w:eastAsia="DengXian" w:cs="Times New Roman"/>
          <w:noProof/>
          <w:lang w:eastAsia="zh-CN"/>
        </w:rPr>
        <w:t>, 236–244. https://doi.org/10.1016/j.joep.2015.10.001</w:t>
      </w:r>
    </w:p>
    <w:p w14:paraId="1D7CAE57" w14:textId="7A4431C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Kocher, M. G., Martinsson, P., Myrseth, K. O. R., &amp; Wollbrant, C. E. (2017). </w:t>
      </w:r>
      <w:r w:rsidRPr="002414E9">
        <w:rPr>
          <w:rFonts w:eastAsia="DengXian" w:cs="Times New Roman"/>
          <w:noProof/>
          <w:lang w:eastAsia="zh-CN"/>
        </w:rPr>
        <w:t xml:space="preserve">Strong, bold, and kind: Self-control and cooperation in social dilemmas.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20</w:t>
      </w:r>
      <w:r w:rsidRPr="002414E9">
        <w:rPr>
          <w:rFonts w:eastAsia="DengXian" w:cs="Times New Roman"/>
          <w:noProof/>
          <w:lang w:eastAsia="zh-CN"/>
        </w:rPr>
        <w:t>(1), 44–69. https://doi.org/10.1007/s10683-015-9475-7</w:t>
      </w:r>
    </w:p>
    <w:p w14:paraId="5338FE2B" w14:textId="2537A24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Kocher, M. G., Martinsson, P., Persson, E., &amp; Wang, X. (2016). Is there a hidden cost of imposing a minimum contribution level for public good contributions? </w:t>
      </w:r>
      <w:r w:rsidRPr="002414E9">
        <w:rPr>
          <w:rFonts w:eastAsia="DengXian" w:cs="Times New Roman"/>
          <w:i/>
          <w:iCs/>
          <w:noProof/>
          <w:lang w:eastAsia="zh-CN"/>
        </w:rPr>
        <w:t>Journal of Economic Psychology</w:t>
      </w:r>
      <w:r w:rsidRPr="002414E9">
        <w:rPr>
          <w:rFonts w:eastAsia="DengXian" w:cs="Times New Roman"/>
          <w:noProof/>
          <w:lang w:eastAsia="zh-CN"/>
        </w:rPr>
        <w:t xml:space="preserve">, </w:t>
      </w:r>
      <w:r w:rsidRPr="002414E9">
        <w:rPr>
          <w:rFonts w:eastAsia="DengXian" w:cs="Times New Roman"/>
          <w:i/>
          <w:iCs/>
          <w:noProof/>
          <w:lang w:eastAsia="zh-CN"/>
        </w:rPr>
        <w:t>56</w:t>
      </w:r>
      <w:r w:rsidRPr="002414E9">
        <w:rPr>
          <w:rFonts w:eastAsia="DengXian" w:cs="Times New Roman"/>
          <w:noProof/>
          <w:lang w:eastAsia="zh-CN"/>
        </w:rPr>
        <w:t>, 74–84. https://doi.org/10.1016/j.joep.2016.05.007</w:t>
      </w:r>
    </w:p>
    <w:p w14:paraId="4C7BAB29" w14:textId="625A1E3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Kocher, M., Martinsson, P., &amp; Visser, M. (2012). Social background, cooperative behavior, and norm enforcement.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81</w:t>
      </w:r>
      <w:r w:rsidRPr="002414E9">
        <w:rPr>
          <w:rFonts w:eastAsia="DengXian" w:cs="Times New Roman"/>
          <w:noProof/>
          <w:lang w:eastAsia="zh-CN"/>
        </w:rPr>
        <w:t>(2), 341–354. https://doi.org/10.1016/j.jebo.2011.10.020</w:t>
      </w:r>
    </w:p>
    <w:p w14:paraId="3F62212E" w14:textId="36451CD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Kölle, F. (2015). Heterogeneity and cooperation: The role of capability and valuation on public goods provision.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109</w:t>
      </w:r>
      <w:r w:rsidRPr="002414E9">
        <w:rPr>
          <w:rFonts w:eastAsia="DengXian" w:cs="Times New Roman"/>
          <w:noProof/>
          <w:lang w:eastAsia="zh-CN"/>
        </w:rPr>
        <w:t>, 120–134. https://doi.org/10.1016/j.jebo.2014.11.009</w:t>
      </w:r>
    </w:p>
    <w:p w14:paraId="35BCB874" w14:textId="7F76F7C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Komorita, S. S. (1987). Cooperative choice in decomposed social dilemmas. </w:t>
      </w:r>
      <w:r w:rsidRPr="002414E9">
        <w:rPr>
          <w:rFonts w:eastAsia="DengXian" w:cs="Times New Roman"/>
          <w:i/>
          <w:iCs/>
          <w:noProof/>
          <w:lang w:eastAsia="zh-CN"/>
        </w:rPr>
        <w:t>Personality and Social Psychology Bulletin</w:t>
      </w:r>
      <w:r w:rsidRPr="002414E9">
        <w:rPr>
          <w:rFonts w:eastAsia="DengXian" w:cs="Times New Roman"/>
          <w:noProof/>
          <w:lang w:eastAsia="zh-CN"/>
        </w:rPr>
        <w:t xml:space="preserve">, </w:t>
      </w:r>
      <w:r w:rsidRPr="002414E9">
        <w:rPr>
          <w:rFonts w:eastAsia="DengXian" w:cs="Times New Roman"/>
          <w:i/>
          <w:iCs/>
          <w:noProof/>
          <w:lang w:eastAsia="zh-CN"/>
        </w:rPr>
        <w:t>13</w:t>
      </w:r>
      <w:r w:rsidRPr="002414E9">
        <w:rPr>
          <w:rFonts w:eastAsia="DengXian" w:cs="Times New Roman"/>
          <w:noProof/>
          <w:lang w:eastAsia="zh-CN"/>
        </w:rPr>
        <w:t>(1), 53–63. https://doi.org/10.1177/0146167287131005</w:t>
      </w:r>
    </w:p>
    <w:p w14:paraId="23FD199A" w14:textId="120C846F"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Komorita, S. S., &amp; Barth, J. M. (1985). Components of reward in social dilemmas. </w:t>
      </w:r>
      <w:r w:rsidRPr="002414E9">
        <w:rPr>
          <w:rFonts w:eastAsia="DengXian" w:cs="Times New Roman"/>
          <w:bCs/>
          <w:i/>
          <w:iCs/>
          <w:noProof/>
          <w:lang w:eastAsia="zh-CN"/>
        </w:rPr>
        <w:t>Journal of Personality and Social Psychology, 48</w:t>
      </w:r>
      <w:r w:rsidRPr="002414E9">
        <w:rPr>
          <w:rFonts w:eastAsia="DengXian" w:cs="Times New Roman"/>
          <w:bCs/>
          <w:noProof/>
          <w:lang w:eastAsia="zh-CN"/>
        </w:rPr>
        <w:t>(2), 364–373. https://doi.org/10.1037/0022-3514.48.2.364</w:t>
      </w:r>
    </w:p>
    <w:p w14:paraId="3FCBEC28" w14:textId="0541598A"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lastRenderedPageBreak/>
        <w:t xml:space="preserve">Komorita, S. S., &amp; Lapworth, C. W. (1982). Alternative choices in social dilemmas.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26</w:t>
      </w:r>
      <w:r w:rsidRPr="002414E9">
        <w:rPr>
          <w:rFonts w:eastAsia="DengXian" w:cs="Times New Roman"/>
          <w:bCs/>
          <w:noProof/>
          <w:lang w:eastAsia="zh-CN"/>
        </w:rPr>
        <w:t>(4), 692–708. https://doi.org/10.1177/0022002782026004006</w:t>
      </w:r>
    </w:p>
    <w:p w14:paraId="4AFAB44A" w14:textId="3714B3FD"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Komorita, S. S., Chan, D. K., &amp; Parks, C. (1993). The effects of reward structure and reciprocity in social dilemmas. </w:t>
      </w:r>
      <w:r w:rsidRPr="002414E9">
        <w:rPr>
          <w:rFonts w:eastAsia="DengXian" w:cs="Times New Roman"/>
          <w:bCs/>
          <w:i/>
          <w:iCs/>
          <w:noProof/>
          <w:lang w:eastAsia="zh-CN"/>
        </w:rPr>
        <w:t>Journal of Experimental Social Psychology</w:t>
      </w:r>
      <w:r w:rsidRPr="002414E9">
        <w:rPr>
          <w:rFonts w:eastAsia="DengXian" w:cs="Times New Roman"/>
          <w:bCs/>
          <w:noProof/>
          <w:lang w:eastAsia="zh-CN"/>
        </w:rPr>
        <w:t xml:space="preserve">, </w:t>
      </w:r>
      <w:r w:rsidRPr="002414E9">
        <w:rPr>
          <w:rFonts w:eastAsia="DengXian" w:cs="Times New Roman"/>
          <w:bCs/>
          <w:i/>
          <w:iCs/>
          <w:noProof/>
          <w:lang w:eastAsia="zh-CN"/>
        </w:rPr>
        <w:t>29</w:t>
      </w:r>
      <w:r w:rsidRPr="002414E9">
        <w:rPr>
          <w:rFonts w:eastAsia="DengXian" w:cs="Times New Roman"/>
          <w:bCs/>
          <w:noProof/>
          <w:lang w:eastAsia="zh-CN"/>
        </w:rPr>
        <w:t>(3), 252–267. https://doi.org/10.1006/jesp.1993.1011</w:t>
      </w:r>
    </w:p>
    <w:p w14:paraId="0EE36283" w14:textId="3049B4DF"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Komorita, S. S., Hilty, J. A., &amp; Parks, C. D. (1991). Reciprocity and cooperation in social dilemmas.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35</w:t>
      </w:r>
      <w:r w:rsidRPr="002414E9">
        <w:rPr>
          <w:rFonts w:eastAsia="DengXian" w:cs="Times New Roman"/>
          <w:bCs/>
          <w:noProof/>
          <w:lang w:eastAsia="zh-CN"/>
        </w:rPr>
        <w:t>(3), 494–518. https://doi.org/10.1177/0022002791035003005</w:t>
      </w:r>
    </w:p>
    <w:p w14:paraId="4446F715" w14:textId="16AC9F30"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Komorita, S. S., Parks, C. D., &amp; Hulbert, L. G. (1992). Reciprocity and the induction of cooperation in social dilemmas. </w:t>
      </w:r>
      <w:r w:rsidRPr="002414E9">
        <w:rPr>
          <w:rFonts w:eastAsia="DengXian" w:cs="Times New Roman"/>
          <w:bCs/>
          <w:i/>
          <w:iCs/>
          <w:noProof/>
          <w:lang w:eastAsia="zh-CN"/>
        </w:rPr>
        <w:t>Journal of Personality and Social Psychology, 62</w:t>
      </w:r>
      <w:r w:rsidRPr="002414E9">
        <w:rPr>
          <w:rFonts w:eastAsia="DengXian" w:cs="Times New Roman"/>
          <w:bCs/>
          <w:noProof/>
          <w:lang w:eastAsia="zh-CN"/>
        </w:rPr>
        <w:t>(4), 607–617. https://doi.org/10.1037/0022-3514.62.4.607</w:t>
      </w:r>
    </w:p>
    <w:p w14:paraId="7181C302"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Komorita, S. S., Sweeney, J., &amp; Kravitz, D. A. (1980). Cooperative choice in N-person dilemma situation. </w:t>
      </w:r>
      <w:r w:rsidRPr="002414E9">
        <w:rPr>
          <w:rFonts w:eastAsia="DengXian" w:cs="Times New Roman"/>
          <w:i/>
          <w:iCs/>
          <w:noProof/>
          <w:lang w:eastAsia="zh-CN"/>
        </w:rPr>
        <w:t>Journal of Personality and Social Psychology</w:t>
      </w:r>
      <w:r w:rsidRPr="002414E9">
        <w:rPr>
          <w:rFonts w:eastAsia="DengXian" w:cs="Times New Roman"/>
          <w:noProof/>
          <w:lang w:eastAsia="zh-CN"/>
        </w:rPr>
        <w:t xml:space="preserve">, </w:t>
      </w:r>
      <w:r w:rsidRPr="002414E9">
        <w:rPr>
          <w:rFonts w:eastAsia="DengXian" w:cs="Times New Roman"/>
          <w:i/>
          <w:iCs/>
          <w:noProof/>
          <w:lang w:eastAsia="zh-CN"/>
        </w:rPr>
        <w:t>38</w:t>
      </w:r>
      <w:r w:rsidRPr="002414E9">
        <w:rPr>
          <w:rFonts w:eastAsia="DengXian" w:cs="Times New Roman"/>
          <w:noProof/>
          <w:lang w:eastAsia="zh-CN"/>
        </w:rPr>
        <w:t>(3), 504–516. https://doi.org/10.1037/0022-3514.38.3.504</w:t>
      </w:r>
    </w:p>
    <w:p w14:paraId="1A231086" w14:textId="7763B58C"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nl-NL" w:eastAsia="zh-CN"/>
        </w:rPr>
        <w:t xml:space="preserve">Kopányi-Peuker, A., Offerman, T., &amp; Sloof, R. (2017). </w:t>
      </w:r>
      <w:r w:rsidRPr="002414E9">
        <w:rPr>
          <w:rFonts w:eastAsia="DengXian" w:cs="Times New Roman"/>
          <w:bCs/>
          <w:noProof/>
          <w:lang w:eastAsia="zh-CN"/>
        </w:rPr>
        <w:t xml:space="preserve">Fostering cooperation through the enhancement of own vulnerability. </w:t>
      </w:r>
      <w:r w:rsidRPr="002414E9">
        <w:rPr>
          <w:rFonts w:eastAsia="DengXian" w:cs="Times New Roman"/>
          <w:bCs/>
          <w:i/>
          <w:iCs/>
          <w:noProof/>
          <w:lang w:eastAsia="zh-CN"/>
        </w:rPr>
        <w:t>Games and Economic Behavior</w:t>
      </w:r>
      <w:r w:rsidRPr="002414E9">
        <w:rPr>
          <w:rFonts w:eastAsia="DengXian" w:cs="Times New Roman"/>
          <w:bCs/>
          <w:noProof/>
          <w:lang w:eastAsia="zh-CN"/>
        </w:rPr>
        <w:t xml:space="preserve">, </w:t>
      </w:r>
      <w:r w:rsidRPr="002414E9">
        <w:rPr>
          <w:rFonts w:eastAsia="DengXian" w:cs="Times New Roman"/>
          <w:bCs/>
          <w:i/>
          <w:iCs/>
          <w:noProof/>
          <w:lang w:eastAsia="zh-CN"/>
        </w:rPr>
        <w:t>101</w:t>
      </w:r>
      <w:r w:rsidRPr="002414E9">
        <w:rPr>
          <w:rFonts w:eastAsia="DengXian" w:cs="Times New Roman"/>
          <w:bCs/>
          <w:noProof/>
          <w:lang w:eastAsia="zh-CN"/>
        </w:rPr>
        <w:t>, 273–290. https://doi.org/10.1016/j.geb.2015.10.001</w:t>
      </w:r>
    </w:p>
    <w:p w14:paraId="3047570F" w14:textId="17ADD19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Korfiatis, N., Zicari, R., &amp; Lytras, M. D. (2015). </w:t>
      </w:r>
      <w:r w:rsidRPr="002414E9">
        <w:rPr>
          <w:rFonts w:eastAsia="DengXian" w:cs="Times New Roman"/>
          <w:noProof/>
          <w:lang w:eastAsia="zh-CN"/>
        </w:rPr>
        <w:t xml:space="preserve">Gender effects and cooperation styles in the Facebook community: A quasi-experimental assessment. </w:t>
      </w:r>
      <w:r w:rsidRPr="002414E9">
        <w:rPr>
          <w:rFonts w:eastAsia="DengXian" w:cs="Times New Roman"/>
          <w:i/>
          <w:iCs/>
          <w:noProof/>
          <w:lang w:eastAsia="zh-CN"/>
        </w:rPr>
        <w:t>Computers in Human Behavior</w:t>
      </w:r>
      <w:r w:rsidRPr="002414E9">
        <w:rPr>
          <w:rFonts w:eastAsia="DengXian" w:cs="Times New Roman"/>
          <w:noProof/>
          <w:lang w:eastAsia="zh-CN"/>
        </w:rPr>
        <w:t xml:space="preserve">, </w:t>
      </w:r>
      <w:r w:rsidRPr="002414E9">
        <w:rPr>
          <w:rFonts w:eastAsia="DengXian" w:cs="Times New Roman"/>
          <w:i/>
          <w:iCs/>
          <w:noProof/>
          <w:lang w:eastAsia="zh-CN"/>
        </w:rPr>
        <w:t>48</w:t>
      </w:r>
      <w:r w:rsidRPr="002414E9">
        <w:rPr>
          <w:rFonts w:eastAsia="DengXian" w:cs="Times New Roman"/>
          <w:noProof/>
          <w:lang w:eastAsia="zh-CN"/>
        </w:rPr>
        <w:t>, 44–50. https://doi.org/10.1016/j.chb.2014.11.065</w:t>
      </w:r>
    </w:p>
    <w:p w14:paraId="3BE3BABC" w14:textId="024F2A3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Kosfeld, M., Okada, A., &amp; Riedl, A. (2009). </w:t>
      </w:r>
      <w:r w:rsidRPr="002414E9">
        <w:rPr>
          <w:rFonts w:eastAsia="DengXian" w:cs="Times New Roman"/>
          <w:noProof/>
          <w:lang w:eastAsia="zh-CN"/>
        </w:rPr>
        <w:t xml:space="preserve">Institution formation in public goods games. </w:t>
      </w:r>
      <w:r w:rsidRPr="002414E9">
        <w:rPr>
          <w:rFonts w:eastAsia="DengXian" w:cs="Times New Roman"/>
          <w:i/>
          <w:iCs/>
          <w:noProof/>
          <w:lang w:eastAsia="zh-CN"/>
        </w:rPr>
        <w:t>American Economic Review</w:t>
      </w:r>
      <w:r w:rsidRPr="002414E9">
        <w:rPr>
          <w:rFonts w:eastAsia="DengXian" w:cs="Times New Roman"/>
          <w:noProof/>
          <w:lang w:eastAsia="zh-CN"/>
        </w:rPr>
        <w:t xml:space="preserve">, </w:t>
      </w:r>
      <w:r w:rsidRPr="002414E9">
        <w:rPr>
          <w:rFonts w:eastAsia="DengXian" w:cs="Times New Roman"/>
          <w:i/>
          <w:iCs/>
          <w:noProof/>
          <w:lang w:eastAsia="zh-CN"/>
        </w:rPr>
        <w:t>99</w:t>
      </w:r>
      <w:r w:rsidRPr="002414E9">
        <w:rPr>
          <w:rFonts w:eastAsia="DengXian" w:cs="Times New Roman"/>
          <w:noProof/>
          <w:lang w:eastAsia="zh-CN"/>
        </w:rPr>
        <w:t>(4), 1335–1355. https://doi.org/10.1257/aer.99.4.1335</w:t>
      </w:r>
    </w:p>
    <w:p w14:paraId="2A7F816F" w14:textId="3213199B" w:rsidR="002414E9" w:rsidRPr="002414E9" w:rsidRDefault="002414E9" w:rsidP="002414E9">
      <w:pPr>
        <w:widowControl w:val="0"/>
        <w:autoSpaceDE w:val="0"/>
        <w:autoSpaceDN w:val="0"/>
        <w:adjustRightInd w:val="0"/>
        <w:ind w:left="709" w:hanging="709"/>
        <w:rPr>
          <w:rFonts w:eastAsia="DengXian" w:cs="Times New Roman"/>
          <w:bCs/>
          <w:noProof/>
          <w:lang w:val="it-IT" w:eastAsia="zh-CN"/>
        </w:rPr>
      </w:pPr>
      <w:bookmarkStart w:id="73" w:name="_Hlk74303734"/>
      <w:r w:rsidRPr="002414E9">
        <w:rPr>
          <w:rFonts w:eastAsia="DengXian" w:cs="Times New Roman"/>
          <w:bCs/>
          <w:noProof/>
          <w:lang w:eastAsia="zh-CN"/>
        </w:rPr>
        <w:t xml:space="preserve">Kotani, K., Managi, S., &amp; Tanaka, K. (2008). Further investigations of framing effects on </w:t>
      </w:r>
      <w:r w:rsidRPr="002414E9">
        <w:rPr>
          <w:rFonts w:eastAsia="DengXian" w:cs="Times New Roman"/>
          <w:bCs/>
          <w:noProof/>
          <w:lang w:eastAsia="zh-CN"/>
        </w:rPr>
        <w:lastRenderedPageBreak/>
        <w:t xml:space="preserve">cooperative choices in a provision point mechanism. </w:t>
      </w:r>
      <w:r w:rsidRPr="002414E9">
        <w:rPr>
          <w:rFonts w:eastAsia="DengXian" w:cs="Times New Roman"/>
          <w:bCs/>
          <w:i/>
          <w:iCs/>
          <w:noProof/>
          <w:lang w:val="it-IT" w:eastAsia="zh-CN"/>
        </w:rPr>
        <w:t>Economics Bulletin</w:t>
      </w:r>
      <w:r w:rsidRPr="002414E9">
        <w:rPr>
          <w:rFonts w:eastAsia="DengXian" w:cs="Times New Roman"/>
          <w:bCs/>
          <w:noProof/>
          <w:lang w:val="it-IT" w:eastAsia="zh-CN"/>
        </w:rPr>
        <w:t xml:space="preserve">, </w:t>
      </w:r>
      <w:r w:rsidRPr="002414E9">
        <w:rPr>
          <w:rFonts w:eastAsia="DengXian" w:cs="Times New Roman"/>
          <w:bCs/>
          <w:i/>
          <w:iCs/>
          <w:noProof/>
          <w:lang w:val="it-IT" w:eastAsia="zh-CN"/>
        </w:rPr>
        <w:t>3</w:t>
      </w:r>
      <w:r w:rsidRPr="002414E9">
        <w:rPr>
          <w:rFonts w:eastAsia="DengXian" w:cs="Times New Roman"/>
          <w:bCs/>
          <w:noProof/>
          <w:lang w:val="it-IT" w:eastAsia="zh-CN"/>
        </w:rPr>
        <w:t>(51), 1–9. https://core.ac.uk/download/pdf/6421172.pdf</w:t>
      </w:r>
    </w:p>
    <w:bookmarkEnd w:id="73"/>
    <w:p w14:paraId="78954F92" w14:textId="0DF43FF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Koukoumelis, A., Levati, M. V., &amp; Weisser, J. (2012). </w:t>
      </w:r>
      <w:r w:rsidRPr="002414E9">
        <w:rPr>
          <w:rFonts w:eastAsia="DengXian" w:cs="Times New Roman"/>
          <w:noProof/>
          <w:lang w:eastAsia="zh-CN"/>
        </w:rPr>
        <w:t xml:space="preserve">Leading by words: A voluntary contribution experiment with one-way communication.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81</w:t>
      </w:r>
      <w:r w:rsidRPr="002414E9">
        <w:rPr>
          <w:rFonts w:eastAsia="DengXian" w:cs="Times New Roman"/>
          <w:noProof/>
          <w:lang w:eastAsia="zh-CN"/>
        </w:rPr>
        <w:t>(2), 379–390. https://doi.org/10.1016/j.jebo.2011.11.007</w:t>
      </w:r>
    </w:p>
    <w:p w14:paraId="131A827D" w14:textId="6E4672C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Krajbich, I., Bartling, B., Hare, T., &amp; Fehr, E. (2015). </w:t>
      </w:r>
      <w:r w:rsidRPr="002414E9">
        <w:rPr>
          <w:rFonts w:eastAsia="DengXian" w:cs="Times New Roman"/>
          <w:noProof/>
          <w:lang w:eastAsia="zh-CN"/>
        </w:rPr>
        <w:t xml:space="preserve">Rethinking fast and slow based on a critique of reaction-time reverse inference. </w:t>
      </w:r>
      <w:r w:rsidRPr="002414E9">
        <w:rPr>
          <w:rFonts w:eastAsia="DengXian" w:cs="Times New Roman"/>
          <w:i/>
          <w:iCs/>
          <w:noProof/>
          <w:lang w:eastAsia="zh-CN"/>
        </w:rPr>
        <w:t>Nature Communications</w:t>
      </w:r>
      <w:r w:rsidRPr="002414E9">
        <w:rPr>
          <w:rFonts w:eastAsia="DengXian" w:cs="Times New Roman"/>
          <w:noProof/>
          <w:lang w:eastAsia="zh-CN"/>
        </w:rPr>
        <w:t xml:space="preserve">, </w:t>
      </w:r>
      <w:r w:rsidRPr="002414E9">
        <w:rPr>
          <w:rFonts w:eastAsia="DengXian" w:cs="Times New Roman"/>
          <w:i/>
          <w:iCs/>
          <w:noProof/>
          <w:lang w:eastAsia="zh-CN"/>
        </w:rPr>
        <w:t>6</w:t>
      </w:r>
      <w:r w:rsidRPr="002414E9">
        <w:rPr>
          <w:rFonts w:eastAsia="DengXian" w:cs="Times New Roman"/>
          <w:noProof/>
          <w:lang w:eastAsia="zh-CN"/>
        </w:rPr>
        <w:t>(1), 7455. https://doi.org/10.1038/ncomms8455</w:t>
      </w:r>
    </w:p>
    <w:p w14:paraId="7B0C9EFE" w14:textId="1FAEB8F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Kramer, R. M., McClintock, C. G., &amp; Messick, D. M. (1986). Social values and cooperative response to a simulated resource conservation crisis. </w:t>
      </w:r>
      <w:r w:rsidRPr="002414E9">
        <w:rPr>
          <w:rFonts w:eastAsia="DengXian" w:cs="Times New Roman"/>
          <w:i/>
          <w:iCs/>
          <w:noProof/>
          <w:lang w:eastAsia="zh-CN"/>
        </w:rPr>
        <w:t>Journal of Personality</w:t>
      </w:r>
      <w:r w:rsidRPr="002414E9">
        <w:rPr>
          <w:rFonts w:eastAsia="DengXian" w:cs="Times New Roman"/>
          <w:noProof/>
          <w:lang w:eastAsia="zh-CN"/>
        </w:rPr>
        <w:t xml:space="preserve">, </w:t>
      </w:r>
      <w:r w:rsidRPr="002414E9">
        <w:rPr>
          <w:rFonts w:eastAsia="DengXian" w:cs="Times New Roman"/>
          <w:i/>
          <w:iCs/>
          <w:noProof/>
          <w:lang w:eastAsia="zh-CN"/>
        </w:rPr>
        <w:t>54</w:t>
      </w:r>
      <w:r w:rsidRPr="002414E9">
        <w:rPr>
          <w:rFonts w:eastAsia="DengXian" w:cs="Times New Roman"/>
          <w:noProof/>
          <w:lang w:eastAsia="zh-CN"/>
        </w:rPr>
        <w:t>(3), 576–592. https://doi.org/10.1111/j.1467-6494.1986.tb00413.x</w:t>
      </w:r>
    </w:p>
    <w:p w14:paraId="5F8324AF" w14:textId="233CC9C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Krieg, J., &amp; Samek, A. (2017). When charities compete: A laboratory experiment with simultaneous public goods. </w:t>
      </w:r>
      <w:r w:rsidRPr="002414E9">
        <w:rPr>
          <w:rFonts w:eastAsia="DengXian" w:cs="Times New Roman"/>
          <w:i/>
          <w:iCs/>
          <w:noProof/>
          <w:lang w:eastAsia="zh-CN"/>
        </w:rPr>
        <w:t>Journal of Behavioral and Experimental Economics</w:t>
      </w:r>
      <w:r w:rsidRPr="002414E9">
        <w:rPr>
          <w:rFonts w:eastAsia="DengXian" w:cs="Times New Roman"/>
          <w:noProof/>
          <w:lang w:eastAsia="zh-CN"/>
        </w:rPr>
        <w:t xml:space="preserve">, </w:t>
      </w:r>
      <w:r w:rsidRPr="002414E9">
        <w:rPr>
          <w:rFonts w:eastAsia="DengXian" w:cs="Times New Roman"/>
          <w:i/>
          <w:iCs/>
          <w:noProof/>
          <w:lang w:eastAsia="zh-CN"/>
        </w:rPr>
        <w:t>66</w:t>
      </w:r>
      <w:r w:rsidRPr="002414E9">
        <w:rPr>
          <w:rFonts w:eastAsia="DengXian" w:cs="Times New Roman"/>
          <w:noProof/>
          <w:lang w:eastAsia="zh-CN"/>
        </w:rPr>
        <w:t>, 40–57. https://doi.org/10.1016/j.socec.2016.04.009</w:t>
      </w:r>
    </w:p>
    <w:p w14:paraId="751B4C18" w14:textId="241D382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Krishnamurthy, S. (2001). The effect of provision points on generic advertising funding. </w:t>
      </w:r>
      <w:r w:rsidRPr="002414E9">
        <w:rPr>
          <w:rFonts w:eastAsia="DengXian" w:cs="Times New Roman"/>
          <w:i/>
          <w:iCs/>
          <w:noProof/>
          <w:lang w:eastAsia="zh-CN"/>
        </w:rPr>
        <w:t>Marketing Letters</w:t>
      </w:r>
      <w:r w:rsidRPr="002414E9">
        <w:rPr>
          <w:rFonts w:eastAsia="DengXian" w:cs="Times New Roman"/>
          <w:noProof/>
          <w:lang w:eastAsia="zh-CN"/>
        </w:rPr>
        <w:t xml:space="preserve">, </w:t>
      </w:r>
      <w:r w:rsidRPr="002414E9">
        <w:rPr>
          <w:rFonts w:eastAsia="DengXian" w:cs="Times New Roman"/>
          <w:i/>
          <w:iCs/>
          <w:noProof/>
          <w:lang w:eastAsia="zh-CN"/>
        </w:rPr>
        <w:t>12</w:t>
      </w:r>
      <w:r w:rsidRPr="002414E9">
        <w:rPr>
          <w:rFonts w:eastAsia="DengXian" w:cs="Times New Roman"/>
          <w:noProof/>
          <w:lang w:eastAsia="zh-CN"/>
        </w:rPr>
        <w:t>(4), 315–325. https://doi.org/10.1023/A:1012268221707</w:t>
      </w:r>
    </w:p>
    <w:p w14:paraId="334323EA" w14:textId="1000D8D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Krishnamurthy, S., Bottom, W. P., &amp; Rao, A. G. (2003). Adaptive aspirations and contributions to a public good: Generic advertising as a response to decline. </w:t>
      </w:r>
      <w:r w:rsidRPr="002414E9">
        <w:rPr>
          <w:rFonts w:eastAsia="DengXian" w:cs="Times New Roman"/>
          <w:i/>
          <w:iCs/>
          <w:noProof/>
          <w:lang w:eastAsia="zh-CN"/>
        </w:rPr>
        <w:t>Organizational Behavior and Human Decision Processes</w:t>
      </w:r>
      <w:r w:rsidRPr="002414E9">
        <w:rPr>
          <w:rFonts w:eastAsia="DengXian" w:cs="Times New Roman"/>
          <w:noProof/>
          <w:lang w:eastAsia="zh-CN"/>
        </w:rPr>
        <w:t xml:space="preserve">, </w:t>
      </w:r>
      <w:r w:rsidRPr="002414E9">
        <w:rPr>
          <w:rFonts w:eastAsia="DengXian" w:cs="Times New Roman"/>
          <w:i/>
          <w:iCs/>
          <w:noProof/>
          <w:lang w:eastAsia="zh-CN"/>
        </w:rPr>
        <w:t>92</w:t>
      </w:r>
      <w:r w:rsidRPr="002414E9">
        <w:rPr>
          <w:rFonts w:eastAsia="DengXian" w:cs="Times New Roman"/>
          <w:noProof/>
          <w:lang w:eastAsia="zh-CN"/>
        </w:rPr>
        <w:t>(1–2), 22–33. https://doi.org/10.1016/S0749-5978(03)00067-0</w:t>
      </w:r>
    </w:p>
    <w:p w14:paraId="31C590C4" w14:textId="0B8A5B7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Kroll, S., Cherry, T. L., &amp; Shogren, J. F. (2007). The impact of endowment heterogeneity and origin on contributions in best-shot public good games.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10</w:t>
      </w:r>
      <w:r w:rsidRPr="002414E9">
        <w:rPr>
          <w:rFonts w:eastAsia="DengXian" w:cs="Times New Roman"/>
          <w:noProof/>
          <w:lang w:eastAsia="zh-CN"/>
        </w:rPr>
        <w:t>(4), 411–428. https://doi.org/10.1007/s10683-006-9144-y</w:t>
      </w:r>
    </w:p>
    <w:p w14:paraId="034F70FF" w14:textId="55E384A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lastRenderedPageBreak/>
        <w:t xml:space="preserve">Krupp, D., DeBruine, l., &amp; Barclay, P. (2008). A cue of kinship promotes cooperation for the public good. </w:t>
      </w:r>
      <w:r w:rsidRPr="002414E9">
        <w:rPr>
          <w:rFonts w:eastAsia="DengXian" w:cs="Times New Roman"/>
          <w:i/>
          <w:iCs/>
          <w:noProof/>
          <w:lang w:eastAsia="zh-CN"/>
        </w:rPr>
        <w:t>Evolution and Human Behavior</w:t>
      </w:r>
      <w:r w:rsidRPr="002414E9">
        <w:rPr>
          <w:rFonts w:eastAsia="DengXian" w:cs="Times New Roman"/>
          <w:noProof/>
          <w:lang w:eastAsia="zh-CN"/>
        </w:rPr>
        <w:t xml:space="preserve">, </w:t>
      </w:r>
      <w:r w:rsidRPr="002414E9">
        <w:rPr>
          <w:rFonts w:eastAsia="DengXian" w:cs="Times New Roman"/>
          <w:i/>
          <w:iCs/>
          <w:noProof/>
          <w:lang w:eastAsia="zh-CN"/>
        </w:rPr>
        <w:t>29</w:t>
      </w:r>
      <w:r w:rsidRPr="002414E9">
        <w:rPr>
          <w:rFonts w:eastAsia="DengXian" w:cs="Times New Roman"/>
          <w:noProof/>
          <w:lang w:eastAsia="zh-CN"/>
        </w:rPr>
        <w:t>(1), 49–55. https://doi.org/10.1016/j.evolhumbehav.2007.08.002</w:t>
      </w:r>
    </w:p>
    <w:p w14:paraId="19AE862F" w14:textId="73869F4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Kuběna, A. A., Houdek, P., Lindová, J., Příplatová, L., &amp; Flegr, J. (2014). Justine effect: Punishment of the unduly self-sacrificing cooperative individuals. </w:t>
      </w:r>
      <w:r w:rsidRPr="002414E9">
        <w:rPr>
          <w:rFonts w:eastAsia="DengXian" w:cs="Times New Roman"/>
          <w:i/>
          <w:iCs/>
          <w:noProof/>
          <w:lang w:eastAsia="zh-CN"/>
        </w:rPr>
        <w:t>PLoS ONE</w:t>
      </w:r>
      <w:r w:rsidRPr="002414E9">
        <w:rPr>
          <w:rFonts w:eastAsia="DengXian" w:cs="Times New Roman"/>
          <w:noProof/>
          <w:lang w:eastAsia="zh-CN"/>
        </w:rPr>
        <w:t xml:space="preserve">, </w:t>
      </w:r>
      <w:r w:rsidRPr="002414E9">
        <w:rPr>
          <w:rFonts w:eastAsia="DengXian" w:cs="Times New Roman"/>
          <w:i/>
          <w:iCs/>
          <w:noProof/>
          <w:lang w:eastAsia="zh-CN"/>
        </w:rPr>
        <w:t>9</w:t>
      </w:r>
      <w:r w:rsidRPr="002414E9">
        <w:rPr>
          <w:rFonts w:eastAsia="DengXian" w:cs="Times New Roman"/>
          <w:noProof/>
          <w:lang w:eastAsia="zh-CN"/>
        </w:rPr>
        <w:t>(3), e92336. https://doi.org/10.1371/journal.pone.0092336</w:t>
      </w:r>
    </w:p>
    <w:p w14:paraId="575E7E9C" w14:textId="582211D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Kugler, T., Rapoport, A., &amp; Pazy, A. (2009). Public good provision in inter-team conflicts: Effects of asymmetry and profit-sharing rule. </w:t>
      </w:r>
      <w:r w:rsidRPr="002414E9">
        <w:rPr>
          <w:rFonts w:eastAsia="DengXian" w:cs="Times New Roman"/>
          <w:i/>
          <w:iCs/>
          <w:noProof/>
          <w:lang w:eastAsia="zh-CN"/>
        </w:rPr>
        <w:t>Journal of Behavioral Decision Making, 23</w:t>
      </w:r>
      <w:r w:rsidRPr="002414E9">
        <w:rPr>
          <w:rFonts w:eastAsia="DengXian" w:cs="Times New Roman"/>
          <w:noProof/>
          <w:lang w:eastAsia="zh-CN"/>
        </w:rPr>
        <w:t>(4), 421–438. https://doi.org/10.1002/bdm.667</w:t>
      </w:r>
    </w:p>
    <w:p w14:paraId="5F2C06BA" w14:textId="6A6C8361"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Kuhlman, D. M., &amp; Marshello, A. F. (1975). </w:t>
      </w:r>
      <w:r w:rsidRPr="002414E9">
        <w:rPr>
          <w:rFonts w:eastAsia="DengXian" w:cs="Times New Roman"/>
          <w:bCs/>
          <w:noProof/>
          <w:lang w:eastAsia="zh-CN"/>
        </w:rPr>
        <w:t xml:space="preserve">Individual differences in game motivation as moderators of preprogrammed strategy effects in prisoner's dilemma. </w:t>
      </w:r>
      <w:r w:rsidRPr="002414E9">
        <w:rPr>
          <w:rFonts w:eastAsia="DengXian" w:cs="Times New Roman"/>
          <w:bCs/>
          <w:i/>
          <w:iCs/>
          <w:noProof/>
          <w:lang w:eastAsia="zh-CN"/>
        </w:rPr>
        <w:t>Journal of Personality and Social Psychology, 32</w:t>
      </w:r>
      <w:r w:rsidRPr="002414E9">
        <w:rPr>
          <w:rFonts w:eastAsia="DengXian" w:cs="Times New Roman"/>
          <w:bCs/>
          <w:noProof/>
          <w:lang w:eastAsia="zh-CN"/>
        </w:rPr>
        <w:t>(5), 922–931. https://doi.org/10.1037/0022-3514.32.5.922</w:t>
      </w:r>
    </w:p>
    <w:p w14:paraId="370B0887" w14:textId="4E255AF4"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Kuhlman, D. M., &amp; Wimberley, D. L. (1976). </w:t>
      </w:r>
      <w:r w:rsidRPr="002414E9">
        <w:rPr>
          <w:rFonts w:eastAsia="DengXian" w:cs="Times New Roman"/>
          <w:bCs/>
          <w:noProof/>
          <w:lang w:eastAsia="zh-CN"/>
        </w:rPr>
        <w:t xml:space="preserve">Expectations of choice behavior held by cooperators, competitors, and individualists across four classes of experimental games. </w:t>
      </w:r>
      <w:r w:rsidRPr="002414E9">
        <w:rPr>
          <w:rFonts w:eastAsia="DengXian" w:cs="Times New Roman"/>
          <w:bCs/>
          <w:i/>
          <w:iCs/>
          <w:noProof/>
          <w:lang w:eastAsia="zh-CN"/>
        </w:rPr>
        <w:t>Journal of Personality and Social Psychology, 34</w:t>
      </w:r>
      <w:r w:rsidRPr="002414E9">
        <w:rPr>
          <w:rFonts w:eastAsia="DengXian" w:cs="Times New Roman"/>
          <w:bCs/>
          <w:noProof/>
          <w:lang w:eastAsia="zh-CN"/>
        </w:rPr>
        <w:t>(1), 69–81. https://doi.org/10.1037/0022-3514.34.1.69</w:t>
      </w:r>
    </w:p>
    <w:p w14:paraId="3D52FFA8" w14:textId="0A1F213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Kumar, P., &amp; Kant, S. (2016). Revealed social preferences and joint forest management outcomes. </w:t>
      </w:r>
      <w:r w:rsidRPr="002414E9">
        <w:rPr>
          <w:rFonts w:eastAsia="DengXian" w:cs="Times New Roman"/>
          <w:i/>
          <w:iCs/>
          <w:noProof/>
          <w:lang w:eastAsia="zh-CN"/>
        </w:rPr>
        <w:t>Forest Policy and Economics</w:t>
      </w:r>
      <w:r w:rsidRPr="002414E9">
        <w:rPr>
          <w:rFonts w:eastAsia="DengXian" w:cs="Times New Roman"/>
          <w:noProof/>
          <w:lang w:eastAsia="zh-CN"/>
        </w:rPr>
        <w:t xml:space="preserve">, </w:t>
      </w:r>
      <w:r w:rsidRPr="002414E9">
        <w:rPr>
          <w:rFonts w:eastAsia="DengXian" w:cs="Times New Roman"/>
          <w:i/>
          <w:iCs/>
          <w:noProof/>
          <w:lang w:eastAsia="zh-CN"/>
        </w:rPr>
        <w:t>72</w:t>
      </w:r>
      <w:r w:rsidRPr="002414E9">
        <w:rPr>
          <w:rFonts w:eastAsia="DengXian" w:cs="Times New Roman"/>
          <w:noProof/>
          <w:lang w:eastAsia="zh-CN"/>
        </w:rPr>
        <w:t>, 37–45. https://doi.org/10.1016/j.forpol.2016.06.013</w:t>
      </w:r>
    </w:p>
    <w:p w14:paraId="342696FD" w14:textId="43C3C83C" w:rsidR="002414E9" w:rsidRPr="002414E9" w:rsidRDefault="002414E9" w:rsidP="002414E9">
      <w:pPr>
        <w:widowControl w:val="0"/>
        <w:autoSpaceDE w:val="0"/>
        <w:autoSpaceDN w:val="0"/>
        <w:adjustRightInd w:val="0"/>
        <w:ind w:left="709" w:hanging="709"/>
        <w:rPr>
          <w:rFonts w:eastAsia="DengXian" w:cs="Times New Roman"/>
          <w:bCs/>
          <w:noProof/>
          <w:u w:val="single"/>
          <w:lang w:eastAsia="zh-CN"/>
        </w:rPr>
      </w:pPr>
      <w:r w:rsidRPr="002414E9">
        <w:rPr>
          <w:rFonts w:eastAsia="DengXian" w:cs="Times New Roman"/>
          <w:bCs/>
          <w:noProof/>
          <w:lang w:val="de-DE" w:eastAsia="zh-CN"/>
        </w:rPr>
        <w:t xml:space="preserve">Kümmerli, R., Colliard, C., Fiechter, N., Petitpierre, B., Russier, F., &amp; Keller, L. (2007). </w:t>
      </w:r>
      <w:r w:rsidRPr="002414E9">
        <w:rPr>
          <w:rFonts w:eastAsia="DengXian" w:cs="Times New Roman"/>
          <w:bCs/>
          <w:noProof/>
          <w:lang w:eastAsia="zh-CN"/>
        </w:rPr>
        <w:t xml:space="preserve">Human cooperation in social dilemmas: comparing the snowdrift game with the prisoner's dilemma. </w:t>
      </w:r>
      <w:r w:rsidRPr="002414E9">
        <w:rPr>
          <w:rFonts w:eastAsia="DengXian" w:cs="Times New Roman"/>
          <w:bCs/>
          <w:i/>
          <w:iCs/>
          <w:noProof/>
          <w:lang w:eastAsia="zh-CN"/>
        </w:rPr>
        <w:t>Proceedings of the Royal Society B: Biological Sciences</w:t>
      </w:r>
      <w:r w:rsidRPr="002414E9">
        <w:rPr>
          <w:rFonts w:eastAsia="DengXian" w:cs="Times New Roman"/>
          <w:bCs/>
          <w:noProof/>
          <w:lang w:eastAsia="zh-CN"/>
        </w:rPr>
        <w:t xml:space="preserve">, </w:t>
      </w:r>
      <w:r w:rsidRPr="002414E9">
        <w:rPr>
          <w:rFonts w:eastAsia="DengXian" w:cs="Times New Roman"/>
          <w:bCs/>
          <w:i/>
          <w:iCs/>
          <w:noProof/>
          <w:lang w:eastAsia="zh-CN"/>
        </w:rPr>
        <w:t>274</w:t>
      </w:r>
      <w:r w:rsidRPr="002414E9">
        <w:rPr>
          <w:rFonts w:eastAsia="DengXian" w:cs="Times New Roman"/>
          <w:bCs/>
          <w:noProof/>
          <w:lang w:eastAsia="zh-CN"/>
        </w:rPr>
        <w:t>(1628), 2965–</w:t>
      </w:r>
      <w:r w:rsidRPr="002414E9">
        <w:rPr>
          <w:rFonts w:eastAsia="DengXian" w:cs="Times New Roman"/>
          <w:bCs/>
          <w:noProof/>
          <w:lang w:eastAsia="zh-CN"/>
        </w:rPr>
        <w:lastRenderedPageBreak/>
        <w:t>2970. https://doi.org/10.1098/rspb.2007.0793</w:t>
      </w:r>
    </w:p>
    <w:p w14:paraId="477B4246" w14:textId="48E56EB4"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Kumru, C. S., &amp; Vesterlund, L. (2010). </w:t>
      </w:r>
      <w:r w:rsidRPr="002414E9">
        <w:rPr>
          <w:rFonts w:eastAsia="DengXian" w:cs="Times New Roman"/>
          <w:bCs/>
          <w:noProof/>
          <w:lang w:eastAsia="zh-CN"/>
        </w:rPr>
        <w:t xml:space="preserve">The effect of status on charitable giving. </w:t>
      </w:r>
      <w:r w:rsidRPr="002414E9">
        <w:rPr>
          <w:rFonts w:eastAsia="DengXian" w:cs="Times New Roman"/>
          <w:bCs/>
          <w:i/>
          <w:iCs/>
          <w:noProof/>
          <w:lang w:eastAsia="zh-CN"/>
        </w:rPr>
        <w:t>Journal of Public Economic Theory</w:t>
      </w:r>
      <w:r w:rsidRPr="002414E9">
        <w:rPr>
          <w:rFonts w:eastAsia="DengXian" w:cs="Times New Roman"/>
          <w:bCs/>
          <w:noProof/>
          <w:lang w:eastAsia="zh-CN"/>
        </w:rPr>
        <w:t xml:space="preserve">, </w:t>
      </w:r>
      <w:r w:rsidRPr="002414E9">
        <w:rPr>
          <w:rFonts w:eastAsia="DengXian" w:cs="Times New Roman"/>
          <w:bCs/>
          <w:i/>
          <w:iCs/>
          <w:noProof/>
          <w:lang w:eastAsia="zh-CN"/>
        </w:rPr>
        <w:t>12</w:t>
      </w:r>
      <w:r w:rsidRPr="002414E9">
        <w:rPr>
          <w:rFonts w:eastAsia="DengXian" w:cs="Times New Roman"/>
          <w:bCs/>
          <w:noProof/>
          <w:lang w:eastAsia="zh-CN"/>
        </w:rPr>
        <w:t>(4), 709–735. https://doi.org/10.1111/j.1467-9779.2010.01471.x</w:t>
      </w:r>
    </w:p>
    <w:p w14:paraId="5EAA5384" w14:textId="24D4BF1E"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Kunreuther, H., Silvasi, G., Bradlow, E., &amp; Small, D. (2009). Bayesian analysis of deterministic and stochastic prisoner's dilemma games. </w:t>
      </w:r>
      <w:r w:rsidRPr="002414E9">
        <w:rPr>
          <w:rFonts w:eastAsia="DengXian" w:cs="Times New Roman"/>
          <w:bCs/>
          <w:i/>
          <w:iCs/>
          <w:noProof/>
          <w:lang w:eastAsia="zh-CN"/>
        </w:rPr>
        <w:t>Judgment and Decision Making</w:t>
      </w:r>
      <w:r w:rsidRPr="002414E9">
        <w:rPr>
          <w:rFonts w:eastAsia="DengXian" w:cs="Times New Roman"/>
          <w:bCs/>
          <w:noProof/>
          <w:lang w:eastAsia="zh-CN"/>
        </w:rPr>
        <w:t xml:space="preserve">, </w:t>
      </w:r>
      <w:r w:rsidRPr="002414E9">
        <w:rPr>
          <w:rFonts w:eastAsia="DengXian" w:cs="Times New Roman"/>
          <w:bCs/>
          <w:i/>
          <w:iCs/>
          <w:noProof/>
          <w:lang w:eastAsia="zh-CN"/>
        </w:rPr>
        <w:t>4</w:t>
      </w:r>
      <w:r w:rsidRPr="002414E9">
        <w:rPr>
          <w:rFonts w:eastAsia="DengXian" w:cs="Times New Roman"/>
          <w:bCs/>
          <w:noProof/>
          <w:lang w:eastAsia="zh-CN"/>
        </w:rPr>
        <w:t xml:space="preserve">(5), 363–384. </w:t>
      </w:r>
      <w:bookmarkStart w:id="74" w:name="_Hlk54118567"/>
      <w:r w:rsidRPr="002414E9">
        <w:rPr>
          <w:rFonts w:eastAsia="DengXian" w:cs="Times New Roman"/>
          <w:bCs/>
          <w:noProof/>
          <w:lang w:eastAsia="zh-CN"/>
        </w:rPr>
        <w:t>Retrieved from</w:t>
      </w:r>
      <w:bookmarkEnd w:id="74"/>
      <w:r w:rsidRPr="002414E9">
        <w:rPr>
          <w:rFonts w:eastAsia="DengXian" w:cs="Times New Roman"/>
          <w:bCs/>
          <w:noProof/>
          <w:lang w:eastAsia="zh-CN"/>
        </w:rPr>
        <w:t xml:space="preserve"> https://repository.upenn.edu/oid_papers/254</w:t>
      </w:r>
    </w:p>
    <w:p w14:paraId="4752D1DC" w14:textId="10B49F9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Kurzban, R. (2001). The social psychophysics of cooperation: Nonverbal communication in a public goods game. </w:t>
      </w:r>
      <w:r w:rsidRPr="002414E9">
        <w:rPr>
          <w:rFonts w:eastAsia="DengXian" w:cs="Times New Roman"/>
          <w:i/>
          <w:iCs/>
          <w:noProof/>
          <w:lang w:eastAsia="zh-CN"/>
        </w:rPr>
        <w:t>Journal of Nonverbal Behavior</w:t>
      </w:r>
      <w:r w:rsidRPr="002414E9">
        <w:rPr>
          <w:rFonts w:eastAsia="DengXian" w:cs="Times New Roman"/>
          <w:noProof/>
          <w:lang w:eastAsia="zh-CN"/>
        </w:rPr>
        <w:t xml:space="preserve">, </w:t>
      </w:r>
      <w:r w:rsidRPr="002414E9">
        <w:rPr>
          <w:rFonts w:eastAsia="DengXian" w:cs="Times New Roman"/>
          <w:i/>
          <w:iCs/>
          <w:noProof/>
          <w:lang w:eastAsia="zh-CN"/>
        </w:rPr>
        <w:t>25</w:t>
      </w:r>
      <w:r w:rsidRPr="002414E9">
        <w:rPr>
          <w:rFonts w:eastAsia="DengXian" w:cs="Times New Roman"/>
          <w:noProof/>
          <w:lang w:eastAsia="zh-CN"/>
        </w:rPr>
        <w:t>(4), 241–259. https://doi.org/10.1023/A:1012563421824</w:t>
      </w:r>
    </w:p>
    <w:p w14:paraId="4F49B5C5" w14:textId="2750D9D9"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Kurzban, R., DeScioli, P., &amp; O'Brien, E. (2007). Audience effects on moralistic punishment. </w:t>
      </w:r>
      <w:r w:rsidRPr="002414E9">
        <w:rPr>
          <w:rFonts w:eastAsia="DengXian" w:cs="Times New Roman"/>
          <w:bCs/>
          <w:i/>
          <w:iCs/>
          <w:noProof/>
          <w:lang w:eastAsia="zh-CN"/>
        </w:rPr>
        <w:t>Evolution and Human Behavior</w:t>
      </w:r>
      <w:r w:rsidRPr="002414E9">
        <w:rPr>
          <w:rFonts w:eastAsia="DengXian" w:cs="Times New Roman"/>
          <w:bCs/>
          <w:noProof/>
          <w:lang w:eastAsia="zh-CN"/>
        </w:rPr>
        <w:t xml:space="preserve">, </w:t>
      </w:r>
      <w:r w:rsidRPr="002414E9">
        <w:rPr>
          <w:rFonts w:eastAsia="DengXian" w:cs="Times New Roman"/>
          <w:bCs/>
          <w:i/>
          <w:iCs/>
          <w:noProof/>
          <w:lang w:eastAsia="zh-CN"/>
        </w:rPr>
        <w:t>28</w:t>
      </w:r>
      <w:r w:rsidRPr="002414E9">
        <w:rPr>
          <w:rFonts w:eastAsia="DengXian" w:cs="Times New Roman"/>
          <w:bCs/>
          <w:noProof/>
          <w:lang w:eastAsia="zh-CN"/>
        </w:rPr>
        <w:t xml:space="preserve">(2), 75–84. </w:t>
      </w:r>
      <w:bookmarkStart w:id="75" w:name="_Hlk54080442"/>
      <w:r w:rsidRPr="002414E9">
        <w:rPr>
          <w:rFonts w:eastAsia="DengXian" w:cs="Times New Roman"/>
          <w:bCs/>
          <w:noProof/>
          <w:lang w:eastAsia="zh-CN"/>
        </w:rPr>
        <w:t>https://doi.org/</w:t>
      </w:r>
      <w:bookmarkEnd w:id="75"/>
      <w:r w:rsidRPr="002414E9">
        <w:rPr>
          <w:rFonts w:eastAsia="DengXian" w:cs="Times New Roman"/>
          <w:bCs/>
          <w:noProof/>
          <w:lang w:eastAsia="zh-CN"/>
        </w:rPr>
        <w:t>10.1016/j.evolhumbehav.2006.06.001</w:t>
      </w:r>
    </w:p>
    <w:p w14:paraId="7A0CA819" w14:textId="14D52B4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Kuwabara, K., &amp; Yu, S. (2017). Costly punishment increases prosocial punishment by designated punishers: Power and legitimacy in Public Goods Games. </w:t>
      </w:r>
      <w:r w:rsidRPr="002414E9">
        <w:rPr>
          <w:rFonts w:eastAsia="DengXian" w:cs="Times New Roman"/>
          <w:i/>
          <w:iCs/>
          <w:noProof/>
          <w:lang w:eastAsia="zh-CN"/>
        </w:rPr>
        <w:t>Social Psychology Quarterly</w:t>
      </w:r>
      <w:r w:rsidRPr="002414E9">
        <w:rPr>
          <w:rFonts w:eastAsia="DengXian" w:cs="Times New Roman"/>
          <w:noProof/>
          <w:lang w:eastAsia="zh-CN"/>
        </w:rPr>
        <w:t xml:space="preserve">, </w:t>
      </w:r>
      <w:r w:rsidRPr="002414E9">
        <w:rPr>
          <w:rFonts w:eastAsia="DengXian" w:cs="Times New Roman"/>
          <w:i/>
          <w:iCs/>
          <w:noProof/>
          <w:lang w:eastAsia="zh-CN"/>
        </w:rPr>
        <w:t>80</w:t>
      </w:r>
      <w:r w:rsidRPr="002414E9">
        <w:rPr>
          <w:rFonts w:eastAsia="DengXian" w:cs="Times New Roman"/>
          <w:noProof/>
          <w:lang w:eastAsia="zh-CN"/>
        </w:rPr>
        <w:t>(2), 174–193. https://doi.org/10.1177/0190272517703750</w:t>
      </w:r>
    </w:p>
    <w:p w14:paraId="5299B513" w14:textId="50EA2985"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it-IT" w:eastAsia="zh-CN"/>
        </w:rPr>
        <w:t xml:space="preserve">La Barbera, F., &amp; Ferrara, P. C. (2012). </w:t>
      </w:r>
      <w:r w:rsidRPr="002414E9">
        <w:rPr>
          <w:rFonts w:eastAsia="DengXian" w:cs="Times New Roman"/>
          <w:bCs/>
          <w:noProof/>
          <w:lang w:eastAsia="zh-CN"/>
        </w:rPr>
        <w:t xml:space="preserve">Being European in a social dilemma: The effect of European identity on cooperation. </w:t>
      </w:r>
      <w:r w:rsidRPr="002414E9">
        <w:rPr>
          <w:rFonts w:eastAsia="DengXian" w:cs="Times New Roman"/>
          <w:bCs/>
          <w:i/>
          <w:iCs/>
          <w:noProof/>
          <w:lang w:eastAsia="zh-CN"/>
        </w:rPr>
        <w:t>TPM: Testing, Psychometrics, Methodology in Applied Psychology</w:t>
      </w:r>
      <w:r w:rsidRPr="002414E9">
        <w:rPr>
          <w:rFonts w:eastAsia="DengXian" w:cs="Times New Roman"/>
          <w:bCs/>
          <w:noProof/>
          <w:lang w:eastAsia="zh-CN"/>
        </w:rPr>
        <w:t xml:space="preserve">, </w:t>
      </w:r>
      <w:r w:rsidRPr="002414E9">
        <w:rPr>
          <w:rFonts w:eastAsia="DengXian" w:cs="Times New Roman"/>
          <w:bCs/>
          <w:i/>
          <w:iCs/>
          <w:noProof/>
          <w:lang w:eastAsia="zh-CN"/>
        </w:rPr>
        <w:t>19</w:t>
      </w:r>
      <w:r w:rsidRPr="002414E9">
        <w:rPr>
          <w:rFonts w:eastAsia="DengXian" w:cs="Times New Roman"/>
          <w:bCs/>
          <w:noProof/>
          <w:lang w:eastAsia="zh-CN"/>
        </w:rPr>
        <w:t xml:space="preserve">(3), 165–175. https://doi.org/10.4473/TPM19.3.2 </w:t>
      </w:r>
    </w:p>
    <w:p w14:paraId="6DC48C9D" w14:textId="4247AE4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La Barbera, F., Cariota Ferrara, P., &amp; Boza, M. (2014). </w:t>
      </w:r>
      <w:r w:rsidRPr="002414E9">
        <w:rPr>
          <w:rFonts w:eastAsia="DengXian" w:cs="Times New Roman"/>
          <w:noProof/>
          <w:lang w:eastAsia="zh-CN"/>
        </w:rPr>
        <w:t xml:space="preserve">Where are we coming from versus who we will become: The effect of priming different contents of European identity on cooperation. </w:t>
      </w:r>
      <w:r w:rsidRPr="002414E9">
        <w:rPr>
          <w:rFonts w:eastAsia="DengXian" w:cs="Times New Roman"/>
          <w:i/>
          <w:iCs/>
          <w:noProof/>
          <w:lang w:eastAsia="zh-CN"/>
        </w:rPr>
        <w:t>International Journal of Psychology</w:t>
      </w:r>
      <w:r w:rsidRPr="002414E9">
        <w:rPr>
          <w:rFonts w:eastAsia="DengXian" w:cs="Times New Roman"/>
          <w:noProof/>
          <w:lang w:eastAsia="zh-CN"/>
        </w:rPr>
        <w:t xml:space="preserve">, </w:t>
      </w:r>
      <w:r w:rsidRPr="002414E9">
        <w:rPr>
          <w:rFonts w:eastAsia="DengXian" w:cs="Times New Roman"/>
          <w:i/>
          <w:iCs/>
          <w:noProof/>
          <w:lang w:eastAsia="zh-CN"/>
        </w:rPr>
        <w:t>49</w:t>
      </w:r>
      <w:r w:rsidRPr="002414E9">
        <w:rPr>
          <w:rFonts w:eastAsia="DengXian" w:cs="Times New Roman"/>
          <w:noProof/>
          <w:lang w:eastAsia="zh-CN"/>
        </w:rPr>
        <w:t>(6), 480–487. https://doi.org/10.1002/ijop.12073</w:t>
      </w:r>
    </w:p>
    <w:p w14:paraId="285366C3" w14:textId="7BD6F72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lastRenderedPageBreak/>
        <w:t xml:space="preserve">Lamba, S., &amp; Mace, R. (2011). Demography and ecology drive variation in cooperation across human populations. </w:t>
      </w:r>
      <w:r w:rsidRPr="002414E9">
        <w:rPr>
          <w:rFonts w:eastAsia="DengXian" w:cs="Times New Roman"/>
          <w:i/>
          <w:iCs/>
          <w:noProof/>
          <w:lang w:eastAsia="zh-CN"/>
        </w:rPr>
        <w:t>Proceedings of the National Academy of Sciences</w:t>
      </w:r>
      <w:r w:rsidRPr="002414E9">
        <w:rPr>
          <w:rFonts w:eastAsia="DengXian" w:cs="Times New Roman"/>
          <w:noProof/>
          <w:lang w:eastAsia="zh-CN"/>
        </w:rPr>
        <w:t xml:space="preserve">, </w:t>
      </w:r>
      <w:r w:rsidRPr="002414E9">
        <w:rPr>
          <w:rFonts w:eastAsia="DengXian" w:cs="Times New Roman"/>
          <w:i/>
          <w:iCs/>
          <w:noProof/>
          <w:lang w:eastAsia="zh-CN"/>
        </w:rPr>
        <w:t>108</w:t>
      </w:r>
      <w:r w:rsidRPr="002414E9">
        <w:rPr>
          <w:rFonts w:eastAsia="DengXian" w:cs="Times New Roman"/>
          <w:noProof/>
          <w:lang w:eastAsia="zh-CN"/>
        </w:rPr>
        <w:t>(35), 14426–14430. https://doi.org/10.1073/pnas.1105186108</w:t>
      </w:r>
    </w:p>
    <w:p w14:paraId="229A06E8" w14:textId="4F3454B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Lamba, Shakti. (2014). Social learning in cooperative dilemmas. </w:t>
      </w:r>
      <w:r w:rsidRPr="002414E9">
        <w:rPr>
          <w:rFonts w:eastAsia="DengXian" w:cs="Times New Roman"/>
          <w:i/>
          <w:iCs/>
          <w:noProof/>
          <w:lang w:eastAsia="zh-CN"/>
        </w:rPr>
        <w:t>Proceedings of the Royal Society B: Biological Sciences</w:t>
      </w:r>
      <w:r w:rsidRPr="002414E9">
        <w:rPr>
          <w:rFonts w:eastAsia="DengXian" w:cs="Times New Roman"/>
          <w:noProof/>
          <w:lang w:eastAsia="zh-CN"/>
        </w:rPr>
        <w:t xml:space="preserve">, </w:t>
      </w:r>
      <w:r w:rsidRPr="002414E9">
        <w:rPr>
          <w:rFonts w:eastAsia="DengXian" w:cs="Times New Roman"/>
          <w:i/>
          <w:iCs/>
          <w:noProof/>
          <w:lang w:eastAsia="zh-CN"/>
        </w:rPr>
        <w:t>281</w:t>
      </w:r>
      <w:r w:rsidRPr="002414E9">
        <w:rPr>
          <w:rFonts w:eastAsia="DengXian" w:cs="Times New Roman"/>
          <w:noProof/>
          <w:lang w:eastAsia="zh-CN"/>
        </w:rPr>
        <w:t>, 20140417. https://doi.org/10.1098/rspb.2014.0417</w:t>
      </w:r>
    </w:p>
    <w:p w14:paraId="0A07B160" w14:textId="25A3513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Lange, A., List, J. A., &amp; Price, M. K. (2007). A fundraising mechanism inspired by historical tontines: Theory and experimental evidence.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91</w:t>
      </w:r>
      <w:r w:rsidRPr="002414E9">
        <w:rPr>
          <w:rFonts w:eastAsia="DengXian" w:cs="Times New Roman"/>
          <w:noProof/>
          <w:lang w:eastAsia="zh-CN"/>
        </w:rPr>
        <w:t>(9), 1750–1782. https://doi.org/10.1016/j.jpubeco.2007.05.001</w:t>
      </w:r>
    </w:p>
    <w:p w14:paraId="642C611A" w14:textId="056E94A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Laury, S. K., &amp; Taylor, L. O. (2008). Altruism spillovers: Are behaviors in context-free experiments predictive of altruism toward a naturally occurring public good?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65</w:t>
      </w:r>
      <w:r w:rsidRPr="002414E9">
        <w:rPr>
          <w:rFonts w:eastAsia="DengXian" w:cs="Times New Roman"/>
          <w:noProof/>
          <w:lang w:eastAsia="zh-CN"/>
        </w:rPr>
        <w:t>(1), 9–29. https://doi.org/10.1016/j.jebo.2005.05.011</w:t>
      </w:r>
    </w:p>
    <w:p w14:paraId="15960940" w14:textId="4D9722C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Laury, S. K., Walker, J. M., &amp; Williams, A. W. (1995). Anonymity and the voluntary provision of public goods.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27</w:t>
      </w:r>
      <w:r w:rsidRPr="002414E9">
        <w:rPr>
          <w:rFonts w:eastAsia="DengXian" w:cs="Times New Roman"/>
          <w:noProof/>
          <w:lang w:eastAsia="zh-CN"/>
        </w:rPr>
        <w:t>(3), 365–380. https://doi.org/10.1016/0167-2681(94)00073-N</w:t>
      </w:r>
    </w:p>
    <w:p w14:paraId="37ED97D2" w14:textId="313BC9EA"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Lawler, E. J., &amp; Yoon, J. (1996). Commitment in exchange relations: Test of a theory of relational cohesion. </w:t>
      </w:r>
      <w:r w:rsidRPr="002414E9">
        <w:rPr>
          <w:rFonts w:eastAsia="DengXian" w:cs="Times New Roman"/>
          <w:bCs/>
          <w:i/>
          <w:iCs/>
          <w:noProof/>
          <w:lang w:eastAsia="zh-CN"/>
        </w:rPr>
        <w:t>American Sociological Review</w:t>
      </w:r>
      <w:r w:rsidRPr="002414E9">
        <w:rPr>
          <w:rFonts w:eastAsia="DengXian" w:cs="Times New Roman"/>
          <w:bCs/>
          <w:noProof/>
          <w:lang w:eastAsia="zh-CN"/>
        </w:rPr>
        <w:t xml:space="preserve">, </w:t>
      </w:r>
      <w:r w:rsidRPr="002414E9">
        <w:rPr>
          <w:rFonts w:eastAsia="DengXian" w:cs="Times New Roman"/>
          <w:bCs/>
          <w:i/>
          <w:iCs/>
          <w:noProof/>
          <w:lang w:eastAsia="zh-CN"/>
        </w:rPr>
        <w:t>61</w:t>
      </w:r>
      <w:r w:rsidRPr="002414E9">
        <w:rPr>
          <w:rFonts w:eastAsia="DengXian" w:cs="Times New Roman"/>
          <w:bCs/>
          <w:noProof/>
          <w:lang w:eastAsia="zh-CN"/>
        </w:rPr>
        <w:t>(1), 89–108. https://doi.org/10.2307/2096408</w:t>
      </w:r>
    </w:p>
    <w:p w14:paraId="30E61647" w14:textId="5DBDF1F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Lawler, E. J., Thye, S. R., &amp; Yoon, J. (2000). Emotion and group cohesion in productive exchange. </w:t>
      </w:r>
      <w:r w:rsidRPr="002414E9">
        <w:rPr>
          <w:rFonts w:eastAsia="DengXian" w:cs="Times New Roman"/>
          <w:i/>
          <w:iCs/>
          <w:noProof/>
          <w:lang w:eastAsia="zh-CN"/>
        </w:rPr>
        <w:t>American Journal of Sociology</w:t>
      </w:r>
      <w:r w:rsidRPr="002414E9">
        <w:rPr>
          <w:rFonts w:eastAsia="DengXian" w:cs="Times New Roman"/>
          <w:noProof/>
          <w:lang w:eastAsia="zh-CN"/>
        </w:rPr>
        <w:t xml:space="preserve">, </w:t>
      </w:r>
      <w:r w:rsidRPr="002414E9">
        <w:rPr>
          <w:rFonts w:eastAsia="DengXian" w:cs="Times New Roman"/>
          <w:i/>
          <w:iCs/>
          <w:noProof/>
          <w:lang w:eastAsia="zh-CN"/>
        </w:rPr>
        <w:t>106</w:t>
      </w:r>
      <w:r w:rsidRPr="002414E9">
        <w:rPr>
          <w:rFonts w:eastAsia="DengXian" w:cs="Times New Roman"/>
          <w:noProof/>
          <w:lang w:eastAsia="zh-CN"/>
        </w:rPr>
        <w:t>(3), 616–657. https://doi.org/10.1086/318965</w:t>
      </w:r>
    </w:p>
    <w:p w14:paraId="189A3022" w14:textId="3DDB3F1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Leibbrandt, A., &amp; Sääksvuori, L. (2012). Communication in intergroup conflicts. </w:t>
      </w:r>
      <w:r w:rsidRPr="002414E9">
        <w:rPr>
          <w:rFonts w:eastAsia="DengXian" w:cs="Times New Roman"/>
          <w:i/>
          <w:iCs/>
          <w:noProof/>
          <w:lang w:eastAsia="zh-CN"/>
        </w:rPr>
        <w:t>European Economic Review</w:t>
      </w:r>
      <w:r w:rsidRPr="002414E9">
        <w:rPr>
          <w:rFonts w:eastAsia="DengXian" w:cs="Times New Roman"/>
          <w:noProof/>
          <w:lang w:eastAsia="zh-CN"/>
        </w:rPr>
        <w:t xml:space="preserve">, </w:t>
      </w:r>
      <w:r w:rsidRPr="002414E9">
        <w:rPr>
          <w:rFonts w:eastAsia="DengXian" w:cs="Times New Roman"/>
          <w:i/>
          <w:iCs/>
          <w:noProof/>
          <w:lang w:eastAsia="zh-CN"/>
        </w:rPr>
        <w:t>56</w:t>
      </w:r>
      <w:r w:rsidRPr="002414E9">
        <w:rPr>
          <w:rFonts w:eastAsia="DengXian" w:cs="Times New Roman"/>
          <w:noProof/>
          <w:lang w:eastAsia="zh-CN"/>
        </w:rPr>
        <w:t>(6), 1136–1147. https://doi.org/10.1016/j.euroecorev.2012.05.003</w:t>
      </w:r>
    </w:p>
    <w:p w14:paraId="6E355766" w14:textId="4561490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lastRenderedPageBreak/>
        <w:t xml:space="preserve">Leibbrandt, A., Ramalingam, A., Sääksvuori, L., &amp; Walker, J. M. (2015). Incomplete punishment networks in public goods games: Experimental evidence.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18</w:t>
      </w:r>
      <w:r w:rsidRPr="002414E9">
        <w:rPr>
          <w:rFonts w:eastAsia="DengXian" w:cs="Times New Roman"/>
          <w:noProof/>
          <w:lang w:eastAsia="zh-CN"/>
        </w:rPr>
        <w:t>(1), 15–37. https://doi.org/10.1007/s10683-014-9402-3</w:t>
      </w:r>
    </w:p>
    <w:p w14:paraId="0F66D619" w14:textId="1C947E57"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Leite, F. P. (2011). Larger reward values alone are not enough to entice more cooperation. </w:t>
      </w:r>
      <w:r w:rsidRPr="002414E9">
        <w:rPr>
          <w:rFonts w:eastAsia="DengXian" w:cs="Times New Roman"/>
          <w:bCs/>
          <w:i/>
          <w:iCs/>
          <w:noProof/>
          <w:lang w:eastAsia="zh-CN"/>
        </w:rPr>
        <w:t>Thinking &amp; Reasoning</w:t>
      </w:r>
      <w:r w:rsidRPr="002414E9">
        <w:rPr>
          <w:rFonts w:eastAsia="DengXian" w:cs="Times New Roman"/>
          <w:bCs/>
          <w:noProof/>
          <w:lang w:eastAsia="zh-CN"/>
        </w:rPr>
        <w:t xml:space="preserve">, </w:t>
      </w:r>
      <w:r w:rsidRPr="002414E9">
        <w:rPr>
          <w:rFonts w:eastAsia="DengXian" w:cs="Times New Roman"/>
          <w:bCs/>
          <w:i/>
          <w:iCs/>
          <w:noProof/>
          <w:lang w:eastAsia="zh-CN"/>
        </w:rPr>
        <w:t>17</w:t>
      </w:r>
      <w:r w:rsidRPr="002414E9">
        <w:rPr>
          <w:rFonts w:eastAsia="DengXian" w:cs="Times New Roman"/>
          <w:bCs/>
          <w:noProof/>
          <w:lang w:eastAsia="zh-CN"/>
        </w:rPr>
        <w:t>(1), 82–103. https://doi.org/10.1080/13546783.2010.537521</w:t>
      </w:r>
    </w:p>
    <w:p w14:paraId="7730423D" w14:textId="07BFA10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Levanti, M. V., &amp; Morone, A. (2013). </w:t>
      </w:r>
      <w:r w:rsidRPr="002414E9">
        <w:rPr>
          <w:rFonts w:eastAsia="DengXian" w:cs="Times New Roman"/>
          <w:noProof/>
          <w:lang w:eastAsia="zh-CN"/>
        </w:rPr>
        <w:t xml:space="preserve">Voluntary contributions with risky and uncertain marginal returns: The importance of the parameter values. </w:t>
      </w:r>
      <w:r w:rsidRPr="002414E9">
        <w:rPr>
          <w:rFonts w:eastAsia="DengXian" w:cs="Times New Roman"/>
          <w:i/>
          <w:iCs/>
          <w:noProof/>
          <w:lang w:eastAsia="zh-CN"/>
        </w:rPr>
        <w:t>Journal of Public Economic Theory</w:t>
      </w:r>
      <w:r w:rsidRPr="002414E9">
        <w:rPr>
          <w:rFonts w:eastAsia="DengXian" w:cs="Times New Roman"/>
          <w:noProof/>
          <w:lang w:eastAsia="zh-CN"/>
        </w:rPr>
        <w:t xml:space="preserve">, </w:t>
      </w:r>
      <w:r w:rsidRPr="002414E9">
        <w:rPr>
          <w:rFonts w:eastAsia="DengXian" w:cs="Times New Roman"/>
          <w:i/>
          <w:iCs/>
          <w:noProof/>
          <w:lang w:eastAsia="zh-CN"/>
        </w:rPr>
        <w:t>15</w:t>
      </w:r>
      <w:r w:rsidRPr="002414E9">
        <w:rPr>
          <w:rFonts w:eastAsia="DengXian" w:cs="Times New Roman"/>
          <w:noProof/>
          <w:lang w:eastAsia="zh-CN"/>
        </w:rPr>
        <w:t>(5), 736–744. https://doi.org/10.1111/jpet.12043</w:t>
      </w:r>
    </w:p>
    <w:p w14:paraId="116A111A" w14:textId="2C5F4D1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Levati, M. V., &amp; Neugebauer, T. (2004). An application of the English clock market mechanism to public goods games.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7</w:t>
      </w:r>
      <w:r w:rsidRPr="002414E9">
        <w:rPr>
          <w:rFonts w:eastAsia="DengXian" w:cs="Times New Roman"/>
          <w:noProof/>
          <w:lang w:eastAsia="zh-CN"/>
        </w:rPr>
        <w:t>(2), 153–169. https://doi.org/10.1023/B:EXEC.0000026977.32722.f1</w:t>
      </w:r>
    </w:p>
    <w:p w14:paraId="2D1EDE80" w14:textId="5F1E730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Levati, M. V., &amp; Zultan, R. (2011). </w:t>
      </w:r>
      <w:r w:rsidRPr="002414E9">
        <w:rPr>
          <w:rFonts w:eastAsia="DengXian" w:cs="Times New Roman"/>
          <w:noProof/>
          <w:lang w:eastAsia="zh-CN"/>
        </w:rPr>
        <w:t xml:space="preserve">Cycles of conditional cooperation in a real-time voluntary contribution mechanism. </w:t>
      </w:r>
      <w:r w:rsidRPr="002414E9">
        <w:rPr>
          <w:rFonts w:eastAsia="DengXian" w:cs="Times New Roman"/>
          <w:i/>
          <w:iCs/>
          <w:noProof/>
          <w:lang w:eastAsia="zh-CN"/>
        </w:rPr>
        <w:t>Games</w:t>
      </w:r>
      <w:r w:rsidRPr="002414E9">
        <w:rPr>
          <w:rFonts w:eastAsia="DengXian" w:cs="Times New Roman"/>
          <w:noProof/>
          <w:lang w:eastAsia="zh-CN"/>
        </w:rPr>
        <w:t xml:space="preserve">, </w:t>
      </w:r>
      <w:r w:rsidRPr="002414E9">
        <w:rPr>
          <w:rFonts w:eastAsia="DengXian" w:cs="Times New Roman"/>
          <w:i/>
          <w:iCs/>
          <w:noProof/>
          <w:lang w:eastAsia="zh-CN"/>
        </w:rPr>
        <w:t>2</w:t>
      </w:r>
      <w:r w:rsidRPr="002414E9">
        <w:rPr>
          <w:rFonts w:eastAsia="DengXian" w:cs="Times New Roman"/>
          <w:noProof/>
          <w:lang w:eastAsia="zh-CN"/>
        </w:rPr>
        <w:t>(1), 1–15. https://doi.org/10.3390/g2010001</w:t>
      </w:r>
    </w:p>
    <w:p w14:paraId="144A95FE" w14:textId="2E2ED7E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Levati, M. V., Morone, A., &amp; Fiore, A. (2009). </w:t>
      </w:r>
      <w:r w:rsidRPr="002414E9">
        <w:rPr>
          <w:rFonts w:eastAsia="DengXian" w:cs="Times New Roman"/>
          <w:noProof/>
          <w:lang w:eastAsia="zh-CN"/>
        </w:rPr>
        <w:t xml:space="preserve">Voluntary contributions with imperfect information: An experimental study. </w:t>
      </w:r>
      <w:r w:rsidRPr="002414E9">
        <w:rPr>
          <w:rFonts w:eastAsia="DengXian" w:cs="Times New Roman"/>
          <w:i/>
          <w:iCs/>
          <w:noProof/>
          <w:lang w:eastAsia="zh-CN"/>
        </w:rPr>
        <w:t>Public Choice</w:t>
      </w:r>
      <w:r w:rsidRPr="002414E9">
        <w:rPr>
          <w:rFonts w:eastAsia="DengXian" w:cs="Times New Roman"/>
          <w:noProof/>
          <w:lang w:eastAsia="zh-CN"/>
        </w:rPr>
        <w:t xml:space="preserve">, </w:t>
      </w:r>
      <w:r w:rsidRPr="002414E9">
        <w:rPr>
          <w:rFonts w:eastAsia="DengXian" w:cs="Times New Roman"/>
          <w:i/>
          <w:iCs/>
          <w:noProof/>
          <w:lang w:eastAsia="zh-CN"/>
        </w:rPr>
        <w:t>138</w:t>
      </w:r>
      <w:r w:rsidRPr="002414E9">
        <w:rPr>
          <w:rFonts w:eastAsia="DengXian" w:cs="Times New Roman"/>
          <w:noProof/>
          <w:lang w:eastAsia="zh-CN"/>
        </w:rPr>
        <w:t>(1–2), 199–216. https://doi.org/10.1007/s11127-008-9346-2</w:t>
      </w:r>
    </w:p>
    <w:p w14:paraId="0C68DB50" w14:textId="561DEAB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Levati, M. V., Ploner, M., &amp; Traub, S. (2011). </w:t>
      </w:r>
      <w:r w:rsidRPr="002414E9">
        <w:rPr>
          <w:rFonts w:eastAsia="DengXian" w:cs="Times New Roman"/>
          <w:noProof/>
          <w:lang w:eastAsia="zh-CN"/>
        </w:rPr>
        <w:t xml:space="preserve">Are conditional cooperators willing to forgo efficiency gains? Evidence from a public goods experiment. </w:t>
      </w:r>
      <w:r w:rsidRPr="002414E9">
        <w:rPr>
          <w:rFonts w:eastAsia="DengXian" w:cs="Times New Roman"/>
          <w:i/>
          <w:iCs/>
          <w:noProof/>
          <w:lang w:eastAsia="zh-CN"/>
        </w:rPr>
        <w:t>New Zealand Economic Papers</w:t>
      </w:r>
      <w:r w:rsidRPr="002414E9">
        <w:rPr>
          <w:rFonts w:eastAsia="DengXian" w:cs="Times New Roman"/>
          <w:noProof/>
          <w:lang w:eastAsia="zh-CN"/>
        </w:rPr>
        <w:t xml:space="preserve">, </w:t>
      </w:r>
      <w:r w:rsidRPr="002414E9">
        <w:rPr>
          <w:rFonts w:eastAsia="DengXian" w:cs="Times New Roman"/>
          <w:i/>
          <w:iCs/>
          <w:noProof/>
          <w:lang w:eastAsia="zh-CN"/>
        </w:rPr>
        <w:t>45</w:t>
      </w:r>
      <w:r w:rsidRPr="002414E9">
        <w:rPr>
          <w:rFonts w:eastAsia="DengXian" w:cs="Times New Roman"/>
          <w:noProof/>
          <w:lang w:eastAsia="zh-CN"/>
        </w:rPr>
        <w:t>(1–2), 47–57. https://doi.org/10.1080/00779954.2011.556069</w:t>
      </w:r>
    </w:p>
    <w:p w14:paraId="71A039CD" w14:textId="000A7625"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it-IT" w:eastAsia="zh-CN"/>
        </w:rPr>
        <w:t xml:space="preserve">Li, J., Zhu, L., Liu, J., &amp; Li, X. (2014). </w:t>
      </w:r>
      <w:r w:rsidRPr="002414E9">
        <w:rPr>
          <w:rFonts w:eastAsia="DengXian" w:cs="Times New Roman"/>
          <w:bCs/>
          <w:noProof/>
          <w:lang w:eastAsia="zh-CN"/>
        </w:rPr>
        <w:t xml:space="preserve">Social and non-social deficits in children with high-functioning autism and their cooperative behaviors. </w:t>
      </w:r>
      <w:r w:rsidRPr="002414E9">
        <w:rPr>
          <w:rFonts w:eastAsia="DengXian" w:cs="Times New Roman"/>
          <w:bCs/>
          <w:i/>
          <w:iCs/>
          <w:noProof/>
          <w:lang w:eastAsia="zh-CN"/>
        </w:rPr>
        <w:t>Research in Autism Spectrum Disorders</w:t>
      </w:r>
      <w:r w:rsidRPr="002414E9">
        <w:rPr>
          <w:rFonts w:eastAsia="DengXian" w:cs="Times New Roman"/>
          <w:bCs/>
          <w:noProof/>
          <w:lang w:eastAsia="zh-CN"/>
        </w:rPr>
        <w:t xml:space="preserve">, </w:t>
      </w:r>
      <w:r w:rsidRPr="002414E9">
        <w:rPr>
          <w:rFonts w:eastAsia="DengXian" w:cs="Times New Roman"/>
          <w:bCs/>
          <w:i/>
          <w:iCs/>
          <w:noProof/>
          <w:lang w:eastAsia="zh-CN"/>
        </w:rPr>
        <w:t>8</w:t>
      </w:r>
      <w:r w:rsidRPr="002414E9">
        <w:rPr>
          <w:rFonts w:eastAsia="DengXian" w:cs="Times New Roman"/>
          <w:bCs/>
          <w:noProof/>
          <w:lang w:eastAsia="zh-CN"/>
        </w:rPr>
        <w:t>(12), 1657–1671. https://doi.org/10.1016/j.rasd.2014.08.016</w:t>
      </w:r>
    </w:p>
    <w:p w14:paraId="2AD64EF5" w14:textId="63D65F7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Li, K. K. (2017). How does language affect decision-making in social interactions and decision </w:t>
      </w:r>
      <w:r w:rsidRPr="002414E9">
        <w:rPr>
          <w:rFonts w:eastAsia="DengXian" w:cs="Times New Roman"/>
          <w:noProof/>
          <w:lang w:eastAsia="zh-CN"/>
        </w:rPr>
        <w:lastRenderedPageBreak/>
        <w:t xml:space="preserve">biases? </w:t>
      </w:r>
      <w:r w:rsidRPr="002414E9">
        <w:rPr>
          <w:rFonts w:eastAsia="DengXian" w:cs="Times New Roman"/>
          <w:i/>
          <w:iCs/>
          <w:noProof/>
          <w:lang w:eastAsia="zh-CN"/>
        </w:rPr>
        <w:t>Journal of Economic Psychology</w:t>
      </w:r>
      <w:r w:rsidRPr="002414E9">
        <w:rPr>
          <w:rFonts w:eastAsia="DengXian" w:cs="Times New Roman"/>
          <w:noProof/>
          <w:lang w:eastAsia="zh-CN"/>
        </w:rPr>
        <w:t xml:space="preserve">, </w:t>
      </w:r>
      <w:r w:rsidRPr="002414E9">
        <w:rPr>
          <w:rFonts w:eastAsia="DengXian" w:cs="Times New Roman"/>
          <w:i/>
          <w:iCs/>
          <w:noProof/>
          <w:lang w:eastAsia="zh-CN"/>
        </w:rPr>
        <w:t>61</w:t>
      </w:r>
      <w:r w:rsidRPr="002414E9">
        <w:rPr>
          <w:rFonts w:eastAsia="DengXian" w:cs="Times New Roman"/>
          <w:noProof/>
          <w:lang w:eastAsia="zh-CN"/>
        </w:rPr>
        <w:t>, 15–28. https://doi.org/10.1016/j.joep.2017.03.003</w:t>
      </w:r>
    </w:p>
    <w:p w14:paraId="7A9FCC9D" w14:textId="321A60B5" w:rsidR="002414E9" w:rsidRPr="002414E9" w:rsidRDefault="002414E9" w:rsidP="002414E9">
      <w:pPr>
        <w:widowControl w:val="0"/>
        <w:autoSpaceDE w:val="0"/>
        <w:autoSpaceDN w:val="0"/>
        <w:adjustRightInd w:val="0"/>
        <w:ind w:left="709" w:hanging="709"/>
        <w:rPr>
          <w:rFonts w:eastAsia="DengXian" w:cs="Times New Roman"/>
          <w:bCs/>
          <w:noProof/>
          <w:lang w:eastAsia="zh-CN"/>
        </w:rPr>
      </w:pPr>
      <w:bookmarkStart w:id="76" w:name="_Hlk74303873"/>
      <w:r w:rsidRPr="002414E9">
        <w:rPr>
          <w:rFonts w:eastAsia="DengXian" w:cs="Times New Roman"/>
          <w:bCs/>
          <w:noProof/>
          <w:lang w:val="it-IT" w:eastAsia="zh-CN"/>
        </w:rPr>
        <w:t xml:space="preserve">Li, S., &amp; Taplin, J. E. (2002). </w:t>
      </w:r>
      <w:r w:rsidRPr="002414E9">
        <w:rPr>
          <w:rFonts w:eastAsia="DengXian" w:cs="Times New Roman"/>
          <w:bCs/>
          <w:noProof/>
          <w:lang w:eastAsia="zh-CN"/>
        </w:rPr>
        <w:t xml:space="preserve">Examining whether there is a disjunction effect in prisoner's dilemma games. </w:t>
      </w:r>
      <w:r w:rsidRPr="002414E9">
        <w:rPr>
          <w:rFonts w:eastAsia="DengXian" w:cs="Times New Roman"/>
          <w:bCs/>
          <w:i/>
          <w:iCs/>
          <w:noProof/>
          <w:lang w:eastAsia="zh-CN"/>
        </w:rPr>
        <w:t>Chinese Journal of Psychology, 44</w:t>
      </w:r>
      <w:r w:rsidRPr="002414E9">
        <w:rPr>
          <w:rFonts w:eastAsia="DengXian" w:cs="Times New Roman"/>
          <w:bCs/>
          <w:noProof/>
          <w:lang w:eastAsia="zh-CN"/>
        </w:rPr>
        <w:t>(1), 25–46.</w:t>
      </w:r>
    </w:p>
    <w:bookmarkEnd w:id="76"/>
    <w:p w14:paraId="5F79AB67" w14:textId="5370D4AF"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it-IT" w:eastAsia="zh-CN"/>
        </w:rPr>
        <w:t xml:space="preserve">Li, S., Wang, Z. J., Rao, L. L., &amp; Li, Y. M. (2010). </w:t>
      </w:r>
      <w:r w:rsidRPr="002414E9">
        <w:rPr>
          <w:rFonts w:eastAsia="DengXian" w:cs="Times New Roman"/>
          <w:bCs/>
          <w:noProof/>
          <w:lang w:eastAsia="zh-CN"/>
        </w:rPr>
        <w:t xml:space="preserve">Is there a violation of Savage’s sure-thing principle in the prisoner’s dilemma game?. </w:t>
      </w:r>
      <w:r w:rsidRPr="002414E9">
        <w:rPr>
          <w:rFonts w:eastAsia="DengXian" w:cs="Times New Roman"/>
          <w:bCs/>
          <w:i/>
          <w:iCs/>
          <w:noProof/>
          <w:lang w:eastAsia="zh-CN"/>
        </w:rPr>
        <w:t>Adaptive Behavior</w:t>
      </w:r>
      <w:r w:rsidRPr="002414E9">
        <w:rPr>
          <w:rFonts w:eastAsia="DengXian" w:cs="Times New Roman"/>
          <w:bCs/>
          <w:noProof/>
          <w:lang w:eastAsia="zh-CN"/>
        </w:rPr>
        <w:t xml:space="preserve">, </w:t>
      </w:r>
      <w:r w:rsidRPr="002414E9">
        <w:rPr>
          <w:rFonts w:eastAsia="DengXian" w:cs="Times New Roman"/>
          <w:bCs/>
          <w:i/>
          <w:iCs/>
          <w:noProof/>
          <w:lang w:eastAsia="zh-CN"/>
        </w:rPr>
        <w:t>18</w:t>
      </w:r>
      <w:r w:rsidRPr="002414E9">
        <w:rPr>
          <w:rFonts w:eastAsia="DengXian" w:cs="Times New Roman"/>
          <w:bCs/>
          <w:noProof/>
          <w:lang w:eastAsia="zh-CN"/>
        </w:rPr>
        <w:t>(3–4), 377–385. https://doi.org/10.1177/1059712310366040</w:t>
      </w:r>
    </w:p>
    <w:p w14:paraId="59B17EBC" w14:textId="2A9C0F19" w:rsidR="002414E9" w:rsidRPr="002414E9" w:rsidRDefault="002414E9" w:rsidP="002414E9">
      <w:pPr>
        <w:widowControl w:val="0"/>
        <w:autoSpaceDE w:val="0"/>
        <w:autoSpaceDN w:val="0"/>
        <w:adjustRightInd w:val="0"/>
        <w:ind w:left="709" w:hanging="709"/>
        <w:rPr>
          <w:rFonts w:eastAsia="DengXian" w:cs="Times New Roman"/>
          <w:noProof/>
          <w:lang w:val="fr-FR" w:eastAsia="zh-CN"/>
        </w:rPr>
      </w:pPr>
      <w:r w:rsidRPr="002414E9">
        <w:rPr>
          <w:rFonts w:eastAsia="DengXian" w:cs="Times New Roman"/>
          <w:noProof/>
          <w:lang w:eastAsia="zh-CN"/>
        </w:rPr>
        <w:t xml:space="preserve">Li, X., &amp; Ma, J. (2017). Gonggong wupin liangnan zhong chenfa dui hezuo de yingxiang: pianhao yizhi de shijiao [The effect of punishment on cooperation in public goods dilemma: A preference heterogeniety perspective]. </w:t>
      </w:r>
      <w:r w:rsidRPr="002414E9">
        <w:rPr>
          <w:rFonts w:eastAsia="DengXian" w:cs="Times New Roman"/>
          <w:i/>
          <w:noProof/>
          <w:lang w:val="fr-FR" w:eastAsia="zh-CN"/>
        </w:rPr>
        <w:t>Social Scientist, 6</w:t>
      </w:r>
      <w:r w:rsidRPr="002414E9">
        <w:rPr>
          <w:rFonts w:eastAsia="DengXian" w:cs="Times New Roman"/>
          <w:noProof/>
          <w:lang w:val="fr-FR" w:eastAsia="zh-CN"/>
        </w:rPr>
        <w:t>, 68–72.</w:t>
      </w:r>
    </w:p>
    <w:p w14:paraId="0957D6DB" w14:textId="3FFC0900"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fr-FR" w:eastAsia="zh-CN"/>
        </w:rPr>
        <w:t xml:space="preserve">Li, X., Zhu, P., Yu, Y., Zhang, J., &amp; Zhang, Z. (2017). </w:t>
      </w:r>
      <w:r w:rsidRPr="002414E9">
        <w:rPr>
          <w:rFonts w:eastAsia="DengXian" w:cs="Times New Roman"/>
          <w:bCs/>
          <w:noProof/>
          <w:lang w:eastAsia="zh-CN"/>
        </w:rPr>
        <w:t xml:space="preserve">The effect of reciprocity disposition on giving and repaying reciprocity behavior. </w:t>
      </w:r>
      <w:r w:rsidRPr="002414E9">
        <w:rPr>
          <w:rFonts w:eastAsia="DengXian" w:cs="Times New Roman"/>
          <w:bCs/>
          <w:i/>
          <w:iCs/>
          <w:noProof/>
          <w:lang w:eastAsia="zh-CN"/>
        </w:rPr>
        <w:t>Personality and Individual Differences</w:t>
      </w:r>
      <w:r w:rsidRPr="002414E9">
        <w:rPr>
          <w:rFonts w:eastAsia="DengXian" w:cs="Times New Roman"/>
          <w:bCs/>
          <w:noProof/>
          <w:lang w:eastAsia="zh-CN"/>
        </w:rPr>
        <w:t xml:space="preserve">, </w:t>
      </w:r>
      <w:r w:rsidRPr="002414E9">
        <w:rPr>
          <w:rFonts w:eastAsia="DengXian" w:cs="Times New Roman"/>
          <w:bCs/>
          <w:i/>
          <w:iCs/>
          <w:noProof/>
          <w:lang w:eastAsia="zh-CN"/>
        </w:rPr>
        <w:t>109</w:t>
      </w:r>
      <w:r w:rsidRPr="002414E9">
        <w:rPr>
          <w:rFonts w:eastAsia="DengXian" w:cs="Times New Roman"/>
          <w:bCs/>
          <w:noProof/>
          <w:lang w:eastAsia="zh-CN"/>
        </w:rPr>
        <w:t>, 201–206. https://doi.org/10.1016/j.paid.2017.01.007</w:t>
      </w:r>
    </w:p>
    <w:p w14:paraId="09DA39E6" w14:textId="42F2137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Li, Y., &amp; Yamagishi, T. (2014). Tsuyoi goshūsei kasetsu no kenshō: Kyōryoku kōdō to batsu kōdō no kankei [A test of the strong reciprocity model: Relationship between cooperation and punishment]. </w:t>
      </w:r>
      <w:r w:rsidRPr="002414E9">
        <w:rPr>
          <w:rFonts w:eastAsia="DengXian" w:cs="Times New Roman"/>
          <w:i/>
          <w:iCs/>
          <w:noProof/>
          <w:lang w:eastAsia="zh-CN"/>
        </w:rPr>
        <w:t>The Japanese Journal of Psychology</w:t>
      </w:r>
      <w:r w:rsidRPr="002414E9">
        <w:rPr>
          <w:rFonts w:eastAsia="DengXian" w:cs="Times New Roman"/>
          <w:noProof/>
          <w:lang w:eastAsia="zh-CN"/>
        </w:rPr>
        <w:t xml:space="preserve">, </w:t>
      </w:r>
      <w:r w:rsidRPr="002414E9">
        <w:rPr>
          <w:rFonts w:eastAsia="DengXian" w:cs="Times New Roman"/>
          <w:i/>
          <w:iCs/>
          <w:noProof/>
          <w:lang w:eastAsia="zh-CN"/>
        </w:rPr>
        <w:t>85</w:t>
      </w:r>
      <w:r w:rsidRPr="002414E9">
        <w:rPr>
          <w:rFonts w:eastAsia="DengXian" w:cs="Times New Roman"/>
          <w:noProof/>
          <w:lang w:eastAsia="zh-CN"/>
        </w:rPr>
        <w:t>(1), 100–105. https://doi.org/10.4992/jjpsy.85.100</w:t>
      </w:r>
    </w:p>
    <w:p w14:paraId="13EBD1B9" w14:textId="5BE1036F" w:rsidR="002414E9" w:rsidRPr="002414E9" w:rsidRDefault="002414E9" w:rsidP="002414E9">
      <w:pPr>
        <w:widowControl w:val="0"/>
        <w:autoSpaceDE w:val="0"/>
        <w:autoSpaceDN w:val="0"/>
        <w:adjustRightInd w:val="0"/>
        <w:ind w:left="709" w:hanging="709"/>
        <w:rPr>
          <w:rFonts w:eastAsia="DengXian" w:cs="Times New Roman"/>
          <w:noProof/>
          <w:lang w:eastAsia="zh-CN"/>
        </w:rPr>
      </w:pPr>
      <w:bookmarkStart w:id="77" w:name="_Hlk73019900"/>
      <w:r w:rsidRPr="002414E9">
        <w:rPr>
          <w:rFonts w:eastAsia="DengXian" w:cs="Times New Roman"/>
          <w:noProof/>
          <w:lang w:eastAsia="zh-CN"/>
        </w:rPr>
        <w:t xml:space="preserve">Liang, X. (2014). </w:t>
      </w:r>
      <w:r w:rsidRPr="002414E9">
        <w:rPr>
          <w:rFonts w:eastAsia="DengXian" w:cs="Times New Roman"/>
          <w:i/>
          <w:iCs/>
          <w:noProof/>
          <w:lang w:eastAsia="zh-CN"/>
        </w:rPr>
        <w:t>Fei duichen gonggong wupin zhong lingdao dui xiashu juanzeng xingwei de yingxiang</w:t>
      </w:r>
      <w:r w:rsidRPr="002414E9">
        <w:rPr>
          <w:rFonts w:eastAsia="DengXian" w:cs="Times New Roman"/>
          <w:noProof/>
          <w:lang w:eastAsia="zh-CN"/>
        </w:rPr>
        <w:t xml:space="preserve"> [In asymmetric social dilemmas leader impact on donation behavior of subordinates] [Master's thesis, Neimenggu shifan daxue]. CNKI Theses and Dissertations Database.</w:t>
      </w:r>
      <w:bookmarkEnd w:id="77"/>
    </w:p>
    <w:p w14:paraId="58D95D47" w14:textId="624D9F4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Liang, X., Li, F., Yan, J., &amp; Zhang, Y. (2014). </w:t>
      </w:r>
      <w:r w:rsidRPr="002414E9">
        <w:rPr>
          <w:rFonts w:eastAsia="DengXian" w:cs="Times New Roman"/>
          <w:noProof/>
          <w:lang w:eastAsia="zh-CN"/>
        </w:rPr>
        <w:t xml:space="preserve">Feiduichen gonggong wupin kunjing zhong lingdao jiqi xingwei fangshi dui beishi juanzeng xingwei de yingxiang [Research on the </w:t>
      </w:r>
      <w:r w:rsidRPr="002414E9">
        <w:rPr>
          <w:rFonts w:eastAsia="DengXian" w:cs="Times New Roman"/>
          <w:noProof/>
          <w:lang w:eastAsia="zh-CN"/>
        </w:rPr>
        <w:lastRenderedPageBreak/>
        <w:t xml:space="preserve">influence of leader and behavior on the participant's donation behavior in asymmetric social dilemmas]. </w:t>
      </w:r>
      <w:r w:rsidRPr="002414E9">
        <w:rPr>
          <w:rFonts w:eastAsia="DengXian" w:cs="Times New Roman"/>
          <w:i/>
          <w:noProof/>
          <w:lang w:eastAsia="zh-CN"/>
        </w:rPr>
        <w:t>Journal of Inner Mongolia Normal University (Natural Science Edition), 43</w:t>
      </w:r>
      <w:r w:rsidRPr="002414E9">
        <w:rPr>
          <w:rFonts w:eastAsia="DengXian" w:cs="Times New Roman"/>
          <w:noProof/>
          <w:lang w:eastAsia="zh-CN"/>
        </w:rPr>
        <w:t>(3), 384–388.</w:t>
      </w:r>
    </w:p>
    <w:p w14:paraId="25DC5A0A" w14:textId="260801C7"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Liberman, V., Samuels, S. M., &amp; Ross, L. (2004). The name of the game: Predictive power of reputations versus situational labels in determining prisoner’s dilemma game moves. </w:t>
      </w:r>
      <w:r w:rsidRPr="002414E9">
        <w:rPr>
          <w:rFonts w:eastAsia="DengXian" w:cs="Times New Roman"/>
          <w:bCs/>
          <w:i/>
          <w:iCs/>
          <w:noProof/>
          <w:lang w:eastAsia="zh-CN"/>
        </w:rPr>
        <w:t>Personality and Social Psychology Bulletin</w:t>
      </w:r>
      <w:r w:rsidRPr="002414E9">
        <w:rPr>
          <w:rFonts w:eastAsia="DengXian" w:cs="Times New Roman"/>
          <w:bCs/>
          <w:noProof/>
          <w:lang w:eastAsia="zh-CN"/>
        </w:rPr>
        <w:t xml:space="preserve">, </w:t>
      </w:r>
      <w:r w:rsidRPr="002414E9">
        <w:rPr>
          <w:rFonts w:eastAsia="DengXian" w:cs="Times New Roman"/>
          <w:bCs/>
          <w:i/>
          <w:iCs/>
          <w:noProof/>
          <w:lang w:eastAsia="zh-CN"/>
        </w:rPr>
        <w:t>30</w:t>
      </w:r>
      <w:r w:rsidRPr="002414E9">
        <w:rPr>
          <w:rFonts w:eastAsia="DengXian" w:cs="Times New Roman"/>
          <w:bCs/>
          <w:noProof/>
          <w:lang w:eastAsia="zh-CN"/>
        </w:rPr>
        <w:t>(9), 1175–1185. https://doi.org/10.1177/0146167204264004</w:t>
      </w:r>
    </w:p>
    <w:p w14:paraId="11770508" w14:textId="3B195C6F"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Liebrand, W. B., Wilke, H. A., Vogel, R., &amp; Wolters, F. J. (1986). Value orientation and conformity: A study using three types of social dilemma games.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30</w:t>
      </w:r>
      <w:r w:rsidRPr="002414E9">
        <w:rPr>
          <w:rFonts w:eastAsia="DengXian" w:cs="Times New Roman"/>
          <w:bCs/>
          <w:noProof/>
          <w:lang w:eastAsia="zh-CN"/>
        </w:rPr>
        <w:t>(1), 77–97. https://doi.org/10.1177/0022002786030001006</w:t>
      </w:r>
    </w:p>
    <w:p w14:paraId="1E08BDC1" w14:textId="56FBE6E3"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Lindskold, S., &amp; Finch, M. L. (1981). Styles of announcing conciliation.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25</w:t>
      </w:r>
      <w:r w:rsidRPr="002414E9">
        <w:rPr>
          <w:rFonts w:eastAsia="DengXian" w:cs="Times New Roman"/>
          <w:bCs/>
          <w:noProof/>
          <w:lang w:eastAsia="zh-CN"/>
        </w:rPr>
        <w:t>(1), 145–155. https://doi.org/10.1177/002200278102500106</w:t>
      </w:r>
    </w:p>
    <w:p w14:paraId="50645148" w14:textId="18D58722"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Lindskold, S., &amp; Han, G. (1988a). GRIT as a foundation for integrative bargaining. </w:t>
      </w:r>
      <w:r w:rsidRPr="002414E9">
        <w:rPr>
          <w:rFonts w:eastAsia="DengXian" w:cs="Times New Roman"/>
          <w:bCs/>
          <w:i/>
          <w:iCs/>
          <w:noProof/>
          <w:lang w:eastAsia="zh-CN"/>
        </w:rPr>
        <w:t>Personality and Social Psychology Bulletin</w:t>
      </w:r>
      <w:r w:rsidRPr="002414E9">
        <w:rPr>
          <w:rFonts w:eastAsia="DengXian" w:cs="Times New Roman"/>
          <w:bCs/>
          <w:noProof/>
          <w:lang w:eastAsia="zh-CN"/>
        </w:rPr>
        <w:t xml:space="preserve">, </w:t>
      </w:r>
      <w:r w:rsidRPr="002414E9">
        <w:rPr>
          <w:rFonts w:eastAsia="DengXian" w:cs="Times New Roman"/>
          <w:bCs/>
          <w:i/>
          <w:iCs/>
          <w:noProof/>
          <w:lang w:eastAsia="zh-CN"/>
        </w:rPr>
        <w:t>14</w:t>
      </w:r>
      <w:r w:rsidRPr="002414E9">
        <w:rPr>
          <w:rFonts w:eastAsia="DengXian" w:cs="Times New Roman"/>
          <w:bCs/>
          <w:noProof/>
          <w:lang w:eastAsia="zh-CN"/>
        </w:rPr>
        <w:t>(2), 335–345. https://doi.org/10.1177/0146167288142011</w:t>
      </w:r>
    </w:p>
    <w:p w14:paraId="338F0B87" w14:textId="52ADCFB5"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Lindskold, S., &amp; Han, G. (1988b). Group resistance to influence by a conciliatory member. </w:t>
      </w:r>
      <w:r w:rsidRPr="002414E9">
        <w:rPr>
          <w:rFonts w:eastAsia="DengXian" w:cs="Times New Roman"/>
          <w:bCs/>
          <w:i/>
          <w:iCs/>
          <w:noProof/>
          <w:lang w:eastAsia="zh-CN"/>
        </w:rPr>
        <w:t>Small Group Behavior</w:t>
      </w:r>
      <w:r w:rsidRPr="002414E9">
        <w:rPr>
          <w:rFonts w:eastAsia="DengXian" w:cs="Times New Roman"/>
          <w:bCs/>
          <w:noProof/>
          <w:lang w:eastAsia="zh-CN"/>
        </w:rPr>
        <w:t xml:space="preserve">, </w:t>
      </w:r>
      <w:r w:rsidRPr="002414E9">
        <w:rPr>
          <w:rFonts w:eastAsia="DengXian" w:cs="Times New Roman"/>
          <w:bCs/>
          <w:i/>
          <w:iCs/>
          <w:noProof/>
          <w:lang w:eastAsia="zh-CN"/>
        </w:rPr>
        <w:t>19</w:t>
      </w:r>
      <w:r w:rsidRPr="002414E9">
        <w:rPr>
          <w:rFonts w:eastAsia="DengXian" w:cs="Times New Roman"/>
          <w:bCs/>
          <w:noProof/>
          <w:lang w:eastAsia="zh-CN"/>
        </w:rPr>
        <w:t>(1), 19–34. https://doi.org/10.1177/104649648801900102</w:t>
      </w:r>
    </w:p>
    <w:p w14:paraId="11BA01C1" w14:textId="710640F9"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Lindskold, S., &amp; Tedeschi, J. T. (1971). Reward power and attraction in interpersonal conflict. </w:t>
      </w:r>
      <w:r w:rsidRPr="002414E9">
        <w:rPr>
          <w:rFonts w:eastAsia="DengXian" w:cs="Times New Roman"/>
          <w:bCs/>
          <w:i/>
          <w:iCs/>
          <w:noProof/>
          <w:lang w:eastAsia="zh-CN"/>
        </w:rPr>
        <w:t>Psychonomic Science</w:t>
      </w:r>
      <w:r w:rsidRPr="002414E9">
        <w:rPr>
          <w:rFonts w:eastAsia="DengXian" w:cs="Times New Roman"/>
          <w:bCs/>
          <w:noProof/>
          <w:lang w:eastAsia="zh-CN"/>
        </w:rPr>
        <w:t xml:space="preserve">, </w:t>
      </w:r>
      <w:r w:rsidRPr="002414E9">
        <w:rPr>
          <w:rFonts w:eastAsia="DengXian" w:cs="Times New Roman"/>
          <w:bCs/>
          <w:i/>
          <w:iCs/>
          <w:noProof/>
          <w:lang w:eastAsia="zh-CN"/>
        </w:rPr>
        <w:t>22</w:t>
      </w:r>
      <w:r w:rsidRPr="002414E9">
        <w:rPr>
          <w:rFonts w:eastAsia="DengXian" w:cs="Times New Roman"/>
          <w:bCs/>
          <w:noProof/>
          <w:lang w:eastAsia="zh-CN"/>
        </w:rPr>
        <w:t>(4), 211–213. https://doi.org/10.3758/BF03332573</w:t>
      </w:r>
    </w:p>
    <w:p w14:paraId="27E1F612" w14:textId="17F771B7"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Lindskold, S., Betz, B., &amp; Walters, P. S. (1986). </w:t>
      </w:r>
      <w:r w:rsidRPr="002414E9">
        <w:rPr>
          <w:rFonts w:eastAsia="DengXian" w:cs="Times New Roman"/>
          <w:bCs/>
          <w:noProof/>
          <w:lang w:eastAsia="zh-CN"/>
        </w:rPr>
        <w:t xml:space="preserve">Transforming competitive or cooperative climates.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30</w:t>
      </w:r>
      <w:r w:rsidRPr="002414E9">
        <w:rPr>
          <w:rFonts w:eastAsia="DengXian" w:cs="Times New Roman"/>
          <w:bCs/>
          <w:noProof/>
          <w:lang w:eastAsia="zh-CN"/>
        </w:rPr>
        <w:t>(1), 99–114. https://doi.org/10.1177/0022002786030001007</w:t>
      </w:r>
    </w:p>
    <w:p w14:paraId="22A9E9C8" w14:textId="0AD24AA2"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Lindskold, S., Han, G., &amp; Betz, B. (1986). The essential elements of communication in the GRIT </w:t>
      </w:r>
      <w:r w:rsidRPr="002414E9">
        <w:rPr>
          <w:rFonts w:eastAsia="DengXian" w:cs="Times New Roman"/>
          <w:bCs/>
          <w:noProof/>
          <w:lang w:eastAsia="zh-CN"/>
        </w:rPr>
        <w:lastRenderedPageBreak/>
        <w:t xml:space="preserve">strategy. </w:t>
      </w:r>
      <w:r w:rsidRPr="002414E9">
        <w:rPr>
          <w:rFonts w:eastAsia="DengXian" w:cs="Times New Roman"/>
          <w:bCs/>
          <w:i/>
          <w:iCs/>
          <w:noProof/>
          <w:lang w:eastAsia="zh-CN"/>
        </w:rPr>
        <w:t>Personality and Social Psychology Bulletin</w:t>
      </w:r>
      <w:r w:rsidRPr="002414E9">
        <w:rPr>
          <w:rFonts w:eastAsia="DengXian" w:cs="Times New Roman"/>
          <w:bCs/>
          <w:noProof/>
          <w:lang w:eastAsia="zh-CN"/>
        </w:rPr>
        <w:t xml:space="preserve">, </w:t>
      </w:r>
      <w:r w:rsidRPr="002414E9">
        <w:rPr>
          <w:rFonts w:eastAsia="DengXian" w:cs="Times New Roman"/>
          <w:bCs/>
          <w:i/>
          <w:iCs/>
          <w:noProof/>
          <w:lang w:eastAsia="zh-CN"/>
        </w:rPr>
        <w:t>12</w:t>
      </w:r>
      <w:r w:rsidRPr="002414E9">
        <w:rPr>
          <w:rFonts w:eastAsia="DengXian" w:cs="Times New Roman"/>
          <w:bCs/>
          <w:noProof/>
          <w:lang w:eastAsia="zh-CN"/>
        </w:rPr>
        <w:t>(2), 179–186. https://doi.org/10.1177/0146167286122004</w:t>
      </w:r>
    </w:p>
    <w:p w14:paraId="6B7A5DF1" w14:textId="4085D177"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Lindskold, S., Tedeschi, J. T., Bonoma, T. V., &amp; Schlenker, B. R. (1971). </w:t>
      </w:r>
      <w:r w:rsidRPr="002414E9">
        <w:rPr>
          <w:rFonts w:eastAsia="DengXian" w:cs="Times New Roman"/>
          <w:bCs/>
          <w:noProof/>
          <w:lang w:eastAsia="zh-CN"/>
        </w:rPr>
        <w:t xml:space="preserve">Reward power and bilateral communication in conflict resolution. </w:t>
      </w:r>
      <w:r w:rsidRPr="002414E9">
        <w:rPr>
          <w:rFonts w:eastAsia="DengXian" w:cs="Times New Roman"/>
          <w:bCs/>
          <w:i/>
          <w:iCs/>
          <w:noProof/>
          <w:lang w:eastAsia="zh-CN"/>
        </w:rPr>
        <w:t>Psychonomic Science</w:t>
      </w:r>
      <w:r w:rsidRPr="002414E9">
        <w:rPr>
          <w:rFonts w:eastAsia="DengXian" w:cs="Times New Roman"/>
          <w:bCs/>
          <w:noProof/>
          <w:lang w:eastAsia="zh-CN"/>
        </w:rPr>
        <w:t xml:space="preserve">, </w:t>
      </w:r>
      <w:r w:rsidRPr="002414E9">
        <w:rPr>
          <w:rFonts w:eastAsia="DengXian" w:cs="Times New Roman"/>
          <w:bCs/>
          <w:i/>
          <w:iCs/>
          <w:noProof/>
          <w:lang w:eastAsia="zh-CN"/>
        </w:rPr>
        <w:t>23</w:t>
      </w:r>
      <w:r w:rsidRPr="002414E9">
        <w:rPr>
          <w:rFonts w:eastAsia="DengXian" w:cs="Times New Roman"/>
          <w:bCs/>
          <w:noProof/>
          <w:lang w:eastAsia="zh-CN"/>
        </w:rPr>
        <w:t>(6), 415–416. https://doi.org/10.3758/BF03332645</w:t>
      </w:r>
    </w:p>
    <w:p w14:paraId="5072E0E8" w14:textId="68C186F0"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Lindskold, S., Walters, P. S., &amp; Koutsourais, H. (1983). Cooperators, competitors, and response to GRIT.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27</w:t>
      </w:r>
      <w:r w:rsidRPr="002414E9">
        <w:rPr>
          <w:rFonts w:eastAsia="DengXian" w:cs="Times New Roman"/>
          <w:bCs/>
          <w:noProof/>
          <w:lang w:eastAsia="zh-CN"/>
        </w:rPr>
        <w:t>(3), 521–532. https://doi.org/10.1177/0022002783027003007</w:t>
      </w:r>
    </w:p>
    <w:p w14:paraId="622B15F2" w14:textId="636294AE" w:rsidR="002414E9" w:rsidRPr="002414E9" w:rsidRDefault="002414E9" w:rsidP="002414E9">
      <w:pPr>
        <w:widowControl w:val="0"/>
        <w:autoSpaceDE w:val="0"/>
        <w:autoSpaceDN w:val="0"/>
        <w:adjustRightInd w:val="0"/>
        <w:ind w:left="709" w:hanging="709"/>
        <w:rPr>
          <w:rFonts w:eastAsia="DengXian" w:cs="Times New Roman"/>
          <w:noProof/>
          <w:lang w:val="en-GB" w:eastAsia="zh-CN"/>
        </w:rPr>
      </w:pPr>
      <w:r w:rsidRPr="002414E9">
        <w:rPr>
          <w:rFonts w:eastAsia="DengXian" w:cs="Times New Roman"/>
          <w:noProof/>
          <w:lang w:eastAsia="zh-CN"/>
        </w:rPr>
        <w:t xml:space="preserve">Lio, C.-J., &amp; Hao, F. (2012). Social value orientation and cooperation in asymmetric social dilemmas. </w:t>
      </w:r>
      <w:r w:rsidRPr="002414E9">
        <w:rPr>
          <w:rFonts w:eastAsia="DengXian" w:cs="Times New Roman"/>
          <w:i/>
          <w:iCs/>
          <w:noProof/>
          <w:lang w:val="en-GB" w:eastAsia="zh-CN"/>
        </w:rPr>
        <w:t>Acta Psychologica Sinica</w:t>
      </w:r>
      <w:r w:rsidRPr="002414E9">
        <w:rPr>
          <w:rFonts w:eastAsia="DengXian" w:cs="Times New Roman"/>
          <w:noProof/>
          <w:lang w:val="en-GB" w:eastAsia="zh-CN"/>
        </w:rPr>
        <w:t xml:space="preserve">, </w:t>
      </w:r>
      <w:r w:rsidRPr="002414E9">
        <w:rPr>
          <w:rFonts w:eastAsia="DengXian" w:cs="Times New Roman"/>
          <w:i/>
          <w:iCs/>
          <w:noProof/>
          <w:lang w:val="en-GB" w:eastAsia="zh-CN"/>
        </w:rPr>
        <w:t>43</w:t>
      </w:r>
      <w:r w:rsidRPr="002414E9">
        <w:rPr>
          <w:rFonts w:eastAsia="DengXian" w:cs="Times New Roman"/>
          <w:noProof/>
          <w:lang w:val="en-GB" w:eastAsia="zh-CN"/>
        </w:rPr>
        <w:t>(4), 431–441. https://doi.org/10.3724/sp.j.1041.2011.00432</w:t>
      </w:r>
    </w:p>
    <w:p w14:paraId="56CB7F72" w14:textId="46E568D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n-GB" w:eastAsia="zh-CN"/>
        </w:rPr>
        <w:t xml:space="preserve">List, J. A. (2004). </w:t>
      </w:r>
      <w:r w:rsidRPr="002414E9">
        <w:rPr>
          <w:rFonts w:eastAsia="DengXian" w:cs="Times New Roman"/>
          <w:noProof/>
          <w:lang w:eastAsia="zh-CN"/>
        </w:rPr>
        <w:t xml:space="preserve">Young, selfish and male: Field evidence of social preferences. </w:t>
      </w:r>
      <w:r w:rsidRPr="002414E9">
        <w:rPr>
          <w:rFonts w:eastAsia="DengXian" w:cs="Times New Roman"/>
          <w:i/>
          <w:iCs/>
          <w:noProof/>
          <w:lang w:eastAsia="zh-CN"/>
        </w:rPr>
        <w:t>The Economic Journal</w:t>
      </w:r>
      <w:r w:rsidRPr="002414E9">
        <w:rPr>
          <w:rFonts w:eastAsia="DengXian" w:cs="Times New Roman"/>
          <w:noProof/>
          <w:lang w:eastAsia="zh-CN"/>
        </w:rPr>
        <w:t xml:space="preserve">, </w:t>
      </w:r>
      <w:r w:rsidRPr="002414E9">
        <w:rPr>
          <w:rFonts w:eastAsia="DengXian" w:cs="Times New Roman"/>
          <w:i/>
          <w:iCs/>
          <w:noProof/>
          <w:lang w:eastAsia="zh-CN"/>
        </w:rPr>
        <w:t>114</w:t>
      </w:r>
      <w:r w:rsidRPr="002414E9">
        <w:rPr>
          <w:rFonts w:eastAsia="DengXian" w:cs="Times New Roman"/>
          <w:noProof/>
          <w:lang w:eastAsia="zh-CN"/>
        </w:rPr>
        <w:t>(492), 121–149. https://doi.org/10.1046/j.0013-0133.2003.00180.x</w:t>
      </w:r>
    </w:p>
    <w:p w14:paraId="57E50AAF" w14:textId="69F37025" w:rsidR="002414E9" w:rsidRPr="002414E9" w:rsidRDefault="002414E9" w:rsidP="002414E9">
      <w:pPr>
        <w:widowControl w:val="0"/>
        <w:autoSpaceDE w:val="0"/>
        <w:autoSpaceDN w:val="0"/>
        <w:adjustRightInd w:val="0"/>
        <w:ind w:left="709" w:hanging="709"/>
        <w:rPr>
          <w:rFonts w:eastAsia="DengXian" w:cs="Times New Roman"/>
          <w:bCs/>
          <w:noProof/>
          <w:lang w:eastAsia="zh-CN"/>
        </w:rPr>
      </w:pPr>
      <w:bookmarkStart w:id="78" w:name="_Hlk54079486"/>
      <w:r w:rsidRPr="002414E9">
        <w:rPr>
          <w:rFonts w:eastAsia="DengXian" w:cs="Times New Roman"/>
          <w:bCs/>
          <w:noProof/>
          <w:lang w:eastAsia="zh-CN"/>
        </w:rPr>
        <w:t xml:space="preserve">List, J. A. (2006). Friend or foe? A natural experiment of the prisoner's dilemma. </w:t>
      </w:r>
      <w:r w:rsidRPr="002414E9">
        <w:rPr>
          <w:rFonts w:eastAsia="DengXian" w:cs="Times New Roman"/>
          <w:bCs/>
          <w:i/>
          <w:iCs/>
          <w:noProof/>
          <w:lang w:eastAsia="zh-CN"/>
        </w:rPr>
        <w:t>The Review of Economics and Statistics</w:t>
      </w:r>
      <w:r w:rsidRPr="002414E9">
        <w:rPr>
          <w:rFonts w:eastAsia="DengXian" w:cs="Times New Roman"/>
          <w:bCs/>
          <w:noProof/>
          <w:lang w:eastAsia="zh-CN"/>
        </w:rPr>
        <w:t xml:space="preserve">, </w:t>
      </w:r>
      <w:r w:rsidRPr="002414E9">
        <w:rPr>
          <w:rFonts w:eastAsia="DengXian" w:cs="Times New Roman"/>
          <w:bCs/>
          <w:i/>
          <w:iCs/>
          <w:noProof/>
          <w:lang w:eastAsia="zh-CN"/>
        </w:rPr>
        <w:t>88</w:t>
      </w:r>
      <w:r w:rsidRPr="002414E9">
        <w:rPr>
          <w:rFonts w:eastAsia="DengXian" w:cs="Times New Roman"/>
          <w:bCs/>
          <w:noProof/>
          <w:lang w:eastAsia="zh-CN"/>
        </w:rPr>
        <w:t>(3), 463–471. https://doi.org/10.1162/rest.88.3.463</w:t>
      </w:r>
    </w:p>
    <w:p w14:paraId="08D7C65A" w14:textId="3B22213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Liu, &amp; Hao. (2011). An Application of a dual-process approach to decision making in social dilemmas. </w:t>
      </w:r>
      <w:r w:rsidRPr="002414E9">
        <w:rPr>
          <w:rFonts w:eastAsia="DengXian" w:cs="Times New Roman"/>
          <w:i/>
          <w:iCs/>
          <w:noProof/>
          <w:lang w:eastAsia="zh-CN"/>
        </w:rPr>
        <w:t>The American Journal of Psychology</w:t>
      </w:r>
      <w:r w:rsidRPr="002414E9">
        <w:rPr>
          <w:rFonts w:eastAsia="DengXian" w:cs="Times New Roman"/>
          <w:noProof/>
          <w:lang w:eastAsia="zh-CN"/>
        </w:rPr>
        <w:t xml:space="preserve">, </w:t>
      </w:r>
      <w:r w:rsidRPr="002414E9">
        <w:rPr>
          <w:rFonts w:eastAsia="DengXian" w:cs="Times New Roman"/>
          <w:i/>
          <w:iCs/>
          <w:noProof/>
          <w:lang w:eastAsia="zh-CN"/>
        </w:rPr>
        <w:t>124</w:t>
      </w:r>
      <w:r w:rsidRPr="002414E9">
        <w:rPr>
          <w:rFonts w:eastAsia="DengXian" w:cs="Times New Roman"/>
          <w:noProof/>
          <w:lang w:eastAsia="zh-CN"/>
        </w:rPr>
        <w:t>(2), 203–212. https://doi.org/10.5406/amerjpsyc.124.2.0203</w:t>
      </w:r>
    </w:p>
    <w:p w14:paraId="58E117F3" w14:textId="2760484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Liu, C., &amp; Hao, F. (2011). Buduichen shehui kunjing zhong shehui jiazhi quxiang dui hezuo de yingxiang [Social </w:t>
      </w:r>
      <w:r w:rsidRPr="002414E9">
        <w:rPr>
          <w:rFonts w:eastAsia="DengXian" w:cs="Times New Roman" w:hint="eastAsia"/>
          <w:noProof/>
          <w:lang w:eastAsia="zh-CN"/>
        </w:rPr>
        <w:t>v</w:t>
      </w:r>
      <w:r w:rsidRPr="002414E9">
        <w:rPr>
          <w:rFonts w:eastAsia="DengXian" w:cs="Times New Roman"/>
          <w:noProof/>
          <w:lang w:eastAsia="zh-CN"/>
        </w:rPr>
        <w:t xml:space="preserve">alue </w:t>
      </w:r>
      <w:r w:rsidRPr="002414E9">
        <w:rPr>
          <w:rFonts w:eastAsia="DengXian" w:cs="Times New Roman" w:hint="eastAsia"/>
          <w:noProof/>
          <w:lang w:eastAsia="zh-CN"/>
        </w:rPr>
        <w:t>o</w:t>
      </w:r>
      <w:r w:rsidRPr="002414E9">
        <w:rPr>
          <w:rFonts w:eastAsia="DengXian" w:cs="Times New Roman"/>
          <w:noProof/>
          <w:lang w:eastAsia="zh-CN"/>
        </w:rPr>
        <w:t xml:space="preserve">rientation and cooperation in asymmetric social dilemmas]. </w:t>
      </w:r>
      <w:r w:rsidRPr="002414E9">
        <w:rPr>
          <w:rFonts w:eastAsia="DengXian" w:cs="Times New Roman"/>
          <w:i/>
          <w:noProof/>
          <w:lang w:eastAsia="zh-CN"/>
        </w:rPr>
        <w:t>Acta Psychologica Sinica, 43</w:t>
      </w:r>
      <w:r w:rsidRPr="002414E9">
        <w:rPr>
          <w:rFonts w:eastAsia="DengXian" w:cs="Times New Roman"/>
          <w:noProof/>
          <w:lang w:eastAsia="zh-CN"/>
        </w:rPr>
        <w:t>(4), 432–441.</w:t>
      </w:r>
    </w:p>
    <w:p w14:paraId="4E60BA64" w14:textId="33C12F0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Liu, J., &amp; Riyanto, Y. E. (2017). </w:t>
      </w:r>
      <w:r w:rsidRPr="002414E9">
        <w:rPr>
          <w:rFonts w:eastAsia="DengXian" w:cs="Times New Roman"/>
          <w:noProof/>
          <w:lang w:eastAsia="zh-CN"/>
        </w:rPr>
        <w:t xml:space="preserve">The limit to behavioral inertia and the power of default in voluntary contribution games. </w:t>
      </w:r>
      <w:r w:rsidRPr="002414E9">
        <w:rPr>
          <w:rFonts w:eastAsia="DengXian" w:cs="Times New Roman"/>
          <w:i/>
          <w:iCs/>
          <w:noProof/>
          <w:lang w:eastAsia="zh-CN"/>
        </w:rPr>
        <w:t>Social Choice and Welfare</w:t>
      </w:r>
      <w:r w:rsidRPr="002414E9">
        <w:rPr>
          <w:rFonts w:eastAsia="DengXian" w:cs="Times New Roman"/>
          <w:noProof/>
          <w:lang w:eastAsia="zh-CN"/>
        </w:rPr>
        <w:t xml:space="preserve">, </w:t>
      </w:r>
      <w:r w:rsidRPr="002414E9">
        <w:rPr>
          <w:rFonts w:eastAsia="DengXian" w:cs="Times New Roman"/>
          <w:i/>
          <w:iCs/>
          <w:noProof/>
          <w:lang w:eastAsia="zh-CN"/>
        </w:rPr>
        <w:t>48</w:t>
      </w:r>
      <w:r w:rsidRPr="002414E9">
        <w:rPr>
          <w:rFonts w:eastAsia="DengXian" w:cs="Times New Roman"/>
          <w:noProof/>
          <w:lang w:eastAsia="zh-CN"/>
        </w:rPr>
        <w:t xml:space="preserve">(4), 815–835. </w:t>
      </w:r>
      <w:r w:rsidRPr="002414E9">
        <w:rPr>
          <w:rFonts w:eastAsia="DengXian" w:cs="Times New Roman"/>
          <w:noProof/>
          <w:lang w:eastAsia="zh-CN"/>
        </w:rPr>
        <w:lastRenderedPageBreak/>
        <w:t>https://doi.org/10.1007/s00355-017-1036-x</w:t>
      </w:r>
    </w:p>
    <w:p w14:paraId="6FDB647E" w14:textId="1535B64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Liu, J., Guo, K., &amp; Jiang, Y. (2013). Butong shehui liangnan huanjing xia de geti juece xingwei yanjiu: Jiyu gonggongping he gonggong chitang ziyuan shiyan de bijiao [A study of individual decision-making behavior in different social dilemma environment: Based on experiment comparison of public goods and common pool resources]. </w:t>
      </w:r>
      <w:r w:rsidRPr="002414E9">
        <w:rPr>
          <w:rFonts w:eastAsia="DengXian" w:cs="Times New Roman"/>
          <w:i/>
          <w:noProof/>
          <w:lang w:eastAsia="zh-CN"/>
        </w:rPr>
        <w:t>Ecological Economy, 12</w:t>
      </w:r>
      <w:r w:rsidRPr="002414E9">
        <w:rPr>
          <w:rFonts w:eastAsia="DengXian" w:cs="Times New Roman"/>
          <w:noProof/>
          <w:lang w:eastAsia="zh-CN"/>
        </w:rPr>
        <w:t>, 26–31.</w:t>
      </w:r>
    </w:p>
    <w:p w14:paraId="4EAB31A1" w14:textId="489D6A26" w:rsidR="002414E9" w:rsidRPr="002414E9" w:rsidRDefault="002414E9" w:rsidP="002414E9">
      <w:pPr>
        <w:widowControl w:val="0"/>
        <w:autoSpaceDE w:val="0"/>
        <w:autoSpaceDN w:val="0"/>
        <w:adjustRightInd w:val="0"/>
        <w:ind w:left="709" w:hanging="709"/>
        <w:rPr>
          <w:rFonts w:eastAsia="DengXian" w:cs="Times New Roman"/>
          <w:bCs/>
          <w:noProof/>
          <w:lang w:eastAsia="zh-CN"/>
        </w:rPr>
      </w:pPr>
      <w:bookmarkStart w:id="79" w:name="_Hlk74304197"/>
      <w:r w:rsidRPr="002414E9">
        <w:rPr>
          <w:rFonts w:eastAsia="DengXian" w:cs="Times New Roman"/>
          <w:bCs/>
          <w:noProof/>
          <w:lang w:eastAsia="zh-CN"/>
        </w:rPr>
        <w:t xml:space="preserve">Liu, P. P. (2014). </w:t>
      </w:r>
      <w:r w:rsidRPr="002414E9">
        <w:rPr>
          <w:rFonts w:eastAsia="DengXian" w:cs="Times New Roman"/>
          <w:bCs/>
          <w:i/>
          <w:iCs/>
          <w:noProof/>
          <w:lang w:eastAsia="zh-CN"/>
        </w:rPr>
        <w:t>Learning about a reciprocating opponent in an iterated prisoner's dilemma</w:t>
      </w:r>
      <w:r w:rsidRPr="002414E9">
        <w:rPr>
          <w:rFonts w:eastAsia="DengXian" w:cs="Times New Roman"/>
          <w:bCs/>
          <w:noProof/>
          <w:lang w:eastAsia="zh-CN"/>
        </w:rPr>
        <w:t xml:space="preserve"> (Publication No. 3684414) [Doctoral dissertation, State University of New York at Stony Brook]. </w:t>
      </w:r>
      <w:bookmarkStart w:id="80" w:name="_Hlk54459768"/>
      <w:r w:rsidRPr="002414E9">
        <w:rPr>
          <w:rFonts w:eastAsia="DengXian" w:cs="Times New Roman"/>
          <w:bCs/>
          <w:noProof/>
          <w:lang w:eastAsia="zh-CN"/>
        </w:rPr>
        <w:t>ProQuest Dissertations Publishing.</w:t>
      </w:r>
      <w:bookmarkEnd w:id="80"/>
    </w:p>
    <w:bookmarkEnd w:id="79"/>
    <w:p w14:paraId="189BD112" w14:textId="59FE16C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Liu, X., Ma, J., &amp; Zhu, Y. (2010). </w:t>
      </w:r>
      <w:r w:rsidRPr="002414E9">
        <w:rPr>
          <w:rFonts w:eastAsia="DengXian" w:cs="Times New Roman"/>
          <w:noProof/>
          <w:lang w:eastAsia="zh-CN"/>
        </w:rPr>
        <w:t xml:space="preserve">Cong guiyin shijiao tantao gonggong wupin liangnan zhong chenfa xitong dui hezuo de yingxiang [The influence of sanction system on cooperation in public good games from attribution perspective]. </w:t>
      </w:r>
      <w:r w:rsidRPr="002414E9">
        <w:rPr>
          <w:rFonts w:eastAsia="DengXian" w:cs="Times New Roman"/>
          <w:i/>
          <w:noProof/>
          <w:lang w:eastAsia="zh-CN"/>
        </w:rPr>
        <w:t>Chinese Journal of Applied Psychology, 16</w:t>
      </w:r>
      <w:r w:rsidRPr="002414E9">
        <w:rPr>
          <w:rFonts w:eastAsia="DengXian" w:cs="Times New Roman"/>
          <w:noProof/>
          <w:lang w:eastAsia="zh-CN"/>
        </w:rPr>
        <w:t>(4), 332–340.</w:t>
      </w:r>
    </w:p>
    <w:bookmarkEnd w:id="78"/>
    <w:p w14:paraId="2CB06260" w14:textId="03BCF4D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Liu, Y., &amp; Dou, K. (2015). Renji kongzhigan dui hezuo xingwei de yingxiang: yixiang qiutu kunjing de ERPs yanjiu [The effect of perceived interpersonal control on cooperation behavior: An ERP investigation using the prisoner's dilemma game]. </w:t>
      </w:r>
      <w:r w:rsidRPr="002414E9">
        <w:rPr>
          <w:rFonts w:eastAsia="DengXian" w:cs="Times New Roman"/>
          <w:i/>
          <w:noProof/>
          <w:lang w:eastAsia="zh-CN"/>
        </w:rPr>
        <w:t>Psychological Science (Chinese), 38</w:t>
      </w:r>
      <w:r w:rsidRPr="002414E9">
        <w:rPr>
          <w:rFonts w:eastAsia="DengXian" w:cs="Times New Roman"/>
          <w:noProof/>
          <w:lang w:eastAsia="zh-CN"/>
        </w:rPr>
        <w:t>(3), 643–650.</w:t>
      </w:r>
    </w:p>
    <w:p w14:paraId="05BAD79E" w14:textId="03098B1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Liu, Z., &amp; Du, X. (2013). Shehui jiazhi quxiang he renwu tezheng dui daxuesheng hezuo xingwei de yingxiang [The effects of social value orientation and task characteristics on college students' cooperative behavior]. </w:t>
      </w:r>
      <w:r w:rsidRPr="002414E9">
        <w:rPr>
          <w:rFonts w:eastAsia="DengXian" w:cs="Times New Roman"/>
          <w:i/>
          <w:noProof/>
          <w:lang w:eastAsia="zh-CN"/>
        </w:rPr>
        <w:t>Youth &amp; Juvenile Research, 4</w:t>
      </w:r>
      <w:r w:rsidRPr="002414E9">
        <w:rPr>
          <w:rFonts w:eastAsia="DengXian" w:cs="Times New Roman"/>
          <w:noProof/>
          <w:lang w:eastAsia="zh-CN"/>
        </w:rPr>
        <w:t>, 24–28.</w:t>
      </w:r>
    </w:p>
    <w:p w14:paraId="36E2343F" w14:textId="18F4739A"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Lodewijkx, H. F., Wildschut, T., Syroit, J. E., Visser, L., &amp; Rabbie, J. M. (1999). Competition between individuals and groups: Do incentives matter? A group adaptiveness perspective. </w:t>
      </w:r>
      <w:r w:rsidRPr="002414E9">
        <w:rPr>
          <w:rFonts w:eastAsia="DengXian" w:cs="Times New Roman"/>
          <w:bCs/>
          <w:i/>
          <w:iCs/>
          <w:noProof/>
          <w:lang w:eastAsia="zh-CN"/>
        </w:rPr>
        <w:t>Small Group Research</w:t>
      </w:r>
      <w:r w:rsidRPr="002414E9">
        <w:rPr>
          <w:rFonts w:eastAsia="DengXian" w:cs="Times New Roman"/>
          <w:bCs/>
          <w:noProof/>
          <w:lang w:eastAsia="zh-CN"/>
        </w:rPr>
        <w:t xml:space="preserve">, </w:t>
      </w:r>
      <w:r w:rsidRPr="002414E9">
        <w:rPr>
          <w:rFonts w:eastAsia="DengXian" w:cs="Times New Roman"/>
          <w:bCs/>
          <w:i/>
          <w:iCs/>
          <w:noProof/>
          <w:lang w:eastAsia="zh-CN"/>
        </w:rPr>
        <w:t>30</w:t>
      </w:r>
      <w:r w:rsidRPr="002414E9">
        <w:rPr>
          <w:rFonts w:eastAsia="DengXian" w:cs="Times New Roman"/>
          <w:bCs/>
          <w:noProof/>
          <w:lang w:eastAsia="zh-CN"/>
        </w:rPr>
        <w:t>(4), 387–404. https://doi.org/10.1177/104649649903000401</w:t>
      </w:r>
    </w:p>
    <w:p w14:paraId="1EFB27AF" w14:textId="75038BB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lastRenderedPageBreak/>
        <w:t xml:space="preserve">Lohse, J. (2016). Smart or selfish – When smart guys finish nice. </w:t>
      </w:r>
      <w:r w:rsidRPr="002414E9">
        <w:rPr>
          <w:rFonts w:eastAsia="DengXian" w:cs="Times New Roman"/>
          <w:i/>
          <w:iCs/>
          <w:noProof/>
          <w:lang w:eastAsia="zh-CN"/>
        </w:rPr>
        <w:t>Journal of Behavioral and Experimental Economics</w:t>
      </w:r>
      <w:r w:rsidRPr="002414E9">
        <w:rPr>
          <w:rFonts w:eastAsia="DengXian" w:cs="Times New Roman"/>
          <w:noProof/>
          <w:lang w:eastAsia="zh-CN"/>
        </w:rPr>
        <w:t xml:space="preserve">, </w:t>
      </w:r>
      <w:r w:rsidRPr="002414E9">
        <w:rPr>
          <w:rFonts w:eastAsia="DengXian" w:cs="Times New Roman"/>
          <w:i/>
          <w:iCs/>
          <w:noProof/>
          <w:lang w:eastAsia="zh-CN"/>
        </w:rPr>
        <w:t>64</w:t>
      </w:r>
      <w:r w:rsidRPr="002414E9">
        <w:rPr>
          <w:rFonts w:eastAsia="DengXian" w:cs="Times New Roman"/>
          <w:noProof/>
          <w:lang w:eastAsia="zh-CN"/>
        </w:rPr>
        <w:t>, 28–40. https://doi.org/10.1016/j.socec.2016.04.002</w:t>
      </w:r>
    </w:p>
    <w:p w14:paraId="242E3367" w14:textId="24141B9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Lönnqvist, J.-E., Verkasalo, M., &amp; Walkowitz, G. (2011). </w:t>
      </w:r>
      <w:r w:rsidRPr="002414E9">
        <w:rPr>
          <w:rFonts w:eastAsia="DengXian" w:cs="Times New Roman"/>
          <w:noProof/>
          <w:lang w:eastAsia="zh-CN"/>
        </w:rPr>
        <w:t xml:space="preserve">It pays to pay – Big Five personality influences on co-operative behaviour in an incentivized and hypothetical prisoner’s dilemma game. </w:t>
      </w:r>
      <w:r w:rsidRPr="002414E9">
        <w:rPr>
          <w:rFonts w:eastAsia="DengXian" w:cs="Times New Roman"/>
          <w:i/>
          <w:iCs/>
          <w:noProof/>
          <w:lang w:eastAsia="zh-CN"/>
        </w:rPr>
        <w:t>Personality and Individual Differences</w:t>
      </w:r>
      <w:r w:rsidRPr="002414E9">
        <w:rPr>
          <w:rFonts w:eastAsia="DengXian" w:cs="Times New Roman"/>
          <w:noProof/>
          <w:lang w:eastAsia="zh-CN"/>
        </w:rPr>
        <w:t xml:space="preserve">, </w:t>
      </w:r>
      <w:r w:rsidRPr="002414E9">
        <w:rPr>
          <w:rFonts w:eastAsia="DengXian" w:cs="Times New Roman"/>
          <w:i/>
          <w:iCs/>
          <w:noProof/>
          <w:lang w:eastAsia="zh-CN"/>
        </w:rPr>
        <w:t>50</w:t>
      </w:r>
      <w:r w:rsidRPr="002414E9">
        <w:rPr>
          <w:rFonts w:eastAsia="DengXian" w:cs="Times New Roman"/>
          <w:noProof/>
          <w:lang w:eastAsia="zh-CN"/>
        </w:rPr>
        <w:t>(2), 300–304. https://doi.org/10.1016/j.paid.2010.10.009</w:t>
      </w:r>
    </w:p>
    <w:p w14:paraId="1B76AD31" w14:textId="327237C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Lönnqvist, J.-E., Verkasalo, M., Wichardt, P. C., &amp; Walkowitz, G. (2013). </w:t>
      </w:r>
      <w:r w:rsidRPr="002414E9">
        <w:rPr>
          <w:rFonts w:eastAsia="DengXian" w:cs="Times New Roman"/>
          <w:noProof/>
          <w:lang w:eastAsia="zh-CN"/>
        </w:rPr>
        <w:t xml:space="preserve">Personal values and prosocial behaviour in strategic interactions: Distinguishing value-expressive from value-ambivalent behaviours. </w:t>
      </w:r>
      <w:r w:rsidRPr="002414E9">
        <w:rPr>
          <w:rFonts w:eastAsia="DengXian" w:cs="Times New Roman"/>
          <w:i/>
          <w:iCs/>
          <w:noProof/>
          <w:lang w:eastAsia="zh-CN"/>
        </w:rPr>
        <w:t>European Journal of Social Psychology</w:t>
      </w:r>
      <w:r w:rsidRPr="002414E9">
        <w:rPr>
          <w:rFonts w:eastAsia="DengXian" w:cs="Times New Roman"/>
          <w:noProof/>
          <w:lang w:eastAsia="zh-CN"/>
        </w:rPr>
        <w:t xml:space="preserve">, </w:t>
      </w:r>
      <w:r w:rsidRPr="002414E9">
        <w:rPr>
          <w:rFonts w:eastAsia="DengXian" w:cs="Times New Roman"/>
          <w:i/>
          <w:iCs/>
          <w:noProof/>
          <w:lang w:eastAsia="zh-CN"/>
        </w:rPr>
        <w:t>43</w:t>
      </w:r>
      <w:r w:rsidRPr="002414E9">
        <w:rPr>
          <w:rFonts w:eastAsia="DengXian" w:cs="Times New Roman"/>
          <w:noProof/>
          <w:lang w:eastAsia="zh-CN"/>
        </w:rPr>
        <w:t>(6), 554–569. https://doi.org/10.1002/ejsp.1976</w:t>
      </w:r>
    </w:p>
    <w:p w14:paraId="32DF022D" w14:textId="62D1DC2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Lönnqvist, J.-E., Walkowitz, G., Wichardt, P., Lindeman, M., &amp; Verkasalo, M. (2009). </w:t>
      </w:r>
      <w:r w:rsidRPr="002414E9">
        <w:rPr>
          <w:rFonts w:eastAsia="DengXian" w:cs="Times New Roman"/>
          <w:noProof/>
          <w:lang w:eastAsia="zh-CN"/>
        </w:rPr>
        <w:t xml:space="preserve">The moderating effect of conformism values on the relations between other personal values, social norms, moral obligation, and single altruistic behaviours. </w:t>
      </w:r>
      <w:r w:rsidRPr="002414E9">
        <w:rPr>
          <w:rFonts w:eastAsia="DengXian" w:cs="Times New Roman"/>
          <w:i/>
          <w:iCs/>
          <w:noProof/>
          <w:lang w:eastAsia="zh-CN"/>
        </w:rPr>
        <w:t>British Journal of Social Psychology</w:t>
      </w:r>
      <w:r w:rsidRPr="002414E9">
        <w:rPr>
          <w:rFonts w:eastAsia="DengXian" w:cs="Times New Roman"/>
          <w:noProof/>
          <w:lang w:eastAsia="zh-CN"/>
        </w:rPr>
        <w:t xml:space="preserve">, </w:t>
      </w:r>
      <w:r w:rsidRPr="002414E9">
        <w:rPr>
          <w:rFonts w:eastAsia="DengXian" w:cs="Times New Roman"/>
          <w:i/>
          <w:iCs/>
          <w:noProof/>
          <w:lang w:eastAsia="zh-CN"/>
        </w:rPr>
        <w:t>48</w:t>
      </w:r>
      <w:r w:rsidRPr="002414E9">
        <w:rPr>
          <w:rFonts w:eastAsia="DengXian" w:cs="Times New Roman"/>
          <w:noProof/>
          <w:lang w:eastAsia="zh-CN"/>
        </w:rPr>
        <w:t>(3), 525–546. . https://doi.org/10.1348/014466608X377396</w:t>
      </w:r>
    </w:p>
    <w:p w14:paraId="306335DD" w14:textId="27F7935E"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Lönnqvist, J-E., Sprenger, J., Verkasalo, M. , Walkowitz, G., &amp; Wichardt, P. C. (2012).</w:t>
      </w:r>
      <w:r w:rsidRPr="002414E9">
        <w:rPr>
          <w:rFonts w:eastAsia="DengXian" w:cs="Times New Roman"/>
          <w:bCs/>
          <w:i/>
          <w:iCs/>
          <w:noProof/>
          <w:lang w:val="de-DE" w:eastAsia="zh-CN"/>
        </w:rPr>
        <w:t xml:space="preserve"> </w:t>
      </w:r>
      <w:r w:rsidRPr="002414E9">
        <w:rPr>
          <w:rFonts w:eastAsia="DengXian" w:cs="Times New Roman"/>
          <w:bCs/>
          <w:i/>
          <w:iCs/>
          <w:noProof/>
          <w:lang w:eastAsia="zh-CN"/>
        </w:rPr>
        <w:t>Judgement and Behaviour in the Prisoner's Dilemma: The Impact of Moral and Strategic Considerations</w:t>
      </w:r>
      <w:r w:rsidRPr="002414E9">
        <w:rPr>
          <w:rFonts w:eastAsia="DengXian" w:cs="Times New Roman"/>
          <w:bCs/>
          <w:noProof/>
          <w:lang w:eastAsia="zh-CN"/>
        </w:rPr>
        <w:t xml:space="preserve">. </w:t>
      </w:r>
      <w:r w:rsidRPr="002414E9">
        <w:rPr>
          <w:rFonts w:eastAsia="DengXian" w:cs="Times New Roman"/>
          <w:noProof/>
          <w:lang w:eastAsia="zh-CN"/>
        </w:rPr>
        <w:t>Retrieved</w:t>
      </w:r>
      <w:r w:rsidRPr="002414E9">
        <w:rPr>
          <w:rFonts w:eastAsia="DengXian" w:cs="Times New Roman"/>
          <w:bCs/>
          <w:noProof/>
          <w:lang w:eastAsia="zh-CN"/>
        </w:rPr>
        <w:t xml:space="preserve"> from SSRN 2014854. http://dx.doi.org/10.2139/ssrn.2014854 </w:t>
      </w:r>
    </w:p>
    <w:p w14:paraId="69163DFE" w14:textId="5FDD56C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Loomis, D. K., Samuelson, C. D., &amp; Sell, J. A. (1995). Effects of information and motivational orientation on harvest of a declining renewable resource. </w:t>
      </w:r>
      <w:r w:rsidRPr="002414E9">
        <w:rPr>
          <w:rFonts w:eastAsia="DengXian" w:cs="Times New Roman"/>
          <w:i/>
          <w:iCs/>
          <w:noProof/>
          <w:lang w:eastAsia="zh-CN"/>
        </w:rPr>
        <w:t>Society &amp; Natural Resources</w:t>
      </w:r>
      <w:r w:rsidRPr="002414E9">
        <w:rPr>
          <w:rFonts w:eastAsia="DengXian" w:cs="Times New Roman"/>
          <w:noProof/>
          <w:lang w:eastAsia="zh-CN"/>
        </w:rPr>
        <w:t xml:space="preserve">, </w:t>
      </w:r>
      <w:r w:rsidRPr="002414E9">
        <w:rPr>
          <w:rFonts w:eastAsia="DengXian" w:cs="Times New Roman"/>
          <w:i/>
          <w:iCs/>
          <w:noProof/>
          <w:lang w:eastAsia="zh-CN"/>
        </w:rPr>
        <w:t>8</w:t>
      </w:r>
      <w:r w:rsidRPr="002414E9">
        <w:rPr>
          <w:rFonts w:eastAsia="DengXian" w:cs="Times New Roman"/>
          <w:noProof/>
          <w:lang w:eastAsia="zh-CN"/>
        </w:rPr>
        <w:t>(1), 1–18. https://doi.org/10.1080/08941929509380895</w:t>
      </w:r>
    </w:p>
    <w:p w14:paraId="155529E5" w14:textId="495659F8"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Loomis, J. L. (1959). Communication, the development of trust, and cooperative behavior. </w:t>
      </w:r>
      <w:r w:rsidRPr="002414E9">
        <w:rPr>
          <w:rFonts w:eastAsia="DengXian" w:cs="Times New Roman"/>
          <w:bCs/>
          <w:i/>
          <w:iCs/>
          <w:noProof/>
          <w:lang w:eastAsia="zh-CN"/>
        </w:rPr>
        <w:t>Human Relations</w:t>
      </w:r>
      <w:r w:rsidRPr="002414E9">
        <w:rPr>
          <w:rFonts w:eastAsia="DengXian" w:cs="Times New Roman"/>
          <w:bCs/>
          <w:noProof/>
          <w:lang w:eastAsia="zh-CN"/>
        </w:rPr>
        <w:t xml:space="preserve">, </w:t>
      </w:r>
      <w:r w:rsidRPr="002414E9">
        <w:rPr>
          <w:rFonts w:eastAsia="DengXian" w:cs="Times New Roman"/>
          <w:bCs/>
          <w:i/>
          <w:iCs/>
          <w:noProof/>
          <w:lang w:eastAsia="zh-CN"/>
        </w:rPr>
        <w:t>12</w:t>
      </w:r>
      <w:r w:rsidRPr="002414E9">
        <w:rPr>
          <w:rFonts w:eastAsia="DengXian" w:cs="Times New Roman"/>
          <w:bCs/>
          <w:noProof/>
          <w:lang w:eastAsia="zh-CN"/>
        </w:rPr>
        <w:t>(4), 305–315. https://doi.org/10.1177/001872675901200402</w:t>
      </w:r>
    </w:p>
    <w:p w14:paraId="7F34E9E3" w14:textId="10C664D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s-ES" w:eastAsia="zh-CN"/>
        </w:rPr>
        <w:t xml:space="preserve">Lopez, M. C., &amp; Villamayor-Tomas, S. (2017). </w:t>
      </w:r>
      <w:r w:rsidRPr="002414E9">
        <w:rPr>
          <w:rFonts w:eastAsia="DengXian" w:cs="Times New Roman"/>
          <w:noProof/>
          <w:lang w:eastAsia="zh-CN"/>
        </w:rPr>
        <w:t xml:space="preserve">Understanding the black box of communication </w:t>
      </w:r>
      <w:r w:rsidRPr="002414E9">
        <w:rPr>
          <w:rFonts w:eastAsia="DengXian" w:cs="Times New Roman"/>
          <w:noProof/>
          <w:lang w:eastAsia="zh-CN"/>
        </w:rPr>
        <w:lastRenderedPageBreak/>
        <w:t xml:space="preserve">in a common-pool resource field experiment. </w:t>
      </w:r>
      <w:r w:rsidRPr="002414E9">
        <w:rPr>
          <w:rFonts w:eastAsia="DengXian" w:cs="Times New Roman"/>
          <w:i/>
          <w:iCs/>
          <w:noProof/>
          <w:lang w:eastAsia="zh-CN"/>
        </w:rPr>
        <w:t>Environmental Science &amp; Policy</w:t>
      </w:r>
      <w:r w:rsidRPr="002414E9">
        <w:rPr>
          <w:rFonts w:eastAsia="DengXian" w:cs="Times New Roman"/>
          <w:noProof/>
          <w:lang w:eastAsia="zh-CN"/>
        </w:rPr>
        <w:t xml:space="preserve">, </w:t>
      </w:r>
      <w:r w:rsidRPr="002414E9">
        <w:rPr>
          <w:rFonts w:eastAsia="DengXian" w:cs="Times New Roman"/>
          <w:i/>
          <w:iCs/>
          <w:noProof/>
          <w:lang w:eastAsia="zh-CN"/>
        </w:rPr>
        <w:t>68</w:t>
      </w:r>
      <w:r w:rsidRPr="002414E9">
        <w:rPr>
          <w:rFonts w:eastAsia="DengXian" w:cs="Times New Roman"/>
          <w:noProof/>
          <w:lang w:eastAsia="zh-CN"/>
        </w:rPr>
        <w:t>, 69–79. https://doi.org/10.1016/j.envsci.2016.12.002</w:t>
      </w:r>
    </w:p>
    <w:p w14:paraId="2BFDB668" w14:textId="2617A5E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Lopez, M. C., Murphy, J. J., Spraggon, J. M., &amp; Stranlund, J. K. (2012). Comparing the effectiveness of regulation and pro-social emotions to enhance cooperation: Experimental evidence from fishing communities in Colombia. </w:t>
      </w:r>
      <w:r w:rsidRPr="002414E9">
        <w:rPr>
          <w:rFonts w:eastAsia="DengXian" w:cs="Times New Roman"/>
          <w:i/>
          <w:iCs/>
          <w:noProof/>
          <w:lang w:eastAsia="zh-CN"/>
        </w:rPr>
        <w:t>Economic Inquiry</w:t>
      </w:r>
      <w:r w:rsidRPr="002414E9">
        <w:rPr>
          <w:rFonts w:eastAsia="DengXian" w:cs="Times New Roman"/>
          <w:noProof/>
          <w:lang w:eastAsia="zh-CN"/>
        </w:rPr>
        <w:t xml:space="preserve">, </w:t>
      </w:r>
      <w:r w:rsidRPr="002414E9">
        <w:rPr>
          <w:rFonts w:eastAsia="DengXian" w:cs="Times New Roman"/>
          <w:i/>
          <w:iCs/>
          <w:noProof/>
          <w:lang w:eastAsia="zh-CN"/>
        </w:rPr>
        <w:t>50</w:t>
      </w:r>
      <w:r w:rsidRPr="002414E9">
        <w:rPr>
          <w:rFonts w:eastAsia="DengXian" w:cs="Times New Roman"/>
          <w:noProof/>
          <w:lang w:eastAsia="zh-CN"/>
        </w:rPr>
        <w:t>(1), 131–142. https://doi.org/10.1111/j.1465-7295.2010.00344.x</w:t>
      </w:r>
    </w:p>
    <w:p w14:paraId="4E9C346B" w14:textId="1EE33D73"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en-GB" w:eastAsia="zh-CN"/>
        </w:rPr>
        <w:t xml:space="preserve">López-Pérez, R., &amp; Vorsatz, M. (2010). </w:t>
      </w:r>
      <w:r w:rsidRPr="002414E9">
        <w:rPr>
          <w:rFonts w:eastAsia="DengXian" w:cs="Times New Roman"/>
          <w:bCs/>
          <w:noProof/>
          <w:lang w:eastAsia="zh-CN"/>
        </w:rPr>
        <w:t xml:space="preserve">On approval and disapproval: Theory and experiments. </w:t>
      </w:r>
      <w:r w:rsidRPr="002414E9">
        <w:rPr>
          <w:rFonts w:eastAsia="DengXian" w:cs="Times New Roman"/>
          <w:bCs/>
          <w:i/>
          <w:iCs/>
          <w:noProof/>
          <w:lang w:eastAsia="zh-CN"/>
        </w:rPr>
        <w:t>Journal of Economic Psychology</w:t>
      </w:r>
      <w:r w:rsidRPr="002414E9">
        <w:rPr>
          <w:rFonts w:eastAsia="DengXian" w:cs="Times New Roman"/>
          <w:bCs/>
          <w:noProof/>
          <w:lang w:eastAsia="zh-CN"/>
        </w:rPr>
        <w:t xml:space="preserve">, </w:t>
      </w:r>
      <w:r w:rsidRPr="002414E9">
        <w:rPr>
          <w:rFonts w:eastAsia="DengXian" w:cs="Times New Roman"/>
          <w:bCs/>
          <w:i/>
          <w:iCs/>
          <w:noProof/>
          <w:lang w:eastAsia="zh-CN"/>
        </w:rPr>
        <w:t>31</w:t>
      </w:r>
      <w:r w:rsidRPr="002414E9">
        <w:rPr>
          <w:rFonts w:eastAsia="DengXian" w:cs="Times New Roman"/>
          <w:bCs/>
          <w:noProof/>
          <w:lang w:eastAsia="zh-CN"/>
        </w:rPr>
        <w:t>(4), 527–541. https://doi.org/10.1016/j.joep.2010.03.016</w:t>
      </w:r>
    </w:p>
    <w:p w14:paraId="5993D04D" w14:textId="0C76FC0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Losecaat Vermeer, A. B., Heerema, R. L., &amp; Sanfey, A. G. (2016). </w:t>
      </w:r>
      <w:r w:rsidRPr="002414E9">
        <w:rPr>
          <w:rFonts w:eastAsia="DengXian" w:cs="Times New Roman"/>
          <w:noProof/>
          <w:lang w:eastAsia="zh-CN"/>
        </w:rPr>
        <w:t xml:space="preserve">Third-party cooperation. </w:t>
      </w:r>
      <w:r w:rsidRPr="002414E9">
        <w:rPr>
          <w:rFonts w:eastAsia="DengXian" w:cs="Times New Roman"/>
          <w:i/>
          <w:iCs/>
          <w:noProof/>
          <w:lang w:eastAsia="zh-CN"/>
        </w:rPr>
        <w:t>Personality and Social Psychology Bulletin</w:t>
      </w:r>
      <w:r w:rsidRPr="002414E9">
        <w:rPr>
          <w:rFonts w:eastAsia="DengXian" w:cs="Times New Roman"/>
          <w:noProof/>
          <w:lang w:eastAsia="zh-CN"/>
        </w:rPr>
        <w:t xml:space="preserve">, </w:t>
      </w:r>
      <w:r w:rsidRPr="002414E9">
        <w:rPr>
          <w:rFonts w:eastAsia="DengXian" w:cs="Times New Roman"/>
          <w:i/>
          <w:iCs/>
          <w:noProof/>
          <w:lang w:eastAsia="zh-CN"/>
        </w:rPr>
        <w:t>42</w:t>
      </w:r>
      <w:r w:rsidRPr="002414E9">
        <w:rPr>
          <w:rFonts w:eastAsia="DengXian" w:cs="Times New Roman"/>
          <w:noProof/>
          <w:lang w:eastAsia="zh-CN"/>
        </w:rPr>
        <w:t>(3), 337–349. https://doi.org/10.1177/0146167216629123</w:t>
      </w:r>
    </w:p>
    <w:p w14:paraId="16AAF53D" w14:textId="7076FAB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Lotito, G., Migheli, M., &amp; Ortona, G. (2013). </w:t>
      </w:r>
      <w:r w:rsidRPr="002414E9">
        <w:rPr>
          <w:rFonts w:eastAsia="DengXian" w:cs="Times New Roman"/>
          <w:noProof/>
          <w:lang w:eastAsia="zh-CN"/>
        </w:rPr>
        <w:t xml:space="preserve">Is cooperation instinctive? Evidence from the response times in a public goods game. </w:t>
      </w:r>
      <w:r w:rsidRPr="002414E9">
        <w:rPr>
          <w:rFonts w:eastAsia="DengXian" w:cs="Times New Roman"/>
          <w:i/>
          <w:iCs/>
          <w:noProof/>
          <w:lang w:eastAsia="zh-CN"/>
        </w:rPr>
        <w:t>Journal of Bioeconomics</w:t>
      </w:r>
      <w:r w:rsidRPr="002414E9">
        <w:rPr>
          <w:rFonts w:eastAsia="DengXian" w:cs="Times New Roman"/>
          <w:noProof/>
          <w:lang w:eastAsia="zh-CN"/>
        </w:rPr>
        <w:t xml:space="preserve">, </w:t>
      </w:r>
      <w:r w:rsidRPr="002414E9">
        <w:rPr>
          <w:rFonts w:eastAsia="DengXian" w:cs="Times New Roman"/>
          <w:i/>
          <w:iCs/>
          <w:noProof/>
          <w:lang w:eastAsia="zh-CN"/>
        </w:rPr>
        <w:t>15</w:t>
      </w:r>
      <w:r w:rsidRPr="002414E9">
        <w:rPr>
          <w:rFonts w:eastAsia="DengXian" w:cs="Times New Roman"/>
          <w:noProof/>
          <w:lang w:eastAsia="zh-CN"/>
        </w:rPr>
        <w:t>(2), 123–133. https://doi.org/10.1007/s10818-012-9141-5</w:t>
      </w:r>
    </w:p>
    <w:p w14:paraId="378EE1C7" w14:textId="314C4E6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Lotito, G., Migheli, M., &amp; Ortona, G. (2015). </w:t>
      </w:r>
      <w:r w:rsidRPr="002414E9">
        <w:rPr>
          <w:rFonts w:eastAsia="DengXian" w:cs="Times New Roman"/>
          <w:noProof/>
          <w:lang w:eastAsia="zh-CN"/>
        </w:rPr>
        <w:t xml:space="preserve">An experimental inquiry into the nature of relational goods, and their impact on co-operation. </w:t>
      </w:r>
      <w:r w:rsidRPr="002414E9">
        <w:rPr>
          <w:rFonts w:eastAsia="DengXian" w:cs="Times New Roman"/>
          <w:i/>
          <w:iCs/>
          <w:noProof/>
          <w:lang w:eastAsia="zh-CN"/>
        </w:rPr>
        <w:t>Group Decision and Negotiation</w:t>
      </w:r>
      <w:r w:rsidRPr="002414E9">
        <w:rPr>
          <w:rFonts w:eastAsia="DengXian" w:cs="Times New Roman"/>
          <w:noProof/>
          <w:lang w:eastAsia="zh-CN"/>
        </w:rPr>
        <w:t xml:space="preserve">, </w:t>
      </w:r>
      <w:r w:rsidRPr="002414E9">
        <w:rPr>
          <w:rFonts w:eastAsia="DengXian" w:cs="Times New Roman"/>
          <w:i/>
          <w:iCs/>
          <w:noProof/>
          <w:lang w:eastAsia="zh-CN"/>
        </w:rPr>
        <w:t>24</w:t>
      </w:r>
      <w:r w:rsidRPr="002414E9">
        <w:rPr>
          <w:rFonts w:eastAsia="DengXian" w:cs="Times New Roman"/>
          <w:noProof/>
          <w:lang w:eastAsia="zh-CN"/>
        </w:rPr>
        <w:t>(4), 699–722. https://doi.org/10.1007/s10726-014-9409-3</w:t>
      </w:r>
    </w:p>
    <w:p w14:paraId="7F78671B" w14:textId="5767F2B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Lotz, S. (2015). Spontaneous Giving under structural inequality: Intuition promotes cooperation in asymmetric social dilemmas. </w:t>
      </w:r>
      <w:r w:rsidRPr="002414E9">
        <w:rPr>
          <w:rFonts w:eastAsia="DengXian" w:cs="Times New Roman"/>
          <w:i/>
          <w:iCs/>
          <w:noProof/>
          <w:lang w:eastAsia="zh-CN"/>
        </w:rPr>
        <w:t>PLoS ONE</w:t>
      </w:r>
      <w:r w:rsidRPr="002414E9">
        <w:rPr>
          <w:rFonts w:eastAsia="DengXian" w:cs="Times New Roman"/>
          <w:noProof/>
          <w:lang w:eastAsia="zh-CN"/>
        </w:rPr>
        <w:t xml:space="preserve">, </w:t>
      </w:r>
      <w:r w:rsidRPr="002414E9">
        <w:rPr>
          <w:rFonts w:eastAsia="DengXian" w:cs="Times New Roman"/>
          <w:i/>
          <w:iCs/>
          <w:noProof/>
          <w:lang w:eastAsia="zh-CN"/>
        </w:rPr>
        <w:t>10</w:t>
      </w:r>
      <w:r w:rsidRPr="002414E9">
        <w:rPr>
          <w:rFonts w:eastAsia="DengXian" w:cs="Times New Roman"/>
          <w:noProof/>
          <w:lang w:eastAsia="zh-CN"/>
        </w:rPr>
        <w:t>(7), e0131562. https://doi.org/10.1371/journal.pone.0131562</w:t>
      </w:r>
    </w:p>
    <w:p w14:paraId="49187284" w14:textId="49D6827C" w:rsidR="002414E9" w:rsidRPr="002414E9" w:rsidRDefault="002414E9" w:rsidP="002414E9">
      <w:pPr>
        <w:widowControl w:val="0"/>
        <w:autoSpaceDE w:val="0"/>
        <w:autoSpaceDN w:val="0"/>
        <w:adjustRightInd w:val="0"/>
        <w:ind w:left="709" w:hanging="709"/>
        <w:rPr>
          <w:rFonts w:eastAsia="DengXian" w:cs="Times New Roman"/>
          <w:bCs/>
          <w:noProof/>
          <w:u w:val="single"/>
          <w:lang w:eastAsia="zh-CN"/>
        </w:rPr>
      </w:pPr>
      <w:r w:rsidRPr="002414E9">
        <w:rPr>
          <w:rFonts w:eastAsia="DengXian" w:cs="Times New Roman"/>
          <w:bCs/>
          <w:noProof/>
          <w:lang w:eastAsia="zh-CN"/>
        </w:rPr>
        <w:t xml:space="preserve">Lovejoy, K., Catellier, J., Evans, C., Lohiser, A., &amp; Chiu, I.-H. (2013). Exploring individuals’ social value orientation and decisions in a prisoner’s dilemma. </w:t>
      </w:r>
      <w:r w:rsidRPr="002414E9">
        <w:rPr>
          <w:rFonts w:eastAsia="DengXian" w:cs="Times New Roman"/>
          <w:bCs/>
          <w:i/>
          <w:iCs/>
          <w:noProof/>
          <w:lang w:eastAsia="zh-CN"/>
        </w:rPr>
        <w:t xml:space="preserve">Communication &amp; Science </w:t>
      </w:r>
      <w:r w:rsidRPr="002414E9">
        <w:rPr>
          <w:rFonts w:eastAsia="DengXian" w:cs="Times New Roman"/>
          <w:bCs/>
          <w:i/>
          <w:iCs/>
          <w:noProof/>
          <w:lang w:eastAsia="zh-CN"/>
        </w:rPr>
        <w:lastRenderedPageBreak/>
        <w:t>Journal</w:t>
      </w:r>
      <w:r w:rsidRPr="002414E9">
        <w:rPr>
          <w:rFonts w:eastAsia="DengXian" w:cs="Times New Roman"/>
          <w:bCs/>
          <w:noProof/>
          <w:lang w:eastAsia="zh-CN"/>
        </w:rPr>
        <w:t>. Retrieved from http://www.galileoco.com/comSciJliterature/lovejoy13.pdf</w:t>
      </w:r>
    </w:p>
    <w:p w14:paraId="49EE0799" w14:textId="0BD815C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Lowen, A., &amp; Schmitt, P. (2013). Cooperation limitations under a one-time threat of expulsion and punishment. </w:t>
      </w:r>
      <w:r w:rsidRPr="002414E9">
        <w:rPr>
          <w:rFonts w:eastAsia="DengXian" w:cs="Times New Roman"/>
          <w:i/>
          <w:iCs/>
          <w:noProof/>
          <w:lang w:eastAsia="zh-CN"/>
        </w:rPr>
        <w:t>The Journal of Socio-Economics</w:t>
      </w:r>
      <w:r w:rsidRPr="002414E9">
        <w:rPr>
          <w:rFonts w:eastAsia="DengXian" w:cs="Times New Roman"/>
          <w:noProof/>
          <w:lang w:eastAsia="zh-CN"/>
        </w:rPr>
        <w:t xml:space="preserve">, </w:t>
      </w:r>
      <w:r w:rsidRPr="002414E9">
        <w:rPr>
          <w:rFonts w:eastAsia="DengXian" w:cs="Times New Roman"/>
          <w:i/>
          <w:iCs/>
          <w:noProof/>
          <w:lang w:eastAsia="zh-CN"/>
        </w:rPr>
        <w:t>44</w:t>
      </w:r>
      <w:r w:rsidRPr="002414E9">
        <w:rPr>
          <w:rFonts w:eastAsia="DengXian" w:cs="Times New Roman"/>
          <w:noProof/>
          <w:lang w:eastAsia="zh-CN"/>
        </w:rPr>
        <w:t>, 68–74. https://doi.org/10.1016/j.socec.2013.02.017</w:t>
      </w:r>
    </w:p>
    <w:p w14:paraId="4BA643A9" w14:textId="7BC74DFF"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Lozano, J. H. (2016). Personality and behavior in social dilemmas: Testing the situational strength hypothesis and the role of hypothetical versus real incentives. </w:t>
      </w:r>
      <w:r w:rsidRPr="002414E9">
        <w:rPr>
          <w:rFonts w:eastAsia="DengXian" w:cs="Times New Roman"/>
          <w:bCs/>
          <w:i/>
          <w:iCs/>
          <w:noProof/>
          <w:lang w:eastAsia="zh-CN"/>
        </w:rPr>
        <w:t>Journal of Personality</w:t>
      </w:r>
      <w:r w:rsidRPr="002414E9">
        <w:rPr>
          <w:rFonts w:eastAsia="DengXian" w:cs="Times New Roman"/>
          <w:bCs/>
          <w:noProof/>
          <w:lang w:eastAsia="zh-CN"/>
        </w:rPr>
        <w:t xml:space="preserve">, </w:t>
      </w:r>
      <w:r w:rsidRPr="002414E9">
        <w:rPr>
          <w:rFonts w:eastAsia="DengXian" w:cs="Times New Roman"/>
          <w:bCs/>
          <w:i/>
          <w:iCs/>
          <w:noProof/>
          <w:lang w:eastAsia="zh-CN"/>
        </w:rPr>
        <w:t>84</w:t>
      </w:r>
      <w:r w:rsidRPr="002414E9">
        <w:rPr>
          <w:rFonts w:eastAsia="DengXian" w:cs="Times New Roman"/>
          <w:bCs/>
          <w:noProof/>
          <w:lang w:eastAsia="zh-CN"/>
        </w:rPr>
        <w:t>(1), 71–78. https://doi.org/10.1111/jopy.12139</w:t>
      </w:r>
    </w:p>
    <w:p w14:paraId="447E8462" w14:textId="28083B61"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Lozano, J. H. (2018). The situational strength hypothesis and the measurement of personality. </w:t>
      </w:r>
      <w:r w:rsidRPr="002414E9">
        <w:rPr>
          <w:rFonts w:eastAsia="DengXian" w:cs="Times New Roman"/>
          <w:bCs/>
          <w:i/>
          <w:iCs/>
          <w:noProof/>
          <w:lang w:eastAsia="zh-CN"/>
        </w:rPr>
        <w:t>Social Psychological and Personality Science</w:t>
      </w:r>
      <w:r w:rsidRPr="002414E9">
        <w:rPr>
          <w:rFonts w:eastAsia="DengXian" w:cs="Times New Roman"/>
          <w:bCs/>
          <w:noProof/>
          <w:lang w:eastAsia="zh-CN"/>
        </w:rPr>
        <w:t xml:space="preserve">, </w:t>
      </w:r>
      <w:r w:rsidRPr="002414E9">
        <w:rPr>
          <w:rFonts w:eastAsia="DengXian" w:cs="Times New Roman"/>
          <w:bCs/>
          <w:i/>
          <w:iCs/>
          <w:noProof/>
          <w:lang w:eastAsia="zh-CN"/>
        </w:rPr>
        <w:t>9</w:t>
      </w:r>
      <w:r w:rsidRPr="002414E9">
        <w:rPr>
          <w:rFonts w:eastAsia="DengXian" w:cs="Times New Roman"/>
          <w:bCs/>
          <w:noProof/>
          <w:lang w:eastAsia="zh-CN"/>
        </w:rPr>
        <w:t>(1), 70–79. https://doi.org/10.1177/1948550617699256</w:t>
      </w:r>
    </w:p>
    <w:p w14:paraId="44A98336" w14:textId="5EDAC8E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fr-FR" w:eastAsia="zh-CN"/>
        </w:rPr>
        <w:t xml:space="preserve">Lu, S., Au, W.-T., Jiang, F., Xie, X., &amp; Yam, P. (2013). </w:t>
      </w:r>
      <w:r w:rsidRPr="002414E9">
        <w:rPr>
          <w:rFonts w:eastAsia="DengXian" w:cs="Times New Roman"/>
          <w:noProof/>
          <w:lang w:eastAsia="zh-CN"/>
        </w:rPr>
        <w:t xml:space="preserve">Cooperativeness and competitiveness as two distinct constructs: Validating the Cooperative and Competitive Personality Scale in a social dilemma context. </w:t>
      </w:r>
      <w:r w:rsidRPr="002414E9">
        <w:rPr>
          <w:rFonts w:eastAsia="DengXian" w:cs="Times New Roman"/>
          <w:i/>
          <w:iCs/>
          <w:noProof/>
          <w:lang w:eastAsia="zh-CN"/>
        </w:rPr>
        <w:t>International Journal of Psychology</w:t>
      </w:r>
      <w:r w:rsidRPr="002414E9">
        <w:rPr>
          <w:rFonts w:eastAsia="DengXian" w:cs="Times New Roman"/>
          <w:noProof/>
          <w:lang w:eastAsia="zh-CN"/>
        </w:rPr>
        <w:t xml:space="preserve">, </w:t>
      </w:r>
      <w:r w:rsidRPr="002414E9">
        <w:rPr>
          <w:rFonts w:eastAsia="DengXian" w:cs="Times New Roman"/>
          <w:i/>
          <w:iCs/>
          <w:noProof/>
          <w:lang w:eastAsia="zh-CN"/>
        </w:rPr>
        <w:t>48</w:t>
      </w:r>
      <w:r w:rsidRPr="002414E9">
        <w:rPr>
          <w:rFonts w:eastAsia="DengXian" w:cs="Times New Roman"/>
          <w:noProof/>
          <w:lang w:eastAsia="zh-CN"/>
        </w:rPr>
        <w:t>(6), 1135–1147. https://doi.org/10.1080/00207594.2012.743666</w:t>
      </w:r>
    </w:p>
    <w:p w14:paraId="361B7FC4" w14:textId="0A5B6AB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Luccasen, R. A. (2012). Anchoring effects and participant numbers: Evidence from a Public Good Game. </w:t>
      </w:r>
      <w:r w:rsidRPr="002414E9">
        <w:rPr>
          <w:rFonts w:eastAsia="DengXian" w:cs="Times New Roman"/>
          <w:i/>
          <w:iCs/>
          <w:noProof/>
          <w:lang w:eastAsia="zh-CN"/>
        </w:rPr>
        <w:t>Social Science Quarterly</w:t>
      </w:r>
      <w:r w:rsidRPr="002414E9">
        <w:rPr>
          <w:rFonts w:eastAsia="DengXian" w:cs="Times New Roman"/>
          <w:noProof/>
          <w:lang w:eastAsia="zh-CN"/>
        </w:rPr>
        <w:t xml:space="preserve">, </w:t>
      </w:r>
      <w:r w:rsidRPr="002414E9">
        <w:rPr>
          <w:rFonts w:eastAsia="DengXian" w:cs="Times New Roman"/>
          <w:i/>
          <w:iCs/>
          <w:noProof/>
          <w:lang w:eastAsia="zh-CN"/>
        </w:rPr>
        <w:t>93</w:t>
      </w:r>
      <w:r w:rsidRPr="002414E9">
        <w:rPr>
          <w:rFonts w:eastAsia="DengXian" w:cs="Times New Roman"/>
          <w:noProof/>
          <w:lang w:eastAsia="zh-CN"/>
        </w:rPr>
        <w:t>(3), 858–865. https://doi.org/10.1111/j.1540-6237.2012.00866.x</w:t>
      </w:r>
    </w:p>
    <w:p w14:paraId="5801512D" w14:textId="7019CBE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Lugovskyy, V., Puzzello, D., Sorensen, A., Walker, J., &amp; Williams, A. (2017). An experimental study of finitely and infinitely repeated linear public goods games. </w:t>
      </w:r>
      <w:r w:rsidRPr="002414E9">
        <w:rPr>
          <w:rFonts w:eastAsia="DengXian" w:cs="Times New Roman"/>
          <w:i/>
          <w:iCs/>
          <w:noProof/>
          <w:lang w:eastAsia="zh-CN"/>
        </w:rPr>
        <w:t>Games and Economic Behavior</w:t>
      </w:r>
      <w:r w:rsidRPr="002414E9">
        <w:rPr>
          <w:rFonts w:eastAsia="DengXian" w:cs="Times New Roman"/>
          <w:noProof/>
          <w:lang w:eastAsia="zh-CN"/>
        </w:rPr>
        <w:t xml:space="preserve">, </w:t>
      </w:r>
      <w:r w:rsidRPr="002414E9">
        <w:rPr>
          <w:rFonts w:eastAsia="DengXian" w:cs="Times New Roman"/>
          <w:i/>
          <w:iCs/>
          <w:noProof/>
          <w:lang w:eastAsia="zh-CN"/>
        </w:rPr>
        <w:t>102</w:t>
      </w:r>
      <w:r w:rsidRPr="002414E9">
        <w:rPr>
          <w:rFonts w:eastAsia="DengXian" w:cs="Times New Roman"/>
          <w:noProof/>
          <w:lang w:eastAsia="zh-CN"/>
        </w:rPr>
        <w:t>, 286–302. https://doi.org/10.1016/j.geb.2017.01.004</w:t>
      </w:r>
    </w:p>
    <w:p w14:paraId="4594166C" w14:textId="28B0BD41"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Lukinova, E., &amp; Myagkov, M. (2016). Impact of short social training on prosocial behaviors: An fMRI study. </w:t>
      </w:r>
      <w:r w:rsidRPr="002414E9">
        <w:rPr>
          <w:rFonts w:eastAsia="DengXian" w:cs="Times New Roman"/>
          <w:bCs/>
          <w:i/>
          <w:iCs/>
          <w:noProof/>
          <w:lang w:eastAsia="zh-CN"/>
        </w:rPr>
        <w:t>Frontiers in Systems Neuroscience</w:t>
      </w:r>
      <w:r w:rsidRPr="002414E9">
        <w:rPr>
          <w:rFonts w:eastAsia="DengXian" w:cs="Times New Roman"/>
          <w:bCs/>
          <w:noProof/>
          <w:lang w:eastAsia="zh-CN"/>
        </w:rPr>
        <w:t xml:space="preserve">, </w:t>
      </w:r>
      <w:r w:rsidRPr="002414E9">
        <w:rPr>
          <w:rFonts w:eastAsia="DengXian" w:cs="Times New Roman"/>
          <w:bCs/>
          <w:i/>
          <w:iCs/>
          <w:noProof/>
          <w:lang w:eastAsia="zh-CN"/>
        </w:rPr>
        <w:t>10</w:t>
      </w:r>
      <w:r w:rsidRPr="002414E9">
        <w:rPr>
          <w:rFonts w:eastAsia="DengXian" w:cs="Times New Roman"/>
          <w:bCs/>
          <w:noProof/>
          <w:lang w:eastAsia="zh-CN"/>
        </w:rPr>
        <w:t>, 60. https://doi.org/10.3389/fnsys.2016.00060</w:t>
      </w:r>
    </w:p>
    <w:p w14:paraId="5D2CF65D" w14:textId="1F593A29"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lastRenderedPageBreak/>
        <w:t xml:space="preserve">Lumsden, M. (1966). Perception and information in strategic thinking. </w:t>
      </w:r>
      <w:r w:rsidRPr="002414E9">
        <w:rPr>
          <w:rFonts w:eastAsia="DengXian" w:cs="Times New Roman"/>
          <w:bCs/>
          <w:i/>
          <w:iCs/>
          <w:noProof/>
          <w:lang w:eastAsia="zh-CN"/>
        </w:rPr>
        <w:t>Journal of Peace Research</w:t>
      </w:r>
      <w:r w:rsidRPr="002414E9">
        <w:rPr>
          <w:rFonts w:eastAsia="DengXian" w:cs="Times New Roman"/>
          <w:bCs/>
          <w:noProof/>
          <w:lang w:eastAsia="zh-CN"/>
        </w:rPr>
        <w:t xml:space="preserve">, </w:t>
      </w:r>
      <w:r w:rsidRPr="002414E9">
        <w:rPr>
          <w:rFonts w:eastAsia="DengXian" w:cs="Times New Roman"/>
          <w:bCs/>
          <w:i/>
          <w:iCs/>
          <w:noProof/>
          <w:lang w:eastAsia="zh-CN"/>
        </w:rPr>
        <w:t>3</w:t>
      </w:r>
      <w:r w:rsidRPr="002414E9">
        <w:rPr>
          <w:rFonts w:eastAsia="DengXian" w:cs="Times New Roman"/>
          <w:bCs/>
          <w:noProof/>
          <w:lang w:eastAsia="zh-CN"/>
        </w:rPr>
        <w:t>(3), 257–276. https://doi.org/10.1177/002234336600300304</w:t>
      </w:r>
    </w:p>
    <w:p w14:paraId="20F4326B" w14:textId="3D18FEAD"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Lumsden, M. (1967). Social position and cognitive style in strategic thinking. </w:t>
      </w:r>
      <w:r w:rsidRPr="002414E9">
        <w:rPr>
          <w:rFonts w:eastAsia="DengXian" w:cs="Times New Roman"/>
          <w:bCs/>
          <w:i/>
          <w:iCs/>
          <w:noProof/>
          <w:lang w:eastAsia="zh-CN"/>
        </w:rPr>
        <w:t>Journal of Peace Research</w:t>
      </w:r>
      <w:r w:rsidRPr="002414E9">
        <w:rPr>
          <w:rFonts w:eastAsia="DengXian" w:cs="Times New Roman"/>
          <w:bCs/>
          <w:noProof/>
          <w:lang w:eastAsia="zh-CN"/>
        </w:rPr>
        <w:t xml:space="preserve">, </w:t>
      </w:r>
      <w:r w:rsidRPr="002414E9">
        <w:rPr>
          <w:rFonts w:eastAsia="DengXian" w:cs="Times New Roman"/>
          <w:bCs/>
          <w:i/>
          <w:iCs/>
          <w:noProof/>
          <w:lang w:eastAsia="zh-CN"/>
        </w:rPr>
        <w:t>4</w:t>
      </w:r>
      <w:r w:rsidRPr="002414E9">
        <w:rPr>
          <w:rFonts w:eastAsia="DengXian" w:cs="Times New Roman"/>
          <w:bCs/>
          <w:noProof/>
          <w:lang w:eastAsia="zh-CN"/>
        </w:rPr>
        <w:t>(3), 289–303. https://doi.org/10.1177/002234336700400305</w:t>
      </w:r>
    </w:p>
    <w:p w14:paraId="533EE42C" w14:textId="02EF0D24"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nl-NL" w:eastAsia="zh-CN"/>
        </w:rPr>
        <w:t xml:space="preserve">Luo, Y., Zhang, S., Tao, R., &amp; Geng, H. (2016). </w:t>
      </w:r>
      <w:r w:rsidRPr="002414E9">
        <w:rPr>
          <w:rFonts w:eastAsia="DengXian" w:cs="Times New Roman"/>
          <w:bCs/>
          <w:noProof/>
          <w:lang w:eastAsia="zh-CN"/>
        </w:rPr>
        <w:t xml:space="preserve">The power of subliminal and supraliminal eye contact on social decision making: An individual-difference perspective. </w:t>
      </w:r>
      <w:r w:rsidRPr="002414E9">
        <w:rPr>
          <w:rFonts w:eastAsia="DengXian" w:cs="Times New Roman"/>
          <w:bCs/>
          <w:i/>
          <w:iCs/>
          <w:noProof/>
          <w:lang w:eastAsia="zh-CN"/>
        </w:rPr>
        <w:t>Consciousness and Cognition</w:t>
      </w:r>
      <w:r w:rsidRPr="002414E9">
        <w:rPr>
          <w:rFonts w:eastAsia="DengXian" w:cs="Times New Roman"/>
          <w:bCs/>
          <w:noProof/>
          <w:lang w:eastAsia="zh-CN"/>
        </w:rPr>
        <w:t xml:space="preserve">, </w:t>
      </w:r>
      <w:r w:rsidRPr="002414E9">
        <w:rPr>
          <w:rFonts w:eastAsia="DengXian" w:cs="Times New Roman"/>
          <w:bCs/>
          <w:i/>
          <w:iCs/>
          <w:noProof/>
          <w:lang w:eastAsia="zh-CN"/>
        </w:rPr>
        <w:t>40</w:t>
      </w:r>
      <w:r w:rsidRPr="002414E9">
        <w:rPr>
          <w:rFonts w:eastAsia="DengXian" w:cs="Times New Roman"/>
          <w:bCs/>
          <w:noProof/>
          <w:lang w:eastAsia="zh-CN"/>
        </w:rPr>
        <w:t>, 131–140. https://doi.org/10.1016/j.concog.2016.01.001</w:t>
      </w:r>
    </w:p>
    <w:p w14:paraId="2EC459C1" w14:textId="27D7CCD6" w:rsidR="002414E9" w:rsidRPr="002414E9" w:rsidRDefault="002414E9" w:rsidP="002414E9">
      <w:pPr>
        <w:widowControl w:val="0"/>
        <w:autoSpaceDE w:val="0"/>
        <w:autoSpaceDN w:val="0"/>
        <w:adjustRightInd w:val="0"/>
        <w:ind w:left="709" w:hanging="709"/>
        <w:rPr>
          <w:rFonts w:eastAsia="DengXian" w:cs="Times New Roman"/>
          <w:bCs/>
          <w:noProof/>
          <w:u w:val="single"/>
          <w:lang w:eastAsia="zh-CN"/>
        </w:rPr>
      </w:pPr>
      <w:r w:rsidRPr="002414E9">
        <w:rPr>
          <w:rFonts w:eastAsia="DengXian" w:cs="Times New Roman"/>
          <w:bCs/>
          <w:noProof/>
          <w:lang w:val="fr-FR" w:eastAsia="zh-CN"/>
        </w:rPr>
        <w:t xml:space="preserve">Lyons, M. T., &amp; Aitken, S. J. (2008). </w:t>
      </w:r>
      <w:r w:rsidRPr="002414E9">
        <w:rPr>
          <w:rFonts w:eastAsia="DengXian" w:cs="Times New Roman"/>
          <w:bCs/>
          <w:noProof/>
          <w:lang w:eastAsia="zh-CN"/>
        </w:rPr>
        <w:t xml:space="preserve">Machiavellianism in strangers affects cooperation. </w:t>
      </w:r>
      <w:r w:rsidRPr="002414E9">
        <w:rPr>
          <w:rFonts w:eastAsia="DengXian" w:cs="Times New Roman"/>
          <w:bCs/>
          <w:i/>
          <w:iCs/>
          <w:noProof/>
          <w:lang w:eastAsia="zh-CN"/>
        </w:rPr>
        <w:t>Journal of Evolutionary Psychology</w:t>
      </w:r>
      <w:r w:rsidRPr="002414E9">
        <w:rPr>
          <w:rFonts w:eastAsia="DengXian" w:cs="Times New Roman"/>
          <w:bCs/>
          <w:noProof/>
          <w:lang w:eastAsia="zh-CN"/>
        </w:rPr>
        <w:t xml:space="preserve">, </w:t>
      </w:r>
      <w:r w:rsidRPr="002414E9">
        <w:rPr>
          <w:rFonts w:eastAsia="DengXian" w:cs="Times New Roman"/>
          <w:bCs/>
          <w:i/>
          <w:iCs/>
          <w:noProof/>
          <w:lang w:eastAsia="zh-CN"/>
        </w:rPr>
        <w:t>6</w:t>
      </w:r>
      <w:r w:rsidRPr="002414E9">
        <w:rPr>
          <w:rFonts w:eastAsia="DengXian" w:cs="Times New Roman"/>
          <w:bCs/>
          <w:noProof/>
          <w:lang w:eastAsia="zh-CN"/>
        </w:rPr>
        <w:t>(3), 173–185. https://doi.org/10.1556/jep.6.2008.3.2</w:t>
      </w:r>
    </w:p>
    <w:p w14:paraId="3DB41EED" w14:textId="1CD9EE6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Ma, J., &amp; Xu, M. (2011). Xinren jiqi dui gonggong caichan liangnan boyi zhong hezuo xingwei de yingxiang [Trust and its impact on cooperation in public goods dilemma]. </w:t>
      </w:r>
      <w:r w:rsidRPr="002414E9">
        <w:rPr>
          <w:rFonts w:eastAsia="DengXian" w:cs="Times New Roman"/>
          <w:i/>
          <w:noProof/>
          <w:lang w:eastAsia="zh-CN"/>
        </w:rPr>
        <w:t>Chinese Journal of Applied Psychology, 17</w:t>
      </w:r>
      <w:r w:rsidRPr="002414E9">
        <w:rPr>
          <w:rFonts w:eastAsia="DengXian" w:cs="Times New Roman"/>
          <w:noProof/>
          <w:lang w:eastAsia="zh-CN"/>
        </w:rPr>
        <w:t>(1), 10–17.</w:t>
      </w:r>
    </w:p>
    <w:p w14:paraId="42132D75" w14:textId="6F9BF34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Maas, A., Goemans, C., Manning, D., Kroll, S., &amp; Brown, T. (2017). Dilemmas, coordination and defection: How uncertain tipping points induce common pool resource destruction. </w:t>
      </w:r>
      <w:r w:rsidRPr="002414E9">
        <w:rPr>
          <w:rFonts w:eastAsia="DengXian" w:cs="Times New Roman"/>
          <w:i/>
          <w:iCs/>
          <w:noProof/>
          <w:lang w:eastAsia="zh-CN"/>
        </w:rPr>
        <w:t>Games and Economic Behavior</w:t>
      </w:r>
      <w:r w:rsidRPr="002414E9">
        <w:rPr>
          <w:rFonts w:eastAsia="DengXian" w:cs="Times New Roman"/>
          <w:noProof/>
          <w:lang w:eastAsia="zh-CN"/>
        </w:rPr>
        <w:t xml:space="preserve">, </w:t>
      </w:r>
      <w:r w:rsidRPr="002414E9">
        <w:rPr>
          <w:rFonts w:eastAsia="DengXian" w:cs="Times New Roman"/>
          <w:i/>
          <w:iCs/>
          <w:noProof/>
          <w:lang w:eastAsia="zh-CN"/>
        </w:rPr>
        <w:t>104</w:t>
      </w:r>
      <w:r w:rsidRPr="002414E9">
        <w:rPr>
          <w:rFonts w:eastAsia="DengXian" w:cs="Times New Roman"/>
          <w:noProof/>
          <w:lang w:eastAsia="zh-CN"/>
        </w:rPr>
        <w:t>, 760–774. https://doi.org/10.1016/j.geb.2017.06.009</w:t>
      </w:r>
    </w:p>
    <w:p w14:paraId="15A8FD1E" w14:textId="72237E06"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Mack, D., &amp; Knight, G. P. (1972). Information on the nature of the game as a determinant of behavior in the prisoner’s dilemma. </w:t>
      </w:r>
      <w:r w:rsidRPr="002414E9">
        <w:rPr>
          <w:rFonts w:eastAsia="DengXian" w:cs="Times New Roman"/>
          <w:bCs/>
          <w:i/>
          <w:iCs/>
          <w:noProof/>
          <w:lang w:eastAsia="zh-CN"/>
        </w:rPr>
        <w:t>Psychonomic Science</w:t>
      </w:r>
      <w:r w:rsidRPr="002414E9">
        <w:rPr>
          <w:rFonts w:eastAsia="DengXian" w:cs="Times New Roman"/>
          <w:bCs/>
          <w:noProof/>
          <w:lang w:eastAsia="zh-CN"/>
        </w:rPr>
        <w:t xml:space="preserve">, </w:t>
      </w:r>
      <w:r w:rsidRPr="002414E9">
        <w:rPr>
          <w:rFonts w:eastAsia="DengXian" w:cs="Times New Roman"/>
          <w:bCs/>
          <w:i/>
          <w:iCs/>
          <w:noProof/>
          <w:lang w:eastAsia="zh-CN"/>
        </w:rPr>
        <w:t>27</w:t>
      </w:r>
      <w:r w:rsidRPr="002414E9">
        <w:rPr>
          <w:rFonts w:eastAsia="DengXian" w:cs="Times New Roman"/>
          <w:bCs/>
          <w:noProof/>
          <w:lang w:eastAsia="zh-CN"/>
        </w:rPr>
        <w:t>(2), 99–100. https://doi.org/10.3758/BF03328901</w:t>
      </w:r>
    </w:p>
    <w:p w14:paraId="0F031289" w14:textId="56A6AF4E"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Macoveanu, J., Ramsoy, T. Z., Skov, M., Siebner, H. R., &amp; Fosgaard, T. R. (2016). The neural bases of framing effects in social dilemmas. </w:t>
      </w:r>
      <w:r w:rsidRPr="002414E9">
        <w:rPr>
          <w:rFonts w:eastAsia="DengXian" w:cs="Times New Roman"/>
          <w:bCs/>
          <w:i/>
          <w:iCs/>
          <w:noProof/>
          <w:lang w:eastAsia="zh-CN"/>
        </w:rPr>
        <w:t>Journal of Neuroscience, Psychology, and Economics</w:t>
      </w:r>
      <w:r w:rsidRPr="002414E9">
        <w:rPr>
          <w:rFonts w:eastAsia="DengXian" w:cs="Times New Roman"/>
          <w:bCs/>
          <w:noProof/>
          <w:lang w:eastAsia="zh-CN"/>
        </w:rPr>
        <w:t xml:space="preserve">, </w:t>
      </w:r>
      <w:r w:rsidRPr="002414E9">
        <w:rPr>
          <w:rFonts w:eastAsia="DengXian" w:cs="Times New Roman"/>
          <w:bCs/>
          <w:i/>
          <w:iCs/>
          <w:noProof/>
          <w:lang w:eastAsia="zh-CN"/>
        </w:rPr>
        <w:t>9</w:t>
      </w:r>
      <w:r w:rsidRPr="002414E9">
        <w:rPr>
          <w:rFonts w:eastAsia="DengXian" w:cs="Times New Roman"/>
          <w:bCs/>
          <w:noProof/>
          <w:lang w:eastAsia="zh-CN"/>
        </w:rPr>
        <w:t>(1), 14–28. https://doi.org/10.1037/npe0000050</w:t>
      </w:r>
    </w:p>
    <w:p w14:paraId="03EAD2D0" w14:textId="7327B248" w:rsidR="002414E9" w:rsidRPr="002414E9" w:rsidRDefault="002414E9" w:rsidP="002414E9">
      <w:pPr>
        <w:widowControl w:val="0"/>
        <w:autoSpaceDE w:val="0"/>
        <w:autoSpaceDN w:val="0"/>
        <w:adjustRightInd w:val="0"/>
        <w:ind w:left="709" w:hanging="709"/>
        <w:rPr>
          <w:rFonts w:eastAsia="DengXian" w:cs="Times New Roman"/>
          <w:bCs/>
          <w:noProof/>
          <w:lang w:eastAsia="zh-CN"/>
        </w:rPr>
      </w:pPr>
      <w:bookmarkStart w:id="81" w:name="_Hlk74304783"/>
      <w:r w:rsidRPr="002414E9">
        <w:rPr>
          <w:rFonts w:eastAsia="DengXian" w:cs="Times New Roman"/>
          <w:bCs/>
          <w:noProof/>
          <w:lang w:eastAsia="zh-CN"/>
        </w:rPr>
        <w:t xml:space="preserve">Majeski, S. (2008). </w:t>
      </w:r>
      <w:r w:rsidRPr="002414E9">
        <w:rPr>
          <w:rFonts w:eastAsia="DengXian" w:cs="Times New Roman"/>
          <w:bCs/>
          <w:i/>
          <w:iCs/>
          <w:noProof/>
          <w:lang w:eastAsia="zh-CN"/>
        </w:rPr>
        <w:t>Small group dynamics and foreign policymaking: Empirical evidence from experiments of repeated prisoners dilemma games</w:t>
      </w:r>
      <w:r w:rsidRPr="002414E9">
        <w:rPr>
          <w:rFonts w:eastAsia="DengXian" w:cs="Times New Roman"/>
          <w:bCs/>
          <w:noProof/>
          <w:lang w:eastAsia="zh-CN"/>
        </w:rPr>
        <w:t xml:space="preserve">. [Paper presentation]. Annual </w:t>
      </w:r>
      <w:r w:rsidRPr="002414E9">
        <w:rPr>
          <w:rFonts w:eastAsia="DengXian" w:cs="Times New Roman"/>
          <w:bCs/>
          <w:noProof/>
          <w:lang w:eastAsia="zh-CN"/>
        </w:rPr>
        <w:lastRenderedPageBreak/>
        <w:t>Conference of the International Studies Association, San Francisco</w:t>
      </w:r>
      <w:r w:rsidRPr="002414E9">
        <w:rPr>
          <w:rFonts w:eastAsia="DengXian" w:cs="Times New Roman"/>
          <w:bCs/>
          <w:i/>
          <w:iCs/>
          <w:noProof/>
          <w:lang w:eastAsia="zh-CN"/>
        </w:rPr>
        <w:t xml:space="preserve">, </w:t>
      </w:r>
      <w:r w:rsidRPr="002414E9">
        <w:rPr>
          <w:rFonts w:eastAsia="DengXian" w:cs="Times New Roman"/>
          <w:bCs/>
          <w:noProof/>
          <w:lang w:eastAsia="zh-CN"/>
        </w:rPr>
        <w:t xml:space="preserve">CA, United States. http://faculty.washington.edu/majeski/majeski.isa08.pap.pdf </w:t>
      </w:r>
    </w:p>
    <w:bookmarkEnd w:id="81"/>
    <w:p w14:paraId="62A61C26" w14:textId="54EF77A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Mak, V., Zwick, R., Rao, A. R., &amp; Pattaratanakun, J. A. (2015). “Pay what you want” as threshold public good provision. </w:t>
      </w:r>
      <w:r w:rsidRPr="002414E9">
        <w:rPr>
          <w:rFonts w:eastAsia="DengXian" w:cs="Times New Roman"/>
          <w:i/>
          <w:iCs/>
          <w:noProof/>
          <w:lang w:eastAsia="zh-CN"/>
        </w:rPr>
        <w:t>Organizational Behavior and Human Decision Processes</w:t>
      </w:r>
      <w:r w:rsidRPr="002414E9">
        <w:rPr>
          <w:rFonts w:eastAsia="DengXian" w:cs="Times New Roman"/>
          <w:noProof/>
          <w:lang w:eastAsia="zh-CN"/>
        </w:rPr>
        <w:t xml:space="preserve">, </w:t>
      </w:r>
      <w:r w:rsidRPr="002414E9">
        <w:rPr>
          <w:rFonts w:eastAsia="DengXian" w:cs="Times New Roman"/>
          <w:i/>
          <w:iCs/>
          <w:noProof/>
          <w:lang w:eastAsia="zh-CN"/>
        </w:rPr>
        <w:t>127</w:t>
      </w:r>
      <w:r w:rsidRPr="002414E9">
        <w:rPr>
          <w:rFonts w:eastAsia="DengXian" w:cs="Times New Roman"/>
          <w:noProof/>
          <w:lang w:eastAsia="zh-CN"/>
        </w:rPr>
        <w:t>, 30–43. https://doi.org/10.1016/j.obhdp.2014.11.004</w:t>
      </w:r>
    </w:p>
    <w:p w14:paraId="1992CC8D" w14:textId="01CE397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Makowsky, M. D., Orman, W. H., &amp; Peart, S. J. (2014). Playing with other people’s money: Contributions to public goods by trustees. </w:t>
      </w:r>
      <w:r w:rsidRPr="002414E9">
        <w:rPr>
          <w:rFonts w:eastAsia="DengXian" w:cs="Times New Roman"/>
          <w:i/>
          <w:iCs/>
          <w:noProof/>
          <w:lang w:eastAsia="zh-CN"/>
        </w:rPr>
        <w:t>Journal of Behavioral and Experimental Economics</w:t>
      </w:r>
      <w:r w:rsidRPr="002414E9">
        <w:rPr>
          <w:rFonts w:eastAsia="DengXian" w:cs="Times New Roman"/>
          <w:noProof/>
          <w:lang w:eastAsia="zh-CN"/>
        </w:rPr>
        <w:t xml:space="preserve">, </w:t>
      </w:r>
      <w:r w:rsidRPr="002414E9">
        <w:rPr>
          <w:rFonts w:eastAsia="DengXian" w:cs="Times New Roman"/>
          <w:i/>
          <w:iCs/>
          <w:noProof/>
          <w:lang w:eastAsia="zh-CN"/>
        </w:rPr>
        <w:t>53</w:t>
      </w:r>
      <w:r w:rsidRPr="002414E9">
        <w:rPr>
          <w:rFonts w:eastAsia="DengXian" w:cs="Times New Roman"/>
          <w:noProof/>
          <w:lang w:eastAsia="zh-CN"/>
        </w:rPr>
        <w:t>, 44–55. https://doi.org/10.1016/j.socec.2014.08.003</w:t>
      </w:r>
    </w:p>
    <w:p w14:paraId="2FBE0288" w14:textId="5F7FE82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Markowska-Przybyła, U., &amp; Ramsey, D. M. (2016). The association between social capital and membership of organisations amongst Polish students. </w:t>
      </w:r>
      <w:r w:rsidRPr="002414E9">
        <w:rPr>
          <w:rFonts w:eastAsia="DengXian" w:cs="Times New Roman"/>
          <w:i/>
          <w:iCs/>
          <w:noProof/>
          <w:lang w:eastAsia="zh-CN"/>
        </w:rPr>
        <w:t>Economics &amp; Sociology</w:t>
      </w:r>
      <w:r w:rsidRPr="002414E9">
        <w:rPr>
          <w:rFonts w:eastAsia="DengXian" w:cs="Times New Roman"/>
          <w:noProof/>
          <w:lang w:eastAsia="zh-CN"/>
        </w:rPr>
        <w:t xml:space="preserve">, </w:t>
      </w:r>
      <w:r w:rsidRPr="002414E9">
        <w:rPr>
          <w:rFonts w:eastAsia="DengXian" w:cs="Times New Roman"/>
          <w:i/>
          <w:iCs/>
          <w:noProof/>
          <w:lang w:eastAsia="zh-CN"/>
        </w:rPr>
        <w:t>9</w:t>
      </w:r>
      <w:r w:rsidRPr="002414E9">
        <w:rPr>
          <w:rFonts w:eastAsia="DengXian" w:cs="Times New Roman"/>
          <w:noProof/>
          <w:lang w:eastAsia="zh-CN"/>
        </w:rPr>
        <w:t>(4), 305–321. https://doi.org/10.14254/2071-789X.2016/9-4/19</w:t>
      </w:r>
    </w:p>
    <w:p w14:paraId="2773F5EC" w14:textId="48FA943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Marks, M., &amp; Croson, R. (1998). Alternative rebate rules in the provision of a threshold public good: An experimental investigation.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67</w:t>
      </w:r>
      <w:r w:rsidRPr="002414E9">
        <w:rPr>
          <w:rFonts w:eastAsia="DengXian" w:cs="Times New Roman"/>
          <w:noProof/>
          <w:lang w:eastAsia="zh-CN"/>
        </w:rPr>
        <w:t>(2), 195–220. https://doi.org/10.1016/S0047-2727(97)00067-4</w:t>
      </w:r>
    </w:p>
    <w:p w14:paraId="26AE2266" w14:textId="5014BD40"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nl-NL" w:eastAsia="zh-CN"/>
        </w:rPr>
        <w:t xml:space="preserve">Marlowe, D., Gergen, K. J., &amp; Doob, A. N. (1966). </w:t>
      </w:r>
      <w:r w:rsidRPr="002414E9">
        <w:rPr>
          <w:rFonts w:eastAsia="DengXian" w:cs="Times New Roman"/>
          <w:bCs/>
          <w:noProof/>
          <w:lang w:eastAsia="zh-CN"/>
        </w:rPr>
        <w:t xml:space="preserve">Opponent's personality, expectation of social interaction, and interpersonal bargaining. </w:t>
      </w:r>
      <w:r w:rsidRPr="002414E9">
        <w:rPr>
          <w:rFonts w:eastAsia="DengXian" w:cs="Times New Roman"/>
          <w:bCs/>
          <w:i/>
          <w:iCs/>
          <w:noProof/>
          <w:lang w:eastAsia="zh-CN"/>
        </w:rPr>
        <w:t>Journal of Personality and Social Psychology, 3</w:t>
      </w:r>
      <w:r w:rsidRPr="002414E9">
        <w:rPr>
          <w:rFonts w:eastAsia="DengXian" w:cs="Times New Roman"/>
          <w:bCs/>
          <w:noProof/>
          <w:lang w:eastAsia="zh-CN"/>
        </w:rPr>
        <w:t>(2), 206–213. https://doi.org/10.1037/h0022898</w:t>
      </w:r>
    </w:p>
    <w:p w14:paraId="016A575C" w14:textId="46AD0DBA"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es-ES" w:eastAsia="zh-CN"/>
        </w:rPr>
        <w:t xml:space="preserve">Martin, J. M., Gonzalez, C., Juvina, I., &amp; Lebiere, C. (2014). </w:t>
      </w:r>
      <w:r w:rsidRPr="002414E9">
        <w:rPr>
          <w:rFonts w:eastAsia="DengXian" w:cs="Times New Roman"/>
          <w:bCs/>
          <w:noProof/>
          <w:lang w:eastAsia="zh-CN"/>
        </w:rPr>
        <w:t xml:space="preserve">A description–experience gap in social interactions: Information about interdependence and its effects on cooperation. </w:t>
      </w:r>
      <w:r w:rsidRPr="002414E9">
        <w:rPr>
          <w:rFonts w:eastAsia="DengXian" w:cs="Times New Roman"/>
          <w:bCs/>
          <w:i/>
          <w:iCs/>
          <w:noProof/>
          <w:lang w:eastAsia="zh-CN"/>
        </w:rPr>
        <w:t>Journal of Behavioral Decision Making</w:t>
      </w:r>
      <w:r w:rsidRPr="002414E9">
        <w:rPr>
          <w:rFonts w:eastAsia="DengXian" w:cs="Times New Roman"/>
          <w:bCs/>
          <w:noProof/>
          <w:lang w:eastAsia="zh-CN"/>
        </w:rPr>
        <w:t xml:space="preserve">, </w:t>
      </w:r>
      <w:r w:rsidRPr="002414E9">
        <w:rPr>
          <w:rFonts w:eastAsia="DengXian" w:cs="Times New Roman"/>
          <w:bCs/>
          <w:i/>
          <w:iCs/>
          <w:noProof/>
          <w:lang w:eastAsia="zh-CN"/>
        </w:rPr>
        <w:t>27</w:t>
      </w:r>
      <w:r w:rsidRPr="002414E9">
        <w:rPr>
          <w:rFonts w:eastAsia="DengXian" w:cs="Times New Roman"/>
          <w:bCs/>
          <w:noProof/>
          <w:lang w:eastAsia="zh-CN"/>
        </w:rPr>
        <w:t>(4), 349–362. https://doi.org/10.1002/bdm.1810</w:t>
      </w:r>
    </w:p>
    <w:p w14:paraId="67A60FA7" w14:textId="77F46B5D" w:rsidR="002414E9" w:rsidRPr="002414E9" w:rsidRDefault="002414E9" w:rsidP="002414E9">
      <w:pPr>
        <w:widowControl w:val="0"/>
        <w:autoSpaceDE w:val="0"/>
        <w:autoSpaceDN w:val="0"/>
        <w:adjustRightInd w:val="0"/>
        <w:ind w:left="709" w:hanging="709"/>
        <w:rPr>
          <w:rFonts w:eastAsia="DengXian" w:cs="Times New Roman"/>
          <w:bCs/>
          <w:noProof/>
          <w:lang w:val="nl-NL" w:eastAsia="zh-CN"/>
        </w:rPr>
      </w:pPr>
      <w:r w:rsidRPr="002414E9">
        <w:rPr>
          <w:rFonts w:eastAsia="DengXian" w:cs="Times New Roman"/>
          <w:bCs/>
          <w:noProof/>
          <w:lang w:val="es-ES" w:eastAsia="zh-CN"/>
        </w:rPr>
        <w:t xml:space="preserve">Martin, J. M., Juvina, I., Lebiere, C., &amp; Gonzalez, C. (2013). </w:t>
      </w:r>
      <w:r w:rsidRPr="002414E9">
        <w:rPr>
          <w:rFonts w:eastAsia="DengXian" w:cs="Times New Roman"/>
          <w:bCs/>
          <w:noProof/>
          <w:lang w:eastAsia="zh-CN"/>
        </w:rPr>
        <w:t xml:space="preserve">The effects of individual and context on aggression in repeated social interaction. </w:t>
      </w:r>
      <w:r w:rsidRPr="002414E9">
        <w:rPr>
          <w:rFonts w:eastAsia="DengXian" w:cs="Times New Roman"/>
          <w:bCs/>
          <w:i/>
          <w:iCs/>
          <w:noProof/>
          <w:lang w:val="nl-NL" w:eastAsia="zh-CN"/>
        </w:rPr>
        <w:t>Applied Ergonomics</w:t>
      </w:r>
      <w:r w:rsidRPr="002414E9">
        <w:rPr>
          <w:rFonts w:eastAsia="DengXian" w:cs="Times New Roman"/>
          <w:bCs/>
          <w:noProof/>
          <w:lang w:val="nl-NL" w:eastAsia="zh-CN"/>
        </w:rPr>
        <w:t xml:space="preserve">, </w:t>
      </w:r>
      <w:r w:rsidRPr="002414E9">
        <w:rPr>
          <w:rFonts w:eastAsia="DengXian" w:cs="Times New Roman"/>
          <w:bCs/>
          <w:i/>
          <w:iCs/>
          <w:noProof/>
          <w:lang w:val="nl-NL" w:eastAsia="zh-CN"/>
        </w:rPr>
        <w:t>44</w:t>
      </w:r>
      <w:r w:rsidRPr="002414E9">
        <w:rPr>
          <w:rFonts w:eastAsia="DengXian" w:cs="Times New Roman"/>
          <w:bCs/>
          <w:noProof/>
          <w:lang w:val="nl-NL" w:eastAsia="zh-CN"/>
        </w:rPr>
        <w:t>(5), 710–</w:t>
      </w:r>
      <w:r w:rsidRPr="002414E9">
        <w:rPr>
          <w:rFonts w:eastAsia="DengXian" w:cs="Times New Roman"/>
          <w:bCs/>
          <w:noProof/>
          <w:lang w:val="nl-NL" w:eastAsia="zh-CN"/>
        </w:rPr>
        <w:lastRenderedPageBreak/>
        <w:t>718. https://doi.org/10.1016/j.apergo.2012.04.014</w:t>
      </w:r>
    </w:p>
    <w:p w14:paraId="68B37274" w14:textId="76C7C3F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Martinez, L. M. F., Zeelenberg, M., &amp; Rijsman, J. B. (2011). </w:t>
      </w:r>
      <w:r w:rsidRPr="002414E9">
        <w:rPr>
          <w:rFonts w:eastAsia="DengXian" w:cs="Times New Roman"/>
          <w:noProof/>
          <w:lang w:eastAsia="zh-CN"/>
        </w:rPr>
        <w:t xml:space="preserve">Behavioural consequences of regret and disappointment in social bargaining games. </w:t>
      </w:r>
      <w:r w:rsidRPr="002414E9">
        <w:rPr>
          <w:rFonts w:eastAsia="DengXian" w:cs="Times New Roman"/>
          <w:i/>
          <w:iCs/>
          <w:noProof/>
          <w:lang w:eastAsia="zh-CN"/>
        </w:rPr>
        <w:t>Cognition &amp; Emotion</w:t>
      </w:r>
      <w:r w:rsidRPr="002414E9">
        <w:rPr>
          <w:rFonts w:eastAsia="DengXian" w:cs="Times New Roman"/>
          <w:noProof/>
          <w:lang w:eastAsia="zh-CN"/>
        </w:rPr>
        <w:t xml:space="preserve">, </w:t>
      </w:r>
      <w:r w:rsidRPr="002414E9">
        <w:rPr>
          <w:rFonts w:eastAsia="DengXian" w:cs="Times New Roman"/>
          <w:i/>
          <w:iCs/>
          <w:noProof/>
          <w:lang w:eastAsia="zh-CN"/>
        </w:rPr>
        <w:t>25</w:t>
      </w:r>
      <w:r w:rsidRPr="002414E9">
        <w:rPr>
          <w:rFonts w:eastAsia="DengXian" w:cs="Times New Roman"/>
          <w:noProof/>
          <w:lang w:eastAsia="zh-CN"/>
        </w:rPr>
        <w:t>(2), 351–359. https://doi.org/10.1080/02699931.2010.485889</w:t>
      </w:r>
    </w:p>
    <w:p w14:paraId="473AA9F3" w14:textId="68B6049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Martins, J., Fortmüller, R., &amp; Powell, O. (2017). Can teaching social dilemmas make people more prosocial? An experiment. </w:t>
      </w:r>
      <w:r w:rsidRPr="002414E9">
        <w:rPr>
          <w:rFonts w:eastAsia="DengXian" w:cs="Times New Roman"/>
          <w:i/>
          <w:iCs/>
          <w:noProof/>
          <w:lang w:eastAsia="zh-CN"/>
        </w:rPr>
        <w:t>Journal of Education for Business</w:t>
      </w:r>
      <w:r w:rsidRPr="002414E9">
        <w:rPr>
          <w:rFonts w:eastAsia="DengXian" w:cs="Times New Roman"/>
          <w:noProof/>
          <w:lang w:eastAsia="zh-CN"/>
        </w:rPr>
        <w:t xml:space="preserve">, </w:t>
      </w:r>
      <w:r w:rsidRPr="002414E9">
        <w:rPr>
          <w:rFonts w:eastAsia="DengXian" w:cs="Times New Roman"/>
          <w:i/>
          <w:iCs/>
          <w:noProof/>
          <w:lang w:eastAsia="zh-CN"/>
        </w:rPr>
        <w:t>92</w:t>
      </w:r>
      <w:r w:rsidRPr="002414E9">
        <w:rPr>
          <w:rFonts w:eastAsia="DengXian" w:cs="Times New Roman"/>
          <w:noProof/>
          <w:lang w:eastAsia="zh-CN"/>
        </w:rPr>
        <w:t>(1), 16–22. https://doi.org/10.1080/08832323.2016.1270885</w:t>
      </w:r>
    </w:p>
    <w:p w14:paraId="3096B901" w14:textId="29DB0CA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Martinsson, P., Myrseth, K. O. R., &amp; Wollbrant, C. (2014). Social dilemmas: When self-control benefits cooperation. </w:t>
      </w:r>
      <w:r w:rsidRPr="002414E9">
        <w:rPr>
          <w:rFonts w:eastAsia="DengXian" w:cs="Times New Roman"/>
          <w:i/>
          <w:iCs/>
          <w:noProof/>
          <w:lang w:eastAsia="zh-CN"/>
        </w:rPr>
        <w:t>Journal of Economic Psychology</w:t>
      </w:r>
      <w:r w:rsidRPr="002414E9">
        <w:rPr>
          <w:rFonts w:eastAsia="DengXian" w:cs="Times New Roman"/>
          <w:noProof/>
          <w:lang w:eastAsia="zh-CN"/>
        </w:rPr>
        <w:t xml:space="preserve">, </w:t>
      </w:r>
      <w:r w:rsidRPr="002414E9">
        <w:rPr>
          <w:rFonts w:eastAsia="DengXian" w:cs="Times New Roman"/>
          <w:i/>
          <w:iCs/>
          <w:noProof/>
          <w:lang w:eastAsia="zh-CN"/>
        </w:rPr>
        <w:t>45</w:t>
      </w:r>
      <w:r w:rsidRPr="002414E9">
        <w:rPr>
          <w:rFonts w:eastAsia="DengXian" w:cs="Times New Roman"/>
          <w:noProof/>
          <w:lang w:eastAsia="zh-CN"/>
        </w:rPr>
        <w:t>, 213–236. https://doi.org/10.1016/j.joep.2014.09.004</w:t>
      </w:r>
    </w:p>
    <w:p w14:paraId="21441A28" w14:textId="5381C09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Martinsson, P., Pham-Khanh, N., &amp; Villegas-Palacio, C. (2013). Conditional cooperation and disclosure in developing countries. </w:t>
      </w:r>
      <w:r w:rsidRPr="002414E9">
        <w:rPr>
          <w:rFonts w:eastAsia="DengXian" w:cs="Times New Roman"/>
          <w:i/>
          <w:iCs/>
          <w:noProof/>
          <w:lang w:eastAsia="zh-CN"/>
        </w:rPr>
        <w:t>Journal of Economic Psychology</w:t>
      </w:r>
      <w:r w:rsidRPr="002414E9">
        <w:rPr>
          <w:rFonts w:eastAsia="DengXian" w:cs="Times New Roman"/>
          <w:noProof/>
          <w:lang w:eastAsia="zh-CN"/>
        </w:rPr>
        <w:t xml:space="preserve">, </w:t>
      </w:r>
      <w:r w:rsidRPr="002414E9">
        <w:rPr>
          <w:rFonts w:eastAsia="DengXian" w:cs="Times New Roman"/>
          <w:i/>
          <w:iCs/>
          <w:noProof/>
          <w:lang w:eastAsia="zh-CN"/>
        </w:rPr>
        <w:t>34</w:t>
      </w:r>
      <w:r w:rsidRPr="002414E9">
        <w:rPr>
          <w:rFonts w:eastAsia="DengXian" w:cs="Times New Roman"/>
          <w:noProof/>
          <w:lang w:eastAsia="zh-CN"/>
        </w:rPr>
        <w:t>, 148–155. https://doi.org/10.1016/j.joep.2012.09.005</w:t>
      </w:r>
    </w:p>
    <w:p w14:paraId="4CAC2C40"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Marwell, G., &amp; Ames, R. E. (1979). Experiments on the provision of public goods. I. Resources, interest, group size, and the free-rider problem. </w:t>
      </w:r>
      <w:r w:rsidRPr="002414E9">
        <w:rPr>
          <w:rFonts w:eastAsia="DengXian" w:cs="Times New Roman"/>
          <w:i/>
          <w:iCs/>
          <w:noProof/>
          <w:lang w:eastAsia="zh-CN"/>
        </w:rPr>
        <w:t>American Journal of Sociology</w:t>
      </w:r>
      <w:r w:rsidRPr="002414E9">
        <w:rPr>
          <w:rFonts w:eastAsia="DengXian" w:cs="Times New Roman"/>
          <w:noProof/>
          <w:lang w:eastAsia="zh-CN"/>
        </w:rPr>
        <w:t xml:space="preserve">, </w:t>
      </w:r>
      <w:r w:rsidRPr="002414E9">
        <w:rPr>
          <w:rFonts w:eastAsia="DengXian" w:cs="Times New Roman"/>
          <w:i/>
          <w:iCs/>
          <w:noProof/>
          <w:lang w:eastAsia="zh-CN"/>
        </w:rPr>
        <w:t>84</w:t>
      </w:r>
      <w:r w:rsidRPr="002414E9">
        <w:rPr>
          <w:rFonts w:eastAsia="DengXian" w:cs="Times New Roman"/>
          <w:noProof/>
          <w:lang w:eastAsia="zh-CN"/>
        </w:rPr>
        <w:t>(6), 1335–1360. https://doi.org/10.1086/226937</w:t>
      </w:r>
    </w:p>
    <w:p w14:paraId="042A642D"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Marwell, G., &amp; Ames, R. E. (1980). Experiments on the provision of public goods. II. Provision points, stakes, experience, and the free-rider problem. </w:t>
      </w:r>
      <w:r w:rsidRPr="002414E9">
        <w:rPr>
          <w:rFonts w:eastAsia="DengXian" w:cs="Times New Roman"/>
          <w:i/>
          <w:iCs/>
          <w:noProof/>
          <w:lang w:eastAsia="zh-CN"/>
        </w:rPr>
        <w:t>American Journal of Sociology</w:t>
      </w:r>
      <w:r w:rsidRPr="002414E9">
        <w:rPr>
          <w:rFonts w:eastAsia="DengXian" w:cs="Times New Roman"/>
          <w:noProof/>
          <w:lang w:eastAsia="zh-CN"/>
        </w:rPr>
        <w:t xml:space="preserve">, </w:t>
      </w:r>
      <w:r w:rsidRPr="002414E9">
        <w:rPr>
          <w:rFonts w:eastAsia="DengXian" w:cs="Times New Roman"/>
          <w:i/>
          <w:iCs/>
          <w:noProof/>
          <w:lang w:eastAsia="zh-CN"/>
        </w:rPr>
        <w:t>85</w:t>
      </w:r>
      <w:r w:rsidRPr="002414E9">
        <w:rPr>
          <w:rFonts w:eastAsia="DengXian" w:cs="Times New Roman"/>
          <w:noProof/>
          <w:lang w:eastAsia="zh-CN"/>
        </w:rPr>
        <w:t>(4), 926–937. https://doi.org/10.1086/227094</w:t>
      </w:r>
    </w:p>
    <w:p w14:paraId="6951CC6A" w14:textId="33C6D4E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Marwell, G., &amp; Ames, R. E. (1981). Economists free ride, does anyone else?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15</w:t>
      </w:r>
      <w:r w:rsidRPr="002414E9">
        <w:rPr>
          <w:rFonts w:eastAsia="DengXian" w:cs="Times New Roman"/>
          <w:noProof/>
          <w:lang w:eastAsia="zh-CN"/>
        </w:rPr>
        <w:t>(3), 295–310. https://doi.org/10.1016/0047-2727(81)90013-X</w:t>
      </w:r>
    </w:p>
    <w:p w14:paraId="021BF5F3" w14:textId="373FB0E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fr-FR" w:eastAsia="zh-CN"/>
        </w:rPr>
        <w:t xml:space="preserve">Masclet, D., &amp; Villeval, M.-C. (2008). </w:t>
      </w:r>
      <w:r w:rsidRPr="002414E9">
        <w:rPr>
          <w:rFonts w:eastAsia="DengXian" w:cs="Times New Roman"/>
          <w:noProof/>
          <w:lang w:eastAsia="zh-CN"/>
        </w:rPr>
        <w:t xml:space="preserve">Punishment, inequality, and welfare: a public good experiment. </w:t>
      </w:r>
      <w:r w:rsidRPr="002414E9">
        <w:rPr>
          <w:rFonts w:eastAsia="DengXian" w:cs="Times New Roman"/>
          <w:i/>
          <w:iCs/>
          <w:noProof/>
          <w:lang w:eastAsia="zh-CN"/>
        </w:rPr>
        <w:t>Social Choice and Welfare</w:t>
      </w:r>
      <w:r w:rsidRPr="002414E9">
        <w:rPr>
          <w:rFonts w:eastAsia="DengXian" w:cs="Times New Roman"/>
          <w:noProof/>
          <w:lang w:eastAsia="zh-CN"/>
        </w:rPr>
        <w:t xml:space="preserve">, </w:t>
      </w:r>
      <w:r w:rsidRPr="002414E9">
        <w:rPr>
          <w:rFonts w:eastAsia="DengXian" w:cs="Times New Roman"/>
          <w:i/>
          <w:iCs/>
          <w:noProof/>
          <w:lang w:eastAsia="zh-CN"/>
        </w:rPr>
        <w:t>31</w:t>
      </w:r>
      <w:r w:rsidRPr="002414E9">
        <w:rPr>
          <w:rFonts w:eastAsia="DengXian" w:cs="Times New Roman"/>
          <w:noProof/>
          <w:lang w:eastAsia="zh-CN"/>
        </w:rPr>
        <w:t>(3), 475–502. https://doi.org/10.1007/s00355-</w:t>
      </w:r>
      <w:r w:rsidRPr="002414E9">
        <w:rPr>
          <w:rFonts w:eastAsia="DengXian" w:cs="Times New Roman"/>
          <w:noProof/>
          <w:lang w:eastAsia="zh-CN"/>
        </w:rPr>
        <w:lastRenderedPageBreak/>
        <w:t>007-0291-7</w:t>
      </w:r>
    </w:p>
    <w:p w14:paraId="05B70CED" w14:textId="2BD261FF" w:rsidR="002414E9" w:rsidRPr="002414E9" w:rsidRDefault="002414E9" w:rsidP="002414E9">
      <w:pPr>
        <w:widowControl w:val="0"/>
        <w:autoSpaceDE w:val="0"/>
        <w:autoSpaceDN w:val="0"/>
        <w:adjustRightInd w:val="0"/>
        <w:ind w:left="709" w:hanging="709"/>
        <w:rPr>
          <w:rFonts w:eastAsia="DengXian" w:cs="Times New Roman"/>
          <w:noProof/>
          <w:lang w:val="fr-FR" w:eastAsia="zh-CN"/>
        </w:rPr>
      </w:pPr>
      <w:r w:rsidRPr="002414E9">
        <w:rPr>
          <w:rFonts w:eastAsia="DengXian" w:cs="Times New Roman"/>
          <w:noProof/>
          <w:lang w:val="fr-FR" w:eastAsia="zh-CN"/>
        </w:rPr>
        <w:t xml:space="preserve">Masclet, D., Noussair, C. N., &amp; Villeval, M.-C. (2013). </w:t>
      </w:r>
      <w:r w:rsidRPr="002414E9">
        <w:rPr>
          <w:rFonts w:eastAsia="DengXian" w:cs="Times New Roman"/>
          <w:noProof/>
          <w:lang w:eastAsia="zh-CN"/>
        </w:rPr>
        <w:t xml:space="preserve">Threat and punishment in public good experiments. </w:t>
      </w:r>
      <w:r w:rsidRPr="002414E9">
        <w:rPr>
          <w:rFonts w:eastAsia="DengXian" w:cs="Times New Roman"/>
          <w:i/>
          <w:iCs/>
          <w:noProof/>
          <w:lang w:val="fr-FR" w:eastAsia="zh-CN"/>
        </w:rPr>
        <w:t>Economic Inquiry</w:t>
      </w:r>
      <w:r w:rsidRPr="002414E9">
        <w:rPr>
          <w:rFonts w:eastAsia="DengXian" w:cs="Times New Roman"/>
          <w:noProof/>
          <w:lang w:val="fr-FR" w:eastAsia="zh-CN"/>
        </w:rPr>
        <w:t xml:space="preserve">, </w:t>
      </w:r>
      <w:r w:rsidRPr="002414E9">
        <w:rPr>
          <w:rFonts w:eastAsia="DengXian" w:cs="Times New Roman"/>
          <w:i/>
          <w:iCs/>
          <w:noProof/>
          <w:lang w:val="fr-FR" w:eastAsia="zh-CN"/>
        </w:rPr>
        <w:t>51</w:t>
      </w:r>
      <w:r w:rsidRPr="002414E9">
        <w:rPr>
          <w:rFonts w:eastAsia="DengXian" w:cs="Times New Roman"/>
          <w:noProof/>
          <w:lang w:val="fr-FR" w:eastAsia="zh-CN"/>
        </w:rPr>
        <w:t>(2), 1421–1441. https://doi.org/10.1111/j.1465-7295.2011.00452.x</w:t>
      </w:r>
    </w:p>
    <w:p w14:paraId="5A778291" w14:textId="4106505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fr-FR" w:eastAsia="zh-CN"/>
        </w:rPr>
        <w:t xml:space="preserve">Masclet, D., Noussair, C., Tucker, S., &amp; Villeval, M.-C. (2003). </w:t>
      </w:r>
      <w:r w:rsidRPr="002414E9">
        <w:rPr>
          <w:rFonts w:eastAsia="DengXian" w:cs="Times New Roman"/>
          <w:noProof/>
          <w:lang w:eastAsia="zh-CN"/>
        </w:rPr>
        <w:t xml:space="preserve">Monetary and nonmonetary punishment in the voluntary contributions mechanism. </w:t>
      </w:r>
      <w:r w:rsidRPr="002414E9">
        <w:rPr>
          <w:rFonts w:eastAsia="DengXian" w:cs="Times New Roman"/>
          <w:i/>
          <w:iCs/>
          <w:noProof/>
          <w:lang w:eastAsia="zh-CN"/>
        </w:rPr>
        <w:t>The American Economic Review</w:t>
      </w:r>
      <w:r w:rsidRPr="002414E9">
        <w:rPr>
          <w:rFonts w:eastAsia="DengXian" w:cs="Times New Roman"/>
          <w:noProof/>
          <w:lang w:eastAsia="zh-CN"/>
        </w:rPr>
        <w:t xml:space="preserve">, </w:t>
      </w:r>
      <w:r w:rsidRPr="002414E9">
        <w:rPr>
          <w:rFonts w:eastAsia="DengXian" w:cs="Times New Roman"/>
          <w:i/>
          <w:iCs/>
          <w:noProof/>
          <w:lang w:eastAsia="zh-CN"/>
        </w:rPr>
        <w:t>93</w:t>
      </w:r>
      <w:r w:rsidRPr="002414E9">
        <w:rPr>
          <w:rFonts w:eastAsia="DengXian" w:cs="Times New Roman"/>
          <w:noProof/>
          <w:lang w:eastAsia="zh-CN"/>
        </w:rPr>
        <w:t>(1), 366–380. https://doi.org/10.1257/000282803321455359</w:t>
      </w:r>
    </w:p>
    <w:p w14:paraId="35D8D46D" w14:textId="2A444E1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n-GB" w:eastAsia="zh-CN"/>
        </w:rPr>
        <w:t xml:space="preserve">Masuda, T., Okano, Y., &amp; Saijo, T. (2014). </w:t>
      </w:r>
      <w:r w:rsidRPr="002414E9">
        <w:rPr>
          <w:rFonts w:eastAsia="DengXian" w:cs="Times New Roman"/>
          <w:noProof/>
          <w:lang w:eastAsia="zh-CN"/>
        </w:rPr>
        <w:t xml:space="preserve">The minimum approval mechanism implements the efficient public good allocation theoretically and experimentally. </w:t>
      </w:r>
      <w:r w:rsidRPr="002414E9">
        <w:rPr>
          <w:rFonts w:eastAsia="DengXian" w:cs="Times New Roman"/>
          <w:i/>
          <w:iCs/>
          <w:noProof/>
          <w:lang w:eastAsia="zh-CN"/>
        </w:rPr>
        <w:t>Games and Economic Behavior</w:t>
      </w:r>
      <w:r w:rsidRPr="002414E9">
        <w:rPr>
          <w:rFonts w:eastAsia="DengXian" w:cs="Times New Roman"/>
          <w:noProof/>
          <w:lang w:eastAsia="zh-CN"/>
        </w:rPr>
        <w:t xml:space="preserve">, </w:t>
      </w:r>
      <w:r w:rsidRPr="002414E9">
        <w:rPr>
          <w:rFonts w:eastAsia="DengXian" w:cs="Times New Roman"/>
          <w:i/>
          <w:iCs/>
          <w:noProof/>
          <w:lang w:eastAsia="zh-CN"/>
        </w:rPr>
        <w:t>83</w:t>
      </w:r>
      <w:r w:rsidRPr="002414E9">
        <w:rPr>
          <w:rFonts w:eastAsia="DengXian" w:cs="Times New Roman"/>
          <w:noProof/>
          <w:lang w:eastAsia="zh-CN"/>
        </w:rPr>
        <w:t>, 73–85. https://doi.org/10.1016/j.geb.2013.10.003</w:t>
      </w:r>
    </w:p>
    <w:p w14:paraId="5A5A2965" w14:textId="19742B8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Matzat, D., &amp; Kocher, M. G. (2016). </w:t>
      </w:r>
      <w:r w:rsidRPr="002414E9">
        <w:rPr>
          <w:rFonts w:eastAsia="DengXian" w:cs="Times New Roman"/>
          <w:noProof/>
          <w:lang w:eastAsia="zh-CN"/>
        </w:rPr>
        <w:t xml:space="preserve">Preferences over punishment and reward mechanisms in social dilemmas. </w:t>
      </w:r>
      <w:r w:rsidRPr="002414E9">
        <w:rPr>
          <w:rFonts w:eastAsia="DengXian" w:cs="Times New Roman"/>
          <w:i/>
          <w:iCs/>
          <w:noProof/>
          <w:lang w:eastAsia="zh-CN"/>
        </w:rPr>
        <w:t>Journal of Institutional and Theoretical Economics</w:t>
      </w:r>
      <w:r w:rsidRPr="002414E9">
        <w:rPr>
          <w:rFonts w:eastAsia="DengXian" w:cs="Times New Roman"/>
          <w:noProof/>
          <w:lang w:eastAsia="zh-CN"/>
        </w:rPr>
        <w:t xml:space="preserve">, </w:t>
      </w:r>
      <w:r w:rsidRPr="002414E9">
        <w:rPr>
          <w:rFonts w:eastAsia="DengXian" w:cs="Times New Roman"/>
          <w:i/>
          <w:iCs/>
          <w:noProof/>
          <w:lang w:eastAsia="zh-CN"/>
        </w:rPr>
        <w:t>172</w:t>
      </w:r>
      <w:r w:rsidRPr="002414E9">
        <w:rPr>
          <w:rFonts w:eastAsia="DengXian" w:cs="Times New Roman"/>
          <w:noProof/>
          <w:lang w:eastAsia="zh-CN"/>
        </w:rPr>
        <w:t>(1), 163–194. https://doi.org/10.1628/093245616X14500948554072</w:t>
      </w:r>
    </w:p>
    <w:p w14:paraId="4FF2F2B0" w14:textId="18B5F6B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Maurice, J., Rouaix, A., &amp; Willinger, M. (2013). Income redistribution and public good provision: An experiment. </w:t>
      </w:r>
      <w:r w:rsidRPr="002414E9">
        <w:rPr>
          <w:rFonts w:eastAsia="DengXian" w:cs="Times New Roman"/>
          <w:i/>
          <w:iCs/>
          <w:noProof/>
          <w:lang w:eastAsia="zh-CN"/>
        </w:rPr>
        <w:t>International Economic Review</w:t>
      </w:r>
      <w:r w:rsidRPr="002414E9">
        <w:rPr>
          <w:rFonts w:eastAsia="DengXian" w:cs="Times New Roman"/>
          <w:noProof/>
          <w:lang w:eastAsia="zh-CN"/>
        </w:rPr>
        <w:t xml:space="preserve">, </w:t>
      </w:r>
      <w:r w:rsidRPr="002414E9">
        <w:rPr>
          <w:rFonts w:eastAsia="DengXian" w:cs="Times New Roman"/>
          <w:i/>
          <w:iCs/>
          <w:noProof/>
          <w:lang w:eastAsia="zh-CN"/>
        </w:rPr>
        <w:t>54</w:t>
      </w:r>
      <w:r w:rsidRPr="002414E9">
        <w:rPr>
          <w:rFonts w:eastAsia="DengXian" w:cs="Times New Roman"/>
          <w:noProof/>
          <w:lang w:eastAsia="zh-CN"/>
        </w:rPr>
        <w:t>(3), 957–975. https://doi.org/10.1111/iere.12024</w:t>
      </w:r>
    </w:p>
    <w:p w14:paraId="36553277" w14:textId="17C59D53"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McCallum, D. M., Harring, K., Gilmore, R., Drenan, S., Chase, J. P., Insko, C. A., &amp; Thibaut, J. (1985). Competition and cooperation between groups and between individuals. </w:t>
      </w:r>
      <w:r w:rsidRPr="002414E9">
        <w:rPr>
          <w:rFonts w:eastAsia="DengXian" w:cs="Times New Roman"/>
          <w:bCs/>
          <w:i/>
          <w:iCs/>
          <w:noProof/>
          <w:lang w:eastAsia="zh-CN"/>
        </w:rPr>
        <w:t>Journal of Experimental Social Psychology</w:t>
      </w:r>
      <w:r w:rsidRPr="002414E9">
        <w:rPr>
          <w:rFonts w:eastAsia="DengXian" w:cs="Times New Roman"/>
          <w:bCs/>
          <w:noProof/>
          <w:lang w:eastAsia="zh-CN"/>
        </w:rPr>
        <w:t xml:space="preserve">, </w:t>
      </w:r>
      <w:r w:rsidRPr="002414E9">
        <w:rPr>
          <w:rFonts w:eastAsia="DengXian" w:cs="Times New Roman"/>
          <w:bCs/>
          <w:i/>
          <w:iCs/>
          <w:noProof/>
          <w:lang w:eastAsia="zh-CN"/>
        </w:rPr>
        <w:t>21</w:t>
      </w:r>
      <w:r w:rsidRPr="002414E9">
        <w:rPr>
          <w:rFonts w:eastAsia="DengXian" w:cs="Times New Roman"/>
          <w:bCs/>
          <w:noProof/>
          <w:lang w:eastAsia="zh-CN"/>
        </w:rPr>
        <w:t>(4), 301–320. https://doi.org/10.1016/0022-1031(85)90032-0</w:t>
      </w:r>
    </w:p>
    <w:p w14:paraId="7D7DC19D" w14:textId="1331356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McCarter, M. W., Rockmann, K. W., &amp; Northcraft, G. B. (2010). </w:t>
      </w:r>
      <w:r w:rsidRPr="002414E9">
        <w:rPr>
          <w:rFonts w:eastAsia="DengXian" w:cs="Times New Roman"/>
          <w:noProof/>
          <w:lang w:eastAsia="zh-CN"/>
        </w:rPr>
        <w:t xml:space="preserve">Is it even worth it? The effect of loss prospects in the outcome distribution of a public goods dilemma. </w:t>
      </w:r>
      <w:r w:rsidRPr="002414E9">
        <w:rPr>
          <w:rFonts w:eastAsia="DengXian" w:cs="Times New Roman"/>
          <w:i/>
          <w:iCs/>
          <w:noProof/>
          <w:lang w:eastAsia="zh-CN"/>
        </w:rPr>
        <w:t>Organizational Behavior and Human Decision Processes</w:t>
      </w:r>
      <w:r w:rsidRPr="002414E9">
        <w:rPr>
          <w:rFonts w:eastAsia="DengXian" w:cs="Times New Roman"/>
          <w:noProof/>
          <w:lang w:eastAsia="zh-CN"/>
        </w:rPr>
        <w:t xml:space="preserve">, </w:t>
      </w:r>
      <w:r w:rsidRPr="002414E9">
        <w:rPr>
          <w:rFonts w:eastAsia="DengXian" w:cs="Times New Roman"/>
          <w:i/>
          <w:iCs/>
          <w:noProof/>
          <w:lang w:eastAsia="zh-CN"/>
        </w:rPr>
        <w:t>111</w:t>
      </w:r>
      <w:r w:rsidRPr="002414E9">
        <w:rPr>
          <w:rFonts w:eastAsia="DengXian" w:cs="Times New Roman"/>
          <w:noProof/>
          <w:lang w:eastAsia="zh-CN"/>
        </w:rPr>
        <w:t xml:space="preserve">(1), 1–12. </w:t>
      </w:r>
      <w:r w:rsidRPr="002414E9">
        <w:rPr>
          <w:rFonts w:eastAsia="DengXian" w:cs="Times New Roman"/>
          <w:noProof/>
          <w:lang w:eastAsia="zh-CN"/>
        </w:rPr>
        <w:lastRenderedPageBreak/>
        <w:t>https://doi.org/10.1016/j.obhdp.2009.06.003</w:t>
      </w:r>
    </w:p>
    <w:p w14:paraId="5C79A1B0" w14:textId="61DA3F0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McCarter, M. W., Samek, A., &amp; Sheremeta, R. M. (2014). Divided loyalists or conditional cooperators? Creating consensus about cooperation in multiple simultaneous social dilemmas. </w:t>
      </w:r>
      <w:r w:rsidRPr="002414E9">
        <w:rPr>
          <w:rFonts w:eastAsia="DengXian" w:cs="Times New Roman"/>
          <w:i/>
          <w:iCs/>
          <w:noProof/>
          <w:lang w:eastAsia="zh-CN"/>
        </w:rPr>
        <w:t>Group &amp; Organization Management</w:t>
      </w:r>
      <w:r w:rsidRPr="002414E9">
        <w:rPr>
          <w:rFonts w:eastAsia="DengXian" w:cs="Times New Roman"/>
          <w:noProof/>
          <w:lang w:eastAsia="zh-CN"/>
        </w:rPr>
        <w:t xml:space="preserve">, </w:t>
      </w:r>
      <w:r w:rsidRPr="002414E9">
        <w:rPr>
          <w:rFonts w:eastAsia="DengXian" w:cs="Times New Roman"/>
          <w:i/>
          <w:iCs/>
          <w:noProof/>
          <w:lang w:eastAsia="zh-CN"/>
        </w:rPr>
        <w:t>39</w:t>
      </w:r>
      <w:r w:rsidRPr="002414E9">
        <w:rPr>
          <w:rFonts w:eastAsia="DengXian" w:cs="Times New Roman"/>
          <w:noProof/>
          <w:lang w:eastAsia="zh-CN"/>
        </w:rPr>
        <w:t>(6), 744–771. https://doi.org/10.1177/1059601114551606</w:t>
      </w:r>
    </w:p>
    <w:p w14:paraId="413CCE4E" w14:textId="0CB0D97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McCusker, C., &amp; Carnevale, P. J. (1995). </w:t>
      </w:r>
      <w:r w:rsidRPr="002414E9">
        <w:rPr>
          <w:rFonts w:eastAsia="DengXian" w:cs="Times New Roman"/>
          <w:noProof/>
          <w:lang w:eastAsia="zh-CN"/>
        </w:rPr>
        <w:t xml:space="preserve">Framing in resource dilemmas: Loss aversion and the moderating effects of sanctions. </w:t>
      </w:r>
      <w:r w:rsidRPr="002414E9">
        <w:rPr>
          <w:rFonts w:eastAsia="DengXian" w:cs="Times New Roman"/>
          <w:i/>
          <w:iCs/>
          <w:noProof/>
          <w:lang w:eastAsia="zh-CN"/>
        </w:rPr>
        <w:t>Organizational Behavior and Human Decision Processes</w:t>
      </w:r>
      <w:r w:rsidRPr="002414E9">
        <w:rPr>
          <w:rFonts w:eastAsia="DengXian" w:cs="Times New Roman"/>
          <w:noProof/>
          <w:lang w:eastAsia="zh-CN"/>
        </w:rPr>
        <w:t xml:space="preserve">, </w:t>
      </w:r>
      <w:r w:rsidRPr="002414E9">
        <w:rPr>
          <w:rFonts w:eastAsia="DengXian" w:cs="Times New Roman"/>
          <w:i/>
          <w:iCs/>
          <w:noProof/>
          <w:lang w:eastAsia="zh-CN"/>
        </w:rPr>
        <w:t>61</w:t>
      </w:r>
      <w:r w:rsidRPr="002414E9">
        <w:rPr>
          <w:rFonts w:eastAsia="DengXian" w:cs="Times New Roman"/>
          <w:noProof/>
          <w:lang w:eastAsia="zh-CN"/>
        </w:rPr>
        <w:t>(2), 190–201. https://doi.org/10.1006/obhd.1995.1015</w:t>
      </w:r>
    </w:p>
    <w:p w14:paraId="54C3595B" w14:textId="77948A77"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McGlynn, R. P., Harding, D. J., &amp; Cottle, J. L. (2009). Individual–group discontinuity in group–individual interactions: Does size matter?. </w:t>
      </w:r>
      <w:r w:rsidRPr="002414E9">
        <w:rPr>
          <w:rFonts w:eastAsia="DengXian" w:cs="Times New Roman"/>
          <w:bCs/>
          <w:i/>
          <w:iCs/>
          <w:noProof/>
          <w:lang w:eastAsia="zh-CN"/>
        </w:rPr>
        <w:t>Group Processes &amp; Intergroup Relations</w:t>
      </w:r>
      <w:r w:rsidRPr="002414E9">
        <w:rPr>
          <w:rFonts w:eastAsia="DengXian" w:cs="Times New Roman"/>
          <w:bCs/>
          <w:noProof/>
          <w:lang w:eastAsia="zh-CN"/>
        </w:rPr>
        <w:t xml:space="preserve">, </w:t>
      </w:r>
      <w:r w:rsidRPr="002414E9">
        <w:rPr>
          <w:rFonts w:eastAsia="DengXian" w:cs="Times New Roman"/>
          <w:bCs/>
          <w:i/>
          <w:iCs/>
          <w:noProof/>
          <w:lang w:eastAsia="zh-CN"/>
        </w:rPr>
        <w:t>12</w:t>
      </w:r>
      <w:r w:rsidRPr="002414E9">
        <w:rPr>
          <w:rFonts w:eastAsia="DengXian" w:cs="Times New Roman"/>
          <w:bCs/>
          <w:noProof/>
          <w:lang w:eastAsia="zh-CN"/>
        </w:rPr>
        <w:t>(1), 129–143. https://doi.org/10.1177/1368430208098781</w:t>
      </w:r>
    </w:p>
    <w:p w14:paraId="6547DBC9" w14:textId="1890F35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s-ES" w:eastAsia="zh-CN"/>
        </w:rPr>
        <w:t xml:space="preserve">McIntosh, C., Sadoulet, E., Buck, S., &amp; Rosada, T. (2013). </w:t>
      </w:r>
      <w:r w:rsidRPr="002414E9">
        <w:rPr>
          <w:rFonts w:eastAsia="DengXian" w:cs="Times New Roman"/>
          <w:noProof/>
          <w:lang w:eastAsia="zh-CN"/>
        </w:rPr>
        <w:t xml:space="preserve">Reputation in a public goods game: Taking the design of credit bureaus to the lab.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95</w:t>
      </w:r>
      <w:r w:rsidRPr="002414E9">
        <w:rPr>
          <w:rFonts w:eastAsia="DengXian" w:cs="Times New Roman"/>
          <w:noProof/>
          <w:lang w:eastAsia="zh-CN"/>
        </w:rPr>
        <w:t>, 270–285. https://doi.org/10.1016/j.jebo.2012.09.013</w:t>
      </w:r>
    </w:p>
    <w:p w14:paraId="10C7A529" w14:textId="0BD3161D"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McNeel, S. P., Sweeney, J. D., &amp; Bohlin, P. C. (1974). Cooperation and competitive goals: A social-comparison analysis. </w:t>
      </w:r>
      <w:r w:rsidRPr="002414E9">
        <w:rPr>
          <w:rFonts w:eastAsia="DengXian" w:cs="Times New Roman"/>
          <w:bCs/>
          <w:i/>
          <w:iCs/>
          <w:noProof/>
          <w:lang w:eastAsia="zh-CN"/>
        </w:rPr>
        <w:t>Psychological Reports</w:t>
      </w:r>
      <w:r w:rsidRPr="002414E9">
        <w:rPr>
          <w:rFonts w:eastAsia="DengXian" w:cs="Times New Roman"/>
          <w:bCs/>
          <w:noProof/>
          <w:lang w:eastAsia="zh-CN"/>
        </w:rPr>
        <w:t xml:space="preserve">, </w:t>
      </w:r>
      <w:r w:rsidRPr="002414E9">
        <w:rPr>
          <w:rFonts w:eastAsia="DengXian" w:cs="Times New Roman"/>
          <w:bCs/>
          <w:i/>
          <w:iCs/>
          <w:noProof/>
          <w:lang w:eastAsia="zh-CN"/>
        </w:rPr>
        <w:t>34</w:t>
      </w:r>
      <w:r w:rsidRPr="002414E9">
        <w:rPr>
          <w:rFonts w:eastAsia="DengXian" w:cs="Times New Roman"/>
          <w:bCs/>
          <w:noProof/>
          <w:lang w:eastAsia="zh-CN"/>
        </w:rPr>
        <w:t>(3), 887–894. https://doi.org/10.2466/pr0.1974.34.3.887</w:t>
      </w:r>
    </w:p>
    <w:p w14:paraId="5617C207" w14:textId="3C04060A"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Meeker, B. F. (1970). An experimental study of cooperation and competition in West Africa. </w:t>
      </w:r>
      <w:r w:rsidRPr="002414E9">
        <w:rPr>
          <w:rFonts w:eastAsia="DengXian" w:cs="Times New Roman"/>
          <w:bCs/>
          <w:i/>
          <w:iCs/>
          <w:noProof/>
          <w:lang w:eastAsia="zh-CN"/>
        </w:rPr>
        <w:t>International Journal of Psychology</w:t>
      </w:r>
      <w:r w:rsidRPr="002414E9">
        <w:rPr>
          <w:rFonts w:eastAsia="DengXian" w:cs="Times New Roman"/>
          <w:bCs/>
          <w:noProof/>
          <w:lang w:eastAsia="zh-CN"/>
        </w:rPr>
        <w:t xml:space="preserve">, </w:t>
      </w:r>
      <w:r w:rsidRPr="002414E9">
        <w:rPr>
          <w:rFonts w:eastAsia="DengXian" w:cs="Times New Roman"/>
          <w:bCs/>
          <w:i/>
          <w:iCs/>
          <w:noProof/>
          <w:lang w:eastAsia="zh-CN"/>
        </w:rPr>
        <w:t>5</w:t>
      </w:r>
      <w:r w:rsidRPr="002414E9">
        <w:rPr>
          <w:rFonts w:eastAsia="DengXian" w:cs="Times New Roman"/>
          <w:bCs/>
          <w:noProof/>
          <w:lang w:eastAsia="zh-CN"/>
        </w:rPr>
        <w:t>(1), 11–19. https://doi.org/10.1080/00207597008247286</w:t>
      </w:r>
    </w:p>
    <w:p w14:paraId="687B5FDB" w14:textId="01688D9F"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Melamed, D., &amp; Simpson, B. (2016). Strong ties promote the evolution of cooperation in dynamic networks. </w:t>
      </w:r>
      <w:r w:rsidRPr="002414E9">
        <w:rPr>
          <w:rFonts w:eastAsia="DengXian" w:cs="Times New Roman"/>
          <w:bCs/>
          <w:i/>
          <w:iCs/>
          <w:noProof/>
          <w:lang w:eastAsia="zh-CN"/>
        </w:rPr>
        <w:t>Social Networks</w:t>
      </w:r>
      <w:r w:rsidRPr="002414E9">
        <w:rPr>
          <w:rFonts w:eastAsia="DengXian" w:cs="Times New Roman"/>
          <w:bCs/>
          <w:noProof/>
          <w:lang w:eastAsia="zh-CN"/>
        </w:rPr>
        <w:t xml:space="preserve">, </w:t>
      </w:r>
      <w:r w:rsidRPr="002414E9">
        <w:rPr>
          <w:rFonts w:eastAsia="DengXian" w:cs="Times New Roman"/>
          <w:bCs/>
          <w:i/>
          <w:iCs/>
          <w:noProof/>
          <w:lang w:eastAsia="zh-CN"/>
        </w:rPr>
        <w:t>45</w:t>
      </w:r>
      <w:r w:rsidRPr="002414E9">
        <w:rPr>
          <w:rFonts w:eastAsia="DengXian" w:cs="Times New Roman"/>
          <w:bCs/>
          <w:noProof/>
          <w:lang w:eastAsia="zh-CN"/>
        </w:rPr>
        <w:t>, 32–44. https://doi.org/10.1016/j.socnet.2015.11.001</w:t>
      </w:r>
    </w:p>
    <w:p w14:paraId="6019422D" w14:textId="230DB407"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lastRenderedPageBreak/>
        <w:t xml:space="preserve">Melamed, D., Simpson, B., &amp; Harrell, A. (2017). Prosocial orientation alters network dynamics and fosters cooperation. </w:t>
      </w:r>
      <w:r w:rsidRPr="002414E9">
        <w:rPr>
          <w:rFonts w:eastAsia="DengXian" w:cs="Times New Roman"/>
          <w:bCs/>
          <w:i/>
          <w:iCs/>
          <w:noProof/>
          <w:lang w:eastAsia="zh-CN"/>
        </w:rPr>
        <w:t>Scientific Reports</w:t>
      </w:r>
      <w:r w:rsidRPr="002414E9">
        <w:rPr>
          <w:rFonts w:eastAsia="DengXian" w:cs="Times New Roman"/>
          <w:bCs/>
          <w:noProof/>
          <w:lang w:eastAsia="zh-CN"/>
        </w:rPr>
        <w:t xml:space="preserve">, </w:t>
      </w:r>
      <w:r w:rsidRPr="002414E9">
        <w:rPr>
          <w:rFonts w:eastAsia="DengXian" w:cs="Times New Roman"/>
          <w:bCs/>
          <w:i/>
          <w:iCs/>
          <w:noProof/>
          <w:lang w:eastAsia="zh-CN"/>
        </w:rPr>
        <w:t>7</w:t>
      </w:r>
      <w:r w:rsidRPr="002414E9">
        <w:rPr>
          <w:rFonts w:eastAsia="DengXian" w:cs="Times New Roman"/>
          <w:bCs/>
          <w:noProof/>
          <w:lang w:eastAsia="zh-CN"/>
        </w:rPr>
        <w:t>(1), 1–6. https://doi.org/10.1038/s41598-017-00265-x</w:t>
      </w:r>
    </w:p>
    <w:p w14:paraId="440CAE96" w14:textId="5FC02AE9"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Meleady, R., &amp; Seger, C. R. (2017). Imagined contact encourages prosocial behavior towards outgroup members. </w:t>
      </w:r>
      <w:r w:rsidRPr="002414E9">
        <w:rPr>
          <w:rFonts w:eastAsia="DengXian" w:cs="Times New Roman"/>
          <w:bCs/>
          <w:i/>
          <w:iCs/>
          <w:noProof/>
          <w:lang w:eastAsia="zh-CN"/>
        </w:rPr>
        <w:t>Group Processes &amp; Intergroup Relations</w:t>
      </w:r>
      <w:r w:rsidRPr="002414E9">
        <w:rPr>
          <w:rFonts w:eastAsia="DengXian" w:cs="Times New Roman"/>
          <w:bCs/>
          <w:noProof/>
          <w:lang w:eastAsia="zh-CN"/>
        </w:rPr>
        <w:t xml:space="preserve">, </w:t>
      </w:r>
      <w:r w:rsidRPr="002414E9">
        <w:rPr>
          <w:rFonts w:eastAsia="DengXian" w:cs="Times New Roman"/>
          <w:bCs/>
          <w:i/>
          <w:iCs/>
          <w:noProof/>
          <w:lang w:eastAsia="zh-CN"/>
        </w:rPr>
        <w:t>20</w:t>
      </w:r>
      <w:r w:rsidRPr="002414E9">
        <w:rPr>
          <w:rFonts w:eastAsia="DengXian" w:cs="Times New Roman"/>
          <w:bCs/>
          <w:noProof/>
          <w:lang w:eastAsia="zh-CN"/>
        </w:rPr>
        <w:t>(4), 447–464. https://doi.org/10.1177/1368430215612225</w:t>
      </w:r>
    </w:p>
    <w:p w14:paraId="35927C19"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Meleady, R., Hopthrow, T., &amp; Crisp, R. J. (2013). Simulating social dilemmas: Promoting cooperative behavior through imagined group discussion. </w:t>
      </w:r>
      <w:r w:rsidRPr="002414E9">
        <w:rPr>
          <w:rFonts w:eastAsia="DengXian" w:cs="Times New Roman"/>
          <w:i/>
          <w:iCs/>
          <w:noProof/>
          <w:lang w:eastAsia="zh-CN"/>
        </w:rPr>
        <w:t>Journal of Personality and Social Psychology</w:t>
      </w:r>
      <w:r w:rsidRPr="002414E9">
        <w:rPr>
          <w:rFonts w:eastAsia="DengXian" w:cs="Times New Roman"/>
          <w:noProof/>
          <w:lang w:eastAsia="zh-CN"/>
        </w:rPr>
        <w:t xml:space="preserve">, </w:t>
      </w:r>
      <w:r w:rsidRPr="002414E9">
        <w:rPr>
          <w:rFonts w:eastAsia="DengXian" w:cs="Times New Roman"/>
          <w:i/>
          <w:iCs/>
          <w:noProof/>
          <w:lang w:eastAsia="zh-CN"/>
        </w:rPr>
        <w:t>104</w:t>
      </w:r>
      <w:r w:rsidRPr="002414E9">
        <w:rPr>
          <w:rFonts w:eastAsia="DengXian" w:cs="Times New Roman"/>
          <w:noProof/>
          <w:lang w:eastAsia="zh-CN"/>
        </w:rPr>
        <w:t>(5), 839–853. https://doi.org/10.1037/a0031233</w:t>
      </w:r>
    </w:p>
    <w:p w14:paraId="4FAF891F"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Mengel, F., &amp; Peeters, R. (2011). Strategic behavior in repeated voluntary contribution experiments.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95</w:t>
      </w:r>
      <w:r w:rsidRPr="002414E9">
        <w:rPr>
          <w:rFonts w:eastAsia="DengXian" w:cs="Times New Roman"/>
          <w:noProof/>
          <w:lang w:eastAsia="zh-CN"/>
        </w:rPr>
        <w:t>(1–2), 143–148. https://doi.org/10.1016/j.jpubeco.2010.10.004</w:t>
      </w:r>
    </w:p>
    <w:p w14:paraId="1C2C5363" w14:textId="6A3B251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Mertins, V., Schote, A. B., Hoffeld, W., Griessmair, M., &amp; Meyer, J. (2011). </w:t>
      </w:r>
      <w:r w:rsidRPr="002414E9">
        <w:rPr>
          <w:rFonts w:eastAsia="DengXian" w:cs="Times New Roman"/>
          <w:noProof/>
          <w:lang w:eastAsia="zh-CN"/>
        </w:rPr>
        <w:t xml:space="preserve">Genetic susceptibility for individual cooperation preferences: The role of Monoamine Oxidase A Gene (MAOA) in the Voluntary Provision of Public Goods. </w:t>
      </w:r>
      <w:r w:rsidRPr="002414E9">
        <w:rPr>
          <w:rFonts w:eastAsia="DengXian" w:cs="Times New Roman"/>
          <w:i/>
          <w:iCs/>
          <w:noProof/>
          <w:lang w:eastAsia="zh-CN"/>
        </w:rPr>
        <w:t>PLoS ONE</w:t>
      </w:r>
      <w:r w:rsidRPr="002414E9">
        <w:rPr>
          <w:rFonts w:eastAsia="DengXian" w:cs="Times New Roman"/>
          <w:noProof/>
          <w:lang w:eastAsia="zh-CN"/>
        </w:rPr>
        <w:t xml:space="preserve">, </w:t>
      </w:r>
      <w:r w:rsidRPr="002414E9">
        <w:rPr>
          <w:rFonts w:eastAsia="DengXian" w:cs="Times New Roman"/>
          <w:i/>
          <w:iCs/>
          <w:noProof/>
          <w:lang w:eastAsia="zh-CN"/>
        </w:rPr>
        <w:t>6</w:t>
      </w:r>
      <w:r w:rsidRPr="002414E9">
        <w:rPr>
          <w:rFonts w:eastAsia="DengXian" w:cs="Times New Roman"/>
          <w:noProof/>
          <w:lang w:eastAsia="zh-CN"/>
        </w:rPr>
        <w:t>(6), e20959. https://doi.org/10.1371/journal.pone.0020959</w:t>
      </w:r>
    </w:p>
    <w:p w14:paraId="6B87D0BB" w14:textId="31D79CC5"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fr-FR" w:eastAsia="zh-CN"/>
        </w:rPr>
        <w:t xml:space="preserve">Messé, L. A., &amp; Sivacek, J. M. (1979). </w:t>
      </w:r>
      <w:r w:rsidRPr="002414E9">
        <w:rPr>
          <w:rFonts w:eastAsia="DengXian" w:cs="Times New Roman"/>
          <w:bCs/>
          <w:noProof/>
          <w:lang w:eastAsia="zh-CN"/>
        </w:rPr>
        <w:t xml:space="preserve">Predictions of others' responses in a mixed-motive game: Self-justification or false consensus? </w:t>
      </w:r>
      <w:r w:rsidRPr="002414E9">
        <w:rPr>
          <w:rFonts w:eastAsia="DengXian" w:cs="Times New Roman"/>
          <w:bCs/>
          <w:i/>
          <w:iCs/>
          <w:noProof/>
          <w:lang w:eastAsia="zh-CN"/>
        </w:rPr>
        <w:t>Journal of Personality and Social Psychology, 37</w:t>
      </w:r>
      <w:r w:rsidRPr="002414E9">
        <w:rPr>
          <w:rFonts w:eastAsia="DengXian" w:cs="Times New Roman"/>
          <w:bCs/>
          <w:noProof/>
          <w:lang w:eastAsia="zh-CN"/>
        </w:rPr>
        <w:t>(4), 602–607. https://doi.org/10.1037/0022-3514.37.4.602</w:t>
      </w:r>
    </w:p>
    <w:p w14:paraId="545F98FB" w14:textId="37A606C3" w:rsidR="002414E9" w:rsidRPr="002414E9" w:rsidRDefault="002414E9" w:rsidP="002414E9">
      <w:pPr>
        <w:widowControl w:val="0"/>
        <w:autoSpaceDE w:val="0"/>
        <w:autoSpaceDN w:val="0"/>
        <w:adjustRightInd w:val="0"/>
        <w:ind w:left="709" w:hanging="709"/>
        <w:rPr>
          <w:rFonts w:eastAsia="DengXian" w:cs="Times New Roman"/>
          <w:bCs/>
          <w:noProof/>
          <w:lang w:val="fr-FR" w:eastAsia="zh-CN"/>
        </w:rPr>
      </w:pPr>
      <w:r w:rsidRPr="002414E9">
        <w:rPr>
          <w:rFonts w:eastAsia="DengXian" w:cs="Times New Roman"/>
          <w:bCs/>
          <w:noProof/>
          <w:lang w:eastAsia="zh-CN"/>
        </w:rPr>
        <w:t xml:space="preserve">Messé, L. A., Bolt, M., &amp; Sawyer, J. (1971). Nonstructural determinants of behavior in the replicated prisoner’s dilemma game. </w:t>
      </w:r>
      <w:r w:rsidRPr="002414E9">
        <w:rPr>
          <w:rFonts w:eastAsia="DengXian" w:cs="Times New Roman"/>
          <w:bCs/>
          <w:i/>
          <w:iCs/>
          <w:noProof/>
          <w:lang w:val="fr-FR" w:eastAsia="zh-CN"/>
        </w:rPr>
        <w:t>Psychonomic Science</w:t>
      </w:r>
      <w:r w:rsidRPr="002414E9">
        <w:rPr>
          <w:rFonts w:eastAsia="DengXian" w:cs="Times New Roman"/>
          <w:bCs/>
          <w:noProof/>
          <w:lang w:val="fr-FR" w:eastAsia="zh-CN"/>
        </w:rPr>
        <w:t xml:space="preserve">, </w:t>
      </w:r>
      <w:r w:rsidRPr="002414E9">
        <w:rPr>
          <w:rFonts w:eastAsia="DengXian" w:cs="Times New Roman"/>
          <w:bCs/>
          <w:i/>
          <w:iCs/>
          <w:noProof/>
          <w:lang w:val="fr-FR" w:eastAsia="zh-CN"/>
        </w:rPr>
        <w:t>25</w:t>
      </w:r>
      <w:r w:rsidRPr="002414E9">
        <w:rPr>
          <w:rFonts w:eastAsia="DengXian" w:cs="Times New Roman"/>
          <w:bCs/>
          <w:noProof/>
          <w:lang w:val="fr-FR" w:eastAsia="zh-CN"/>
        </w:rPr>
        <w:t>(4), 238–240. https://doi.org/10.3758/BF03329105</w:t>
      </w:r>
    </w:p>
    <w:p w14:paraId="727CC98B" w14:textId="775E2E78"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it-IT" w:eastAsia="zh-CN"/>
        </w:rPr>
        <w:t xml:space="preserve">Messe, L. A., Dawson, J. E., &amp; Lane, I. M. (1973). </w:t>
      </w:r>
      <w:r w:rsidRPr="002414E9">
        <w:rPr>
          <w:rFonts w:eastAsia="DengXian" w:cs="Times New Roman"/>
          <w:bCs/>
          <w:noProof/>
          <w:lang w:eastAsia="zh-CN"/>
        </w:rPr>
        <w:t xml:space="preserve">Equity as a mediator of the effect of reward </w:t>
      </w:r>
      <w:r w:rsidRPr="002414E9">
        <w:rPr>
          <w:rFonts w:eastAsia="DengXian" w:cs="Times New Roman"/>
          <w:bCs/>
          <w:noProof/>
          <w:lang w:eastAsia="zh-CN"/>
        </w:rPr>
        <w:lastRenderedPageBreak/>
        <w:t xml:space="preserve">level on behavior in the Prisoner's Dilemma game. </w:t>
      </w:r>
      <w:r w:rsidRPr="002414E9">
        <w:rPr>
          <w:rFonts w:eastAsia="DengXian" w:cs="Times New Roman"/>
          <w:bCs/>
          <w:i/>
          <w:iCs/>
          <w:noProof/>
          <w:lang w:eastAsia="zh-CN"/>
        </w:rPr>
        <w:t>Journal of Personality and Social Psychology, 26</w:t>
      </w:r>
      <w:r w:rsidRPr="002414E9">
        <w:rPr>
          <w:rFonts w:eastAsia="DengXian" w:cs="Times New Roman"/>
          <w:bCs/>
          <w:noProof/>
          <w:lang w:eastAsia="zh-CN"/>
        </w:rPr>
        <w:t>(1), 60–65. https://doi.org/10.1037/h0034228</w:t>
      </w:r>
    </w:p>
    <w:p w14:paraId="384CDD12" w14:textId="7329A44E"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Messer, K. D., Zarghamee, H., Kaiser, H. M., &amp; Schulze, W. D. (2007). </w:t>
      </w:r>
      <w:r w:rsidRPr="002414E9">
        <w:rPr>
          <w:rFonts w:eastAsia="DengXian" w:cs="Times New Roman"/>
          <w:bCs/>
          <w:noProof/>
          <w:lang w:eastAsia="zh-CN"/>
        </w:rPr>
        <w:t xml:space="preserve">New hope for the voluntary contributions mechanism: The effects of context. </w:t>
      </w:r>
      <w:r w:rsidRPr="002414E9">
        <w:rPr>
          <w:rFonts w:eastAsia="DengXian" w:cs="Times New Roman"/>
          <w:bCs/>
          <w:i/>
          <w:iCs/>
          <w:noProof/>
          <w:lang w:eastAsia="zh-CN"/>
        </w:rPr>
        <w:t>Journal of Public Economics</w:t>
      </w:r>
      <w:r w:rsidRPr="002414E9">
        <w:rPr>
          <w:rFonts w:eastAsia="DengXian" w:cs="Times New Roman"/>
          <w:bCs/>
          <w:noProof/>
          <w:lang w:eastAsia="zh-CN"/>
        </w:rPr>
        <w:t xml:space="preserve">, </w:t>
      </w:r>
      <w:r w:rsidRPr="002414E9">
        <w:rPr>
          <w:rFonts w:eastAsia="DengXian" w:cs="Times New Roman"/>
          <w:bCs/>
          <w:i/>
          <w:iCs/>
          <w:noProof/>
          <w:lang w:eastAsia="zh-CN"/>
        </w:rPr>
        <w:t>91</w:t>
      </w:r>
      <w:r w:rsidRPr="002414E9">
        <w:rPr>
          <w:rFonts w:eastAsia="DengXian" w:cs="Times New Roman"/>
          <w:bCs/>
          <w:noProof/>
          <w:lang w:eastAsia="zh-CN"/>
        </w:rPr>
        <w:t>(9), 1783–1799. https://doi.org/10.1016/j.jpubeco.2007.08.001</w:t>
      </w:r>
    </w:p>
    <w:p w14:paraId="77C9D3E0" w14:textId="1F914823" w:rsidR="002414E9" w:rsidRPr="002414E9" w:rsidRDefault="002414E9" w:rsidP="002414E9">
      <w:pPr>
        <w:widowControl w:val="0"/>
        <w:autoSpaceDE w:val="0"/>
        <w:autoSpaceDN w:val="0"/>
        <w:adjustRightInd w:val="0"/>
        <w:ind w:left="709" w:hanging="709"/>
        <w:rPr>
          <w:rFonts w:eastAsia="DengXian" w:cs="Times New Roman"/>
          <w:bCs/>
          <w:noProof/>
          <w:lang w:eastAsia="zh-CN"/>
        </w:rPr>
      </w:pPr>
      <w:bookmarkStart w:id="82" w:name="_Hlk74304915"/>
      <w:r w:rsidRPr="002414E9">
        <w:rPr>
          <w:rFonts w:eastAsia="DengXian" w:cs="Times New Roman"/>
          <w:bCs/>
          <w:noProof/>
          <w:lang w:eastAsia="zh-CN"/>
        </w:rPr>
        <w:t xml:space="preserve">Messick D. M., Allison S. T., &amp; Samuelson C. D. (1988). Framing and communication effects on groups members' responses to environmental and social uncertainty. In S. Maital (Ed.) </w:t>
      </w:r>
      <w:r w:rsidRPr="002414E9">
        <w:rPr>
          <w:rFonts w:eastAsia="DengXian" w:cs="Times New Roman"/>
          <w:bCs/>
          <w:i/>
          <w:iCs/>
          <w:noProof/>
          <w:lang w:eastAsia="zh-CN"/>
        </w:rPr>
        <w:t>Applied behavioural economics</w:t>
      </w:r>
      <w:r w:rsidRPr="002414E9">
        <w:rPr>
          <w:rFonts w:eastAsia="DengXian" w:cs="Times New Roman"/>
          <w:bCs/>
          <w:noProof/>
          <w:lang w:eastAsia="zh-CN"/>
        </w:rPr>
        <w:t>. (pp. 677–700). New York University Press.</w:t>
      </w:r>
    </w:p>
    <w:bookmarkEnd w:id="82"/>
    <w:p w14:paraId="14D23E80"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Messick, D. M., Wilke, H., Brewer, M. B., Kramer, R. M., Zemke, P. E., &amp; Lui, L. (1983). </w:t>
      </w:r>
      <w:r w:rsidRPr="002414E9">
        <w:rPr>
          <w:rFonts w:eastAsia="DengXian" w:cs="Times New Roman"/>
          <w:noProof/>
          <w:lang w:eastAsia="zh-CN"/>
        </w:rPr>
        <w:t xml:space="preserve">Individual adaptations and structural change as solutions to social dilemmas. </w:t>
      </w:r>
      <w:r w:rsidRPr="002414E9">
        <w:rPr>
          <w:rFonts w:eastAsia="DengXian" w:cs="Times New Roman"/>
          <w:i/>
          <w:iCs/>
          <w:noProof/>
          <w:lang w:eastAsia="zh-CN"/>
        </w:rPr>
        <w:t>Journal of Personality and Social Psychology</w:t>
      </w:r>
      <w:r w:rsidRPr="002414E9">
        <w:rPr>
          <w:rFonts w:eastAsia="DengXian" w:cs="Times New Roman"/>
          <w:noProof/>
          <w:lang w:eastAsia="zh-CN"/>
        </w:rPr>
        <w:t xml:space="preserve">, </w:t>
      </w:r>
      <w:r w:rsidRPr="002414E9">
        <w:rPr>
          <w:rFonts w:eastAsia="DengXian" w:cs="Times New Roman"/>
          <w:i/>
          <w:iCs/>
          <w:noProof/>
          <w:lang w:eastAsia="zh-CN"/>
        </w:rPr>
        <w:t>44</w:t>
      </w:r>
      <w:r w:rsidRPr="002414E9">
        <w:rPr>
          <w:rFonts w:eastAsia="DengXian" w:cs="Times New Roman"/>
          <w:noProof/>
          <w:lang w:eastAsia="zh-CN"/>
        </w:rPr>
        <w:t>(2), 294–309. https://doi.org/10.1037/0022-3514.44.2.294</w:t>
      </w:r>
    </w:p>
    <w:p w14:paraId="60B46D5E" w14:textId="0F4DFAA3" w:rsidR="002414E9" w:rsidRPr="002414E9" w:rsidRDefault="002414E9" w:rsidP="002414E9">
      <w:pPr>
        <w:widowControl w:val="0"/>
        <w:autoSpaceDE w:val="0"/>
        <w:autoSpaceDN w:val="0"/>
        <w:adjustRightInd w:val="0"/>
        <w:ind w:left="709" w:hanging="709"/>
        <w:rPr>
          <w:rFonts w:eastAsia="DengXian" w:cs="Times New Roman"/>
          <w:bCs/>
          <w:noProof/>
          <w:lang w:eastAsia="zh-CN"/>
        </w:rPr>
      </w:pPr>
      <w:bookmarkStart w:id="83" w:name="_Hlk74305043"/>
      <w:r w:rsidRPr="002414E9">
        <w:rPr>
          <w:rFonts w:eastAsia="DengXian" w:cs="Times New Roman"/>
          <w:bCs/>
          <w:noProof/>
          <w:lang w:eastAsia="zh-CN"/>
        </w:rPr>
        <w:t xml:space="preserve">Meyer, S. F. (2010). </w:t>
      </w:r>
      <w:r w:rsidRPr="002414E9">
        <w:rPr>
          <w:rFonts w:eastAsia="DengXian" w:cs="Times New Roman"/>
          <w:bCs/>
          <w:i/>
          <w:iCs/>
          <w:noProof/>
          <w:lang w:eastAsia="zh-CN"/>
        </w:rPr>
        <w:t>Symmetry of reinforcement in social behavior</w:t>
      </w:r>
      <w:r w:rsidRPr="002414E9">
        <w:rPr>
          <w:rFonts w:eastAsia="DengXian" w:cs="Times New Roman"/>
          <w:bCs/>
          <w:noProof/>
          <w:lang w:eastAsia="zh-CN"/>
        </w:rPr>
        <w:t xml:space="preserve"> (Publication No. 3407843) [Doctoral dissertation, University of California, San Diego]. ProQuest Dissertations Publishing.</w:t>
      </w:r>
    </w:p>
    <w:bookmarkEnd w:id="83"/>
    <w:p w14:paraId="04D4AA2F" w14:textId="3D94ECFF"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Michelini, R. L. (1971). Effects of prior interaction, contact, strategy, and expectation of meeting on game behavior and sentiment.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15</w:t>
      </w:r>
      <w:r w:rsidRPr="002414E9">
        <w:rPr>
          <w:rFonts w:eastAsia="DengXian" w:cs="Times New Roman"/>
          <w:bCs/>
          <w:noProof/>
          <w:lang w:eastAsia="zh-CN"/>
        </w:rPr>
        <w:t>(1), 97–103. https://doi.org/10.1177/002200277101500109</w:t>
      </w:r>
    </w:p>
    <w:p w14:paraId="6D918A4A" w14:textId="1554CBCE"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Mienaltowski, A. S. (2008). </w:t>
      </w:r>
      <w:r w:rsidRPr="002414E9">
        <w:rPr>
          <w:rFonts w:eastAsia="DengXian" w:cs="Times New Roman"/>
          <w:bCs/>
          <w:i/>
          <w:iCs/>
          <w:noProof/>
          <w:lang w:eastAsia="zh-CN"/>
        </w:rPr>
        <w:t>Age differences in interpersonal problem solving: examining interpersonal conflict in an iterated prisoner s dilemma game</w:t>
      </w:r>
      <w:r w:rsidRPr="002414E9">
        <w:rPr>
          <w:rFonts w:eastAsia="DengXian" w:cs="Times New Roman"/>
          <w:bCs/>
          <w:noProof/>
          <w:lang w:eastAsia="zh-CN"/>
        </w:rPr>
        <w:t xml:space="preserve"> [Doctoral dissertation, Georgia Institute of Technology]. Georgia Tech Library. http://hdl.handle.net/1853/24709</w:t>
      </w:r>
    </w:p>
    <w:p w14:paraId="03732216" w14:textId="711B5727" w:rsidR="002414E9" w:rsidRPr="002414E9" w:rsidRDefault="002414E9" w:rsidP="002414E9">
      <w:pPr>
        <w:widowControl w:val="0"/>
        <w:autoSpaceDE w:val="0"/>
        <w:autoSpaceDN w:val="0"/>
        <w:adjustRightInd w:val="0"/>
        <w:ind w:left="709" w:hanging="709"/>
        <w:rPr>
          <w:rFonts w:eastAsia="DengXian" w:cs="Times New Roman"/>
          <w:bCs/>
          <w:noProof/>
          <w:lang w:val="en-GB" w:eastAsia="zh-CN"/>
        </w:rPr>
      </w:pPr>
      <w:bookmarkStart w:id="84" w:name="_Hlk74305374"/>
      <w:r w:rsidRPr="002414E9">
        <w:rPr>
          <w:rFonts w:eastAsia="DengXian" w:cs="Times New Roman"/>
          <w:bCs/>
          <w:noProof/>
          <w:lang w:val="de-DE" w:eastAsia="zh-CN"/>
        </w:rPr>
        <w:t xml:space="preserve">Mieth, L., Bell, R., &amp; Buchner, A. (2016). </w:t>
      </w:r>
      <w:r w:rsidRPr="002414E9">
        <w:rPr>
          <w:rFonts w:eastAsia="DengXian" w:cs="Times New Roman"/>
          <w:bCs/>
          <w:noProof/>
          <w:lang w:eastAsia="zh-CN"/>
        </w:rPr>
        <w:t xml:space="preserve">Facial likability and smiling enhance cooperation, but have no direct effect on moralistic punishment. </w:t>
      </w:r>
      <w:r w:rsidRPr="002414E9">
        <w:rPr>
          <w:rFonts w:eastAsia="DengXian" w:cs="Times New Roman"/>
          <w:bCs/>
          <w:i/>
          <w:iCs/>
          <w:noProof/>
          <w:lang w:val="en-GB" w:eastAsia="zh-CN"/>
        </w:rPr>
        <w:t>Experimental Psychology, 63</w:t>
      </w:r>
      <w:r w:rsidRPr="002414E9">
        <w:rPr>
          <w:rFonts w:eastAsia="DengXian" w:cs="Times New Roman"/>
          <w:bCs/>
          <w:noProof/>
          <w:lang w:val="en-GB" w:eastAsia="zh-CN"/>
        </w:rPr>
        <w:t>(5), 263–</w:t>
      </w:r>
      <w:r w:rsidRPr="002414E9">
        <w:rPr>
          <w:rFonts w:eastAsia="DengXian" w:cs="Times New Roman"/>
          <w:bCs/>
          <w:noProof/>
          <w:lang w:val="en-GB" w:eastAsia="zh-CN"/>
        </w:rPr>
        <w:lastRenderedPageBreak/>
        <w:t>277. https://doi.org/10.1027/1618-3169/a000338</w:t>
      </w:r>
    </w:p>
    <w:bookmarkEnd w:id="84"/>
    <w:p w14:paraId="72EF5A5D" w14:textId="7F9EAAD4"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en-GB" w:eastAsia="zh-CN"/>
        </w:rPr>
        <w:t xml:space="preserve">Miettinen, T., &amp; Suetens, S. (2008). </w:t>
      </w:r>
      <w:r w:rsidRPr="002414E9">
        <w:rPr>
          <w:rFonts w:eastAsia="DengXian" w:cs="Times New Roman"/>
          <w:bCs/>
          <w:noProof/>
          <w:lang w:eastAsia="zh-CN"/>
        </w:rPr>
        <w:t xml:space="preserve">Communication and guilt in a prisoner's dilemma.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52</w:t>
      </w:r>
      <w:r w:rsidRPr="002414E9">
        <w:rPr>
          <w:rFonts w:eastAsia="DengXian" w:cs="Times New Roman"/>
          <w:bCs/>
          <w:noProof/>
          <w:lang w:eastAsia="zh-CN"/>
        </w:rPr>
        <w:t>(6), 945–960. https://doi.org/10.1177/0022002708322325</w:t>
      </w:r>
    </w:p>
    <w:p w14:paraId="636AA0B6" w14:textId="050C80EE"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Mikula, G., &amp; Mueller, G. F. (1983). Procedural preferences in the allocation of jointly produced gains and losses. </w:t>
      </w:r>
      <w:r w:rsidRPr="002414E9">
        <w:rPr>
          <w:rFonts w:eastAsia="DengXian" w:cs="Times New Roman"/>
          <w:bCs/>
          <w:i/>
          <w:iCs/>
          <w:noProof/>
          <w:lang w:eastAsia="zh-CN"/>
        </w:rPr>
        <w:t>The Journal of Social Psychology</w:t>
      </w:r>
      <w:r w:rsidRPr="002414E9">
        <w:rPr>
          <w:rFonts w:eastAsia="DengXian" w:cs="Times New Roman"/>
          <w:bCs/>
          <w:noProof/>
          <w:lang w:eastAsia="zh-CN"/>
        </w:rPr>
        <w:t xml:space="preserve">, </w:t>
      </w:r>
      <w:r w:rsidRPr="002414E9">
        <w:rPr>
          <w:rFonts w:eastAsia="DengXian" w:cs="Times New Roman"/>
          <w:bCs/>
          <w:i/>
          <w:iCs/>
          <w:noProof/>
          <w:lang w:eastAsia="zh-CN"/>
        </w:rPr>
        <w:t>121</w:t>
      </w:r>
      <w:r w:rsidRPr="002414E9">
        <w:rPr>
          <w:rFonts w:eastAsia="DengXian" w:cs="Times New Roman"/>
          <w:bCs/>
          <w:noProof/>
          <w:lang w:eastAsia="zh-CN"/>
        </w:rPr>
        <w:t>(1), 117–124. https://doi.org/10.1080/00224545.1983.9924473</w:t>
      </w:r>
    </w:p>
    <w:p w14:paraId="0CA45AEF" w14:textId="4BBACBF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Milinski, M., Sommerfeld, R. D., Krambeck, H.-J., Reed, F. A., &amp; Marotzke, J. (2008). The collective-risk social dilemma and the prevention of simulated dangerous climate change. </w:t>
      </w:r>
      <w:r w:rsidRPr="002414E9">
        <w:rPr>
          <w:rFonts w:eastAsia="DengXian" w:cs="Times New Roman"/>
          <w:i/>
          <w:iCs/>
          <w:noProof/>
          <w:lang w:eastAsia="zh-CN"/>
        </w:rPr>
        <w:t>Proceedings of the National Academy of Sciences</w:t>
      </w:r>
      <w:r w:rsidRPr="002414E9">
        <w:rPr>
          <w:rFonts w:eastAsia="DengXian" w:cs="Times New Roman"/>
          <w:noProof/>
          <w:lang w:eastAsia="zh-CN"/>
        </w:rPr>
        <w:t xml:space="preserve">, </w:t>
      </w:r>
      <w:r w:rsidRPr="002414E9">
        <w:rPr>
          <w:rFonts w:eastAsia="DengXian" w:cs="Times New Roman"/>
          <w:i/>
          <w:iCs/>
          <w:noProof/>
          <w:lang w:eastAsia="zh-CN"/>
        </w:rPr>
        <w:t>105</w:t>
      </w:r>
      <w:r w:rsidRPr="002414E9">
        <w:rPr>
          <w:rFonts w:eastAsia="DengXian" w:cs="Times New Roman"/>
          <w:noProof/>
          <w:lang w:eastAsia="zh-CN"/>
        </w:rPr>
        <w:t>(7), 2291–2294. https://doi.org/10.1073/pnas.0709546105</w:t>
      </w:r>
    </w:p>
    <w:p w14:paraId="18413D1F" w14:textId="582F30E5"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Miller, D. T., &amp; Holmes, J. G. (1975). The role of situational restrictiveness on self-fulfilling prophecies: A theoretical and empirical extension of Kelley and Stahelski's triangle hypothesis. </w:t>
      </w:r>
      <w:r w:rsidRPr="002414E9">
        <w:rPr>
          <w:rFonts w:eastAsia="DengXian" w:cs="Times New Roman"/>
          <w:bCs/>
          <w:i/>
          <w:iCs/>
          <w:noProof/>
          <w:lang w:eastAsia="zh-CN"/>
        </w:rPr>
        <w:t>Journal of Personality and Social Psychology, 31</w:t>
      </w:r>
      <w:r w:rsidRPr="002414E9">
        <w:rPr>
          <w:rFonts w:eastAsia="DengXian" w:cs="Times New Roman"/>
          <w:bCs/>
          <w:noProof/>
          <w:lang w:eastAsia="zh-CN"/>
        </w:rPr>
        <w:t>(4), 661–673. https://doi.org/10.1037/h0077081</w:t>
      </w:r>
    </w:p>
    <w:p w14:paraId="19D28DE1" w14:textId="2573B88E"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Miller, D. T., Downs, J. S., &amp; Prentice, D. A. (1998). Minimal conditions for the creation of a unit relationship: The social bond between birthday mates. </w:t>
      </w:r>
      <w:r w:rsidRPr="002414E9">
        <w:rPr>
          <w:rFonts w:eastAsia="DengXian" w:cs="Times New Roman"/>
          <w:bCs/>
          <w:i/>
          <w:iCs/>
          <w:noProof/>
          <w:lang w:eastAsia="zh-CN"/>
        </w:rPr>
        <w:t>European Journal of Social Psychology</w:t>
      </w:r>
      <w:r w:rsidRPr="002414E9">
        <w:rPr>
          <w:rFonts w:eastAsia="DengXian" w:cs="Times New Roman"/>
          <w:bCs/>
          <w:noProof/>
          <w:lang w:eastAsia="zh-CN"/>
        </w:rPr>
        <w:t xml:space="preserve">, </w:t>
      </w:r>
      <w:r w:rsidRPr="002414E9">
        <w:rPr>
          <w:rFonts w:eastAsia="DengXian" w:cs="Times New Roman"/>
          <w:bCs/>
          <w:i/>
          <w:iCs/>
          <w:noProof/>
          <w:lang w:eastAsia="zh-CN"/>
        </w:rPr>
        <w:t>28</w:t>
      </w:r>
      <w:r w:rsidRPr="002414E9">
        <w:rPr>
          <w:rFonts w:eastAsia="DengXian" w:cs="Times New Roman"/>
          <w:bCs/>
          <w:noProof/>
          <w:lang w:eastAsia="zh-CN"/>
        </w:rPr>
        <w:t>(3), 475–481. https://doi.org/10.1002/(SICI)1099-0992(199805/06)28:3&lt;475::AID-EJSP881&gt;3.0.CO;2-M</w:t>
      </w:r>
    </w:p>
    <w:p w14:paraId="3D99AC62" w14:textId="637BE09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Mischkowski, D., &amp; Glöckner, A. (2016). Spontaneous cooperation for prosocials, but not for proselfs: Social value orientation moderates spontaneous cooperation behavior. </w:t>
      </w:r>
      <w:r w:rsidRPr="002414E9">
        <w:rPr>
          <w:rFonts w:eastAsia="DengXian" w:cs="Times New Roman"/>
          <w:i/>
          <w:iCs/>
          <w:noProof/>
          <w:lang w:eastAsia="zh-CN"/>
        </w:rPr>
        <w:t>Scientific Reports</w:t>
      </w:r>
      <w:r w:rsidRPr="002414E9">
        <w:rPr>
          <w:rFonts w:eastAsia="DengXian" w:cs="Times New Roman"/>
          <w:noProof/>
          <w:lang w:eastAsia="zh-CN"/>
        </w:rPr>
        <w:t xml:space="preserve">, </w:t>
      </w:r>
      <w:r w:rsidRPr="002414E9">
        <w:rPr>
          <w:rFonts w:eastAsia="DengXian" w:cs="Times New Roman"/>
          <w:i/>
          <w:iCs/>
          <w:noProof/>
          <w:lang w:eastAsia="zh-CN"/>
        </w:rPr>
        <w:t>6</w:t>
      </w:r>
      <w:r w:rsidRPr="002414E9">
        <w:rPr>
          <w:rFonts w:eastAsia="DengXian" w:cs="Times New Roman"/>
          <w:noProof/>
          <w:lang w:eastAsia="zh-CN"/>
        </w:rPr>
        <w:t>(1), 21555. https://doi.org/10.1038/srep21555</w:t>
      </w:r>
    </w:p>
    <w:p w14:paraId="4B76F58E" w14:textId="22652714"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Misra, S., &amp; Kalro, A. (1979). Triangle effect and the connotative meaning of trust in Prisoner's Dilemma: A cross cultural study. </w:t>
      </w:r>
      <w:r w:rsidRPr="002414E9">
        <w:rPr>
          <w:rFonts w:eastAsia="DengXian" w:cs="Times New Roman"/>
          <w:bCs/>
          <w:i/>
          <w:iCs/>
          <w:noProof/>
          <w:lang w:eastAsia="zh-CN"/>
        </w:rPr>
        <w:t>International Journal of Psychology</w:t>
      </w:r>
      <w:r w:rsidRPr="002414E9">
        <w:rPr>
          <w:rFonts w:eastAsia="DengXian" w:cs="Times New Roman"/>
          <w:bCs/>
          <w:noProof/>
          <w:lang w:eastAsia="zh-CN"/>
        </w:rPr>
        <w:t xml:space="preserve">, </w:t>
      </w:r>
      <w:r w:rsidRPr="002414E9">
        <w:rPr>
          <w:rFonts w:eastAsia="DengXian" w:cs="Times New Roman"/>
          <w:bCs/>
          <w:i/>
          <w:iCs/>
          <w:noProof/>
          <w:lang w:eastAsia="zh-CN"/>
        </w:rPr>
        <w:t>14</w:t>
      </w:r>
      <w:r w:rsidRPr="002414E9">
        <w:rPr>
          <w:rFonts w:eastAsia="DengXian" w:cs="Times New Roman"/>
          <w:bCs/>
          <w:noProof/>
          <w:lang w:eastAsia="zh-CN"/>
        </w:rPr>
        <w:t xml:space="preserve">(1-4), 255–263. </w:t>
      </w:r>
      <w:r w:rsidRPr="002414E9">
        <w:rPr>
          <w:rFonts w:eastAsia="DengXian" w:cs="Times New Roman"/>
          <w:bCs/>
          <w:noProof/>
          <w:lang w:eastAsia="zh-CN"/>
        </w:rPr>
        <w:lastRenderedPageBreak/>
        <w:t>https://doi.org/10.1080/00207597908246736</w:t>
      </w:r>
    </w:p>
    <w:p w14:paraId="2DB72D24" w14:textId="1D98F2A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Mitani, Y., &amp; Flores, N. E. (2014). Hypothetical bias reconsidered: Payment and provision uncertainties in a threshold provision mechanism. </w:t>
      </w:r>
      <w:r w:rsidRPr="002414E9">
        <w:rPr>
          <w:rFonts w:eastAsia="DengXian" w:cs="Times New Roman"/>
          <w:i/>
          <w:iCs/>
          <w:noProof/>
          <w:lang w:eastAsia="zh-CN"/>
        </w:rPr>
        <w:t>Environmental and Resource Economics</w:t>
      </w:r>
      <w:r w:rsidRPr="002414E9">
        <w:rPr>
          <w:rFonts w:eastAsia="DengXian" w:cs="Times New Roman"/>
          <w:noProof/>
          <w:lang w:eastAsia="zh-CN"/>
        </w:rPr>
        <w:t xml:space="preserve">, </w:t>
      </w:r>
      <w:r w:rsidRPr="002414E9">
        <w:rPr>
          <w:rFonts w:eastAsia="DengXian" w:cs="Times New Roman"/>
          <w:i/>
          <w:iCs/>
          <w:noProof/>
          <w:lang w:eastAsia="zh-CN"/>
        </w:rPr>
        <w:t>59</w:t>
      </w:r>
      <w:r w:rsidRPr="002414E9">
        <w:rPr>
          <w:rFonts w:eastAsia="DengXian" w:cs="Times New Roman"/>
          <w:noProof/>
          <w:lang w:eastAsia="zh-CN"/>
        </w:rPr>
        <w:t>(3), 433–454. https://doi.org/10.1007/s10640-013-9741-0</w:t>
      </w:r>
    </w:p>
    <w:p w14:paraId="674B8EC6" w14:textId="0FA18F9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Mitkidis, P., McGraw, J. J., Roepstorff, A., &amp; Wallot, S. (2015). Building trust: Heart rate synchrony and arousal during joint action increased by public goods game. </w:t>
      </w:r>
      <w:r w:rsidRPr="002414E9">
        <w:rPr>
          <w:rFonts w:eastAsia="DengXian" w:cs="Times New Roman"/>
          <w:i/>
          <w:iCs/>
          <w:noProof/>
          <w:lang w:eastAsia="zh-CN"/>
        </w:rPr>
        <w:t>Physiology &amp; Behavior</w:t>
      </w:r>
      <w:r w:rsidRPr="002414E9">
        <w:rPr>
          <w:rFonts w:eastAsia="DengXian" w:cs="Times New Roman"/>
          <w:noProof/>
          <w:lang w:eastAsia="zh-CN"/>
        </w:rPr>
        <w:t xml:space="preserve">, </w:t>
      </w:r>
      <w:r w:rsidRPr="002414E9">
        <w:rPr>
          <w:rFonts w:eastAsia="DengXian" w:cs="Times New Roman"/>
          <w:i/>
          <w:iCs/>
          <w:noProof/>
          <w:lang w:eastAsia="zh-CN"/>
        </w:rPr>
        <w:t>149</w:t>
      </w:r>
      <w:r w:rsidRPr="002414E9">
        <w:rPr>
          <w:rFonts w:eastAsia="DengXian" w:cs="Times New Roman"/>
          <w:noProof/>
          <w:lang w:eastAsia="zh-CN"/>
        </w:rPr>
        <w:t>, 101–106. https://doi.org/10.1016/j.physbeh.2015.05.033</w:t>
      </w:r>
    </w:p>
    <w:p w14:paraId="58B133D2" w14:textId="440F548C" w:rsidR="002414E9" w:rsidRPr="002414E9" w:rsidRDefault="002414E9" w:rsidP="002414E9">
      <w:pPr>
        <w:widowControl w:val="0"/>
        <w:autoSpaceDE w:val="0"/>
        <w:autoSpaceDN w:val="0"/>
        <w:adjustRightInd w:val="0"/>
        <w:ind w:left="709" w:hanging="709"/>
        <w:rPr>
          <w:rFonts w:eastAsia="DengXian" w:cs="Times New Roman"/>
          <w:noProof/>
          <w:lang w:val="it-IT" w:eastAsia="zh-CN"/>
        </w:rPr>
      </w:pPr>
      <w:r w:rsidRPr="002414E9">
        <w:rPr>
          <w:rFonts w:eastAsia="DengXian" w:cs="Times New Roman"/>
          <w:noProof/>
          <w:lang w:eastAsia="zh-CN"/>
        </w:rPr>
        <w:t xml:space="preserve">Mitkidis, P., Sørensen, J., Nielbo, K. L., Andersen, M., &amp; Lienard, P. (2013). Collective-goal ascription increases cooperation in humans. </w:t>
      </w:r>
      <w:r w:rsidRPr="002414E9">
        <w:rPr>
          <w:rFonts w:eastAsia="DengXian" w:cs="Times New Roman"/>
          <w:i/>
          <w:iCs/>
          <w:noProof/>
          <w:lang w:val="it-IT" w:eastAsia="zh-CN"/>
        </w:rPr>
        <w:t>PLoS ONE</w:t>
      </w:r>
      <w:r w:rsidRPr="002414E9">
        <w:rPr>
          <w:rFonts w:eastAsia="DengXian" w:cs="Times New Roman"/>
          <w:noProof/>
          <w:lang w:val="it-IT" w:eastAsia="zh-CN"/>
        </w:rPr>
        <w:t xml:space="preserve">, </w:t>
      </w:r>
      <w:r w:rsidRPr="002414E9">
        <w:rPr>
          <w:rFonts w:eastAsia="DengXian" w:cs="Times New Roman"/>
          <w:i/>
          <w:iCs/>
          <w:noProof/>
          <w:lang w:val="it-IT" w:eastAsia="zh-CN"/>
        </w:rPr>
        <w:t>8</w:t>
      </w:r>
      <w:r w:rsidRPr="002414E9">
        <w:rPr>
          <w:rFonts w:eastAsia="DengXian" w:cs="Times New Roman"/>
          <w:noProof/>
          <w:lang w:val="it-IT" w:eastAsia="zh-CN"/>
        </w:rPr>
        <w:t>(5), e64776. https://doi.org/10.1371/journal.pone.0064776</w:t>
      </w:r>
    </w:p>
    <w:p w14:paraId="211DDCBA" w14:textId="1B2B68E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Mito, Y., Shimmoto, M., &amp; Naito, T. (2003). </w:t>
      </w:r>
      <w:r w:rsidRPr="002414E9">
        <w:rPr>
          <w:rFonts w:eastAsia="DengXian" w:cs="Times New Roman"/>
          <w:noProof/>
          <w:lang w:eastAsia="zh-CN"/>
        </w:rPr>
        <w:t xml:space="preserve">Dōgaku katei ni okeru higōri na sentaku kōdō [The irrational behavior of choice under the dynamic game]. </w:t>
      </w:r>
      <w:r w:rsidRPr="002414E9">
        <w:rPr>
          <w:rFonts w:eastAsia="DengXian" w:cs="Times New Roman"/>
          <w:i/>
          <w:iCs/>
          <w:noProof/>
          <w:lang w:eastAsia="zh-CN"/>
        </w:rPr>
        <w:t>Journal of Kyushu Kyoritsu University Faculty of Economic</w:t>
      </w:r>
      <w:r w:rsidRPr="002414E9">
        <w:rPr>
          <w:rFonts w:eastAsia="DengXian" w:cs="Times New Roman"/>
          <w:noProof/>
          <w:lang w:eastAsia="zh-CN"/>
        </w:rPr>
        <w:t xml:space="preserve">, </w:t>
      </w:r>
      <w:r w:rsidRPr="002414E9">
        <w:rPr>
          <w:rFonts w:eastAsia="DengXian" w:cs="Times New Roman"/>
          <w:i/>
          <w:iCs/>
          <w:noProof/>
          <w:lang w:eastAsia="zh-CN"/>
        </w:rPr>
        <w:t>92</w:t>
      </w:r>
      <w:r w:rsidRPr="002414E9">
        <w:rPr>
          <w:rFonts w:eastAsia="DengXian" w:cs="Times New Roman"/>
          <w:noProof/>
          <w:lang w:eastAsia="zh-CN"/>
        </w:rPr>
        <w:t>, 33–45.</w:t>
      </w:r>
    </w:p>
    <w:p w14:paraId="11A99275" w14:textId="6B6380C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Mitra, A., Buisson, M.-C., &amp; Bastakoti, R. (2017). </w:t>
      </w:r>
      <w:r w:rsidRPr="002414E9">
        <w:rPr>
          <w:rFonts w:eastAsia="DengXian" w:cs="Times New Roman"/>
          <w:noProof/>
          <w:lang w:eastAsia="zh-CN"/>
        </w:rPr>
        <w:t xml:space="preserve">Enhancing coordination in water management through </w:t>
      </w:r>
      <w:r w:rsidRPr="002414E9">
        <w:rPr>
          <w:rFonts w:eastAsia="DengXian" w:cs="Times New Roman"/>
          <w:noProof/>
          <w:lang w:eastAsia="zh-CN"/>
        </w:rPr>
        <w:softHyphen/>
        <w:t xml:space="preserve">communication tools: results from experimental games in Coastal Bangladesh. </w:t>
      </w:r>
      <w:r w:rsidRPr="002414E9">
        <w:rPr>
          <w:rFonts w:eastAsia="DengXian" w:cs="Times New Roman"/>
          <w:i/>
          <w:iCs/>
          <w:noProof/>
          <w:lang w:eastAsia="zh-CN"/>
        </w:rPr>
        <w:t>International Journal of the Commons</w:t>
      </w:r>
      <w:r w:rsidRPr="002414E9">
        <w:rPr>
          <w:rFonts w:eastAsia="DengXian" w:cs="Times New Roman"/>
          <w:noProof/>
          <w:lang w:eastAsia="zh-CN"/>
        </w:rPr>
        <w:t xml:space="preserve">, </w:t>
      </w:r>
      <w:r w:rsidRPr="002414E9">
        <w:rPr>
          <w:rFonts w:eastAsia="DengXian" w:cs="Times New Roman"/>
          <w:i/>
          <w:iCs/>
          <w:noProof/>
          <w:lang w:eastAsia="zh-CN"/>
        </w:rPr>
        <w:t>11</w:t>
      </w:r>
      <w:r w:rsidRPr="002414E9">
        <w:rPr>
          <w:rFonts w:eastAsia="DengXian" w:cs="Times New Roman"/>
          <w:noProof/>
          <w:lang w:eastAsia="zh-CN"/>
        </w:rPr>
        <w:t>(2), 774–798. https://doi.org/10.18352/ijc.752</w:t>
      </w:r>
    </w:p>
    <w:p w14:paraId="31643F89" w14:textId="634FB0C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Mitsui, H. (1975). N-nin gurūpu ni okeru kojin rieki to kyōtsu rieki no kattō ni tsuite [Conflict between individual and common interest in an N-person group]. </w:t>
      </w:r>
      <w:r w:rsidRPr="002414E9">
        <w:rPr>
          <w:rFonts w:eastAsia="DengXian" w:cs="Times New Roman"/>
          <w:i/>
          <w:iCs/>
          <w:noProof/>
          <w:lang w:eastAsia="zh-CN"/>
        </w:rPr>
        <w:t>The Japanese Journal of Experimental Social Psychology</w:t>
      </w:r>
      <w:r w:rsidRPr="002414E9">
        <w:rPr>
          <w:rFonts w:eastAsia="DengXian" w:cs="Times New Roman"/>
          <w:noProof/>
          <w:lang w:eastAsia="zh-CN"/>
        </w:rPr>
        <w:t xml:space="preserve">, </w:t>
      </w:r>
      <w:r w:rsidRPr="002414E9">
        <w:rPr>
          <w:rFonts w:eastAsia="DengXian" w:cs="Times New Roman"/>
          <w:i/>
          <w:iCs/>
          <w:noProof/>
          <w:lang w:eastAsia="zh-CN"/>
        </w:rPr>
        <w:t>15</w:t>
      </w:r>
      <w:r w:rsidRPr="002414E9">
        <w:rPr>
          <w:rFonts w:eastAsia="DengXian" w:cs="Times New Roman"/>
          <w:noProof/>
          <w:lang w:eastAsia="zh-CN"/>
        </w:rPr>
        <w:t>(2), 162–167. https://doi.org/10.2130/jjesp.15.162</w:t>
      </w:r>
    </w:p>
    <w:p w14:paraId="6DE64AFA" w14:textId="033E7AF9"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Mlicki, P. P. (1996). Hostage posting as a mechanism for co-operation in the prisoner’s dilemma game. In W. B. G. Liebrand, D. M. Messick (Eds.) </w:t>
      </w:r>
      <w:r w:rsidRPr="002414E9">
        <w:rPr>
          <w:rFonts w:eastAsia="DengXian" w:cs="Times New Roman"/>
          <w:bCs/>
          <w:i/>
          <w:iCs/>
          <w:noProof/>
          <w:lang w:eastAsia="zh-CN"/>
        </w:rPr>
        <w:t>Frontiers in Social Dilemmas Research</w:t>
      </w:r>
      <w:r w:rsidRPr="002414E9">
        <w:rPr>
          <w:rFonts w:eastAsia="DengXian" w:cs="Times New Roman"/>
          <w:bCs/>
          <w:noProof/>
          <w:lang w:eastAsia="zh-CN"/>
        </w:rPr>
        <w:t xml:space="preserve"> (pp. 165–183). Springer.</w:t>
      </w:r>
    </w:p>
    <w:p w14:paraId="36D73B5A" w14:textId="0F005569" w:rsidR="002414E9" w:rsidRPr="002414E9" w:rsidRDefault="002414E9" w:rsidP="002414E9">
      <w:pPr>
        <w:widowControl w:val="0"/>
        <w:autoSpaceDE w:val="0"/>
        <w:autoSpaceDN w:val="0"/>
        <w:adjustRightInd w:val="0"/>
        <w:ind w:left="709" w:hanging="709"/>
        <w:rPr>
          <w:rFonts w:eastAsia="DengXian" w:cs="Times New Roman"/>
          <w:bCs/>
          <w:noProof/>
          <w:lang w:val="de-DE" w:eastAsia="zh-CN"/>
        </w:rPr>
      </w:pPr>
      <w:r w:rsidRPr="002414E9">
        <w:rPr>
          <w:rFonts w:eastAsia="DengXian" w:cs="Times New Roman"/>
          <w:bCs/>
          <w:noProof/>
          <w:lang w:eastAsia="zh-CN"/>
        </w:rPr>
        <w:t xml:space="preserve">Moisan, F., ten Brincke, R., Murphy, R. O., &amp; Gonzalez, C. (2018). Not all Prisoner’s Dilemma </w:t>
      </w:r>
      <w:r w:rsidRPr="002414E9">
        <w:rPr>
          <w:rFonts w:eastAsia="DengXian" w:cs="Times New Roman"/>
          <w:bCs/>
          <w:noProof/>
          <w:lang w:eastAsia="zh-CN"/>
        </w:rPr>
        <w:lastRenderedPageBreak/>
        <w:t xml:space="preserve">games are equal: Incentives, social preferences, and cooperation. </w:t>
      </w:r>
      <w:r w:rsidRPr="002414E9">
        <w:rPr>
          <w:rFonts w:eastAsia="DengXian" w:cs="Times New Roman"/>
          <w:bCs/>
          <w:i/>
          <w:iCs/>
          <w:noProof/>
          <w:lang w:val="de-DE" w:eastAsia="zh-CN"/>
        </w:rPr>
        <w:t>Decision, 5</w:t>
      </w:r>
      <w:r w:rsidRPr="002414E9">
        <w:rPr>
          <w:rFonts w:eastAsia="DengXian" w:cs="Times New Roman"/>
          <w:bCs/>
          <w:noProof/>
          <w:lang w:val="de-DE" w:eastAsia="zh-CN"/>
        </w:rPr>
        <w:t>(4), 306–322. https://doi.org/10.1037/dec0000079</w:t>
      </w:r>
    </w:p>
    <w:p w14:paraId="7A0CC023" w14:textId="1AD96468" w:rsidR="002414E9" w:rsidRPr="002414E9" w:rsidRDefault="002414E9" w:rsidP="002414E9">
      <w:pPr>
        <w:widowControl w:val="0"/>
        <w:autoSpaceDE w:val="0"/>
        <w:autoSpaceDN w:val="0"/>
        <w:adjustRightInd w:val="0"/>
        <w:ind w:left="709" w:hanging="709"/>
        <w:rPr>
          <w:rFonts w:eastAsia="DengXian" w:cs="Times New Roman"/>
          <w:bCs/>
          <w:noProof/>
          <w:lang w:val="nl-NL" w:eastAsia="zh-CN"/>
        </w:rPr>
      </w:pPr>
      <w:r w:rsidRPr="002414E9">
        <w:rPr>
          <w:rFonts w:eastAsia="DengXian" w:cs="Times New Roman"/>
          <w:bCs/>
          <w:noProof/>
          <w:lang w:val="de-DE" w:eastAsia="zh-CN"/>
        </w:rPr>
        <w:t xml:space="preserve">Mokros, A., Menner, B., Eisenbarth, H., Alpers, G. W., Lange, K. W., &amp; Osterheider, M. (2008). </w:t>
      </w:r>
      <w:r w:rsidRPr="002414E9">
        <w:rPr>
          <w:rFonts w:eastAsia="DengXian" w:cs="Times New Roman"/>
          <w:bCs/>
          <w:noProof/>
          <w:lang w:eastAsia="zh-CN"/>
        </w:rPr>
        <w:t xml:space="preserve">Diminished cooperativeness of psychopaths in a prisoner's dilemma game yields higher rewards. </w:t>
      </w:r>
      <w:r w:rsidRPr="002414E9">
        <w:rPr>
          <w:rFonts w:eastAsia="DengXian" w:cs="Times New Roman"/>
          <w:bCs/>
          <w:i/>
          <w:iCs/>
          <w:noProof/>
          <w:lang w:val="nl-NL" w:eastAsia="zh-CN"/>
        </w:rPr>
        <w:t>Journal of Abnormal Psychology, 117</w:t>
      </w:r>
      <w:r w:rsidRPr="002414E9">
        <w:rPr>
          <w:rFonts w:eastAsia="DengXian" w:cs="Times New Roman"/>
          <w:bCs/>
          <w:noProof/>
          <w:lang w:val="nl-NL" w:eastAsia="zh-CN"/>
        </w:rPr>
        <w:t>(2), 406–413. https://doi.org/10.1037/0021-843X.117.2.406</w:t>
      </w:r>
    </w:p>
    <w:p w14:paraId="5633F3C0" w14:textId="20EDAA4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Molenmaker, W. E., de Kwaadsteniet, E. W., &amp; Van Dijk, E. (2016). </w:t>
      </w:r>
      <w:r w:rsidRPr="002414E9">
        <w:rPr>
          <w:rFonts w:eastAsia="DengXian" w:cs="Times New Roman"/>
          <w:noProof/>
          <w:lang w:eastAsia="zh-CN"/>
        </w:rPr>
        <w:t xml:space="preserve">The impact of personal responsibility on the (un)willingness to punish non-cooperation and reward cooperation. </w:t>
      </w:r>
      <w:r w:rsidRPr="002414E9">
        <w:rPr>
          <w:rFonts w:eastAsia="DengXian" w:cs="Times New Roman"/>
          <w:i/>
          <w:iCs/>
          <w:noProof/>
          <w:lang w:eastAsia="zh-CN"/>
        </w:rPr>
        <w:t>Organizational Behavior and Human Decision Processes</w:t>
      </w:r>
      <w:r w:rsidRPr="002414E9">
        <w:rPr>
          <w:rFonts w:eastAsia="DengXian" w:cs="Times New Roman"/>
          <w:noProof/>
          <w:lang w:eastAsia="zh-CN"/>
        </w:rPr>
        <w:t xml:space="preserve">, </w:t>
      </w:r>
      <w:r w:rsidRPr="002414E9">
        <w:rPr>
          <w:rFonts w:eastAsia="DengXian" w:cs="Times New Roman"/>
          <w:i/>
          <w:iCs/>
          <w:noProof/>
          <w:lang w:eastAsia="zh-CN"/>
        </w:rPr>
        <w:t>134</w:t>
      </w:r>
      <w:r w:rsidRPr="002414E9">
        <w:rPr>
          <w:rFonts w:eastAsia="DengXian" w:cs="Times New Roman"/>
          <w:noProof/>
          <w:lang w:eastAsia="zh-CN"/>
        </w:rPr>
        <w:t>, 1–15. https://doi.org/10.1016/j.obhdp.2016.02.004</w:t>
      </w:r>
    </w:p>
    <w:p w14:paraId="013A506C" w14:textId="6C846C1E"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es-ES" w:eastAsia="zh-CN"/>
        </w:rPr>
        <w:t xml:space="preserve">Molina, J. A., Giménez-Nadal, J. I., Cuesta, J. A., Gracia-Lazaro, C., Moreno, Y., &amp; Sanchez, A. (2013). </w:t>
      </w:r>
      <w:r w:rsidRPr="002414E9">
        <w:rPr>
          <w:rFonts w:eastAsia="DengXian" w:cs="Times New Roman"/>
          <w:bCs/>
          <w:noProof/>
          <w:lang w:eastAsia="zh-CN"/>
        </w:rPr>
        <w:t xml:space="preserve">Gender differences in cooperation: experimental evidence on high school students. </w:t>
      </w:r>
      <w:r w:rsidRPr="002414E9">
        <w:rPr>
          <w:rFonts w:eastAsia="DengXian" w:cs="Times New Roman"/>
          <w:bCs/>
          <w:i/>
          <w:iCs/>
          <w:noProof/>
          <w:lang w:eastAsia="zh-CN"/>
        </w:rPr>
        <w:t>PLoS ONE</w:t>
      </w:r>
      <w:r w:rsidRPr="002414E9">
        <w:rPr>
          <w:rFonts w:eastAsia="DengXian" w:cs="Times New Roman"/>
          <w:bCs/>
          <w:noProof/>
          <w:lang w:eastAsia="zh-CN"/>
        </w:rPr>
        <w:t xml:space="preserve">, </w:t>
      </w:r>
      <w:r w:rsidRPr="002414E9">
        <w:rPr>
          <w:rFonts w:eastAsia="DengXian" w:cs="Times New Roman"/>
          <w:bCs/>
          <w:i/>
          <w:iCs/>
          <w:noProof/>
          <w:lang w:eastAsia="zh-CN"/>
        </w:rPr>
        <w:t>8</w:t>
      </w:r>
      <w:r w:rsidRPr="002414E9">
        <w:rPr>
          <w:rFonts w:eastAsia="DengXian" w:cs="Times New Roman"/>
          <w:bCs/>
          <w:noProof/>
          <w:lang w:eastAsia="zh-CN"/>
        </w:rPr>
        <w:t>(12), e83700. https://doi.org/10.1371/journal.pone.0083700</w:t>
      </w:r>
    </w:p>
    <w:p w14:paraId="352BF3C3" w14:textId="2F34B781"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Morehous, L. G. (1966). One-play, two-play, five-play, and ten-play runs of Prisoner's Dilemma 1.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10</w:t>
      </w:r>
      <w:r w:rsidRPr="002414E9">
        <w:rPr>
          <w:rFonts w:eastAsia="DengXian" w:cs="Times New Roman"/>
          <w:bCs/>
          <w:noProof/>
          <w:lang w:eastAsia="zh-CN"/>
        </w:rPr>
        <w:t xml:space="preserve">(3), 354–362. </w:t>
      </w:r>
      <w:bookmarkStart w:id="85" w:name="_Hlk54038266"/>
      <w:r w:rsidRPr="002414E9">
        <w:rPr>
          <w:rFonts w:eastAsia="DengXian" w:cs="Times New Roman"/>
          <w:bCs/>
          <w:noProof/>
          <w:lang w:eastAsia="zh-CN"/>
        </w:rPr>
        <w:t>https://doi.org/</w:t>
      </w:r>
      <w:bookmarkEnd w:id="85"/>
      <w:r w:rsidRPr="002414E9">
        <w:rPr>
          <w:rFonts w:eastAsia="DengXian" w:cs="Times New Roman"/>
          <w:bCs/>
          <w:noProof/>
          <w:lang w:eastAsia="zh-CN"/>
        </w:rPr>
        <w:t>10.1177/002200276601000307</w:t>
      </w:r>
    </w:p>
    <w:p w14:paraId="72333FFA" w14:textId="1470AC67"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it-IT" w:eastAsia="zh-CN"/>
        </w:rPr>
        <w:t xml:space="preserve">Morgan, P. M., &amp; Tindale, R. S. (2002). </w:t>
      </w:r>
      <w:r w:rsidRPr="002414E9">
        <w:rPr>
          <w:rFonts w:eastAsia="DengXian" w:cs="Times New Roman"/>
          <w:bCs/>
          <w:noProof/>
          <w:lang w:eastAsia="zh-CN"/>
        </w:rPr>
        <w:t xml:space="preserve">Group vs individual performance in mixed-motive situations: Exploring an inconsistency. </w:t>
      </w:r>
      <w:r w:rsidRPr="002414E9">
        <w:rPr>
          <w:rFonts w:eastAsia="DengXian" w:cs="Times New Roman"/>
          <w:bCs/>
          <w:i/>
          <w:iCs/>
          <w:noProof/>
          <w:lang w:eastAsia="zh-CN"/>
        </w:rPr>
        <w:t>Organizational Behavior and Human Decision Processes</w:t>
      </w:r>
      <w:r w:rsidRPr="002414E9">
        <w:rPr>
          <w:rFonts w:eastAsia="DengXian" w:cs="Times New Roman"/>
          <w:bCs/>
          <w:noProof/>
          <w:lang w:eastAsia="zh-CN"/>
        </w:rPr>
        <w:t>,</w:t>
      </w:r>
      <w:bookmarkStart w:id="86" w:name="_Hlk54084465"/>
      <w:r w:rsidRPr="002414E9">
        <w:rPr>
          <w:rFonts w:eastAsia="DengXian" w:cs="Times New Roman"/>
          <w:bCs/>
          <w:noProof/>
          <w:lang w:eastAsia="zh-CN"/>
        </w:rPr>
        <w:t xml:space="preserve"> </w:t>
      </w:r>
      <w:r w:rsidRPr="002414E9">
        <w:rPr>
          <w:rFonts w:eastAsia="DengXian" w:cs="Times New Roman"/>
          <w:bCs/>
          <w:i/>
          <w:iCs/>
          <w:noProof/>
          <w:lang w:eastAsia="zh-CN"/>
        </w:rPr>
        <w:t>87</w:t>
      </w:r>
      <w:r w:rsidRPr="002414E9">
        <w:rPr>
          <w:rFonts w:eastAsia="DengXian" w:cs="Times New Roman"/>
          <w:bCs/>
          <w:noProof/>
          <w:lang w:eastAsia="zh-CN"/>
        </w:rPr>
        <w:t>(1),</w:t>
      </w:r>
      <w:bookmarkEnd w:id="86"/>
      <w:r w:rsidRPr="002414E9">
        <w:rPr>
          <w:rFonts w:eastAsia="DengXian" w:cs="Times New Roman"/>
          <w:bCs/>
          <w:noProof/>
          <w:lang w:eastAsia="zh-CN"/>
        </w:rPr>
        <w:t xml:space="preserve"> 44–65. https://doi.org/10.1006/obhd.2001.2952</w:t>
      </w:r>
    </w:p>
    <w:p w14:paraId="332A51BF" w14:textId="4192AB6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Mori, K. (1994). Shūjin no jirenma gēmu ni okeru shinraikan to Makyaberizumu no kōka: Kyōryokuritsu oyobi sentaku dōki tono kanren [The role of interpersonal trust and Machiavellianism in a 2-person’s prisoner’s dilemma game: Cooperation rates and choice motives]. </w:t>
      </w:r>
      <w:r w:rsidRPr="002414E9">
        <w:rPr>
          <w:rFonts w:eastAsia="DengXian" w:cs="Times New Roman"/>
          <w:i/>
          <w:iCs/>
          <w:noProof/>
          <w:lang w:eastAsia="zh-CN"/>
        </w:rPr>
        <w:t>Bulletin of the Faculty of Education</w:t>
      </w:r>
      <w:r w:rsidRPr="002414E9">
        <w:rPr>
          <w:rFonts w:eastAsia="DengXian" w:cs="Times New Roman"/>
          <w:noProof/>
          <w:lang w:eastAsia="zh-CN"/>
        </w:rPr>
        <w:t xml:space="preserve">, </w:t>
      </w:r>
      <w:r w:rsidRPr="002414E9">
        <w:rPr>
          <w:rFonts w:eastAsia="DengXian" w:cs="Times New Roman"/>
          <w:i/>
          <w:iCs/>
          <w:noProof/>
          <w:lang w:eastAsia="zh-CN"/>
        </w:rPr>
        <w:t>41</w:t>
      </w:r>
      <w:r w:rsidRPr="002414E9">
        <w:rPr>
          <w:rFonts w:eastAsia="DengXian" w:cs="Times New Roman"/>
          <w:noProof/>
          <w:lang w:eastAsia="zh-CN"/>
        </w:rPr>
        <w:t>, 65–78.</w:t>
      </w:r>
    </w:p>
    <w:p w14:paraId="798EC840" w14:textId="180AB994"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lastRenderedPageBreak/>
        <w:t xml:space="preserve">Mori, K. (1996). Effects of Trust and Communication on Cooperative Choice in a Two-person Prisoner's Dilemma Game. </w:t>
      </w:r>
      <w:r w:rsidRPr="002414E9">
        <w:rPr>
          <w:rFonts w:eastAsia="DengXian" w:cs="Times New Roman"/>
          <w:bCs/>
          <w:i/>
          <w:iCs/>
          <w:noProof/>
          <w:lang w:eastAsia="zh-CN"/>
        </w:rPr>
        <w:t>The Japanese Journal of Experimental Social Psychology</w:t>
      </w:r>
      <w:r w:rsidRPr="002414E9">
        <w:rPr>
          <w:rFonts w:eastAsia="DengXian" w:cs="Times New Roman"/>
          <w:bCs/>
          <w:noProof/>
          <w:lang w:eastAsia="zh-CN"/>
        </w:rPr>
        <w:t xml:space="preserve">, </w:t>
      </w:r>
      <w:r w:rsidRPr="002414E9">
        <w:rPr>
          <w:rFonts w:eastAsia="DengXian" w:cs="Times New Roman"/>
          <w:bCs/>
          <w:i/>
          <w:iCs/>
          <w:noProof/>
          <w:lang w:eastAsia="zh-CN"/>
        </w:rPr>
        <w:t>35</w:t>
      </w:r>
      <w:r w:rsidRPr="002414E9">
        <w:rPr>
          <w:rFonts w:eastAsia="DengXian" w:cs="Times New Roman"/>
          <w:bCs/>
          <w:noProof/>
          <w:lang w:eastAsia="zh-CN"/>
        </w:rPr>
        <w:t>(3), 324–336. https://doi.org/10.2130/jjesp.35.324</w:t>
      </w:r>
    </w:p>
    <w:p w14:paraId="75A54478" w14:textId="6E7E25E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Mori, K. (1998). Shūjin no jirenma gēmu ni okeru shakaiteki kachi shikōsei to ritoku kōzō ninchi [Information preferences and social value orientations in a prisoner’s dilemma game]. </w:t>
      </w:r>
      <w:r w:rsidRPr="002414E9">
        <w:rPr>
          <w:rFonts w:eastAsia="DengXian" w:cs="Times New Roman"/>
          <w:i/>
          <w:iCs/>
          <w:noProof/>
          <w:lang w:eastAsia="zh-CN"/>
        </w:rPr>
        <w:t>The Japanese Journal of Experimental Social Psychology</w:t>
      </w:r>
      <w:r w:rsidRPr="002414E9">
        <w:rPr>
          <w:rFonts w:eastAsia="DengXian" w:cs="Times New Roman"/>
          <w:noProof/>
          <w:lang w:eastAsia="zh-CN"/>
        </w:rPr>
        <w:t xml:space="preserve">, </w:t>
      </w:r>
      <w:r w:rsidRPr="002414E9">
        <w:rPr>
          <w:rFonts w:eastAsia="DengXian" w:cs="Times New Roman"/>
          <w:i/>
          <w:iCs/>
          <w:noProof/>
          <w:lang w:eastAsia="zh-CN"/>
        </w:rPr>
        <w:t>38</w:t>
      </w:r>
      <w:r w:rsidRPr="002414E9">
        <w:rPr>
          <w:rFonts w:eastAsia="DengXian" w:cs="Times New Roman"/>
          <w:noProof/>
          <w:lang w:eastAsia="zh-CN"/>
        </w:rPr>
        <w:t>(1), 48–62. https://doi.org/10.2130/jjesp.38.48</w:t>
      </w:r>
    </w:p>
    <w:p w14:paraId="6040AE4C" w14:textId="7880DF2A"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Morrison, B. J., Enzle, M., Henry, T., Dunaway, D., Griffin, M., Kneisel, K., &amp; Gimperling, J. (1971). The effect of electrical shock and warning on cooperation in a non-zero-sum game.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15</w:t>
      </w:r>
      <w:r w:rsidRPr="002414E9">
        <w:rPr>
          <w:rFonts w:eastAsia="DengXian" w:cs="Times New Roman"/>
          <w:bCs/>
          <w:noProof/>
          <w:lang w:eastAsia="zh-CN"/>
        </w:rPr>
        <w:t>(1), 105–108. https://doi.org/10.1177/002200277101500110</w:t>
      </w:r>
    </w:p>
    <w:p w14:paraId="2C6B7972" w14:textId="02FE3CC8"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Moshagen, M., Hilbig, B. E., &amp; Musch, J. (2011). </w:t>
      </w:r>
      <w:r w:rsidRPr="002414E9">
        <w:rPr>
          <w:rFonts w:eastAsia="DengXian" w:cs="Times New Roman"/>
          <w:bCs/>
          <w:noProof/>
          <w:lang w:eastAsia="zh-CN"/>
        </w:rPr>
        <w:t xml:space="preserve">Defection in the dark? A randomized‐response investigation of cooperativeness in social dilemma games. </w:t>
      </w:r>
      <w:r w:rsidRPr="002414E9">
        <w:rPr>
          <w:rFonts w:eastAsia="DengXian" w:cs="Times New Roman"/>
          <w:bCs/>
          <w:i/>
          <w:iCs/>
          <w:noProof/>
          <w:lang w:eastAsia="zh-CN"/>
        </w:rPr>
        <w:t>European Journal of Social Psychology</w:t>
      </w:r>
      <w:r w:rsidRPr="002414E9">
        <w:rPr>
          <w:rFonts w:eastAsia="DengXian" w:cs="Times New Roman"/>
          <w:bCs/>
          <w:noProof/>
          <w:lang w:eastAsia="zh-CN"/>
        </w:rPr>
        <w:t xml:space="preserve">, </w:t>
      </w:r>
      <w:r w:rsidRPr="002414E9">
        <w:rPr>
          <w:rFonts w:eastAsia="DengXian" w:cs="Times New Roman"/>
          <w:bCs/>
          <w:i/>
          <w:iCs/>
          <w:noProof/>
          <w:lang w:eastAsia="zh-CN"/>
        </w:rPr>
        <w:t>41</w:t>
      </w:r>
      <w:r w:rsidRPr="002414E9">
        <w:rPr>
          <w:rFonts w:eastAsia="DengXian" w:cs="Times New Roman"/>
          <w:bCs/>
          <w:noProof/>
          <w:lang w:eastAsia="zh-CN"/>
        </w:rPr>
        <w:t>(5), 638–644. https://doi.org/10.1002/ejsp.793</w:t>
      </w:r>
    </w:p>
    <w:p w14:paraId="321ECA1B" w14:textId="6E6E752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Motro, D., Kugler, T., &amp; Connolly, T. (2016). </w:t>
      </w:r>
      <w:r w:rsidRPr="002414E9">
        <w:rPr>
          <w:rFonts w:eastAsia="DengXian" w:cs="Times New Roman"/>
          <w:noProof/>
          <w:lang w:eastAsia="zh-CN"/>
        </w:rPr>
        <w:t xml:space="preserve">Back to the basics: how feelings of anger affect cooperation. </w:t>
      </w:r>
      <w:r w:rsidRPr="002414E9">
        <w:rPr>
          <w:rFonts w:eastAsia="DengXian" w:cs="Times New Roman"/>
          <w:i/>
          <w:iCs/>
          <w:noProof/>
          <w:lang w:eastAsia="zh-CN"/>
        </w:rPr>
        <w:t>International Journal of Conflict Management</w:t>
      </w:r>
      <w:r w:rsidRPr="002414E9">
        <w:rPr>
          <w:rFonts w:eastAsia="DengXian" w:cs="Times New Roman"/>
          <w:noProof/>
          <w:lang w:eastAsia="zh-CN"/>
        </w:rPr>
        <w:t xml:space="preserve">, </w:t>
      </w:r>
      <w:r w:rsidRPr="002414E9">
        <w:rPr>
          <w:rFonts w:eastAsia="DengXian" w:cs="Times New Roman"/>
          <w:i/>
          <w:iCs/>
          <w:noProof/>
          <w:lang w:eastAsia="zh-CN"/>
        </w:rPr>
        <w:t>27</w:t>
      </w:r>
      <w:r w:rsidRPr="002414E9">
        <w:rPr>
          <w:rFonts w:eastAsia="DengXian" w:cs="Times New Roman"/>
          <w:noProof/>
          <w:lang w:eastAsia="zh-CN"/>
        </w:rPr>
        <w:t>(4), 523–546. https://doi.org/10.1108/IJCMA-10-2015-0068</w:t>
      </w:r>
    </w:p>
    <w:p w14:paraId="623C306B" w14:textId="77777777" w:rsidR="002414E9" w:rsidRPr="002414E9" w:rsidRDefault="002414E9" w:rsidP="002414E9">
      <w:pPr>
        <w:widowControl w:val="0"/>
        <w:autoSpaceDE w:val="0"/>
        <w:autoSpaceDN w:val="0"/>
        <w:adjustRightInd w:val="0"/>
        <w:ind w:left="709" w:hanging="709"/>
        <w:rPr>
          <w:rFonts w:eastAsia="DengXian" w:cs="Times New Roman"/>
          <w:noProof/>
          <w:lang w:val="nl-NL" w:eastAsia="zh-CN"/>
        </w:rPr>
      </w:pPr>
      <w:r w:rsidRPr="002414E9">
        <w:rPr>
          <w:rFonts w:eastAsia="DengXian" w:cs="Times New Roman"/>
          <w:noProof/>
          <w:lang w:eastAsia="zh-CN"/>
        </w:rPr>
        <w:t xml:space="preserve">Mulder, L. B. (2008). The difference between punishments and rewards in fostering moral concerns in social decision making. </w:t>
      </w:r>
      <w:r w:rsidRPr="002414E9">
        <w:rPr>
          <w:rFonts w:eastAsia="DengXian" w:cs="Times New Roman"/>
          <w:i/>
          <w:iCs/>
          <w:noProof/>
          <w:lang w:val="nl-NL" w:eastAsia="zh-CN"/>
        </w:rPr>
        <w:t>Journal of Experimental Social Psychology</w:t>
      </w:r>
      <w:r w:rsidRPr="002414E9">
        <w:rPr>
          <w:rFonts w:eastAsia="DengXian" w:cs="Times New Roman"/>
          <w:noProof/>
          <w:lang w:val="nl-NL" w:eastAsia="zh-CN"/>
        </w:rPr>
        <w:t xml:space="preserve">, </w:t>
      </w:r>
      <w:r w:rsidRPr="002414E9">
        <w:rPr>
          <w:rFonts w:eastAsia="DengXian" w:cs="Times New Roman"/>
          <w:i/>
          <w:iCs/>
          <w:noProof/>
          <w:lang w:val="nl-NL" w:eastAsia="zh-CN"/>
        </w:rPr>
        <w:t>44</w:t>
      </w:r>
      <w:r w:rsidRPr="002414E9">
        <w:rPr>
          <w:rFonts w:eastAsia="DengXian" w:cs="Times New Roman"/>
          <w:noProof/>
          <w:lang w:val="nl-NL" w:eastAsia="zh-CN"/>
        </w:rPr>
        <w:t>(6), 1436–1443. https://doi.org/10.1016/j.jesp.2008.06.004</w:t>
      </w:r>
    </w:p>
    <w:p w14:paraId="3A1A6511" w14:textId="1E908733" w:rsidR="002414E9" w:rsidRPr="002414E9" w:rsidRDefault="002414E9" w:rsidP="002414E9">
      <w:pPr>
        <w:widowControl w:val="0"/>
        <w:autoSpaceDE w:val="0"/>
        <w:autoSpaceDN w:val="0"/>
        <w:adjustRightInd w:val="0"/>
        <w:ind w:left="709" w:hanging="709"/>
        <w:rPr>
          <w:rFonts w:eastAsia="DengXian" w:cs="Times New Roman"/>
          <w:noProof/>
          <w:lang w:val="nl-NL" w:eastAsia="zh-CN"/>
        </w:rPr>
      </w:pPr>
      <w:r w:rsidRPr="002414E9">
        <w:rPr>
          <w:rFonts w:eastAsia="DengXian" w:cs="Times New Roman"/>
          <w:noProof/>
          <w:lang w:val="nl-NL" w:eastAsia="zh-CN"/>
        </w:rPr>
        <w:t xml:space="preserve">Mulder, L. B., Van Dijk, E., De Cremer, D., &amp; Wilke, H. A. M. (2006a). </w:t>
      </w:r>
      <w:r w:rsidRPr="002414E9">
        <w:rPr>
          <w:rFonts w:eastAsia="DengXian" w:cs="Times New Roman"/>
          <w:noProof/>
          <w:lang w:eastAsia="zh-CN"/>
        </w:rPr>
        <w:t xml:space="preserve">Undermining trust and cooperation: The paradox of sanctioning systems in social dilemmas. </w:t>
      </w:r>
      <w:r w:rsidRPr="002414E9">
        <w:rPr>
          <w:rFonts w:eastAsia="DengXian" w:cs="Times New Roman"/>
          <w:i/>
          <w:iCs/>
          <w:noProof/>
          <w:lang w:val="nl-NL" w:eastAsia="zh-CN"/>
        </w:rPr>
        <w:t>Journal of Experimental Social Psychology</w:t>
      </w:r>
      <w:r w:rsidRPr="002414E9">
        <w:rPr>
          <w:rFonts w:eastAsia="DengXian" w:cs="Times New Roman"/>
          <w:noProof/>
          <w:lang w:val="nl-NL" w:eastAsia="zh-CN"/>
        </w:rPr>
        <w:t xml:space="preserve">, </w:t>
      </w:r>
      <w:r w:rsidRPr="002414E9">
        <w:rPr>
          <w:rFonts w:eastAsia="DengXian" w:cs="Times New Roman"/>
          <w:i/>
          <w:iCs/>
          <w:noProof/>
          <w:lang w:val="nl-NL" w:eastAsia="zh-CN"/>
        </w:rPr>
        <w:t>42</w:t>
      </w:r>
      <w:r w:rsidRPr="002414E9">
        <w:rPr>
          <w:rFonts w:eastAsia="DengXian" w:cs="Times New Roman"/>
          <w:noProof/>
          <w:lang w:val="nl-NL" w:eastAsia="zh-CN"/>
        </w:rPr>
        <w:t xml:space="preserve">(2), 147–162. </w:t>
      </w:r>
      <w:r w:rsidRPr="002414E9">
        <w:rPr>
          <w:rFonts w:eastAsia="DengXian" w:cs="Times New Roman"/>
          <w:noProof/>
          <w:lang w:val="nl-NL" w:eastAsia="zh-CN"/>
        </w:rPr>
        <w:lastRenderedPageBreak/>
        <w:t>https://doi.org/10.1016/j.jesp.2005.03.002</w:t>
      </w:r>
    </w:p>
    <w:p w14:paraId="21A4221B" w14:textId="29E53C08" w:rsidR="002414E9" w:rsidRPr="002414E9" w:rsidRDefault="002414E9" w:rsidP="002414E9">
      <w:pPr>
        <w:widowControl w:val="0"/>
        <w:autoSpaceDE w:val="0"/>
        <w:autoSpaceDN w:val="0"/>
        <w:adjustRightInd w:val="0"/>
        <w:ind w:left="709" w:hanging="709"/>
        <w:rPr>
          <w:rFonts w:eastAsia="DengXian" w:cs="Times New Roman"/>
          <w:noProof/>
          <w:lang w:val="nl-NL" w:eastAsia="zh-CN"/>
        </w:rPr>
      </w:pPr>
      <w:r w:rsidRPr="002414E9">
        <w:rPr>
          <w:rFonts w:eastAsia="DengXian" w:cs="Times New Roman"/>
          <w:noProof/>
          <w:lang w:val="nl-NL" w:eastAsia="zh-CN"/>
        </w:rPr>
        <w:t xml:space="preserve">Mulder, L. B., Van Dijk, E., De Cremer, D., &amp; Wilke, H. A. M. (2006b). </w:t>
      </w:r>
      <w:r w:rsidRPr="002414E9">
        <w:rPr>
          <w:rFonts w:eastAsia="DengXian" w:cs="Times New Roman"/>
          <w:noProof/>
          <w:lang w:eastAsia="zh-CN"/>
        </w:rPr>
        <w:t xml:space="preserve">When sanctions fail to increase cooperation in social dilemmas: Considering the presence of an alternative option to defect. </w:t>
      </w:r>
      <w:r w:rsidRPr="002414E9">
        <w:rPr>
          <w:rFonts w:eastAsia="DengXian" w:cs="Times New Roman"/>
          <w:i/>
          <w:iCs/>
          <w:noProof/>
          <w:lang w:val="nl-NL" w:eastAsia="zh-CN"/>
        </w:rPr>
        <w:t>Personality and Social Psychology Bulletin</w:t>
      </w:r>
      <w:r w:rsidRPr="002414E9">
        <w:rPr>
          <w:rFonts w:eastAsia="DengXian" w:cs="Times New Roman"/>
          <w:noProof/>
          <w:lang w:val="nl-NL" w:eastAsia="zh-CN"/>
        </w:rPr>
        <w:t xml:space="preserve">, </w:t>
      </w:r>
      <w:r w:rsidRPr="002414E9">
        <w:rPr>
          <w:rFonts w:eastAsia="DengXian" w:cs="Times New Roman"/>
          <w:i/>
          <w:iCs/>
          <w:noProof/>
          <w:lang w:val="nl-NL" w:eastAsia="zh-CN"/>
        </w:rPr>
        <w:t>32</w:t>
      </w:r>
      <w:r w:rsidRPr="002414E9">
        <w:rPr>
          <w:rFonts w:eastAsia="DengXian" w:cs="Times New Roman"/>
          <w:noProof/>
          <w:lang w:val="nl-NL" w:eastAsia="zh-CN"/>
        </w:rPr>
        <w:t>(10), 1312–1324. https://doi.org/10.1177/0146167206289978</w:t>
      </w:r>
    </w:p>
    <w:p w14:paraId="30BD32FC" w14:textId="5A3CBF0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Mulder, L. B., Van Dijk, E., Wilke, H. A. M., &amp; De Cremer, D. (2005). </w:t>
      </w:r>
      <w:r w:rsidRPr="002414E9">
        <w:rPr>
          <w:rFonts w:eastAsia="DengXian" w:cs="Times New Roman"/>
          <w:noProof/>
          <w:lang w:eastAsia="zh-CN"/>
        </w:rPr>
        <w:t xml:space="preserve">The effect of feedback on support for a sanctioning system in a social dilemma: The difference between installing and maintaining the sanction. </w:t>
      </w:r>
      <w:r w:rsidRPr="002414E9">
        <w:rPr>
          <w:rFonts w:eastAsia="DengXian" w:cs="Times New Roman"/>
          <w:i/>
          <w:iCs/>
          <w:noProof/>
          <w:lang w:eastAsia="zh-CN"/>
        </w:rPr>
        <w:t>Journal of Economic Psychology</w:t>
      </w:r>
      <w:r w:rsidRPr="002414E9">
        <w:rPr>
          <w:rFonts w:eastAsia="DengXian" w:cs="Times New Roman"/>
          <w:noProof/>
          <w:lang w:eastAsia="zh-CN"/>
        </w:rPr>
        <w:t xml:space="preserve">, </w:t>
      </w:r>
      <w:r w:rsidRPr="002414E9">
        <w:rPr>
          <w:rFonts w:eastAsia="DengXian" w:cs="Times New Roman"/>
          <w:i/>
          <w:iCs/>
          <w:noProof/>
          <w:lang w:eastAsia="zh-CN"/>
        </w:rPr>
        <w:t>26</w:t>
      </w:r>
      <w:r w:rsidRPr="002414E9">
        <w:rPr>
          <w:rFonts w:eastAsia="DengXian" w:cs="Times New Roman"/>
          <w:noProof/>
          <w:lang w:eastAsia="zh-CN"/>
        </w:rPr>
        <w:t>(3), 443–458. https://doi.org/10.1016/j.joep.2004.12.007</w:t>
      </w:r>
    </w:p>
    <w:p w14:paraId="6559CAD5" w14:textId="6779F56A"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Mulford, M., Jackson, J., &amp; Svedsäter, H. (2008). Encouraging cooperation: Revisiting solidarity and commitment effects in prisoner's dilemma games. </w:t>
      </w:r>
      <w:r w:rsidRPr="002414E9">
        <w:rPr>
          <w:rFonts w:eastAsia="DengXian" w:cs="Times New Roman"/>
          <w:bCs/>
          <w:i/>
          <w:iCs/>
          <w:noProof/>
          <w:lang w:eastAsia="zh-CN"/>
        </w:rPr>
        <w:t>Journal of Applied Social Psychology</w:t>
      </w:r>
      <w:r w:rsidRPr="002414E9">
        <w:rPr>
          <w:rFonts w:eastAsia="DengXian" w:cs="Times New Roman"/>
          <w:bCs/>
          <w:noProof/>
          <w:lang w:eastAsia="zh-CN"/>
        </w:rPr>
        <w:t xml:space="preserve">, </w:t>
      </w:r>
      <w:r w:rsidRPr="002414E9">
        <w:rPr>
          <w:rFonts w:eastAsia="DengXian" w:cs="Times New Roman"/>
          <w:bCs/>
          <w:i/>
          <w:iCs/>
          <w:noProof/>
          <w:lang w:eastAsia="zh-CN"/>
        </w:rPr>
        <w:t>38</w:t>
      </w:r>
      <w:r w:rsidRPr="002414E9">
        <w:rPr>
          <w:rFonts w:eastAsia="DengXian" w:cs="Times New Roman"/>
          <w:bCs/>
          <w:noProof/>
          <w:lang w:eastAsia="zh-CN"/>
        </w:rPr>
        <w:t>(12), 2964–2989. https://doi.org/10.1111/j.1559-1816.2008.00421.x</w:t>
      </w:r>
    </w:p>
    <w:p w14:paraId="40C72CB0" w14:textId="4CC8DD5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Muller, L., Sefton, M., Steinberg, R., &amp; Vesterlund, L. (2008). </w:t>
      </w:r>
      <w:r w:rsidRPr="002414E9">
        <w:rPr>
          <w:rFonts w:eastAsia="DengXian" w:cs="Times New Roman"/>
          <w:noProof/>
          <w:lang w:eastAsia="zh-CN"/>
        </w:rPr>
        <w:t xml:space="preserve">Strategic behavior and learning in repeated voluntary contribution experiments.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67</w:t>
      </w:r>
      <w:r w:rsidRPr="002414E9">
        <w:rPr>
          <w:rFonts w:eastAsia="DengXian" w:cs="Times New Roman"/>
          <w:noProof/>
          <w:lang w:eastAsia="zh-CN"/>
        </w:rPr>
        <w:t>(3–4), 782–793. https://doi.org/10.1016/j.jebo.2007.09.001</w:t>
      </w:r>
    </w:p>
    <w:p w14:paraId="340A3793" w14:textId="50E039C8"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es-ES" w:eastAsia="zh-CN"/>
        </w:rPr>
        <w:t xml:space="preserve">Muñoz-Reyes, J. A., Pita, M., Arjona, M., Sanchez-Pages, S., &amp; Turiegano, E. (2014). </w:t>
      </w:r>
      <w:r w:rsidRPr="002414E9">
        <w:rPr>
          <w:rFonts w:eastAsia="DengXian" w:cs="Times New Roman"/>
          <w:bCs/>
          <w:noProof/>
          <w:lang w:eastAsia="zh-CN"/>
        </w:rPr>
        <w:t xml:space="preserve">Who is the fairest of them all? The independent effect of attractive features and self-perceived attractiveness on cooperation among women. </w:t>
      </w:r>
      <w:r w:rsidRPr="002414E9">
        <w:rPr>
          <w:rFonts w:eastAsia="DengXian" w:cs="Times New Roman"/>
          <w:bCs/>
          <w:i/>
          <w:iCs/>
          <w:noProof/>
          <w:lang w:eastAsia="zh-CN"/>
        </w:rPr>
        <w:t>Evolution and Human Behavior</w:t>
      </w:r>
      <w:r w:rsidRPr="002414E9">
        <w:rPr>
          <w:rFonts w:eastAsia="DengXian" w:cs="Times New Roman"/>
          <w:bCs/>
          <w:noProof/>
          <w:lang w:eastAsia="zh-CN"/>
        </w:rPr>
        <w:t xml:space="preserve">, </w:t>
      </w:r>
      <w:r w:rsidRPr="002414E9">
        <w:rPr>
          <w:rFonts w:eastAsia="DengXian" w:cs="Times New Roman"/>
          <w:bCs/>
          <w:i/>
          <w:iCs/>
          <w:noProof/>
          <w:lang w:eastAsia="zh-CN"/>
        </w:rPr>
        <w:t>35</w:t>
      </w:r>
      <w:r w:rsidRPr="002414E9">
        <w:rPr>
          <w:rFonts w:eastAsia="DengXian" w:cs="Times New Roman"/>
          <w:bCs/>
          <w:noProof/>
          <w:lang w:eastAsia="zh-CN"/>
        </w:rPr>
        <w:t>(2), 118–125. https://doi.org/10.1016/j.evolhumbehav.2013.11.005</w:t>
      </w:r>
    </w:p>
    <w:p w14:paraId="0702E1DD"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Murnighan, J. K., &amp; Roth, A. E. (1983). Expecting continued play in prisoner’s dilemma games: A test of several models. </w:t>
      </w:r>
      <w:r w:rsidRPr="002414E9">
        <w:rPr>
          <w:rFonts w:eastAsia="DengXian" w:cs="Times New Roman"/>
          <w:i/>
          <w:iCs/>
          <w:noProof/>
          <w:lang w:eastAsia="zh-CN"/>
        </w:rPr>
        <w:t>Journal of Conflict Resolution</w:t>
      </w:r>
      <w:r w:rsidRPr="002414E9">
        <w:rPr>
          <w:rFonts w:eastAsia="DengXian" w:cs="Times New Roman"/>
          <w:noProof/>
          <w:lang w:eastAsia="zh-CN"/>
        </w:rPr>
        <w:t xml:space="preserve">, </w:t>
      </w:r>
      <w:r w:rsidRPr="002414E9">
        <w:rPr>
          <w:rFonts w:eastAsia="DengXian" w:cs="Times New Roman"/>
          <w:i/>
          <w:iCs/>
          <w:noProof/>
          <w:lang w:eastAsia="zh-CN"/>
        </w:rPr>
        <w:t>27</w:t>
      </w:r>
      <w:r w:rsidRPr="002414E9">
        <w:rPr>
          <w:rFonts w:eastAsia="DengXian" w:cs="Times New Roman"/>
          <w:noProof/>
          <w:lang w:eastAsia="zh-CN"/>
        </w:rPr>
        <w:t>(2), 279–300. https://doi.org/10.1177/0022002783027002004</w:t>
      </w:r>
    </w:p>
    <w:p w14:paraId="149F9E80" w14:textId="45158C1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Myrseth, K. O. R., Riener, G., &amp; Wollbrant, C. E. (2015). </w:t>
      </w:r>
      <w:r w:rsidRPr="002414E9">
        <w:rPr>
          <w:rFonts w:eastAsia="DengXian" w:cs="Times New Roman"/>
          <w:noProof/>
          <w:lang w:eastAsia="zh-CN"/>
        </w:rPr>
        <w:t xml:space="preserve">Tangible temptation in the social </w:t>
      </w:r>
      <w:r w:rsidRPr="002414E9">
        <w:rPr>
          <w:rFonts w:eastAsia="DengXian" w:cs="Times New Roman"/>
          <w:noProof/>
          <w:lang w:eastAsia="zh-CN"/>
        </w:rPr>
        <w:lastRenderedPageBreak/>
        <w:t xml:space="preserve">dilemma: Cash, cooperation, and self-control. </w:t>
      </w:r>
      <w:r w:rsidRPr="002414E9">
        <w:rPr>
          <w:rFonts w:eastAsia="DengXian" w:cs="Times New Roman"/>
          <w:i/>
          <w:iCs/>
          <w:noProof/>
          <w:lang w:eastAsia="zh-CN"/>
        </w:rPr>
        <w:t>Journal of Neuroscience, Psychology, and Economics</w:t>
      </w:r>
      <w:r w:rsidRPr="002414E9">
        <w:rPr>
          <w:rFonts w:eastAsia="DengXian" w:cs="Times New Roman"/>
          <w:noProof/>
          <w:lang w:eastAsia="zh-CN"/>
        </w:rPr>
        <w:t xml:space="preserve">, </w:t>
      </w:r>
      <w:r w:rsidRPr="002414E9">
        <w:rPr>
          <w:rFonts w:eastAsia="DengXian" w:cs="Times New Roman"/>
          <w:i/>
          <w:iCs/>
          <w:noProof/>
          <w:lang w:eastAsia="zh-CN"/>
        </w:rPr>
        <w:t>8</w:t>
      </w:r>
      <w:r w:rsidRPr="002414E9">
        <w:rPr>
          <w:rFonts w:eastAsia="DengXian" w:cs="Times New Roman"/>
          <w:noProof/>
          <w:lang w:eastAsia="zh-CN"/>
        </w:rPr>
        <w:t>(2), 61–77. https://doi.org/10.1037/npe0000035</w:t>
      </w:r>
    </w:p>
    <w:p w14:paraId="4A90455A" w14:textId="66AB3CEB" w:rsidR="002414E9" w:rsidRPr="002414E9" w:rsidRDefault="002414E9" w:rsidP="002414E9">
      <w:pPr>
        <w:widowControl w:val="0"/>
        <w:autoSpaceDE w:val="0"/>
        <w:autoSpaceDN w:val="0"/>
        <w:adjustRightInd w:val="0"/>
        <w:ind w:left="709" w:hanging="709"/>
        <w:rPr>
          <w:rFonts w:eastAsia="DengXian" w:cs="Times New Roman"/>
          <w:bCs/>
          <w:noProof/>
          <w:lang w:eastAsia="zh-CN"/>
        </w:rPr>
      </w:pPr>
      <w:bookmarkStart w:id="87" w:name="_Hlk74305616"/>
      <w:r w:rsidRPr="002414E9">
        <w:rPr>
          <w:rFonts w:eastAsia="DengXian" w:cs="Times New Roman"/>
          <w:bCs/>
          <w:noProof/>
          <w:lang w:eastAsia="zh-CN"/>
        </w:rPr>
        <w:t xml:space="preserve">Myung, N. (2009). </w:t>
      </w:r>
      <w:r w:rsidRPr="002414E9">
        <w:rPr>
          <w:rFonts w:eastAsia="DengXian" w:cs="Times New Roman"/>
          <w:bCs/>
          <w:i/>
          <w:iCs/>
          <w:noProof/>
          <w:lang w:eastAsia="zh-CN"/>
        </w:rPr>
        <w:t>Organizational and financial economics</w:t>
      </w:r>
      <w:r w:rsidRPr="002414E9">
        <w:rPr>
          <w:rFonts w:eastAsia="DengXian" w:cs="Times New Roman"/>
          <w:bCs/>
          <w:noProof/>
          <w:lang w:eastAsia="zh-CN"/>
        </w:rPr>
        <w:t xml:space="preserve"> (Publication No. 3516911) [Doctoral dissertation, California Institute of Technology]. ProQuest Dissertations Publishing.</w:t>
      </w:r>
    </w:p>
    <w:bookmarkEnd w:id="87"/>
    <w:p w14:paraId="1BC17805" w14:textId="524CEDE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Neitzel, J., &amp; Saaksvuori, L. (2013). </w:t>
      </w:r>
      <w:r w:rsidRPr="002414E9">
        <w:rPr>
          <w:rFonts w:eastAsia="DengXian" w:cs="Times New Roman"/>
          <w:i/>
          <w:iCs/>
          <w:noProof/>
          <w:lang w:eastAsia="zh-CN"/>
        </w:rPr>
        <w:t>Normative conflict and cooperation in sequential social dilemmas</w:t>
      </w:r>
      <w:r w:rsidRPr="002414E9">
        <w:rPr>
          <w:rFonts w:eastAsia="DengXian" w:cs="Times New Roman"/>
          <w:noProof/>
          <w:lang w:eastAsia="zh-CN"/>
        </w:rPr>
        <w:t>. Retrieved from SSRN 2235927.</w:t>
      </w:r>
      <w:r w:rsidRPr="002414E9">
        <w:rPr>
          <w:rFonts w:eastAsia="DengXian" w:cs="Times New Roman"/>
          <w:i/>
          <w:iCs/>
          <w:noProof/>
          <w:lang w:eastAsia="zh-CN"/>
        </w:rPr>
        <w:t xml:space="preserve"> </w:t>
      </w:r>
      <w:r w:rsidRPr="002414E9">
        <w:rPr>
          <w:rFonts w:eastAsia="DengXian" w:cs="Times New Roman"/>
          <w:noProof/>
          <w:lang w:eastAsia="zh-CN"/>
        </w:rPr>
        <w:t>https://doi.org/10.2139/ssrn.2235927</w:t>
      </w:r>
    </w:p>
    <w:p w14:paraId="682627FD" w14:textId="6C50357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Nelissen, R. M. A., &amp; Mulder, L. B. (2013). </w:t>
      </w:r>
      <w:r w:rsidRPr="002414E9">
        <w:rPr>
          <w:rFonts w:eastAsia="DengXian" w:cs="Times New Roman"/>
          <w:noProof/>
          <w:lang w:eastAsia="zh-CN"/>
        </w:rPr>
        <w:t xml:space="preserve">What makes a sanction “stick”? The effects of financial and social sanctions on norm compliance. </w:t>
      </w:r>
      <w:r w:rsidRPr="002414E9">
        <w:rPr>
          <w:rFonts w:eastAsia="DengXian" w:cs="Times New Roman"/>
          <w:i/>
          <w:iCs/>
          <w:noProof/>
          <w:lang w:eastAsia="zh-CN"/>
        </w:rPr>
        <w:t>Social Influence</w:t>
      </w:r>
      <w:r w:rsidRPr="002414E9">
        <w:rPr>
          <w:rFonts w:eastAsia="DengXian" w:cs="Times New Roman"/>
          <w:noProof/>
          <w:lang w:eastAsia="zh-CN"/>
        </w:rPr>
        <w:t xml:space="preserve">, </w:t>
      </w:r>
      <w:r w:rsidRPr="002414E9">
        <w:rPr>
          <w:rFonts w:eastAsia="DengXian" w:cs="Times New Roman"/>
          <w:i/>
          <w:iCs/>
          <w:noProof/>
          <w:lang w:eastAsia="zh-CN"/>
        </w:rPr>
        <w:t>8</w:t>
      </w:r>
      <w:r w:rsidRPr="002414E9">
        <w:rPr>
          <w:rFonts w:eastAsia="DengXian" w:cs="Times New Roman"/>
          <w:noProof/>
          <w:lang w:eastAsia="zh-CN"/>
        </w:rPr>
        <w:t>(1), 70–80. https://doi.org/10.1080/15534510.2012.729493</w:t>
      </w:r>
    </w:p>
    <w:p w14:paraId="1AD8FC64" w14:textId="5C1F57E4" w:rsidR="002414E9" w:rsidRPr="002414E9" w:rsidRDefault="002414E9" w:rsidP="002414E9">
      <w:pPr>
        <w:widowControl w:val="0"/>
        <w:autoSpaceDE w:val="0"/>
        <w:autoSpaceDN w:val="0"/>
        <w:adjustRightInd w:val="0"/>
        <w:ind w:left="709" w:hanging="709"/>
        <w:rPr>
          <w:rFonts w:eastAsia="DengXian" w:cs="Times New Roman"/>
          <w:bCs/>
          <w:noProof/>
          <w:u w:val="single"/>
          <w:lang w:eastAsia="zh-CN"/>
        </w:rPr>
      </w:pPr>
      <w:r w:rsidRPr="002414E9">
        <w:rPr>
          <w:rFonts w:eastAsia="DengXian" w:cs="Times New Roman"/>
          <w:bCs/>
          <w:noProof/>
          <w:lang w:eastAsia="zh-CN"/>
        </w:rPr>
        <w:t xml:space="preserve">Neuberg, S. L. (1988). Behavioral implications of information presented outside of conscious awareness: The effect of subliminal presentation of trait information on behavior in the Prisoner's Dilemma Game. </w:t>
      </w:r>
      <w:r w:rsidRPr="002414E9">
        <w:rPr>
          <w:rFonts w:eastAsia="DengXian" w:cs="Times New Roman"/>
          <w:bCs/>
          <w:i/>
          <w:iCs/>
          <w:noProof/>
          <w:lang w:eastAsia="zh-CN"/>
        </w:rPr>
        <w:t>Social Cognition</w:t>
      </w:r>
      <w:r w:rsidRPr="002414E9">
        <w:rPr>
          <w:rFonts w:eastAsia="DengXian" w:cs="Times New Roman"/>
          <w:bCs/>
          <w:noProof/>
          <w:lang w:eastAsia="zh-CN"/>
        </w:rPr>
        <w:t xml:space="preserve">, </w:t>
      </w:r>
      <w:r w:rsidRPr="002414E9">
        <w:rPr>
          <w:rFonts w:eastAsia="DengXian" w:cs="Times New Roman"/>
          <w:bCs/>
          <w:i/>
          <w:iCs/>
          <w:noProof/>
          <w:lang w:eastAsia="zh-CN"/>
        </w:rPr>
        <w:t>6</w:t>
      </w:r>
      <w:r w:rsidRPr="002414E9">
        <w:rPr>
          <w:rFonts w:eastAsia="DengXian" w:cs="Times New Roman"/>
          <w:bCs/>
          <w:noProof/>
          <w:lang w:eastAsia="zh-CN"/>
        </w:rPr>
        <w:t>(3), 207–230. https://doi.org/10.1521/soco.1988.6.3.207</w:t>
      </w:r>
    </w:p>
    <w:p w14:paraId="115735E3" w14:textId="397B9ADF" w:rsidR="002414E9" w:rsidRPr="002414E9" w:rsidRDefault="002414E9" w:rsidP="002414E9">
      <w:pPr>
        <w:widowControl w:val="0"/>
        <w:autoSpaceDE w:val="0"/>
        <w:autoSpaceDN w:val="0"/>
        <w:adjustRightInd w:val="0"/>
        <w:ind w:left="709" w:hanging="709"/>
        <w:rPr>
          <w:rFonts w:eastAsia="DengXian" w:cs="Times New Roman"/>
          <w:bCs/>
          <w:noProof/>
          <w:lang w:eastAsia="zh-CN"/>
        </w:rPr>
      </w:pPr>
      <w:bookmarkStart w:id="88" w:name="_Hlk74305706"/>
      <w:r w:rsidRPr="002414E9">
        <w:rPr>
          <w:rFonts w:eastAsia="DengXian" w:cs="Times New Roman"/>
          <w:bCs/>
          <w:noProof/>
          <w:lang w:eastAsia="zh-CN"/>
        </w:rPr>
        <w:t xml:space="preserve">Neufeld, S. L. (2012). </w:t>
      </w:r>
      <w:r w:rsidRPr="002414E9">
        <w:rPr>
          <w:rFonts w:eastAsia="DengXian" w:cs="Times New Roman"/>
          <w:bCs/>
          <w:i/>
          <w:iCs/>
          <w:noProof/>
          <w:lang w:eastAsia="zh-CN"/>
        </w:rPr>
        <w:t>Self-conscious cooperation: Implications of a functional approach to emotions for behavior in social dilemmas</w:t>
      </w:r>
      <w:r w:rsidRPr="002414E9">
        <w:rPr>
          <w:rFonts w:eastAsia="DengXian" w:cs="Times New Roman"/>
          <w:bCs/>
          <w:noProof/>
          <w:lang w:eastAsia="zh-CN"/>
        </w:rPr>
        <w:t xml:space="preserve"> (Publication No. 3522517) [Doctoral dissertation, Arizona State University]. ProQuest Dissertations Publishing.</w:t>
      </w:r>
    </w:p>
    <w:bookmarkEnd w:id="88"/>
    <w:p w14:paraId="59BB09B9" w14:textId="55F13D1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Neugebauer, T., Perote, J., Schmidt, U., &amp; Loos, M. (2009). </w:t>
      </w:r>
      <w:r w:rsidRPr="002414E9">
        <w:rPr>
          <w:rFonts w:eastAsia="DengXian" w:cs="Times New Roman"/>
          <w:noProof/>
          <w:lang w:eastAsia="zh-CN"/>
        </w:rPr>
        <w:t xml:space="preserve">Selfish-biased conditional cooperation: On the decline of contributions in repeated public goods experiments. </w:t>
      </w:r>
      <w:r w:rsidRPr="002414E9">
        <w:rPr>
          <w:rFonts w:eastAsia="DengXian" w:cs="Times New Roman"/>
          <w:i/>
          <w:iCs/>
          <w:noProof/>
          <w:lang w:eastAsia="zh-CN"/>
        </w:rPr>
        <w:t>Journal of Economic Psychology</w:t>
      </w:r>
      <w:r w:rsidRPr="002414E9">
        <w:rPr>
          <w:rFonts w:eastAsia="DengXian" w:cs="Times New Roman"/>
          <w:noProof/>
          <w:lang w:eastAsia="zh-CN"/>
        </w:rPr>
        <w:t xml:space="preserve">, </w:t>
      </w:r>
      <w:r w:rsidRPr="002414E9">
        <w:rPr>
          <w:rFonts w:eastAsia="DengXian" w:cs="Times New Roman"/>
          <w:i/>
          <w:iCs/>
          <w:noProof/>
          <w:lang w:eastAsia="zh-CN"/>
        </w:rPr>
        <w:t>30</w:t>
      </w:r>
      <w:r w:rsidRPr="002414E9">
        <w:rPr>
          <w:rFonts w:eastAsia="DengXian" w:cs="Times New Roman"/>
          <w:noProof/>
          <w:lang w:eastAsia="zh-CN"/>
        </w:rPr>
        <w:t>(1), 52–60. https://doi.org/10.1016/j.joep.2008.04.005</w:t>
      </w:r>
    </w:p>
    <w:p w14:paraId="7770EA40" w14:textId="22C0B023"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Ng, G. T. T., &amp; Au, W. T. (2016). Expectation and cooperation in prisoner’s dilemmas: The moderating role of game riskiness. </w:t>
      </w:r>
      <w:r w:rsidRPr="002414E9">
        <w:rPr>
          <w:rFonts w:eastAsia="DengXian" w:cs="Times New Roman"/>
          <w:bCs/>
          <w:i/>
          <w:iCs/>
          <w:noProof/>
          <w:lang w:eastAsia="zh-CN"/>
        </w:rPr>
        <w:t>Psychonomic Bulletin &amp; Review</w:t>
      </w:r>
      <w:r w:rsidRPr="002414E9">
        <w:rPr>
          <w:rFonts w:eastAsia="DengXian" w:cs="Times New Roman"/>
          <w:bCs/>
          <w:noProof/>
          <w:lang w:eastAsia="zh-CN"/>
        </w:rPr>
        <w:t xml:space="preserve">, </w:t>
      </w:r>
      <w:r w:rsidRPr="002414E9">
        <w:rPr>
          <w:rFonts w:eastAsia="DengXian" w:cs="Times New Roman"/>
          <w:bCs/>
          <w:i/>
          <w:iCs/>
          <w:noProof/>
          <w:lang w:eastAsia="zh-CN"/>
        </w:rPr>
        <w:t>23</w:t>
      </w:r>
      <w:r w:rsidRPr="002414E9">
        <w:rPr>
          <w:rFonts w:eastAsia="DengXian" w:cs="Times New Roman"/>
          <w:bCs/>
          <w:noProof/>
          <w:lang w:eastAsia="zh-CN"/>
        </w:rPr>
        <w:t>(2), 353–360. https://doi.org/10.3758/s13423-015-0911-7</w:t>
      </w:r>
    </w:p>
    <w:p w14:paraId="41D7969B" w14:textId="5531E4F6"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lastRenderedPageBreak/>
        <w:t xml:space="preserve">Nguyen, T. C., &amp; Rieger, M. (2017). </w:t>
      </w:r>
      <w:r w:rsidRPr="002414E9">
        <w:rPr>
          <w:rFonts w:eastAsia="DengXian" w:cs="Times New Roman"/>
          <w:bCs/>
          <w:noProof/>
          <w:lang w:eastAsia="zh-CN"/>
        </w:rPr>
        <w:t xml:space="preserve">Community-driven development and social capital: Evidence from Morocco. </w:t>
      </w:r>
      <w:r w:rsidRPr="002414E9">
        <w:rPr>
          <w:rFonts w:eastAsia="DengXian" w:cs="Times New Roman"/>
          <w:bCs/>
          <w:i/>
          <w:iCs/>
          <w:noProof/>
          <w:lang w:eastAsia="zh-CN"/>
        </w:rPr>
        <w:t>World Development</w:t>
      </w:r>
      <w:r w:rsidRPr="002414E9">
        <w:rPr>
          <w:rFonts w:eastAsia="DengXian" w:cs="Times New Roman"/>
          <w:bCs/>
          <w:noProof/>
          <w:lang w:eastAsia="zh-CN"/>
        </w:rPr>
        <w:t xml:space="preserve">, </w:t>
      </w:r>
      <w:r w:rsidRPr="002414E9">
        <w:rPr>
          <w:rFonts w:eastAsia="DengXian" w:cs="Times New Roman"/>
          <w:bCs/>
          <w:i/>
          <w:iCs/>
          <w:noProof/>
          <w:lang w:eastAsia="zh-CN"/>
        </w:rPr>
        <w:t>91</w:t>
      </w:r>
      <w:r w:rsidRPr="002414E9">
        <w:rPr>
          <w:rFonts w:eastAsia="DengXian" w:cs="Times New Roman"/>
          <w:bCs/>
          <w:noProof/>
          <w:lang w:eastAsia="zh-CN"/>
        </w:rPr>
        <w:t>, 28–52. https://doi.org/10.1016/j.worlddev.2016.10.013</w:t>
      </w:r>
    </w:p>
    <w:p w14:paraId="1781D4FB"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Nihonsugi, T. (2016). The difference between Partners and Strangers designs in public goods experiments. </w:t>
      </w:r>
      <w:r w:rsidRPr="002414E9">
        <w:rPr>
          <w:rFonts w:eastAsia="DengXian" w:cs="Times New Roman"/>
          <w:i/>
          <w:iCs/>
          <w:noProof/>
          <w:lang w:eastAsia="zh-CN"/>
        </w:rPr>
        <w:t>International Journal of Social Economics</w:t>
      </w:r>
      <w:r w:rsidRPr="002414E9">
        <w:rPr>
          <w:rFonts w:eastAsia="DengXian" w:cs="Times New Roman"/>
          <w:noProof/>
          <w:lang w:eastAsia="zh-CN"/>
        </w:rPr>
        <w:t xml:space="preserve">, </w:t>
      </w:r>
      <w:r w:rsidRPr="002414E9">
        <w:rPr>
          <w:rFonts w:eastAsia="DengXian" w:cs="Times New Roman"/>
          <w:i/>
          <w:iCs/>
          <w:noProof/>
          <w:lang w:eastAsia="zh-CN"/>
        </w:rPr>
        <w:t>43</w:t>
      </w:r>
      <w:r w:rsidRPr="002414E9">
        <w:rPr>
          <w:rFonts w:eastAsia="DengXian" w:cs="Times New Roman"/>
          <w:noProof/>
          <w:lang w:eastAsia="zh-CN"/>
        </w:rPr>
        <w:t>(6), 554–572. https://doi.org/10.1108/IJSE-09-2014-0188</w:t>
      </w:r>
    </w:p>
    <w:p w14:paraId="6AD45D0D" w14:textId="1964050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Nihonsugi, T., &amp; Nakano, H. (2012). Kōkyōzai kyōkyū jikken ni okeru pātonāzu shori to sutorenjāzu shori no kōken gaku no sa ni kansuru bunseki: Senkō to shinnen kara no keisoku [The difference of the contribution between a partners design and a strangers design in linear public goods experiment: Measured by preference and belief]. </w:t>
      </w:r>
      <w:r w:rsidRPr="002414E9">
        <w:rPr>
          <w:rFonts w:eastAsia="DengXian" w:cs="Times New Roman"/>
          <w:i/>
          <w:iCs/>
          <w:noProof/>
          <w:lang w:eastAsia="zh-CN"/>
        </w:rPr>
        <w:t>The economic review of Osaka University</w:t>
      </w:r>
      <w:r w:rsidRPr="002414E9">
        <w:rPr>
          <w:rFonts w:eastAsia="DengXian" w:cs="Times New Roman"/>
          <w:noProof/>
          <w:lang w:eastAsia="zh-CN"/>
        </w:rPr>
        <w:t xml:space="preserve">, </w:t>
      </w:r>
      <w:r w:rsidRPr="002414E9">
        <w:rPr>
          <w:rFonts w:eastAsia="DengXian" w:cs="Times New Roman"/>
          <w:i/>
          <w:iCs/>
          <w:noProof/>
          <w:lang w:eastAsia="zh-CN"/>
        </w:rPr>
        <w:t>62</w:t>
      </w:r>
      <w:r w:rsidRPr="002414E9">
        <w:rPr>
          <w:rFonts w:eastAsia="DengXian" w:cs="Times New Roman"/>
          <w:noProof/>
          <w:lang w:eastAsia="zh-CN"/>
        </w:rPr>
        <w:t>(2), 61–70. https://doi.org/10.18910/57124</w:t>
      </w:r>
    </w:p>
    <w:p w14:paraId="70029A94" w14:textId="2D20D3E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Nikiforakis, N. (2008). Punishment and counter-punishment in public good games: Can we really govern ourselves?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92</w:t>
      </w:r>
      <w:r w:rsidRPr="002414E9">
        <w:rPr>
          <w:rFonts w:eastAsia="DengXian" w:cs="Times New Roman"/>
          <w:noProof/>
          <w:lang w:eastAsia="zh-CN"/>
        </w:rPr>
        <w:t>(1–2), 1–112. https://doi.org/10.1016/j.jpubeco.2007.04.008</w:t>
      </w:r>
    </w:p>
    <w:p w14:paraId="2EF11E79" w14:textId="5F6E04E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Nikiforakis, N. (2010). Feedback, punishment and cooperation in public good experiments. </w:t>
      </w:r>
      <w:r w:rsidRPr="002414E9">
        <w:rPr>
          <w:rFonts w:eastAsia="DengXian" w:cs="Times New Roman"/>
          <w:i/>
          <w:iCs/>
          <w:noProof/>
          <w:lang w:eastAsia="zh-CN"/>
        </w:rPr>
        <w:t>Games and Economic Behavior</w:t>
      </w:r>
      <w:r w:rsidRPr="002414E9">
        <w:rPr>
          <w:rFonts w:eastAsia="DengXian" w:cs="Times New Roman"/>
          <w:noProof/>
          <w:lang w:eastAsia="zh-CN"/>
        </w:rPr>
        <w:t xml:space="preserve">, </w:t>
      </w:r>
      <w:r w:rsidRPr="002414E9">
        <w:rPr>
          <w:rFonts w:eastAsia="DengXian" w:cs="Times New Roman"/>
          <w:i/>
          <w:iCs/>
          <w:noProof/>
          <w:lang w:eastAsia="zh-CN"/>
        </w:rPr>
        <w:t>68</w:t>
      </w:r>
      <w:r w:rsidRPr="002414E9">
        <w:rPr>
          <w:rFonts w:eastAsia="DengXian" w:cs="Times New Roman"/>
          <w:noProof/>
          <w:lang w:eastAsia="zh-CN"/>
        </w:rPr>
        <w:t>(2), 689–702. https://doi.org/10.1016/j.geb.2009.09.004</w:t>
      </w:r>
    </w:p>
    <w:p w14:paraId="732AC16D" w14:textId="1ABF16C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Nikiforakis, N., &amp; Engelmann, D. (2011). Altruistic punishment and the threat of feuds.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78</w:t>
      </w:r>
      <w:r w:rsidRPr="002414E9">
        <w:rPr>
          <w:rFonts w:eastAsia="DengXian" w:cs="Times New Roman"/>
          <w:noProof/>
          <w:lang w:eastAsia="zh-CN"/>
        </w:rPr>
        <w:t>(3), 319–332. https://doi.org/10.1016/j.jebo.2011.01.017</w:t>
      </w:r>
    </w:p>
    <w:p w14:paraId="4A4B58A6" w14:textId="2FD938E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n-GB" w:eastAsia="zh-CN"/>
        </w:rPr>
        <w:t xml:space="preserve">Nikiforakis, N., &amp; Normann, H.-T. (2008). </w:t>
      </w:r>
      <w:r w:rsidRPr="002414E9">
        <w:rPr>
          <w:rFonts w:eastAsia="DengXian" w:cs="Times New Roman"/>
          <w:noProof/>
          <w:lang w:eastAsia="zh-CN"/>
        </w:rPr>
        <w:t xml:space="preserve">A comparative statics analysis of punishment in public-good experiments.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11</w:t>
      </w:r>
      <w:r w:rsidRPr="002414E9">
        <w:rPr>
          <w:rFonts w:eastAsia="DengXian" w:cs="Times New Roman"/>
          <w:noProof/>
          <w:lang w:eastAsia="zh-CN"/>
        </w:rPr>
        <w:t>(4), 358–369. https://doi.org/10.1007/s10683-007-9171-3</w:t>
      </w:r>
    </w:p>
    <w:p w14:paraId="4794C16E" w14:textId="3B694F6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lastRenderedPageBreak/>
        <w:t xml:space="preserve">Nikiforakis, N., Normann, H.-T., &amp; Wallace, B. (2010). Asymmetric enforcement of cooperation in a social dilemma. </w:t>
      </w:r>
      <w:r w:rsidRPr="002414E9">
        <w:rPr>
          <w:rFonts w:eastAsia="DengXian" w:cs="Times New Roman"/>
          <w:i/>
          <w:iCs/>
          <w:noProof/>
          <w:lang w:eastAsia="zh-CN"/>
        </w:rPr>
        <w:t>Southern Economic Journal</w:t>
      </w:r>
      <w:r w:rsidRPr="002414E9">
        <w:rPr>
          <w:rFonts w:eastAsia="DengXian" w:cs="Times New Roman"/>
          <w:noProof/>
          <w:lang w:eastAsia="zh-CN"/>
        </w:rPr>
        <w:t xml:space="preserve">, </w:t>
      </w:r>
      <w:r w:rsidRPr="002414E9">
        <w:rPr>
          <w:rFonts w:eastAsia="DengXian" w:cs="Times New Roman"/>
          <w:i/>
          <w:iCs/>
          <w:noProof/>
          <w:lang w:eastAsia="zh-CN"/>
        </w:rPr>
        <w:t>76</w:t>
      </w:r>
      <w:r w:rsidRPr="002414E9">
        <w:rPr>
          <w:rFonts w:eastAsia="DengXian" w:cs="Times New Roman"/>
          <w:noProof/>
          <w:lang w:eastAsia="zh-CN"/>
        </w:rPr>
        <w:t>(3), 638–659. https://doi.org/10.4284/sej.2010.76.3.638</w:t>
      </w:r>
    </w:p>
    <w:p w14:paraId="30CD6CBB" w14:textId="52193AC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Nishihara, K., Kagihara, M., &amp; Watanabe, J. (2011). Hikyōryoku tanchi gata jōhō kōzō o motsu shūjin no jirenma ni okeru kyōryoku no sentaku ni tsuite no jikken kenkyū [An experimental study of cooperation in the prisoner’s dilemma with observable defection]. </w:t>
      </w:r>
      <w:r w:rsidRPr="002414E9">
        <w:rPr>
          <w:rFonts w:eastAsia="DengXian" w:cs="Times New Roman"/>
          <w:i/>
          <w:iCs/>
          <w:noProof/>
          <w:lang w:eastAsia="zh-CN"/>
        </w:rPr>
        <w:t>Journal of Behavioral Economics and Finance</w:t>
      </w:r>
      <w:r w:rsidRPr="002414E9">
        <w:rPr>
          <w:rFonts w:eastAsia="DengXian" w:cs="Times New Roman"/>
          <w:noProof/>
          <w:lang w:eastAsia="zh-CN"/>
        </w:rPr>
        <w:t xml:space="preserve">, </w:t>
      </w:r>
      <w:r w:rsidRPr="002414E9">
        <w:rPr>
          <w:rFonts w:eastAsia="DengXian" w:cs="Times New Roman"/>
          <w:i/>
          <w:iCs/>
          <w:noProof/>
          <w:lang w:eastAsia="zh-CN"/>
        </w:rPr>
        <w:t>4</w:t>
      </w:r>
      <w:r w:rsidRPr="002414E9">
        <w:rPr>
          <w:rFonts w:eastAsia="DengXian" w:cs="Times New Roman"/>
          <w:noProof/>
          <w:lang w:eastAsia="zh-CN"/>
        </w:rPr>
        <w:t>, 141–144. https://doi.org/10.11167/jbef.4.141</w:t>
      </w:r>
    </w:p>
    <w:p w14:paraId="53D11E9E" w14:textId="2CF0BBE3" w:rsidR="002414E9" w:rsidRPr="002414E9" w:rsidRDefault="002414E9" w:rsidP="002414E9">
      <w:pPr>
        <w:widowControl w:val="0"/>
        <w:autoSpaceDE w:val="0"/>
        <w:autoSpaceDN w:val="0"/>
        <w:adjustRightInd w:val="0"/>
        <w:ind w:left="709" w:hanging="709"/>
        <w:rPr>
          <w:rFonts w:eastAsia="DengXian" w:cs="Times New Roman"/>
          <w:bCs/>
          <w:noProof/>
          <w:lang w:val="fr-FR" w:eastAsia="zh-CN"/>
        </w:rPr>
      </w:pPr>
      <w:r w:rsidRPr="002414E9">
        <w:rPr>
          <w:rFonts w:eastAsia="DengXian" w:cs="Times New Roman"/>
          <w:bCs/>
          <w:noProof/>
          <w:lang w:eastAsia="zh-CN"/>
        </w:rPr>
        <w:t xml:space="preserve">Noland, S. J., &amp; Catron, D. W. (1969). Cooperative behavior among high school students on the prisoner's dilemma game. </w:t>
      </w:r>
      <w:r w:rsidRPr="002414E9">
        <w:rPr>
          <w:rFonts w:eastAsia="DengXian" w:cs="Times New Roman"/>
          <w:bCs/>
          <w:i/>
          <w:iCs/>
          <w:noProof/>
          <w:lang w:val="fr-FR" w:eastAsia="zh-CN"/>
        </w:rPr>
        <w:t>Psychological Reports</w:t>
      </w:r>
      <w:r w:rsidRPr="002414E9">
        <w:rPr>
          <w:rFonts w:eastAsia="DengXian" w:cs="Times New Roman"/>
          <w:bCs/>
          <w:noProof/>
          <w:lang w:val="fr-FR" w:eastAsia="zh-CN"/>
        </w:rPr>
        <w:t xml:space="preserve">, </w:t>
      </w:r>
      <w:r w:rsidRPr="002414E9">
        <w:rPr>
          <w:rFonts w:eastAsia="DengXian" w:cs="Times New Roman"/>
          <w:bCs/>
          <w:i/>
          <w:iCs/>
          <w:noProof/>
          <w:lang w:val="fr-FR" w:eastAsia="zh-CN"/>
        </w:rPr>
        <w:t>24</w:t>
      </w:r>
      <w:r w:rsidRPr="002414E9">
        <w:rPr>
          <w:rFonts w:eastAsia="DengXian" w:cs="Times New Roman"/>
          <w:bCs/>
          <w:noProof/>
          <w:lang w:val="fr-FR" w:eastAsia="zh-CN"/>
        </w:rPr>
        <w:t>(3), 711–718. https://doi.org/10.2466/pr0.1969.24.3.711</w:t>
      </w:r>
    </w:p>
    <w:p w14:paraId="189087B1" w14:textId="2A64B3E8"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Normann, H. T., &amp; Rau, H. A. (2015). </w:t>
      </w:r>
      <w:r w:rsidRPr="002414E9">
        <w:rPr>
          <w:rFonts w:eastAsia="DengXian" w:cs="Times New Roman"/>
          <w:bCs/>
          <w:noProof/>
          <w:lang w:eastAsia="zh-CN"/>
        </w:rPr>
        <w:t xml:space="preserve">Simultaneous and sequential contributions to step-level public goods: One versus two provision levels.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59</w:t>
      </w:r>
      <w:r w:rsidRPr="002414E9">
        <w:rPr>
          <w:rFonts w:eastAsia="DengXian" w:cs="Times New Roman"/>
          <w:bCs/>
          <w:noProof/>
          <w:lang w:eastAsia="zh-CN"/>
        </w:rPr>
        <w:t>(7), 1273–1300. https://doi.org/10.1177/0022002714530429</w:t>
      </w:r>
    </w:p>
    <w:p w14:paraId="007B5E2D" w14:textId="799988D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Nosenzo, D., &amp; Sefton, M. (2011). Endogenous move structure and voluntary provision of public goods: Theory and experiment. </w:t>
      </w:r>
      <w:r w:rsidRPr="002414E9">
        <w:rPr>
          <w:rFonts w:eastAsia="DengXian" w:cs="Times New Roman"/>
          <w:i/>
          <w:iCs/>
          <w:noProof/>
          <w:lang w:eastAsia="zh-CN"/>
        </w:rPr>
        <w:t>Journal of Public Economic Theory</w:t>
      </w:r>
      <w:r w:rsidRPr="002414E9">
        <w:rPr>
          <w:rFonts w:eastAsia="DengXian" w:cs="Times New Roman"/>
          <w:noProof/>
          <w:lang w:eastAsia="zh-CN"/>
        </w:rPr>
        <w:t xml:space="preserve">, </w:t>
      </w:r>
      <w:r w:rsidRPr="002414E9">
        <w:rPr>
          <w:rFonts w:eastAsia="DengXian" w:cs="Times New Roman"/>
          <w:i/>
          <w:iCs/>
          <w:noProof/>
          <w:lang w:eastAsia="zh-CN"/>
        </w:rPr>
        <w:t>13</w:t>
      </w:r>
      <w:r w:rsidRPr="002414E9">
        <w:rPr>
          <w:rFonts w:eastAsia="DengXian" w:cs="Times New Roman"/>
          <w:noProof/>
          <w:lang w:eastAsia="zh-CN"/>
        </w:rPr>
        <w:t>(5), 721–754. https://doi.org/10.1111/j.1467-9779.2011.01518.x</w:t>
      </w:r>
    </w:p>
    <w:p w14:paraId="17D89D85" w14:textId="77777777" w:rsidR="002414E9" w:rsidRPr="002414E9" w:rsidRDefault="002414E9" w:rsidP="002414E9">
      <w:pPr>
        <w:widowControl w:val="0"/>
        <w:autoSpaceDE w:val="0"/>
        <w:autoSpaceDN w:val="0"/>
        <w:adjustRightInd w:val="0"/>
        <w:ind w:left="709" w:hanging="709"/>
        <w:rPr>
          <w:rFonts w:eastAsia="DengXian" w:cs="Times New Roman"/>
          <w:noProof/>
          <w:lang w:val="en-GB" w:eastAsia="zh-CN"/>
        </w:rPr>
      </w:pPr>
      <w:r w:rsidRPr="002414E9">
        <w:rPr>
          <w:rFonts w:eastAsia="DengXian" w:cs="Times New Roman"/>
          <w:noProof/>
          <w:lang w:val="en-GB" w:eastAsia="zh-CN"/>
        </w:rPr>
        <w:t xml:space="preserve">Nosenzo, D., Quercia, S., &amp; Sefton, M. (2015). </w:t>
      </w:r>
      <w:r w:rsidRPr="002414E9">
        <w:rPr>
          <w:rFonts w:eastAsia="DengXian" w:cs="Times New Roman"/>
          <w:noProof/>
          <w:lang w:eastAsia="zh-CN"/>
        </w:rPr>
        <w:t xml:space="preserve">Cooperation in small groups: The effect of group size. </w:t>
      </w:r>
      <w:r w:rsidRPr="002414E9">
        <w:rPr>
          <w:rFonts w:eastAsia="DengXian" w:cs="Times New Roman"/>
          <w:i/>
          <w:iCs/>
          <w:noProof/>
          <w:lang w:val="en-GB" w:eastAsia="zh-CN"/>
        </w:rPr>
        <w:t>Experimental Economics</w:t>
      </w:r>
      <w:r w:rsidRPr="002414E9">
        <w:rPr>
          <w:rFonts w:eastAsia="DengXian" w:cs="Times New Roman"/>
          <w:noProof/>
          <w:lang w:val="en-GB" w:eastAsia="zh-CN"/>
        </w:rPr>
        <w:t xml:space="preserve">, </w:t>
      </w:r>
      <w:r w:rsidRPr="002414E9">
        <w:rPr>
          <w:rFonts w:eastAsia="DengXian" w:cs="Times New Roman"/>
          <w:i/>
          <w:iCs/>
          <w:noProof/>
          <w:lang w:val="en-GB" w:eastAsia="zh-CN"/>
        </w:rPr>
        <w:t>18</w:t>
      </w:r>
      <w:r w:rsidRPr="002414E9">
        <w:rPr>
          <w:rFonts w:eastAsia="DengXian" w:cs="Times New Roman"/>
          <w:noProof/>
          <w:lang w:val="en-GB" w:eastAsia="zh-CN"/>
        </w:rPr>
        <w:t>(1), 4–14. https://doi.org/10.1007/s10683-013-9382-8</w:t>
      </w:r>
    </w:p>
    <w:p w14:paraId="6C1FC17F" w14:textId="6C6D410B" w:rsidR="002414E9" w:rsidRPr="002414E9" w:rsidRDefault="002414E9" w:rsidP="002414E9">
      <w:pPr>
        <w:widowControl w:val="0"/>
        <w:autoSpaceDE w:val="0"/>
        <w:autoSpaceDN w:val="0"/>
        <w:adjustRightInd w:val="0"/>
        <w:ind w:left="709" w:hanging="709"/>
        <w:rPr>
          <w:rFonts w:eastAsia="DengXian" w:cs="Times New Roman"/>
          <w:noProof/>
          <w:u w:val="single"/>
          <w:lang w:eastAsia="zh-CN"/>
        </w:rPr>
      </w:pPr>
      <w:r w:rsidRPr="002414E9">
        <w:rPr>
          <w:rFonts w:eastAsia="DengXian" w:cs="Times New Roman"/>
          <w:noProof/>
          <w:lang w:eastAsia="zh-CN"/>
        </w:rPr>
        <w:t xml:space="preserve">Noussair, C., &amp; Soo, C. (2008). Voluntary contributions to a dynamic public good: Experimental evidence. </w:t>
      </w:r>
      <w:r w:rsidRPr="002414E9">
        <w:rPr>
          <w:rFonts w:eastAsia="DengXian" w:cs="Times New Roman"/>
          <w:i/>
          <w:iCs/>
          <w:noProof/>
          <w:lang w:eastAsia="zh-CN"/>
        </w:rPr>
        <w:t>Economics Letters</w:t>
      </w:r>
      <w:r w:rsidRPr="002414E9">
        <w:rPr>
          <w:rFonts w:eastAsia="DengXian" w:cs="Times New Roman"/>
          <w:noProof/>
          <w:lang w:eastAsia="zh-CN"/>
        </w:rPr>
        <w:t xml:space="preserve">, </w:t>
      </w:r>
      <w:r w:rsidRPr="002414E9">
        <w:rPr>
          <w:rFonts w:eastAsia="DengXian" w:cs="Times New Roman"/>
          <w:i/>
          <w:iCs/>
          <w:noProof/>
          <w:lang w:eastAsia="zh-CN"/>
        </w:rPr>
        <w:t>98</w:t>
      </w:r>
      <w:r w:rsidRPr="002414E9">
        <w:rPr>
          <w:rFonts w:eastAsia="DengXian" w:cs="Times New Roman"/>
          <w:noProof/>
          <w:lang w:eastAsia="zh-CN"/>
        </w:rPr>
        <w:t>(1) , 71–77. https://doi.org/10.1016/j.econlet.2007.04.008</w:t>
      </w:r>
    </w:p>
    <w:p w14:paraId="194F03BD" w14:textId="36653F8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Noussair, C., &amp; Tucker, S. (2005). Combining monetary and social sanctions to promote cooperation. </w:t>
      </w:r>
      <w:r w:rsidRPr="002414E9">
        <w:rPr>
          <w:rFonts w:eastAsia="DengXian" w:cs="Times New Roman"/>
          <w:i/>
          <w:iCs/>
          <w:noProof/>
          <w:lang w:eastAsia="zh-CN"/>
        </w:rPr>
        <w:t>Economic Inquiry</w:t>
      </w:r>
      <w:r w:rsidRPr="002414E9">
        <w:rPr>
          <w:rFonts w:eastAsia="DengXian" w:cs="Times New Roman"/>
          <w:noProof/>
          <w:lang w:eastAsia="zh-CN"/>
        </w:rPr>
        <w:t xml:space="preserve">, </w:t>
      </w:r>
      <w:r w:rsidRPr="002414E9">
        <w:rPr>
          <w:rFonts w:eastAsia="DengXian" w:cs="Times New Roman"/>
          <w:i/>
          <w:iCs/>
          <w:noProof/>
          <w:lang w:eastAsia="zh-CN"/>
        </w:rPr>
        <w:t>43</w:t>
      </w:r>
      <w:r w:rsidRPr="002414E9">
        <w:rPr>
          <w:rFonts w:eastAsia="DengXian" w:cs="Times New Roman"/>
          <w:noProof/>
          <w:lang w:eastAsia="zh-CN"/>
        </w:rPr>
        <w:t>(3), 649-660. https://doi.org/10.1093/ei/cbi045</w:t>
      </w:r>
    </w:p>
    <w:p w14:paraId="001AE508" w14:textId="1C3DAF5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lastRenderedPageBreak/>
        <w:t xml:space="preserve">Nowell, C., &amp; Tinkler, S. (1994). The influence of gender on the provision of a public good.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25</w:t>
      </w:r>
      <w:r w:rsidRPr="002414E9">
        <w:rPr>
          <w:rFonts w:eastAsia="DengXian" w:cs="Times New Roman"/>
          <w:noProof/>
          <w:lang w:eastAsia="zh-CN"/>
        </w:rPr>
        <w:t>(1), 25–36. https://doi.org/10.1016/0167-2681(94)90084-1</w:t>
      </w:r>
    </w:p>
    <w:p w14:paraId="22D10A32" w14:textId="057C62AB"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Nydegger, R. V. (1974). Information processing complexity and gaming behavior: The prisoner's dilemma. </w:t>
      </w:r>
      <w:r w:rsidRPr="002414E9">
        <w:rPr>
          <w:rFonts w:eastAsia="DengXian" w:cs="Times New Roman"/>
          <w:bCs/>
          <w:i/>
          <w:iCs/>
          <w:noProof/>
          <w:lang w:eastAsia="zh-CN"/>
        </w:rPr>
        <w:t>Behavioral Science</w:t>
      </w:r>
      <w:r w:rsidRPr="002414E9">
        <w:rPr>
          <w:rFonts w:eastAsia="DengXian" w:cs="Times New Roman"/>
          <w:bCs/>
          <w:noProof/>
          <w:lang w:eastAsia="zh-CN"/>
        </w:rPr>
        <w:t xml:space="preserve">, </w:t>
      </w:r>
      <w:r w:rsidRPr="002414E9">
        <w:rPr>
          <w:rFonts w:eastAsia="DengXian" w:cs="Times New Roman"/>
          <w:bCs/>
          <w:i/>
          <w:iCs/>
          <w:noProof/>
          <w:lang w:eastAsia="zh-CN"/>
        </w:rPr>
        <w:t>19</w:t>
      </w:r>
      <w:r w:rsidRPr="002414E9">
        <w:rPr>
          <w:rFonts w:eastAsia="DengXian" w:cs="Times New Roman"/>
          <w:bCs/>
          <w:noProof/>
          <w:lang w:eastAsia="zh-CN"/>
        </w:rPr>
        <w:t>(3), 204–210. https://doi.org/10.1002/bs.3830190306</w:t>
      </w:r>
    </w:p>
    <w:p w14:paraId="4880F309" w14:textId="0FE1E73B"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Nydegger, R. V. (1980). The effects of information processing complexity and interpersonal cue availability on strategic play in a mixed‐motive game 1. </w:t>
      </w:r>
      <w:r w:rsidRPr="002414E9">
        <w:rPr>
          <w:rFonts w:eastAsia="DengXian" w:cs="Times New Roman"/>
          <w:bCs/>
          <w:i/>
          <w:iCs/>
          <w:noProof/>
          <w:lang w:eastAsia="zh-CN"/>
        </w:rPr>
        <w:t>Journal of Personality</w:t>
      </w:r>
      <w:r w:rsidRPr="002414E9">
        <w:rPr>
          <w:rFonts w:eastAsia="DengXian" w:cs="Times New Roman"/>
          <w:bCs/>
          <w:noProof/>
          <w:lang w:eastAsia="zh-CN"/>
        </w:rPr>
        <w:t xml:space="preserve">, </w:t>
      </w:r>
      <w:r w:rsidRPr="002414E9">
        <w:rPr>
          <w:rFonts w:eastAsia="DengXian" w:cs="Times New Roman"/>
          <w:bCs/>
          <w:i/>
          <w:iCs/>
          <w:noProof/>
          <w:lang w:eastAsia="zh-CN"/>
        </w:rPr>
        <w:t>48</w:t>
      </w:r>
      <w:r w:rsidRPr="002414E9">
        <w:rPr>
          <w:rFonts w:eastAsia="DengXian" w:cs="Times New Roman"/>
          <w:bCs/>
          <w:noProof/>
          <w:lang w:eastAsia="zh-CN"/>
        </w:rPr>
        <w:t>(1), 38</w:t>
      </w:r>
      <w:bookmarkStart w:id="89" w:name="_Hlk54035815"/>
      <w:r w:rsidRPr="002414E9">
        <w:rPr>
          <w:rFonts w:eastAsia="DengXian" w:cs="Times New Roman"/>
          <w:bCs/>
          <w:noProof/>
          <w:lang w:eastAsia="zh-CN"/>
        </w:rPr>
        <w:t>–</w:t>
      </w:r>
      <w:bookmarkEnd w:id="89"/>
      <w:r w:rsidRPr="002414E9">
        <w:rPr>
          <w:rFonts w:eastAsia="DengXian" w:cs="Times New Roman"/>
          <w:bCs/>
          <w:noProof/>
          <w:lang w:eastAsia="zh-CN"/>
        </w:rPr>
        <w:t>53. https://doi.org/10.1111/j.1467-6494.1980.tb00964.x</w:t>
      </w:r>
    </w:p>
    <w:p w14:paraId="15F88474" w14:textId="6870833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O’Gorman, R., Henrich, J., &amp; Van Vugt, M. (2009). </w:t>
      </w:r>
      <w:r w:rsidRPr="002414E9">
        <w:rPr>
          <w:rFonts w:eastAsia="DengXian" w:cs="Times New Roman"/>
          <w:noProof/>
          <w:lang w:eastAsia="zh-CN"/>
        </w:rPr>
        <w:t xml:space="preserve">Constraining free riding in public goods games: designated solitary punishers can sustain human cooperation. </w:t>
      </w:r>
      <w:r w:rsidRPr="002414E9">
        <w:rPr>
          <w:rFonts w:eastAsia="DengXian" w:cs="Times New Roman"/>
          <w:i/>
          <w:iCs/>
          <w:noProof/>
          <w:lang w:eastAsia="zh-CN"/>
        </w:rPr>
        <w:t>Proceedings of the Royal Society B: Biological Sciences</w:t>
      </w:r>
      <w:r w:rsidRPr="002414E9">
        <w:rPr>
          <w:rFonts w:eastAsia="DengXian" w:cs="Times New Roman"/>
          <w:noProof/>
          <w:lang w:eastAsia="zh-CN"/>
        </w:rPr>
        <w:t xml:space="preserve">, </w:t>
      </w:r>
      <w:r w:rsidRPr="002414E9">
        <w:rPr>
          <w:rFonts w:eastAsia="DengXian" w:cs="Times New Roman"/>
          <w:i/>
          <w:iCs/>
          <w:noProof/>
          <w:lang w:eastAsia="zh-CN"/>
        </w:rPr>
        <w:t>276</w:t>
      </w:r>
      <w:r w:rsidRPr="002414E9">
        <w:rPr>
          <w:rFonts w:eastAsia="DengXian" w:cs="Times New Roman"/>
          <w:noProof/>
          <w:lang w:eastAsia="zh-CN"/>
        </w:rPr>
        <w:t>, 323–329. https://doi.org/10.1098/rspb.2008.1082</w:t>
      </w:r>
    </w:p>
    <w:p w14:paraId="79FE03FE" w14:textId="1C380F3C"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Oda, R. (1997). Biased face recognition in the prisoner's dilemma game. </w:t>
      </w:r>
      <w:r w:rsidRPr="002414E9">
        <w:rPr>
          <w:rFonts w:eastAsia="DengXian" w:cs="Times New Roman"/>
          <w:bCs/>
          <w:i/>
          <w:iCs/>
          <w:noProof/>
          <w:lang w:eastAsia="zh-CN"/>
        </w:rPr>
        <w:t>Evolution and Buman Behavior</w:t>
      </w:r>
      <w:r w:rsidRPr="002414E9">
        <w:rPr>
          <w:rFonts w:eastAsia="DengXian" w:cs="Times New Roman"/>
          <w:bCs/>
          <w:noProof/>
          <w:lang w:eastAsia="zh-CN"/>
        </w:rPr>
        <w:t xml:space="preserve">, </w:t>
      </w:r>
      <w:r w:rsidRPr="002414E9">
        <w:rPr>
          <w:rFonts w:eastAsia="DengXian" w:cs="Times New Roman"/>
          <w:bCs/>
          <w:i/>
          <w:iCs/>
          <w:noProof/>
          <w:lang w:eastAsia="zh-CN"/>
        </w:rPr>
        <w:t>18</w:t>
      </w:r>
      <w:r w:rsidRPr="002414E9">
        <w:rPr>
          <w:rFonts w:eastAsia="DengXian" w:cs="Times New Roman"/>
          <w:bCs/>
          <w:noProof/>
          <w:lang w:eastAsia="zh-CN"/>
        </w:rPr>
        <w:t>(5), 309–315. https://doi.org/10.1016/S1090-5138(97)00014-7</w:t>
      </w:r>
    </w:p>
    <w:p w14:paraId="20EC2DC6" w14:textId="2DAD3402"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Oertig, M. (2010). Debriefing in Moodle: Written feedback on trust and knowledge sharing in a social dilemma game. </w:t>
      </w:r>
      <w:r w:rsidRPr="002414E9">
        <w:rPr>
          <w:rFonts w:eastAsia="DengXian" w:cs="Times New Roman"/>
          <w:bCs/>
          <w:i/>
          <w:iCs/>
          <w:noProof/>
          <w:lang w:eastAsia="zh-CN"/>
        </w:rPr>
        <w:t>Simulation &amp; Gaming</w:t>
      </w:r>
      <w:r w:rsidRPr="002414E9">
        <w:rPr>
          <w:rFonts w:eastAsia="DengXian" w:cs="Times New Roman"/>
          <w:bCs/>
          <w:noProof/>
          <w:lang w:eastAsia="zh-CN"/>
        </w:rPr>
        <w:t xml:space="preserve">, </w:t>
      </w:r>
      <w:r w:rsidRPr="002414E9">
        <w:rPr>
          <w:rFonts w:eastAsia="DengXian" w:cs="Times New Roman"/>
          <w:bCs/>
          <w:i/>
          <w:iCs/>
          <w:noProof/>
          <w:lang w:eastAsia="zh-CN"/>
        </w:rPr>
        <w:t>41</w:t>
      </w:r>
      <w:r w:rsidRPr="002414E9">
        <w:rPr>
          <w:rFonts w:eastAsia="DengXian" w:cs="Times New Roman"/>
          <w:bCs/>
          <w:noProof/>
          <w:lang w:eastAsia="zh-CN"/>
        </w:rPr>
        <w:t>(3), 374–389. https://doi.org/10.1177/1046878108325982</w:t>
      </w:r>
    </w:p>
    <w:p w14:paraId="1FA4BA35" w14:textId="68B107F1"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Offerman, T., Sonnemans, J., &amp; Schram, A. (1996). Value orientations, expectations and voluntary contributions in public goods. </w:t>
      </w:r>
      <w:r w:rsidRPr="002414E9">
        <w:rPr>
          <w:rFonts w:eastAsia="DengXian" w:cs="Times New Roman"/>
          <w:bCs/>
          <w:i/>
          <w:iCs/>
          <w:noProof/>
          <w:lang w:eastAsia="zh-CN"/>
        </w:rPr>
        <w:t>The Economic Journal</w:t>
      </w:r>
      <w:r w:rsidRPr="002414E9">
        <w:rPr>
          <w:rFonts w:eastAsia="DengXian" w:cs="Times New Roman"/>
          <w:bCs/>
          <w:noProof/>
          <w:lang w:eastAsia="zh-CN"/>
        </w:rPr>
        <w:t xml:space="preserve">, </w:t>
      </w:r>
      <w:r w:rsidRPr="002414E9">
        <w:rPr>
          <w:rFonts w:eastAsia="DengXian" w:cs="Times New Roman"/>
          <w:bCs/>
          <w:i/>
          <w:iCs/>
          <w:noProof/>
          <w:lang w:eastAsia="zh-CN"/>
        </w:rPr>
        <w:t>106</w:t>
      </w:r>
      <w:r w:rsidRPr="002414E9">
        <w:rPr>
          <w:rFonts w:eastAsia="DengXian" w:cs="Times New Roman"/>
          <w:bCs/>
          <w:noProof/>
          <w:lang w:eastAsia="zh-CN"/>
        </w:rPr>
        <w:t>(437), 817–845. https://doi.org/10.2307/2235360</w:t>
      </w:r>
    </w:p>
    <w:p w14:paraId="0D883C5A" w14:textId="6A8A92DF"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Offerman, T., Sonnemans, J., &amp; Schram, A. (2001). Expectation formation in step‐level public good games. </w:t>
      </w:r>
      <w:r w:rsidRPr="002414E9">
        <w:rPr>
          <w:rFonts w:eastAsia="DengXian" w:cs="Times New Roman"/>
          <w:bCs/>
          <w:i/>
          <w:iCs/>
          <w:noProof/>
          <w:lang w:eastAsia="zh-CN"/>
        </w:rPr>
        <w:t>Economic Inquiry</w:t>
      </w:r>
      <w:r w:rsidRPr="002414E9">
        <w:rPr>
          <w:rFonts w:eastAsia="DengXian" w:cs="Times New Roman"/>
          <w:bCs/>
          <w:noProof/>
          <w:lang w:eastAsia="zh-CN"/>
        </w:rPr>
        <w:t xml:space="preserve">, </w:t>
      </w:r>
      <w:r w:rsidRPr="002414E9">
        <w:rPr>
          <w:rFonts w:eastAsia="DengXian" w:cs="Times New Roman"/>
          <w:bCs/>
          <w:i/>
          <w:iCs/>
          <w:noProof/>
          <w:lang w:eastAsia="zh-CN"/>
        </w:rPr>
        <w:t>39</w:t>
      </w:r>
      <w:r w:rsidRPr="002414E9">
        <w:rPr>
          <w:rFonts w:eastAsia="DengXian" w:cs="Times New Roman"/>
          <w:bCs/>
          <w:noProof/>
          <w:lang w:eastAsia="zh-CN"/>
        </w:rPr>
        <w:t>(2), 250–269. https://doi.org/10.1111/j.1465-7295.2001.tb00064.x</w:t>
      </w:r>
    </w:p>
    <w:p w14:paraId="3E800BE8" w14:textId="61316B8C" w:rsidR="002414E9" w:rsidRPr="002414E9" w:rsidRDefault="002414E9" w:rsidP="002414E9">
      <w:pPr>
        <w:widowControl w:val="0"/>
        <w:autoSpaceDE w:val="0"/>
        <w:autoSpaceDN w:val="0"/>
        <w:adjustRightInd w:val="0"/>
        <w:ind w:left="709" w:hanging="709"/>
        <w:rPr>
          <w:rFonts w:eastAsia="DengXian" w:cs="Times New Roman"/>
          <w:bCs/>
          <w:noProof/>
          <w:lang w:eastAsia="zh-CN"/>
        </w:rPr>
      </w:pPr>
      <w:bookmarkStart w:id="90" w:name="_Hlk74306228"/>
      <w:r w:rsidRPr="002414E9">
        <w:rPr>
          <w:rFonts w:eastAsia="DengXian" w:cs="Times New Roman"/>
          <w:bCs/>
          <w:noProof/>
          <w:lang w:eastAsia="zh-CN"/>
        </w:rPr>
        <w:lastRenderedPageBreak/>
        <w:t xml:space="preserve">O'Grady, P. J. (1970). </w:t>
      </w:r>
      <w:r w:rsidRPr="002414E9">
        <w:rPr>
          <w:rFonts w:eastAsia="DengXian" w:cs="Times New Roman"/>
          <w:bCs/>
          <w:i/>
          <w:iCs/>
          <w:noProof/>
          <w:lang w:eastAsia="zh-CN"/>
        </w:rPr>
        <w:t>Attribution of strategies in the prisoner's dilemma game: A symbolic interaction approach</w:t>
      </w:r>
      <w:r w:rsidRPr="002414E9">
        <w:rPr>
          <w:rFonts w:eastAsia="DengXian" w:cs="Times New Roman"/>
          <w:bCs/>
          <w:noProof/>
          <w:lang w:eastAsia="zh-CN"/>
        </w:rPr>
        <w:t>. Michigan State University. https://apps.dtic.mil/sti/pdfs/AD0740555.pdf</w:t>
      </w:r>
    </w:p>
    <w:bookmarkEnd w:id="90"/>
    <w:p w14:paraId="5C14E475" w14:textId="6202A49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Ones, U., &amp; Putterman, L. (2007). The ecology of collective action: A public goods and sanctions experiment with controlled group formation.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62</w:t>
      </w:r>
      <w:r w:rsidRPr="002414E9">
        <w:rPr>
          <w:rFonts w:eastAsia="DengXian" w:cs="Times New Roman"/>
          <w:noProof/>
          <w:lang w:eastAsia="zh-CN"/>
        </w:rPr>
        <w:t>(4), 495–521. https://doi.org/10.1016/j.jebo.2005.04.018</w:t>
      </w:r>
    </w:p>
    <w:p w14:paraId="288D530B" w14:textId="1A7142F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Oprea, R., Charness, G., &amp; Friedman, D. (2014). Continuous time and communication in a public-goods experiment.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108</w:t>
      </w:r>
      <w:r w:rsidRPr="002414E9">
        <w:rPr>
          <w:rFonts w:eastAsia="DengXian" w:cs="Times New Roman"/>
          <w:noProof/>
          <w:lang w:eastAsia="zh-CN"/>
        </w:rPr>
        <w:t>, 212–223. https://doi.org/10.1016/j.jebo.2014.09.012</w:t>
      </w:r>
    </w:p>
    <w:p w14:paraId="50B78E1C" w14:textId="0623FA12"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Orbell, J. M., &amp; Dawes, R. M. (1993). </w:t>
      </w:r>
      <w:r w:rsidRPr="002414E9">
        <w:rPr>
          <w:rFonts w:eastAsia="DengXian" w:cs="Times New Roman"/>
          <w:bCs/>
          <w:noProof/>
          <w:lang w:eastAsia="zh-CN"/>
        </w:rPr>
        <w:t xml:space="preserve">Social welfare, cooperators' advantage, and the option of not playing the game. </w:t>
      </w:r>
      <w:r w:rsidRPr="002414E9">
        <w:rPr>
          <w:rFonts w:eastAsia="DengXian" w:cs="Times New Roman"/>
          <w:bCs/>
          <w:i/>
          <w:iCs/>
          <w:noProof/>
          <w:lang w:eastAsia="zh-CN"/>
        </w:rPr>
        <w:t>American Sociological Review</w:t>
      </w:r>
      <w:r w:rsidRPr="002414E9">
        <w:rPr>
          <w:rFonts w:eastAsia="DengXian" w:cs="Times New Roman"/>
          <w:bCs/>
          <w:noProof/>
          <w:lang w:eastAsia="zh-CN"/>
        </w:rPr>
        <w:t xml:space="preserve">, </w:t>
      </w:r>
      <w:r w:rsidRPr="002414E9">
        <w:rPr>
          <w:rFonts w:eastAsia="DengXian" w:cs="Times New Roman"/>
          <w:bCs/>
          <w:i/>
          <w:iCs/>
          <w:noProof/>
          <w:lang w:eastAsia="zh-CN"/>
        </w:rPr>
        <w:t>58</w:t>
      </w:r>
      <w:r w:rsidRPr="002414E9">
        <w:rPr>
          <w:rFonts w:eastAsia="DengXian" w:cs="Times New Roman"/>
          <w:bCs/>
          <w:noProof/>
          <w:lang w:eastAsia="zh-CN"/>
        </w:rPr>
        <w:t>(6), 787–800. https://doi.org/10.2307/2095951</w:t>
      </w:r>
    </w:p>
    <w:p w14:paraId="2CD39C18" w14:textId="2D3D3851"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Orbell, J. M., Schwartz-Shea, P., &amp; Simmons, R. T. (1984). </w:t>
      </w:r>
      <w:r w:rsidRPr="002414E9">
        <w:rPr>
          <w:rFonts w:eastAsia="DengXian" w:cs="Times New Roman"/>
          <w:bCs/>
          <w:noProof/>
          <w:lang w:eastAsia="zh-CN"/>
        </w:rPr>
        <w:t xml:space="preserve">Do cooperators exit more readily than defectors?. </w:t>
      </w:r>
      <w:r w:rsidRPr="002414E9">
        <w:rPr>
          <w:rFonts w:eastAsia="DengXian" w:cs="Times New Roman"/>
          <w:bCs/>
          <w:i/>
          <w:iCs/>
          <w:noProof/>
          <w:lang w:eastAsia="zh-CN"/>
        </w:rPr>
        <w:t>The American Political Science Review</w:t>
      </w:r>
      <w:r w:rsidRPr="002414E9">
        <w:rPr>
          <w:rFonts w:eastAsia="DengXian" w:cs="Times New Roman"/>
          <w:bCs/>
          <w:noProof/>
          <w:lang w:eastAsia="zh-CN"/>
        </w:rPr>
        <w:t xml:space="preserve">, </w:t>
      </w:r>
      <w:r w:rsidRPr="002414E9">
        <w:rPr>
          <w:rFonts w:eastAsia="DengXian" w:cs="Times New Roman"/>
          <w:bCs/>
          <w:i/>
          <w:iCs/>
          <w:noProof/>
          <w:lang w:eastAsia="zh-CN"/>
        </w:rPr>
        <w:t>78</w:t>
      </w:r>
      <w:r w:rsidRPr="002414E9">
        <w:rPr>
          <w:rFonts w:eastAsia="DengXian" w:cs="Times New Roman"/>
          <w:bCs/>
          <w:noProof/>
          <w:lang w:eastAsia="zh-CN"/>
        </w:rPr>
        <w:t>(1),147–162. https://doi.org/10.2307/1961254</w:t>
      </w:r>
    </w:p>
    <w:p w14:paraId="2E1D4ADE" w14:textId="1C6C497D"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Orbell, J., Dawes, R., &amp; Schwartz-Shea, P. (1994). </w:t>
      </w:r>
      <w:r w:rsidRPr="002414E9">
        <w:rPr>
          <w:rFonts w:eastAsia="DengXian" w:cs="Times New Roman"/>
          <w:bCs/>
          <w:noProof/>
          <w:lang w:eastAsia="zh-CN"/>
        </w:rPr>
        <w:t xml:space="preserve">Trust, social categories, and individuals: The case of gender. </w:t>
      </w:r>
      <w:r w:rsidRPr="002414E9">
        <w:rPr>
          <w:rFonts w:eastAsia="DengXian" w:cs="Times New Roman"/>
          <w:bCs/>
          <w:i/>
          <w:iCs/>
          <w:noProof/>
          <w:lang w:eastAsia="zh-CN"/>
        </w:rPr>
        <w:t>Motivation and Emotion</w:t>
      </w:r>
      <w:r w:rsidRPr="002414E9">
        <w:rPr>
          <w:rFonts w:eastAsia="DengXian" w:cs="Times New Roman"/>
          <w:bCs/>
          <w:noProof/>
          <w:lang w:eastAsia="zh-CN"/>
        </w:rPr>
        <w:t xml:space="preserve">, </w:t>
      </w:r>
      <w:r w:rsidRPr="002414E9">
        <w:rPr>
          <w:rFonts w:eastAsia="DengXian" w:cs="Times New Roman"/>
          <w:bCs/>
          <w:i/>
          <w:iCs/>
          <w:noProof/>
          <w:lang w:eastAsia="zh-CN"/>
        </w:rPr>
        <w:t>18</w:t>
      </w:r>
      <w:r w:rsidRPr="002414E9">
        <w:rPr>
          <w:rFonts w:eastAsia="DengXian" w:cs="Times New Roman"/>
          <w:bCs/>
          <w:noProof/>
          <w:lang w:eastAsia="zh-CN"/>
        </w:rPr>
        <w:t>(2), 109–128. https://doi.org/10.1007/BF02249396</w:t>
      </w:r>
    </w:p>
    <w:p w14:paraId="5D8851FF" w14:textId="3CE48056"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Orwant, C. J., &amp; Orwant, J. E. (1970). A comparison of interpreted and abstract versions of mixed-motive games.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14</w:t>
      </w:r>
      <w:r w:rsidRPr="002414E9">
        <w:rPr>
          <w:rFonts w:eastAsia="DengXian" w:cs="Times New Roman"/>
          <w:bCs/>
          <w:noProof/>
          <w:lang w:eastAsia="zh-CN"/>
        </w:rPr>
        <w:t>(1), 91–97. https://doi.org/10.1177/002200277001400110</w:t>
      </w:r>
    </w:p>
    <w:p w14:paraId="1447FE57" w14:textId="64A2709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Osawa, J. (2010). Kokusai seiji ni okeru kyōchō kankei no sōhatsu to iji ni kansuru gēmuron wo mochiita kōsatsu [Game theory and emerging cooperation under anarchy: Exploring </w:t>
      </w:r>
      <w:r w:rsidRPr="002414E9">
        <w:rPr>
          <w:rFonts w:eastAsia="DengXian" w:cs="Times New Roman"/>
          <w:noProof/>
          <w:lang w:eastAsia="zh-CN"/>
        </w:rPr>
        <w:lastRenderedPageBreak/>
        <w:t xml:space="preserve">possibilities of advanced policy analysis with game theory]. </w:t>
      </w:r>
      <w:r w:rsidRPr="002414E9">
        <w:rPr>
          <w:rFonts w:eastAsia="DengXian" w:cs="Times New Roman"/>
          <w:i/>
          <w:iCs/>
          <w:noProof/>
          <w:lang w:eastAsia="zh-CN"/>
        </w:rPr>
        <w:t>Keiō Gijuku Daigaku Hogaku Kenkyu [Keio University Journal of Law, Politics, and Sociology]</w:t>
      </w:r>
      <w:r w:rsidRPr="002414E9">
        <w:rPr>
          <w:rFonts w:eastAsia="DengXian" w:cs="Times New Roman"/>
          <w:noProof/>
          <w:lang w:eastAsia="zh-CN"/>
        </w:rPr>
        <w:t xml:space="preserve">, </w:t>
      </w:r>
      <w:r w:rsidRPr="002414E9">
        <w:rPr>
          <w:rFonts w:eastAsia="DengXian" w:cs="Times New Roman"/>
          <w:i/>
          <w:iCs/>
          <w:noProof/>
          <w:lang w:eastAsia="zh-CN"/>
        </w:rPr>
        <w:t>83</w:t>
      </w:r>
      <w:r w:rsidRPr="002414E9">
        <w:rPr>
          <w:rFonts w:eastAsia="DengXian" w:cs="Times New Roman"/>
          <w:noProof/>
          <w:lang w:eastAsia="zh-CN"/>
        </w:rPr>
        <w:t>(3), 455–487.</w:t>
      </w:r>
    </w:p>
    <w:p w14:paraId="28F507BA" w14:textId="1C157948"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Oskamp, S. (1974). Comparison of sequential and simultaneous responding, matrix, and strategy variables in a Prisoner's Dilemma game.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18</w:t>
      </w:r>
      <w:r w:rsidRPr="002414E9">
        <w:rPr>
          <w:rFonts w:eastAsia="DengXian" w:cs="Times New Roman"/>
          <w:bCs/>
          <w:noProof/>
          <w:lang w:eastAsia="zh-CN"/>
        </w:rPr>
        <w:t>(1), 107–116. https://doi.org/10.1177/002200277401800105</w:t>
      </w:r>
    </w:p>
    <w:p w14:paraId="5B364648" w14:textId="7EDA824A"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Oskamp, S., &amp; Kleinke, C. (1970). Amount of reward as a variable in the Prisoner's Dilemma game. </w:t>
      </w:r>
      <w:r w:rsidRPr="002414E9">
        <w:rPr>
          <w:rFonts w:eastAsia="DengXian" w:cs="Times New Roman"/>
          <w:bCs/>
          <w:i/>
          <w:iCs/>
          <w:noProof/>
          <w:lang w:eastAsia="zh-CN"/>
        </w:rPr>
        <w:t>Journal of Personality and Social Psychology, 16</w:t>
      </w:r>
      <w:r w:rsidRPr="002414E9">
        <w:rPr>
          <w:rFonts w:eastAsia="DengXian" w:cs="Times New Roman"/>
          <w:bCs/>
          <w:noProof/>
          <w:lang w:eastAsia="zh-CN"/>
        </w:rPr>
        <w:t>(1), 133–140. https://doi.org/10.1037/h0029840</w:t>
      </w:r>
    </w:p>
    <w:p w14:paraId="4C331E95" w14:textId="778DE46F"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Oskamp, S., &amp; Perlman, D. (1965). Factors affecting cooperation in a prisoner's dilemma game.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9</w:t>
      </w:r>
      <w:r w:rsidRPr="002414E9">
        <w:rPr>
          <w:rFonts w:eastAsia="DengXian" w:cs="Times New Roman"/>
          <w:bCs/>
          <w:noProof/>
          <w:lang w:eastAsia="zh-CN"/>
        </w:rPr>
        <w:t>(3), 359–374. https://doi.org/10.1177/002200276500900308</w:t>
      </w:r>
    </w:p>
    <w:p w14:paraId="60291F95" w14:textId="19817987"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Oskamp, S., &amp; Perlman, D. (1966). Effects of friendship and disliking on cooperation in a mixed-motive game1.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10</w:t>
      </w:r>
      <w:r w:rsidRPr="002414E9">
        <w:rPr>
          <w:rFonts w:eastAsia="DengXian" w:cs="Times New Roman"/>
          <w:bCs/>
          <w:noProof/>
          <w:lang w:eastAsia="zh-CN"/>
        </w:rPr>
        <w:t>(2), 221–226. https://doi.org/10.1177/002200276601000208</w:t>
      </w:r>
    </w:p>
    <w:p w14:paraId="4A30B622" w14:textId="6CBA289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Otto, P. E., &amp; Bolle, F. (2015). </w:t>
      </w:r>
      <w:r w:rsidRPr="002414E9">
        <w:rPr>
          <w:rFonts w:eastAsia="DengXian" w:cs="Times New Roman"/>
          <w:noProof/>
          <w:lang w:eastAsia="zh-CN"/>
        </w:rPr>
        <w:t xml:space="preserve">Exploiting one’s power with a guilty conscience: An experimental investigation of self-serving biases. </w:t>
      </w:r>
      <w:r w:rsidRPr="002414E9">
        <w:rPr>
          <w:rFonts w:eastAsia="DengXian" w:cs="Times New Roman"/>
          <w:i/>
          <w:iCs/>
          <w:noProof/>
          <w:lang w:eastAsia="zh-CN"/>
        </w:rPr>
        <w:t>Journal of Economic Psychology</w:t>
      </w:r>
      <w:r w:rsidRPr="002414E9">
        <w:rPr>
          <w:rFonts w:eastAsia="DengXian" w:cs="Times New Roman"/>
          <w:noProof/>
          <w:lang w:eastAsia="zh-CN"/>
        </w:rPr>
        <w:t xml:space="preserve">, </w:t>
      </w:r>
      <w:r w:rsidRPr="002414E9">
        <w:rPr>
          <w:rFonts w:eastAsia="DengXian" w:cs="Times New Roman"/>
          <w:i/>
          <w:iCs/>
          <w:noProof/>
          <w:lang w:eastAsia="zh-CN"/>
        </w:rPr>
        <w:t>51</w:t>
      </w:r>
      <w:r w:rsidRPr="002414E9">
        <w:rPr>
          <w:rFonts w:eastAsia="DengXian" w:cs="Times New Roman"/>
          <w:noProof/>
          <w:lang w:eastAsia="zh-CN"/>
        </w:rPr>
        <w:t>, 79–89. https://doi.org/10.1016/j.joep.2015.08.005</w:t>
      </w:r>
    </w:p>
    <w:p w14:paraId="49C80254" w14:textId="3CB500B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Otto, P. E., &amp; Bolle, F. (2016). </w:t>
      </w:r>
      <w:r w:rsidRPr="002414E9">
        <w:rPr>
          <w:rFonts w:eastAsia="DengXian" w:cs="Times New Roman"/>
          <w:noProof/>
          <w:lang w:eastAsia="zh-CN"/>
        </w:rPr>
        <w:t xml:space="preserve">Organizational power: Should remuneration heterogeneity mirror hierarchy? </w:t>
      </w:r>
      <w:r w:rsidRPr="002414E9">
        <w:rPr>
          <w:rFonts w:eastAsia="DengXian" w:cs="Times New Roman"/>
          <w:i/>
          <w:iCs/>
          <w:noProof/>
          <w:lang w:eastAsia="zh-CN"/>
        </w:rPr>
        <w:t>Review of Economic Design</w:t>
      </w:r>
      <w:r w:rsidRPr="002414E9">
        <w:rPr>
          <w:rFonts w:eastAsia="DengXian" w:cs="Times New Roman"/>
          <w:noProof/>
          <w:lang w:eastAsia="zh-CN"/>
        </w:rPr>
        <w:t xml:space="preserve">, </w:t>
      </w:r>
      <w:r w:rsidRPr="002414E9">
        <w:rPr>
          <w:rFonts w:eastAsia="DengXian" w:cs="Times New Roman"/>
          <w:i/>
          <w:iCs/>
          <w:noProof/>
          <w:lang w:eastAsia="zh-CN"/>
        </w:rPr>
        <w:t>20</w:t>
      </w:r>
      <w:r w:rsidRPr="002414E9">
        <w:rPr>
          <w:rFonts w:eastAsia="DengXian" w:cs="Times New Roman"/>
          <w:noProof/>
          <w:lang w:eastAsia="zh-CN"/>
        </w:rPr>
        <w:t>(3), 187–205. https://doi.org/10.1007/s10058-016-0189-x</w:t>
      </w:r>
    </w:p>
    <w:p w14:paraId="190E3167" w14:textId="06E8C200" w:rsidR="002414E9" w:rsidRPr="002414E9" w:rsidRDefault="002414E9" w:rsidP="002414E9">
      <w:pPr>
        <w:widowControl w:val="0"/>
        <w:autoSpaceDE w:val="0"/>
        <w:autoSpaceDN w:val="0"/>
        <w:adjustRightInd w:val="0"/>
        <w:ind w:left="709" w:hanging="709"/>
        <w:rPr>
          <w:rFonts w:eastAsia="DengXian" w:cs="Times New Roman"/>
          <w:noProof/>
          <w:u w:val="single"/>
          <w:lang w:eastAsia="zh-CN"/>
        </w:rPr>
      </w:pPr>
      <w:r w:rsidRPr="002414E9">
        <w:rPr>
          <w:rFonts w:eastAsia="DengXian" w:cs="Times New Roman"/>
          <w:noProof/>
          <w:lang w:val="it-IT" w:eastAsia="zh-CN"/>
        </w:rPr>
        <w:t xml:space="preserve">Otto, P. E., &amp; Bolle, F. (2016). </w:t>
      </w:r>
      <w:r w:rsidRPr="002414E9">
        <w:rPr>
          <w:rFonts w:eastAsia="DengXian" w:cs="Times New Roman"/>
          <w:noProof/>
          <w:lang w:eastAsia="zh-CN"/>
        </w:rPr>
        <w:t xml:space="preserve">The advantage of hierarchy: Inducing responsibility and selecting ability?. </w:t>
      </w:r>
      <w:r w:rsidRPr="002414E9">
        <w:rPr>
          <w:rFonts w:eastAsia="DengXian" w:cs="Times New Roman"/>
          <w:i/>
          <w:iCs/>
          <w:noProof/>
          <w:lang w:eastAsia="zh-CN"/>
        </w:rPr>
        <w:t>Journal of Behavioral and Experimental Economics, 65</w:t>
      </w:r>
      <w:r w:rsidRPr="002414E9">
        <w:rPr>
          <w:rFonts w:eastAsia="DengXian" w:cs="Times New Roman"/>
          <w:noProof/>
          <w:lang w:eastAsia="zh-CN"/>
        </w:rPr>
        <w:t xml:space="preserve">, 49–57. </w:t>
      </w:r>
      <w:r w:rsidRPr="002414E9">
        <w:rPr>
          <w:rFonts w:eastAsia="DengXian" w:cs="Times New Roman"/>
          <w:noProof/>
          <w:lang w:eastAsia="zh-CN"/>
        </w:rPr>
        <w:lastRenderedPageBreak/>
        <w:t>https://doi.org/10.2139/ssrn.2327491</w:t>
      </w:r>
    </w:p>
    <w:p w14:paraId="5089EA93" w14:textId="2A672DD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Ottone, S., &amp; Ponzano, F. (2010). Competition and cooperation in markets. The experimental case of a winner-take-all setting. </w:t>
      </w:r>
      <w:r w:rsidRPr="002414E9">
        <w:rPr>
          <w:rFonts w:eastAsia="DengXian" w:cs="Times New Roman"/>
          <w:i/>
          <w:iCs/>
          <w:noProof/>
          <w:lang w:eastAsia="zh-CN"/>
        </w:rPr>
        <w:t>The Journal of Socio-Economics</w:t>
      </w:r>
      <w:r w:rsidRPr="002414E9">
        <w:rPr>
          <w:rFonts w:eastAsia="DengXian" w:cs="Times New Roman"/>
          <w:noProof/>
          <w:lang w:eastAsia="zh-CN"/>
        </w:rPr>
        <w:t xml:space="preserve">, </w:t>
      </w:r>
      <w:r w:rsidRPr="002414E9">
        <w:rPr>
          <w:rFonts w:eastAsia="DengXian" w:cs="Times New Roman"/>
          <w:i/>
          <w:iCs/>
          <w:noProof/>
          <w:lang w:eastAsia="zh-CN"/>
        </w:rPr>
        <w:t>39</w:t>
      </w:r>
      <w:r w:rsidRPr="002414E9">
        <w:rPr>
          <w:rFonts w:eastAsia="DengXian" w:cs="Times New Roman"/>
          <w:noProof/>
          <w:lang w:eastAsia="zh-CN"/>
        </w:rPr>
        <w:t>(2), 163–170. https://doi.org/10.1016/j.socec.2009.10.001</w:t>
      </w:r>
    </w:p>
    <w:p w14:paraId="55F8DF0B" w14:textId="5356D25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Oxoby, R. J., &amp; Spraggon, J. (2013). A clear and present minority Heterogeneity in the source of endowments and the provision of public goods. </w:t>
      </w:r>
      <w:r w:rsidRPr="002414E9">
        <w:rPr>
          <w:rFonts w:eastAsia="DengXian" w:cs="Times New Roman"/>
          <w:i/>
          <w:iCs/>
          <w:noProof/>
          <w:lang w:eastAsia="zh-CN"/>
        </w:rPr>
        <w:t>Economic Inquiry</w:t>
      </w:r>
      <w:r w:rsidRPr="002414E9">
        <w:rPr>
          <w:rFonts w:eastAsia="DengXian" w:cs="Times New Roman"/>
          <w:noProof/>
          <w:lang w:eastAsia="zh-CN"/>
        </w:rPr>
        <w:t xml:space="preserve">, </w:t>
      </w:r>
      <w:r w:rsidRPr="002414E9">
        <w:rPr>
          <w:rFonts w:eastAsia="DengXian" w:cs="Times New Roman"/>
          <w:i/>
          <w:iCs/>
          <w:noProof/>
          <w:lang w:eastAsia="zh-CN"/>
        </w:rPr>
        <w:t>51</w:t>
      </w:r>
      <w:r w:rsidRPr="002414E9">
        <w:rPr>
          <w:rFonts w:eastAsia="DengXian" w:cs="Times New Roman"/>
          <w:noProof/>
          <w:lang w:eastAsia="zh-CN"/>
        </w:rPr>
        <w:t>(4), 2071–2082. https://doi.org/10.1111/j.1465-7295.2012.00493.x</w:t>
      </w:r>
    </w:p>
    <w:p w14:paraId="47919A70" w14:textId="44D0651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Ozawa, T. (2016). Hito to hito ga kyōryoku suru mekanizumu no jikken teki kenshō: Rinrikan ni yotte hito wa  kyōryoku shiau noka [Experimental verification of the mechanism of human cooperation: Do ethics make people cooperate with each other?]. </w:t>
      </w:r>
      <w:r w:rsidRPr="002414E9">
        <w:rPr>
          <w:rFonts w:eastAsia="DengXian" w:cs="Times New Roman"/>
          <w:i/>
          <w:iCs/>
          <w:noProof/>
          <w:lang w:eastAsia="zh-CN"/>
        </w:rPr>
        <w:t>Kōchi Kōka Daigaku 2015 Nendo Sotsugyō Ronbun Yōshi [The Abstract of Graduation Thesis for the Academic Year 2015 in Kochi University of Technology]</w:t>
      </w:r>
      <w:r w:rsidRPr="002414E9">
        <w:rPr>
          <w:rFonts w:eastAsia="DengXian" w:cs="Times New Roman"/>
          <w:noProof/>
          <w:lang w:eastAsia="zh-CN"/>
        </w:rPr>
        <w:t>.</w:t>
      </w:r>
    </w:p>
    <w:p w14:paraId="37DE94AD" w14:textId="09C4000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Paetzel, F., &amp; Traub, S. (2017). Skewness-adjusted social preferences: Experimental evidence on the relation between inequality, elite behavior, and economic efficiency. </w:t>
      </w:r>
      <w:r w:rsidRPr="002414E9">
        <w:rPr>
          <w:rFonts w:eastAsia="DengXian" w:cs="Times New Roman"/>
          <w:i/>
          <w:iCs/>
          <w:noProof/>
          <w:lang w:eastAsia="zh-CN"/>
        </w:rPr>
        <w:t>Journal of Behavioral and Experimental Economics</w:t>
      </w:r>
      <w:r w:rsidRPr="002414E9">
        <w:rPr>
          <w:rFonts w:eastAsia="DengXian" w:cs="Times New Roman"/>
          <w:noProof/>
          <w:lang w:eastAsia="zh-CN"/>
        </w:rPr>
        <w:t xml:space="preserve">, </w:t>
      </w:r>
      <w:r w:rsidRPr="002414E9">
        <w:rPr>
          <w:rFonts w:eastAsia="DengXian" w:cs="Times New Roman"/>
          <w:i/>
          <w:iCs/>
          <w:noProof/>
          <w:lang w:eastAsia="zh-CN"/>
        </w:rPr>
        <w:t>68</w:t>
      </w:r>
      <w:r w:rsidRPr="002414E9">
        <w:rPr>
          <w:rFonts w:eastAsia="DengXian" w:cs="Times New Roman"/>
          <w:noProof/>
          <w:lang w:eastAsia="zh-CN"/>
        </w:rPr>
        <w:t>, 130–139. https://doi.org/10.1016/j.socec.2017.05.001</w:t>
      </w:r>
    </w:p>
    <w:p w14:paraId="70FA9074" w14:textId="3F40BA25" w:rsidR="002414E9" w:rsidRPr="002414E9" w:rsidRDefault="002414E9" w:rsidP="002414E9">
      <w:pPr>
        <w:widowControl w:val="0"/>
        <w:autoSpaceDE w:val="0"/>
        <w:autoSpaceDN w:val="0"/>
        <w:adjustRightInd w:val="0"/>
        <w:ind w:left="709" w:hanging="709"/>
        <w:rPr>
          <w:rFonts w:eastAsia="DengXian" w:cs="Times New Roman"/>
          <w:noProof/>
          <w:lang w:eastAsia="zh-CN"/>
        </w:rPr>
      </w:pPr>
      <w:bookmarkStart w:id="91" w:name="OLE_LINK5"/>
      <w:r w:rsidRPr="002414E9">
        <w:rPr>
          <w:rFonts w:eastAsia="DengXian" w:cs="Times New Roman"/>
          <w:noProof/>
          <w:lang w:val="en-GB" w:eastAsia="zh-CN"/>
        </w:rPr>
        <w:t xml:space="preserve">Page, T., Putterman, L., &amp; Garcia, B. (2013). </w:t>
      </w:r>
      <w:r w:rsidRPr="002414E9">
        <w:rPr>
          <w:rFonts w:eastAsia="DengXian" w:cs="Times New Roman"/>
          <w:noProof/>
          <w:lang w:eastAsia="zh-CN"/>
        </w:rPr>
        <w:t xml:space="preserve">Voluntary contributions with redistribution: The effect of costly sanctions when one person’s punishment is another’s reward.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95</w:t>
      </w:r>
      <w:r w:rsidRPr="002414E9">
        <w:rPr>
          <w:rFonts w:eastAsia="DengXian" w:cs="Times New Roman"/>
          <w:noProof/>
          <w:lang w:eastAsia="zh-CN"/>
        </w:rPr>
        <w:t>, 34–48. https://doi.org/10.1016/j.jebo.2013.08.006</w:t>
      </w:r>
    </w:p>
    <w:p w14:paraId="5784A9A6" w14:textId="3131F57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fr-FR" w:eastAsia="zh-CN"/>
        </w:rPr>
        <w:t xml:space="preserve">Page, T., Putterman, L., &amp; Unel, B. (2005). </w:t>
      </w:r>
      <w:r w:rsidRPr="002414E9">
        <w:rPr>
          <w:rFonts w:eastAsia="DengXian" w:cs="Times New Roman"/>
          <w:noProof/>
          <w:lang w:eastAsia="zh-CN"/>
        </w:rPr>
        <w:t xml:space="preserve">Voluntary association in public goods experiments: Reciprocity, mimicry and efficiency. </w:t>
      </w:r>
      <w:r w:rsidRPr="002414E9">
        <w:rPr>
          <w:rFonts w:eastAsia="DengXian" w:cs="Times New Roman"/>
          <w:i/>
          <w:iCs/>
          <w:noProof/>
          <w:lang w:eastAsia="zh-CN"/>
        </w:rPr>
        <w:t>The Economic Journal</w:t>
      </w:r>
      <w:r w:rsidRPr="002414E9">
        <w:rPr>
          <w:rFonts w:eastAsia="DengXian" w:cs="Times New Roman"/>
          <w:noProof/>
          <w:lang w:eastAsia="zh-CN"/>
        </w:rPr>
        <w:t xml:space="preserve">, </w:t>
      </w:r>
      <w:r w:rsidRPr="002414E9">
        <w:rPr>
          <w:rFonts w:eastAsia="DengXian" w:cs="Times New Roman"/>
          <w:i/>
          <w:iCs/>
          <w:noProof/>
          <w:lang w:eastAsia="zh-CN"/>
        </w:rPr>
        <w:t>115</w:t>
      </w:r>
      <w:r w:rsidRPr="002414E9">
        <w:rPr>
          <w:rFonts w:eastAsia="DengXian" w:cs="Times New Roman"/>
          <w:noProof/>
          <w:lang w:eastAsia="zh-CN"/>
        </w:rPr>
        <w:t>(506), 1032–1053. https://doi.org/10.1111/j.1468-0297.2005.01031.x</w:t>
      </w:r>
    </w:p>
    <w:p w14:paraId="54727085" w14:textId="062215AE"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lastRenderedPageBreak/>
        <w:t xml:space="preserve">Palfrey, T. R., &amp; Rosenthal, H. (1994). Repeated play, cooperation and coordination: An experimental study. </w:t>
      </w:r>
      <w:r w:rsidRPr="002414E9">
        <w:rPr>
          <w:rFonts w:eastAsia="DengXian" w:cs="Times New Roman"/>
          <w:bCs/>
          <w:i/>
          <w:iCs/>
          <w:noProof/>
          <w:lang w:eastAsia="zh-CN"/>
        </w:rPr>
        <w:t>The Review of Economic Studies</w:t>
      </w:r>
      <w:r w:rsidRPr="002414E9">
        <w:rPr>
          <w:rFonts w:eastAsia="DengXian" w:cs="Times New Roman"/>
          <w:bCs/>
          <w:noProof/>
          <w:lang w:eastAsia="zh-CN"/>
        </w:rPr>
        <w:t>,</w:t>
      </w:r>
      <w:bookmarkStart w:id="92" w:name="_Hlk54117917"/>
      <w:r w:rsidRPr="002414E9">
        <w:rPr>
          <w:rFonts w:eastAsia="DengXian" w:cs="Times New Roman"/>
          <w:bCs/>
          <w:noProof/>
          <w:lang w:eastAsia="zh-CN"/>
        </w:rPr>
        <w:t xml:space="preserve"> </w:t>
      </w:r>
      <w:r w:rsidRPr="002414E9">
        <w:rPr>
          <w:rFonts w:eastAsia="DengXian" w:cs="Times New Roman"/>
          <w:bCs/>
          <w:i/>
          <w:iCs/>
          <w:noProof/>
          <w:lang w:eastAsia="zh-CN"/>
        </w:rPr>
        <w:t>61</w:t>
      </w:r>
      <w:r w:rsidRPr="002414E9">
        <w:rPr>
          <w:rFonts w:eastAsia="DengXian" w:cs="Times New Roman"/>
          <w:bCs/>
          <w:noProof/>
          <w:lang w:eastAsia="zh-CN"/>
        </w:rPr>
        <w:t>(3),</w:t>
      </w:r>
      <w:bookmarkEnd w:id="92"/>
      <w:r w:rsidRPr="002414E9">
        <w:rPr>
          <w:rFonts w:eastAsia="DengXian" w:cs="Times New Roman"/>
          <w:bCs/>
          <w:noProof/>
          <w:lang w:eastAsia="zh-CN"/>
        </w:rPr>
        <w:t xml:space="preserve"> 545–565. https://doi.org/10.2307/2297903</w:t>
      </w:r>
    </w:p>
    <w:p w14:paraId="455389B0" w14:textId="64A66AC2" w:rsidR="002414E9" w:rsidRPr="002414E9" w:rsidRDefault="002414E9" w:rsidP="002414E9">
      <w:pPr>
        <w:widowControl w:val="0"/>
        <w:autoSpaceDE w:val="0"/>
        <w:autoSpaceDN w:val="0"/>
        <w:adjustRightInd w:val="0"/>
        <w:ind w:left="709" w:hanging="709"/>
        <w:rPr>
          <w:rFonts w:eastAsia="DengXian" w:cs="Times New Roman"/>
          <w:noProof/>
          <w:lang w:eastAsia="zh-CN"/>
        </w:rPr>
      </w:pPr>
      <w:bookmarkStart w:id="93" w:name="_Hlk73020493"/>
      <w:r w:rsidRPr="002414E9">
        <w:rPr>
          <w:rFonts w:eastAsia="DengXian" w:cs="Times New Roman"/>
          <w:noProof/>
          <w:lang w:eastAsia="zh-CN"/>
        </w:rPr>
        <w:t xml:space="preserve">Pan, Y. (2014). </w:t>
      </w:r>
      <w:r w:rsidRPr="002414E9">
        <w:rPr>
          <w:rFonts w:eastAsia="DengXian" w:cs="Times New Roman"/>
          <w:i/>
          <w:iCs/>
          <w:noProof/>
          <w:lang w:eastAsia="zh-CN"/>
        </w:rPr>
        <w:t>Juece fangshi yingxiang hezuo shuiping de yanjiu</w:t>
      </w:r>
      <w:r w:rsidRPr="002414E9">
        <w:rPr>
          <w:rFonts w:eastAsia="DengXian" w:cs="Times New Roman"/>
          <w:noProof/>
          <w:lang w:eastAsia="zh-CN"/>
        </w:rPr>
        <w:t xml:space="preserve"> [</w:t>
      </w:r>
      <w:r w:rsidRPr="002414E9">
        <w:rPr>
          <w:rFonts w:eastAsia="DengXian" w:cs="Times New Roman" w:hint="eastAsia"/>
          <w:noProof/>
          <w:lang w:eastAsia="zh-CN"/>
        </w:rPr>
        <w:t xml:space="preserve">Research on the </w:t>
      </w:r>
      <w:r w:rsidRPr="002414E9">
        <w:rPr>
          <w:rFonts w:eastAsia="DengXian" w:cs="Times New Roman"/>
          <w:noProof/>
          <w:lang w:eastAsia="zh-CN"/>
        </w:rPr>
        <w:t>e</w:t>
      </w:r>
      <w:r w:rsidRPr="002414E9">
        <w:rPr>
          <w:rFonts w:eastAsia="DengXian" w:cs="Times New Roman" w:hint="eastAsia"/>
          <w:noProof/>
          <w:lang w:eastAsia="zh-CN"/>
        </w:rPr>
        <w:t xml:space="preserve">ffect of </w:t>
      </w:r>
      <w:r w:rsidRPr="002414E9">
        <w:rPr>
          <w:rFonts w:eastAsia="DengXian" w:cs="Times New Roman"/>
          <w:noProof/>
          <w:lang w:eastAsia="zh-CN"/>
        </w:rPr>
        <w:t>d</w:t>
      </w:r>
      <w:r w:rsidRPr="002414E9">
        <w:rPr>
          <w:rFonts w:eastAsia="DengXian" w:cs="Times New Roman" w:hint="eastAsia"/>
          <w:noProof/>
          <w:lang w:eastAsia="zh-CN"/>
        </w:rPr>
        <w:t xml:space="preserve">ecision </w:t>
      </w:r>
      <w:r w:rsidRPr="002414E9">
        <w:rPr>
          <w:rFonts w:eastAsia="DengXian" w:cs="Times New Roman"/>
          <w:noProof/>
          <w:lang w:eastAsia="zh-CN"/>
        </w:rPr>
        <w:t>m</w:t>
      </w:r>
      <w:r w:rsidRPr="002414E9">
        <w:rPr>
          <w:rFonts w:eastAsia="DengXian" w:cs="Times New Roman" w:hint="eastAsia"/>
          <w:noProof/>
          <w:lang w:eastAsia="zh-CN"/>
        </w:rPr>
        <w:t xml:space="preserve">aking </w:t>
      </w:r>
      <w:r w:rsidRPr="002414E9">
        <w:rPr>
          <w:rFonts w:eastAsia="DengXian" w:cs="Times New Roman"/>
          <w:noProof/>
          <w:lang w:eastAsia="zh-CN"/>
        </w:rPr>
        <w:t>m</w:t>
      </w:r>
      <w:r w:rsidRPr="002414E9">
        <w:rPr>
          <w:rFonts w:eastAsia="DengXian" w:cs="Times New Roman" w:hint="eastAsia"/>
          <w:noProof/>
          <w:lang w:eastAsia="zh-CN"/>
        </w:rPr>
        <w:t xml:space="preserve">ode on </w:t>
      </w:r>
      <w:r w:rsidRPr="002414E9">
        <w:rPr>
          <w:rFonts w:eastAsia="DengXian" w:cs="Times New Roman"/>
          <w:noProof/>
          <w:lang w:eastAsia="zh-CN"/>
        </w:rPr>
        <w:t>c</w:t>
      </w:r>
      <w:r w:rsidRPr="002414E9">
        <w:rPr>
          <w:rFonts w:eastAsia="DengXian" w:cs="Times New Roman" w:hint="eastAsia"/>
          <w:noProof/>
          <w:lang w:eastAsia="zh-CN"/>
        </w:rPr>
        <w:t xml:space="preserve">ooperation </w:t>
      </w:r>
      <w:r w:rsidRPr="002414E9">
        <w:rPr>
          <w:rFonts w:eastAsia="DengXian" w:cs="Times New Roman"/>
          <w:noProof/>
          <w:lang w:eastAsia="zh-CN"/>
        </w:rPr>
        <w:t>l</w:t>
      </w:r>
      <w:r w:rsidRPr="002414E9">
        <w:rPr>
          <w:rFonts w:eastAsia="DengXian" w:cs="Times New Roman" w:hint="eastAsia"/>
          <w:noProof/>
          <w:lang w:eastAsia="zh-CN"/>
        </w:rPr>
        <w:t>evel</w:t>
      </w:r>
      <w:r w:rsidRPr="002414E9">
        <w:rPr>
          <w:rFonts w:eastAsia="DengXian" w:cs="Times New Roman"/>
          <w:noProof/>
          <w:lang w:eastAsia="zh-CN"/>
        </w:rPr>
        <w:t>] [Master's thesis, Xinan daxue]. CNKI Theses and Dissertations Database.</w:t>
      </w:r>
      <w:bookmarkEnd w:id="93"/>
    </w:p>
    <w:p w14:paraId="30D609F1" w14:textId="5F5A774E"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Parise, S., Kiesler, S., Sproull, L., &amp; Waters, K. (1999). Cooperating with life-like interface agents. </w:t>
      </w:r>
      <w:r w:rsidRPr="002414E9">
        <w:rPr>
          <w:rFonts w:eastAsia="DengXian" w:cs="Times New Roman"/>
          <w:bCs/>
          <w:i/>
          <w:iCs/>
          <w:noProof/>
          <w:lang w:eastAsia="zh-CN"/>
        </w:rPr>
        <w:t>Computers in Human Behavior</w:t>
      </w:r>
      <w:r w:rsidRPr="002414E9">
        <w:rPr>
          <w:rFonts w:eastAsia="DengXian" w:cs="Times New Roman"/>
          <w:bCs/>
          <w:noProof/>
          <w:lang w:eastAsia="zh-CN"/>
        </w:rPr>
        <w:t xml:space="preserve">, </w:t>
      </w:r>
      <w:r w:rsidRPr="002414E9">
        <w:rPr>
          <w:rFonts w:eastAsia="DengXian" w:cs="Times New Roman"/>
          <w:bCs/>
          <w:i/>
          <w:iCs/>
          <w:noProof/>
          <w:lang w:eastAsia="zh-CN"/>
        </w:rPr>
        <w:t>15</w:t>
      </w:r>
      <w:r w:rsidRPr="002414E9">
        <w:rPr>
          <w:rFonts w:eastAsia="DengXian" w:cs="Times New Roman"/>
          <w:bCs/>
          <w:noProof/>
          <w:lang w:eastAsia="zh-CN"/>
        </w:rPr>
        <w:t xml:space="preserve">(2), 123–142. </w:t>
      </w:r>
      <w:bookmarkStart w:id="94" w:name="_Hlk54082331"/>
      <w:r w:rsidRPr="002414E9">
        <w:rPr>
          <w:rFonts w:eastAsia="DengXian" w:cs="Times New Roman"/>
          <w:bCs/>
          <w:noProof/>
          <w:lang w:eastAsia="zh-CN"/>
        </w:rPr>
        <w:t>https://doi.org/</w:t>
      </w:r>
      <w:bookmarkEnd w:id="94"/>
      <w:r w:rsidRPr="002414E9">
        <w:rPr>
          <w:rFonts w:eastAsia="DengXian" w:cs="Times New Roman"/>
          <w:bCs/>
          <w:noProof/>
          <w:lang w:eastAsia="zh-CN"/>
        </w:rPr>
        <w:t>10.1016/S0747-5632(98)00035-1</w:t>
      </w:r>
    </w:p>
    <w:p w14:paraId="1E4836B3" w14:textId="2C9FDB94"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Park, G. (2012). </w:t>
      </w:r>
      <w:r w:rsidRPr="002414E9">
        <w:rPr>
          <w:rFonts w:eastAsia="DengXian" w:cs="Times New Roman"/>
          <w:bCs/>
          <w:i/>
          <w:iCs/>
          <w:noProof/>
          <w:lang w:eastAsia="zh-CN"/>
        </w:rPr>
        <w:t xml:space="preserve">A multilevel model of team cooperation: Disentangling the discontinuity effect </w:t>
      </w:r>
      <w:r w:rsidRPr="002414E9">
        <w:rPr>
          <w:rFonts w:eastAsia="DengXian" w:cs="Times New Roman"/>
          <w:bCs/>
          <w:noProof/>
          <w:lang w:eastAsia="zh-CN"/>
        </w:rPr>
        <w:t>(Publication No. 3458511)</w:t>
      </w:r>
      <w:r w:rsidRPr="002414E9">
        <w:rPr>
          <w:rFonts w:eastAsia="DengXian" w:cs="Times New Roman"/>
          <w:bCs/>
          <w:i/>
          <w:iCs/>
          <w:noProof/>
          <w:lang w:eastAsia="zh-CN"/>
        </w:rPr>
        <w:t xml:space="preserve"> </w:t>
      </w:r>
      <w:r w:rsidRPr="002414E9">
        <w:rPr>
          <w:rFonts w:eastAsia="DengXian" w:cs="Times New Roman"/>
          <w:bCs/>
          <w:noProof/>
          <w:lang w:eastAsia="zh-CN"/>
        </w:rPr>
        <w:t>[Doctoral dissertation, Michigan State University]. ProQuest Dissertations Publishing.</w:t>
      </w:r>
    </w:p>
    <w:bookmarkEnd w:id="91"/>
    <w:p w14:paraId="536723D4"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Parks, C. D. (2000). Testing various types of cooperation rewards in social dilemmas. </w:t>
      </w:r>
      <w:r w:rsidRPr="002414E9">
        <w:rPr>
          <w:rFonts w:eastAsia="DengXian" w:cs="Times New Roman"/>
          <w:i/>
          <w:iCs/>
          <w:noProof/>
          <w:lang w:eastAsia="zh-CN"/>
        </w:rPr>
        <w:t>Group Processes &amp; Intergroup Relations</w:t>
      </w:r>
      <w:r w:rsidRPr="002414E9">
        <w:rPr>
          <w:rFonts w:eastAsia="DengXian" w:cs="Times New Roman"/>
          <w:noProof/>
          <w:lang w:eastAsia="zh-CN"/>
        </w:rPr>
        <w:t xml:space="preserve">, </w:t>
      </w:r>
      <w:r w:rsidRPr="002414E9">
        <w:rPr>
          <w:rFonts w:eastAsia="DengXian" w:cs="Times New Roman"/>
          <w:i/>
          <w:iCs/>
          <w:noProof/>
          <w:lang w:eastAsia="zh-CN"/>
        </w:rPr>
        <w:t>3</w:t>
      </w:r>
      <w:r w:rsidRPr="002414E9">
        <w:rPr>
          <w:rFonts w:eastAsia="DengXian" w:cs="Times New Roman"/>
          <w:noProof/>
          <w:lang w:eastAsia="zh-CN"/>
        </w:rPr>
        <w:t>(4), 339–350. https://doi.org/10.1177/1368430200003004001</w:t>
      </w:r>
    </w:p>
    <w:p w14:paraId="36D65BB3" w14:textId="0BB79A5B"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Parks, C. D., &amp; Hulbert, L. G. (1995). High and low trusters' responses to fear in a payoff matrix.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39</w:t>
      </w:r>
      <w:r w:rsidRPr="002414E9">
        <w:rPr>
          <w:rFonts w:eastAsia="DengXian" w:cs="Times New Roman"/>
          <w:bCs/>
          <w:noProof/>
          <w:lang w:eastAsia="zh-CN"/>
        </w:rPr>
        <w:t>(4), 718–730. https://doi.org/10.1177/0022002795039004006</w:t>
      </w:r>
    </w:p>
    <w:p w14:paraId="5888BA24" w14:textId="1DA94384"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Parks, C. D., &amp; Rumble, A. C. (2001). Elements of reciprocity and social value orientation. </w:t>
      </w:r>
      <w:r w:rsidRPr="002414E9">
        <w:rPr>
          <w:rFonts w:eastAsia="DengXian" w:cs="Times New Roman"/>
          <w:bCs/>
          <w:i/>
          <w:iCs/>
          <w:noProof/>
          <w:lang w:eastAsia="zh-CN"/>
        </w:rPr>
        <w:t>Personality and Social Psychology Bulletin</w:t>
      </w:r>
      <w:r w:rsidRPr="002414E9">
        <w:rPr>
          <w:rFonts w:eastAsia="DengXian" w:cs="Times New Roman"/>
          <w:bCs/>
          <w:noProof/>
          <w:lang w:eastAsia="zh-CN"/>
        </w:rPr>
        <w:t>,</w:t>
      </w:r>
      <w:bookmarkStart w:id="95" w:name="_Hlk54040730"/>
      <w:r w:rsidRPr="002414E9">
        <w:rPr>
          <w:rFonts w:eastAsia="DengXian" w:cs="Times New Roman"/>
          <w:bCs/>
          <w:noProof/>
          <w:lang w:eastAsia="zh-CN"/>
        </w:rPr>
        <w:t xml:space="preserve"> </w:t>
      </w:r>
      <w:r w:rsidRPr="002414E9">
        <w:rPr>
          <w:rFonts w:eastAsia="DengXian" w:cs="Times New Roman"/>
          <w:bCs/>
          <w:i/>
          <w:iCs/>
          <w:noProof/>
          <w:lang w:eastAsia="zh-CN"/>
        </w:rPr>
        <w:t>27</w:t>
      </w:r>
      <w:r w:rsidRPr="002414E9">
        <w:rPr>
          <w:rFonts w:eastAsia="DengXian" w:cs="Times New Roman"/>
          <w:bCs/>
          <w:noProof/>
          <w:lang w:eastAsia="zh-CN"/>
        </w:rPr>
        <w:t xml:space="preserve">(10), </w:t>
      </w:r>
      <w:bookmarkEnd w:id="95"/>
      <w:r w:rsidRPr="002414E9">
        <w:rPr>
          <w:rFonts w:eastAsia="DengXian" w:cs="Times New Roman"/>
          <w:bCs/>
          <w:noProof/>
          <w:lang w:eastAsia="zh-CN"/>
        </w:rPr>
        <w:t>1301–1309. https://doi.org/10.1177/01461672012710006</w:t>
      </w:r>
    </w:p>
    <w:p w14:paraId="1059E84C" w14:textId="018FEA1C"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fr-FR" w:eastAsia="zh-CN"/>
        </w:rPr>
        <w:t xml:space="preserve">Parks, C. D., &amp; Vu, A. D. (1994). </w:t>
      </w:r>
      <w:r w:rsidRPr="002414E9">
        <w:rPr>
          <w:rFonts w:eastAsia="DengXian" w:cs="Times New Roman"/>
          <w:bCs/>
          <w:noProof/>
          <w:lang w:eastAsia="zh-CN"/>
        </w:rPr>
        <w:t xml:space="preserve">Social dilemma behavior of individuals from highly individualist and collectivist cultures.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38</w:t>
      </w:r>
      <w:r w:rsidRPr="002414E9">
        <w:rPr>
          <w:rFonts w:eastAsia="DengXian" w:cs="Times New Roman"/>
          <w:bCs/>
          <w:noProof/>
          <w:lang w:eastAsia="zh-CN"/>
        </w:rPr>
        <w:t xml:space="preserve">(4), 708–718. </w:t>
      </w:r>
      <w:r w:rsidRPr="002414E9">
        <w:rPr>
          <w:rFonts w:eastAsia="DengXian" w:cs="Times New Roman"/>
          <w:bCs/>
          <w:noProof/>
          <w:lang w:eastAsia="zh-CN"/>
        </w:rPr>
        <w:lastRenderedPageBreak/>
        <w:t>https://doi.org/10.1177/0022002794038004006</w:t>
      </w:r>
    </w:p>
    <w:p w14:paraId="643170B1" w14:textId="0914EEC5" w:rsidR="002414E9" w:rsidRPr="002414E9" w:rsidRDefault="002414E9" w:rsidP="002414E9">
      <w:pPr>
        <w:widowControl w:val="0"/>
        <w:autoSpaceDE w:val="0"/>
        <w:autoSpaceDN w:val="0"/>
        <w:adjustRightInd w:val="0"/>
        <w:ind w:left="709" w:hanging="709"/>
        <w:rPr>
          <w:rFonts w:eastAsia="DengXian" w:cs="Times New Roman"/>
          <w:bCs/>
          <w:noProof/>
          <w:lang w:eastAsia="zh-CN"/>
        </w:rPr>
      </w:pPr>
      <w:bookmarkStart w:id="96" w:name="_Hlk39760920"/>
      <w:r w:rsidRPr="002414E9">
        <w:rPr>
          <w:rFonts w:eastAsia="DengXian" w:cs="Times New Roman"/>
          <w:bCs/>
          <w:noProof/>
          <w:lang w:eastAsia="zh-CN"/>
        </w:rPr>
        <w:t xml:space="preserve">Parks, C. D., Henager, R. F., &amp; Scamahorn, S. D. (1996). Trust and reactions to messages of intent in social dilemmas.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40</w:t>
      </w:r>
      <w:r w:rsidRPr="002414E9">
        <w:rPr>
          <w:rFonts w:eastAsia="DengXian" w:cs="Times New Roman"/>
          <w:bCs/>
          <w:noProof/>
          <w:lang w:eastAsia="zh-CN"/>
        </w:rPr>
        <w:t>(1), 134–151. https://doi.org/10.1177/0022002796040001007</w:t>
      </w:r>
    </w:p>
    <w:p w14:paraId="57BD2245" w14:textId="0318B0B2"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Parks, C. D., Rumble, A. C., &amp; Posey, D. C. (2002). The effects of envy on reciprocation in a social dilemma. </w:t>
      </w:r>
      <w:r w:rsidRPr="002414E9">
        <w:rPr>
          <w:rFonts w:eastAsia="DengXian" w:cs="Times New Roman"/>
          <w:bCs/>
          <w:i/>
          <w:iCs/>
          <w:noProof/>
          <w:lang w:eastAsia="zh-CN"/>
        </w:rPr>
        <w:t>Personality and Social Psychology Bulletin</w:t>
      </w:r>
      <w:r w:rsidRPr="002414E9">
        <w:rPr>
          <w:rFonts w:eastAsia="DengXian" w:cs="Times New Roman"/>
          <w:bCs/>
          <w:noProof/>
          <w:lang w:eastAsia="zh-CN"/>
        </w:rPr>
        <w:t xml:space="preserve">, </w:t>
      </w:r>
      <w:r w:rsidRPr="002414E9">
        <w:rPr>
          <w:rFonts w:eastAsia="DengXian" w:cs="Times New Roman"/>
          <w:bCs/>
          <w:i/>
          <w:iCs/>
          <w:noProof/>
          <w:lang w:eastAsia="zh-CN"/>
        </w:rPr>
        <w:t>28</w:t>
      </w:r>
      <w:r w:rsidRPr="002414E9">
        <w:rPr>
          <w:rFonts w:eastAsia="DengXian" w:cs="Times New Roman"/>
          <w:bCs/>
          <w:noProof/>
          <w:lang w:eastAsia="zh-CN"/>
        </w:rPr>
        <w:t>(4), 509–520. https://doi.org/10.1177/0146167202287008</w:t>
      </w:r>
    </w:p>
    <w:p w14:paraId="0DD8A775" w14:textId="653F5353"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Parks, C. D., Sanna, L. J., &amp; Berel, S. R. (2001). Actions of similar others as inducements to cooperate in social dilemmas. </w:t>
      </w:r>
      <w:r w:rsidRPr="002414E9">
        <w:rPr>
          <w:rFonts w:eastAsia="DengXian" w:cs="Times New Roman"/>
          <w:bCs/>
          <w:i/>
          <w:iCs/>
          <w:noProof/>
          <w:lang w:eastAsia="zh-CN"/>
        </w:rPr>
        <w:t>Personality and Social Psychology Bulletin</w:t>
      </w:r>
      <w:r w:rsidRPr="002414E9">
        <w:rPr>
          <w:rFonts w:eastAsia="DengXian" w:cs="Times New Roman"/>
          <w:bCs/>
          <w:noProof/>
          <w:lang w:eastAsia="zh-CN"/>
        </w:rPr>
        <w:t xml:space="preserve">, </w:t>
      </w:r>
      <w:r w:rsidRPr="002414E9">
        <w:rPr>
          <w:rFonts w:eastAsia="DengXian" w:cs="Times New Roman"/>
          <w:bCs/>
          <w:i/>
          <w:iCs/>
          <w:noProof/>
          <w:lang w:eastAsia="zh-CN"/>
        </w:rPr>
        <w:t>27</w:t>
      </w:r>
      <w:r w:rsidRPr="002414E9">
        <w:rPr>
          <w:rFonts w:eastAsia="DengXian" w:cs="Times New Roman"/>
          <w:bCs/>
          <w:noProof/>
          <w:lang w:eastAsia="zh-CN"/>
        </w:rPr>
        <w:t>(3), 345–354. https://doi.org/10.1177/0146167201273008</w:t>
      </w:r>
    </w:p>
    <w:p w14:paraId="4B9CE6AE" w14:textId="496C7141"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nl-NL" w:eastAsia="zh-CN"/>
        </w:rPr>
        <w:t xml:space="preserve">Pauwels, L., Declerck, C. H., &amp; Boone, C. (2017). </w:t>
      </w:r>
      <w:r w:rsidRPr="002414E9">
        <w:rPr>
          <w:rFonts w:eastAsia="DengXian" w:cs="Times New Roman"/>
          <w:bCs/>
          <w:noProof/>
          <w:lang w:eastAsia="zh-CN"/>
        </w:rPr>
        <w:t xml:space="preserve">Watching eyes and living up to expectations: Unkind, not kind, eyes increase first mover cooperation in a sequential prisoner’s dilemma. </w:t>
      </w:r>
      <w:r w:rsidRPr="002414E9">
        <w:rPr>
          <w:rFonts w:eastAsia="DengXian" w:cs="Times New Roman"/>
          <w:bCs/>
          <w:i/>
          <w:iCs/>
          <w:noProof/>
          <w:lang w:eastAsia="zh-CN"/>
        </w:rPr>
        <w:t>Games</w:t>
      </w:r>
      <w:r w:rsidRPr="002414E9">
        <w:rPr>
          <w:rFonts w:eastAsia="DengXian" w:cs="Times New Roman"/>
          <w:bCs/>
          <w:noProof/>
          <w:lang w:eastAsia="zh-CN"/>
        </w:rPr>
        <w:t xml:space="preserve">, </w:t>
      </w:r>
      <w:r w:rsidRPr="002414E9">
        <w:rPr>
          <w:rFonts w:eastAsia="DengXian" w:cs="Times New Roman"/>
          <w:bCs/>
          <w:i/>
          <w:iCs/>
          <w:noProof/>
          <w:lang w:eastAsia="zh-CN"/>
        </w:rPr>
        <w:t>8</w:t>
      </w:r>
      <w:r w:rsidRPr="002414E9">
        <w:rPr>
          <w:rFonts w:eastAsia="DengXian" w:cs="Times New Roman"/>
          <w:bCs/>
          <w:noProof/>
          <w:lang w:eastAsia="zh-CN"/>
        </w:rPr>
        <w:t>(2), 20–33. https://doi.org/10.3390/g8020020</w:t>
      </w:r>
    </w:p>
    <w:p w14:paraId="5D4A7D5F" w14:textId="6041B875" w:rsidR="002414E9" w:rsidRPr="002414E9" w:rsidRDefault="002414E9" w:rsidP="002414E9">
      <w:pPr>
        <w:widowControl w:val="0"/>
        <w:autoSpaceDE w:val="0"/>
        <w:autoSpaceDN w:val="0"/>
        <w:adjustRightInd w:val="0"/>
        <w:ind w:left="709" w:hanging="709"/>
        <w:rPr>
          <w:rFonts w:eastAsia="DengXian" w:cs="Times New Roman"/>
          <w:noProof/>
          <w:lang w:val="it-IT" w:eastAsia="zh-CN"/>
        </w:rPr>
      </w:pPr>
      <w:bookmarkStart w:id="97" w:name="_Hlk39261062"/>
      <w:bookmarkEnd w:id="96"/>
      <w:r w:rsidRPr="002414E9">
        <w:rPr>
          <w:rFonts w:eastAsia="DengXian" w:cs="Times New Roman"/>
          <w:noProof/>
          <w:lang w:eastAsia="zh-CN"/>
        </w:rPr>
        <w:t xml:space="preserve">Peeters, R., &amp; Vorsatz, M. (2013). Immaterial rewards and sanctions in a voluntary contribution experiment. </w:t>
      </w:r>
      <w:r w:rsidRPr="002414E9">
        <w:rPr>
          <w:rFonts w:eastAsia="DengXian" w:cs="Times New Roman"/>
          <w:i/>
          <w:iCs/>
          <w:noProof/>
          <w:lang w:val="it-IT" w:eastAsia="zh-CN"/>
        </w:rPr>
        <w:t>Economic Inquiry</w:t>
      </w:r>
      <w:r w:rsidRPr="002414E9">
        <w:rPr>
          <w:rFonts w:eastAsia="DengXian" w:cs="Times New Roman"/>
          <w:noProof/>
          <w:lang w:val="it-IT" w:eastAsia="zh-CN"/>
        </w:rPr>
        <w:t xml:space="preserve">, </w:t>
      </w:r>
      <w:r w:rsidRPr="002414E9">
        <w:rPr>
          <w:rFonts w:eastAsia="DengXian" w:cs="Times New Roman"/>
          <w:i/>
          <w:iCs/>
          <w:noProof/>
          <w:lang w:val="it-IT" w:eastAsia="zh-CN"/>
        </w:rPr>
        <w:t>51</w:t>
      </w:r>
      <w:r w:rsidRPr="002414E9">
        <w:rPr>
          <w:rFonts w:eastAsia="DengXian" w:cs="Times New Roman"/>
          <w:noProof/>
          <w:lang w:val="it-IT" w:eastAsia="zh-CN"/>
        </w:rPr>
        <w:t>(2), 1442–1456. https://doi.org/10.1111/j.1465-7295.2011.00433.x</w:t>
      </w:r>
    </w:p>
    <w:p w14:paraId="0DB88F64" w14:textId="544E4548"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it-IT" w:eastAsia="zh-CN"/>
        </w:rPr>
        <w:t xml:space="preserve">Pepitone, A., Faucheux, C., Moscovici, S., Cesa‐Bianchi, M., Magistretti, G., Iacono, G., ... </w:t>
      </w:r>
      <w:r w:rsidRPr="002414E9">
        <w:rPr>
          <w:rFonts w:eastAsia="DengXian" w:cs="Times New Roman"/>
          <w:bCs/>
          <w:noProof/>
          <w:lang w:eastAsia="zh-CN"/>
        </w:rPr>
        <w:t xml:space="preserve">&amp; Villone, G. (1967). The role of self-Esteem in competitive choice behavior. </w:t>
      </w:r>
      <w:r w:rsidRPr="002414E9">
        <w:rPr>
          <w:rFonts w:eastAsia="DengXian" w:cs="Times New Roman"/>
          <w:bCs/>
          <w:i/>
          <w:iCs/>
          <w:noProof/>
          <w:lang w:eastAsia="zh-CN"/>
        </w:rPr>
        <w:t>International Journal of Psychology</w:t>
      </w:r>
      <w:r w:rsidRPr="002414E9">
        <w:rPr>
          <w:rFonts w:eastAsia="DengXian" w:cs="Times New Roman"/>
          <w:bCs/>
          <w:noProof/>
          <w:lang w:eastAsia="zh-CN"/>
        </w:rPr>
        <w:t xml:space="preserve">, </w:t>
      </w:r>
      <w:r w:rsidRPr="002414E9">
        <w:rPr>
          <w:rFonts w:eastAsia="DengXian" w:cs="Times New Roman"/>
          <w:bCs/>
          <w:i/>
          <w:iCs/>
          <w:noProof/>
          <w:lang w:eastAsia="zh-CN"/>
        </w:rPr>
        <w:t>2</w:t>
      </w:r>
      <w:r w:rsidRPr="002414E9">
        <w:rPr>
          <w:rFonts w:eastAsia="DengXian" w:cs="Times New Roman"/>
          <w:bCs/>
          <w:noProof/>
          <w:lang w:eastAsia="zh-CN"/>
        </w:rPr>
        <w:t>(3), 147–159. https://doi.org/10.1080/00207596708247212</w:t>
      </w:r>
    </w:p>
    <w:p w14:paraId="7C6195B0" w14:textId="59C4C0C2"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it-IT" w:eastAsia="zh-CN"/>
        </w:rPr>
        <w:t xml:space="preserve">Pepitone, A., Maderna, A., Caporicci, E., Tiberi, E., Iacono, G., Majo, G. D., ... </w:t>
      </w:r>
      <w:r w:rsidRPr="002414E9">
        <w:rPr>
          <w:rFonts w:eastAsia="DengXian" w:cs="Times New Roman"/>
          <w:bCs/>
          <w:noProof/>
          <w:lang w:eastAsia="zh-CN"/>
        </w:rPr>
        <w:t xml:space="preserve">&amp; Fua, G. (1970). Justice in choice behavior: A cross-cultural analysis. </w:t>
      </w:r>
      <w:r w:rsidRPr="002414E9">
        <w:rPr>
          <w:rFonts w:eastAsia="DengXian" w:cs="Times New Roman"/>
          <w:bCs/>
          <w:i/>
          <w:iCs/>
          <w:noProof/>
          <w:lang w:eastAsia="zh-CN"/>
        </w:rPr>
        <w:t>International Journal of Psychology</w:t>
      </w:r>
      <w:r w:rsidRPr="002414E9">
        <w:rPr>
          <w:rFonts w:eastAsia="DengXian" w:cs="Times New Roman"/>
          <w:bCs/>
          <w:noProof/>
          <w:lang w:eastAsia="zh-CN"/>
        </w:rPr>
        <w:t>,</w:t>
      </w:r>
      <w:bookmarkStart w:id="98" w:name="_Hlk54113206"/>
      <w:r w:rsidRPr="002414E9">
        <w:rPr>
          <w:rFonts w:eastAsia="DengXian" w:cs="Times New Roman"/>
          <w:bCs/>
          <w:noProof/>
          <w:lang w:eastAsia="zh-CN"/>
        </w:rPr>
        <w:t xml:space="preserve"> </w:t>
      </w:r>
      <w:r w:rsidRPr="002414E9">
        <w:rPr>
          <w:rFonts w:eastAsia="DengXian" w:cs="Times New Roman"/>
          <w:bCs/>
          <w:i/>
          <w:iCs/>
          <w:noProof/>
          <w:lang w:eastAsia="zh-CN"/>
        </w:rPr>
        <w:t>5</w:t>
      </w:r>
      <w:r w:rsidRPr="002414E9">
        <w:rPr>
          <w:rFonts w:eastAsia="DengXian" w:cs="Times New Roman"/>
          <w:bCs/>
          <w:noProof/>
          <w:lang w:eastAsia="zh-CN"/>
        </w:rPr>
        <w:t xml:space="preserve">(1), </w:t>
      </w:r>
      <w:bookmarkEnd w:id="98"/>
      <w:r w:rsidRPr="002414E9">
        <w:rPr>
          <w:rFonts w:eastAsia="DengXian" w:cs="Times New Roman"/>
          <w:bCs/>
          <w:noProof/>
          <w:lang w:eastAsia="zh-CN"/>
        </w:rPr>
        <w:t xml:space="preserve">1–10. </w:t>
      </w:r>
      <w:bookmarkStart w:id="99" w:name="_Hlk54113200"/>
      <w:r w:rsidRPr="002414E9">
        <w:rPr>
          <w:rFonts w:eastAsia="DengXian" w:cs="Times New Roman"/>
          <w:bCs/>
          <w:noProof/>
          <w:lang w:eastAsia="zh-CN"/>
        </w:rPr>
        <w:t>https://doi.org/</w:t>
      </w:r>
      <w:bookmarkEnd w:id="99"/>
      <w:r w:rsidRPr="002414E9">
        <w:rPr>
          <w:rFonts w:eastAsia="DengXian" w:cs="Times New Roman"/>
          <w:bCs/>
          <w:noProof/>
          <w:lang w:eastAsia="zh-CN"/>
        </w:rPr>
        <w:t>10.1080/00207597008247285</w:t>
      </w:r>
    </w:p>
    <w:p w14:paraId="46B88124" w14:textId="6C23B80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Perugini, M., Tan, J. H. W., &amp; Zizzo, D. J. (2005). </w:t>
      </w:r>
      <w:r w:rsidRPr="002414E9">
        <w:rPr>
          <w:rFonts w:eastAsia="DengXian" w:cs="Times New Roman"/>
          <w:i/>
          <w:iCs/>
          <w:noProof/>
          <w:lang w:eastAsia="zh-CN"/>
        </w:rPr>
        <w:t xml:space="preserve">Which is the more predictable gender? Public </w:t>
      </w:r>
      <w:r w:rsidRPr="002414E9">
        <w:rPr>
          <w:rFonts w:eastAsia="DengXian" w:cs="Times New Roman"/>
          <w:i/>
          <w:iCs/>
          <w:noProof/>
          <w:lang w:eastAsia="zh-CN"/>
        </w:rPr>
        <w:lastRenderedPageBreak/>
        <w:t>good contribution and personality.</w:t>
      </w:r>
      <w:r w:rsidRPr="002414E9">
        <w:rPr>
          <w:rFonts w:eastAsia="DengXian" w:cs="Times New Roman"/>
          <w:noProof/>
          <w:lang w:eastAsia="zh-CN"/>
        </w:rPr>
        <w:t xml:space="preserve"> Retrieved from SSRN 676806. https://doi.org/10.2139/ssrn.676806</w:t>
      </w:r>
    </w:p>
    <w:p w14:paraId="2F3F13D4" w14:textId="3156DCE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Pfattheicher, S., &amp; Keller, J. (2013). Vigilant self–regulation and costly punishment in public goods situations. </w:t>
      </w:r>
      <w:r w:rsidRPr="002414E9">
        <w:rPr>
          <w:rFonts w:eastAsia="DengXian" w:cs="Times New Roman"/>
          <w:i/>
          <w:iCs/>
          <w:noProof/>
          <w:lang w:eastAsia="zh-CN"/>
        </w:rPr>
        <w:t>European Journal of Personality</w:t>
      </w:r>
      <w:r w:rsidRPr="002414E9">
        <w:rPr>
          <w:rFonts w:eastAsia="DengXian" w:cs="Times New Roman"/>
          <w:noProof/>
          <w:lang w:eastAsia="zh-CN"/>
        </w:rPr>
        <w:t xml:space="preserve">, </w:t>
      </w:r>
      <w:r w:rsidRPr="002414E9">
        <w:rPr>
          <w:rFonts w:eastAsia="DengXian" w:cs="Times New Roman"/>
          <w:i/>
          <w:iCs/>
          <w:noProof/>
          <w:lang w:eastAsia="zh-CN"/>
        </w:rPr>
        <w:t>27</w:t>
      </w:r>
      <w:r w:rsidRPr="002414E9">
        <w:rPr>
          <w:rFonts w:eastAsia="DengXian" w:cs="Times New Roman"/>
          <w:noProof/>
          <w:lang w:eastAsia="zh-CN"/>
        </w:rPr>
        <w:t>(4), 346–354. https://doi.org/10.1002/per.1909</w:t>
      </w:r>
    </w:p>
    <w:p w14:paraId="21E86603" w14:textId="6C662C90" w:rsidR="002414E9" w:rsidRPr="002414E9" w:rsidRDefault="002414E9" w:rsidP="002414E9">
      <w:pPr>
        <w:widowControl w:val="0"/>
        <w:autoSpaceDE w:val="0"/>
        <w:autoSpaceDN w:val="0"/>
        <w:adjustRightInd w:val="0"/>
        <w:ind w:left="709" w:hanging="709"/>
        <w:rPr>
          <w:rFonts w:eastAsia="DengXian" w:cs="Times New Roman"/>
          <w:noProof/>
          <w:lang w:val="en-GB" w:eastAsia="zh-CN"/>
        </w:rPr>
      </w:pPr>
      <w:r w:rsidRPr="002414E9">
        <w:rPr>
          <w:rFonts w:eastAsia="DengXian" w:cs="Times New Roman"/>
          <w:noProof/>
          <w:lang w:eastAsia="zh-CN"/>
        </w:rPr>
        <w:t xml:space="preserve">Pfattheicher, S., &amp; Keller, J. (2014). Towards a biopsychological understanding of costly punishment: The Role of Basal Cortisol. </w:t>
      </w:r>
      <w:r w:rsidRPr="002414E9">
        <w:rPr>
          <w:rFonts w:eastAsia="DengXian" w:cs="Times New Roman"/>
          <w:i/>
          <w:iCs/>
          <w:noProof/>
          <w:lang w:val="en-GB" w:eastAsia="zh-CN"/>
        </w:rPr>
        <w:t>PLoS ONE</w:t>
      </w:r>
      <w:r w:rsidRPr="002414E9">
        <w:rPr>
          <w:rFonts w:eastAsia="DengXian" w:cs="Times New Roman"/>
          <w:noProof/>
          <w:lang w:val="en-GB" w:eastAsia="zh-CN"/>
        </w:rPr>
        <w:t xml:space="preserve">, </w:t>
      </w:r>
      <w:r w:rsidRPr="002414E9">
        <w:rPr>
          <w:rFonts w:eastAsia="DengXian" w:cs="Times New Roman"/>
          <w:i/>
          <w:iCs/>
          <w:noProof/>
          <w:lang w:val="en-GB" w:eastAsia="zh-CN"/>
        </w:rPr>
        <w:t>9</w:t>
      </w:r>
      <w:r w:rsidRPr="002414E9">
        <w:rPr>
          <w:rFonts w:eastAsia="DengXian" w:cs="Times New Roman"/>
          <w:noProof/>
          <w:lang w:val="en-GB" w:eastAsia="zh-CN"/>
        </w:rPr>
        <w:t>(1), e85691. https://doi.org/10.1371/journal.pone.0085691</w:t>
      </w:r>
    </w:p>
    <w:p w14:paraId="6B9E4B31" w14:textId="26C8808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n-GB" w:eastAsia="zh-CN"/>
        </w:rPr>
        <w:t xml:space="preserve">Pfattheicher, S., &amp; Schindler, S. (2015). </w:t>
      </w:r>
      <w:r w:rsidRPr="002414E9">
        <w:rPr>
          <w:rFonts w:eastAsia="DengXian" w:cs="Times New Roman"/>
          <w:noProof/>
          <w:lang w:eastAsia="zh-CN"/>
        </w:rPr>
        <w:t xml:space="preserve">Understanding the dark side of costly punishment: The impact of individual differences in everyday sadism and existential threat. </w:t>
      </w:r>
      <w:r w:rsidRPr="002414E9">
        <w:rPr>
          <w:rFonts w:eastAsia="DengXian" w:cs="Times New Roman"/>
          <w:i/>
          <w:iCs/>
          <w:noProof/>
          <w:lang w:eastAsia="zh-CN"/>
        </w:rPr>
        <w:t>European Journal of Personality</w:t>
      </w:r>
      <w:r w:rsidRPr="002414E9">
        <w:rPr>
          <w:rFonts w:eastAsia="DengXian" w:cs="Times New Roman"/>
          <w:noProof/>
          <w:lang w:eastAsia="zh-CN"/>
        </w:rPr>
        <w:t xml:space="preserve">, </w:t>
      </w:r>
      <w:r w:rsidRPr="002414E9">
        <w:rPr>
          <w:rFonts w:eastAsia="DengXian" w:cs="Times New Roman"/>
          <w:i/>
          <w:iCs/>
          <w:noProof/>
          <w:lang w:eastAsia="zh-CN"/>
        </w:rPr>
        <w:t>29</w:t>
      </w:r>
      <w:r w:rsidRPr="002414E9">
        <w:rPr>
          <w:rFonts w:eastAsia="DengXian" w:cs="Times New Roman"/>
          <w:noProof/>
          <w:lang w:eastAsia="zh-CN"/>
        </w:rPr>
        <w:t>(4), 498–505. https://doi.org/10.1002/per.2003</w:t>
      </w:r>
    </w:p>
    <w:p w14:paraId="32B7894B" w14:textId="74F8A55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Pfattheicher, S., Keller, J., &amp; Knezevic, G. (2017). </w:t>
      </w:r>
      <w:r w:rsidRPr="002414E9">
        <w:rPr>
          <w:rFonts w:eastAsia="DengXian" w:cs="Times New Roman"/>
          <w:noProof/>
          <w:lang w:eastAsia="zh-CN"/>
        </w:rPr>
        <w:t xml:space="preserve">Sadism, the intuitive system, and antisocial punishment in the Public Goods Game. </w:t>
      </w:r>
      <w:r w:rsidRPr="002414E9">
        <w:rPr>
          <w:rFonts w:eastAsia="DengXian" w:cs="Times New Roman"/>
          <w:i/>
          <w:iCs/>
          <w:noProof/>
          <w:lang w:eastAsia="zh-CN"/>
        </w:rPr>
        <w:t>Personality and Social Psychology Bulletin</w:t>
      </w:r>
      <w:r w:rsidRPr="002414E9">
        <w:rPr>
          <w:rFonts w:eastAsia="DengXian" w:cs="Times New Roman"/>
          <w:noProof/>
          <w:lang w:eastAsia="zh-CN"/>
        </w:rPr>
        <w:t xml:space="preserve">, </w:t>
      </w:r>
      <w:r w:rsidRPr="002414E9">
        <w:rPr>
          <w:rFonts w:eastAsia="DengXian" w:cs="Times New Roman"/>
          <w:i/>
          <w:iCs/>
          <w:noProof/>
          <w:lang w:eastAsia="zh-CN"/>
        </w:rPr>
        <w:t>43</w:t>
      </w:r>
      <w:r w:rsidRPr="002414E9">
        <w:rPr>
          <w:rFonts w:eastAsia="DengXian" w:cs="Times New Roman"/>
          <w:noProof/>
          <w:lang w:eastAsia="zh-CN"/>
        </w:rPr>
        <w:t>(3), 337–346. https://doi.org/10.1177/0146167216684134</w:t>
      </w:r>
    </w:p>
    <w:p w14:paraId="461ACAB4" w14:textId="01EB1D8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Pfattheicher, S., Landhäußer, A., &amp; Keller, J. (2013). </w:t>
      </w:r>
      <w:r w:rsidRPr="002414E9">
        <w:rPr>
          <w:rFonts w:eastAsia="DengXian" w:cs="Times New Roman"/>
          <w:noProof/>
          <w:lang w:eastAsia="zh-CN"/>
        </w:rPr>
        <w:t xml:space="preserve">Individual differences in antisocial punishment in public goods situations: The interplay of cortisol with testosterone and dominance. </w:t>
      </w:r>
      <w:r w:rsidRPr="002414E9">
        <w:rPr>
          <w:rFonts w:eastAsia="DengXian" w:cs="Times New Roman"/>
          <w:i/>
          <w:iCs/>
          <w:noProof/>
          <w:lang w:eastAsia="zh-CN"/>
        </w:rPr>
        <w:t>Journal of Behavioral Decision Making, 27</w:t>
      </w:r>
      <w:r w:rsidRPr="002414E9">
        <w:rPr>
          <w:rFonts w:eastAsia="DengXian" w:cs="Times New Roman"/>
          <w:noProof/>
          <w:lang w:eastAsia="zh-CN"/>
        </w:rPr>
        <w:t>(4), 340–348. https://doi.org/10.1002/bdm.1811</w:t>
      </w:r>
    </w:p>
    <w:p w14:paraId="0CDF27AC" w14:textId="33D946E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fr-FR" w:eastAsia="zh-CN"/>
        </w:rPr>
        <w:t xml:space="preserve">Pillutla, M. M., &amp; Chen, X.-P. (1999). </w:t>
      </w:r>
      <w:r w:rsidRPr="002414E9">
        <w:rPr>
          <w:rFonts w:eastAsia="DengXian" w:cs="Times New Roman"/>
          <w:noProof/>
          <w:lang w:eastAsia="zh-CN"/>
        </w:rPr>
        <w:t xml:space="preserve">Social norms and cooperation in social dilemmas: The effects of context and feedback. </w:t>
      </w:r>
      <w:r w:rsidRPr="002414E9">
        <w:rPr>
          <w:rFonts w:eastAsia="DengXian" w:cs="Times New Roman"/>
          <w:i/>
          <w:iCs/>
          <w:noProof/>
          <w:lang w:eastAsia="zh-CN"/>
        </w:rPr>
        <w:t>Organizational Behavior and Human Decision Processes</w:t>
      </w:r>
      <w:r w:rsidRPr="002414E9">
        <w:rPr>
          <w:rFonts w:eastAsia="DengXian" w:cs="Times New Roman"/>
          <w:noProof/>
          <w:lang w:eastAsia="zh-CN"/>
        </w:rPr>
        <w:t xml:space="preserve">, </w:t>
      </w:r>
      <w:r w:rsidRPr="002414E9">
        <w:rPr>
          <w:rFonts w:eastAsia="DengXian" w:cs="Times New Roman"/>
          <w:i/>
          <w:iCs/>
          <w:noProof/>
          <w:lang w:eastAsia="zh-CN"/>
        </w:rPr>
        <w:t>78</w:t>
      </w:r>
      <w:r w:rsidRPr="002414E9">
        <w:rPr>
          <w:rFonts w:eastAsia="DengXian" w:cs="Times New Roman"/>
          <w:noProof/>
          <w:lang w:eastAsia="zh-CN"/>
        </w:rPr>
        <w:t>(2), 81–103. https://doi.org/10.1006/obhd.1999.2825</w:t>
      </w:r>
    </w:p>
    <w:p w14:paraId="6801A183" w14:textId="3182950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Pilny, A., Poole, M. S., Reichelmann, A., &amp; Klein, B. (2017). </w:t>
      </w:r>
      <w:r w:rsidRPr="002414E9">
        <w:rPr>
          <w:rFonts w:eastAsia="DengXian" w:cs="Times New Roman"/>
          <w:noProof/>
          <w:lang w:eastAsia="zh-CN"/>
        </w:rPr>
        <w:t xml:space="preserve">A structurational group decision-making perspective on the commons dilemma: results from an online public goods game. </w:t>
      </w:r>
      <w:r w:rsidRPr="002414E9">
        <w:rPr>
          <w:rFonts w:eastAsia="DengXian" w:cs="Times New Roman"/>
          <w:i/>
          <w:iCs/>
          <w:noProof/>
          <w:lang w:eastAsia="zh-CN"/>
        </w:rPr>
        <w:lastRenderedPageBreak/>
        <w:t>Journal of Applied Communication Research</w:t>
      </w:r>
      <w:r w:rsidRPr="002414E9">
        <w:rPr>
          <w:rFonts w:eastAsia="DengXian" w:cs="Times New Roman"/>
          <w:noProof/>
          <w:lang w:eastAsia="zh-CN"/>
        </w:rPr>
        <w:t xml:space="preserve">, </w:t>
      </w:r>
      <w:r w:rsidRPr="002414E9">
        <w:rPr>
          <w:rFonts w:eastAsia="DengXian" w:cs="Times New Roman"/>
          <w:i/>
          <w:iCs/>
          <w:noProof/>
          <w:lang w:eastAsia="zh-CN"/>
        </w:rPr>
        <w:t>45</w:t>
      </w:r>
      <w:r w:rsidRPr="002414E9">
        <w:rPr>
          <w:rFonts w:eastAsia="DengXian" w:cs="Times New Roman"/>
          <w:noProof/>
          <w:lang w:eastAsia="zh-CN"/>
        </w:rPr>
        <w:t>(4), 413–428. https://doi.org/10.1080/00909882.2017.1355559</w:t>
      </w:r>
    </w:p>
    <w:p w14:paraId="219E08FD" w14:textId="799B9DA8"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Pincus, J., &amp; Bixenstine, V. E. (1977). Cooperation in the decomposed prisoner's dilemma game: A question of revealing or concealing information.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21</w:t>
      </w:r>
      <w:r w:rsidRPr="002414E9">
        <w:rPr>
          <w:rFonts w:eastAsia="DengXian" w:cs="Times New Roman"/>
          <w:bCs/>
          <w:noProof/>
          <w:lang w:eastAsia="zh-CN"/>
        </w:rPr>
        <w:t>(3), 519–530. https://doi.org/10.1177/002200277702100308</w:t>
      </w:r>
    </w:p>
    <w:p w14:paraId="46CBA90D" w14:textId="61FC22C0"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Pinter, B., &amp; Wildschut, T. (2012). Self-interest masquerading as ingroup beneficence: Altruistic rationalization and interindividual–intergroup discontinuity. </w:t>
      </w:r>
      <w:r w:rsidRPr="002414E9">
        <w:rPr>
          <w:rFonts w:eastAsia="DengXian" w:cs="Times New Roman"/>
          <w:bCs/>
          <w:i/>
          <w:iCs/>
          <w:noProof/>
          <w:lang w:eastAsia="zh-CN"/>
        </w:rPr>
        <w:t>Small Group Research</w:t>
      </w:r>
      <w:r w:rsidRPr="002414E9">
        <w:rPr>
          <w:rFonts w:eastAsia="DengXian" w:cs="Times New Roman"/>
          <w:bCs/>
          <w:noProof/>
          <w:lang w:eastAsia="zh-CN"/>
        </w:rPr>
        <w:t xml:space="preserve">, </w:t>
      </w:r>
      <w:r w:rsidRPr="002414E9">
        <w:rPr>
          <w:rFonts w:eastAsia="DengXian" w:cs="Times New Roman"/>
          <w:bCs/>
          <w:i/>
          <w:iCs/>
          <w:noProof/>
          <w:lang w:eastAsia="zh-CN"/>
        </w:rPr>
        <w:t>43</w:t>
      </w:r>
      <w:r w:rsidRPr="002414E9">
        <w:rPr>
          <w:rFonts w:eastAsia="DengXian" w:cs="Times New Roman"/>
          <w:bCs/>
          <w:noProof/>
          <w:lang w:eastAsia="zh-CN"/>
        </w:rPr>
        <w:t>(1), 105–123. https://doi.org/10.1177/1046496411419016</w:t>
      </w:r>
    </w:p>
    <w:p w14:paraId="0E213B15" w14:textId="20CE0F2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Pogrebna, G., Krantz, D. H., Schade, C., &amp; Keser, C. (2011). </w:t>
      </w:r>
      <w:r w:rsidRPr="002414E9">
        <w:rPr>
          <w:rFonts w:eastAsia="DengXian" w:cs="Times New Roman"/>
          <w:noProof/>
          <w:lang w:eastAsia="zh-CN"/>
        </w:rPr>
        <w:t xml:space="preserve">Words versus actions as a means to influence cooperation in social dilemma situations. </w:t>
      </w:r>
      <w:r w:rsidRPr="002414E9">
        <w:rPr>
          <w:rFonts w:eastAsia="DengXian" w:cs="Times New Roman"/>
          <w:i/>
          <w:iCs/>
          <w:noProof/>
          <w:lang w:eastAsia="zh-CN"/>
        </w:rPr>
        <w:t>Theory and Decision</w:t>
      </w:r>
      <w:r w:rsidRPr="002414E9">
        <w:rPr>
          <w:rFonts w:eastAsia="DengXian" w:cs="Times New Roman"/>
          <w:noProof/>
          <w:lang w:eastAsia="zh-CN"/>
        </w:rPr>
        <w:t xml:space="preserve">, </w:t>
      </w:r>
      <w:r w:rsidRPr="002414E9">
        <w:rPr>
          <w:rFonts w:eastAsia="DengXian" w:cs="Times New Roman"/>
          <w:i/>
          <w:iCs/>
          <w:noProof/>
          <w:lang w:eastAsia="zh-CN"/>
        </w:rPr>
        <w:t>71</w:t>
      </w:r>
      <w:r w:rsidRPr="002414E9">
        <w:rPr>
          <w:rFonts w:eastAsia="DengXian" w:cs="Times New Roman"/>
          <w:noProof/>
          <w:lang w:eastAsia="zh-CN"/>
        </w:rPr>
        <w:t>(4), 473–502. https://doi.org/10.1007/s11238-011-9248-5</w:t>
      </w:r>
    </w:p>
    <w:p w14:paraId="2BE44290" w14:textId="1C28C24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Polman, E., &amp; Kim, S. H. (2013). Effects of anger, disgust, and sadness on sharing with others. </w:t>
      </w:r>
      <w:r w:rsidRPr="002414E9">
        <w:rPr>
          <w:rFonts w:eastAsia="DengXian" w:cs="Times New Roman"/>
          <w:i/>
          <w:iCs/>
          <w:noProof/>
          <w:lang w:eastAsia="zh-CN"/>
        </w:rPr>
        <w:t>Personality and Social Psychology Bulletin</w:t>
      </w:r>
      <w:r w:rsidRPr="002414E9">
        <w:rPr>
          <w:rFonts w:eastAsia="DengXian" w:cs="Times New Roman"/>
          <w:noProof/>
          <w:lang w:eastAsia="zh-CN"/>
        </w:rPr>
        <w:t xml:space="preserve">, </w:t>
      </w:r>
      <w:r w:rsidRPr="002414E9">
        <w:rPr>
          <w:rFonts w:eastAsia="DengXian" w:cs="Times New Roman"/>
          <w:i/>
          <w:iCs/>
          <w:noProof/>
          <w:lang w:eastAsia="zh-CN"/>
        </w:rPr>
        <w:t>39</w:t>
      </w:r>
      <w:r w:rsidRPr="002414E9">
        <w:rPr>
          <w:rFonts w:eastAsia="DengXian" w:cs="Times New Roman"/>
          <w:noProof/>
          <w:lang w:eastAsia="zh-CN"/>
        </w:rPr>
        <w:t>(12), 1683–1692. https://doi.org/10.1177/0146167213500998</w:t>
      </w:r>
    </w:p>
    <w:p w14:paraId="6EDA4F0C" w14:textId="62B21FF1" w:rsidR="002414E9" w:rsidRPr="002414E9" w:rsidRDefault="002414E9" w:rsidP="002414E9">
      <w:pPr>
        <w:widowControl w:val="0"/>
        <w:autoSpaceDE w:val="0"/>
        <w:autoSpaceDN w:val="0"/>
        <w:adjustRightInd w:val="0"/>
        <w:ind w:left="709" w:hanging="709"/>
        <w:rPr>
          <w:rFonts w:eastAsia="DengXian" w:cs="Times New Roman"/>
          <w:bCs/>
          <w:noProof/>
          <w:lang w:eastAsia="zh-CN"/>
        </w:rPr>
      </w:pPr>
      <w:bookmarkStart w:id="100" w:name="_Hlk74306552"/>
      <w:r w:rsidRPr="002414E9">
        <w:rPr>
          <w:rFonts w:eastAsia="DengXian" w:cs="Times New Roman"/>
          <w:bCs/>
          <w:noProof/>
          <w:lang w:eastAsia="zh-CN"/>
        </w:rPr>
        <w:t xml:space="preserve">Posard, M. N. (2015). </w:t>
      </w:r>
      <w:r w:rsidRPr="002414E9">
        <w:rPr>
          <w:rFonts w:eastAsia="DengXian" w:cs="Times New Roman"/>
          <w:bCs/>
          <w:i/>
          <w:iCs/>
          <w:noProof/>
          <w:lang w:eastAsia="zh-CN"/>
        </w:rPr>
        <w:t>Identity Processes, Social Context, and the Formation of Social Solidarity in Groups</w:t>
      </w:r>
      <w:r w:rsidRPr="002414E9">
        <w:rPr>
          <w:rFonts w:eastAsia="DengXian" w:cs="Times New Roman"/>
          <w:bCs/>
          <w:noProof/>
          <w:lang w:eastAsia="zh-CN"/>
        </w:rPr>
        <w:t xml:space="preserve"> (Publication No. 3725833) [Doctoral dissertation, University of Maryland]. ProQuest Dissertations Publishing.</w:t>
      </w:r>
    </w:p>
    <w:bookmarkEnd w:id="100"/>
    <w:p w14:paraId="48177D2A" w14:textId="66804DF2" w:rsidR="002414E9" w:rsidRPr="002414E9" w:rsidRDefault="002414E9" w:rsidP="002414E9">
      <w:pPr>
        <w:widowControl w:val="0"/>
        <w:autoSpaceDE w:val="0"/>
        <w:autoSpaceDN w:val="0"/>
        <w:adjustRightInd w:val="0"/>
        <w:ind w:left="709" w:hanging="709"/>
        <w:rPr>
          <w:rFonts w:eastAsia="DengXian" w:cs="Times New Roman"/>
          <w:bCs/>
          <w:noProof/>
          <w:u w:val="single"/>
          <w:lang w:eastAsia="zh-CN"/>
        </w:rPr>
      </w:pPr>
      <w:r w:rsidRPr="002414E9">
        <w:rPr>
          <w:rFonts w:eastAsia="DengXian" w:cs="Times New Roman"/>
          <w:bCs/>
          <w:noProof/>
          <w:lang w:eastAsia="zh-CN"/>
        </w:rPr>
        <w:t xml:space="preserve">Pothos, E. M., Perry, G., Corr, P. J., Matthew, M. R., &amp; Busemeyer, J. R. (2011). Understanding cooperation in the prisoner’s dilemma game. </w:t>
      </w:r>
      <w:r w:rsidRPr="002414E9">
        <w:rPr>
          <w:rFonts w:eastAsia="DengXian" w:cs="Times New Roman"/>
          <w:bCs/>
          <w:i/>
          <w:iCs/>
          <w:noProof/>
          <w:lang w:eastAsia="zh-CN"/>
        </w:rPr>
        <w:t>Personality and Individual Differences</w:t>
      </w:r>
      <w:r w:rsidRPr="002414E9">
        <w:rPr>
          <w:rFonts w:eastAsia="DengXian" w:cs="Times New Roman"/>
          <w:bCs/>
          <w:noProof/>
          <w:lang w:eastAsia="zh-CN"/>
        </w:rPr>
        <w:t xml:space="preserve">, </w:t>
      </w:r>
      <w:r w:rsidRPr="002414E9">
        <w:rPr>
          <w:rFonts w:eastAsia="DengXian" w:cs="Times New Roman"/>
          <w:bCs/>
          <w:i/>
          <w:iCs/>
          <w:noProof/>
          <w:lang w:eastAsia="zh-CN"/>
        </w:rPr>
        <w:t>51</w:t>
      </w:r>
      <w:r w:rsidRPr="002414E9">
        <w:rPr>
          <w:rFonts w:eastAsia="DengXian" w:cs="Times New Roman"/>
          <w:bCs/>
          <w:noProof/>
          <w:lang w:eastAsia="zh-CN"/>
        </w:rPr>
        <w:t>(3), 210–215. https://doi.org/10.1016/j.paid.2010.05.002</w:t>
      </w:r>
    </w:p>
    <w:bookmarkEnd w:id="97"/>
    <w:p w14:paraId="48298D33" w14:textId="633B1E3E"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Potters, J., Sefton, M., &amp; Vesterlund, L. (2005). </w:t>
      </w:r>
      <w:r w:rsidRPr="002414E9">
        <w:rPr>
          <w:rFonts w:eastAsia="DengXian" w:cs="Times New Roman"/>
          <w:bCs/>
          <w:noProof/>
          <w:lang w:eastAsia="zh-CN"/>
        </w:rPr>
        <w:t xml:space="preserve">After you—endogenous sequencing in voluntary contribution games. </w:t>
      </w:r>
      <w:r w:rsidRPr="002414E9">
        <w:rPr>
          <w:rFonts w:eastAsia="DengXian" w:cs="Times New Roman"/>
          <w:bCs/>
          <w:i/>
          <w:iCs/>
          <w:noProof/>
          <w:lang w:eastAsia="zh-CN"/>
        </w:rPr>
        <w:t>Journal of Public Economics</w:t>
      </w:r>
      <w:r w:rsidRPr="002414E9">
        <w:rPr>
          <w:rFonts w:eastAsia="DengXian" w:cs="Times New Roman"/>
          <w:bCs/>
          <w:noProof/>
          <w:lang w:eastAsia="zh-CN"/>
        </w:rPr>
        <w:t xml:space="preserve">, </w:t>
      </w:r>
      <w:r w:rsidRPr="002414E9">
        <w:rPr>
          <w:rFonts w:eastAsia="DengXian" w:cs="Times New Roman"/>
          <w:bCs/>
          <w:i/>
          <w:iCs/>
          <w:noProof/>
          <w:lang w:eastAsia="zh-CN"/>
        </w:rPr>
        <w:t>89</w:t>
      </w:r>
      <w:r w:rsidRPr="002414E9">
        <w:rPr>
          <w:rFonts w:eastAsia="DengXian" w:cs="Times New Roman"/>
          <w:bCs/>
          <w:noProof/>
          <w:lang w:eastAsia="zh-CN"/>
        </w:rPr>
        <w:t>(8), 1399–1419. https://doi.org/10.1016/j.jpubeco.2004.02.008</w:t>
      </w:r>
    </w:p>
    <w:p w14:paraId="5907C7BB" w14:textId="2C046308"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it-IT" w:eastAsia="zh-CN"/>
        </w:rPr>
        <w:lastRenderedPageBreak/>
        <w:t xml:space="preserve">Preston, J. L., &amp; Ritter, R. S. (2013). </w:t>
      </w:r>
      <w:r w:rsidRPr="002414E9">
        <w:rPr>
          <w:rFonts w:eastAsia="DengXian" w:cs="Times New Roman"/>
          <w:bCs/>
          <w:noProof/>
          <w:lang w:eastAsia="zh-CN"/>
        </w:rPr>
        <w:t xml:space="preserve">Different effects of religion and God on prosociality with the ingroup and outgroup. </w:t>
      </w:r>
      <w:r w:rsidRPr="002414E9">
        <w:rPr>
          <w:rFonts w:eastAsia="DengXian" w:cs="Times New Roman"/>
          <w:bCs/>
          <w:i/>
          <w:iCs/>
          <w:noProof/>
          <w:lang w:eastAsia="zh-CN"/>
        </w:rPr>
        <w:t>Personality and Social Psychology Bulletin</w:t>
      </w:r>
      <w:r w:rsidRPr="002414E9">
        <w:rPr>
          <w:rFonts w:eastAsia="DengXian" w:cs="Times New Roman"/>
          <w:bCs/>
          <w:noProof/>
          <w:lang w:eastAsia="zh-CN"/>
        </w:rPr>
        <w:t xml:space="preserve">, </w:t>
      </w:r>
      <w:r w:rsidRPr="002414E9">
        <w:rPr>
          <w:rFonts w:eastAsia="DengXian" w:cs="Times New Roman"/>
          <w:bCs/>
          <w:i/>
          <w:iCs/>
          <w:noProof/>
          <w:lang w:eastAsia="zh-CN"/>
        </w:rPr>
        <w:t>39</w:t>
      </w:r>
      <w:r w:rsidRPr="002414E9">
        <w:rPr>
          <w:rFonts w:eastAsia="DengXian" w:cs="Times New Roman"/>
          <w:bCs/>
          <w:noProof/>
          <w:lang w:eastAsia="zh-CN"/>
        </w:rPr>
        <w:t>(11), 1471–1483. https://doi.org/10.1177/0146167213499937</w:t>
      </w:r>
      <w:bookmarkStart w:id="101" w:name="_Hlk54171054"/>
      <w:bookmarkStart w:id="102" w:name="_Hlk48057026"/>
    </w:p>
    <w:p w14:paraId="1A86278E" w14:textId="14CB861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Protzko, J., Ouimette, B., &amp; Schooler, J. (2016). Believing there is no free will corrupts intuitive cooperation. </w:t>
      </w:r>
      <w:r w:rsidRPr="002414E9">
        <w:rPr>
          <w:rFonts w:eastAsia="DengXian" w:cs="Times New Roman"/>
          <w:i/>
          <w:iCs/>
          <w:noProof/>
          <w:lang w:eastAsia="zh-CN"/>
        </w:rPr>
        <w:t>Cognition</w:t>
      </w:r>
      <w:r w:rsidRPr="002414E9">
        <w:rPr>
          <w:rFonts w:eastAsia="DengXian" w:cs="Times New Roman"/>
          <w:noProof/>
          <w:lang w:eastAsia="zh-CN"/>
        </w:rPr>
        <w:t xml:space="preserve">, </w:t>
      </w:r>
      <w:r w:rsidRPr="002414E9">
        <w:rPr>
          <w:rFonts w:eastAsia="DengXian" w:cs="Times New Roman"/>
          <w:i/>
          <w:iCs/>
          <w:noProof/>
          <w:lang w:eastAsia="zh-CN"/>
        </w:rPr>
        <w:t>151</w:t>
      </w:r>
      <w:r w:rsidRPr="002414E9">
        <w:rPr>
          <w:rFonts w:eastAsia="DengXian" w:cs="Times New Roman"/>
          <w:noProof/>
          <w:lang w:eastAsia="zh-CN"/>
        </w:rPr>
        <w:t>, 6–9. https://doi.org/10.1016/j.cognition.2016.02.014</w:t>
      </w:r>
    </w:p>
    <w:bookmarkEnd w:id="101"/>
    <w:bookmarkEnd w:id="102"/>
    <w:p w14:paraId="27A83C2B" w14:textId="5EE3A35A"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Pruitt, D. G. (1967). Reward structure and cooperation: The decomposed Prisoner's Dilemma game. </w:t>
      </w:r>
      <w:r w:rsidRPr="002414E9">
        <w:rPr>
          <w:rFonts w:eastAsia="DengXian" w:cs="Times New Roman"/>
          <w:bCs/>
          <w:i/>
          <w:iCs/>
          <w:noProof/>
          <w:lang w:eastAsia="zh-CN"/>
        </w:rPr>
        <w:t>Journal of Personality and Social Psychology, 7</w:t>
      </w:r>
      <w:r w:rsidRPr="002414E9">
        <w:rPr>
          <w:rFonts w:eastAsia="DengXian" w:cs="Times New Roman"/>
          <w:bCs/>
          <w:noProof/>
          <w:lang w:eastAsia="zh-CN"/>
        </w:rPr>
        <w:t>(1, Pt.1), 21–27. https://doi.org/10.1037/h0024914</w:t>
      </w:r>
    </w:p>
    <w:p w14:paraId="6608452E" w14:textId="195EA91B" w:rsidR="002414E9" w:rsidRPr="002414E9" w:rsidRDefault="002414E9" w:rsidP="002414E9">
      <w:pPr>
        <w:widowControl w:val="0"/>
        <w:autoSpaceDE w:val="0"/>
        <w:autoSpaceDN w:val="0"/>
        <w:adjustRightInd w:val="0"/>
        <w:ind w:left="709" w:hanging="709"/>
        <w:rPr>
          <w:rFonts w:eastAsia="DengXian" w:cs="Times New Roman"/>
          <w:bCs/>
          <w:noProof/>
          <w:lang w:val="nl-NL" w:eastAsia="zh-CN"/>
        </w:rPr>
      </w:pPr>
      <w:r w:rsidRPr="002414E9">
        <w:rPr>
          <w:rFonts w:eastAsia="DengXian" w:cs="Times New Roman"/>
          <w:bCs/>
          <w:noProof/>
          <w:lang w:eastAsia="zh-CN"/>
        </w:rPr>
        <w:t xml:space="preserve">Pulcu, E., Thomas, E. J., Trotter, P. D., McFarquhar, M., Juhász, G., Sahakian, B. J., ... &amp; Elliott, R. (2015). Social-economical decision making in current and remitted major depression. </w:t>
      </w:r>
      <w:r w:rsidRPr="002414E9">
        <w:rPr>
          <w:rFonts w:eastAsia="DengXian" w:cs="Times New Roman"/>
          <w:bCs/>
          <w:i/>
          <w:iCs/>
          <w:noProof/>
          <w:lang w:val="nl-NL" w:eastAsia="zh-CN"/>
        </w:rPr>
        <w:t>Psychological Medicine</w:t>
      </w:r>
      <w:r w:rsidRPr="002414E9">
        <w:rPr>
          <w:rFonts w:eastAsia="DengXian" w:cs="Times New Roman"/>
          <w:bCs/>
          <w:noProof/>
          <w:lang w:val="nl-NL" w:eastAsia="zh-CN"/>
        </w:rPr>
        <w:t xml:space="preserve">, </w:t>
      </w:r>
      <w:r w:rsidRPr="002414E9">
        <w:rPr>
          <w:rFonts w:eastAsia="DengXian" w:cs="Times New Roman"/>
          <w:bCs/>
          <w:i/>
          <w:iCs/>
          <w:noProof/>
          <w:lang w:val="nl-NL" w:eastAsia="zh-CN"/>
        </w:rPr>
        <w:t>45</w:t>
      </w:r>
      <w:r w:rsidRPr="002414E9">
        <w:rPr>
          <w:rFonts w:eastAsia="DengXian" w:cs="Times New Roman"/>
          <w:bCs/>
          <w:noProof/>
          <w:lang w:val="nl-NL" w:eastAsia="zh-CN"/>
        </w:rPr>
        <w:t>(6), 1301–1313. https://doi.org/10.1017/S0033291714002414</w:t>
      </w:r>
    </w:p>
    <w:p w14:paraId="6652E5BA" w14:textId="7ABA06A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Putterman, L., Tyran, J.-R., &amp; Kamei, K. (2011). </w:t>
      </w:r>
      <w:r w:rsidRPr="002414E9">
        <w:rPr>
          <w:rFonts w:eastAsia="DengXian" w:cs="Times New Roman"/>
          <w:noProof/>
          <w:lang w:eastAsia="zh-CN"/>
        </w:rPr>
        <w:t xml:space="preserve">Public goods and voting on formal sanction schemes.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95</w:t>
      </w:r>
      <w:r w:rsidRPr="002414E9">
        <w:rPr>
          <w:rFonts w:eastAsia="DengXian" w:cs="Times New Roman"/>
          <w:noProof/>
          <w:lang w:eastAsia="zh-CN"/>
        </w:rPr>
        <w:t>(9–10), 1213–1222. https://doi.org/10.1016/j.jpubeco.2011.05.001</w:t>
      </w:r>
    </w:p>
    <w:p w14:paraId="1543FF9E" w14:textId="50BC589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Puurtinen, M., Heap, S., &amp; Mappes, T. (2015). </w:t>
      </w:r>
      <w:r w:rsidRPr="002414E9">
        <w:rPr>
          <w:rFonts w:eastAsia="DengXian" w:cs="Times New Roman"/>
          <w:noProof/>
          <w:lang w:eastAsia="zh-CN"/>
        </w:rPr>
        <w:t xml:space="preserve">The joint emergence of group competition and within-group cooperation. </w:t>
      </w:r>
      <w:r w:rsidRPr="002414E9">
        <w:rPr>
          <w:rFonts w:eastAsia="DengXian" w:cs="Times New Roman"/>
          <w:i/>
          <w:iCs/>
          <w:noProof/>
          <w:lang w:eastAsia="zh-CN"/>
        </w:rPr>
        <w:t>Evolution and Human Behavior</w:t>
      </w:r>
      <w:r w:rsidRPr="002414E9">
        <w:rPr>
          <w:rFonts w:eastAsia="DengXian" w:cs="Times New Roman"/>
          <w:noProof/>
          <w:lang w:eastAsia="zh-CN"/>
        </w:rPr>
        <w:t xml:space="preserve">, </w:t>
      </w:r>
      <w:r w:rsidRPr="002414E9">
        <w:rPr>
          <w:rFonts w:eastAsia="DengXian" w:cs="Times New Roman"/>
          <w:i/>
          <w:iCs/>
          <w:noProof/>
          <w:lang w:eastAsia="zh-CN"/>
        </w:rPr>
        <w:t>36</w:t>
      </w:r>
      <w:r w:rsidRPr="002414E9">
        <w:rPr>
          <w:rFonts w:eastAsia="DengXian" w:cs="Times New Roman"/>
          <w:noProof/>
          <w:lang w:eastAsia="zh-CN"/>
        </w:rPr>
        <w:t>(3), 211–217. https://doi.org/10.1016/j.evolhumbehav.2014.11.005</w:t>
      </w:r>
    </w:p>
    <w:p w14:paraId="05652D60" w14:textId="09754AF7"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Radinsky, T. L., &amp; Myers, D. G. (1968). The influence of an advantaged third person on collaboration in a prisoner’s dilemma game. </w:t>
      </w:r>
      <w:r w:rsidRPr="002414E9">
        <w:rPr>
          <w:rFonts w:eastAsia="DengXian" w:cs="Times New Roman"/>
          <w:bCs/>
          <w:i/>
          <w:iCs/>
          <w:noProof/>
          <w:lang w:eastAsia="zh-CN"/>
        </w:rPr>
        <w:t>Psychonomic Science</w:t>
      </w:r>
      <w:r w:rsidRPr="002414E9">
        <w:rPr>
          <w:rFonts w:eastAsia="DengXian" w:cs="Times New Roman"/>
          <w:bCs/>
          <w:noProof/>
          <w:lang w:eastAsia="zh-CN"/>
        </w:rPr>
        <w:t xml:space="preserve">, </w:t>
      </w:r>
      <w:r w:rsidRPr="002414E9">
        <w:rPr>
          <w:rFonts w:eastAsia="DengXian" w:cs="Times New Roman"/>
          <w:bCs/>
          <w:i/>
          <w:iCs/>
          <w:noProof/>
          <w:lang w:eastAsia="zh-CN"/>
        </w:rPr>
        <w:t>13</w:t>
      </w:r>
      <w:r w:rsidRPr="002414E9">
        <w:rPr>
          <w:rFonts w:eastAsia="DengXian" w:cs="Times New Roman"/>
          <w:bCs/>
          <w:noProof/>
          <w:lang w:eastAsia="zh-CN"/>
        </w:rPr>
        <w:t>(6), 329–330. https://doi.org/10.3758/BF03342610</w:t>
      </w:r>
    </w:p>
    <w:p w14:paraId="158A8109" w14:textId="320A01F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Ramalingam, A., Godoy, S., Morales, A. J., &amp; Walker, J. M. (2016). An individualistic approach to institution formation in public good games.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129</w:t>
      </w:r>
      <w:r w:rsidRPr="002414E9">
        <w:rPr>
          <w:rFonts w:eastAsia="DengXian" w:cs="Times New Roman"/>
          <w:noProof/>
          <w:lang w:eastAsia="zh-CN"/>
        </w:rPr>
        <w:t>, 18–36. https://doi.org/10.1016/j.jebo.2016.06.003</w:t>
      </w:r>
    </w:p>
    <w:p w14:paraId="7D8502D8" w14:textId="44F9E78D"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lastRenderedPageBreak/>
        <w:t xml:space="preserve">Ramsøy, T. Z., Skov, M., Macoveanu, J., Siebner, H. R., &amp; Fosgaard, T. R. (2015). Empathy as a neuropsychological heuristic in social decision-making. </w:t>
      </w:r>
      <w:r w:rsidRPr="002414E9">
        <w:rPr>
          <w:rFonts w:eastAsia="DengXian" w:cs="Times New Roman"/>
          <w:bCs/>
          <w:i/>
          <w:iCs/>
          <w:noProof/>
          <w:lang w:eastAsia="zh-CN"/>
        </w:rPr>
        <w:t>Social Neuroscience</w:t>
      </w:r>
      <w:r w:rsidRPr="002414E9">
        <w:rPr>
          <w:rFonts w:eastAsia="DengXian" w:cs="Times New Roman"/>
          <w:bCs/>
          <w:noProof/>
          <w:lang w:eastAsia="zh-CN"/>
        </w:rPr>
        <w:t xml:space="preserve">, </w:t>
      </w:r>
      <w:r w:rsidRPr="002414E9">
        <w:rPr>
          <w:rFonts w:eastAsia="DengXian" w:cs="Times New Roman"/>
          <w:bCs/>
          <w:i/>
          <w:iCs/>
          <w:noProof/>
          <w:lang w:eastAsia="zh-CN"/>
        </w:rPr>
        <w:t>10</w:t>
      </w:r>
      <w:r w:rsidRPr="002414E9">
        <w:rPr>
          <w:rFonts w:eastAsia="DengXian" w:cs="Times New Roman"/>
          <w:bCs/>
          <w:noProof/>
          <w:lang w:eastAsia="zh-CN"/>
        </w:rPr>
        <w:t>(2), 179–191. https://doi.org/10.1080/17470919.2014.965341</w:t>
      </w:r>
    </w:p>
    <w:p w14:paraId="72CB0ABB" w14:textId="4234D40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Rand, D. G., &amp; Kraft-Todd, G. T. (2014). </w:t>
      </w:r>
      <w:r w:rsidRPr="002414E9">
        <w:rPr>
          <w:rFonts w:eastAsia="DengXian" w:cs="Times New Roman"/>
          <w:noProof/>
          <w:lang w:eastAsia="zh-CN"/>
        </w:rPr>
        <w:t xml:space="preserve">Reflection does not undermine self-interested prosociality. </w:t>
      </w:r>
      <w:r w:rsidRPr="002414E9">
        <w:rPr>
          <w:rFonts w:eastAsia="DengXian" w:cs="Times New Roman"/>
          <w:i/>
          <w:iCs/>
          <w:noProof/>
          <w:lang w:eastAsia="zh-CN"/>
        </w:rPr>
        <w:t>Frontiers in Behavioral Neuroscience</w:t>
      </w:r>
      <w:r w:rsidRPr="002414E9">
        <w:rPr>
          <w:rFonts w:eastAsia="DengXian" w:cs="Times New Roman"/>
          <w:noProof/>
          <w:lang w:eastAsia="zh-CN"/>
        </w:rPr>
        <w:t xml:space="preserve">, </w:t>
      </w:r>
      <w:r w:rsidRPr="002414E9">
        <w:rPr>
          <w:rFonts w:eastAsia="DengXian" w:cs="Times New Roman"/>
          <w:i/>
          <w:iCs/>
          <w:noProof/>
          <w:lang w:eastAsia="zh-CN"/>
        </w:rPr>
        <w:t>8</w:t>
      </w:r>
      <w:r w:rsidRPr="002414E9">
        <w:rPr>
          <w:rFonts w:eastAsia="DengXian" w:cs="Times New Roman"/>
          <w:noProof/>
          <w:lang w:eastAsia="zh-CN"/>
        </w:rPr>
        <w:t>, 300. https://doi.org/10.3389/fnbeh.2014.00300</w:t>
      </w:r>
    </w:p>
    <w:p w14:paraId="0DAFD835" w14:textId="17494AE2"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Rand, D. G., Dreber, A., Haque, O. S., Kane, R. J., Nowak, M. A., &amp; Coakley, S. (2014). Religious motivations for cooperation: an experimental investigation using explicit primes. </w:t>
      </w:r>
      <w:r w:rsidRPr="002414E9">
        <w:rPr>
          <w:rFonts w:eastAsia="DengXian" w:cs="Times New Roman"/>
          <w:bCs/>
          <w:i/>
          <w:iCs/>
          <w:noProof/>
          <w:lang w:eastAsia="zh-CN"/>
        </w:rPr>
        <w:t>Religion, Brain &amp; Behavior</w:t>
      </w:r>
      <w:r w:rsidRPr="002414E9">
        <w:rPr>
          <w:rFonts w:eastAsia="DengXian" w:cs="Times New Roman"/>
          <w:bCs/>
          <w:noProof/>
          <w:lang w:eastAsia="zh-CN"/>
        </w:rPr>
        <w:t xml:space="preserve">, </w:t>
      </w:r>
      <w:r w:rsidRPr="002414E9">
        <w:rPr>
          <w:rFonts w:eastAsia="DengXian" w:cs="Times New Roman"/>
          <w:bCs/>
          <w:i/>
          <w:iCs/>
          <w:noProof/>
          <w:lang w:eastAsia="zh-CN"/>
        </w:rPr>
        <w:t>4</w:t>
      </w:r>
      <w:r w:rsidRPr="002414E9">
        <w:rPr>
          <w:rFonts w:eastAsia="DengXian" w:cs="Times New Roman"/>
          <w:bCs/>
          <w:noProof/>
          <w:lang w:eastAsia="zh-CN"/>
        </w:rPr>
        <w:t>(1), 31–48. https://doi.org/10.1080/2153599X.2013.775664</w:t>
      </w:r>
    </w:p>
    <w:p w14:paraId="2E061B15" w14:textId="71CA6C62" w:rsidR="002414E9" w:rsidRPr="002414E9" w:rsidRDefault="002414E9" w:rsidP="002414E9">
      <w:pPr>
        <w:widowControl w:val="0"/>
        <w:autoSpaceDE w:val="0"/>
        <w:autoSpaceDN w:val="0"/>
        <w:adjustRightInd w:val="0"/>
        <w:ind w:left="709" w:hanging="709"/>
        <w:rPr>
          <w:rFonts w:eastAsia="DengXian" w:cs="Times New Roman"/>
          <w:noProof/>
          <w:lang w:val="de-DE" w:eastAsia="zh-CN"/>
        </w:rPr>
      </w:pPr>
      <w:bookmarkStart w:id="103" w:name="_Hlk74136161"/>
      <w:r w:rsidRPr="002414E9">
        <w:rPr>
          <w:rFonts w:eastAsia="DengXian" w:cs="Times New Roman"/>
          <w:noProof/>
          <w:lang w:eastAsia="zh-CN"/>
        </w:rPr>
        <w:t xml:space="preserve">Rand, D. G., Greene, J. D., &amp; Nowak, M. A. (2012). Spontaneous giving and calculated greed. </w:t>
      </w:r>
      <w:r w:rsidRPr="002414E9">
        <w:rPr>
          <w:rFonts w:eastAsia="DengXian" w:cs="Times New Roman"/>
          <w:i/>
          <w:iCs/>
          <w:noProof/>
          <w:lang w:val="de-DE" w:eastAsia="zh-CN"/>
        </w:rPr>
        <w:t>Nature</w:t>
      </w:r>
      <w:r w:rsidRPr="002414E9">
        <w:rPr>
          <w:rFonts w:eastAsia="DengXian" w:cs="Times New Roman"/>
          <w:noProof/>
          <w:lang w:val="de-DE" w:eastAsia="zh-CN"/>
        </w:rPr>
        <w:t xml:space="preserve">, </w:t>
      </w:r>
      <w:r w:rsidRPr="002414E9">
        <w:rPr>
          <w:rFonts w:eastAsia="DengXian" w:cs="Times New Roman"/>
          <w:i/>
          <w:iCs/>
          <w:noProof/>
          <w:lang w:val="de-DE" w:eastAsia="zh-CN"/>
        </w:rPr>
        <w:t>489</w:t>
      </w:r>
      <w:r w:rsidRPr="002414E9">
        <w:rPr>
          <w:rFonts w:eastAsia="DengXian" w:cs="Times New Roman"/>
          <w:noProof/>
          <w:lang w:val="de-DE" w:eastAsia="zh-CN"/>
        </w:rPr>
        <w:t>(7416), 427–430. https://doi.org/10.1038/nature11467</w:t>
      </w:r>
    </w:p>
    <w:p w14:paraId="3B49C674" w14:textId="7DACD2D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Rand, D. G., Newman, G. E., &amp; Wurzbacher, O. M. (2015). </w:t>
      </w:r>
      <w:r w:rsidRPr="002414E9">
        <w:rPr>
          <w:rFonts w:eastAsia="DengXian" w:cs="Times New Roman"/>
          <w:noProof/>
          <w:lang w:eastAsia="zh-CN"/>
        </w:rPr>
        <w:t xml:space="preserve">Social context and the dynamics of cooperative choice. </w:t>
      </w:r>
      <w:r w:rsidRPr="002414E9">
        <w:rPr>
          <w:rFonts w:eastAsia="DengXian" w:cs="Times New Roman"/>
          <w:i/>
          <w:iCs/>
          <w:noProof/>
          <w:lang w:eastAsia="zh-CN"/>
        </w:rPr>
        <w:t>Journal of Behavioral Decision Making</w:t>
      </w:r>
      <w:r w:rsidRPr="002414E9">
        <w:rPr>
          <w:rFonts w:eastAsia="DengXian" w:cs="Times New Roman"/>
          <w:noProof/>
          <w:lang w:eastAsia="zh-CN"/>
        </w:rPr>
        <w:t xml:space="preserve">, </w:t>
      </w:r>
      <w:r w:rsidRPr="002414E9">
        <w:rPr>
          <w:rFonts w:eastAsia="DengXian" w:cs="Times New Roman"/>
          <w:i/>
          <w:iCs/>
          <w:noProof/>
          <w:lang w:eastAsia="zh-CN"/>
        </w:rPr>
        <w:t>28</w:t>
      </w:r>
      <w:r w:rsidRPr="002414E9">
        <w:rPr>
          <w:rFonts w:eastAsia="DengXian" w:cs="Times New Roman"/>
          <w:noProof/>
          <w:lang w:eastAsia="zh-CN"/>
        </w:rPr>
        <w:t>(2), 159–166. https://doi.org/10.1002/bdm.1837</w:t>
      </w:r>
    </w:p>
    <w:p w14:paraId="184F111B" w14:textId="6A21DAB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Rantapuska, E., Freese, R., Jääskeläinen, I. P., &amp; Hytönen, K. (2017). Does short-term hunger increase trust and trustworthiness in a high trust society? </w:t>
      </w:r>
      <w:r w:rsidRPr="002414E9">
        <w:rPr>
          <w:rFonts w:eastAsia="DengXian" w:cs="Times New Roman"/>
          <w:i/>
          <w:iCs/>
          <w:noProof/>
          <w:lang w:eastAsia="zh-CN"/>
        </w:rPr>
        <w:t>Frontiers in Psychology</w:t>
      </w:r>
      <w:r w:rsidRPr="002414E9">
        <w:rPr>
          <w:rFonts w:eastAsia="DengXian" w:cs="Times New Roman"/>
          <w:noProof/>
          <w:lang w:eastAsia="zh-CN"/>
        </w:rPr>
        <w:t xml:space="preserve">, </w:t>
      </w:r>
      <w:r w:rsidRPr="002414E9">
        <w:rPr>
          <w:rFonts w:eastAsia="DengXian" w:cs="Times New Roman"/>
          <w:i/>
          <w:iCs/>
          <w:noProof/>
          <w:lang w:eastAsia="zh-CN"/>
        </w:rPr>
        <w:t>8</w:t>
      </w:r>
      <w:r w:rsidRPr="002414E9">
        <w:rPr>
          <w:rFonts w:eastAsia="DengXian" w:cs="Times New Roman"/>
          <w:noProof/>
          <w:lang w:eastAsia="zh-CN"/>
        </w:rPr>
        <w:t>, 1944. https://doi.org/10.3389/fpsyg.2017.01944</w:t>
      </w:r>
    </w:p>
    <w:p w14:paraId="13EE7E40" w14:textId="0FEF11B9"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Rapoport, A. (1988a). Experiments with N-person social traps II: Tragedy of the commons.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32</w:t>
      </w:r>
      <w:r w:rsidRPr="002414E9">
        <w:rPr>
          <w:rFonts w:eastAsia="DengXian" w:cs="Times New Roman"/>
          <w:bCs/>
          <w:noProof/>
          <w:lang w:eastAsia="zh-CN"/>
        </w:rPr>
        <w:t>(3), 473–488. https://doi.org/10.1177/0022002788032003004</w:t>
      </w:r>
    </w:p>
    <w:p w14:paraId="3F6E222F" w14:textId="6187976F"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Rapoport, A. (1988b). Experiments with N-person social traps I: Prisoner's dilemma, weak prisoner's dilemma, volunteer's dilemma, and largest number. </w:t>
      </w:r>
      <w:r w:rsidRPr="002414E9">
        <w:rPr>
          <w:rFonts w:eastAsia="DengXian" w:cs="Times New Roman"/>
          <w:bCs/>
          <w:i/>
          <w:iCs/>
          <w:noProof/>
          <w:lang w:eastAsia="zh-CN"/>
        </w:rPr>
        <w:t xml:space="preserve">Journal of Conflict </w:t>
      </w:r>
      <w:r w:rsidRPr="002414E9">
        <w:rPr>
          <w:rFonts w:eastAsia="DengXian" w:cs="Times New Roman"/>
          <w:bCs/>
          <w:i/>
          <w:iCs/>
          <w:noProof/>
          <w:lang w:eastAsia="zh-CN"/>
        </w:rPr>
        <w:lastRenderedPageBreak/>
        <w:t>Resolution</w:t>
      </w:r>
      <w:r w:rsidRPr="002414E9">
        <w:rPr>
          <w:rFonts w:eastAsia="DengXian" w:cs="Times New Roman"/>
          <w:bCs/>
          <w:noProof/>
          <w:lang w:eastAsia="zh-CN"/>
        </w:rPr>
        <w:t xml:space="preserve">, </w:t>
      </w:r>
      <w:r w:rsidRPr="002414E9">
        <w:rPr>
          <w:rFonts w:eastAsia="DengXian" w:cs="Times New Roman"/>
          <w:bCs/>
          <w:i/>
          <w:iCs/>
          <w:noProof/>
          <w:lang w:eastAsia="zh-CN"/>
        </w:rPr>
        <w:t>32</w:t>
      </w:r>
      <w:r w:rsidRPr="002414E9">
        <w:rPr>
          <w:rFonts w:eastAsia="DengXian" w:cs="Times New Roman"/>
          <w:bCs/>
          <w:noProof/>
          <w:lang w:eastAsia="zh-CN"/>
        </w:rPr>
        <w:t>(3), 457–472. https://doi.org/10.1177/0022002788032003003</w:t>
      </w:r>
    </w:p>
    <w:p w14:paraId="7F22431B" w14:textId="115154B9"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Rapoport, A. (1997). Order of play in strategically equivalent games in extensive form. </w:t>
      </w:r>
      <w:r w:rsidRPr="002414E9">
        <w:rPr>
          <w:rFonts w:eastAsia="DengXian" w:cs="Times New Roman"/>
          <w:bCs/>
          <w:i/>
          <w:iCs/>
          <w:noProof/>
          <w:lang w:eastAsia="zh-CN"/>
        </w:rPr>
        <w:t>International Journal of Game Theory</w:t>
      </w:r>
      <w:r w:rsidRPr="002414E9">
        <w:rPr>
          <w:rFonts w:eastAsia="DengXian" w:cs="Times New Roman"/>
          <w:bCs/>
          <w:noProof/>
          <w:lang w:eastAsia="zh-CN"/>
        </w:rPr>
        <w:t xml:space="preserve">, </w:t>
      </w:r>
      <w:r w:rsidRPr="002414E9">
        <w:rPr>
          <w:rFonts w:eastAsia="DengXian" w:cs="Times New Roman"/>
          <w:bCs/>
          <w:i/>
          <w:iCs/>
          <w:noProof/>
          <w:lang w:eastAsia="zh-CN"/>
        </w:rPr>
        <w:t>26</w:t>
      </w:r>
      <w:r w:rsidRPr="002414E9">
        <w:rPr>
          <w:rFonts w:eastAsia="DengXian" w:cs="Times New Roman"/>
          <w:bCs/>
          <w:noProof/>
          <w:lang w:eastAsia="zh-CN"/>
        </w:rPr>
        <w:t>(1), 113–136. https://doi.org/10.1007/BF01262516</w:t>
      </w:r>
    </w:p>
    <w:p w14:paraId="60756170" w14:textId="782BFD0B"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fr-FR" w:eastAsia="zh-CN"/>
        </w:rPr>
        <w:t xml:space="preserve">Rapoport, A., &amp; Chammah, A. M. (1965). </w:t>
      </w:r>
      <w:r w:rsidRPr="002414E9">
        <w:rPr>
          <w:rFonts w:eastAsia="DengXian" w:cs="Times New Roman"/>
          <w:bCs/>
          <w:noProof/>
          <w:lang w:eastAsia="zh-CN"/>
        </w:rPr>
        <w:t xml:space="preserve">Sex differences in factors contributing to the level of cooperation in the Prisoner's Dilemma game. </w:t>
      </w:r>
      <w:r w:rsidRPr="002414E9">
        <w:rPr>
          <w:rFonts w:eastAsia="DengXian" w:cs="Times New Roman"/>
          <w:bCs/>
          <w:i/>
          <w:iCs/>
          <w:noProof/>
          <w:lang w:eastAsia="zh-CN"/>
        </w:rPr>
        <w:t>Journal of Personality and Social Psychology, 2</w:t>
      </w:r>
      <w:r w:rsidRPr="002414E9">
        <w:rPr>
          <w:rFonts w:eastAsia="DengXian" w:cs="Times New Roman"/>
          <w:bCs/>
          <w:noProof/>
          <w:lang w:eastAsia="zh-CN"/>
        </w:rPr>
        <w:t>(6), 831–838. https://doi.org/10.1037/h0022678</w:t>
      </w:r>
    </w:p>
    <w:p w14:paraId="1227DEA1" w14:textId="4A9785E8"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fr-FR" w:eastAsia="zh-CN"/>
        </w:rPr>
        <w:t xml:space="preserve">Rapoport, A., &amp; Cole, N. S. (1968). </w:t>
      </w:r>
      <w:r w:rsidRPr="002414E9">
        <w:rPr>
          <w:rFonts w:eastAsia="DengXian" w:cs="Times New Roman"/>
          <w:bCs/>
          <w:noProof/>
          <w:lang w:eastAsia="zh-CN"/>
        </w:rPr>
        <w:t xml:space="preserve">Experimental studies of interdependent mixed‐motive games. </w:t>
      </w:r>
      <w:r w:rsidRPr="002414E9">
        <w:rPr>
          <w:rFonts w:eastAsia="DengXian" w:cs="Times New Roman"/>
          <w:bCs/>
          <w:i/>
          <w:iCs/>
          <w:noProof/>
          <w:lang w:eastAsia="zh-CN"/>
        </w:rPr>
        <w:t>Behavioral Science</w:t>
      </w:r>
      <w:r w:rsidRPr="002414E9">
        <w:rPr>
          <w:rFonts w:eastAsia="DengXian" w:cs="Times New Roman"/>
          <w:bCs/>
          <w:noProof/>
          <w:lang w:eastAsia="zh-CN"/>
        </w:rPr>
        <w:t xml:space="preserve">, </w:t>
      </w:r>
      <w:r w:rsidRPr="002414E9">
        <w:rPr>
          <w:rFonts w:eastAsia="DengXian" w:cs="Times New Roman"/>
          <w:bCs/>
          <w:i/>
          <w:iCs/>
          <w:noProof/>
          <w:lang w:eastAsia="zh-CN"/>
        </w:rPr>
        <w:t>13</w:t>
      </w:r>
      <w:r w:rsidRPr="002414E9">
        <w:rPr>
          <w:rFonts w:eastAsia="DengXian" w:cs="Times New Roman"/>
          <w:bCs/>
          <w:noProof/>
          <w:lang w:eastAsia="zh-CN"/>
        </w:rPr>
        <w:t>(3), 189–204. https://doi.org/10.1002/bs.3830130304</w:t>
      </w:r>
    </w:p>
    <w:p w14:paraId="1E949145" w14:textId="31F8F950"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Rapoport, A., &amp; Eshed-Levy, D. (1989). Provision of step-level public goods: Effects of greed and fear of being gypped. </w:t>
      </w:r>
      <w:r w:rsidRPr="002414E9">
        <w:rPr>
          <w:rFonts w:eastAsia="DengXian" w:cs="Times New Roman"/>
          <w:bCs/>
          <w:i/>
          <w:iCs/>
          <w:noProof/>
          <w:lang w:eastAsia="zh-CN"/>
        </w:rPr>
        <w:t>Organizational Behavior and Human Decision Processes</w:t>
      </w:r>
      <w:r w:rsidRPr="002414E9">
        <w:rPr>
          <w:rFonts w:eastAsia="DengXian" w:cs="Times New Roman"/>
          <w:bCs/>
          <w:noProof/>
          <w:lang w:eastAsia="zh-CN"/>
        </w:rPr>
        <w:t xml:space="preserve">, </w:t>
      </w:r>
      <w:r w:rsidRPr="002414E9">
        <w:rPr>
          <w:rFonts w:eastAsia="DengXian" w:cs="Times New Roman"/>
          <w:bCs/>
          <w:i/>
          <w:iCs/>
          <w:noProof/>
          <w:lang w:eastAsia="zh-CN"/>
        </w:rPr>
        <w:t>44</w:t>
      </w:r>
      <w:r w:rsidRPr="002414E9">
        <w:rPr>
          <w:rFonts w:eastAsia="DengXian" w:cs="Times New Roman"/>
          <w:bCs/>
          <w:noProof/>
          <w:lang w:eastAsia="zh-CN"/>
        </w:rPr>
        <w:t>(3), 325–344. https://doi.org/10.1016/0749-5978(89)90012-5</w:t>
      </w:r>
    </w:p>
    <w:p w14:paraId="4495C22F" w14:textId="37813859"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Rapoport, A., &amp; Mowshowitz, A. (1966). Experimental studies of stochastic models for the Prisoner's Dilemma. </w:t>
      </w:r>
      <w:r w:rsidRPr="002414E9">
        <w:rPr>
          <w:rFonts w:eastAsia="DengXian" w:cs="Times New Roman"/>
          <w:bCs/>
          <w:i/>
          <w:iCs/>
          <w:noProof/>
          <w:lang w:eastAsia="zh-CN"/>
        </w:rPr>
        <w:t>Behavioral Science</w:t>
      </w:r>
      <w:r w:rsidRPr="002414E9">
        <w:rPr>
          <w:rFonts w:eastAsia="DengXian" w:cs="Times New Roman"/>
          <w:bCs/>
          <w:noProof/>
          <w:lang w:eastAsia="zh-CN"/>
        </w:rPr>
        <w:t xml:space="preserve">, </w:t>
      </w:r>
      <w:r w:rsidRPr="002414E9">
        <w:rPr>
          <w:rFonts w:eastAsia="DengXian" w:cs="Times New Roman"/>
          <w:bCs/>
          <w:i/>
          <w:iCs/>
          <w:noProof/>
          <w:lang w:eastAsia="zh-CN"/>
        </w:rPr>
        <w:t>11</w:t>
      </w:r>
      <w:r w:rsidRPr="002414E9">
        <w:rPr>
          <w:rFonts w:eastAsia="DengXian" w:cs="Times New Roman"/>
          <w:bCs/>
          <w:noProof/>
          <w:lang w:eastAsia="zh-CN"/>
        </w:rPr>
        <w:t>(6), 444–458. https://doi.org/10.1002/bs.3830110604</w:t>
      </w:r>
    </w:p>
    <w:p w14:paraId="40474ECE" w14:textId="735B705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Rapoport, A., &amp; Suleiman, R. (1993). Incremental contribution in step-level public goods games with asymmetric players. </w:t>
      </w:r>
      <w:r w:rsidRPr="002414E9">
        <w:rPr>
          <w:rFonts w:eastAsia="DengXian" w:cs="Times New Roman"/>
          <w:i/>
          <w:iCs/>
          <w:noProof/>
          <w:lang w:eastAsia="zh-CN"/>
        </w:rPr>
        <w:t>Organizational Behavior and Human Decision Processes</w:t>
      </w:r>
      <w:r w:rsidRPr="002414E9">
        <w:rPr>
          <w:rFonts w:eastAsia="DengXian" w:cs="Times New Roman"/>
          <w:noProof/>
          <w:lang w:eastAsia="zh-CN"/>
        </w:rPr>
        <w:t xml:space="preserve">, </w:t>
      </w:r>
      <w:r w:rsidRPr="002414E9">
        <w:rPr>
          <w:rFonts w:eastAsia="DengXian" w:cs="Times New Roman"/>
          <w:i/>
          <w:iCs/>
          <w:noProof/>
          <w:lang w:eastAsia="zh-CN"/>
        </w:rPr>
        <w:t>55</w:t>
      </w:r>
      <w:r w:rsidRPr="002414E9">
        <w:rPr>
          <w:rFonts w:eastAsia="DengXian" w:cs="Times New Roman"/>
          <w:noProof/>
          <w:lang w:eastAsia="zh-CN"/>
        </w:rPr>
        <w:t>(2), 171–194. https://doi.org/10.1006/obhd.1993.1029</w:t>
      </w:r>
    </w:p>
    <w:p w14:paraId="4463E61C" w14:textId="3375D989"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Rapoport, A., Chammah, A., Dwyer, J., &amp; Gyr, J. (1962). Three‐person non‐zero‐sum nonnegotiable games. </w:t>
      </w:r>
      <w:r w:rsidRPr="002414E9">
        <w:rPr>
          <w:rFonts w:eastAsia="DengXian" w:cs="Times New Roman"/>
          <w:bCs/>
          <w:i/>
          <w:iCs/>
          <w:noProof/>
          <w:lang w:eastAsia="zh-CN"/>
        </w:rPr>
        <w:t>Behavioral Science</w:t>
      </w:r>
      <w:r w:rsidRPr="002414E9">
        <w:rPr>
          <w:rFonts w:eastAsia="DengXian" w:cs="Times New Roman"/>
          <w:bCs/>
          <w:noProof/>
          <w:lang w:eastAsia="zh-CN"/>
        </w:rPr>
        <w:t xml:space="preserve">, </w:t>
      </w:r>
      <w:r w:rsidRPr="002414E9">
        <w:rPr>
          <w:rFonts w:eastAsia="DengXian" w:cs="Times New Roman"/>
          <w:bCs/>
          <w:i/>
          <w:iCs/>
          <w:noProof/>
          <w:lang w:eastAsia="zh-CN"/>
        </w:rPr>
        <w:t>7</w:t>
      </w:r>
      <w:r w:rsidRPr="002414E9">
        <w:rPr>
          <w:rFonts w:eastAsia="DengXian" w:cs="Times New Roman"/>
          <w:bCs/>
          <w:noProof/>
          <w:lang w:eastAsia="zh-CN"/>
        </w:rPr>
        <w:t>(1), 38–58. https://doi.org/10.1002/bs.3830070103</w:t>
      </w:r>
    </w:p>
    <w:p w14:paraId="477F8A93" w14:textId="4B2722AD"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Raub, W., &amp; Snijders, C. (1997). Gains, losses, and cooperation in social dilemmas and collective action: The effects of risk preferences. </w:t>
      </w:r>
      <w:r w:rsidRPr="002414E9">
        <w:rPr>
          <w:rFonts w:eastAsia="DengXian" w:cs="Times New Roman"/>
          <w:bCs/>
          <w:i/>
          <w:iCs/>
          <w:noProof/>
          <w:lang w:eastAsia="zh-CN"/>
        </w:rPr>
        <w:t>Journal of Mathematical Sociology</w:t>
      </w:r>
      <w:r w:rsidRPr="002414E9">
        <w:rPr>
          <w:rFonts w:eastAsia="DengXian" w:cs="Times New Roman"/>
          <w:bCs/>
          <w:noProof/>
          <w:lang w:eastAsia="zh-CN"/>
        </w:rPr>
        <w:t xml:space="preserve">, </w:t>
      </w:r>
      <w:r w:rsidRPr="002414E9">
        <w:rPr>
          <w:rFonts w:eastAsia="DengXian" w:cs="Times New Roman"/>
          <w:bCs/>
          <w:i/>
          <w:iCs/>
          <w:noProof/>
          <w:lang w:eastAsia="zh-CN"/>
        </w:rPr>
        <w:lastRenderedPageBreak/>
        <w:t>22</w:t>
      </w:r>
      <w:r w:rsidRPr="002414E9">
        <w:rPr>
          <w:rFonts w:eastAsia="DengXian" w:cs="Times New Roman"/>
          <w:bCs/>
          <w:noProof/>
          <w:lang w:eastAsia="zh-CN"/>
        </w:rPr>
        <w:t>(3), 263–302. https://doi.org/10.1080/0022250X.1997.9990204</w:t>
      </w:r>
    </w:p>
    <w:p w14:paraId="684C7AC0" w14:textId="5B8922BF"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Rawolle, M., Schultheiss, O. C., Strasser, A., &amp; Kehr, H. M. (2017). </w:t>
      </w:r>
      <w:r w:rsidRPr="002414E9">
        <w:rPr>
          <w:rFonts w:eastAsia="DengXian" w:cs="Times New Roman"/>
          <w:bCs/>
          <w:noProof/>
          <w:lang w:eastAsia="zh-CN"/>
        </w:rPr>
        <w:t xml:space="preserve">The motivating power of visionary images: Effects on motivation, affect, and behavior. </w:t>
      </w:r>
      <w:r w:rsidRPr="002414E9">
        <w:rPr>
          <w:rFonts w:eastAsia="DengXian" w:cs="Times New Roman"/>
          <w:bCs/>
          <w:i/>
          <w:iCs/>
          <w:noProof/>
          <w:lang w:eastAsia="zh-CN"/>
        </w:rPr>
        <w:t>Journal of Personality</w:t>
      </w:r>
      <w:r w:rsidRPr="002414E9">
        <w:rPr>
          <w:rFonts w:eastAsia="DengXian" w:cs="Times New Roman"/>
          <w:bCs/>
          <w:noProof/>
          <w:lang w:eastAsia="zh-CN"/>
        </w:rPr>
        <w:t xml:space="preserve">, </w:t>
      </w:r>
      <w:r w:rsidRPr="002414E9">
        <w:rPr>
          <w:rFonts w:eastAsia="DengXian" w:cs="Times New Roman"/>
          <w:bCs/>
          <w:i/>
          <w:iCs/>
          <w:noProof/>
          <w:lang w:eastAsia="zh-CN"/>
        </w:rPr>
        <w:t>85</w:t>
      </w:r>
      <w:r w:rsidRPr="002414E9">
        <w:rPr>
          <w:rFonts w:eastAsia="DengXian" w:cs="Times New Roman"/>
          <w:bCs/>
          <w:noProof/>
          <w:lang w:eastAsia="zh-CN"/>
        </w:rPr>
        <w:t>(6), 769–781. https://doi.org/10.1111/jopy.12285</w:t>
      </w:r>
    </w:p>
    <w:p w14:paraId="590E0BE4" w14:textId="3706E536"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Rebers, S., &amp; Koopmans, R. (2012). Altruistic punishment and between-group competition. </w:t>
      </w:r>
      <w:r w:rsidRPr="002414E9">
        <w:rPr>
          <w:rFonts w:eastAsia="DengXian" w:cs="Times New Roman"/>
          <w:bCs/>
          <w:i/>
          <w:iCs/>
          <w:noProof/>
          <w:lang w:eastAsia="zh-CN"/>
        </w:rPr>
        <w:t>Human Nature</w:t>
      </w:r>
      <w:r w:rsidRPr="002414E9">
        <w:rPr>
          <w:rFonts w:eastAsia="DengXian" w:cs="Times New Roman"/>
          <w:bCs/>
          <w:noProof/>
          <w:lang w:eastAsia="zh-CN"/>
        </w:rPr>
        <w:t xml:space="preserve">, </w:t>
      </w:r>
      <w:r w:rsidRPr="002414E9">
        <w:rPr>
          <w:rFonts w:eastAsia="DengXian" w:cs="Times New Roman"/>
          <w:bCs/>
          <w:i/>
          <w:iCs/>
          <w:noProof/>
          <w:lang w:eastAsia="zh-CN"/>
        </w:rPr>
        <w:t>23</w:t>
      </w:r>
      <w:r w:rsidRPr="002414E9">
        <w:rPr>
          <w:rFonts w:eastAsia="DengXian" w:cs="Times New Roman"/>
          <w:bCs/>
          <w:noProof/>
          <w:lang w:eastAsia="zh-CN"/>
        </w:rPr>
        <w:t>(2), 173–190. https://doi.org/10.1007/s12110-012-9136-x</w:t>
      </w:r>
    </w:p>
    <w:p w14:paraId="0AEB0924" w14:textId="30659C7B" w:rsidR="002414E9" w:rsidRPr="002414E9" w:rsidRDefault="002414E9" w:rsidP="002414E9">
      <w:pPr>
        <w:widowControl w:val="0"/>
        <w:autoSpaceDE w:val="0"/>
        <w:autoSpaceDN w:val="0"/>
        <w:adjustRightInd w:val="0"/>
        <w:ind w:left="709" w:hanging="709"/>
        <w:rPr>
          <w:rFonts w:eastAsia="DengXian" w:cs="Times New Roman"/>
          <w:bCs/>
          <w:noProof/>
          <w:lang w:eastAsia="zh-CN"/>
        </w:rPr>
      </w:pPr>
      <w:bookmarkStart w:id="104" w:name="_Hlk74306800"/>
      <w:r w:rsidRPr="002414E9">
        <w:rPr>
          <w:rFonts w:eastAsia="DengXian" w:cs="Times New Roman"/>
          <w:bCs/>
          <w:noProof/>
          <w:lang w:eastAsia="zh-CN"/>
        </w:rPr>
        <w:t xml:space="preserve">Reed, L. I. (2010). </w:t>
      </w:r>
      <w:r w:rsidRPr="002414E9">
        <w:rPr>
          <w:rFonts w:eastAsia="DengXian" w:cs="Times New Roman"/>
          <w:bCs/>
          <w:i/>
          <w:iCs/>
          <w:noProof/>
          <w:lang w:eastAsia="zh-CN"/>
        </w:rPr>
        <w:t>The effect of guilt on altruism in the one-shot anonymous prisoner's dilemma game</w:t>
      </w:r>
      <w:r w:rsidRPr="002414E9">
        <w:rPr>
          <w:rFonts w:eastAsia="DengXian" w:cs="Times New Roman"/>
          <w:bCs/>
          <w:noProof/>
          <w:lang w:eastAsia="zh-CN"/>
        </w:rPr>
        <w:t xml:space="preserve"> (Publication No. 3435519) [Doctoral dissertation, University of Pittsburgh]. ProQuest Dissertations Publishing.</w:t>
      </w:r>
    </w:p>
    <w:bookmarkEnd w:id="104"/>
    <w:p w14:paraId="75CA5F59" w14:textId="4530F0A0"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Reed, L. I., Zeglen, K. N., &amp; Schmidt, K. L. (2012). </w:t>
      </w:r>
      <w:r w:rsidRPr="002414E9">
        <w:rPr>
          <w:rFonts w:eastAsia="DengXian" w:cs="Times New Roman"/>
          <w:bCs/>
          <w:noProof/>
          <w:lang w:eastAsia="zh-CN"/>
        </w:rPr>
        <w:t xml:space="preserve">Facial expressions as honest signals of cooperative intent in a one-shot anonymous Prisoner's Dilemma game. </w:t>
      </w:r>
      <w:r w:rsidRPr="002414E9">
        <w:rPr>
          <w:rFonts w:eastAsia="DengXian" w:cs="Times New Roman"/>
          <w:bCs/>
          <w:i/>
          <w:iCs/>
          <w:noProof/>
          <w:lang w:eastAsia="zh-CN"/>
        </w:rPr>
        <w:t>Evolution and Human Behavior</w:t>
      </w:r>
      <w:r w:rsidRPr="002414E9">
        <w:rPr>
          <w:rFonts w:eastAsia="DengXian" w:cs="Times New Roman"/>
          <w:bCs/>
          <w:noProof/>
          <w:lang w:eastAsia="zh-CN"/>
        </w:rPr>
        <w:t xml:space="preserve">, </w:t>
      </w:r>
      <w:r w:rsidRPr="002414E9">
        <w:rPr>
          <w:rFonts w:eastAsia="DengXian" w:cs="Times New Roman"/>
          <w:bCs/>
          <w:i/>
          <w:iCs/>
          <w:noProof/>
          <w:lang w:eastAsia="zh-CN"/>
        </w:rPr>
        <w:t>33</w:t>
      </w:r>
      <w:r w:rsidRPr="002414E9">
        <w:rPr>
          <w:rFonts w:eastAsia="DengXian" w:cs="Times New Roman"/>
          <w:bCs/>
          <w:noProof/>
          <w:lang w:eastAsia="zh-CN"/>
        </w:rPr>
        <w:t>(3), 200–209. https://doi.org/10.1016/j.evolhumbehav.2011.09.003</w:t>
      </w:r>
    </w:p>
    <w:p w14:paraId="6FB8DF27" w14:textId="018C111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Reeson, A. F., &amp; Tisdell, J. G. (2008). Institutions, motivations and public goods: An experimental test of motivational crowding.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68</w:t>
      </w:r>
      <w:r w:rsidRPr="002414E9">
        <w:rPr>
          <w:rFonts w:eastAsia="DengXian" w:cs="Times New Roman"/>
          <w:noProof/>
          <w:lang w:eastAsia="zh-CN"/>
        </w:rPr>
        <w:t>(1), 273–281. https://doi.org/10.1016/j.jebo.2008.04.002</w:t>
      </w:r>
    </w:p>
    <w:p w14:paraId="2255C4E5" w14:textId="7577F5C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Rege, M., &amp; Telle, K. (2004). The impact of social approval and framing on cooperation in public good situations.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88</w:t>
      </w:r>
      <w:r w:rsidRPr="002414E9">
        <w:rPr>
          <w:rFonts w:eastAsia="DengXian" w:cs="Times New Roman"/>
          <w:noProof/>
          <w:lang w:eastAsia="zh-CN"/>
        </w:rPr>
        <w:t>(7–8), 1625–1644. https://doi.org/10.1016/S0047-2727(03)00021-5</w:t>
      </w:r>
    </w:p>
    <w:p w14:paraId="4F6F440E" w14:textId="161C67AD"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Reich, C., &amp; Purbhoo, M. (1975). The effect of cross-cultural contact. </w:t>
      </w:r>
      <w:r w:rsidRPr="002414E9">
        <w:rPr>
          <w:rFonts w:eastAsia="DengXian" w:cs="Times New Roman"/>
          <w:bCs/>
          <w:i/>
          <w:iCs/>
          <w:noProof/>
          <w:lang w:eastAsia="zh-CN"/>
        </w:rPr>
        <w:t>Canadian Journal of Behavioural Science,</w:t>
      </w:r>
      <w:r w:rsidRPr="002414E9">
        <w:rPr>
          <w:rFonts w:eastAsia="DengXian" w:cs="Times New Roman"/>
          <w:bCs/>
          <w:noProof/>
          <w:lang w:eastAsia="zh-CN"/>
        </w:rPr>
        <w:t xml:space="preserve"> </w:t>
      </w:r>
      <w:r w:rsidRPr="002414E9">
        <w:rPr>
          <w:rFonts w:eastAsia="DengXian" w:cs="Times New Roman"/>
          <w:bCs/>
          <w:i/>
          <w:iCs/>
          <w:noProof/>
          <w:lang w:eastAsia="zh-CN"/>
        </w:rPr>
        <w:t>7</w:t>
      </w:r>
      <w:r w:rsidRPr="002414E9">
        <w:rPr>
          <w:rFonts w:eastAsia="DengXian" w:cs="Times New Roman"/>
          <w:bCs/>
          <w:noProof/>
          <w:lang w:eastAsia="zh-CN"/>
        </w:rPr>
        <w:t>(4), 313–327. https://doi.org/10.1037/h0081917</w:t>
      </w:r>
    </w:p>
    <w:p w14:paraId="7A92B622" w14:textId="5AC2267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Reif, C., Rübbelke, D., &amp; Löschel, A. (2017). </w:t>
      </w:r>
      <w:r w:rsidRPr="002414E9">
        <w:rPr>
          <w:rFonts w:eastAsia="DengXian" w:cs="Times New Roman"/>
          <w:noProof/>
          <w:lang w:eastAsia="zh-CN"/>
        </w:rPr>
        <w:t xml:space="preserve">Improving voluntary public good provision through a non-governmental, endogenous matching mechanism: Experimental evidence. </w:t>
      </w:r>
      <w:r w:rsidRPr="002414E9">
        <w:rPr>
          <w:rFonts w:eastAsia="DengXian" w:cs="Times New Roman"/>
          <w:i/>
          <w:iCs/>
          <w:noProof/>
          <w:lang w:eastAsia="zh-CN"/>
        </w:rPr>
        <w:t>Environmental and Resource Economics</w:t>
      </w:r>
      <w:r w:rsidRPr="002414E9">
        <w:rPr>
          <w:rFonts w:eastAsia="DengXian" w:cs="Times New Roman"/>
          <w:noProof/>
          <w:lang w:eastAsia="zh-CN"/>
        </w:rPr>
        <w:t xml:space="preserve">, </w:t>
      </w:r>
      <w:r w:rsidRPr="002414E9">
        <w:rPr>
          <w:rFonts w:eastAsia="DengXian" w:cs="Times New Roman"/>
          <w:i/>
          <w:iCs/>
          <w:noProof/>
          <w:lang w:eastAsia="zh-CN"/>
        </w:rPr>
        <w:t>67</w:t>
      </w:r>
      <w:r w:rsidRPr="002414E9">
        <w:rPr>
          <w:rFonts w:eastAsia="DengXian" w:cs="Times New Roman"/>
          <w:noProof/>
          <w:lang w:eastAsia="zh-CN"/>
        </w:rPr>
        <w:t xml:space="preserve">(3), 559–589. </w:t>
      </w:r>
      <w:r w:rsidRPr="002414E9">
        <w:rPr>
          <w:rFonts w:eastAsia="DengXian" w:cs="Times New Roman"/>
          <w:noProof/>
          <w:lang w:eastAsia="zh-CN"/>
        </w:rPr>
        <w:lastRenderedPageBreak/>
        <w:t>https://doi.org/10.1007/s10640-017-0126-7</w:t>
      </w:r>
    </w:p>
    <w:p w14:paraId="69622984" w14:textId="6549D20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Reinders Folmer, C. P., &amp; Van Lange, P. A. M. (2007). </w:t>
      </w:r>
      <w:r w:rsidRPr="002414E9">
        <w:rPr>
          <w:rFonts w:eastAsia="DengXian" w:cs="Times New Roman"/>
          <w:noProof/>
          <w:lang w:eastAsia="zh-CN"/>
        </w:rPr>
        <w:t xml:space="preserve">Why promises and threats need each other. </w:t>
      </w:r>
      <w:r w:rsidRPr="002414E9">
        <w:rPr>
          <w:rFonts w:eastAsia="DengXian" w:cs="Times New Roman"/>
          <w:i/>
          <w:iCs/>
          <w:noProof/>
          <w:lang w:eastAsia="zh-CN"/>
        </w:rPr>
        <w:t>European Journal of Social Psychology</w:t>
      </w:r>
      <w:r w:rsidRPr="002414E9">
        <w:rPr>
          <w:rFonts w:eastAsia="DengXian" w:cs="Times New Roman"/>
          <w:noProof/>
          <w:lang w:eastAsia="zh-CN"/>
        </w:rPr>
        <w:t xml:space="preserve">, </w:t>
      </w:r>
      <w:r w:rsidRPr="002414E9">
        <w:rPr>
          <w:rFonts w:eastAsia="DengXian" w:cs="Times New Roman"/>
          <w:i/>
          <w:iCs/>
          <w:noProof/>
          <w:lang w:eastAsia="zh-CN"/>
        </w:rPr>
        <w:t>37</w:t>
      </w:r>
      <w:r w:rsidRPr="002414E9">
        <w:rPr>
          <w:rFonts w:eastAsia="DengXian" w:cs="Times New Roman"/>
          <w:noProof/>
          <w:lang w:eastAsia="zh-CN"/>
        </w:rPr>
        <w:t>(5), 1016–1031. https://doi.org/10.1002/ejsp.414</w:t>
      </w:r>
    </w:p>
    <w:p w14:paraId="75DF8DD5" w14:textId="5C0A7476"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Rekosh, J. H., &amp; Feigenbaum, K. D. (1966). </w:t>
      </w:r>
      <w:r w:rsidRPr="002414E9">
        <w:rPr>
          <w:rFonts w:eastAsia="DengXian" w:cs="Times New Roman"/>
          <w:bCs/>
          <w:noProof/>
          <w:lang w:eastAsia="zh-CN"/>
        </w:rPr>
        <w:t xml:space="preserve">The necessity of mutual trust for cooperative behavior in a two-person game. </w:t>
      </w:r>
      <w:r w:rsidRPr="002414E9">
        <w:rPr>
          <w:rFonts w:eastAsia="DengXian" w:cs="Times New Roman"/>
          <w:bCs/>
          <w:i/>
          <w:iCs/>
          <w:noProof/>
          <w:lang w:eastAsia="zh-CN"/>
        </w:rPr>
        <w:t>The Journal of Social Psychology</w:t>
      </w:r>
      <w:r w:rsidRPr="002414E9">
        <w:rPr>
          <w:rFonts w:eastAsia="DengXian" w:cs="Times New Roman"/>
          <w:bCs/>
          <w:noProof/>
          <w:lang w:eastAsia="zh-CN"/>
        </w:rPr>
        <w:t xml:space="preserve">, </w:t>
      </w:r>
      <w:r w:rsidRPr="002414E9">
        <w:rPr>
          <w:rFonts w:eastAsia="DengXian" w:cs="Times New Roman"/>
          <w:bCs/>
          <w:i/>
          <w:iCs/>
          <w:noProof/>
          <w:lang w:eastAsia="zh-CN"/>
        </w:rPr>
        <w:t>69</w:t>
      </w:r>
      <w:r w:rsidRPr="002414E9">
        <w:rPr>
          <w:rFonts w:eastAsia="DengXian" w:cs="Times New Roman"/>
          <w:bCs/>
          <w:noProof/>
          <w:lang w:eastAsia="zh-CN"/>
        </w:rPr>
        <w:t>(1), 149–154. https://doi.org/10.1080/00224545.1966.9919713</w:t>
      </w:r>
    </w:p>
    <w:p w14:paraId="1C511F44" w14:textId="1822B5A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Reuben, E., &amp; Riedl, A. (2009). Public goods provision and sanctioning in privileged groups. </w:t>
      </w:r>
      <w:r w:rsidRPr="002414E9">
        <w:rPr>
          <w:rFonts w:eastAsia="DengXian" w:cs="Times New Roman"/>
          <w:i/>
          <w:iCs/>
          <w:noProof/>
          <w:lang w:eastAsia="zh-CN"/>
        </w:rPr>
        <w:t>Journal of Conflict Resolution</w:t>
      </w:r>
      <w:r w:rsidRPr="002414E9">
        <w:rPr>
          <w:rFonts w:eastAsia="DengXian" w:cs="Times New Roman"/>
          <w:noProof/>
          <w:lang w:eastAsia="zh-CN"/>
        </w:rPr>
        <w:t xml:space="preserve">, </w:t>
      </w:r>
      <w:r w:rsidRPr="002414E9">
        <w:rPr>
          <w:rFonts w:eastAsia="DengXian" w:cs="Times New Roman"/>
          <w:i/>
          <w:iCs/>
          <w:noProof/>
          <w:lang w:eastAsia="zh-CN"/>
        </w:rPr>
        <w:t>53</w:t>
      </w:r>
      <w:r w:rsidRPr="002414E9">
        <w:rPr>
          <w:rFonts w:eastAsia="DengXian" w:cs="Times New Roman"/>
          <w:noProof/>
          <w:lang w:eastAsia="zh-CN"/>
        </w:rPr>
        <w:t>(1), 72–93. https://doi.org/10.1177/0022002708322361</w:t>
      </w:r>
    </w:p>
    <w:p w14:paraId="6F2922FB" w14:textId="069E7E0A"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Reuben, E., &amp; Suetens, S. (2012). Revisiting strategic versus non-strategic cooperation. </w:t>
      </w:r>
      <w:r w:rsidRPr="002414E9">
        <w:rPr>
          <w:rFonts w:eastAsia="DengXian" w:cs="Times New Roman"/>
          <w:bCs/>
          <w:i/>
          <w:iCs/>
          <w:noProof/>
          <w:lang w:eastAsia="zh-CN"/>
        </w:rPr>
        <w:t>Experimental Economics</w:t>
      </w:r>
      <w:r w:rsidRPr="002414E9">
        <w:rPr>
          <w:rFonts w:eastAsia="DengXian" w:cs="Times New Roman"/>
          <w:bCs/>
          <w:noProof/>
          <w:lang w:eastAsia="zh-CN"/>
        </w:rPr>
        <w:t xml:space="preserve">, </w:t>
      </w:r>
      <w:r w:rsidRPr="002414E9">
        <w:rPr>
          <w:rFonts w:eastAsia="DengXian" w:cs="Times New Roman"/>
          <w:bCs/>
          <w:i/>
          <w:iCs/>
          <w:noProof/>
          <w:lang w:eastAsia="zh-CN"/>
        </w:rPr>
        <w:t>15</w:t>
      </w:r>
      <w:r w:rsidRPr="002414E9">
        <w:rPr>
          <w:rFonts w:eastAsia="DengXian" w:cs="Times New Roman"/>
          <w:bCs/>
          <w:noProof/>
          <w:lang w:eastAsia="zh-CN"/>
        </w:rPr>
        <w:t>(1), 24–43. https://doi.org/10.1007/s10683-011-9286-4</w:t>
      </w:r>
    </w:p>
    <w:p w14:paraId="182FE8A1" w14:textId="095600FB"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Reynolds, T., Winegard, B. M., Baumeister, R. F., &amp; Maner, J. K. (2015). </w:t>
      </w:r>
      <w:r w:rsidRPr="002414E9">
        <w:rPr>
          <w:rFonts w:eastAsia="DengXian" w:cs="Times New Roman"/>
          <w:bCs/>
          <w:noProof/>
          <w:lang w:eastAsia="zh-CN"/>
        </w:rPr>
        <w:t xml:space="preserve">The long goodbye: A test of grief as a social signal. </w:t>
      </w:r>
      <w:r w:rsidRPr="002414E9">
        <w:rPr>
          <w:rFonts w:eastAsia="DengXian" w:cs="Times New Roman"/>
          <w:bCs/>
          <w:i/>
          <w:iCs/>
          <w:noProof/>
          <w:lang w:eastAsia="zh-CN"/>
        </w:rPr>
        <w:t>Evolutionary Behavioral Sciences, 9</w:t>
      </w:r>
      <w:r w:rsidRPr="002414E9">
        <w:rPr>
          <w:rFonts w:eastAsia="DengXian" w:cs="Times New Roman"/>
          <w:bCs/>
          <w:noProof/>
          <w:lang w:eastAsia="zh-CN"/>
        </w:rPr>
        <w:t>(1), 20–42. https://doi.org/10.1037/ebs0000032</w:t>
      </w:r>
    </w:p>
    <w:p w14:paraId="00FC1C45" w14:textId="43704B44" w:rsidR="002414E9" w:rsidRPr="002414E9" w:rsidRDefault="002414E9" w:rsidP="002414E9">
      <w:pPr>
        <w:widowControl w:val="0"/>
        <w:autoSpaceDE w:val="0"/>
        <w:autoSpaceDN w:val="0"/>
        <w:adjustRightInd w:val="0"/>
        <w:ind w:left="709" w:hanging="709"/>
        <w:rPr>
          <w:rFonts w:eastAsia="DengXian" w:cs="Times New Roman"/>
          <w:bCs/>
          <w:noProof/>
          <w:lang w:eastAsia="zh-CN"/>
        </w:rPr>
      </w:pPr>
      <w:bookmarkStart w:id="105" w:name="_Hlk74307133"/>
      <w:r w:rsidRPr="002414E9">
        <w:rPr>
          <w:rFonts w:eastAsia="DengXian" w:cs="Times New Roman"/>
          <w:bCs/>
          <w:noProof/>
          <w:lang w:eastAsia="zh-CN"/>
        </w:rPr>
        <w:t>Riedl, A., &amp; Ule, A. (2009</w:t>
      </w:r>
      <w:r w:rsidRPr="002414E9">
        <w:rPr>
          <w:rFonts w:eastAsia="DengXian" w:cs="Times New Roman"/>
          <w:bCs/>
          <w:i/>
          <w:iCs/>
          <w:noProof/>
          <w:lang w:eastAsia="zh-CN"/>
        </w:rPr>
        <w:t>). Exclusion and cooperation in social network experiments</w:t>
      </w:r>
      <w:r w:rsidRPr="002414E9">
        <w:rPr>
          <w:rFonts w:eastAsia="DengXian" w:cs="Times New Roman"/>
          <w:bCs/>
          <w:noProof/>
          <w:lang w:eastAsia="zh-CN"/>
        </w:rPr>
        <w:t xml:space="preserve"> [Unpublished manuscript]. Center for Research in Experimental Economics and political Decision-making (CREED), Faculty of Economics and Econometrics, Universiteit van Amsterdam. </w:t>
      </w:r>
    </w:p>
    <w:bookmarkEnd w:id="105"/>
    <w:p w14:paraId="62D523E2" w14:textId="46043E61"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Rilling, J. K., Goldsmith, D. R., Glenn, A. L., Jairam, M. R., Elfenbein, H. A., Dagenais, J. E., ... </w:t>
      </w:r>
      <w:r w:rsidRPr="002414E9">
        <w:rPr>
          <w:rFonts w:eastAsia="DengXian" w:cs="Times New Roman"/>
          <w:bCs/>
          <w:noProof/>
          <w:lang w:val="en-GB" w:eastAsia="zh-CN"/>
        </w:rPr>
        <w:t xml:space="preserve">&amp; Pagnoni, G. (2008). </w:t>
      </w:r>
      <w:r w:rsidRPr="002414E9">
        <w:rPr>
          <w:rFonts w:eastAsia="DengXian" w:cs="Times New Roman"/>
          <w:bCs/>
          <w:noProof/>
          <w:lang w:eastAsia="zh-CN"/>
        </w:rPr>
        <w:t xml:space="preserve">The neural correlates of the affective response to unreciprocated cooperation. </w:t>
      </w:r>
      <w:r w:rsidRPr="002414E9">
        <w:rPr>
          <w:rFonts w:eastAsia="DengXian" w:cs="Times New Roman"/>
          <w:bCs/>
          <w:i/>
          <w:iCs/>
          <w:noProof/>
          <w:lang w:eastAsia="zh-CN"/>
        </w:rPr>
        <w:t>Neuropsychologia</w:t>
      </w:r>
      <w:r w:rsidRPr="002414E9">
        <w:rPr>
          <w:rFonts w:eastAsia="DengXian" w:cs="Times New Roman"/>
          <w:bCs/>
          <w:noProof/>
          <w:lang w:eastAsia="zh-CN"/>
        </w:rPr>
        <w:t xml:space="preserve">, </w:t>
      </w:r>
      <w:r w:rsidRPr="002414E9">
        <w:rPr>
          <w:rFonts w:eastAsia="DengXian" w:cs="Times New Roman"/>
          <w:bCs/>
          <w:i/>
          <w:iCs/>
          <w:noProof/>
          <w:lang w:eastAsia="zh-CN"/>
        </w:rPr>
        <w:t>46</w:t>
      </w:r>
      <w:r w:rsidRPr="002414E9">
        <w:rPr>
          <w:rFonts w:eastAsia="DengXian" w:cs="Times New Roman"/>
          <w:bCs/>
          <w:noProof/>
          <w:lang w:eastAsia="zh-CN"/>
        </w:rPr>
        <w:t>(5), 1256–1266. https://doi.org/10.1016/j.neuropsychologia.2007.11.033</w:t>
      </w:r>
    </w:p>
    <w:p w14:paraId="25CE8460" w14:textId="2BD9DE70"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Rilling, J. K., Sanfey, A. G., Aronson, J. A., Nystrom, L. E., &amp; Cohen, J. D. (2004). Opposing </w:t>
      </w:r>
      <w:r w:rsidRPr="002414E9">
        <w:rPr>
          <w:rFonts w:eastAsia="DengXian" w:cs="Times New Roman"/>
          <w:bCs/>
          <w:noProof/>
          <w:lang w:eastAsia="zh-CN"/>
        </w:rPr>
        <w:lastRenderedPageBreak/>
        <w:t xml:space="preserve">BOLD responses to reciprocated and unreciprocated altruism in putative reward pathways. </w:t>
      </w:r>
      <w:r w:rsidRPr="002414E9">
        <w:rPr>
          <w:rFonts w:eastAsia="DengXian" w:cs="Times New Roman"/>
          <w:bCs/>
          <w:i/>
          <w:iCs/>
          <w:noProof/>
          <w:lang w:eastAsia="zh-CN"/>
        </w:rPr>
        <w:t>NeuroReport</w:t>
      </w:r>
      <w:r w:rsidRPr="002414E9">
        <w:rPr>
          <w:rFonts w:eastAsia="DengXian" w:cs="Times New Roman"/>
          <w:bCs/>
          <w:noProof/>
          <w:lang w:eastAsia="zh-CN"/>
        </w:rPr>
        <w:t xml:space="preserve">, </w:t>
      </w:r>
      <w:r w:rsidRPr="002414E9">
        <w:rPr>
          <w:rFonts w:eastAsia="DengXian" w:cs="Times New Roman"/>
          <w:bCs/>
          <w:i/>
          <w:iCs/>
          <w:noProof/>
          <w:lang w:eastAsia="zh-CN"/>
        </w:rPr>
        <w:t>15</w:t>
      </w:r>
      <w:r w:rsidRPr="002414E9">
        <w:rPr>
          <w:rFonts w:eastAsia="DengXian" w:cs="Times New Roman"/>
          <w:bCs/>
          <w:noProof/>
          <w:lang w:eastAsia="zh-CN"/>
        </w:rPr>
        <w:t>(16), 2539–2243. Retrieved from http://citeseerx.ist.psu.edu/viewdoc/download?doi=10.1.1.482.347&amp;rep=rep1&amp;type=pdf</w:t>
      </w:r>
    </w:p>
    <w:p w14:paraId="7EB90BB2" w14:textId="6037484D" w:rsidR="002414E9" w:rsidRPr="002414E9" w:rsidRDefault="002414E9" w:rsidP="002414E9">
      <w:pPr>
        <w:widowControl w:val="0"/>
        <w:autoSpaceDE w:val="0"/>
        <w:autoSpaceDN w:val="0"/>
        <w:adjustRightInd w:val="0"/>
        <w:ind w:left="709" w:hanging="709"/>
        <w:rPr>
          <w:rFonts w:eastAsia="DengXian" w:cs="Times New Roman"/>
          <w:noProof/>
          <w:lang w:val="nl-NL" w:eastAsia="zh-CN"/>
        </w:rPr>
      </w:pPr>
      <w:r w:rsidRPr="002414E9">
        <w:rPr>
          <w:rFonts w:eastAsia="DengXian" w:cs="Times New Roman"/>
          <w:noProof/>
          <w:lang w:eastAsia="zh-CN"/>
        </w:rPr>
        <w:t xml:space="preserve">Rivas, M. F., &amp; Sutter, M. (2011). The benefits of voluntary leadership in experimental public goods games. </w:t>
      </w:r>
      <w:r w:rsidRPr="002414E9">
        <w:rPr>
          <w:rFonts w:eastAsia="DengXian" w:cs="Times New Roman"/>
          <w:i/>
          <w:iCs/>
          <w:noProof/>
          <w:lang w:val="nl-NL" w:eastAsia="zh-CN"/>
        </w:rPr>
        <w:t>Economics Letters</w:t>
      </w:r>
      <w:r w:rsidRPr="002414E9">
        <w:rPr>
          <w:rFonts w:eastAsia="DengXian" w:cs="Times New Roman"/>
          <w:noProof/>
          <w:lang w:val="nl-NL" w:eastAsia="zh-CN"/>
        </w:rPr>
        <w:t xml:space="preserve">, </w:t>
      </w:r>
      <w:r w:rsidRPr="002414E9">
        <w:rPr>
          <w:rFonts w:eastAsia="DengXian" w:cs="Times New Roman"/>
          <w:i/>
          <w:iCs/>
          <w:noProof/>
          <w:lang w:val="nl-NL" w:eastAsia="zh-CN"/>
        </w:rPr>
        <w:t>112</w:t>
      </w:r>
      <w:r w:rsidRPr="002414E9">
        <w:rPr>
          <w:rFonts w:eastAsia="DengXian" w:cs="Times New Roman"/>
          <w:noProof/>
          <w:lang w:val="nl-NL" w:eastAsia="zh-CN"/>
        </w:rPr>
        <w:t>(2), 176–178. https://doi.org/10.1016/j.econlet.2011.04.007</w:t>
      </w:r>
    </w:p>
    <w:p w14:paraId="1C02AE0B" w14:textId="43DD951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Rodebaugh, T. L., Klein, S. R., Yarkoni, T., &amp; Langer, J. K. (2011). </w:t>
      </w:r>
      <w:r w:rsidRPr="002414E9">
        <w:rPr>
          <w:rFonts w:eastAsia="DengXian" w:cs="Times New Roman"/>
          <w:noProof/>
          <w:lang w:eastAsia="zh-CN"/>
        </w:rPr>
        <w:t xml:space="preserve">Measuring social anxiety related interpersonal constraint with the flexible iterated prisoner’s dilemma. </w:t>
      </w:r>
      <w:r w:rsidRPr="002414E9">
        <w:rPr>
          <w:rFonts w:eastAsia="DengXian" w:cs="Times New Roman"/>
          <w:i/>
          <w:iCs/>
          <w:noProof/>
          <w:lang w:eastAsia="zh-CN"/>
        </w:rPr>
        <w:t>Journal of Anxiety Disorders</w:t>
      </w:r>
      <w:r w:rsidRPr="002414E9">
        <w:rPr>
          <w:rFonts w:eastAsia="DengXian" w:cs="Times New Roman"/>
          <w:noProof/>
          <w:lang w:eastAsia="zh-CN"/>
        </w:rPr>
        <w:t xml:space="preserve">, </w:t>
      </w:r>
      <w:r w:rsidRPr="002414E9">
        <w:rPr>
          <w:rFonts w:eastAsia="DengXian" w:cs="Times New Roman"/>
          <w:i/>
          <w:iCs/>
          <w:noProof/>
          <w:lang w:eastAsia="zh-CN"/>
        </w:rPr>
        <w:t>25</w:t>
      </w:r>
      <w:r w:rsidRPr="002414E9">
        <w:rPr>
          <w:rFonts w:eastAsia="DengXian" w:cs="Times New Roman"/>
          <w:noProof/>
          <w:lang w:eastAsia="zh-CN"/>
        </w:rPr>
        <w:t>(3), 427–436. https://doi.org/10.1016/j.janxdis.2010.11.006</w:t>
      </w:r>
    </w:p>
    <w:p w14:paraId="5B6C6302" w14:textId="1B03C72B" w:rsidR="002414E9" w:rsidRPr="002414E9" w:rsidRDefault="002414E9" w:rsidP="002414E9">
      <w:pPr>
        <w:widowControl w:val="0"/>
        <w:autoSpaceDE w:val="0"/>
        <w:autoSpaceDN w:val="0"/>
        <w:adjustRightInd w:val="0"/>
        <w:ind w:left="709" w:hanging="709"/>
        <w:rPr>
          <w:rFonts w:eastAsia="DengXian" w:cs="Times New Roman"/>
          <w:noProof/>
          <w:lang w:val="fr-FR" w:eastAsia="zh-CN"/>
        </w:rPr>
      </w:pPr>
      <w:r w:rsidRPr="002414E9">
        <w:rPr>
          <w:rFonts w:eastAsia="DengXian" w:cs="Times New Roman"/>
          <w:noProof/>
          <w:lang w:eastAsia="zh-CN"/>
        </w:rPr>
        <w:t xml:space="preserve">Romano, A., &amp; Balliet, D. (2017). Reciprocity outperforms conformity to promote cooperation. </w:t>
      </w:r>
      <w:r w:rsidRPr="002414E9">
        <w:rPr>
          <w:rFonts w:eastAsia="DengXian" w:cs="Times New Roman"/>
          <w:i/>
          <w:iCs/>
          <w:noProof/>
          <w:lang w:val="fr-FR" w:eastAsia="zh-CN"/>
        </w:rPr>
        <w:t>Psychological Science</w:t>
      </w:r>
      <w:r w:rsidRPr="002414E9">
        <w:rPr>
          <w:rFonts w:eastAsia="DengXian" w:cs="Times New Roman"/>
          <w:noProof/>
          <w:lang w:val="fr-FR" w:eastAsia="zh-CN"/>
        </w:rPr>
        <w:t xml:space="preserve">, </w:t>
      </w:r>
      <w:r w:rsidRPr="002414E9">
        <w:rPr>
          <w:rFonts w:eastAsia="DengXian" w:cs="Times New Roman"/>
          <w:i/>
          <w:iCs/>
          <w:noProof/>
          <w:lang w:val="fr-FR" w:eastAsia="zh-CN"/>
        </w:rPr>
        <w:t>28</w:t>
      </w:r>
      <w:r w:rsidRPr="002414E9">
        <w:rPr>
          <w:rFonts w:eastAsia="DengXian" w:cs="Times New Roman"/>
          <w:noProof/>
          <w:lang w:val="fr-FR" w:eastAsia="zh-CN"/>
        </w:rPr>
        <w:t>(10), 1490–1502. https://doi.org/10.1177/0956797617714828</w:t>
      </w:r>
    </w:p>
    <w:p w14:paraId="681F1CD0" w14:textId="7AFC743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Romano, A., Balliet, D., &amp; Wu, J. (2017). </w:t>
      </w:r>
      <w:r w:rsidRPr="002414E9">
        <w:rPr>
          <w:rFonts w:eastAsia="DengXian" w:cs="Times New Roman"/>
          <w:noProof/>
          <w:lang w:eastAsia="zh-CN"/>
        </w:rPr>
        <w:t xml:space="preserve">Unbounded indirect reciprocity: Is reputation-based cooperation bounded by group membership? </w:t>
      </w:r>
      <w:r w:rsidRPr="002414E9">
        <w:rPr>
          <w:rFonts w:eastAsia="DengXian" w:cs="Times New Roman"/>
          <w:i/>
          <w:iCs/>
          <w:noProof/>
          <w:lang w:eastAsia="zh-CN"/>
        </w:rPr>
        <w:t>Journal of Experimental Social Psychology</w:t>
      </w:r>
      <w:r w:rsidRPr="002414E9">
        <w:rPr>
          <w:rFonts w:eastAsia="DengXian" w:cs="Times New Roman"/>
          <w:noProof/>
          <w:lang w:eastAsia="zh-CN"/>
        </w:rPr>
        <w:t xml:space="preserve">, </w:t>
      </w:r>
      <w:r w:rsidRPr="002414E9">
        <w:rPr>
          <w:rFonts w:eastAsia="DengXian" w:cs="Times New Roman"/>
          <w:i/>
          <w:iCs/>
          <w:noProof/>
          <w:lang w:eastAsia="zh-CN"/>
        </w:rPr>
        <w:t>71</w:t>
      </w:r>
      <w:r w:rsidRPr="002414E9">
        <w:rPr>
          <w:rFonts w:eastAsia="DengXian" w:cs="Times New Roman"/>
          <w:noProof/>
          <w:lang w:eastAsia="zh-CN"/>
        </w:rPr>
        <w:t>, 59–67. https://doi.org/10.1016/j.jesp.2017.02.008</w:t>
      </w:r>
    </w:p>
    <w:p w14:paraId="76F85F62" w14:textId="305FC9B8" w:rsidR="002414E9" w:rsidRPr="002414E9" w:rsidRDefault="002414E9" w:rsidP="002414E9">
      <w:pPr>
        <w:widowControl w:val="0"/>
        <w:autoSpaceDE w:val="0"/>
        <w:autoSpaceDN w:val="0"/>
        <w:adjustRightInd w:val="0"/>
        <w:ind w:left="709" w:hanging="709"/>
        <w:rPr>
          <w:rFonts w:eastAsia="DengXian" w:cs="Times New Roman"/>
          <w:bCs/>
          <w:noProof/>
          <w:lang w:eastAsia="zh-CN"/>
        </w:rPr>
      </w:pPr>
      <w:bookmarkStart w:id="106" w:name="_Hlk74307492"/>
      <w:r w:rsidRPr="002414E9">
        <w:rPr>
          <w:rFonts w:eastAsia="DengXian" w:cs="Times New Roman"/>
          <w:bCs/>
          <w:noProof/>
          <w:lang w:eastAsia="zh-CN"/>
        </w:rPr>
        <w:t xml:space="preserve">Romano, V. E. (2007). </w:t>
      </w:r>
      <w:r w:rsidRPr="002414E9">
        <w:rPr>
          <w:rFonts w:eastAsia="DengXian" w:cs="Times New Roman"/>
          <w:bCs/>
          <w:i/>
          <w:iCs/>
          <w:noProof/>
          <w:lang w:eastAsia="zh-CN"/>
        </w:rPr>
        <w:t xml:space="preserve">Race, gender, and the prisoner's dilemma: A study in social dilemma cooperation </w:t>
      </w:r>
      <w:bookmarkStart w:id="107" w:name="_Hlk54460383"/>
      <w:r w:rsidRPr="002414E9">
        <w:rPr>
          <w:rFonts w:eastAsia="DengXian" w:cs="Times New Roman"/>
          <w:bCs/>
          <w:noProof/>
          <w:lang w:eastAsia="zh-CN"/>
        </w:rPr>
        <w:t>[Unpublished doctoral dissertation]. University of Florida</w:t>
      </w:r>
      <w:bookmarkEnd w:id="107"/>
      <w:r w:rsidRPr="002414E9">
        <w:rPr>
          <w:rFonts w:eastAsia="DengXian" w:cs="Times New Roman"/>
          <w:bCs/>
          <w:noProof/>
          <w:lang w:eastAsia="zh-CN"/>
        </w:rPr>
        <w:t>. https://ufdcimages.uflib.ufl.edu/UF/E0/01/89/61/00001/romano_v.pdf</w:t>
      </w:r>
    </w:p>
    <w:bookmarkEnd w:id="106"/>
    <w:p w14:paraId="3170332E" w14:textId="0A861A1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Rondeau, D., D. Schulze, W., &amp; Poe, G. L. (1999). </w:t>
      </w:r>
      <w:r w:rsidRPr="002414E9">
        <w:rPr>
          <w:rFonts w:eastAsia="DengXian" w:cs="Times New Roman"/>
          <w:noProof/>
          <w:lang w:eastAsia="zh-CN"/>
        </w:rPr>
        <w:t xml:space="preserve">Voluntary revelation of the demand for public goods using a provision point mechanism.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72</w:t>
      </w:r>
      <w:r w:rsidRPr="002414E9">
        <w:rPr>
          <w:rFonts w:eastAsia="DengXian" w:cs="Times New Roman"/>
          <w:noProof/>
          <w:lang w:eastAsia="zh-CN"/>
        </w:rPr>
        <w:t>(3), 455–470. https://doi.org/10.1016/S0047-2727(98)00104-2</w:t>
      </w:r>
    </w:p>
    <w:p w14:paraId="386839DD" w14:textId="55A284FE"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Rosen, J., &amp; Haaga, D. A. (1998). Facilitating cooperation in a social dilemma: A persuasion approach. </w:t>
      </w:r>
      <w:r w:rsidRPr="002414E9">
        <w:rPr>
          <w:rFonts w:eastAsia="DengXian" w:cs="Times New Roman"/>
          <w:bCs/>
          <w:i/>
          <w:iCs/>
          <w:noProof/>
          <w:lang w:eastAsia="zh-CN"/>
        </w:rPr>
        <w:t>The Journal of Psychology</w:t>
      </w:r>
      <w:r w:rsidRPr="002414E9">
        <w:rPr>
          <w:rFonts w:eastAsia="DengXian" w:cs="Times New Roman"/>
          <w:bCs/>
          <w:noProof/>
          <w:lang w:eastAsia="zh-CN"/>
        </w:rPr>
        <w:t xml:space="preserve">, </w:t>
      </w:r>
      <w:r w:rsidRPr="002414E9">
        <w:rPr>
          <w:rFonts w:eastAsia="DengXian" w:cs="Times New Roman"/>
          <w:bCs/>
          <w:i/>
          <w:iCs/>
          <w:noProof/>
          <w:lang w:eastAsia="zh-CN"/>
        </w:rPr>
        <w:t>132</w:t>
      </w:r>
      <w:r w:rsidRPr="002414E9">
        <w:rPr>
          <w:rFonts w:eastAsia="DengXian" w:cs="Times New Roman"/>
          <w:bCs/>
          <w:noProof/>
          <w:lang w:eastAsia="zh-CN"/>
        </w:rPr>
        <w:t>(2), 143–153. https://doi.org/10.1080/00223989809599155</w:t>
      </w:r>
    </w:p>
    <w:p w14:paraId="11809813" w14:textId="56D4F26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lastRenderedPageBreak/>
        <w:t xml:space="preserve">Rosenbaum, S. M., Billinger, S., &amp; Stieglitz, N. (2012). </w:t>
      </w:r>
      <w:r w:rsidRPr="002414E9">
        <w:rPr>
          <w:rFonts w:eastAsia="DengXian" w:cs="Times New Roman"/>
          <w:noProof/>
          <w:lang w:eastAsia="zh-CN"/>
        </w:rPr>
        <w:t xml:space="preserve">Safeguarding common-pool resources in transition economies: Experimental evidence from central Asia. </w:t>
      </w:r>
      <w:r w:rsidRPr="002414E9">
        <w:rPr>
          <w:rFonts w:eastAsia="DengXian" w:cs="Times New Roman"/>
          <w:i/>
          <w:iCs/>
          <w:noProof/>
          <w:lang w:eastAsia="zh-CN"/>
        </w:rPr>
        <w:t>Journal of Development Studies</w:t>
      </w:r>
      <w:r w:rsidRPr="002414E9">
        <w:rPr>
          <w:rFonts w:eastAsia="DengXian" w:cs="Times New Roman"/>
          <w:noProof/>
          <w:lang w:eastAsia="zh-CN"/>
        </w:rPr>
        <w:t xml:space="preserve">, </w:t>
      </w:r>
      <w:r w:rsidRPr="002414E9">
        <w:rPr>
          <w:rFonts w:eastAsia="DengXian" w:cs="Times New Roman"/>
          <w:i/>
          <w:iCs/>
          <w:noProof/>
          <w:lang w:eastAsia="zh-CN"/>
        </w:rPr>
        <w:t>48</w:t>
      </w:r>
      <w:r w:rsidRPr="002414E9">
        <w:rPr>
          <w:rFonts w:eastAsia="DengXian" w:cs="Times New Roman"/>
          <w:noProof/>
          <w:lang w:eastAsia="zh-CN"/>
        </w:rPr>
        <w:t>(11), 1683–1697. https://doi.org/10.1080/00220388.2012.693169</w:t>
      </w:r>
    </w:p>
    <w:p w14:paraId="0D56BAA4" w14:textId="45D5B83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Rosenbaum, S. M., Billinger, S., Twerefou, D. K., &amp; Isola, W. A. (2016). Income inequality and cooperative propensities in developing economies. </w:t>
      </w:r>
      <w:r w:rsidRPr="002414E9">
        <w:rPr>
          <w:rFonts w:eastAsia="DengXian" w:cs="Times New Roman"/>
          <w:i/>
          <w:iCs/>
          <w:noProof/>
          <w:lang w:eastAsia="zh-CN"/>
        </w:rPr>
        <w:t>International Journal of Social Economics</w:t>
      </w:r>
      <w:r w:rsidRPr="002414E9">
        <w:rPr>
          <w:rFonts w:eastAsia="DengXian" w:cs="Times New Roman"/>
          <w:noProof/>
          <w:lang w:eastAsia="zh-CN"/>
        </w:rPr>
        <w:t xml:space="preserve">, </w:t>
      </w:r>
      <w:r w:rsidRPr="002414E9">
        <w:rPr>
          <w:rFonts w:eastAsia="DengXian" w:cs="Times New Roman"/>
          <w:i/>
          <w:iCs/>
          <w:noProof/>
          <w:lang w:eastAsia="zh-CN"/>
        </w:rPr>
        <w:t>43</w:t>
      </w:r>
      <w:r w:rsidRPr="002414E9">
        <w:rPr>
          <w:rFonts w:eastAsia="DengXian" w:cs="Times New Roman"/>
          <w:noProof/>
          <w:lang w:eastAsia="zh-CN"/>
        </w:rPr>
        <w:t>(12), 1460–1480. https://doi.org/10.1108/IJSE-04-2015-0109</w:t>
      </w:r>
    </w:p>
    <w:p w14:paraId="5342DFB9" w14:textId="3309FE9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s-ES" w:eastAsia="zh-CN"/>
        </w:rPr>
        <w:t xml:space="preserve">Ros-Galvez, A., &amp; Rosa-Garcia, A. (2015). </w:t>
      </w:r>
      <w:r w:rsidRPr="002414E9">
        <w:rPr>
          <w:rFonts w:eastAsia="DengXian" w:cs="Times New Roman"/>
          <w:noProof/>
          <w:lang w:eastAsia="zh-CN"/>
        </w:rPr>
        <w:t xml:space="preserve">Private provision of a public good: cooperation and altruism of internet forum users. </w:t>
      </w:r>
      <w:r w:rsidRPr="002414E9">
        <w:rPr>
          <w:rFonts w:eastAsia="DengXian" w:cs="Times New Roman"/>
          <w:i/>
          <w:iCs/>
          <w:noProof/>
          <w:lang w:eastAsia="zh-CN"/>
        </w:rPr>
        <w:t>International Journal of the Commons</w:t>
      </w:r>
      <w:r w:rsidRPr="002414E9">
        <w:rPr>
          <w:rFonts w:eastAsia="DengXian" w:cs="Times New Roman"/>
          <w:noProof/>
          <w:lang w:eastAsia="zh-CN"/>
        </w:rPr>
        <w:t xml:space="preserve">, </w:t>
      </w:r>
      <w:r w:rsidRPr="002414E9">
        <w:rPr>
          <w:rFonts w:eastAsia="DengXian" w:cs="Times New Roman"/>
          <w:i/>
          <w:iCs/>
          <w:noProof/>
          <w:lang w:eastAsia="zh-CN"/>
        </w:rPr>
        <w:t>9</w:t>
      </w:r>
      <w:r w:rsidRPr="002414E9">
        <w:rPr>
          <w:rFonts w:eastAsia="DengXian" w:cs="Times New Roman"/>
          <w:noProof/>
          <w:lang w:eastAsia="zh-CN"/>
        </w:rPr>
        <w:t>(2), 720–743. https://doi.org/10.18352/ijc.554</w:t>
      </w:r>
    </w:p>
    <w:p w14:paraId="478D943F" w14:textId="21798994"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Roth, A. E., &amp; Murnighan, J. K. (1978). Equilibrium behavior and repeated play of the prisoner's dilemma. </w:t>
      </w:r>
      <w:r w:rsidRPr="002414E9">
        <w:rPr>
          <w:rFonts w:eastAsia="DengXian" w:cs="Times New Roman"/>
          <w:bCs/>
          <w:i/>
          <w:iCs/>
          <w:noProof/>
          <w:lang w:eastAsia="zh-CN"/>
        </w:rPr>
        <w:t>Journal of Mathematical Psychology</w:t>
      </w:r>
      <w:r w:rsidRPr="002414E9">
        <w:rPr>
          <w:rFonts w:eastAsia="DengXian" w:cs="Times New Roman"/>
          <w:bCs/>
          <w:noProof/>
          <w:lang w:eastAsia="zh-CN"/>
        </w:rPr>
        <w:t xml:space="preserve">, </w:t>
      </w:r>
      <w:r w:rsidRPr="002414E9">
        <w:rPr>
          <w:rFonts w:eastAsia="DengXian" w:cs="Times New Roman"/>
          <w:bCs/>
          <w:i/>
          <w:iCs/>
          <w:noProof/>
          <w:lang w:eastAsia="zh-CN"/>
        </w:rPr>
        <w:t>17</w:t>
      </w:r>
      <w:r w:rsidRPr="002414E9">
        <w:rPr>
          <w:rFonts w:eastAsia="DengXian" w:cs="Times New Roman"/>
          <w:bCs/>
          <w:noProof/>
          <w:lang w:eastAsia="zh-CN"/>
        </w:rPr>
        <w:t>(2), 189–198. https://doi.org/10.1016/0022-2496(78)90030-5</w:t>
      </w:r>
    </w:p>
    <w:p w14:paraId="1D7D1F23" w14:textId="4E9FC39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Rumble, A. C., Van Lange, P. A. M., &amp; Parks, C. D. (2009). </w:t>
      </w:r>
      <w:r w:rsidRPr="002414E9">
        <w:rPr>
          <w:rFonts w:eastAsia="DengXian" w:cs="Times New Roman"/>
          <w:noProof/>
          <w:lang w:eastAsia="zh-CN"/>
        </w:rPr>
        <w:t xml:space="preserve">The benefits of empathy: When empathy may sustain cooperation in social dilemmas. </w:t>
      </w:r>
      <w:r w:rsidRPr="002414E9">
        <w:rPr>
          <w:rFonts w:eastAsia="DengXian" w:cs="Times New Roman"/>
          <w:i/>
          <w:iCs/>
          <w:noProof/>
          <w:lang w:eastAsia="zh-CN"/>
        </w:rPr>
        <w:t>European Journal of Social Psychology, 40</w:t>
      </w:r>
      <w:r w:rsidRPr="002414E9">
        <w:rPr>
          <w:rFonts w:eastAsia="DengXian" w:cs="Times New Roman"/>
          <w:noProof/>
          <w:lang w:eastAsia="zh-CN"/>
        </w:rPr>
        <w:t>(50), 856–866. https://doi.org/10.1002/ejsp.659</w:t>
      </w:r>
    </w:p>
    <w:p w14:paraId="64204AEB" w14:textId="6220377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Rutte, C. G., Wilke, H. A. M., &amp; Messick, D. M. (1987). </w:t>
      </w:r>
      <w:r w:rsidRPr="002414E9">
        <w:rPr>
          <w:rFonts w:eastAsia="DengXian" w:cs="Times New Roman"/>
          <w:noProof/>
          <w:lang w:eastAsia="zh-CN"/>
        </w:rPr>
        <w:t xml:space="preserve">The effects of framing social dilemmas as give-some or take-some games. </w:t>
      </w:r>
      <w:r w:rsidRPr="002414E9">
        <w:rPr>
          <w:rFonts w:eastAsia="DengXian" w:cs="Times New Roman"/>
          <w:i/>
          <w:iCs/>
          <w:noProof/>
          <w:lang w:eastAsia="zh-CN"/>
        </w:rPr>
        <w:t>British Journal of Social Psychology</w:t>
      </w:r>
      <w:r w:rsidRPr="002414E9">
        <w:rPr>
          <w:rFonts w:eastAsia="DengXian" w:cs="Times New Roman"/>
          <w:noProof/>
          <w:lang w:eastAsia="zh-CN"/>
        </w:rPr>
        <w:t xml:space="preserve">, </w:t>
      </w:r>
      <w:r w:rsidRPr="002414E9">
        <w:rPr>
          <w:rFonts w:eastAsia="DengXian" w:cs="Times New Roman"/>
          <w:i/>
          <w:iCs/>
          <w:noProof/>
          <w:lang w:eastAsia="zh-CN"/>
        </w:rPr>
        <w:t>26</w:t>
      </w:r>
      <w:r w:rsidRPr="002414E9">
        <w:rPr>
          <w:rFonts w:eastAsia="DengXian" w:cs="Times New Roman"/>
          <w:noProof/>
          <w:lang w:eastAsia="zh-CN"/>
        </w:rPr>
        <w:t>(2), 103–108. https://doi.org/10.1111/j.2044-8309.1987.tb00770.x</w:t>
      </w:r>
    </w:p>
    <w:p w14:paraId="45E704F8" w14:textId="08FDFEB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Sääksvuori, L. (2014). Intergroup conflict, ostracism, and the evolution of cooperation under free migration. </w:t>
      </w:r>
      <w:r w:rsidRPr="002414E9">
        <w:rPr>
          <w:rFonts w:eastAsia="DengXian" w:cs="Times New Roman"/>
          <w:i/>
          <w:iCs/>
          <w:noProof/>
          <w:lang w:eastAsia="zh-CN"/>
        </w:rPr>
        <w:t>Behavioral Ecology and Sociobiology</w:t>
      </w:r>
      <w:r w:rsidRPr="002414E9">
        <w:rPr>
          <w:rFonts w:eastAsia="DengXian" w:cs="Times New Roman"/>
          <w:noProof/>
          <w:lang w:eastAsia="zh-CN"/>
        </w:rPr>
        <w:t xml:space="preserve">, </w:t>
      </w:r>
      <w:r w:rsidRPr="002414E9">
        <w:rPr>
          <w:rFonts w:eastAsia="DengXian" w:cs="Times New Roman"/>
          <w:i/>
          <w:iCs/>
          <w:noProof/>
          <w:lang w:eastAsia="zh-CN"/>
        </w:rPr>
        <w:t>68</w:t>
      </w:r>
      <w:r w:rsidRPr="002414E9">
        <w:rPr>
          <w:rFonts w:eastAsia="DengXian" w:cs="Times New Roman"/>
          <w:noProof/>
          <w:lang w:eastAsia="zh-CN"/>
        </w:rPr>
        <w:t>(8), 1311–1319. https://doi.org/10.1007/s00265-014-1741-8</w:t>
      </w:r>
    </w:p>
    <w:p w14:paraId="4AB671A3" w14:textId="1320BA4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Sääksvuori, L., Mappes, T., &amp; Puurtinen, M. (2011). </w:t>
      </w:r>
      <w:r w:rsidRPr="002414E9">
        <w:rPr>
          <w:rFonts w:eastAsia="DengXian" w:cs="Times New Roman"/>
          <w:noProof/>
          <w:lang w:eastAsia="zh-CN"/>
        </w:rPr>
        <w:t xml:space="preserve">Costly punishment prevails in intergroup conflict. </w:t>
      </w:r>
      <w:r w:rsidRPr="002414E9">
        <w:rPr>
          <w:rFonts w:eastAsia="DengXian" w:cs="Times New Roman"/>
          <w:i/>
          <w:iCs/>
          <w:noProof/>
          <w:lang w:eastAsia="zh-CN"/>
        </w:rPr>
        <w:t>Proceedings of the Royal Society B: Biological Sciences</w:t>
      </w:r>
      <w:r w:rsidRPr="002414E9">
        <w:rPr>
          <w:rFonts w:eastAsia="DengXian" w:cs="Times New Roman"/>
          <w:noProof/>
          <w:lang w:eastAsia="zh-CN"/>
        </w:rPr>
        <w:t xml:space="preserve">, </w:t>
      </w:r>
      <w:r w:rsidRPr="002414E9">
        <w:rPr>
          <w:rFonts w:eastAsia="DengXian" w:cs="Times New Roman"/>
          <w:i/>
          <w:iCs/>
          <w:noProof/>
          <w:lang w:eastAsia="zh-CN"/>
        </w:rPr>
        <w:t>278</w:t>
      </w:r>
      <w:r w:rsidRPr="002414E9">
        <w:rPr>
          <w:rFonts w:eastAsia="DengXian" w:cs="Times New Roman"/>
          <w:noProof/>
          <w:lang w:eastAsia="zh-CN"/>
        </w:rPr>
        <w:t xml:space="preserve">, 3428–3436. </w:t>
      </w:r>
      <w:r w:rsidRPr="002414E9">
        <w:rPr>
          <w:rFonts w:eastAsia="DengXian" w:cs="Times New Roman"/>
          <w:noProof/>
          <w:lang w:eastAsia="zh-CN"/>
        </w:rPr>
        <w:lastRenderedPageBreak/>
        <w:t>https://doi.org/10.1098/rspb.2011.0252</w:t>
      </w:r>
    </w:p>
    <w:p w14:paraId="5432685C" w14:textId="3EE2E86F"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Safin, V., Arfer, K. B., &amp; Rachlin, H. (2015). </w:t>
      </w:r>
      <w:r w:rsidRPr="002414E9">
        <w:rPr>
          <w:rFonts w:eastAsia="DengXian" w:cs="Times New Roman"/>
          <w:bCs/>
          <w:noProof/>
          <w:lang w:eastAsia="zh-CN"/>
        </w:rPr>
        <w:t xml:space="preserve">Reciprocation and altruism in social cooperation. </w:t>
      </w:r>
      <w:r w:rsidRPr="002414E9">
        <w:rPr>
          <w:rFonts w:eastAsia="DengXian" w:cs="Times New Roman"/>
          <w:bCs/>
          <w:i/>
          <w:iCs/>
          <w:noProof/>
          <w:lang w:eastAsia="zh-CN"/>
        </w:rPr>
        <w:t>Behavioural Processes</w:t>
      </w:r>
      <w:r w:rsidRPr="002414E9">
        <w:rPr>
          <w:rFonts w:eastAsia="DengXian" w:cs="Times New Roman"/>
          <w:bCs/>
          <w:noProof/>
          <w:lang w:eastAsia="zh-CN"/>
        </w:rPr>
        <w:t xml:space="preserve">, </w:t>
      </w:r>
      <w:r w:rsidRPr="002414E9">
        <w:rPr>
          <w:rFonts w:eastAsia="DengXian" w:cs="Times New Roman"/>
          <w:bCs/>
          <w:i/>
          <w:iCs/>
          <w:noProof/>
          <w:lang w:eastAsia="zh-CN"/>
        </w:rPr>
        <w:t>116</w:t>
      </w:r>
      <w:r w:rsidRPr="002414E9">
        <w:rPr>
          <w:rFonts w:eastAsia="DengXian" w:cs="Times New Roman"/>
          <w:bCs/>
          <w:noProof/>
          <w:lang w:eastAsia="zh-CN"/>
        </w:rPr>
        <w:t>, 12–16. https://doi.org/10.1016/j.beproc.2015.04.009</w:t>
      </w:r>
    </w:p>
    <w:p w14:paraId="2CDA6BB6"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n-GB" w:eastAsia="zh-CN"/>
        </w:rPr>
        <w:t xml:space="preserve">Saijo, T., &amp; Nakamura, H. (1995). </w:t>
      </w:r>
      <w:r w:rsidRPr="002414E9">
        <w:rPr>
          <w:rFonts w:eastAsia="DengXian" w:cs="Times New Roman"/>
          <w:noProof/>
          <w:lang w:eastAsia="zh-CN"/>
        </w:rPr>
        <w:t xml:space="preserve">The “spite” dilemma in voluntary contribution mechanism experiments. </w:t>
      </w:r>
      <w:r w:rsidRPr="002414E9">
        <w:rPr>
          <w:rFonts w:eastAsia="DengXian" w:cs="Times New Roman"/>
          <w:i/>
          <w:iCs/>
          <w:noProof/>
          <w:lang w:eastAsia="zh-CN"/>
        </w:rPr>
        <w:t>Journal of Conflict Resolution</w:t>
      </w:r>
      <w:r w:rsidRPr="002414E9">
        <w:rPr>
          <w:rFonts w:eastAsia="DengXian" w:cs="Times New Roman"/>
          <w:noProof/>
          <w:lang w:eastAsia="zh-CN"/>
        </w:rPr>
        <w:t xml:space="preserve">, </w:t>
      </w:r>
      <w:r w:rsidRPr="002414E9">
        <w:rPr>
          <w:rFonts w:eastAsia="DengXian" w:cs="Times New Roman"/>
          <w:i/>
          <w:iCs/>
          <w:noProof/>
          <w:lang w:eastAsia="zh-CN"/>
        </w:rPr>
        <w:t>39</w:t>
      </w:r>
      <w:r w:rsidRPr="002414E9">
        <w:rPr>
          <w:rFonts w:eastAsia="DengXian" w:cs="Times New Roman"/>
          <w:noProof/>
          <w:lang w:eastAsia="zh-CN"/>
        </w:rPr>
        <w:t>(3), 535–560. https://doi.org/10.1177/0022002795039003007</w:t>
      </w:r>
    </w:p>
    <w:p w14:paraId="5262FA3C" w14:textId="21FBCE3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Saito, I., &amp; Inoue, R. (1971). Kyōdō, kyōsō to jikohyōka [Cooperation, competition and self-esteem]. </w:t>
      </w:r>
      <w:r w:rsidRPr="002414E9">
        <w:rPr>
          <w:rFonts w:eastAsia="DengXian" w:cs="Times New Roman"/>
          <w:i/>
          <w:iCs/>
          <w:noProof/>
          <w:lang w:eastAsia="zh-CN"/>
        </w:rPr>
        <w:t>The Japanese Journal of Psychology</w:t>
      </w:r>
      <w:r w:rsidRPr="002414E9">
        <w:rPr>
          <w:rFonts w:eastAsia="DengXian" w:cs="Times New Roman"/>
          <w:noProof/>
          <w:lang w:eastAsia="zh-CN"/>
        </w:rPr>
        <w:t xml:space="preserve">, </w:t>
      </w:r>
      <w:r w:rsidRPr="002414E9">
        <w:rPr>
          <w:rFonts w:eastAsia="DengXian" w:cs="Times New Roman"/>
          <w:i/>
          <w:iCs/>
          <w:noProof/>
          <w:lang w:eastAsia="zh-CN"/>
        </w:rPr>
        <w:t>42</w:t>
      </w:r>
      <w:r w:rsidRPr="002414E9">
        <w:rPr>
          <w:rFonts w:eastAsia="DengXian" w:cs="Times New Roman"/>
          <w:noProof/>
          <w:lang w:eastAsia="zh-CN"/>
        </w:rPr>
        <w:t>(3), 147–152. https://doi.org/10.4992/jjpsy.42.147</w:t>
      </w:r>
    </w:p>
    <w:p w14:paraId="3A26B6D3" w14:textId="54227F9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Saito, K. (1991). Jikken gēmu bamen ni okeru taijin teki shikōsei no kōka: Sensaku teki sentaku o mōketa shūjin no jirenma gēmu o mochiite</w:t>
      </w:r>
      <w:r w:rsidRPr="002414E9">
        <w:rPr>
          <w:rFonts w:eastAsia="DengXian" w:cs="Times New Roman" w:hint="eastAsia"/>
          <w:noProof/>
          <w:lang w:eastAsia="zh-CN"/>
        </w:rPr>
        <w:t xml:space="preserve"> </w:t>
      </w:r>
      <w:r w:rsidRPr="002414E9">
        <w:rPr>
          <w:rFonts w:eastAsia="DengXian" w:cs="Times New Roman"/>
          <w:noProof/>
          <w:lang w:eastAsia="zh-CN"/>
        </w:rPr>
        <w:t xml:space="preserve">[The effects of interpersonal orientation in prisoner’s dilemma game with a seeking choice]. </w:t>
      </w:r>
      <w:r w:rsidRPr="002414E9">
        <w:rPr>
          <w:rFonts w:eastAsia="DengXian" w:cs="Times New Roman"/>
          <w:i/>
          <w:iCs/>
          <w:noProof/>
          <w:lang w:eastAsia="zh-CN"/>
        </w:rPr>
        <w:t>The Japanese Journal of Experimental Social Psychology</w:t>
      </w:r>
      <w:r w:rsidRPr="002414E9">
        <w:rPr>
          <w:rFonts w:eastAsia="DengXian" w:cs="Times New Roman"/>
          <w:noProof/>
          <w:lang w:eastAsia="zh-CN"/>
        </w:rPr>
        <w:t xml:space="preserve">, </w:t>
      </w:r>
      <w:r w:rsidRPr="002414E9">
        <w:rPr>
          <w:rFonts w:eastAsia="DengXian" w:cs="Times New Roman"/>
          <w:i/>
          <w:iCs/>
          <w:noProof/>
          <w:lang w:eastAsia="zh-CN"/>
        </w:rPr>
        <w:t>31</w:t>
      </w:r>
      <w:r w:rsidRPr="002414E9">
        <w:rPr>
          <w:rFonts w:eastAsia="DengXian" w:cs="Times New Roman"/>
          <w:noProof/>
          <w:lang w:eastAsia="zh-CN"/>
        </w:rPr>
        <w:t>(2), 121–131. https://doi.org/10.2130/jjesp.31.121</w:t>
      </w:r>
    </w:p>
    <w:p w14:paraId="7A408D1F" w14:textId="4A86013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Saito, N., Ando, Y., &amp; Ohira, H. (2016). Kōkyōzai gēmu ni okeru ishi kettei to seiriteki hannō: Shinpaku hannō ni yoru kentō [Decision-making and physiological responses in public goods game:Measurement of heart rate responses]. </w:t>
      </w:r>
      <w:r w:rsidRPr="002414E9">
        <w:rPr>
          <w:rFonts w:eastAsia="DengXian" w:cs="Times New Roman"/>
          <w:i/>
          <w:iCs/>
          <w:noProof/>
          <w:lang w:eastAsia="zh-CN"/>
        </w:rPr>
        <w:t>Journal of Human Environmental Studies</w:t>
      </w:r>
      <w:r w:rsidRPr="002414E9">
        <w:rPr>
          <w:rFonts w:eastAsia="DengXian" w:cs="Times New Roman"/>
          <w:noProof/>
          <w:lang w:eastAsia="zh-CN"/>
        </w:rPr>
        <w:t xml:space="preserve">, </w:t>
      </w:r>
      <w:r w:rsidRPr="002414E9">
        <w:rPr>
          <w:rFonts w:eastAsia="DengXian" w:cs="Times New Roman"/>
          <w:i/>
          <w:iCs/>
          <w:noProof/>
          <w:lang w:eastAsia="zh-CN"/>
        </w:rPr>
        <w:t>14</w:t>
      </w:r>
      <w:r w:rsidRPr="002414E9">
        <w:rPr>
          <w:rFonts w:eastAsia="DengXian" w:cs="Times New Roman"/>
          <w:noProof/>
          <w:lang w:eastAsia="zh-CN"/>
        </w:rPr>
        <w:t>(1), 17–22. https://doi.org/10.4189/shes.14.17</w:t>
      </w:r>
    </w:p>
    <w:p w14:paraId="6746078B" w14:textId="19EF2DCB"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Samid, Y., &amp; Suleiman, R. (2008). Effectiveness of coercive and voluntary institutional solutions to social dilemmas. </w:t>
      </w:r>
      <w:r w:rsidRPr="002414E9">
        <w:rPr>
          <w:rFonts w:eastAsia="DengXian" w:cs="Times New Roman"/>
          <w:bCs/>
          <w:noProof/>
          <w:lang w:val="nl-NL" w:eastAsia="zh-CN"/>
        </w:rPr>
        <w:t xml:space="preserve">In A. Biel, D. Eek, T. Gärling, M. Gustafson (Eds.) </w:t>
      </w:r>
      <w:r w:rsidRPr="002414E9">
        <w:rPr>
          <w:rFonts w:eastAsia="DengXian" w:cs="Times New Roman"/>
          <w:bCs/>
          <w:i/>
          <w:iCs/>
          <w:noProof/>
          <w:lang w:eastAsia="zh-CN"/>
        </w:rPr>
        <w:t>New Issues and Paradigms in Research on Social Dilemmas</w:t>
      </w:r>
      <w:r w:rsidRPr="002414E9">
        <w:rPr>
          <w:rFonts w:eastAsia="DengXian" w:cs="Times New Roman"/>
          <w:bCs/>
          <w:noProof/>
          <w:lang w:eastAsia="zh-CN"/>
        </w:rPr>
        <w:t xml:space="preserve"> (pp. 124–141). Springer.</w:t>
      </w:r>
    </w:p>
    <w:p w14:paraId="7C191E54" w14:textId="10A155D9"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fr-FR" w:eastAsia="zh-CN"/>
        </w:rPr>
        <w:t xml:space="preserve">Sanchez-Pages, S., &amp; Turiegano, E. (2010). </w:t>
      </w:r>
      <w:r w:rsidRPr="002414E9">
        <w:rPr>
          <w:rFonts w:eastAsia="DengXian" w:cs="Times New Roman"/>
          <w:bCs/>
          <w:noProof/>
          <w:lang w:eastAsia="zh-CN"/>
        </w:rPr>
        <w:t xml:space="preserve">Testosterone, facial symmetry and cooperation in the prisoners' dilemma. </w:t>
      </w:r>
      <w:r w:rsidRPr="002414E9">
        <w:rPr>
          <w:rFonts w:eastAsia="DengXian" w:cs="Times New Roman"/>
          <w:bCs/>
          <w:i/>
          <w:iCs/>
          <w:noProof/>
          <w:lang w:eastAsia="zh-CN"/>
        </w:rPr>
        <w:t>Physiology &amp; Behavior</w:t>
      </w:r>
      <w:r w:rsidRPr="002414E9">
        <w:rPr>
          <w:rFonts w:eastAsia="DengXian" w:cs="Times New Roman"/>
          <w:bCs/>
          <w:noProof/>
          <w:lang w:eastAsia="zh-CN"/>
        </w:rPr>
        <w:t xml:space="preserve">, </w:t>
      </w:r>
      <w:r w:rsidRPr="002414E9">
        <w:rPr>
          <w:rFonts w:eastAsia="DengXian" w:cs="Times New Roman"/>
          <w:bCs/>
          <w:i/>
          <w:iCs/>
          <w:noProof/>
          <w:lang w:eastAsia="zh-CN"/>
        </w:rPr>
        <w:t>99</w:t>
      </w:r>
      <w:r w:rsidRPr="002414E9">
        <w:rPr>
          <w:rFonts w:eastAsia="DengXian" w:cs="Times New Roman"/>
          <w:bCs/>
          <w:noProof/>
          <w:lang w:eastAsia="zh-CN"/>
        </w:rPr>
        <w:t>(3), 355–361. https://doi.org/10.1016/j.physbeh.2009.11.013</w:t>
      </w:r>
    </w:p>
    <w:p w14:paraId="6AAD748C" w14:textId="3C03BC89"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lastRenderedPageBreak/>
        <w:t xml:space="preserve">Sandoval, E. B., Brandstetter, J., Obaid, M., &amp; Bartneck, C. (2016). Reciprocity in human-robot interaction: a quantitative approach through the prisoner’s dilemma and the ultimatum game. </w:t>
      </w:r>
      <w:r w:rsidRPr="002414E9">
        <w:rPr>
          <w:rFonts w:eastAsia="DengXian" w:cs="Times New Roman"/>
          <w:bCs/>
          <w:i/>
          <w:iCs/>
          <w:noProof/>
          <w:lang w:eastAsia="zh-CN"/>
        </w:rPr>
        <w:t>International Journal of Social Robotics</w:t>
      </w:r>
      <w:r w:rsidRPr="002414E9">
        <w:rPr>
          <w:rFonts w:eastAsia="DengXian" w:cs="Times New Roman"/>
          <w:bCs/>
          <w:noProof/>
          <w:lang w:eastAsia="zh-CN"/>
        </w:rPr>
        <w:t xml:space="preserve">, </w:t>
      </w:r>
      <w:r w:rsidRPr="002414E9">
        <w:rPr>
          <w:rFonts w:eastAsia="DengXian" w:cs="Times New Roman"/>
          <w:bCs/>
          <w:i/>
          <w:iCs/>
          <w:noProof/>
          <w:lang w:eastAsia="zh-CN"/>
        </w:rPr>
        <w:t>8</w:t>
      </w:r>
      <w:r w:rsidRPr="002414E9">
        <w:rPr>
          <w:rFonts w:eastAsia="DengXian" w:cs="Times New Roman"/>
          <w:bCs/>
          <w:noProof/>
          <w:lang w:eastAsia="zh-CN"/>
        </w:rPr>
        <w:t>(2), 303–317. https://doi.org/10.1007/s12369-015-0323-x</w:t>
      </w:r>
    </w:p>
    <w:p w14:paraId="1B5D1EC4" w14:textId="76649A93"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nl-NL" w:eastAsia="zh-CN"/>
        </w:rPr>
        <w:t xml:space="preserve">Sapulete, S., Van Witteloostuijn, A., &amp; Kaufmann, W. (2014). </w:t>
      </w:r>
      <w:r w:rsidRPr="002414E9">
        <w:rPr>
          <w:rFonts w:eastAsia="DengXian" w:cs="Times New Roman"/>
          <w:bCs/>
          <w:noProof/>
          <w:lang w:eastAsia="zh-CN"/>
        </w:rPr>
        <w:t xml:space="preserve">An experimental study into the influence of works council advice on managerial decision-making. </w:t>
      </w:r>
      <w:r w:rsidRPr="002414E9">
        <w:rPr>
          <w:rFonts w:eastAsia="DengXian" w:cs="Times New Roman"/>
          <w:bCs/>
          <w:i/>
          <w:iCs/>
          <w:noProof/>
          <w:lang w:eastAsia="zh-CN"/>
        </w:rPr>
        <w:t>Scandinavian Journal of Management</w:t>
      </w:r>
      <w:r w:rsidRPr="002414E9">
        <w:rPr>
          <w:rFonts w:eastAsia="DengXian" w:cs="Times New Roman"/>
          <w:bCs/>
          <w:noProof/>
          <w:lang w:eastAsia="zh-CN"/>
        </w:rPr>
        <w:t xml:space="preserve">, </w:t>
      </w:r>
      <w:r w:rsidRPr="002414E9">
        <w:rPr>
          <w:rFonts w:eastAsia="DengXian" w:cs="Times New Roman"/>
          <w:bCs/>
          <w:i/>
          <w:iCs/>
          <w:noProof/>
          <w:lang w:eastAsia="zh-CN"/>
        </w:rPr>
        <w:t>30</w:t>
      </w:r>
      <w:r w:rsidRPr="002414E9">
        <w:rPr>
          <w:rFonts w:eastAsia="DengXian" w:cs="Times New Roman"/>
          <w:bCs/>
          <w:noProof/>
          <w:lang w:eastAsia="zh-CN"/>
        </w:rPr>
        <w:t>(3), 358–371. https://doi.org/10.1016/j.scaman.2014.03.001</w:t>
      </w:r>
    </w:p>
    <w:p w14:paraId="5E71FB00" w14:textId="0C8AEC3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Sarkar, S., &amp; Kwasnica, A. M. (2011). </w:t>
      </w:r>
      <w:r w:rsidRPr="002414E9">
        <w:rPr>
          <w:rFonts w:eastAsia="DengXian" w:cs="Times New Roman"/>
          <w:noProof/>
          <w:lang w:eastAsia="zh-CN"/>
        </w:rPr>
        <w:t xml:space="preserve">On delays in project completion with cost reduction: An experiment. </w:t>
      </w:r>
      <w:r w:rsidRPr="002414E9">
        <w:rPr>
          <w:rFonts w:eastAsia="DengXian" w:cs="Times New Roman"/>
          <w:i/>
          <w:iCs/>
          <w:noProof/>
          <w:lang w:eastAsia="zh-CN"/>
        </w:rPr>
        <w:t>Southern Economic Journal</w:t>
      </w:r>
      <w:r w:rsidRPr="002414E9">
        <w:rPr>
          <w:rFonts w:eastAsia="DengXian" w:cs="Times New Roman"/>
          <w:noProof/>
          <w:lang w:eastAsia="zh-CN"/>
        </w:rPr>
        <w:t xml:space="preserve">, </w:t>
      </w:r>
      <w:r w:rsidRPr="002414E9">
        <w:rPr>
          <w:rFonts w:eastAsia="DengXian" w:cs="Times New Roman"/>
          <w:i/>
          <w:iCs/>
          <w:noProof/>
          <w:lang w:eastAsia="zh-CN"/>
        </w:rPr>
        <w:t>77</w:t>
      </w:r>
      <w:r w:rsidRPr="002414E9">
        <w:rPr>
          <w:rFonts w:eastAsia="DengXian" w:cs="Times New Roman"/>
          <w:noProof/>
          <w:lang w:eastAsia="zh-CN"/>
        </w:rPr>
        <w:t>(3), 557–584. https://doi.org/10.4284/sej.2011.77.3.557</w:t>
      </w:r>
    </w:p>
    <w:p w14:paraId="55B718DF" w14:textId="4893F82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Sato, K. (1988). Trust and group size in a social dilemma. </w:t>
      </w:r>
      <w:r w:rsidRPr="002414E9">
        <w:rPr>
          <w:rFonts w:eastAsia="DengXian" w:cs="Times New Roman"/>
          <w:i/>
          <w:iCs/>
          <w:noProof/>
          <w:lang w:eastAsia="zh-CN"/>
        </w:rPr>
        <w:t>Japanese Psychological Research</w:t>
      </w:r>
      <w:r w:rsidRPr="002414E9">
        <w:rPr>
          <w:rFonts w:eastAsia="DengXian" w:cs="Times New Roman"/>
          <w:noProof/>
          <w:lang w:eastAsia="zh-CN"/>
        </w:rPr>
        <w:t xml:space="preserve">, </w:t>
      </w:r>
      <w:r w:rsidRPr="002414E9">
        <w:rPr>
          <w:rFonts w:eastAsia="DengXian" w:cs="Times New Roman"/>
          <w:i/>
          <w:iCs/>
          <w:noProof/>
          <w:lang w:eastAsia="zh-CN"/>
        </w:rPr>
        <w:t>30</w:t>
      </w:r>
      <w:r w:rsidRPr="002414E9">
        <w:rPr>
          <w:rFonts w:eastAsia="DengXian" w:cs="Times New Roman"/>
          <w:noProof/>
          <w:lang w:eastAsia="zh-CN"/>
        </w:rPr>
        <w:t>(2), 88–93. https://doi.org/10.4992/psycholres1954.30.88</w:t>
      </w:r>
    </w:p>
    <w:p w14:paraId="6C421619" w14:textId="6FA2EC2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Sato, K. (1989). Trust and feedback in a social dilemma. </w:t>
      </w:r>
      <w:r w:rsidRPr="002414E9">
        <w:rPr>
          <w:rFonts w:eastAsia="DengXian" w:cs="Times New Roman"/>
          <w:i/>
          <w:iCs/>
          <w:noProof/>
          <w:lang w:eastAsia="zh-CN"/>
        </w:rPr>
        <w:t>The Japanese Journal of Experimental Social Psychology</w:t>
      </w:r>
      <w:r w:rsidRPr="002414E9">
        <w:rPr>
          <w:rFonts w:eastAsia="DengXian" w:cs="Times New Roman"/>
          <w:noProof/>
          <w:lang w:eastAsia="zh-CN"/>
        </w:rPr>
        <w:t xml:space="preserve">, </w:t>
      </w:r>
      <w:r w:rsidRPr="002414E9">
        <w:rPr>
          <w:rFonts w:eastAsia="DengXian" w:cs="Times New Roman"/>
          <w:i/>
          <w:iCs/>
          <w:noProof/>
          <w:lang w:eastAsia="zh-CN"/>
        </w:rPr>
        <w:t>29</w:t>
      </w:r>
      <w:r w:rsidRPr="002414E9">
        <w:rPr>
          <w:rFonts w:eastAsia="DengXian" w:cs="Times New Roman"/>
          <w:noProof/>
          <w:lang w:eastAsia="zh-CN"/>
        </w:rPr>
        <w:t>(2), 374–389. https://doi.org/10.2130/jjesp.29.123</w:t>
      </w:r>
    </w:p>
    <w:p w14:paraId="3E56BD49" w14:textId="584A1F5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Sato, K., &amp; Yamagishi, T. (1986). Kōkyōzai mondai ni kansuru futatsu no shinteki yōin: Tadanori to shinraikan no ketsujo [Psychological factors in the public goods problem: Free-riding and the lack of trust]. </w:t>
      </w:r>
      <w:r w:rsidRPr="002414E9">
        <w:rPr>
          <w:rFonts w:eastAsia="DengXian" w:cs="Times New Roman"/>
          <w:i/>
          <w:iCs/>
          <w:noProof/>
          <w:lang w:eastAsia="zh-CN"/>
        </w:rPr>
        <w:t>The Japanese Journal of Experimental Social Psychology</w:t>
      </w:r>
      <w:r w:rsidRPr="002414E9">
        <w:rPr>
          <w:rFonts w:eastAsia="DengXian" w:cs="Times New Roman"/>
          <w:noProof/>
          <w:lang w:eastAsia="zh-CN"/>
        </w:rPr>
        <w:t xml:space="preserve">, </w:t>
      </w:r>
      <w:r w:rsidRPr="002414E9">
        <w:rPr>
          <w:rFonts w:eastAsia="DengXian" w:cs="Times New Roman"/>
          <w:i/>
          <w:iCs/>
          <w:noProof/>
          <w:lang w:eastAsia="zh-CN"/>
        </w:rPr>
        <w:t>26</w:t>
      </w:r>
      <w:r w:rsidRPr="002414E9">
        <w:rPr>
          <w:rFonts w:eastAsia="DengXian" w:cs="Times New Roman"/>
          <w:noProof/>
          <w:lang w:eastAsia="zh-CN"/>
        </w:rPr>
        <w:t>(1), 89–95. https://doi.org/10.2130/jjesp.26.89</w:t>
      </w:r>
    </w:p>
    <w:p w14:paraId="20A86B45" w14:textId="2EA0DC4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Sato, Y., &amp; Igarashi, T. (2017). Seigyo shōten to kōshakaisei: Shūjin no jirenma kadai o mochiita kentō [Regulatory focus and preference for cooperation: Choices in Prisoner’s Dilemma tasks]. </w:t>
      </w:r>
      <w:r w:rsidRPr="002414E9">
        <w:rPr>
          <w:rFonts w:eastAsia="DengXian" w:cs="Times New Roman"/>
          <w:i/>
          <w:iCs/>
          <w:noProof/>
          <w:lang w:eastAsia="zh-CN"/>
        </w:rPr>
        <w:t>Japanese Journal of Social Psychology</w:t>
      </w:r>
      <w:r w:rsidRPr="002414E9">
        <w:rPr>
          <w:rFonts w:eastAsia="DengXian" w:cs="Times New Roman"/>
          <w:noProof/>
          <w:lang w:eastAsia="zh-CN"/>
        </w:rPr>
        <w:t xml:space="preserve">, </w:t>
      </w:r>
      <w:r w:rsidRPr="002414E9">
        <w:rPr>
          <w:rFonts w:eastAsia="DengXian" w:cs="Times New Roman"/>
          <w:i/>
          <w:iCs/>
          <w:noProof/>
          <w:lang w:eastAsia="zh-CN"/>
        </w:rPr>
        <w:t>33</w:t>
      </w:r>
      <w:r w:rsidRPr="002414E9">
        <w:rPr>
          <w:rFonts w:eastAsia="DengXian" w:cs="Times New Roman"/>
          <w:noProof/>
          <w:lang w:eastAsia="zh-CN"/>
        </w:rPr>
        <w:t>(2), 93–100. https://doi.org/10.14966/jssp.0947</w:t>
      </w:r>
    </w:p>
    <w:p w14:paraId="7827F00F" w14:textId="6C2EF51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Sauermann, J., &amp; Glassmann, U. (2014). Restraining free-riders: The effects of actor types and </w:t>
      </w:r>
      <w:r w:rsidRPr="002414E9">
        <w:rPr>
          <w:rFonts w:eastAsia="DengXian" w:cs="Times New Roman"/>
          <w:noProof/>
          <w:lang w:eastAsia="zh-CN"/>
        </w:rPr>
        <w:lastRenderedPageBreak/>
        <w:t xml:space="preserve">decision rules in the public goods game. </w:t>
      </w:r>
      <w:r w:rsidRPr="002414E9">
        <w:rPr>
          <w:rFonts w:eastAsia="DengXian" w:cs="Times New Roman"/>
          <w:i/>
          <w:iCs/>
          <w:noProof/>
          <w:lang w:eastAsia="zh-CN"/>
        </w:rPr>
        <w:t>Rationality and Society</w:t>
      </w:r>
      <w:r w:rsidRPr="002414E9">
        <w:rPr>
          <w:rFonts w:eastAsia="DengXian" w:cs="Times New Roman"/>
          <w:noProof/>
          <w:lang w:eastAsia="zh-CN"/>
        </w:rPr>
        <w:t xml:space="preserve">, </w:t>
      </w:r>
      <w:r w:rsidRPr="002414E9">
        <w:rPr>
          <w:rFonts w:eastAsia="DengXian" w:cs="Times New Roman"/>
          <w:i/>
          <w:iCs/>
          <w:noProof/>
          <w:lang w:eastAsia="zh-CN"/>
        </w:rPr>
        <w:t>26</w:t>
      </w:r>
      <w:r w:rsidRPr="002414E9">
        <w:rPr>
          <w:rFonts w:eastAsia="DengXian" w:cs="Times New Roman"/>
          <w:noProof/>
          <w:lang w:eastAsia="zh-CN"/>
        </w:rPr>
        <w:t>(3), 290–319. https://doi.org/10.1177/1043463114533073</w:t>
      </w:r>
    </w:p>
    <w:p w14:paraId="2F315FEB" w14:textId="607E66A0"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Saunders, K. E. A., Goodwin, G. M., &amp; Rogers, R. D. (2015). Borderline personality disorder, but not euthymic bipolar disorder, is associated with a failure to sustain reciprocal cooperative behaviour: Implications for spectrum models of mood disorders. </w:t>
      </w:r>
      <w:r w:rsidRPr="002414E9">
        <w:rPr>
          <w:rFonts w:eastAsia="DengXian" w:cs="Times New Roman"/>
          <w:bCs/>
          <w:i/>
          <w:iCs/>
          <w:noProof/>
          <w:lang w:eastAsia="zh-CN"/>
        </w:rPr>
        <w:t>Psychological Medicine</w:t>
      </w:r>
      <w:r w:rsidRPr="002414E9">
        <w:rPr>
          <w:rFonts w:eastAsia="DengXian" w:cs="Times New Roman"/>
          <w:bCs/>
          <w:noProof/>
          <w:lang w:eastAsia="zh-CN"/>
        </w:rPr>
        <w:t xml:space="preserve">, </w:t>
      </w:r>
      <w:r w:rsidRPr="002414E9">
        <w:rPr>
          <w:rFonts w:eastAsia="DengXian" w:cs="Times New Roman"/>
          <w:bCs/>
          <w:i/>
          <w:iCs/>
          <w:noProof/>
          <w:lang w:eastAsia="zh-CN"/>
        </w:rPr>
        <w:t>45</w:t>
      </w:r>
      <w:r w:rsidRPr="002414E9">
        <w:rPr>
          <w:rFonts w:eastAsia="DengXian" w:cs="Times New Roman"/>
          <w:bCs/>
          <w:noProof/>
          <w:lang w:eastAsia="zh-CN"/>
        </w:rPr>
        <w:t>(8), 1591–1600. https://doi.org/10.1017/S0033291714002475</w:t>
      </w:r>
    </w:p>
    <w:p w14:paraId="14398693" w14:textId="6C33E32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Sausgruber, R. (2009). A note on peer effects between teams.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12</w:t>
      </w:r>
      <w:r w:rsidRPr="002414E9">
        <w:rPr>
          <w:rFonts w:eastAsia="DengXian" w:cs="Times New Roman"/>
          <w:noProof/>
          <w:lang w:eastAsia="zh-CN"/>
        </w:rPr>
        <w:t>(2), 193–201. https://doi.org/10.1007/s10683-008-9209-1</w:t>
      </w:r>
    </w:p>
    <w:p w14:paraId="7DEC84D3" w14:textId="1D9E905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Savikhin Samek, A., &amp; Sheremeta, R. M. (2014). Recognizing contributors: an experiment on public goods.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17</w:t>
      </w:r>
      <w:r w:rsidRPr="002414E9">
        <w:rPr>
          <w:rFonts w:eastAsia="DengXian" w:cs="Times New Roman"/>
          <w:noProof/>
          <w:lang w:eastAsia="zh-CN"/>
        </w:rPr>
        <w:t>(4), 673–690. https://doi.org/10.1007/s10683-013-9389-1</w:t>
      </w:r>
    </w:p>
    <w:p w14:paraId="75B0812B" w14:textId="6713F13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Savikhin, A. C., &amp; Sheremeta, R. M. (2013). Simultaneous decision-making in competitive and cooperative environments. </w:t>
      </w:r>
      <w:r w:rsidRPr="002414E9">
        <w:rPr>
          <w:rFonts w:eastAsia="DengXian" w:cs="Times New Roman"/>
          <w:i/>
          <w:iCs/>
          <w:noProof/>
          <w:lang w:eastAsia="zh-CN"/>
        </w:rPr>
        <w:t>Economic Inquiry</w:t>
      </w:r>
      <w:r w:rsidRPr="002414E9">
        <w:rPr>
          <w:rFonts w:eastAsia="DengXian" w:cs="Times New Roman"/>
          <w:noProof/>
          <w:lang w:eastAsia="zh-CN"/>
        </w:rPr>
        <w:t xml:space="preserve">, </w:t>
      </w:r>
      <w:r w:rsidRPr="002414E9">
        <w:rPr>
          <w:rFonts w:eastAsia="DengXian" w:cs="Times New Roman"/>
          <w:i/>
          <w:iCs/>
          <w:noProof/>
          <w:lang w:eastAsia="zh-CN"/>
        </w:rPr>
        <w:t>51</w:t>
      </w:r>
      <w:r w:rsidRPr="002414E9">
        <w:rPr>
          <w:rFonts w:eastAsia="DengXian" w:cs="Times New Roman"/>
          <w:noProof/>
          <w:lang w:eastAsia="zh-CN"/>
        </w:rPr>
        <w:t>(2), 1311–1323. https://doi.org/10.1111/j.1465-7295.2012.00474.x</w:t>
      </w:r>
    </w:p>
    <w:p w14:paraId="0F584BD4" w14:textId="0319606A"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Schellenberg, J. A. (1964). Distributive justice and collaboration in non-zero-sum games.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8</w:t>
      </w:r>
      <w:r w:rsidRPr="002414E9">
        <w:rPr>
          <w:rFonts w:eastAsia="DengXian" w:cs="Times New Roman"/>
          <w:bCs/>
          <w:noProof/>
          <w:lang w:eastAsia="zh-CN"/>
        </w:rPr>
        <w:t>(2), 147–150. https://doi.org/10.1177/002200276400800205</w:t>
      </w:r>
    </w:p>
    <w:p w14:paraId="4961CB92" w14:textId="7F947408"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Schlenker, B. R., &amp; Goldman, H. J. (1978). </w:t>
      </w:r>
      <w:r w:rsidRPr="002414E9">
        <w:rPr>
          <w:rFonts w:eastAsia="DengXian" w:cs="Times New Roman"/>
          <w:bCs/>
          <w:noProof/>
          <w:lang w:eastAsia="zh-CN"/>
        </w:rPr>
        <w:t xml:space="preserve">Cooperators and competitors in conflict: a test of the “triangle model”.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22</w:t>
      </w:r>
      <w:r w:rsidRPr="002414E9">
        <w:rPr>
          <w:rFonts w:eastAsia="DengXian" w:cs="Times New Roman"/>
          <w:bCs/>
          <w:noProof/>
          <w:lang w:eastAsia="zh-CN"/>
        </w:rPr>
        <w:t>(3), 393–410. https://doi.org/10.1177/002200277802200302</w:t>
      </w:r>
    </w:p>
    <w:p w14:paraId="47CB8BC9" w14:textId="7D345995" w:rsidR="002414E9" w:rsidRPr="002414E9" w:rsidRDefault="002414E9" w:rsidP="002414E9">
      <w:pPr>
        <w:widowControl w:val="0"/>
        <w:autoSpaceDE w:val="0"/>
        <w:autoSpaceDN w:val="0"/>
        <w:adjustRightInd w:val="0"/>
        <w:ind w:left="709" w:hanging="709"/>
        <w:rPr>
          <w:rFonts w:eastAsia="DengXian" w:cs="Times New Roman"/>
          <w:bCs/>
          <w:noProof/>
          <w:lang w:val="it-IT" w:eastAsia="zh-CN"/>
        </w:rPr>
      </w:pPr>
      <w:r w:rsidRPr="002414E9">
        <w:rPr>
          <w:rFonts w:eastAsia="DengXian" w:cs="Times New Roman"/>
          <w:bCs/>
          <w:noProof/>
          <w:lang w:eastAsia="zh-CN"/>
        </w:rPr>
        <w:t xml:space="preserve">Schlenker, B. R., Bonoma, T. V., Tedeschi, J. T., Lindskold, S., &amp; Horai, J. (1971). The effects of referent and reward power upon social conflict. </w:t>
      </w:r>
      <w:r w:rsidRPr="002414E9">
        <w:rPr>
          <w:rFonts w:eastAsia="DengXian" w:cs="Times New Roman"/>
          <w:bCs/>
          <w:i/>
          <w:iCs/>
          <w:noProof/>
          <w:lang w:val="it-IT" w:eastAsia="zh-CN"/>
        </w:rPr>
        <w:t>Psychonomic Science</w:t>
      </w:r>
      <w:r w:rsidRPr="002414E9">
        <w:rPr>
          <w:rFonts w:eastAsia="DengXian" w:cs="Times New Roman"/>
          <w:bCs/>
          <w:noProof/>
          <w:lang w:val="it-IT" w:eastAsia="zh-CN"/>
        </w:rPr>
        <w:t xml:space="preserve">, </w:t>
      </w:r>
      <w:r w:rsidRPr="002414E9">
        <w:rPr>
          <w:rFonts w:eastAsia="DengXian" w:cs="Times New Roman"/>
          <w:bCs/>
          <w:i/>
          <w:iCs/>
          <w:noProof/>
          <w:lang w:val="it-IT" w:eastAsia="zh-CN"/>
        </w:rPr>
        <w:t>24</w:t>
      </w:r>
      <w:r w:rsidRPr="002414E9">
        <w:rPr>
          <w:rFonts w:eastAsia="DengXian" w:cs="Times New Roman"/>
          <w:bCs/>
          <w:noProof/>
          <w:lang w:val="it-IT" w:eastAsia="zh-CN"/>
        </w:rPr>
        <w:t>(6), 268–270. https://doi.org/10.3758/BF03329003</w:t>
      </w:r>
    </w:p>
    <w:p w14:paraId="66BE7F80" w14:textId="5C5D91A7" w:rsidR="002414E9" w:rsidRPr="002414E9" w:rsidRDefault="002414E9" w:rsidP="002414E9">
      <w:pPr>
        <w:widowControl w:val="0"/>
        <w:autoSpaceDE w:val="0"/>
        <w:autoSpaceDN w:val="0"/>
        <w:adjustRightInd w:val="0"/>
        <w:ind w:left="709" w:hanging="709"/>
        <w:rPr>
          <w:rFonts w:eastAsia="DengXian" w:cs="Times New Roman"/>
          <w:bCs/>
          <w:noProof/>
          <w:lang w:val="de-DE" w:eastAsia="zh-CN"/>
        </w:rPr>
      </w:pPr>
      <w:r w:rsidRPr="002414E9">
        <w:rPr>
          <w:rFonts w:eastAsia="DengXian" w:cs="Times New Roman"/>
          <w:bCs/>
          <w:noProof/>
          <w:lang w:val="de-DE" w:eastAsia="zh-CN"/>
        </w:rPr>
        <w:lastRenderedPageBreak/>
        <w:t xml:space="preserve">Schlenker, B. R., Bonoma, T., Tedeschi, J. T., &amp; Pivnick, W. P. (1970). </w:t>
      </w:r>
      <w:r w:rsidRPr="002414E9">
        <w:rPr>
          <w:rFonts w:eastAsia="DengXian" w:cs="Times New Roman"/>
          <w:bCs/>
          <w:noProof/>
          <w:lang w:eastAsia="zh-CN"/>
        </w:rPr>
        <w:t xml:space="preserve">Compliance to threats as a function of the wording of the threat and the exploitativeness of the threatener. </w:t>
      </w:r>
      <w:r w:rsidRPr="002414E9">
        <w:rPr>
          <w:rFonts w:eastAsia="DengXian" w:cs="Times New Roman"/>
          <w:bCs/>
          <w:i/>
          <w:iCs/>
          <w:noProof/>
          <w:lang w:val="de-DE" w:eastAsia="zh-CN"/>
        </w:rPr>
        <w:t>Sociometry</w:t>
      </w:r>
      <w:r w:rsidRPr="002414E9">
        <w:rPr>
          <w:rFonts w:eastAsia="DengXian" w:cs="Times New Roman"/>
          <w:bCs/>
          <w:noProof/>
          <w:lang w:val="de-DE" w:eastAsia="zh-CN"/>
        </w:rPr>
        <w:t xml:space="preserve">, </w:t>
      </w:r>
      <w:r w:rsidRPr="002414E9">
        <w:rPr>
          <w:rFonts w:eastAsia="DengXian" w:cs="Times New Roman"/>
          <w:bCs/>
          <w:i/>
          <w:iCs/>
          <w:noProof/>
          <w:lang w:val="de-DE" w:eastAsia="zh-CN"/>
        </w:rPr>
        <w:t>33</w:t>
      </w:r>
      <w:r w:rsidRPr="002414E9">
        <w:rPr>
          <w:rFonts w:eastAsia="DengXian" w:cs="Times New Roman"/>
          <w:bCs/>
          <w:noProof/>
          <w:lang w:val="de-DE" w:eastAsia="zh-CN"/>
        </w:rPr>
        <w:t xml:space="preserve"> (4),394–408. https://doi.org/10.2307/2786315</w:t>
      </w:r>
    </w:p>
    <w:p w14:paraId="352E3767" w14:textId="0CA99C7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Schlösser, T., Berger, S., &amp; Fetchenhauer, D. (2018). </w:t>
      </w:r>
      <w:r w:rsidRPr="002414E9">
        <w:rPr>
          <w:rFonts w:eastAsia="DengXian" w:cs="Times New Roman"/>
          <w:noProof/>
          <w:lang w:eastAsia="zh-CN"/>
        </w:rPr>
        <w:t xml:space="preserve">Justice sensitivity and cooperation dynamics in repeated public good games. </w:t>
      </w:r>
      <w:r w:rsidRPr="002414E9">
        <w:rPr>
          <w:rFonts w:eastAsia="DengXian" w:cs="Times New Roman"/>
          <w:i/>
          <w:iCs/>
          <w:noProof/>
          <w:lang w:eastAsia="zh-CN"/>
        </w:rPr>
        <w:t>Social Justice Research</w:t>
      </w:r>
      <w:r w:rsidRPr="002414E9">
        <w:rPr>
          <w:rFonts w:eastAsia="DengXian" w:cs="Times New Roman"/>
          <w:noProof/>
          <w:lang w:eastAsia="zh-CN"/>
        </w:rPr>
        <w:t xml:space="preserve">, </w:t>
      </w:r>
      <w:r w:rsidRPr="002414E9">
        <w:rPr>
          <w:rFonts w:eastAsia="DengXian" w:cs="Times New Roman"/>
          <w:i/>
          <w:iCs/>
          <w:noProof/>
          <w:lang w:eastAsia="zh-CN"/>
        </w:rPr>
        <w:t>31</w:t>
      </w:r>
      <w:r w:rsidRPr="002414E9">
        <w:rPr>
          <w:rFonts w:eastAsia="DengXian" w:cs="Times New Roman"/>
          <w:noProof/>
          <w:lang w:eastAsia="zh-CN"/>
        </w:rPr>
        <w:t>(1), 1–22. https://doi.org/10.1007/s11211-017-0300-7</w:t>
      </w:r>
    </w:p>
    <w:p w14:paraId="10456795" w14:textId="54EEC1CD"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Schopler, J., Insko, C. A., Currey, D., Smith, S., Brazil, D., Riggins, T., ... &amp; Kilpatrick, S. (1994). The survival of a cooperative tradition in the intergroup discontinuity context. </w:t>
      </w:r>
      <w:r w:rsidRPr="002414E9">
        <w:rPr>
          <w:rFonts w:eastAsia="DengXian" w:cs="Times New Roman"/>
          <w:bCs/>
          <w:i/>
          <w:iCs/>
          <w:noProof/>
          <w:lang w:eastAsia="zh-CN"/>
        </w:rPr>
        <w:t>Motivation and Emotion</w:t>
      </w:r>
      <w:r w:rsidRPr="002414E9">
        <w:rPr>
          <w:rFonts w:eastAsia="DengXian" w:cs="Times New Roman"/>
          <w:bCs/>
          <w:noProof/>
          <w:lang w:eastAsia="zh-CN"/>
        </w:rPr>
        <w:t xml:space="preserve">, </w:t>
      </w:r>
      <w:r w:rsidRPr="002414E9">
        <w:rPr>
          <w:rFonts w:eastAsia="DengXian" w:cs="Times New Roman"/>
          <w:bCs/>
          <w:i/>
          <w:iCs/>
          <w:noProof/>
          <w:lang w:eastAsia="zh-CN"/>
        </w:rPr>
        <w:t>18</w:t>
      </w:r>
      <w:r w:rsidRPr="002414E9">
        <w:rPr>
          <w:rFonts w:eastAsia="DengXian" w:cs="Times New Roman"/>
          <w:bCs/>
          <w:noProof/>
          <w:lang w:eastAsia="zh-CN"/>
        </w:rPr>
        <w:t>(4), 301–315. https://doi.org/10.1007/BF02856471</w:t>
      </w:r>
    </w:p>
    <w:p w14:paraId="51A37CF2" w14:textId="668DB36E"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Schopler, J., Insko, C. A., Graetz, K. A., Drigotas, S. M., &amp; Smith, V. A. (1991). The generality of the individual-group discontinuity effect: Variations in positivity-negativity of outcomes, players' relative power, and magnitude of outcomes. </w:t>
      </w:r>
      <w:r w:rsidRPr="002414E9">
        <w:rPr>
          <w:rFonts w:eastAsia="DengXian" w:cs="Times New Roman"/>
          <w:bCs/>
          <w:i/>
          <w:iCs/>
          <w:noProof/>
          <w:lang w:eastAsia="zh-CN"/>
        </w:rPr>
        <w:t>Personality and Social Psychology Bulletin</w:t>
      </w:r>
      <w:r w:rsidRPr="002414E9">
        <w:rPr>
          <w:rFonts w:eastAsia="DengXian" w:cs="Times New Roman"/>
          <w:bCs/>
          <w:noProof/>
          <w:lang w:eastAsia="zh-CN"/>
        </w:rPr>
        <w:t xml:space="preserve">, </w:t>
      </w:r>
      <w:r w:rsidRPr="002414E9">
        <w:rPr>
          <w:rFonts w:eastAsia="DengXian" w:cs="Times New Roman"/>
          <w:bCs/>
          <w:i/>
          <w:iCs/>
          <w:noProof/>
          <w:lang w:eastAsia="zh-CN"/>
        </w:rPr>
        <w:t>17</w:t>
      </w:r>
      <w:r w:rsidRPr="002414E9">
        <w:rPr>
          <w:rFonts w:eastAsia="DengXian" w:cs="Times New Roman"/>
          <w:bCs/>
          <w:noProof/>
          <w:lang w:eastAsia="zh-CN"/>
        </w:rPr>
        <w:t>(6), 612–624. https://doi.org/10.1177/0146167291176003</w:t>
      </w:r>
    </w:p>
    <w:p w14:paraId="07FD2423" w14:textId="65297A9F"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Schopler, J., Insko, C. A., Graetz, K. A., Drigotas, S., Smith, V. A., &amp; Dahl, K. (1993). </w:t>
      </w:r>
      <w:r w:rsidRPr="002414E9">
        <w:rPr>
          <w:rFonts w:eastAsia="DengXian" w:cs="Times New Roman"/>
          <w:bCs/>
          <w:noProof/>
          <w:lang w:eastAsia="zh-CN"/>
        </w:rPr>
        <w:t xml:space="preserve">Individual-group discontinuity: Further evidence for mediation by fear and greed. </w:t>
      </w:r>
      <w:r w:rsidRPr="002414E9">
        <w:rPr>
          <w:rFonts w:eastAsia="DengXian" w:cs="Times New Roman"/>
          <w:bCs/>
          <w:i/>
          <w:iCs/>
          <w:noProof/>
          <w:lang w:eastAsia="zh-CN"/>
        </w:rPr>
        <w:t>Personality and Social Psychology Bulletin</w:t>
      </w:r>
      <w:r w:rsidRPr="002414E9">
        <w:rPr>
          <w:rFonts w:eastAsia="DengXian" w:cs="Times New Roman"/>
          <w:bCs/>
          <w:noProof/>
          <w:lang w:eastAsia="zh-CN"/>
        </w:rPr>
        <w:t xml:space="preserve">, </w:t>
      </w:r>
      <w:r w:rsidRPr="002414E9">
        <w:rPr>
          <w:rFonts w:eastAsia="DengXian" w:cs="Times New Roman"/>
          <w:bCs/>
          <w:i/>
          <w:iCs/>
          <w:noProof/>
          <w:lang w:eastAsia="zh-CN"/>
        </w:rPr>
        <w:t>19</w:t>
      </w:r>
      <w:r w:rsidRPr="002414E9">
        <w:rPr>
          <w:rFonts w:eastAsia="DengXian" w:cs="Times New Roman"/>
          <w:bCs/>
          <w:noProof/>
          <w:lang w:eastAsia="zh-CN"/>
        </w:rPr>
        <w:t>(4), 419–431. https://doi.org/10.1177/0146167293194007</w:t>
      </w:r>
    </w:p>
    <w:p w14:paraId="15600C7D" w14:textId="035202AD"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Schopler, J., Insko, C. A., Wieselquist, J., Pemberton, M., Witcher, B., Kozar, R., Roddenberry, C., &amp; Wildschut, T. (2001). When groups are more competitive than individuals: The domain of the discontinuity effect. </w:t>
      </w:r>
      <w:r w:rsidRPr="002414E9">
        <w:rPr>
          <w:rFonts w:eastAsia="DengXian" w:cs="Times New Roman"/>
          <w:bCs/>
          <w:i/>
          <w:iCs/>
          <w:noProof/>
          <w:lang w:eastAsia="zh-CN"/>
        </w:rPr>
        <w:t>Journal of Personality and Social Psychology, 80</w:t>
      </w:r>
      <w:r w:rsidRPr="002414E9">
        <w:rPr>
          <w:rFonts w:eastAsia="DengXian" w:cs="Times New Roman"/>
          <w:bCs/>
          <w:noProof/>
          <w:lang w:eastAsia="zh-CN"/>
        </w:rPr>
        <w:t>(4), 632–644. https://doi.org/10.1037/0022-3514.80.4.632</w:t>
      </w:r>
    </w:p>
    <w:p w14:paraId="20CBCC9D" w14:textId="7C3D6350"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Schwartz-Shea, P., &amp; Simmons, R. T. (1991). </w:t>
      </w:r>
      <w:r w:rsidRPr="002414E9">
        <w:rPr>
          <w:rFonts w:eastAsia="DengXian" w:cs="Times New Roman"/>
          <w:bCs/>
          <w:noProof/>
          <w:lang w:eastAsia="zh-CN"/>
        </w:rPr>
        <w:t xml:space="preserve">Egoism, parochialism, and universalism: Experimental evidence from the layered prisoners' dilemma. </w:t>
      </w:r>
      <w:r w:rsidRPr="002414E9">
        <w:rPr>
          <w:rFonts w:eastAsia="DengXian" w:cs="Times New Roman"/>
          <w:bCs/>
          <w:i/>
          <w:iCs/>
          <w:noProof/>
          <w:lang w:eastAsia="zh-CN"/>
        </w:rPr>
        <w:t>Rationality and Society</w:t>
      </w:r>
      <w:r w:rsidRPr="002414E9">
        <w:rPr>
          <w:rFonts w:eastAsia="DengXian" w:cs="Times New Roman"/>
          <w:bCs/>
          <w:noProof/>
          <w:lang w:eastAsia="zh-CN"/>
        </w:rPr>
        <w:t xml:space="preserve">, </w:t>
      </w:r>
      <w:r w:rsidRPr="002414E9">
        <w:rPr>
          <w:rFonts w:eastAsia="DengXian" w:cs="Times New Roman"/>
          <w:bCs/>
          <w:i/>
          <w:iCs/>
          <w:noProof/>
          <w:lang w:eastAsia="zh-CN"/>
        </w:rPr>
        <w:lastRenderedPageBreak/>
        <w:t>3</w:t>
      </w:r>
      <w:r w:rsidRPr="002414E9">
        <w:rPr>
          <w:rFonts w:eastAsia="DengXian" w:cs="Times New Roman"/>
          <w:bCs/>
          <w:noProof/>
          <w:lang w:eastAsia="zh-CN"/>
        </w:rPr>
        <w:t>(1), 106–132. https://doi.org/10.1177/1043463191003001007</w:t>
      </w:r>
    </w:p>
    <w:p w14:paraId="4575552A" w14:textId="5A17E44E"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Schweitzer, M. E., DeChurch, L. A., &amp; Gibson, D. E. (2005). </w:t>
      </w:r>
      <w:r w:rsidRPr="002414E9">
        <w:rPr>
          <w:rFonts w:eastAsia="DengXian" w:cs="Times New Roman"/>
          <w:bCs/>
          <w:noProof/>
          <w:lang w:eastAsia="zh-CN"/>
        </w:rPr>
        <w:t xml:space="preserve">Conflict frames and the use of deception: Are competitive negotiators less ethical? 1. </w:t>
      </w:r>
      <w:r w:rsidRPr="002414E9">
        <w:rPr>
          <w:rFonts w:eastAsia="DengXian" w:cs="Times New Roman"/>
          <w:bCs/>
          <w:i/>
          <w:iCs/>
          <w:noProof/>
          <w:lang w:eastAsia="zh-CN"/>
        </w:rPr>
        <w:t>Journal of Applied Social Psychology</w:t>
      </w:r>
      <w:r w:rsidRPr="002414E9">
        <w:rPr>
          <w:rFonts w:eastAsia="DengXian" w:cs="Times New Roman"/>
          <w:bCs/>
          <w:noProof/>
          <w:lang w:eastAsia="zh-CN"/>
        </w:rPr>
        <w:t xml:space="preserve">, </w:t>
      </w:r>
      <w:r w:rsidRPr="002414E9">
        <w:rPr>
          <w:rFonts w:eastAsia="DengXian" w:cs="Times New Roman"/>
          <w:bCs/>
          <w:i/>
          <w:iCs/>
          <w:noProof/>
          <w:lang w:eastAsia="zh-CN"/>
        </w:rPr>
        <w:t>35</w:t>
      </w:r>
      <w:r w:rsidRPr="002414E9">
        <w:rPr>
          <w:rFonts w:eastAsia="DengXian" w:cs="Times New Roman"/>
          <w:bCs/>
          <w:noProof/>
          <w:lang w:eastAsia="zh-CN"/>
        </w:rPr>
        <w:t>(10), 2123–2149.  https://doi.org/10.1111/j.1559-1816.2005.tb02212.x</w:t>
      </w:r>
    </w:p>
    <w:p w14:paraId="4150F397" w14:textId="619E78FF"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it-IT" w:eastAsia="zh-CN"/>
        </w:rPr>
        <w:t xml:space="preserve">Scinto, D. L., Sistrunk, F., &amp; Clement, D. E. (1972). </w:t>
      </w:r>
      <w:r w:rsidRPr="002414E9">
        <w:rPr>
          <w:rFonts w:eastAsia="DengXian" w:cs="Times New Roman"/>
          <w:bCs/>
          <w:noProof/>
          <w:lang w:eastAsia="zh-CN"/>
        </w:rPr>
        <w:t xml:space="preserve">Effect of the magnitude of reward upon cooperative game behavior. </w:t>
      </w:r>
      <w:r w:rsidRPr="002414E9">
        <w:rPr>
          <w:rFonts w:eastAsia="DengXian" w:cs="Times New Roman"/>
          <w:bCs/>
          <w:i/>
          <w:iCs/>
          <w:noProof/>
          <w:lang w:eastAsia="zh-CN"/>
        </w:rPr>
        <w:t>The Journal of Social Psychology</w:t>
      </w:r>
      <w:r w:rsidRPr="002414E9">
        <w:rPr>
          <w:rFonts w:eastAsia="DengXian" w:cs="Times New Roman"/>
          <w:bCs/>
          <w:noProof/>
          <w:lang w:eastAsia="zh-CN"/>
        </w:rPr>
        <w:t xml:space="preserve">, </w:t>
      </w:r>
      <w:r w:rsidRPr="002414E9">
        <w:rPr>
          <w:rFonts w:eastAsia="DengXian" w:cs="Times New Roman"/>
          <w:bCs/>
          <w:i/>
          <w:iCs/>
          <w:noProof/>
          <w:lang w:eastAsia="zh-CN"/>
        </w:rPr>
        <w:t>86</w:t>
      </w:r>
      <w:r w:rsidRPr="002414E9">
        <w:rPr>
          <w:rFonts w:eastAsia="DengXian" w:cs="Times New Roman"/>
          <w:bCs/>
          <w:noProof/>
          <w:lang w:eastAsia="zh-CN"/>
        </w:rPr>
        <w:t>(1), 155–156. https://doi.org/10.1080/00224545.1972.9918608</w:t>
      </w:r>
    </w:p>
    <w:p w14:paraId="599DBEB2" w14:textId="1794C7B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Sefton, M., &amp; Steinberg, R. (1996). Reward structures in public good experiments.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61</w:t>
      </w:r>
      <w:r w:rsidRPr="002414E9">
        <w:rPr>
          <w:rFonts w:eastAsia="DengXian" w:cs="Times New Roman"/>
          <w:noProof/>
          <w:lang w:eastAsia="zh-CN"/>
        </w:rPr>
        <w:t>(2), 263–287. https://doi.org/10.1016/0047-2727(95)01534-5</w:t>
      </w:r>
    </w:p>
    <w:p w14:paraId="13A9A083" w14:textId="41BECC1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Sefton, M., Shupp, R., &amp; Walker, J. M. (2007). The effect of rewards and sanctions in provision of public goods. </w:t>
      </w:r>
      <w:r w:rsidRPr="002414E9">
        <w:rPr>
          <w:rFonts w:eastAsia="DengXian" w:cs="Times New Roman"/>
          <w:i/>
          <w:iCs/>
          <w:noProof/>
          <w:lang w:eastAsia="zh-CN"/>
        </w:rPr>
        <w:t>Economic Inquiry</w:t>
      </w:r>
      <w:r w:rsidRPr="002414E9">
        <w:rPr>
          <w:rFonts w:eastAsia="DengXian" w:cs="Times New Roman"/>
          <w:noProof/>
          <w:lang w:eastAsia="zh-CN"/>
        </w:rPr>
        <w:t xml:space="preserve">, </w:t>
      </w:r>
      <w:r w:rsidRPr="002414E9">
        <w:rPr>
          <w:rFonts w:eastAsia="DengXian" w:cs="Times New Roman"/>
          <w:i/>
          <w:iCs/>
          <w:noProof/>
          <w:lang w:eastAsia="zh-CN"/>
        </w:rPr>
        <w:t>45</w:t>
      </w:r>
      <w:r w:rsidRPr="002414E9">
        <w:rPr>
          <w:rFonts w:eastAsia="DengXian" w:cs="Times New Roman"/>
          <w:noProof/>
          <w:lang w:eastAsia="zh-CN"/>
        </w:rPr>
        <w:t>(4), 671–690. https://doi.org/10.1111/j.1465-7295.2007.00051.x</w:t>
      </w:r>
    </w:p>
    <w:p w14:paraId="6D7F8001" w14:textId="4FA76312" w:rsidR="002414E9" w:rsidRPr="002414E9" w:rsidRDefault="002414E9" w:rsidP="002414E9">
      <w:pPr>
        <w:widowControl w:val="0"/>
        <w:autoSpaceDE w:val="0"/>
        <w:autoSpaceDN w:val="0"/>
        <w:adjustRightInd w:val="0"/>
        <w:ind w:left="709" w:hanging="709"/>
        <w:rPr>
          <w:rFonts w:eastAsia="DengXian" w:cs="Times New Roman"/>
          <w:noProof/>
          <w:lang w:val="nl-NL" w:eastAsia="zh-CN"/>
        </w:rPr>
      </w:pPr>
      <w:r w:rsidRPr="002414E9">
        <w:rPr>
          <w:rFonts w:eastAsia="DengXian" w:cs="Times New Roman"/>
          <w:noProof/>
          <w:lang w:val="it-IT" w:eastAsia="zh-CN"/>
        </w:rPr>
        <w:t xml:space="preserve">Seguino, S., Stevens, T., &amp; Lutz, M. (1996). </w:t>
      </w:r>
      <w:r w:rsidRPr="002414E9">
        <w:rPr>
          <w:rFonts w:eastAsia="DengXian" w:cs="Times New Roman"/>
          <w:noProof/>
          <w:lang w:eastAsia="zh-CN"/>
        </w:rPr>
        <w:t xml:space="preserve">Gender and cooperative behavior: Economic </w:t>
      </w:r>
      <w:r w:rsidRPr="002414E9">
        <w:rPr>
          <w:rFonts w:eastAsia="DengXian" w:cs="Times New Roman"/>
          <w:i/>
          <w:iCs/>
          <w:noProof/>
          <w:lang w:eastAsia="zh-CN"/>
        </w:rPr>
        <w:t>man</w:t>
      </w:r>
      <w:r w:rsidRPr="002414E9">
        <w:rPr>
          <w:rFonts w:eastAsia="DengXian" w:cs="Times New Roman"/>
          <w:noProof/>
          <w:lang w:eastAsia="zh-CN"/>
        </w:rPr>
        <w:t xml:space="preserve"> rides alone. </w:t>
      </w:r>
      <w:r w:rsidRPr="002414E9">
        <w:rPr>
          <w:rFonts w:eastAsia="DengXian" w:cs="Times New Roman"/>
          <w:i/>
          <w:iCs/>
          <w:noProof/>
          <w:lang w:val="nl-NL" w:eastAsia="zh-CN"/>
        </w:rPr>
        <w:t>Feminist Economics</w:t>
      </w:r>
      <w:r w:rsidRPr="002414E9">
        <w:rPr>
          <w:rFonts w:eastAsia="DengXian" w:cs="Times New Roman"/>
          <w:noProof/>
          <w:lang w:val="nl-NL" w:eastAsia="zh-CN"/>
        </w:rPr>
        <w:t xml:space="preserve">, </w:t>
      </w:r>
      <w:r w:rsidRPr="002414E9">
        <w:rPr>
          <w:rFonts w:eastAsia="DengXian" w:cs="Times New Roman"/>
          <w:i/>
          <w:iCs/>
          <w:noProof/>
          <w:lang w:val="nl-NL" w:eastAsia="zh-CN"/>
        </w:rPr>
        <w:t>2</w:t>
      </w:r>
      <w:r w:rsidRPr="002414E9">
        <w:rPr>
          <w:rFonts w:eastAsia="DengXian" w:cs="Times New Roman"/>
          <w:noProof/>
          <w:lang w:val="nl-NL" w:eastAsia="zh-CN"/>
        </w:rPr>
        <w:t>(1), 1–21. https://doi.org/10.1080/738552683</w:t>
      </w:r>
    </w:p>
    <w:p w14:paraId="4F5E8BF7" w14:textId="63907A8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Seip, E. C., Van Dijk, W. W., &amp; Rotteveel, M. (2014). </w:t>
      </w:r>
      <w:r w:rsidRPr="002414E9">
        <w:rPr>
          <w:rFonts w:eastAsia="DengXian" w:cs="Times New Roman"/>
          <w:noProof/>
          <w:lang w:eastAsia="zh-CN"/>
        </w:rPr>
        <w:t xml:space="preserve">Anger motivates costly punishment of unfair behavior. </w:t>
      </w:r>
      <w:r w:rsidRPr="002414E9">
        <w:rPr>
          <w:rFonts w:eastAsia="DengXian" w:cs="Times New Roman"/>
          <w:i/>
          <w:iCs/>
          <w:noProof/>
          <w:lang w:eastAsia="zh-CN"/>
        </w:rPr>
        <w:t>Motivation and Emotion, 38</w:t>
      </w:r>
      <w:r w:rsidRPr="002414E9">
        <w:rPr>
          <w:rFonts w:eastAsia="DengXian" w:cs="Times New Roman"/>
          <w:noProof/>
          <w:lang w:eastAsia="zh-CN"/>
        </w:rPr>
        <w:t>(4), 578–588. https://doi.org/10.1007/s11031-014-9395-4</w:t>
      </w:r>
    </w:p>
    <w:p w14:paraId="792C6841" w14:textId="38B9C12C" w:rsidR="002414E9" w:rsidRPr="002414E9" w:rsidRDefault="002414E9" w:rsidP="002414E9">
      <w:pPr>
        <w:widowControl w:val="0"/>
        <w:autoSpaceDE w:val="0"/>
        <w:autoSpaceDN w:val="0"/>
        <w:adjustRightInd w:val="0"/>
        <w:ind w:left="709" w:hanging="709"/>
        <w:rPr>
          <w:rFonts w:eastAsia="DengXian" w:cs="Times New Roman"/>
          <w:noProof/>
          <w:lang w:val="fr-FR" w:eastAsia="zh-CN"/>
        </w:rPr>
      </w:pPr>
      <w:r w:rsidRPr="002414E9">
        <w:rPr>
          <w:rFonts w:eastAsia="DengXian" w:cs="Times New Roman"/>
          <w:noProof/>
          <w:lang w:eastAsia="zh-CN"/>
        </w:rPr>
        <w:t xml:space="preserve">Sell, J. (1997). Gender, strategies, and contributions to public goods. </w:t>
      </w:r>
      <w:r w:rsidRPr="002414E9">
        <w:rPr>
          <w:rFonts w:eastAsia="DengXian" w:cs="Times New Roman"/>
          <w:i/>
          <w:iCs/>
          <w:noProof/>
          <w:lang w:val="fr-FR" w:eastAsia="zh-CN"/>
        </w:rPr>
        <w:t>Social Psychology Quarterly</w:t>
      </w:r>
      <w:r w:rsidRPr="002414E9">
        <w:rPr>
          <w:rFonts w:eastAsia="DengXian" w:cs="Times New Roman"/>
          <w:noProof/>
          <w:lang w:val="fr-FR" w:eastAsia="zh-CN"/>
        </w:rPr>
        <w:t xml:space="preserve">, </w:t>
      </w:r>
      <w:r w:rsidRPr="002414E9">
        <w:rPr>
          <w:rFonts w:eastAsia="DengXian" w:cs="Times New Roman"/>
          <w:i/>
          <w:iCs/>
          <w:noProof/>
          <w:lang w:val="fr-FR" w:eastAsia="zh-CN"/>
        </w:rPr>
        <w:t>60</w:t>
      </w:r>
      <w:r w:rsidRPr="002414E9">
        <w:rPr>
          <w:rFonts w:eastAsia="DengXian" w:cs="Times New Roman"/>
          <w:noProof/>
          <w:lang w:val="fr-FR" w:eastAsia="zh-CN"/>
        </w:rPr>
        <w:t>(3), 252–265. https://doi.org/10.2307/2787085</w:t>
      </w:r>
    </w:p>
    <w:p w14:paraId="37A88A89" w14:textId="493481E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fr-FR" w:eastAsia="zh-CN"/>
        </w:rPr>
        <w:t xml:space="preserve">Sell, J., &amp; Son, Y. (1997). </w:t>
      </w:r>
      <w:r w:rsidRPr="002414E9">
        <w:rPr>
          <w:rFonts w:eastAsia="DengXian" w:cs="Times New Roman"/>
          <w:noProof/>
          <w:lang w:eastAsia="zh-CN"/>
        </w:rPr>
        <w:t xml:space="preserve">Comparing public goods with common pool resources: Three experiments. </w:t>
      </w:r>
      <w:r w:rsidRPr="002414E9">
        <w:rPr>
          <w:rFonts w:eastAsia="DengXian" w:cs="Times New Roman"/>
          <w:i/>
          <w:iCs/>
          <w:noProof/>
          <w:lang w:eastAsia="zh-CN"/>
        </w:rPr>
        <w:t>Social Psychology Quarterly</w:t>
      </w:r>
      <w:r w:rsidRPr="002414E9">
        <w:rPr>
          <w:rFonts w:eastAsia="DengXian" w:cs="Times New Roman"/>
          <w:noProof/>
          <w:lang w:eastAsia="zh-CN"/>
        </w:rPr>
        <w:t xml:space="preserve">, </w:t>
      </w:r>
      <w:r w:rsidRPr="002414E9">
        <w:rPr>
          <w:rFonts w:eastAsia="DengXian" w:cs="Times New Roman"/>
          <w:i/>
          <w:iCs/>
          <w:noProof/>
          <w:lang w:eastAsia="zh-CN"/>
        </w:rPr>
        <w:t>60</w:t>
      </w:r>
      <w:r w:rsidRPr="002414E9">
        <w:rPr>
          <w:rFonts w:eastAsia="DengXian" w:cs="Times New Roman"/>
          <w:noProof/>
          <w:lang w:eastAsia="zh-CN"/>
        </w:rPr>
        <w:t>(2), 118–137. https://doi.org/10.2307/2787100</w:t>
      </w:r>
    </w:p>
    <w:p w14:paraId="57D78C99" w14:textId="7E699C9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Sell, J., &amp; Wilson, R. K. (1991). Levels of information and contributions to public goods. </w:t>
      </w:r>
      <w:r w:rsidRPr="002414E9">
        <w:rPr>
          <w:rFonts w:eastAsia="DengXian" w:cs="Times New Roman"/>
          <w:i/>
          <w:iCs/>
          <w:noProof/>
          <w:lang w:eastAsia="zh-CN"/>
        </w:rPr>
        <w:t xml:space="preserve">Social </w:t>
      </w:r>
      <w:r w:rsidRPr="002414E9">
        <w:rPr>
          <w:rFonts w:eastAsia="DengXian" w:cs="Times New Roman"/>
          <w:i/>
          <w:iCs/>
          <w:noProof/>
          <w:lang w:eastAsia="zh-CN"/>
        </w:rPr>
        <w:lastRenderedPageBreak/>
        <w:t>Forces</w:t>
      </w:r>
      <w:r w:rsidRPr="002414E9">
        <w:rPr>
          <w:rFonts w:eastAsia="DengXian" w:cs="Times New Roman"/>
          <w:noProof/>
          <w:lang w:eastAsia="zh-CN"/>
        </w:rPr>
        <w:t xml:space="preserve">, </w:t>
      </w:r>
      <w:r w:rsidRPr="002414E9">
        <w:rPr>
          <w:rFonts w:eastAsia="DengXian" w:cs="Times New Roman"/>
          <w:i/>
          <w:iCs/>
          <w:noProof/>
          <w:lang w:eastAsia="zh-CN"/>
        </w:rPr>
        <w:t>70</w:t>
      </w:r>
      <w:r w:rsidRPr="002414E9">
        <w:rPr>
          <w:rFonts w:eastAsia="DengXian" w:cs="Times New Roman"/>
          <w:noProof/>
          <w:lang w:eastAsia="zh-CN"/>
        </w:rPr>
        <w:t>(1), 108–127. https://doi.org/10.2307/2580064</w:t>
      </w:r>
    </w:p>
    <w:p w14:paraId="0339B9D4" w14:textId="34A8525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Sell, J., Chen, Z.-Y., Hunter-Holmes, P., &amp; Johansson, A. C. (2002). A cross-cultural comparison of public good and resource good settings. </w:t>
      </w:r>
      <w:r w:rsidRPr="002414E9">
        <w:rPr>
          <w:rFonts w:eastAsia="DengXian" w:cs="Times New Roman"/>
          <w:i/>
          <w:iCs/>
          <w:noProof/>
          <w:lang w:eastAsia="zh-CN"/>
        </w:rPr>
        <w:t>Social Psychology Quarterly</w:t>
      </w:r>
      <w:r w:rsidRPr="002414E9">
        <w:rPr>
          <w:rFonts w:eastAsia="DengXian" w:cs="Times New Roman"/>
          <w:noProof/>
          <w:lang w:eastAsia="zh-CN"/>
        </w:rPr>
        <w:t xml:space="preserve">, </w:t>
      </w:r>
      <w:r w:rsidRPr="002414E9">
        <w:rPr>
          <w:rFonts w:eastAsia="DengXian" w:cs="Times New Roman"/>
          <w:i/>
          <w:iCs/>
          <w:noProof/>
          <w:lang w:eastAsia="zh-CN"/>
        </w:rPr>
        <w:t>65</w:t>
      </w:r>
      <w:r w:rsidRPr="002414E9">
        <w:rPr>
          <w:rFonts w:eastAsia="DengXian" w:cs="Times New Roman"/>
          <w:noProof/>
          <w:lang w:eastAsia="zh-CN"/>
        </w:rPr>
        <w:t>(3), 285–297. https://doi.org/10.2307/3090124</w:t>
      </w:r>
    </w:p>
    <w:p w14:paraId="589AB13D" w14:textId="386BFAE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Sell, J., Griffith, W. I., &amp; Wilson, R. K. (1993). Are women more cooperative than men in social dilemmas? </w:t>
      </w:r>
      <w:r w:rsidRPr="002414E9">
        <w:rPr>
          <w:rFonts w:eastAsia="DengXian" w:cs="Times New Roman"/>
          <w:i/>
          <w:iCs/>
          <w:noProof/>
          <w:lang w:eastAsia="zh-CN"/>
        </w:rPr>
        <w:t>Social Psychology Quarterly</w:t>
      </w:r>
      <w:r w:rsidRPr="002414E9">
        <w:rPr>
          <w:rFonts w:eastAsia="DengXian" w:cs="Times New Roman"/>
          <w:noProof/>
          <w:lang w:eastAsia="zh-CN"/>
        </w:rPr>
        <w:t xml:space="preserve">, </w:t>
      </w:r>
      <w:r w:rsidRPr="002414E9">
        <w:rPr>
          <w:rFonts w:eastAsia="DengXian" w:cs="Times New Roman"/>
          <w:i/>
          <w:iCs/>
          <w:noProof/>
          <w:lang w:eastAsia="zh-CN"/>
        </w:rPr>
        <w:t>56</w:t>
      </w:r>
      <w:r w:rsidRPr="002414E9">
        <w:rPr>
          <w:rFonts w:eastAsia="DengXian" w:cs="Times New Roman"/>
          <w:noProof/>
          <w:lang w:eastAsia="zh-CN"/>
        </w:rPr>
        <w:t>(3), 211–222. https://doi.org/10.2307/2786779</w:t>
      </w:r>
    </w:p>
    <w:p w14:paraId="418E45FB" w14:textId="2185FA5D"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it-IT" w:eastAsia="zh-CN"/>
        </w:rPr>
        <w:t xml:space="preserve">Serra-Garcia, M., Van Damme, E., &amp; Potters, J. (2011). </w:t>
      </w:r>
      <w:r w:rsidRPr="002414E9">
        <w:rPr>
          <w:rFonts w:eastAsia="DengXian" w:cs="Times New Roman"/>
          <w:bCs/>
          <w:noProof/>
          <w:lang w:eastAsia="zh-CN"/>
        </w:rPr>
        <w:t xml:space="preserve">Hiding an inconvenient truth: Lies and vagueness. </w:t>
      </w:r>
      <w:r w:rsidRPr="002414E9">
        <w:rPr>
          <w:rFonts w:eastAsia="DengXian" w:cs="Times New Roman"/>
          <w:bCs/>
          <w:i/>
          <w:iCs/>
          <w:noProof/>
          <w:lang w:eastAsia="zh-CN"/>
        </w:rPr>
        <w:t>Games and Economic Behavior</w:t>
      </w:r>
      <w:r w:rsidRPr="002414E9">
        <w:rPr>
          <w:rFonts w:eastAsia="DengXian" w:cs="Times New Roman"/>
          <w:bCs/>
          <w:noProof/>
          <w:lang w:eastAsia="zh-CN"/>
        </w:rPr>
        <w:t xml:space="preserve">, </w:t>
      </w:r>
      <w:r w:rsidRPr="002414E9">
        <w:rPr>
          <w:rFonts w:eastAsia="DengXian" w:cs="Times New Roman"/>
          <w:bCs/>
          <w:i/>
          <w:iCs/>
          <w:noProof/>
          <w:lang w:eastAsia="zh-CN"/>
        </w:rPr>
        <w:t>73</w:t>
      </w:r>
      <w:r w:rsidRPr="002414E9">
        <w:rPr>
          <w:rFonts w:eastAsia="DengXian" w:cs="Times New Roman"/>
          <w:bCs/>
          <w:noProof/>
          <w:lang w:eastAsia="zh-CN"/>
        </w:rPr>
        <w:t>(1), 244–261. https://doi.org/10.1016/j.geb.2011.01.007</w:t>
      </w:r>
    </w:p>
    <w:bookmarkEnd w:id="103"/>
    <w:p w14:paraId="0A1F9058" w14:textId="77777777" w:rsidR="002414E9" w:rsidRPr="002414E9" w:rsidRDefault="002414E9" w:rsidP="002414E9">
      <w:pPr>
        <w:widowControl w:val="0"/>
        <w:autoSpaceDE w:val="0"/>
        <w:autoSpaceDN w:val="0"/>
        <w:adjustRightInd w:val="0"/>
        <w:ind w:left="709" w:hanging="709"/>
        <w:rPr>
          <w:rFonts w:eastAsia="DengXian" w:cs="Times New Roman"/>
          <w:noProof/>
          <w:lang w:val="en-GB" w:eastAsia="zh-CN"/>
        </w:rPr>
      </w:pPr>
      <w:r w:rsidRPr="002414E9">
        <w:rPr>
          <w:rFonts w:eastAsia="DengXian" w:cs="Times New Roman"/>
          <w:noProof/>
          <w:lang w:val="en-GB" w:eastAsia="zh-CN"/>
        </w:rPr>
        <w:t xml:space="preserve">Shafir, E., &amp; Tversky, A. (1992). Thinking through uncertainty: Nonconsequential reasoning and choice. </w:t>
      </w:r>
      <w:r w:rsidRPr="002414E9">
        <w:rPr>
          <w:rFonts w:eastAsia="DengXian" w:cs="Times New Roman"/>
          <w:i/>
          <w:iCs/>
          <w:noProof/>
          <w:lang w:val="en-GB" w:eastAsia="zh-CN"/>
        </w:rPr>
        <w:t>Cognitive Psychology</w:t>
      </w:r>
      <w:r w:rsidRPr="002414E9">
        <w:rPr>
          <w:rFonts w:eastAsia="DengXian" w:cs="Times New Roman"/>
          <w:noProof/>
          <w:lang w:val="en-GB" w:eastAsia="zh-CN"/>
        </w:rPr>
        <w:t xml:space="preserve">, </w:t>
      </w:r>
      <w:r w:rsidRPr="002414E9">
        <w:rPr>
          <w:rFonts w:eastAsia="DengXian" w:cs="Times New Roman"/>
          <w:i/>
          <w:iCs/>
          <w:noProof/>
          <w:lang w:val="en-GB" w:eastAsia="zh-CN"/>
        </w:rPr>
        <w:t>24</w:t>
      </w:r>
      <w:r w:rsidRPr="002414E9">
        <w:rPr>
          <w:rFonts w:eastAsia="DengXian" w:cs="Times New Roman"/>
          <w:noProof/>
          <w:lang w:val="en-GB" w:eastAsia="zh-CN"/>
        </w:rPr>
        <w:t>(4), 449–474. https://doi.org/10.1016/0010-0285(92)90015-T</w:t>
      </w:r>
    </w:p>
    <w:p w14:paraId="7B04B172" w14:textId="02D3C00C"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es-ES" w:eastAsia="zh-CN"/>
        </w:rPr>
        <w:t xml:space="preserve">Shank, D. B., Kashima, Y., Saber, S., Gale, T., &amp; Kirley, M. (2015). </w:t>
      </w:r>
      <w:r w:rsidRPr="002414E9">
        <w:rPr>
          <w:rFonts w:eastAsia="DengXian" w:cs="Times New Roman"/>
          <w:bCs/>
          <w:noProof/>
          <w:lang w:eastAsia="zh-CN"/>
        </w:rPr>
        <w:t xml:space="preserve">Dilemma of dilemmas: how collective and individual perspectives can clarify the size dilemma in voluntary linear public goods dilemmas. </w:t>
      </w:r>
      <w:r w:rsidRPr="002414E9">
        <w:rPr>
          <w:rFonts w:eastAsia="DengXian" w:cs="Times New Roman"/>
          <w:bCs/>
          <w:i/>
          <w:iCs/>
          <w:noProof/>
          <w:lang w:eastAsia="zh-CN"/>
        </w:rPr>
        <w:t>PLoS ONE</w:t>
      </w:r>
      <w:r w:rsidRPr="002414E9">
        <w:rPr>
          <w:rFonts w:eastAsia="DengXian" w:cs="Times New Roman"/>
          <w:bCs/>
          <w:noProof/>
          <w:lang w:eastAsia="zh-CN"/>
        </w:rPr>
        <w:t xml:space="preserve">, </w:t>
      </w:r>
      <w:r w:rsidRPr="002414E9">
        <w:rPr>
          <w:rFonts w:eastAsia="DengXian" w:cs="Times New Roman"/>
          <w:bCs/>
          <w:i/>
          <w:iCs/>
          <w:noProof/>
          <w:lang w:eastAsia="zh-CN"/>
        </w:rPr>
        <w:t>10</w:t>
      </w:r>
      <w:r w:rsidRPr="002414E9">
        <w:rPr>
          <w:rFonts w:eastAsia="DengXian" w:cs="Times New Roman"/>
          <w:bCs/>
          <w:noProof/>
          <w:lang w:eastAsia="zh-CN"/>
        </w:rPr>
        <w:t>(3), e0120379. https://doi.org/10.1371/journal.pone.0120379</w:t>
      </w:r>
    </w:p>
    <w:p w14:paraId="7E185A39" w14:textId="107B434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Shanley, J., &amp; Grossman, P. J. (2007). Paradise to parking lots: Creation versus maintenance of a public good. </w:t>
      </w:r>
      <w:r w:rsidRPr="002414E9">
        <w:rPr>
          <w:rFonts w:eastAsia="DengXian" w:cs="Times New Roman"/>
          <w:i/>
          <w:iCs/>
          <w:noProof/>
          <w:lang w:eastAsia="zh-CN"/>
        </w:rPr>
        <w:t>The Journal of Socio-Economics</w:t>
      </w:r>
      <w:r w:rsidRPr="002414E9">
        <w:rPr>
          <w:rFonts w:eastAsia="DengXian" w:cs="Times New Roman"/>
          <w:noProof/>
          <w:lang w:eastAsia="zh-CN"/>
        </w:rPr>
        <w:t xml:space="preserve">, </w:t>
      </w:r>
      <w:r w:rsidRPr="002414E9">
        <w:rPr>
          <w:rFonts w:eastAsia="DengXian" w:cs="Times New Roman"/>
          <w:i/>
          <w:iCs/>
          <w:noProof/>
          <w:lang w:eastAsia="zh-CN"/>
        </w:rPr>
        <w:t>36</w:t>
      </w:r>
      <w:r w:rsidRPr="002414E9">
        <w:rPr>
          <w:rFonts w:eastAsia="DengXian" w:cs="Times New Roman"/>
          <w:noProof/>
          <w:lang w:eastAsia="zh-CN"/>
        </w:rPr>
        <w:t>(4), 523–536. https://doi.org/10.1016/j.socec.2006.12.011</w:t>
      </w:r>
    </w:p>
    <w:p w14:paraId="074A27A2" w14:textId="63D10ED6"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Shaw, J. I. (1976). Response-contingent payoffs and cooperative behavior in the prisoner's dilemma game. </w:t>
      </w:r>
      <w:r w:rsidRPr="002414E9">
        <w:rPr>
          <w:rFonts w:eastAsia="DengXian" w:cs="Times New Roman"/>
          <w:bCs/>
          <w:i/>
          <w:iCs/>
          <w:noProof/>
          <w:lang w:eastAsia="zh-CN"/>
        </w:rPr>
        <w:t>Journal of Personality and Social Psychology, 34</w:t>
      </w:r>
      <w:r w:rsidRPr="002414E9">
        <w:rPr>
          <w:rFonts w:eastAsia="DengXian" w:cs="Times New Roman"/>
          <w:bCs/>
          <w:noProof/>
          <w:lang w:eastAsia="zh-CN"/>
        </w:rPr>
        <w:t>(5), 1024–1033. https://doi.org/10.1037/0022-3514.34.5.1024</w:t>
      </w:r>
    </w:p>
    <w:p w14:paraId="42DF2D1F" w14:textId="6633250F"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lastRenderedPageBreak/>
        <w:t xml:space="preserve">Shaw, J. I., &amp; Thorslund, C. (1975). Varying patterns of reward cooperation: The effects in a Prisoner's Dilemma game.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19</w:t>
      </w:r>
      <w:r w:rsidRPr="002414E9">
        <w:rPr>
          <w:rFonts w:eastAsia="DengXian" w:cs="Times New Roman"/>
          <w:bCs/>
          <w:noProof/>
          <w:lang w:eastAsia="zh-CN"/>
        </w:rPr>
        <w:t>(1), 108–122. https://doi.org/10.1177/002200277501900106</w:t>
      </w:r>
    </w:p>
    <w:p w14:paraId="06D2CBBE" w14:textId="5321959A"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Sheldon, K. M. (1999). Learning the lessons of tit-for-tat: Even competitors can get the message. </w:t>
      </w:r>
      <w:r w:rsidRPr="002414E9">
        <w:rPr>
          <w:rFonts w:eastAsia="DengXian" w:cs="Times New Roman"/>
          <w:bCs/>
          <w:i/>
          <w:iCs/>
          <w:noProof/>
          <w:lang w:eastAsia="zh-CN"/>
        </w:rPr>
        <w:t>Journal of Personality and Social Psychology, 77</w:t>
      </w:r>
      <w:r w:rsidRPr="002414E9">
        <w:rPr>
          <w:rFonts w:eastAsia="DengXian" w:cs="Times New Roman"/>
          <w:bCs/>
          <w:noProof/>
          <w:lang w:eastAsia="zh-CN"/>
        </w:rPr>
        <w:t>(6), 1245–1253. https://doi.org/10.1037/0022-3514.77.6.1245</w:t>
      </w:r>
    </w:p>
    <w:p w14:paraId="5FDEE474" w14:textId="4A751707"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Sheldon, K. M., Sheldon, M. S., &amp; Osbaldiston, R. (2000). Prosocial values and group assortation. </w:t>
      </w:r>
      <w:r w:rsidRPr="002414E9">
        <w:rPr>
          <w:rFonts w:eastAsia="DengXian" w:cs="Times New Roman"/>
          <w:bCs/>
          <w:i/>
          <w:iCs/>
          <w:noProof/>
          <w:lang w:eastAsia="zh-CN"/>
        </w:rPr>
        <w:t>Human Nature</w:t>
      </w:r>
      <w:r w:rsidRPr="002414E9">
        <w:rPr>
          <w:rFonts w:eastAsia="DengXian" w:cs="Times New Roman"/>
          <w:bCs/>
          <w:noProof/>
          <w:lang w:eastAsia="zh-CN"/>
        </w:rPr>
        <w:t xml:space="preserve">, </w:t>
      </w:r>
      <w:r w:rsidRPr="002414E9">
        <w:rPr>
          <w:rFonts w:eastAsia="DengXian" w:cs="Times New Roman"/>
          <w:bCs/>
          <w:i/>
          <w:iCs/>
          <w:noProof/>
          <w:lang w:eastAsia="zh-CN"/>
        </w:rPr>
        <w:t>11</w:t>
      </w:r>
      <w:r w:rsidRPr="002414E9">
        <w:rPr>
          <w:rFonts w:eastAsia="DengXian" w:cs="Times New Roman"/>
          <w:bCs/>
          <w:noProof/>
          <w:lang w:eastAsia="zh-CN"/>
        </w:rPr>
        <w:t>(4), 387–404. https://doi.org/10.1007/s12110-000-1009-z</w:t>
      </w:r>
    </w:p>
    <w:p w14:paraId="04EF2B55" w14:textId="09013878"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Sheldon, O. J., &amp; Fishbach, A. (2011). Resisting the temptation to compete: Self-control promotes cooperation in mixed-motive interactions. </w:t>
      </w:r>
      <w:r w:rsidRPr="002414E9">
        <w:rPr>
          <w:rFonts w:eastAsia="DengXian" w:cs="Times New Roman"/>
          <w:bCs/>
          <w:i/>
          <w:iCs/>
          <w:noProof/>
          <w:lang w:eastAsia="zh-CN"/>
        </w:rPr>
        <w:t>Journal of Experimental Social Psychology</w:t>
      </w:r>
      <w:r w:rsidRPr="002414E9">
        <w:rPr>
          <w:rFonts w:eastAsia="DengXian" w:cs="Times New Roman"/>
          <w:bCs/>
          <w:noProof/>
          <w:lang w:eastAsia="zh-CN"/>
        </w:rPr>
        <w:t xml:space="preserve">, </w:t>
      </w:r>
      <w:r w:rsidRPr="002414E9">
        <w:rPr>
          <w:rFonts w:eastAsia="DengXian" w:cs="Times New Roman"/>
          <w:bCs/>
          <w:i/>
          <w:iCs/>
          <w:noProof/>
          <w:lang w:eastAsia="zh-CN"/>
        </w:rPr>
        <w:t>47</w:t>
      </w:r>
      <w:r w:rsidRPr="002414E9">
        <w:rPr>
          <w:rFonts w:eastAsia="DengXian" w:cs="Times New Roman"/>
          <w:bCs/>
          <w:noProof/>
          <w:lang w:eastAsia="zh-CN"/>
        </w:rPr>
        <w:t>(2), 403–410. https://doi.org/10.1016/j.jesp.2010.11.003</w:t>
      </w:r>
    </w:p>
    <w:p w14:paraId="665E12A6" w14:textId="0EE00DAB"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Sheposh, J. P., &amp; Gallo Jr, P. S. (1973). Asymmetry of payoff structure and cooperative behavior in the Prisoner's Dilemma game. </w:t>
      </w:r>
      <w:r w:rsidRPr="002414E9">
        <w:rPr>
          <w:rFonts w:eastAsia="DengXian" w:cs="Times New Roman"/>
          <w:bCs/>
          <w:i/>
          <w:iCs/>
          <w:noProof/>
          <w:lang w:eastAsia="zh-CN"/>
        </w:rPr>
        <w:t>Journal of Conflict Resolution</w:t>
      </w:r>
      <w:r w:rsidRPr="002414E9">
        <w:rPr>
          <w:rFonts w:eastAsia="DengXian" w:cs="Times New Roman"/>
          <w:bCs/>
          <w:noProof/>
          <w:lang w:eastAsia="zh-CN"/>
        </w:rPr>
        <w:t>,</w:t>
      </w:r>
      <w:bookmarkStart w:id="108" w:name="_Hlk54082010"/>
      <w:r w:rsidRPr="002414E9">
        <w:rPr>
          <w:rFonts w:eastAsia="DengXian" w:cs="Times New Roman"/>
          <w:bCs/>
          <w:noProof/>
          <w:lang w:eastAsia="zh-CN"/>
        </w:rPr>
        <w:t xml:space="preserve"> </w:t>
      </w:r>
      <w:r w:rsidRPr="002414E9">
        <w:rPr>
          <w:rFonts w:eastAsia="DengXian" w:cs="Times New Roman"/>
          <w:bCs/>
          <w:i/>
          <w:iCs/>
          <w:noProof/>
          <w:lang w:eastAsia="zh-CN"/>
        </w:rPr>
        <w:t>17</w:t>
      </w:r>
      <w:r w:rsidRPr="002414E9">
        <w:rPr>
          <w:rFonts w:eastAsia="DengXian" w:cs="Times New Roman"/>
          <w:bCs/>
          <w:noProof/>
          <w:lang w:eastAsia="zh-CN"/>
        </w:rPr>
        <w:t>(2)</w:t>
      </w:r>
      <w:bookmarkEnd w:id="108"/>
      <w:r w:rsidRPr="002414E9">
        <w:rPr>
          <w:rFonts w:eastAsia="DengXian" w:cs="Times New Roman"/>
          <w:bCs/>
          <w:noProof/>
          <w:lang w:eastAsia="zh-CN"/>
        </w:rPr>
        <w:t>, 321–333. https://doi.org/10.1177/002200277301700208</w:t>
      </w:r>
    </w:p>
    <w:p w14:paraId="41FE620A" w14:textId="447903D5"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Sherstyuk, K., Tarui, N., &amp; Saijo, T. (2013). Payment schemes in infinite-horizon experimental games. </w:t>
      </w:r>
      <w:r w:rsidRPr="002414E9">
        <w:rPr>
          <w:rFonts w:eastAsia="DengXian" w:cs="Times New Roman"/>
          <w:bCs/>
          <w:i/>
          <w:iCs/>
          <w:noProof/>
          <w:lang w:eastAsia="zh-CN"/>
        </w:rPr>
        <w:t>Experimental Economics</w:t>
      </w:r>
      <w:r w:rsidRPr="002414E9">
        <w:rPr>
          <w:rFonts w:eastAsia="DengXian" w:cs="Times New Roman"/>
          <w:bCs/>
          <w:noProof/>
          <w:lang w:eastAsia="zh-CN"/>
        </w:rPr>
        <w:t xml:space="preserve">, </w:t>
      </w:r>
      <w:r w:rsidRPr="002414E9">
        <w:rPr>
          <w:rFonts w:eastAsia="DengXian" w:cs="Times New Roman"/>
          <w:bCs/>
          <w:i/>
          <w:iCs/>
          <w:noProof/>
          <w:lang w:eastAsia="zh-CN"/>
        </w:rPr>
        <w:t>16</w:t>
      </w:r>
      <w:r w:rsidRPr="002414E9">
        <w:rPr>
          <w:rFonts w:eastAsia="DengXian" w:cs="Times New Roman"/>
          <w:bCs/>
          <w:noProof/>
          <w:lang w:eastAsia="zh-CN"/>
        </w:rPr>
        <w:t>(1), 125–153. https://doi.org/10.1007/s10683-012-9323-y</w:t>
      </w:r>
    </w:p>
    <w:p w14:paraId="5703FD83" w14:textId="7194CA6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Shinada, M. (2005). Kōkan kankei no renketsu to shakaiteki jirenma mondai no kaiketsu [Linking behavior in a social dilemma to outcome in another exchange: An experimental study of social dilemma resolution]. </w:t>
      </w:r>
      <w:r w:rsidRPr="002414E9">
        <w:rPr>
          <w:rFonts w:eastAsia="DengXian" w:cs="Times New Roman"/>
          <w:i/>
          <w:iCs/>
          <w:noProof/>
          <w:lang w:eastAsia="zh-CN"/>
        </w:rPr>
        <w:t>The Japanese Journal of Psychology</w:t>
      </w:r>
      <w:r w:rsidRPr="002414E9">
        <w:rPr>
          <w:rFonts w:eastAsia="DengXian" w:cs="Times New Roman"/>
          <w:noProof/>
          <w:lang w:eastAsia="zh-CN"/>
        </w:rPr>
        <w:t xml:space="preserve">, </w:t>
      </w:r>
      <w:r w:rsidRPr="002414E9">
        <w:rPr>
          <w:rFonts w:eastAsia="DengXian" w:cs="Times New Roman"/>
          <w:i/>
          <w:iCs/>
          <w:noProof/>
          <w:lang w:eastAsia="zh-CN"/>
        </w:rPr>
        <w:t>76</w:t>
      </w:r>
      <w:r w:rsidRPr="002414E9">
        <w:rPr>
          <w:rFonts w:eastAsia="DengXian" w:cs="Times New Roman"/>
          <w:noProof/>
          <w:lang w:eastAsia="zh-CN"/>
        </w:rPr>
        <w:t>(2), 163–168. https://doi.org/10.4992/jjpsy.76.163</w:t>
      </w:r>
    </w:p>
    <w:p w14:paraId="4F21694C" w14:textId="742500C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Shinada, M., &amp; Kameda, T. (2003). Shakaiteki jirenma jōkyō ni okeru kōdō no jisei ni kansuru jikkenteki kenkyū [Emergence of frequency-dependent cooperative strategies in iterated </w:t>
      </w:r>
      <w:r w:rsidRPr="002414E9">
        <w:rPr>
          <w:rFonts w:eastAsia="DengXian" w:cs="Times New Roman"/>
          <w:noProof/>
          <w:lang w:eastAsia="zh-CN"/>
        </w:rPr>
        <w:lastRenderedPageBreak/>
        <w:t xml:space="preserve">social dilemma: An experimental study]. </w:t>
      </w:r>
      <w:r w:rsidRPr="002414E9">
        <w:rPr>
          <w:rFonts w:eastAsia="DengXian" w:cs="Times New Roman"/>
          <w:i/>
          <w:iCs/>
          <w:noProof/>
          <w:lang w:eastAsia="zh-CN"/>
        </w:rPr>
        <w:t>The Japanese Journal of Experimental Social Psychology</w:t>
      </w:r>
      <w:r w:rsidRPr="002414E9">
        <w:rPr>
          <w:rFonts w:eastAsia="DengXian" w:cs="Times New Roman"/>
          <w:noProof/>
          <w:lang w:eastAsia="zh-CN"/>
        </w:rPr>
        <w:t xml:space="preserve">, </w:t>
      </w:r>
      <w:r w:rsidRPr="002414E9">
        <w:rPr>
          <w:rFonts w:eastAsia="DengXian" w:cs="Times New Roman"/>
          <w:i/>
          <w:iCs/>
          <w:noProof/>
          <w:lang w:eastAsia="zh-CN"/>
        </w:rPr>
        <w:t>74</w:t>
      </w:r>
      <w:r w:rsidRPr="002414E9">
        <w:rPr>
          <w:rFonts w:eastAsia="DengXian" w:cs="Times New Roman"/>
          <w:noProof/>
          <w:lang w:eastAsia="zh-CN"/>
        </w:rPr>
        <w:t>(1), 71–76. https://doi.org/10.4992/jjpsy.74.71</w:t>
      </w:r>
    </w:p>
    <w:p w14:paraId="4FD1793A" w14:textId="4A9C5AD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Shinada, M., &amp; Yamagishi, T. (2007). Punishing free riders: direct and indirect promotion of cooperation. </w:t>
      </w:r>
      <w:r w:rsidRPr="002414E9">
        <w:rPr>
          <w:rFonts w:eastAsia="DengXian" w:cs="Times New Roman"/>
          <w:i/>
          <w:iCs/>
          <w:noProof/>
          <w:lang w:eastAsia="zh-CN"/>
        </w:rPr>
        <w:t>Evolution and Human Behavior</w:t>
      </w:r>
      <w:r w:rsidRPr="002414E9">
        <w:rPr>
          <w:rFonts w:eastAsia="DengXian" w:cs="Times New Roman"/>
          <w:noProof/>
          <w:lang w:eastAsia="zh-CN"/>
        </w:rPr>
        <w:t xml:space="preserve">, </w:t>
      </w:r>
      <w:r w:rsidRPr="002414E9">
        <w:rPr>
          <w:rFonts w:eastAsia="DengXian" w:cs="Times New Roman"/>
          <w:i/>
          <w:iCs/>
          <w:noProof/>
          <w:lang w:eastAsia="zh-CN"/>
        </w:rPr>
        <w:t>28</w:t>
      </w:r>
      <w:r w:rsidRPr="002414E9">
        <w:rPr>
          <w:rFonts w:eastAsia="DengXian" w:cs="Times New Roman"/>
          <w:noProof/>
          <w:lang w:eastAsia="zh-CN"/>
        </w:rPr>
        <w:t>(5), 330–339. https://doi.org/10.1016/j.evolhumbehav.2007.04.001</w:t>
      </w:r>
    </w:p>
    <w:p w14:paraId="32248023" w14:textId="6B56B88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Shinada, M., &amp; Yamagishi, T. (2014). Physical attractiveness and cooperation in a prisoner’s dilemma game. </w:t>
      </w:r>
      <w:r w:rsidRPr="002414E9">
        <w:rPr>
          <w:rFonts w:eastAsia="DengXian" w:cs="Times New Roman"/>
          <w:i/>
          <w:iCs/>
          <w:noProof/>
          <w:lang w:eastAsia="zh-CN"/>
        </w:rPr>
        <w:t>Evolution and Human Behavior</w:t>
      </w:r>
      <w:r w:rsidRPr="002414E9">
        <w:rPr>
          <w:rFonts w:eastAsia="DengXian" w:cs="Times New Roman"/>
          <w:noProof/>
          <w:lang w:eastAsia="zh-CN"/>
        </w:rPr>
        <w:t xml:space="preserve">, </w:t>
      </w:r>
      <w:r w:rsidRPr="002414E9">
        <w:rPr>
          <w:rFonts w:eastAsia="DengXian" w:cs="Times New Roman"/>
          <w:i/>
          <w:iCs/>
          <w:noProof/>
          <w:lang w:eastAsia="zh-CN"/>
        </w:rPr>
        <w:t>35</w:t>
      </w:r>
      <w:r w:rsidRPr="002414E9">
        <w:rPr>
          <w:rFonts w:eastAsia="DengXian" w:cs="Times New Roman"/>
          <w:noProof/>
          <w:lang w:eastAsia="zh-CN"/>
        </w:rPr>
        <w:t>(6), 451–455. https://doi.org/10.1016/j.evolhumbehav.2014.06.003</w:t>
      </w:r>
    </w:p>
    <w:p w14:paraId="3D547EEE" w14:textId="78F14677"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es-ES" w:eastAsia="zh-CN"/>
        </w:rPr>
        <w:t xml:space="preserve">Shinada, M., Yamagishi, T., &amp; Ohmura, Y. (2004). </w:t>
      </w:r>
      <w:r w:rsidRPr="002414E9">
        <w:rPr>
          <w:rFonts w:eastAsia="DengXian" w:cs="Times New Roman"/>
          <w:bCs/>
          <w:noProof/>
          <w:lang w:eastAsia="zh-CN"/>
        </w:rPr>
        <w:t xml:space="preserve">False friends are worse than bitter enemies: “Altruistic” punishment of in-group members. </w:t>
      </w:r>
      <w:r w:rsidRPr="002414E9">
        <w:rPr>
          <w:rFonts w:eastAsia="DengXian" w:cs="Times New Roman"/>
          <w:bCs/>
          <w:i/>
          <w:iCs/>
          <w:noProof/>
          <w:lang w:eastAsia="zh-CN"/>
        </w:rPr>
        <w:t>Evolution and Human Behavior</w:t>
      </w:r>
      <w:r w:rsidRPr="002414E9">
        <w:rPr>
          <w:rFonts w:eastAsia="DengXian" w:cs="Times New Roman"/>
          <w:bCs/>
          <w:noProof/>
          <w:lang w:eastAsia="zh-CN"/>
        </w:rPr>
        <w:t xml:space="preserve">, </w:t>
      </w:r>
      <w:r w:rsidRPr="002414E9">
        <w:rPr>
          <w:rFonts w:eastAsia="DengXian" w:cs="Times New Roman"/>
          <w:bCs/>
          <w:i/>
          <w:iCs/>
          <w:noProof/>
          <w:lang w:eastAsia="zh-CN"/>
        </w:rPr>
        <w:t>25</w:t>
      </w:r>
      <w:r w:rsidRPr="002414E9">
        <w:rPr>
          <w:rFonts w:eastAsia="DengXian" w:cs="Times New Roman"/>
          <w:bCs/>
          <w:noProof/>
          <w:lang w:eastAsia="zh-CN"/>
        </w:rPr>
        <w:t>(6), 379–393. https://doi.org/10.1016/j.evolhumbehav.2004.08.001</w:t>
      </w:r>
    </w:p>
    <w:p w14:paraId="6D963D7C" w14:textId="5B292B28"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Sibley, S. A., Senn, S. K., &amp; Epanchin, A. (1968). Race and sex of adolescents and cooperation in a mixed-motive game. </w:t>
      </w:r>
      <w:r w:rsidRPr="002414E9">
        <w:rPr>
          <w:rFonts w:eastAsia="DengXian" w:cs="Times New Roman"/>
          <w:bCs/>
          <w:i/>
          <w:iCs/>
          <w:noProof/>
          <w:lang w:eastAsia="zh-CN"/>
        </w:rPr>
        <w:t>Psychonomic Science</w:t>
      </w:r>
      <w:r w:rsidRPr="002414E9">
        <w:rPr>
          <w:rFonts w:eastAsia="DengXian" w:cs="Times New Roman"/>
          <w:bCs/>
          <w:noProof/>
          <w:lang w:eastAsia="zh-CN"/>
        </w:rPr>
        <w:t xml:space="preserve">, </w:t>
      </w:r>
      <w:r w:rsidRPr="002414E9">
        <w:rPr>
          <w:rFonts w:eastAsia="DengXian" w:cs="Times New Roman"/>
          <w:bCs/>
          <w:i/>
          <w:iCs/>
          <w:noProof/>
          <w:lang w:eastAsia="zh-CN"/>
        </w:rPr>
        <w:t>13</w:t>
      </w:r>
      <w:r w:rsidRPr="002414E9">
        <w:rPr>
          <w:rFonts w:eastAsia="DengXian" w:cs="Times New Roman"/>
          <w:bCs/>
          <w:noProof/>
          <w:lang w:eastAsia="zh-CN"/>
        </w:rPr>
        <w:t>(2), 123–124. https://doi.org/10.3758/BF03342441</w:t>
      </w:r>
    </w:p>
    <w:p w14:paraId="37C1B3C3" w14:textId="556974F9"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Simpson, B. (2003). Sex, fear, and greed: A social dilemma analysis of gender and cooperation. </w:t>
      </w:r>
      <w:r w:rsidRPr="002414E9">
        <w:rPr>
          <w:rFonts w:eastAsia="DengXian" w:cs="Times New Roman"/>
          <w:bCs/>
          <w:i/>
          <w:iCs/>
          <w:noProof/>
          <w:lang w:eastAsia="zh-CN"/>
        </w:rPr>
        <w:t>Social Forces</w:t>
      </w:r>
      <w:r w:rsidRPr="002414E9">
        <w:rPr>
          <w:rFonts w:eastAsia="DengXian" w:cs="Times New Roman"/>
          <w:bCs/>
          <w:noProof/>
          <w:lang w:eastAsia="zh-CN"/>
        </w:rPr>
        <w:t xml:space="preserve">, </w:t>
      </w:r>
      <w:r w:rsidRPr="002414E9">
        <w:rPr>
          <w:rFonts w:eastAsia="DengXian" w:cs="Times New Roman"/>
          <w:bCs/>
          <w:i/>
          <w:iCs/>
          <w:noProof/>
          <w:lang w:eastAsia="zh-CN"/>
        </w:rPr>
        <w:t>82</w:t>
      </w:r>
      <w:r w:rsidRPr="002414E9">
        <w:rPr>
          <w:rFonts w:eastAsia="DengXian" w:cs="Times New Roman"/>
          <w:bCs/>
          <w:noProof/>
          <w:lang w:eastAsia="zh-CN"/>
        </w:rPr>
        <w:t>(1), 35–52. https://doi.org/10.1353/sof.2003.0081</w:t>
      </w:r>
    </w:p>
    <w:p w14:paraId="1D1A011B" w14:textId="49B94D52"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Simpson, B. (2004). Social values, subjective transformations, and cooperation in social dilemmas. </w:t>
      </w:r>
      <w:r w:rsidRPr="002414E9">
        <w:rPr>
          <w:rFonts w:eastAsia="DengXian" w:cs="Times New Roman"/>
          <w:bCs/>
          <w:i/>
          <w:iCs/>
          <w:noProof/>
          <w:lang w:eastAsia="zh-CN"/>
        </w:rPr>
        <w:t>Social Psychology Quarterly</w:t>
      </w:r>
      <w:r w:rsidRPr="002414E9">
        <w:rPr>
          <w:rFonts w:eastAsia="DengXian" w:cs="Times New Roman"/>
          <w:bCs/>
          <w:noProof/>
          <w:lang w:eastAsia="zh-CN"/>
        </w:rPr>
        <w:t xml:space="preserve">, </w:t>
      </w:r>
      <w:r w:rsidRPr="002414E9">
        <w:rPr>
          <w:rFonts w:eastAsia="DengXian" w:cs="Times New Roman"/>
          <w:bCs/>
          <w:i/>
          <w:iCs/>
          <w:noProof/>
          <w:lang w:eastAsia="zh-CN"/>
        </w:rPr>
        <w:t>67</w:t>
      </w:r>
      <w:r w:rsidRPr="002414E9">
        <w:rPr>
          <w:rFonts w:eastAsia="DengXian" w:cs="Times New Roman"/>
          <w:bCs/>
          <w:noProof/>
          <w:lang w:eastAsia="zh-CN"/>
        </w:rPr>
        <w:t>(4), 385–395.</w:t>
      </w:r>
    </w:p>
    <w:p w14:paraId="09A9244E" w14:textId="64D82CF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Simpson, B. (2006). Social identity and cooperation in social dilemmas. </w:t>
      </w:r>
      <w:r w:rsidRPr="002414E9">
        <w:rPr>
          <w:rFonts w:eastAsia="DengXian" w:cs="Times New Roman"/>
          <w:i/>
          <w:iCs/>
          <w:noProof/>
          <w:lang w:eastAsia="zh-CN"/>
        </w:rPr>
        <w:t>Rationality and Society</w:t>
      </w:r>
      <w:r w:rsidRPr="002414E9">
        <w:rPr>
          <w:rFonts w:eastAsia="DengXian" w:cs="Times New Roman"/>
          <w:noProof/>
          <w:lang w:eastAsia="zh-CN"/>
        </w:rPr>
        <w:t xml:space="preserve">, </w:t>
      </w:r>
      <w:r w:rsidRPr="002414E9">
        <w:rPr>
          <w:rFonts w:eastAsia="DengXian" w:cs="Times New Roman"/>
          <w:i/>
          <w:iCs/>
          <w:noProof/>
          <w:lang w:eastAsia="zh-CN"/>
        </w:rPr>
        <w:t>18</w:t>
      </w:r>
      <w:r w:rsidRPr="002414E9">
        <w:rPr>
          <w:rFonts w:eastAsia="DengXian" w:cs="Times New Roman"/>
          <w:noProof/>
          <w:lang w:eastAsia="zh-CN"/>
        </w:rPr>
        <w:t>(4), 443–470. https://doi.org/10.1177/1043463106066381</w:t>
      </w:r>
    </w:p>
    <w:p w14:paraId="6462E97D" w14:textId="04566FDD"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Siswanto, B. (2017). Gender differences in the classroom games: A prisoner’s dilemma. </w:t>
      </w:r>
      <w:r w:rsidRPr="002414E9">
        <w:rPr>
          <w:rFonts w:eastAsia="DengXian" w:cs="Times New Roman"/>
          <w:bCs/>
          <w:i/>
          <w:iCs/>
          <w:noProof/>
          <w:lang w:eastAsia="zh-CN"/>
        </w:rPr>
        <w:t>Advanced Science Letters</w:t>
      </w:r>
      <w:r w:rsidRPr="002414E9">
        <w:rPr>
          <w:rFonts w:eastAsia="DengXian" w:cs="Times New Roman"/>
          <w:bCs/>
          <w:noProof/>
          <w:lang w:eastAsia="zh-CN"/>
        </w:rPr>
        <w:t xml:space="preserve">, </w:t>
      </w:r>
      <w:r w:rsidRPr="002414E9">
        <w:rPr>
          <w:rFonts w:eastAsia="DengXian" w:cs="Times New Roman"/>
          <w:bCs/>
          <w:i/>
          <w:iCs/>
          <w:noProof/>
          <w:lang w:eastAsia="zh-CN"/>
        </w:rPr>
        <w:t>23</w:t>
      </w:r>
      <w:r w:rsidRPr="002414E9">
        <w:rPr>
          <w:rFonts w:eastAsia="DengXian" w:cs="Times New Roman"/>
          <w:bCs/>
          <w:noProof/>
          <w:lang w:eastAsia="zh-CN"/>
        </w:rPr>
        <w:t xml:space="preserve">(8), 7094–7095. https://doi.org/10.1166/asl.2017.9298 </w:t>
      </w:r>
    </w:p>
    <w:p w14:paraId="41A456B9" w14:textId="030E35D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Skatova, A., &amp; Ferguson, E. (2011). What makes people cooperate? Individual differences in </w:t>
      </w:r>
      <w:r w:rsidRPr="002414E9">
        <w:rPr>
          <w:rFonts w:eastAsia="DengXian" w:cs="Times New Roman"/>
          <w:noProof/>
          <w:lang w:eastAsia="zh-CN"/>
        </w:rPr>
        <w:lastRenderedPageBreak/>
        <w:t xml:space="preserve">BAS/BIS predict strategic reciprocation in a public goods game. </w:t>
      </w:r>
      <w:r w:rsidRPr="002414E9">
        <w:rPr>
          <w:rFonts w:eastAsia="DengXian" w:cs="Times New Roman"/>
          <w:i/>
          <w:iCs/>
          <w:noProof/>
          <w:lang w:eastAsia="zh-CN"/>
        </w:rPr>
        <w:t>Personality and Individual Differences</w:t>
      </w:r>
      <w:r w:rsidRPr="002414E9">
        <w:rPr>
          <w:rFonts w:eastAsia="DengXian" w:cs="Times New Roman"/>
          <w:noProof/>
          <w:lang w:eastAsia="zh-CN"/>
        </w:rPr>
        <w:t xml:space="preserve">, </w:t>
      </w:r>
      <w:r w:rsidRPr="002414E9">
        <w:rPr>
          <w:rFonts w:eastAsia="DengXian" w:cs="Times New Roman"/>
          <w:i/>
          <w:iCs/>
          <w:noProof/>
          <w:lang w:eastAsia="zh-CN"/>
        </w:rPr>
        <w:t>51</w:t>
      </w:r>
      <w:r w:rsidRPr="002414E9">
        <w:rPr>
          <w:rFonts w:eastAsia="DengXian" w:cs="Times New Roman"/>
          <w:noProof/>
          <w:lang w:eastAsia="zh-CN"/>
        </w:rPr>
        <w:t>(3), 237–241. https://doi.org/10.1016/j.paid.2010.05.013</w:t>
      </w:r>
    </w:p>
    <w:p w14:paraId="589FC9C7" w14:textId="5334810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Skatova, A., &amp; Ferguson, E. (2013). Individual differences in behavioural inhibition explain free riding in public good games when punishment is expected but not implemented. </w:t>
      </w:r>
      <w:r w:rsidRPr="002414E9">
        <w:rPr>
          <w:rFonts w:eastAsia="DengXian" w:cs="Times New Roman"/>
          <w:i/>
          <w:iCs/>
          <w:noProof/>
          <w:lang w:eastAsia="zh-CN"/>
        </w:rPr>
        <w:t>Behavioral and Brain Functions</w:t>
      </w:r>
      <w:r w:rsidRPr="002414E9">
        <w:rPr>
          <w:rFonts w:eastAsia="DengXian" w:cs="Times New Roman"/>
          <w:noProof/>
          <w:lang w:eastAsia="zh-CN"/>
        </w:rPr>
        <w:t xml:space="preserve">, </w:t>
      </w:r>
      <w:r w:rsidRPr="002414E9">
        <w:rPr>
          <w:rFonts w:eastAsia="DengXian" w:cs="Times New Roman"/>
          <w:i/>
          <w:iCs/>
          <w:noProof/>
          <w:lang w:eastAsia="zh-CN"/>
        </w:rPr>
        <w:t>9</w:t>
      </w:r>
      <w:r w:rsidRPr="002414E9">
        <w:rPr>
          <w:rFonts w:eastAsia="DengXian" w:cs="Times New Roman"/>
          <w:noProof/>
          <w:lang w:eastAsia="zh-CN"/>
        </w:rPr>
        <w:t>(1), 1–11. https://doi.org/10.1186/1744-9081-9-3</w:t>
      </w:r>
    </w:p>
    <w:p w14:paraId="050CB794" w14:textId="2046B00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Skatova, A., Spence, A., Leygue, C., &amp; Ferguson, E. (2017). Guilty repair sustains cooperation, angry retaliation destroys it. </w:t>
      </w:r>
      <w:r w:rsidRPr="002414E9">
        <w:rPr>
          <w:rFonts w:eastAsia="DengXian" w:cs="Times New Roman"/>
          <w:i/>
          <w:iCs/>
          <w:noProof/>
          <w:lang w:eastAsia="zh-CN"/>
        </w:rPr>
        <w:t>Scientific Reports</w:t>
      </w:r>
      <w:r w:rsidRPr="002414E9">
        <w:rPr>
          <w:rFonts w:eastAsia="DengXian" w:cs="Times New Roman"/>
          <w:noProof/>
          <w:lang w:eastAsia="zh-CN"/>
        </w:rPr>
        <w:t xml:space="preserve">, </w:t>
      </w:r>
      <w:r w:rsidRPr="002414E9">
        <w:rPr>
          <w:rFonts w:eastAsia="DengXian" w:cs="Times New Roman"/>
          <w:i/>
          <w:iCs/>
          <w:noProof/>
          <w:lang w:eastAsia="zh-CN"/>
        </w:rPr>
        <w:t>7</w:t>
      </w:r>
      <w:r w:rsidRPr="002414E9">
        <w:rPr>
          <w:rFonts w:eastAsia="DengXian" w:cs="Times New Roman"/>
          <w:noProof/>
          <w:lang w:eastAsia="zh-CN"/>
        </w:rPr>
        <w:t>(1), 46709. https://doi.org/10.1038/srep46709</w:t>
      </w:r>
    </w:p>
    <w:p w14:paraId="09974D2B" w14:textId="41366786"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Skotko, V., Langmeyer, D., &amp; Lundgren, D. (1974). Sex differences as artifact in the Prisoner's Dilemma game.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18</w:t>
      </w:r>
      <w:r w:rsidRPr="002414E9">
        <w:rPr>
          <w:rFonts w:eastAsia="DengXian" w:cs="Times New Roman"/>
          <w:bCs/>
          <w:noProof/>
          <w:lang w:eastAsia="zh-CN"/>
        </w:rPr>
        <w:t>(4), 707–713. https://doi.org/10.1177/002200277401800411</w:t>
      </w:r>
    </w:p>
    <w:p w14:paraId="0C7832B5" w14:textId="5F2E486F"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Slusher, E. A., Roering, K. J., &amp; Rose, G. L. (1974). The effects of commitment to future interaction in single plays of three games. </w:t>
      </w:r>
      <w:r w:rsidRPr="002414E9">
        <w:rPr>
          <w:rFonts w:eastAsia="DengXian" w:cs="Times New Roman"/>
          <w:bCs/>
          <w:i/>
          <w:iCs/>
          <w:noProof/>
          <w:lang w:eastAsia="zh-CN"/>
        </w:rPr>
        <w:t>Behavioral Science</w:t>
      </w:r>
      <w:r w:rsidRPr="002414E9">
        <w:rPr>
          <w:rFonts w:eastAsia="DengXian" w:cs="Times New Roman"/>
          <w:bCs/>
          <w:noProof/>
          <w:lang w:eastAsia="zh-CN"/>
        </w:rPr>
        <w:t xml:space="preserve">, </w:t>
      </w:r>
      <w:r w:rsidRPr="002414E9">
        <w:rPr>
          <w:rFonts w:eastAsia="DengXian" w:cs="Times New Roman"/>
          <w:bCs/>
          <w:i/>
          <w:iCs/>
          <w:noProof/>
          <w:lang w:eastAsia="zh-CN"/>
        </w:rPr>
        <w:t>19</w:t>
      </w:r>
      <w:r w:rsidRPr="002414E9">
        <w:rPr>
          <w:rFonts w:eastAsia="DengXian" w:cs="Times New Roman"/>
          <w:bCs/>
          <w:noProof/>
          <w:lang w:eastAsia="zh-CN"/>
        </w:rPr>
        <w:t>(2), 119–132. https://doi.org/10.1002/bs.3830190206</w:t>
      </w:r>
    </w:p>
    <w:p w14:paraId="7A3DF330" w14:textId="0D9DB27A"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Slusher, E. A., Rose, G. L., &amp; Roering, K. J. (1978). Commitment to future interaction and relative power under conditions of interdependence.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22</w:t>
      </w:r>
      <w:r w:rsidRPr="002414E9">
        <w:rPr>
          <w:rFonts w:eastAsia="DengXian" w:cs="Times New Roman"/>
          <w:bCs/>
          <w:noProof/>
          <w:lang w:eastAsia="zh-CN"/>
        </w:rPr>
        <w:t>(2), 282–298. https://doi.org/10.1177/002200277802200205</w:t>
      </w:r>
    </w:p>
    <w:p w14:paraId="35A76370" w14:textId="75D4B83A"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nl-NL" w:eastAsia="zh-CN"/>
        </w:rPr>
        <w:t xml:space="preserve">Small, D. A., &amp; Loewenstein, G. (2005). </w:t>
      </w:r>
      <w:r w:rsidRPr="002414E9">
        <w:rPr>
          <w:rFonts w:eastAsia="DengXian" w:cs="Times New Roman"/>
          <w:bCs/>
          <w:noProof/>
          <w:lang w:eastAsia="zh-CN"/>
        </w:rPr>
        <w:t xml:space="preserve">The devil you know: The effects of identifiability on punishment. </w:t>
      </w:r>
      <w:r w:rsidRPr="002414E9">
        <w:rPr>
          <w:rFonts w:eastAsia="DengXian" w:cs="Times New Roman"/>
          <w:bCs/>
          <w:i/>
          <w:iCs/>
          <w:noProof/>
          <w:lang w:eastAsia="zh-CN"/>
        </w:rPr>
        <w:t>Journal of Behavioral Decision Making</w:t>
      </w:r>
      <w:r w:rsidRPr="002414E9">
        <w:rPr>
          <w:rFonts w:eastAsia="DengXian" w:cs="Times New Roman"/>
          <w:bCs/>
          <w:noProof/>
          <w:lang w:eastAsia="zh-CN"/>
        </w:rPr>
        <w:t xml:space="preserve">, </w:t>
      </w:r>
      <w:r w:rsidRPr="002414E9">
        <w:rPr>
          <w:rFonts w:eastAsia="DengXian" w:cs="Times New Roman"/>
          <w:bCs/>
          <w:i/>
          <w:iCs/>
          <w:noProof/>
          <w:lang w:eastAsia="zh-CN"/>
        </w:rPr>
        <w:t>18</w:t>
      </w:r>
      <w:r w:rsidRPr="002414E9">
        <w:rPr>
          <w:rFonts w:eastAsia="DengXian" w:cs="Times New Roman"/>
          <w:bCs/>
          <w:noProof/>
          <w:lang w:eastAsia="zh-CN"/>
        </w:rPr>
        <w:t>(5), 311–318. https://doi.org/10.1002/bdm.507</w:t>
      </w:r>
    </w:p>
    <w:p w14:paraId="719E81D9" w14:textId="7CAC74F7"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nl-NL" w:eastAsia="zh-CN"/>
        </w:rPr>
        <w:t xml:space="preserve">Smeesters, D., Warlop, L., Van Avermaet, E., Corneille, O., &amp; Yzerbyt, V. (2003). </w:t>
      </w:r>
      <w:r w:rsidRPr="002414E9">
        <w:rPr>
          <w:rFonts w:eastAsia="DengXian" w:cs="Times New Roman"/>
          <w:bCs/>
          <w:noProof/>
          <w:lang w:eastAsia="zh-CN"/>
        </w:rPr>
        <w:t xml:space="preserve">Do not prime hawks with doves: The interplay of construct activation and consistency of social value orientation on cooperative behavior. </w:t>
      </w:r>
      <w:r w:rsidRPr="002414E9">
        <w:rPr>
          <w:rFonts w:eastAsia="DengXian" w:cs="Times New Roman"/>
          <w:bCs/>
          <w:i/>
          <w:iCs/>
          <w:noProof/>
          <w:lang w:eastAsia="zh-CN"/>
        </w:rPr>
        <w:t>Journal of Personality and Social Psychology, 84</w:t>
      </w:r>
      <w:r w:rsidRPr="002414E9">
        <w:rPr>
          <w:rFonts w:eastAsia="DengXian" w:cs="Times New Roman"/>
          <w:bCs/>
          <w:noProof/>
          <w:lang w:eastAsia="zh-CN"/>
        </w:rPr>
        <w:t xml:space="preserve">(5), </w:t>
      </w:r>
      <w:r w:rsidRPr="002414E9">
        <w:rPr>
          <w:rFonts w:eastAsia="DengXian" w:cs="Times New Roman"/>
          <w:bCs/>
          <w:noProof/>
          <w:lang w:eastAsia="zh-CN"/>
        </w:rPr>
        <w:lastRenderedPageBreak/>
        <w:t>972–987. https://doi.org/10.1037/0022-3514.84.5.972</w:t>
      </w:r>
    </w:p>
    <w:p w14:paraId="68E84A94" w14:textId="7F101725" w:rsidR="002414E9" w:rsidRPr="002414E9" w:rsidRDefault="002414E9" w:rsidP="002414E9">
      <w:pPr>
        <w:widowControl w:val="0"/>
        <w:autoSpaceDE w:val="0"/>
        <w:autoSpaceDN w:val="0"/>
        <w:adjustRightInd w:val="0"/>
        <w:ind w:left="709" w:hanging="709"/>
        <w:rPr>
          <w:rFonts w:eastAsia="DengXian" w:cs="Times New Roman"/>
          <w:bCs/>
          <w:noProof/>
          <w:lang w:val="nl-NL" w:eastAsia="zh-CN"/>
        </w:rPr>
      </w:pPr>
      <w:bookmarkStart w:id="109" w:name="_Hlk74307937"/>
      <w:r w:rsidRPr="002414E9">
        <w:rPr>
          <w:rFonts w:eastAsia="DengXian" w:cs="Times New Roman"/>
          <w:bCs/>
          <w:noProof/>
          <w:lang w:val="nl-NL" w:eastAsia="zh-CN"/>
        </w:rPr>
        <w:t xml:space="preserve">Smeesters, D., Warlop, L., Yzerbyt, V., Corneille, O., &amp; Van Avermaet, E. (2003). </w:t>
      </w:r>
      <w:r w:rsidRPr="002414E9">
        <w:rPr>
          <w:rFonts w:eastAsia="DengXian" w:cs="Times New Roman"/>
          <w:bCs/>
          <w:i/>
          <w:iCs/>
          <w:noProof/>
          <w:lang w:eastAsia="zh-CN"/>
        </w:rPr>
        <w:t>About prisoners and dictators: the role of other-self focus, social value orientation, and stereotype primes in shaping cooperative behavior</w:t>
      </w:r>
      <w:r w:rsidRPr="002414E9">
        <w:rPr>
          <w:rFonts w:eastAsia="DengXian" w:cs="Times New Roman"/>
          <w:bCs/>
          <w:noProof/>
          <w:lang w:eastAsia="zh-CN"/>
        </w:rPr>
        <w:t xml:space="preserve"> (DTEW Research Report No 0317).</w:t>
      </w:r>
      <w:r w:rsidRPr="002414E9">
        <w:rPr>
          <w:rFonts w:eastAsia="DengXian" w:cs="Times New Roman"/>
          <w:noProof/>
          <w:lang w:eastAsia="zh-CN"/>
        </w:rPr>
        <w:t xml:space="preserve"> </w:t>
      </w:r>
      <w:r w:rsidRPr="002414E9">
        <w:rPr>
          <w:rFonts w:eastAsia="DengXian" w:cs="Times New Roman"/>
          <w:bCs/>
          <w:noProof/>
          <w:lang w:val="nl-NL" w:eastAsia="zh-CN"/>
        </w:rPr>
        <w:t xml:space="preserve">Departement Toegepaste Economische Wetenschappen, Katholieke Universiteit Leuven. https://lirias.kuleuven.be/1791800?limo=0 </w:t>
      </w:r>
    </w:p>
    <w:bookmarkEnd w:id="109"/>
    <w:p w14:paraId="32820D92" w14:textId="1A92BA4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Smirnov, O., Dawes, C. T., Fowler, J. H., Johnson, T., &amp; McElreath, R. (2010). The behavioral logic of collective action: Partisans cooperate and punish more than nonpartisans. </w:t>
      </w:r>
      <w:r w:rsidRPr="002414E9">
        <w:rPr>
          <w:rFonts w:eastAsia="DengXian" w:cs="Times New Roman"/>
          <w:i/>
          <w:iCs/>
          <w:noProof/>
          <w:lang w:eastAsia="zh-CN"/>
        </w:rPr>
        <w:t>Political Psychology</w:t>
      </w:r>
      <w:r w:rsidRPr="002414E9">
        <w:rPr>
          <w:rFonts w:eastAsia="DengXian" w:cs="Times New Roman"/>
          <w:noProof/>
          <w:lang w:eastAsia="zh-CN"/>
        </w:rPr>
        <w:t xml:space="preserve">, </w:t>
      </w:r>
      <w:r w:rsidRPr="002414E9">
        <w:rPr>
          <w:rFonts w:eastAsia="DengXian" w:cs="Times New Roman"/>
          <w:i/>
          <w:iCs/>
          <w:noProof/>
          <w:lang w:eastAsia="zh-CN"/>
        </w:rPr>
        <w:t>31</w:t>
      </w:r>
      <w:r w:rsidRPr="002414E9">
        <w:rPr>
          <w:rFonts w:eastAsia="DengXian" w:cs="Times New Roman"/>
          <w:noProof/>
          <w:lang w:eastAsia="zh-CN"/>
        </w:rPr>
        <w:t>(4), 595–616. https://doi.org/10.1111/j.1467-9221.2010.00768.x</w:t>
      </w:r>
    </w:p>
    <w:p w14:paraId="424F72E7" w14:textId="0A0160E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Smith, A. (2011). Group composition and conditional cooperation. </w:t>
      </w:r>
      <w:r w:rsidRPr="002414E9">
        <w:rPr>
          <w:rFonts w:eastAsia="DengXian" w:cs="Times New Roman"/>
          <w:i/>
          <w:iCs/>
          <w:noProof/>
          <w:lang w:eastAsia="zh-CN"/>
        </w:rPr>
        <w:t>The Journal of Socio-Economics</w:t>
      </w:r>
      <w:r w:rsidRPr="002414E9">
        <w:rPr>
          <w:rFonts w:eastAsia="DengXian" w:cs="Times New Roman"/>
          <w:noProof/>
          <w:lang w:eastAsia="zh-CN"/>
        </w:rPr>
        <w:t xml:space="preserve">, </w:t>
      </w:r>
      <w:r w:rsidRPr="002414E9">
        <w:rPr>
          <w:rFonts w:eastAsia="DengXian" w:cs="Times New Roman"/>
          <w:i/>
          <w:iCs/>
          <w:noProof/>
          <w:lang w:eastAsia="zh-CN"/>
        </w:rPr>
        <w:t>40</w:t>
      </w:r>
      <w:r w:rsidRPr="002414E9">
        <w:rPr>
          <w:rFonts w:eastAsia="DengXian" w:cs="Times New Roman"/>
          <w:noProof/>
          <w:lang w:eastAsia="zh-CN"/>
        </w:rPr>
        <w:t>(5), 616–622. https://doi.org/10.1016/j.socec.2011.04.018</w:t>
      </w:r>
    </w:p>
    <w:p w14:paraId="7CF7F217" w14:textId="71F05F3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Smith, A. (2013). Estimating the causal effect of beliefs on contributions in repeated public good games.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16</w:t>
      </w:r>
      <w:r w:rsidRPr="002414E9">
        <w:rPr>
          <w:rFonts w:eastAsia="DengXian" w:cs="Times New Roman"/>
          <w:noProof/>
          <w:lang w:eastAsia="zh-CN"/>
        </w:rPr>
        <w:t>(3), 414–425. https://doi.org/10.1007/s10683-012-9345-5</w:t>
      </w:r>
    </w:p>
    <w:p w14:paraId="4F0F44F4" w14:textId="77777777" w:rsidR="002414E9" w:rsidRPr="002414E9" w:rsidRDefault="002414E9" w:rsidP="002414E9">
      <w:pPr>
        <w:widowControl w:val="0"/>
        <w:autoSpaceDE w:val="0"/>
        <w:autoSpaceDN w:val="0"/>
        <w:adjustRightInd w:val="0"/>
        <w:ind w:left="709" w:hanging="709"/>
        <w:rPr>
          <w:rFonts w:eastAsia="DengXian" w:cs="Times New Roman"/>
          <w:noProof/>
          <w:lang w:val="fr-FR" w:eastAsia="zh-CN"/>
        </w:rPr>
      </w:pPr>
      <w:r w:rsidRPr="002414E9">
        <w:rPr>
          <w:rFonts w:eastAsia="DengXian" w:cs="Times New Roman"/>
          <w:noProof/>
          <w:lang w:val="en-GB" w:eastAsia="zh-CN"/>
        </w:rPr>
        <w:t xml:space="preserve">Smith, J., &amp; Bezrukova, K. (2013). </w:t>
      </w:r>
      <w:r w:rsidRPr="002414E9">
        <w:rPr>
          <w:rFonts w:eastAsia="DengXian" w:cs="Times New Roman"/>
          <w:noProof/>
          <w:lang w:eastAsia="zh-CN"/>
        </w:rPr>
        <w:t xml:space="preserve">Toward an understanding of the endogenous nature of group identification in games. </w:t>
      </w:r>
      <w:r w:rsidRPr="002414E9">
        <w:rPr>
          <w:rFonts w:eastAsia="DengXian" w:cs="Times New Roman"/>
          <w:i/>
          <w:iCs/>
          <w:noProof/>
          <w:lang w:val="fr-FR" w:eastAsia="zh-CN"/>
        </w:rPr>
        <w:t>Social Science Journal</w:t>
      </w:r>
      <w:r w:rsidRPr="002414E9">
        <w:rPr>
          <w:rFonts w:eastAsia="DengXian" w:cs="Times New Roman"/>
          <w:noProof/>
          <w:lang w:val="fr-FR" w:eastAsia="zh-CN"/>
        </w:rPr>
        <w:t xml:space="preserve">, </w:t>
      </w:r>
      <w:r w:rsidRPr="002414E9">
        <w:rPr>
          <w:rFonts w:eastAsia="DengXian" w:cs="Times New Roman"/>
          <w:i/>
          <w:iCs/>
          <w:noProof/>
          <w:lang w:val="fr-FR" w:eastAsia="zh-CN"/>
        </w:rPr>
        <w:t>50</w:t>
      </w:r>
      <w:r w:rsidRPr="002414E9">
        <w:rPr>
          <w:rFonts w:eastAsia="DengXian" w:cs="Times New Roman"/>
          <w:noProof/>
          <w:lang w:val="fr-FR" w:eastAsia="zh-CN"/>
        </w:rPr>
        <w:t>(2), 204–212. https://doi.org/10.1016/j.soscij.2012.12.002</w:t>
      </w:r>
    </w:p>
    <w:p w14:paraId="17D5345D" w14:textId="2D813871"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fr-FR" w:eastAsia="zh-CN"/>
        </w:rPr>
        <w:t xml:space="preserve">Smith, N. S., Vernon, C. R., &amp; Tarte, R. D. (1975). </w:t>
      </w:r>
      <w:r w:rsidRPr="002414E9">
        <w:rPr>
          <w:rFonts w:eastAsia="DengXian" w:cs="Times New Roman"/>
          <w:bCs/>
          <w:noProof/>
          <w:lang w:eastAsia="zh-CN"/>
        </w:rPr>
        <w:t xml:space="preserve">Random strategies and sex differences in the prisoner's dilemma game.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19</w:t>
      </w:r>
      <w:r w:rsidRPr="002414E9">
        <w:rPr>
          <w:rFonts w:eastAsia="DengXian" w:cs="Times New Roman"/>
          <w:bCs/>
          <w:noProof/>
          <w:lang w:eastAsia="zh-CN"/>
        </w:rPr>
        <w:t>(4), 643–650. https://doi.org/10.1177/002200277501900405</w:t>
      </w:r>
    </w:p>
    <w:p w14:paraId="69468097" w14:textId="515F05E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Sniezek, J. A. (1992). Groups under uncertainty: An examination of confidence in group decision making. </w:t>
      </w:r>
      <w:r w:rsidRPr="002414E9">
        <w:rPr>
          <w:rFonts w:eastAsia="DengXian" w:cs="Times New Roman"/>
          <w:i/>
          <w:iCs/>
          <w:noProof/>
          <w:lang w:eastAsia="zh-CN"/>
        </w:rPr>
        <w:t>Organizational Behavior and Human Decision Processes</w:t>
      </w:r>
      <w:r w:rsidRPr="002414E9">
        <w:rPr>
          <w:rFonts w:eastAsia="DengXian" w:cs="Times New Roman"/>
          <w:noProof/>
          <w:lang w:eastAsia="zh-CN"/>
        </w:rPr>
        <w:t xml:space="preserve">, </w:t>
      </w:r>
      <w:r w:rsidRPr="002414E9">
        <w:rPr>
          <w:rFonts w:eastAsia="DengXian" w:cs="Times New Roman"/>
          <w:i/>
          <w:iCs/>
          <w:noProof/>
          <w:lang w:eastAsia="zh-CN"/>
        </w:rPr>
        <w:t>52</w:t>
      </w:r>
      <w:r w:rsidRPr="002414E9">
        <w:rPr>
          <w:rFonts w:eastAsia="DengXian" w:cs="Times New Roman"/>
          <w:noProof/>
          <w:lang w:eastAsia="zh-CN"/>
        </w:rPr>
        <w:t>(1), 124–155. https://doi.org/10.1016/0749-5978(92)90048-C</w:t>
      </w:r>
    </w:p>
    <w:p w14:paraId="73936735" w14:textId="1F717E3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lastRenderedPageBreak/>
        <w:t xml:space="preserve">Soler, M. (2016). The faith of sacrifice: Leadership trade-offs in an Afro-Brazilian religion. </w:t>
      </w:r>
      <w:r w:rsidRPr="002414E9">
        <w:rPr>
          <w:rFonts w:eastAsia="DengXian" w:cs="Times New Roman"/>
          <w:i/>
          <w:iCs/>
          <w:noProof/>
          <w:lang w:eastAsia="zh-CN"/>
        </w:rPr>
        <w:t>Human Nature</w:t>
      </w:r>
      <w:r w:rsidRPr="002414E9">
        <w:rPr>
          <w:rFonts w:eastAsia="DengXian" w:cs="Times New Roman"/>
          <w:noProof/>
          <w:lang w:eastAsia="zh-CN"/>
        </w:rPr>
        <w:t xml:space="preserve">, </w:t>
      </w:r>
      <w:r w:rsidRPr="002414E9">
        <w:rPr>
          <w:rFonts w:eastAsia="DengXian" w:cs="Times New Roman"/>
          <w:i/>
          <w:iCs/>
          <w:noProof/>
          <w:lang w:eastAsia="zh-CN"/>
        </w:rPr>
        <w:t>27</w:t>
      </w:r>
      <w:r w:rsidRPr="002414E9">
        <w:rPr>
          <w:rFonts w:eastAsia="DengXian" w:cs="Times New Roman"/>
          <w:noProof/>
          <w:lang w:eastAsia="zh-CN"/>
        </w:rPr>
        <w:t>(4), 372–394. https://doi.org/10.1007/s12110-016-9264-9</w:t>
      </w:r>
    </w:p>
    <w:p w14:paraId="78EB55DC" w14:textId="6004096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Solow, J. L., &amp; Kirkwood, N. (2002). Group identity and gender in public goods experiments.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48</w:t>
      </w:r>
      <w:r w:rsidRPr="002414E9">
        <w:rPr>
          <w:rFonts w:eastAsia="DengXian" w:cs="Times New Roman"/>
          <w:noProof/>
          <w:lang w:eastAsia="zh-CN"/>
        </w:rPr>
        <w:t>(4), 403–412. https://doi.org/10.1016/S0167-2681(01)00243-8</w:t>
      </w:r>
    </w:p>
    <w:p w14:paraId="7749D1A1" w14:textId="15EA87B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Song, X., &amp; Chen, Y. (2012). Butong neiyin taiduzhe zai jingzheng qingjing zhong de hezuoxing tedian [Cooperative characteristics in competition for people with different implicit attitudes]</w:t>
      </w:r>
      <w:r w:rsidRPr="002414E9">
        <w:rPr>
          <w:rFonts w:eastAsia="DengXian" w:cs="Times New Roman" w:hint="eastAsia"/>
          <w:noProof/>
          <w:lang w:eastAsia="zh-CN"/>
        </w:rPr>
        <w:t>.</w:t>
      </w:r>
      <w:r w:rsidRPr="002414E9">
        <w:rPr>
          <w:rFonts w:eastAsia="DengXian" w:cs="Times New Roman"/>
          <w:noProof/>
          <w:lang w:eastAsia="zh-CN"/>
        </w:rPr>
        <w:t xml:space="preserve"> </w:t>
      </w:r>
      <w:r w:rsidRPr="002414E9">
        <w:rPr>
          <w:rFonts w:eastAsia="DengXian" w:cs="Times New Roman"/>
          <w:i/>
          <w:noProof/>
          <w:lang w:eastAsia="zh-CN"/>
        </w:rPr>
        <w:t>Journal of Nanjing Xiaozhuang University, 4</w:t>
      </w:r>
      <w:r w:rsidRPr="002414E9">
        <w:rPr>
          <w:rFonts w:eastAsia="DengXian" w:cs="Times New Roman"/>
          <w:noProof/>
          <w:lang w:eastAsia="zh-CN"/>
        </w:rPr>
        <w:t>, 76–79.</w:t>
      </w:r>
    </w:p>
    <w:p w14:paraId="65FBFF4D" w14:textId="61647D1F"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Sonnemans, J., Schram, A., &amp; Offerman, T. (1998). Public good provision and public bad prevention: The effect of framing. </w:t>
      </w:r>
      <w:r w:rsidRPr="002414E9">
        <w:rPr>
          <w:rFonts w:eastAsia="DengXian" w:cs="Times New Roman"/>
          <w:bCs/>
          <w:i/>
          <w:iCs/>
          <w:noProof/>
          <w:lang w:eastAsia="zh-CN"/>
        </w:rPr>
        <w:t>Journal of Economic Behavior &amp; Organization</w:t>
      </w:r>
      <w:r w:rsidRPr="002414E9">
        <w:rPr>
          <w:rFonts w:eastAsia="DengXian" w:cs="Times New Roman"/>
          <w:bCs/>
          <w:noProof/>
          <w:lang w:eastAsia="zh-CN"/>
        </w:rPr>
        <w:t xml:space="preserve">, </w:t>
      </w:r>
      <w:r w:rsidRPr="002414E9">
        <w:rPr>
          <w:rFonts w:eastAsia="DengXian" w:cs="Times New Roman"/>
          <w:bCs/>
          <w:i/>
          <w:iCs/>
          <w:noProof/>
          <w:lang w:eastAsia="zh-CN"/>
        </w:rPr>
        <w:t>34</w:t>
      </w:r>
      <w:r w:rsidRPr="002414E9">
        <w:rPr>
          <w:rFonts w:eastAsia="DengXian" w:cs="Times New Roman"/>
          <w:bCs/>
          <w:noProof/>
          <w:lang w:eastAsia="zh-CN"/>
        </w:rPr>
        <w:t>(1), 143–161. https://doi.org/10.1016/S0167-2681(97)00042-5</w:t>
      </w:r>
    </w:p>
    <w:p w14:paraId="0F7E29E2" w14:textId="6720F6B6"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Sorgi, K. M., &amp; van’t Wout, M. (2016). The influence of cooperation and defection on social decision making in depression: A study of the iterated Prisoner's Dilemma Game. </w:t>
      </w:r>
      <w:r w:rsidRPr="002414E9">
        <w:rPr>
          <w:rFonts w:eastAsia="DengXian" w:cs="Times New Roman"/>
          <w:bCs/>
          <w:i/>
          <w:iCs/>
          <w:noProof/>
          <w:lang w:eastAsia="zh-CN"/>
        </w:rPr>
        <w:t>Psychiatry Research</w:t>
      </w:r>
      <w:r w:rsidRPr="002414E9">
        <w:rPr>
          <w:rFonts w:eastAsia="DengXian" w:cs="Times New Roman"/>
          <w:bCs/>
          <w:noProof/>
          <w:lang w:eastAsia="zh-CN"/>
        </w:rPr>
        <w:t xml:space="preserve">, </w:t>
      </w:r>
      <w:r w:rsidRPr="002414E9">
        <w:rPr>
          <w:rFonts w:eastAsia="DengXian" w:cs="Times New Roman"/>
          <w:bCs/>
          <w:i/>
          <w:iCs/>
          <w:noProof/>
          <w:lang w:eastAsia="zh-CN"/>
        </w:rPr>
        <w:t>246</w:t>
      </w:r>
      <w:r w:rsidRPr="002414E9">
        <w:rPr>
          <w:rFonts w:eastAsia="DengXian" w:cs="Times New Roman"/>
          <w:bCs/>
          <w:noProof/>
          <w:lang w:eastAsia="zh-CN"/>
        </w:rPr>
        <w:t>, 512–519. https://doi.org/10.1016/j.psychres.2016.10.025</w:t>
      </w:r>
    </w:p>
    <w:p w14:paraId="76196EB5" w14:textId="76A585E5" w:rsidR="002414E9" w:rsidRPr="002414E9" w:rsidRDefault="002414E9" w:rsidP="002414E9">
      <w:pPr>
        <w:widowControl w:val="0"/>
        <w:autoSpaceDE w:val="0"/>
        <w:autoSpaceDN w:val="0"/>
        <w:adjustRightInd w:val="0"/>
        <w:ind w:left="709" w:hanging="709"/>
        <w:rPr>
          <w:rFonts w:eastAsia="DengXian" w:cs="Times New Roman"/>
          <w:bCs/>
          <w:noProof/>
          <w:lang w:val="de-DE" w:eastAsia="zh-CN"/>
        </w:rPr>
      </w:pPr>
      <w:r w:rsidRPr="002414E9">
        <w:rPr>
          <w:rFonts w:eastAsia="DengXian" w:cs="Times New Roman"/>
          <w:bCs/>
          <w:noProof/>
          <w:lang w:eastAsia="zh-CN"/>
        </w:rPr>
        <w:t xml:space="preserve">Soutschek, A., &amp; Schubert, T. (2016). The importance of working memory updating in the Prisoner’s dilemma. </w:t>
      </w:r>
      <w:r w:rsidRPr="002414E9">
        <w:rPr>
          <w:rFonts w:eastAsia="DengXian" w:cs="Times New Roman"/>
          <w:bCs/>
          <w:i/>
          <w:iCs/>
          <w:noProof/>
          <w:lang w:val="de-DE" w:eastAsia="zh-CN"/>
        </w:rPr>
        <w:t>Psychological research</w:t>
      </w:r>
      <w:r w:rsidRPr="002414E9">
        <w:rPr>
          <w:rFonts w:eastAsia="DengXian" w:cs="Times New Roman"/>
          <w:bCs/>
          <w:noProof/>
          <w:lang w:val="de-DE" w:eastAsia="zh-CN"/>
        </w:rPr>
        <w:t xml:space="preserve">, </w:t>
      </w:r>
      <w:r w:rsidRPr="002414E9">
        <w:rPr>
          <w:rFonts w:eastAsia="DengXian" w:cs="Times New Roman"/>
          <w:bCs/>
          <w:i/>
          <w:iCs/>
          <w:noProof/>
          <w:lang w:val="de-DE" w:eastAsia="zh-CN"/>
        </w:rPr>
        <w:t>80</w:t>
      </w:r>
      <w:r w:rsidRPr="002414E9">
        <w:rPr>
          <w:rFonts w:eastAsia="DengXian" w:cs="Times New Roman"/>
          <w:bCs/>
          <w:noProof/>
          <w:lang w:val="de-DE" w:eastAsia="zh-CN"/>
        </w:rPr>
        <w:t>(2), 172–180. https://doi.org/10.1007/s00426-015-0651-3</w:t>
      </w:r>
    </w:p>
    <w:p w14:paraId="48B90B04" w14:textId="470EA3F8"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Soutschek, A., Sauter, M., &amp; Schubert, T. (2015). </w:t>
      </w:r>
      <w:r w:rsidRPr="002414E9">
        <w:rPr>
          <w:rFonts w:eastAsia="DengXian" w:cs="Times New Roman"/>
          <w:bCs/>
          <w:noProof/>
          <w:lang w:eastAsia="zh-CN"/>
        </w:rPr>
        <w:t xml:space="preserve">The importance of the lateral prefrontal cortex for strategic decision making in the prisoner’s dilemma. </w:t>
      </w:r>
      <w:r w:rsidRPr="002414E9">
        <w:rPr>
          <w:rFonts w:eastAsia="DengXian" w:cs="Times New Roman"/>
          <w:bCs/>
          <w:i/>
          <w:iCs/>
          <w:noProof/>
          <w:lang w:eastAsia="zh-CN"/>
        </w:rPr>
        <w:t>Cognitive, Affective, &amp; Behavioral Neuroscience</w:t>
      </w:r>
      <w:r w:rsidRPr="002414E9">
        <w:rPr>
          <w:rFonts w:eastAsia="DengXian" w:cs="Times New Roman"/>
          <w:bCs/>
          <w:noProof/>
          <w:lang w:eastAsia="zh-CN"/>
        </w:rPr>
        <w:t xml:space="preserve">, </w:t>
      </w:r>
      <w:r w:rsidRPr="002414E9">
        <w:rPr>
          <w:rFonts w:eastAsia="DengXian" w:cs="Times New Roman"/>
          <w:bCs/>
          <w:i/>
          <w:iCs/>
          <w:noProof/>
          <w:lang w:eastAsia="zh-CN"/>
        </w:rPr>
        <w:t>15</w:t>
      </w:r>
      <w:r w:rsidRPr="002414E9">
        <w:rPr>
          <w:rFonts w:eastAsia="DengXian" w:cs="Times New Roman"/>
          <w:bCs/>
          <w:noProof/>
          <w:lang w:eastAsia="zh-CN"/>
        </w:rPr>
        <w:t>(4), 854–860. https://doi.org/10.3758/s13415-015-0372-5</w:t>
      </w:r>
    </w:p>
    <w:p w14:paraId="7DE87CA1" w14:textId="17B52BA6" w:rsidR="002414E9" w:rsidRPr="002414E9" w:rsidRDefault="002414E9" w:rsidP="002414E9">
      <w:pPr>
        <w:widowControl w:val="0"/>
        <w:autoSpaceDE w:val="0"/>
        <w:autoSpaceDN w:val="0"/>
        <w:adjustRightInd w:val="0"/>
        <w:ind w:left="709" w:hanging="709"/>
        <w:rPr>
          <w:rFonts w:eastAsia="DengXian" w:cs="Times New Roman"/>
          <w:bCs/>
          <w:noProof/>
          <w:lang w:eastAsia="zh-CN"/>
        </w:rPr>
      </w:pPr>
      <w:bookmarkStart w:id="110" w:name="_Hlk74308074"/>
      <w:r w:rsidRPr="002414E9">
        <w:rPr>
          <w:rFonts w:eastAsia="DengXian" w:cs="Times New Roman"/>
          <w:bCs/>
          <w:noProof/>
          <w:lang w:eastAsia="zh-CN"/>
        </w:rPr>
        <w:t xml:space="preserve">Spadaro, G. (2018). </w:t>
      </w:r>
      <w:r w:rsidRPr="002414E9">
        <w:rPr>
          <w:rFonts w:eastAsia="DengXian" w:cs="Times New Roman"/>
          <w:bCs/>
          <w:i/>
          <w:iCs/>
          <w:noProof/>
          <w:lang w:eastAsia="zh-CN"/>
        </w:rPr>
        <w:t>The institutional roots of interpersonal trust: The role of institutions in promoting trust toward strangers</w:t>
      </w:r>
      <w:r w:rsidRPr="002414E9">
        <w:rPr>
          <w:rFonts w:eastAsia="DengXian" w:cs="Times New Roman"/>
          <w:bCs/>
          <w:noProof/>
          <w:lang w:eastAsia="zh-CN"/>
        </w:rPr>
        <w:t xml:space="preserve"> [Unpublished doctoral dissertation]. University of Turin.</w:t>
      </w:r>
    </w:p>
    <w:bookmarkEnd w:id="110"/>
    <w:p w14:paraId="7AA9E3FF" w14:textId="100B32B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lastRenderedPageBreak/>
        <w:t xml:space="preserve">Spencer, M. A., Swallow, S. K., Shogren, J. F., &amp; List, J. A. (2009). Rebate rules in threshold public good provision.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93</w:t>
      </w:r>
      <w:r w:rsidRPr="002414E9">
        <w:rPr>
          <w:rFonts w:eastAsia="DengXian" w:cs="Times New Roman"/>
          <w:noProof/>
          <w:lang w:eastAsia="zh-CN"/>
        </w:rPr>
        <w:t>(5–6), 798–806. https://doi.org/10.1016/j.jpubeco.2009.01.005</w:t>
      </w:r>
    </w:p>
    <w:p w14:paraId="629CA944" w14:textId="18A48F63" w:rsidR="002414E9" w:rsidRPr="002414E9" w:rsidRDefault="002414E9" w:rsidP="002414E9">
      <w:pPr>
        <w:widowControl w:val="0"/>
        <w:autoSpaceDE w:val="0"/>
        <w:autoSpaceDN w:val="0"/>
        <w:adjustRightInd w:val="0"/>
        <w:ind w:left="709" w:hanging="709"/>
        <w:rPr>
          <w:rFonts w:eastAsia="DengXian" w:cs="Times New Roman"/>
          <w:noProof/>
          <w:lang w:val="it-IT" w:eastAsia="zh-CN"/>
        </w:rPr>
      </w:pPr>
      <w:r w:rsidRPr="002414E9">
        <w:rPr>
          <w:rFonts w:eastAsia="DengXian" w:cs="Times New Roman"/>
          <w:noProof/>
          <w:lang w:val="de-DE" w:eastAsia="zh-CN"/>
        </w:rPr>
        <w:t xml:space="preserve">Spiller, J., Ufert, A., Vetter, P., &amp; Will, U. (2016). </w:t>
      </w:r>
      <w:r w:rsidRPr="002414E9">
        <w:rPr>
          <w:rFonts w:eastAsia="DengXian" w:cs="Times New Roman"/>
          <w:noProof/>
          <w:lang w:eastAsia="zh-CN"/>
        </w:rPr>
        <w:t xml:space="preserve">Norms in an asymmetric Public Good experiment. </w:t>
      </w:r>
      <w:r w:rsidRPr="002414E9">
        <w:rPr>
          <w:rFonts w:eastAsia="DengXian" w:cs="Times New Roman"/>
          <w:i/>
          <w:iCs/>
          <w:noProof/>
          <w:lang w:val="it-IT" w:eastAsia="zh-CN"/>
        </w:rPr>
        <w:t>Economics Letters</w:t>
      </w:r>
      <w:r w:rsidRPr="002414E9">
        <w:rPr>
          <w:rFonts w:eastAsia="DengXian" w:cs="Times New Roman"/>
          <w:noProof/>
          <w:lang w:val="it-IT" w:eastAsia="zh-CN"/>
        </w:rPr>
        <w:t xml:space="preserve">, </w:t>
      </w:r>
      <w:r w:rsidRPr="002414E9">
        <w:rPr>
          <w:rFonts w:eastAsia="DengXian" w:cs="Times New Roman"/>
          <w:i/>
          <w:iCs/>
          <w:noProof/>
          <w:lang w:val="it-IT" w:eastAsia="zh-CN"/>
        </w:rPr>
        <w:t>142</w:t>
      </w:r>
      <w:r w:rsidRPr="002414E9">
        <w:rPr>
          <w:rFonts w:eastAsia="DengXian" w:cs="Times New Roman"/>
          <w:noProof/>
          <w:lang w:val="it-IT" w:eastAsia="zh-CN"/>
        </w:rPr>
        <w:t>, 35–44. https://doi.org/10.1016/j.econlet.2016.01.014</w:t>
      </w:r>
    </w:p>
    <w:p w14:paraId="2F168AD1" w14:textId="7C1D8FB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Spraggon, J. M., Sobarzo, L. A. V., &amp; Stranlund, J. K. (2015). </w:t>
      </w:r>
      <w:r w:rsidRPr="002414E9">
        <w:rPr>
          <w:rFonts w:eastAsia="DengXian" w:cs="Times New Roman"/>
          <w:noProof/>
          <w:lang w:eastAsia="zh-CN"/>
        </w:rPr>
        <w:t xml:space="preserve">A note on stochastic public revelation and voluntary contributions to public goods. </w:t>
      </w:r>
      <w:r w:rsidRPr="002414E9">
        <w:rPr>
          <w:rFonts w:eastAsia="DengXian" w:cs="Times New Roman"/>
          <w:i/>
          <w:iCs/>
          <w:noProof/>
          <w:lang w:eastAsia="zh-CN"/>
        </w:rPr>
        <w:t>Economics Letters</w:t>
      </w:r>
      <w:r w:rsidRPr="002414E9">
        <w:rPr>
          <w:rFonts w:eastAsia="DengXian" w:cs="Times New Roman"/>
          <w:noProof/>
          <w:lang w:eastAsia="zh-CN"/>
        </w:rPr>
        <w:t xml:space="preserve">, </w:t>
      </w:r>
      <w:r w:rsidRPr="002414E9">
        <w:rPr>
          <w:rFonts w:eastAsia="DengXian" w:cs="Times New Roman"/>
          <w:i/>
          <w:iCs/>
          <w:noProof/>
          <w:lang w:eastAsia="zh-CN"/>
        </w:rPr>
        <w:t xml:space="preserve">126, </w:t>
      </w:r>
      <w:r w:rsidRPr="002414E9">
        <w:rPr>
          <w:rFonts w:eastAsia="DengXian" w:cs="Times New Roman"/>
          <w:noProof/>
          <w:lang w:eastAsia="zh-CN"/>
        </w:rPr>
        <w:t>144–146. https://doi.org/10.1016/j.econlet.2014.12.009</w:t>
      </w:r>
    </w:p>
    <w:p w14:paraId="0ED84A19" w14:textId="151E8B7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Spraggon, J., &amp; Oxoby, R. J. (2009). An experimental investigation of endowment source heterogeneity in two-person public good games. </w:t>
      </w:r>
      <w:r w:rsidRPr="002414E9">
        <w:rPr>
          <w:rFonts w:eastAsia="DengXian" w:cs="Times New Roman"/>
          <w:i/>
          <w:iCs/>
          <w:noProof/>
          <w:lang w:eastAsia="zh-CN"/>
        </w:rPr>
        <w:t>Economics Letters</w:t>
      </w:r>
      <w:r w:rsidRPr="002414E9">
        <w:rPr>
          <w:rFonts w:eastAsia="DengXian" w:cs="Times New Roman"/>
          <w:noProof/>
          <w:lang w:eastAsia="zh-CN"/>
        </w:rPr>
        <w:t xml:space="preserve">, </w:t>
      </w:r>
      <w:r w:rsidRPr="002414E9">
        <w:rPr>
          <w:rFonts w:eastAsia="DengXian" w:cs="Times New Roman"/>
          <w:i/>
          <w:iCs/>
          <w:noProof/>
          <w:lang w:eastAsia="zh-CN"/>
        </w:rPr>
        <w:t>104</w:t>
      </w:r>
      <w:r w:rsidRPr="002414E9">
        <w:rPr>
          <w:rFonts w:eastAsia="DengXian" w:cs="Times New Roman"/>
          <w:noProof/>
          <w:lang w:eastAsia="zh-CN"/>
        </w:rPr>
        <w:t>(2), 102–105. https://doi.org/10.1016/j.econlet.2009.04.012</w:t>
      </w:r>
    </w:p>
    <w:p w14:paraId="1A9F5037" w14:textId="4FD9FC92" w:rsidR="002414E9" w:rsidRPr="002414E9" w:rsidRDefault="002414E9" w:rsidP="002414E9">
      <w:pPr>
        <w:widowControl w:val="0"/>
        <w:autoSpaceDE w:val="0"/>
        <w:autoSpaceDN w:val="0"/>
        <w:adjustRightInd w:val="0"/>
        <w:ind w:left="709" w:hanging="709"/>
        <w:rPr>
          <w:rFonts w:eastAsia="DengXian" w:cs="Times New Roman"/>
          <w:bCs/>
          <w:noProof/>
          <w:u w:val="single"/>
          <w:lang w:eastAsia="zh-CN"/>
        </w:rPr>
      </w:pPr>
      <w:r w:rsidRPr="002414E9">
        <w:rPr>
          <w:rFonts w:eastAsia="DengXian" w:cs="Times New Roman"/>
          <w:bCs/>
          <w:noProof/>
          <w:lang w:val="de-DE" w:eastAsia="zh-CN"/>
        </w:rPr>
        <w:t xml:space="preserve">Steidle, A., Hanke, E. V., &amp; Werth, L. (2013). </w:t>
      </w:r>
      <w:r w:rsidRPr="002414E9">
        <w:rPr>
          <w:rFonts w:eastAsia="DengXian" w:cs="Times New Roman"/>
          <w:bCs/>
          <w:noProof/>
          <w:lang w:eastAsia="zh-CN"/>
        </w:rPr>
        <w:t xml:space="preserve">In the dark we cooperate: The situated nature of procedural embodiment. </w:t>
      </w:r>
      <w:r w:rsidRPr="002414E9">
        <w:rPr>
          <w:rFonts w:eastAsia="DengXian" w:cs="Times New Roman"/>
          <w:bCs/>
          <w:i/>
          <w:iCs/>
          <w:noProof/>
          <w:lang w:eastAsia="zh-CN"/>
        </w:rPr>
        <w:t>Social Cognition</w:t>
      </w:r>
      <w:r w:rsidRPr="002414E9">
        <w:rPr>
          <w:rFonts w:eastAsia="DengXian" w:cs="Times New Roman"/>
          <w:bCs/>
          <w:noProof/>
          <w:lang w:eastAsia="zh-CN"/>
        </w:rPr>
        <w:t xml:space="preserve">, </w:t>
      </w:r>
      <w:r w:rsidRPr="002414E9">
        <w:rPr>
          <w:rFonts w:eastAsia="DengXian" w:cs="Times New Roman"/>
          <w:bCs/>
          <w:i/>
          <w:iCs/>
          <w:noProof/>
          <w:lang w:eastAsia="zh-CN"/>
        </w:rPr>
        <w:t>31</w:t>
      </w:r>
      <w:r w:rsidRPr="002414E9">
        <w:rPr>
          <w:rFonts w:eastAsia="DengXian" w:cs="Times New Roman"/>
          <w:bCs/>
          <w:noProof/>
          <w:lang w:eastAsia="zh-CN"/>
        </w:rPr>
        <w:t>(2), 275–300. https://doi.org/10.1521/soco.2013.31.2.275</w:t>
      </w:r>
    </w:p>
    <w:p w14:paraId="6CD50B1F" w14:textId="78BB55C9" w:rsidR="002414E9" w:rsidRPr="002414E9" w:rsidRDefault="002414E9" w:rsidP="002414E9">
      <w:pPr>
        <w:widowControl w:val="0"/>
        <w:autoSpaceDE w:val="0"/>
        <w:autoSpaceDN w:val="0"/>
        <w:adjustRightInd w:val="0"/>
        <w:ind w:left="709" w:hanging="709"/>
        <w:rPr>
          <w:rFonts w:eastAsia="DengXian" w:cs="Times New Roman"/>
          <w:bCs/>
          <w:noProof/>
          <w:u w:val="single"/>
          <w:lang w:eastAsia="zh-CN"/>
        </w:rPr>
      </w:pPr>
      <w:r w:rsidRPr="002414E9">
        <w:rPr>
          <w:rFonts w:eastAsia="DengXian" w:cs="Times New Roman"/>
          <w:bCs/>
          <w:noProof/>
          <w:lang w:eastAsia="zh-CN"/>
        </w:rPr>
        <w:t xml:space="preserve">Steiger, E. M. (2014). See no evil: Information chains and reciprocity. </w:t>
      </w:r>
      <w:r w:rsidRPr="002414E9">
        <w:rPr>
          <w:rFonts w:eastAsia="DengXian" w:cs="Times New Roman"/>
          <w:bCs/>
          <w:i/>
          <w:iCs/>
          <w:noProof/>
          <w:lang w:eastAsia="zh-CN"/>
        </w:rPr>
        <w:t>Journal of Public Economics</w:t>
      </w:r>
      <w:r w:rsidRPr="002414E9">
        <w:rPr>
          <w:rFonts w:eastAsia="DengXian" w:cs="Times New Roman"/>
          <w:bCs/>
          <w:noProof/>
          <w:lang w:eastAsia="zh-CN"/>
        </w:rPr>
        <w:t xml:space="preserve">, </w:t>
      </w:r>
      <w:r w:rsidRPr="002414E9">
        <w:rPr>
          <w:rFonts w:eastAsia="DengXian" w:cs="Times New Roman"/>
          <w:bCs/>
          <w:i/>
          <w:iCs/>
          <w:noProof/>
          <w:lang w:eastAsia="zh-CN"/>
        </w:rPr>
        <w:t>109</w:t>
      </w:r>
      <w:r w:rsidRPr="002414E9">
        <w:rPr>
          <w:rFonts w:eastAsia="DengXian" w:cs="Times New Roman"/>
          <w:bCs/>
          <w:noProof/>
          <w:lang w:eastAsia="zh-CN"/>
        </w:rPr>
        <w:t>, 1–12. https://doi.org/10.1016/j.jpubeco.2013.10.006</w:t>
      </w:r>
    </w:p>
    <w:p w14:paraId="4418867E" w14:textId="45D6FDAD"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Steinfatt, T. M. (1973). The Prisoner's Dilemma and a creative alternative game: The effects of communications under conditions of real reward. </w:t>
      </w:r>
      <w:r w:rsidRPr="002414E9">
        <w:rPr>
          <w:rFonts w:eastAsia="DengXian" w:cs="Times New Roman"/>
          <w:bCs/>
          <w:i/>
          <w:iCs/>
          <w:noProof/>
          <w:lang w:eastAsia="zh-CN"/>
        </w:rPr>
        <w:t>Simulation &amp; Games</w:t>
      </w:r>
      <w:r w:rsidRPr="002414E9">
        <w:rPr>
          <w:rFonts w:eastAsia="DengXian" w:cs="Times New Roman"/>
          <w:bCs/>
          <w:noProof/>
          <w:lang w:eastAsia="zh-CN"/>
        </w:rPr>
        <w:t xml:space="preserve">, </w:t>
      </w:r>
      <w:r w:rsidRPr="002414E9">
        <w:rPr>
          <w:rFonts w:eastAsia="DengXian" w:cs="Times New Roman"/>
          <w:bCs/>
          <w:i/>
          <w:iCs/>
          <w:noProof/>
          <w:lang w:eastAsia="zh-CN"/>
        </w:rPr>
        <w:t>4</w:t>
      </w:r>
      <w:r w:rsidRPr="002414E9">
        <w:rPr>
          <w:rFonts w:eastAsia="DengXian" w:cs="Times New Roman"/>
          <w:bCs/>
          <w:noProof/>
          <w:lang w:eastAsia="zh-CN"/>
        </w:rPr>
        <w:t>(4), 389–409. https://doi.org/10.1177/104687817300400402</w:t>
      </w:r>
    </w:p>
    <w:p w14:paraId="385FF4EA" w14:textId="50D677FE"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Stivers, A. (2016). </w:t>
      </w:r>
      <w:r w:rsidRPr="002414E9">
        <w:rPr>
          <w:rFonts w:eastAsia="DengXian" w:cs="Times New Roman"/>
          <w:bCs/>
          <w:i/>
          <w:iCs/>
          <w:noProof/>
          <w:lang w:eastAsia="zh-CN"/>
        </w:rPr>
        <w:t>More for me or more for you? The effects of power and resource asymmetry on cooperation</w:t>
      </w:r>
      <w:r w:rsidRPr="002414E9">
        <w:rPr>
          <w:rFonts w:eastAsia="DengXian" w:cs="Times New Roman"/>
          <w:bCs/>
          <w:noProof/>
          <w:lang w:eastAsia="zh-CN"/>
        </w:rPr>
        <w:t xml:space="preserve"> (Publication No. 10191778) [Doctoral dissertation, University of Delaware]. ProQuest Dissertations Publishing.</w:t>
      </w:r>
    </w:p>
    <w:p w14:paraId="544382DB" w14:textId="4EC63C1D"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Stix, A. H. (1974). Chlordiazepoxide (Librium): The effects of a minor tranquilizer on strategic </w:t>
      </w:r>
      <w:r w:rsidRPr="002414E9">
        <w:rPr>
          <w:rFonts w:eastAsia="DengXian" w:cs="Times New Roman"/>
          <w:bCs/>
          <w:noProof/>
          <w:lang w:eastAsia="zh-CN"/>
        </w:rPr>
        <w:lastRenderedPageBreak/>
        <w:t xml:space="preserve">choice behavior in the Prisoner's Dilemma.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18</w:t>
      </w:r>
      <w:r w:rsidRPr="002414E9">
        <w:rPr>
          <w:rFonts w:eastAsia="DengXian" w:cs="Times New Roman"/>
          <w:bCs/>
          <w:noProof/>
          <w:lang w:eastAsia="zh-CN"/>
        </w:rPr>
        <w:t>(3), 373–394. https://doi.org/10.1177/002200277401800302</w:t>
      </w:r>
    </w:p>
    <w:p w14:paraId="3D000132" w14:textId="25FD1382"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Stoddard, B. V. (2015). Probabilistic production of a public good. </w:t>
      </w:r>
      <w:r w:rsidRPr="002414E9">
        <w:rPr>
          <w:rFonts w:eastAsia="DengXian" w:cs="Times New Roman"/>
          <w:bCs/>
          <w:i/>
          <w:iCs/>
          <w:noProof/>
          <w:lang w:eastAsia="zh-CN"/>
        </w:rPr>
        <w:t>Economics Bulletin</w:t>
      </w:r>
      <w:r w:rsidRPr="002414E9">
        <w:rPr>
          <w:rFonts w:eastAsia="DengXian" w:cs="Times New Roman"/>
          <w:bCs/>
          <w:noProof/>
          <w:lang w:eastAsia="zh-CN"/>
        </w:rPr>
        <w:t xml:space="preserve">, </w:t>
      </w:r>
      <w:r w:rsidRPr="002414E9">
        <w:rPr>
          <w:rFonts w:eastAsia="DengXian" w:cs="Times New Roman"/>
          <w:bCs/>
          <w:i/>
          <w:iCs/>
          <w:noProof/>
          <w:lang w:eastAsia="zh-CN"/>
        </w:rPr>
        <w:t>35</w:t>
      </w:r>
      <w:r w:rsidRPr="002414E9">
        <w:rPr>
          <w:rFonts w:eastAsia="DengXian" w:cs="Times New Roman"/>
          <w:bCs/>
          <w:noProof/>
          <w:lang w:eastAsia="zh-CN"/>
        </w:rPr>
        <w:t xml:space="preserve">(1), 37–52. http://www.accessecon.com/Pubs/EB/2015/Volume35/EB-15-V35-I1-P5.pdf </w:t>
      </w:r>
    </w:p>
    <w:p w14:paraId="443ABBBF" w14:textId="78E2161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Stoddard, B., Walker, J. M., &amp; Williams, A. (2014). Allocating a voluntarily provided common-property resource: An experimental examination.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101</w:t>
      </w:r>
      <w:r w:rsidRPr="002414E9">
        <w:rPr>
          <w:rFonts w:eastAsia="DengXian" w:cs="Times New Roman"/>
          <w:noProof/>
          <w:lang w:eastAsia="zh-CN"/>
        </w:rPr>
        <w:t>, 141–155. https://doi.org/10.1016/j.jebo.2014.02.019</w:t>
      </w:r>
    </w:p>
    <w:p w14:paraId="1C416D66" w14:textId="1475CB6B"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Storey, S., &amp; Workman, L. (2013). The effects of temperature priming on cooperation in the iterated prisoner's dilemma. </w:t>
      </w:r>
      <w:r w:rsidRPr="002414E9">
        <w:rPr>
          <w:rFonts w:eastAsia="DengXian" w:cs="Times New Roman"/>
          <w:bCs/>
          <w:i/>
          <w:iCs/>
          <w:noProof/>
          <w:lang w:eastAsia="zh-CN"/>
        </w:rPr>
        <w:t>Evolutionary Psychology</w:t>
      </w:r>
      <w:r w:rsidRPr="002414E9">
        <w:rPr>
          <w:rFonts w:eastAsia="DengXian" w:cs="Times New Roman"/>
          <w:bCs/>
          <w:noProof/>
          <w:lang w:eastAsia="zh-CN"/>
        </w:rPr>
        <w:t xml:space="preserve">, </w:t>
      </w:r>
      <w:r w:rsidRPr="002414E9">
        <w:rPr>
          <w:rFonts w:eastAsia="DengXian" w:cs="Times New Roman"/>
          <w:bCs/>
          <w:i/>
          <w:iCs/>
          <w:noProof/>
          <w:lang w:eastAsia="zh-CN"/>
        </w:rPr>
        <w:t>11</w:t>
      </w:r>
      <w:r w:rsidRPr="002414E9">
        <w:rPr>
          <w:rFonts w:eastAsia="DengXian" w:cs="Times New Roman"/>
          <w:bCs/>
          <w:noProof/>
          <w:lang w:eastAsia="zh-CN"/>
        </w:rPr>
        <w:t>(1), 52–67. https://doi.org/10.1177/147470491301100106</w:t>
      </w:r>
    </w:p>
    <w:p w14:paraId="150EA1D2" w14:textId="06098CB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Stouten, J., &amp; De Cremer, D. (2009). “Seeing is believing”: The effects of facial expressions of emotion and verbal communication in social dilemmas. </w:t>
      </w:r>
      <w:r w:rsidRPr="002414E9">
        <w:rPr>
          <w:rFonts w:eastAsia="DengXian" w:cs="Times New Roman"/>
          <w:i/>
          <w:iCs/>
          <w:noProof/>
          <w:lang w:eastAsia="zh-CN"/>
        </w:rPr>
        <w:t>Journal of Behavioral Decision Making</w:t>
      </w:r>
      <w:r w:rsidRPr="002414E9">
        <w:rPr>
          <w:rFonts w:eastAsia="DengXian" w:cs="Times New Roman"/>
          <w:noProof/>
          <w:lang w:eastAsia="zh-CN"/>
        </w:rPr>
        <w:t xml:space="preserve">, </w:t>
      </w:r>
      <w:r w:rsidRPr="002414E9">
        <w:rPr>
          <w:rFonts w:eastAsia="DengXian" w:cs="Times New Roman"/>
          <w:i/>
          <w:iCs/>
          <w:noProof/>
          <w:lang w:eastAsia="zh-CN"/>
        </w:rPr>
        <w:t>23</w:t>
      </w:r>
      <w:r w:rsidRPr="002414E9">
        <w:rPr>
          <w:rFonts w:eastAsia="DengXian" w:cs="Times New Roman"/>
          <w:noProof/>
          <w:lang w:eastAsia="zh-CN"/>
        </w:rPr>
        <w:t>(3), 271–287. https://doi.org/10.1002/bdm.659</w:t>
      </w:r>
    </w:p>
    <w:p w14:paraId="6D62BEDE" w14:textId="3768B90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Stouten, J., Ceulemans, E., Timmerman, M. E., &amp; Van Hiel, A. (2011). </w:t>
      </w:r>
      <w:r w:rsidRPr="002414E9">
        <w:rPr>
          <w:rFonts w:eastAsia="DengXian" w:cs="Times New Roman"/>
          <w:noProof/>
          <w:lang w:eastAsia="zh-CN"/>
        </w:rPr>
        <w:t xml:space="preserve">Tolerance of justice violations: The effects of need on emotional reactions after violating equality in social dilemmas1. </w:t>
      </w:r>
      <w:r w:rsidRPr="002414E9">
        <w:rPr>
          <w:rFonts w:eastAsia="DengXian" w:cs="Times New Roman"/>
          <w:i/>
          <w:iCs/>
          <w:noProof/>
          <w:lang w:eastAsia="zh-CN"/>
        </w:rPr>
        <w:t>Journal of Applied Social Psychology</w:t>
      </w:r>
      <w:r w:rsidRPr="002414E9">
        <w:rPr>
          <w:rFonts w:eastAsia="DengXian" w:cs="Times New Roman"/>
          <w:noProof/>
          <w:lang w:eastAsia="zh-CN"/>
        </w:rPr>
        <w:t xml:space="preserve">, </w:t>
      </w:r>
      <w:r w:rsidRPr="002414E9">
        <w:rPr>
          <w:rFonts w:eastAsia="DengXian" w:cs="Times New Roman"/>
          <w:i/>
          <w:iCs/>
          <w:noProof/>
          <w:lang w:eastAsia="zh-CN"/>
        </w:rPr>
        <w:t>41</w:t>
      </w:r>
      <w:r w:rsidRPr="002414E9">
        <w:rPr>
          <w:rFonts w:eastAsia="DengXian" w:cs="Times New Roman"/>
          <w:noProof/>
          <w:lang w:eastAsia="zh-CN"/>
        </w:rPr>
        <w:t>(2), 357–380. https://doi.org/10.1111/j.1559-1816.2010.00717.x</w:t>
      </w:r>
    </w:p>
    <w:p w14:paraId="004132BA" w14:textId="478E1163" w:rsidR="002414E9" w:rsidRPr="002414E9" w:rsidRDefault="002414E9" w:rsidP="002414E9">
      <w:pPr>
        <w:widowControl w:val="0"/>
        <w:autoSpaceDE w:val="0"/>
        <w:autoSpaceDN w:val="0"/>
        <w:adjustRightInd w:val="0"/>
        <w:ind w:left="709" w:hanging="709"/>
        <w:rPr>
          <w:rFonts w:eastAsia="DengXian" w:cs="Times New Roman"/>
          <w:noProof/>
          <w:lang w:val="en-GB" w:eastAsia="zh-CN"/>
        </w:rPr>
      </w:pPr>
      <w:r w:rsidRPr="002414E9">
        <w:rPr>
          <w:rFonts w:eastAsia="DengXian" w:cs="Times New Roman"/>
          <w:noProof/>
          <w:lang w:val="nl-NL" w:eastAsia="zh-CN"/>
        </w:rPr>
        <w:t xml:space="preserve">Stouten, J., De Cremer, D., &amp; Van Dijk, E. (2005). </w:t>
      </w:r>
      <w:r w:rsidRPr="002414E9">
        <w:rPr>
          <w:rFonts w:eastAsia="DengXian" w:cs="Times New Roman"/>
          <w:noProof/>
          <w:lang w:eastAsia="zh-CN"/>
        </w:rPr>
        <w:t xml:space="preserve">All is well that ends well, at least for proselfs: emotional reactions to equality violation as a function of social value orientation. </w:t>
      </w:r>
      <w:r w:rsidRPr="002414E9">
        <w:rPr>
          <w:rFonts w:eastAsia="DengXian" w:cs="Times New Roman"/>
          <w:i/>
          <w:iCs/>
          <w:noProof/>
          <w:lang w:val="en-GB" w:eastAsia="zh-CN"/>
        </w:rPr>
        <w:t>European Journal of Social Psychology</w:t>
      </w:r>
      <w:r w:rsidRPr="002414E9">
        <w:rPr>
          <w:rFonts w:eastAsia="DengXian" w:cs="Times New Roman"/>
          <w:noProof/>
          <w:lang w:val="en-GB" w:eastAsia="zh-CN"/>
        </w:rPr>
        <w:t xml:space="preserve">, </w:t>
      </w:r>
      <w:r w:rsidRPr="002414E9">
        <w:rPr>
          <w:rFonts w:eastAsia="DengXian" w:cs="Times New Roman"/>
          <w:i/>
          <w:iCs/>
          <w:noProof/>
          <w:lang w:val="en-GB" w:eastAsia="zh-CN"/>
        </w:rPr>
        <w:t>35</w:t>
      </w:r>
      <w:r w:rsidRPr="002414E9">
        <w:rPr>
          <w:rFonts w:eastAsia="DengXian" w:cs="Times New Roman"/>
          <w:noProof/>
          <w:lang w:val="en-GB" w:eastAsia="zh-CN"/>
        </w:rPr>
        <w:t>(6), 767–783. https://doi.org/10.1002/ejsp.276</w:t>
      </w:r>
    </w:p>
    <w:p w14:paraId="6043C895" w14:textId="303DDB6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Stouten, J., De Cremer, D., &amp; Van Dijk, E. (2006). </w:t>
      </w:r>
      <w:r w:rsidRPr="002414E9">
        <w:rPr>
          <w:rFonts w:eastAsia="DengXian" w:cs="Times New Roman"/>
          <w:noProof/>
          <w:lang w:eastAsia="zh-CN"/>
        </w:rPr>
        <w:t xml:space="preserve">Violating equality in social dilemmas: Emotional and rtributive reactions as a function of trust, attribution, and honesty. </w:t>
      </w:r>
      <w:r w:rsidRPr="002414E9">
        <w:rPr>
          <w:rFonts w:eastAsia="DengXian" w:cs="Times New Roman"/>
          <w:i/>
          <w:iCs/>
          <w:noProof/>
          <w:lang w:eastAsia="zh-CN"/>
        </w:rPr>
        <w:t>Personality and Social Psychology Bulletin</w:t>
      </w:r>
      <w:r w:rsidRPr="002414E9">
        <w:rPr>
          <w:rFonts w:eastAsia="DengXian" w:cs="Times New Roman"/>
          <w:noProof/>
          <w:lang w:eastAsia="zh-CN"/>
        </w:rPr>
        <w:t xml:space="preserve">, </w:t>
      </w:r>
      <w:r w:rsidRPr="002414E9">
        <w:rPr>
          <w:rFonts w:eastAsia="DengXian" w:cs="Times New Roman"/>
          <w:i/>
          <w:iCs/>
          <w:noProof/>
          <w:lang w:eastAsia="zh-CN"/>
        </w:rPr>
        <w:t>32</w:t>
      </w:r>
      <w:r w:rsidRPr="002414E9">
        <w:rPr>
          <w:rFonts w:eastAsia="DengXian" w:cs="Times New Roman"/>
          <w:noProof/>
          <w:lang w:eastAsia="zh-CN"/>
        </w:rPr>
        <w:t xml:space="preserve">(7), 894–906. </w:t>
      </w:r>
      <w:r w:rsidRPr="002414E9">
        <w:rPr>
          <w:rFonts w:eastAsia="DengXian" w:cs="Times New Roman"/>
          <w:noProof/>
          <w:lang w:eastAsia="zh-CN"/>
        </w:rPr>
        <w:lastRenderedPageBreak/>
        <w:t>https://doi.org/10.1177/0146167206287538</w:t>
      </w:r>
    </w:p>
    <w:p w14:paraId="2372F31E" w14:textId="5015FEF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Stouten, J., De Cremer, D., &amp; Van Dijk, E. (2009). </w:t>
      </w:r>
      <w:r w:rsidRPr="002414E9">
        <w:rPr>
          <w:rFonts w:eastAsia="DengXian" w:cs="Times New Roman"/>
          <w:noProof/>
          <w:lang w:eastAsia="zh-CN"/>
        </w:rPr>
        <w:t xml:space="preserve">Behavioral (in)tolerance of equality violation in social dilemmas: When trust affects contribution decisions after violations of equality. </w:t>
      </w:r>
      <w:r w:rsidRPr="002414E9">
        <w:rPr>
          <w:rFonts w:eastAsia="DengXian" w:cs="Times New Roman"/>
          <w:i/>
          <w:iCs/>
          <w:noProof/>
          <w:lang w:eastAsia="zh-CN"/>
        </w:rPr>
        <w:t>Group Processes &amp; Intergroup Relations</w:t>
      </w:r>
      <w:r w:rsidRPr="002414E9">
        <w:rPr>
          <w:rFonts w:eastAsia="DengXian" w:cs="Times New Roman"/>
          <w:noProof/>
          <w:lang w:eastAsia="zh-CN"/>
        </w:rPr>
        <w:t xml:space="preserve">, </w:t>
      </w:r>
      <w:r w:rsidRPr="002414E9">
        <w:rPr>
          <w:rFonts w:eastAsia="DengXian" w:cs="Times New Roman"/>
          <w:i/>
          <w:iCs/>
          <w:noProof/>
          <w:lang w:eastAsia="zh-CN"/>
        </w:rPr>
        <w:t>12</w:t>
      </w:r>
      <w:r w:rsidRPr="002414E9">
        <w:rPr>
          <w:rFonts w:eastAsia="DengXian" w:cs="Times New Roman"/>
          <w:noProof/>
          <w:lang w:eastAsia="zh-CN"/>
        </w:rPr>
        <w:t>(4), 517–531. https://doi.org/10.1177/1368430209105048</w:t>
      </w:r>
    </w:p>
    <w:p w14:paraId="0BE598D9" w14:textId="76E324B1"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nl-NL" w:eastAsia="zh-CN"/>
        </w:rPr>
        <w:t xml:space="preserve">Stouten, J., De Cremer, D., &amp; Van Dijk, E. (2009). </w:t>
      </w:r>
      <w:r w:rsidRPr="002414E9">
        <w:rPr>
          <w:rFonts w:eastAsia="DengXian" w:cs="Times New Roman"/>
          <w:bCs/>
          <w:noProof/>
          <w:lang w:eastAsia="zh-CN"/>
        </w:rPr>
        <w:t xml:space="preserve">When being disadvantaged grows into vengeance: The effects of asymmetry of interest and social rejection in social dilemmas. </w:t>
      </w:r>
      <w:r w:rsidRPr="002414E9">
        <w:rPr>
          <w:rFonts w:eastAsia="DengXian" w:cs="Times New Roman"/>
          <w:bCs/>
          <w:i/>
          <w:iCs/>
          <w:noProof/>
          <w:lang w:eastAsia="zh-CN"/>
        </w:rPr>
        <w:t>European Journal of Social Psychology</w:t>
      </w:r>
      <w:r w:rsidRPr="002414E9">
        <w:rPr>
          <w:rFonts w:eastAsia="DengXian" w:cs="Times New Roman"/>
          <w:bCs/>
          <w:noProof/>
          <w:lang w:eastAsia="zh-CN"/>
        </w:rPr>
        <w:t xml:space="preserve">, </w:t>
      </w:r>
      <w:r w:rsidRPr="002414E9">
        <w:rPr>
          <w:rFonts w:eastAsia="DengXian" w:cs="Times New Roman"/>
          <w:bCs/>
          <w:i/>
          <w:iCs/>
          <w:noProof/>
          <w:lang w:eastAsia="zh-CN"/>
        </w:rPr>
        <w:t>39</w:t>
      </w:r>
      <w:r w:rsidRPr="002414E9">
        <w:rPr>
          <w:rFonts w:eastAsia="DengXian" w:cs="Times New Roman"/>
          <w:bCs/>
          <w:noProof/>
          <w:lang w:eastAsia="zh-CN"/>
        </w:rPr>
        <w:t>(4), 526–539. https://doi.org/10.1002/ejsp.556</w:t>
      </w:r>
    </w:p>
    <w:p w14:paraId="0225733C" w14:textId="030387C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Suleiman, R., &amp; Rapoport, A. (1992). Provision of step-level public goods with continuous contribution. </w:t>
      </w:r>
      <w:r w:rsidRPr="002414E9">
        <w:rPr>
          <w:rFonts w:eastAsia="DengXian" w:cs="Times New Roman"/>
          <w:i/>
          <w:iCs/>
          <w:noProof/>
          <w:lang w:eastAsia="zh-CN"/>
        </w:rPr>
        <w:t>Journal of Behavioral Decision Making</w:t>
      </w:r>
      <w:r w:rsidRPr="002414E9">
        <w:rPr>
          <w:rFonts w:eastAsia="DengXian" w:cs="Times New Roman"/>
          <w:noProof/>
          <w:lang w:eastAsia="zh-CN"/>
        </w:rPr>
        <w:t xml:space="preserve">, </w:t>
      </w:r>
      <w:r w:rsidRPr="002414E9">
        <w:rPr>
          <w:rFonts w:eastAsia="DengXian" w:cs="Times New Roman"/>
          <w:i/>
          <w:iCs/>
          <w:noProof/>
          <w:lang w:eastAsia="zh-CN"/>
        </w:rPr>
        <w:t>5</w:t>
      </w:r>
      <w:r w:rsidRPr="002414E9">
        <w:rPr>
          <w:rFonts w:eastAsia="DengXian" w:cs="Times New Roman"/>
          <w:noProof/>
          <w:lang w:eastAsia="zh-CN"/>
        </w:rPr>
        <w:t>(2), 135–153. https://doi.org/10.1002/bdm.3960050205</w:t>
      </w:r>
    </w:p>
    <w:p w14:paraId="71C27353" w14:textId="397C78F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Suleiman, R., Budescu, D. v., &amp; Rapoport, A. (2001). Provision of step-level public goods with uncertain provision threshold and continuous contribution. </w:t>
      </w:r>
      <w:r w:rsidRPr="002414E9">
        <w:rPr>
          <w:rFonts w:eastAsia="DengXian" w:cs="Times New Roman"/>
          <w:i/>
          <w:iCs/>
          <w:noProof/>
          <w:lang w:eastAsia="zh-CN"/>
        </w:rPr>
        <w:t>Group Decision and Negotiation</w:t>
      </w:r>
      <w:r w:rsidRPr="002414E9">
        <w:rPr>
          <w:rFonts w:eastAsia="DengXian" w:cs="Times New Roman"/>
          <w:noProof/>
          <w:lang w:eastAsia="zh-CN"/>
        </w:rPr>
        <w:t xml:space="preserve">, </w:t>
      </w:r>
      <w:r w:rsidRPr="002414E9">
        <w:rPr>
          <w:rFonts w:eastAsia="DengXian" w:cs="Times New Roman"/>
          <w:i/>
          <w:iCs/>
          <w:noProof/>
          <w:lang w:eastAsia="zh-CN"/>
        </w:rPr>
        <w:t>10</w:t>
      </w:r>
      <w:r w:rsidRPr="002414E9">
        <w:rPr>
          <w:rFonts w:eastAsia="DengXian" w:cs="Times New Roman"/>
          <w:noProof/>
          <w:lang w:eastAsia="zh-CN"/>
        </w:rPr>
        <w:t>(3), 253–274. https://doi.org/10.1023/A:1011205901283</w:t>
      </w:r>
    </w:p>
    <w:p w14:paraId="4BCF2FA4" w14:textId="7738905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Sun, P. (2017). </w:t>
      </w:r>
      <w:r w:rsidRPr="002414E9">
        <w:rPr>
          <w:rFonts w:eastAsia="DengXian" w:cs="Times New Roman"/>
          <w:i/>
          <w:iCs/>
          <w:noProof/>
          <w:lang w:eastAsia="zh-CN"/>
        </w:rPr>
        <w:t>Shehui kunjing zhong de hezuo xingwei: Cong shouyi qingjing dao sunshi qingjing</w:t>
      </w:r>
      <w:r w:rsidRPr="002414E9">
        <w:rPr>
          <w:rFonts w:eastAsia="DengXian" w:cs="Times New Roman"/>
          <w:noProof/>
          <w:lang w:eastAsia="zh-CN"/>
        </w:rPr>
        <w:t xml:space="preserve"> [</w:t>
      </w:r>
      <w:r w:rsidRPr="002414E9">
        <w:rPr>
          <w:rFonts w:eastAsia="DengXian" w:cs="Times New Roman" w:hint="eastAsia"/>
          <w:noProof/>
          <w:lang w:eastAsia="zh-CN"/>
        </w:rPr>
        <w:t xml:space="preserve">Cooperation in </w:t>
      </w:r>
      <w:r w:rsidRPr="002414E9">
        <w:rPr>
          <w:rFonts w:eastAsia="DengXian" w:cs="Times New Roman"/>
          <w:noProof/>
          <w:lang w:eastAsia="zh-CN"/>
        </w:rPr>
        <w:t>s</w:t>
      </w:r>
      <w:r w:rsidRPr="002414E9">
        <w:rPr>
          <w:rFonts w:eastAsia="DengXian" w:cs="Times New Roman" w:hint="eastAsia"/>
          <w:noProof/>
          <w:lang w:eastAsia="zh-CN"/>
        </w:rPr>
        <w:t xml:space="preserve">ocial </w:t>
      </w:r>
      <w:r w:rsidRPr="002414E9">
        <w:rPr>
          <w:rFonts w:eastAsia="DengXian" w:cs="Times New Roman"/>
          <w:noProof/>
          <w:lang w:eastAsia="zh-CN"/>
        </w:rPr>
        <w:t>d</w:t>
      </w:r>
      <w:r w:rsidRPr="002414E9">
        <w:rPr>
          <w:rFonts w:eastAsia="DengXian" w:cs="Times New Roman" w:hint="eastAsia"/>
          <w:noProof/>
          <w:lang w:eastAsia="zh-CN"/>
        </w:rPr>
        <w:t xml:space="preserve">ilemmas: From </w:t>
      </w:r>
      <w:r w:rsidRPr="002414E9">
        <w:rPr>
          <w:rFonts w:eastAsia="DengXian" w:cs="Times New Roman"/>
          <w:noProof/>
          <w:lang w:eastAsia="zh-CN"/>
        </w:rPr>
        <w:t>g</w:t>
      </w:r>
      <w:r w:rsidRPr="002414E9">
        <w:rPr>
          <w:rFonts w:eastAsia="DengXian" w:cs="Times New Roman" w:hint="eastAsia"/>
          <w:noProof/>
          <w:lang w:eastAsia="zh-CN"/>
        </w:rPr>
        <w:t xml:space="preserve">ain </w:t>
      </w:r>
      <w:r w:rsidRPr="002414E9">
        <w:rPr>
          <w:rFonts w:eastAsia="DengXian" w:cs="Times New Roman"/>
          <w:noProof/>
          <w:lang w:eastAsia="zh-CN"/>
        </w:rPr>
        <w:t>c</w:t>
      </w:r>
      <w:r w:rsidRPr="002414E9">
        <w:rPr>
          <w:rFonts w:eastAsia="DengXian" w:cs="Times New Roman" w:hint="eastAsia"/>
          <w:noProof/>
          <w:lang w:eastAsia="zh-CN"/>
        </w:rPr>
        <w:t xml:space="preserve">ontext to </w:t>
      </w:r>
      <w:r w:rsidRPr="002414E9">
        <w:rPr>
          <w:rFonts w:eastAsia="DengXian" w:cs="Times New Roman"/>
          <w:noProof/>
          <w:lang w:eastAsia="zh-CN"/>
        </w:rPr>
        <w:t>l</w:t>
      </w:r>
      <w:r w:rsidRPr="002414E9">
        <w:rPr>
          <w:rFonts w:eastAsia="DengXian" w:cs="Times New Roman" w:hint="eastAsia"/>
          <w:noProof/>
          <w:lang w:eastAsia="zh-CN"/>
        </w:rPr>
        <w:t xml:space="preserve">oss </w:t>
      </w:r>
      <w:r w:rsidRPr="002414E9">
        <w:rPr>
          <w:rFonts w:eastAsia="DengXian" w:cs="Times New Roman"/>
          <w:noProof/>
          <w:lang w:eastAsia="zh-CN"/>
        </w:rPr>
        <w:t>c</w:t>
      </w:r>
      <w:r w:rsidRPr="002414E9">
        <w:rPr>
          <w:rFonts w:eastAsia="DengXian" w:cs="Times New Roman" w:hint="eastAsia"/>
          <w:noProof/>
          <w:lang w:eastAsia="zh-CN"/>
        </w:rPr>
        <w:t>ontext</w:t>
      </w:r>
      <w:r w:rsidRPr="002414E9">
        <w:rPr>
          <w:rFonts w:eastAsia="DengXian" w:cs="Times New Roman"/>
          <w:noProof/>
          <w:lang w:eastAsia="zh-CN"/>
        </w:rPr>
        <w:t>] [Doctoral dissertation, Huadong shifan daxue]. CNKI Theses and Dissertations Database.</w:t>
      </w:r>
    </w:p>
    <w:p w14:paraId="66637420" w14:textId="50073652" w:rsidR="002414E9" w:rsidRPr="002414E9" w:rsidRDefault="002414E9" w:rsidP="002414E9">
      <w:pPr>
        <w:widowControl w:val="0"/>
        <w:autoSpaceDE w:val="0"/>
        <w:autoSpaceDN w:val="0"/>
        <w:adjustRightInd w:val="0"/>
        <w:ind w:left="709" w:hanging="709"/>
        <w:rPr>
          <w:rFonts w:eastAsia="DengXian" w:cs="Times New Roman"/>
          <w:bCs/>
          <w:noProof/>
          <w:lang w:val="it-IT" w:eastAsia="zh-CN"/>
        </w:rPr>
      </w:pPr>
      <w:r w:rsidRPr="002414E9">
        <w:rPr>
          <w:rFonts w:eastAsia="DengXian" w:cs="Times New Roman"/>
          <w:bCs/>
          <w:noProof/>
          <w:lang w:eastAsia="zh-CN"/>
        </w:rPr>
        <w:t xml:space="preserve">Sun, P., Zheng, L., Li, L., Guo, X., Zhang, W., &amp; Zheng, Y. (2016). The neural responses to social cooperation in gain and loss context. </w:t>
      </w:r>
      <w:r w:rsidRPr="002414E9">
        <w:rPr>
          <w:rFonts w:eastAsia="DengXian" w:cs="Times New Roman"/>
          <w:bCs/>
          <w:i/>
          <w:iCs/>
          <w:noProof/>
          <w:lang w:val="it-IT" w:eastAsia="zh-CN"/>
        </w:rPr>
        <w:t>PLoS ONE</w:t>
      </w:r>
      <w:r w:rsidRPr="002414E9">
        <w:rPr>
          <w:rFonts w:eastAsia="DengXian" w:cs="Times New Roman"/>
          <w:bCs/>
          <w:noProof/>
          <w:lang w:val="it-IT" w:eastAsia="zh-CN"/>
        </w:rPr>
        <w:t xml:space="preserve">, </w:t>
      </w:r>
      <w:r w:rsidRPr="002414E9">
        <w:rPr>
          <w:rFonts w:eastAsia="DengXian" w:cs="Times New Roman"/>
          <w:bCs/>
          <w:i/>
          <w:iCs/>
          <w:noProof/>
          <w:lang w:val="it-IT" w:eastAsia="zh-CN"/>
        </w:rPr>
        <w:t>11</w:t>
      </w:r>
      <w:r w:rsidRPr="002414E9">
        <w:rPr>
          <w:rFonts w:eastAsia="DengXian" w:cs="Times New Roman"/>
          <w:bCs/>
          <w:noProof/>
          <w:lang w:val="it-IT" w:eastAsia="zh-CN"/>
        </w:rPr>
        <w:t>(8), e0160503. https://doi.org/10.1371/journal.pone.0160503</w:t>
      </w:r>
    </w:p>
    <w:p w14:paraId="106AEFC1" w14:textId="3FBBCF6A" w:rsidR="002414E9" w:rsidRPr="002414E9" w:rsidRDefault="002414E9" w:rsidP="002414E9">
      <w:pPr>
        <w:widowControl w:val="0"/>
        <w:autoSpaceDE w:val="0"/>
        <w:autoSpaceDN w:val="0"/>
        <w:adjustRightInd w:val="0"/>
        <w:ind w:left="709" w:hanging="709"/>
        <w:rPr>
          <w:rFonts w:eastAsia="DengXian" w:cs="Times New Roman"/>
          <w:noProof/>
          <w:lang w:val="en-GB" w:eastAsia="zh-CN"/>
        </w:rPr>
      </w:pPr>
      <w:r w:rsidRPr="002414E9">
        <w:rPr>
          <w:rFonts w:eastAsia="DengXian" w:cs="Times New Roman"/>
          <w:noProof/>
          <w:lang w:val="it-IT" w:eastAsia="zh-CN"/>
        </w:rPr>
        <w:t xml:space="preserve">Sunitiyoso, Y., Avineri, E., &amp; Chatterjee, K. (2011). </w:t>
      </w:r>
      <w:r w:rsidRPr="002414E9">
        <w:rPr>
          <w:rFonts w:eastAsia="DengXian" w:cs="Times New Roman"/>
          <w:noProof/>
          <w:lang w:eastAsia="zh-CN"/>
        </w:rPr>
        <w:t xml:space="preserve">On the potential for recognising of social interaction and social learning in modelling travellers’ change of behaviour under uncertainty. </w:t>
      </w:r>
      <w:r w:rsidRPr="002414E9">
        <w:rPr>
          <w:rFonts w:eastAsia="DengXian" w:cs="Times New Roman"/>
          <w:i/>
          <w:iCs/>
          <w:noProof/>
          <w:lang w:val="en-GB" w:eastAsia="zh-CN"/>
        </w:rPr>
        <w:t>Transportmetrica</w:t>
      </w:r>
      <w:r w:rsidRPr="002414E9">
        <w:rPr>
          <w:rFonts w:eastAsia="DengXian" w:cs="Times New Roman"/>
          <w:noProof/>
          <w:lang w:val="en-GB" w:eastAsia="zh-CN"/>
        </w:rPr>
        <w:t xml:space="preserve">, </w:t>
      </w:r>
      <w:r w:rsidRPr="002414E9">
        <w:rPr>
          <w:rFonts w:eastAsia="DengXian" w:cs="Times New Roman"/>
          <w:i/>
          <w:iCs/>
          <w:noProof/>
          <w:lang w:val="en-GB" w:eastAsia="zh-CN"/>
        </w:rPr>
        <w:t>7</w:t>
      </w:r>
      <w:r w:rsidRPr="002414E9">
        <w:rPr>
          <w:rFonts w:eastAsia="DengXian" w:cs="Times New Roman"/>
          <w:noProof/>
          <w:lang w:val="en-GB" w:eastAsia="zh-CN"/>
        </w:rPr>
        <w:t>(1), 5–30. https://doi.org/10.1080/18128600903244776</w:t>
      </w:r>
    </w:p>
    <w:p w14:paraId="717C89D0" w14:textId="2310F75E"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it-IT" w:eastAsia="zh-CN"/>
        </w:rPr>
        <w:lastRenderedPageBreak/>
        <w:t xml:space="preserve">Sunitiyoso, Y., Avineri, E., &amp; Chatterjee, K. (2011). </w:t>
      </w:r>
      <w:r w:rsidRPr="002414E9">
        <w:rPr>
          <w:rFonts w:eastAsia="DengXian" w:cs="Times New Roman"/>
          <w:bCs/>
          <w:noProof/>
          <w:lang w:eastAsia="zh-CN"/>
        </w:rPr>
        <w:t xml:space="preserve">The effect of social interactions on travel behaviour: An exploratory study using a laboratory experiment. </w:t>
      </w:r>
      <w:r w:rsidRPr="002414E9">
        <w:rPr>
          <w:rFonts w:eastAsia="DengXian" w:cs="Times New Roman"/>
          <w:bCs/>
          <w:i/>
          <w:iCs/>
          <w:noProof/>
          <w:lang w:eastAsia="zh-CN"/>
        </w:rPr>
        <w:t>Transportation Research Part A: Policy and Practice</w:t>
      </w:r>
      <w:r w:rsidRPr="002414E9">
        <w:rPr>
          <w:rFonts w:eastAsia="DengXian" w:cs="Times New Roman"/>
          <w:bCs/>
          <w:noProof/>
          <w:lang w:eastAsia="zh-CN"/>
        </w:rPr>
        <w:t xml:space="preserve">, </w:t>
      </w:r>
      <w:r w:rsidRPr="002414E9">
        <w:rPr>
          <w:rFonts w:eastAsia="DengXian" w:cs="Times New Roman"/>
          <w:bCs/>
          <w:i/>
          <w:iCs/>
          <w:noProof/>
          <w:lang w:eastAsia="zh-CN"/>
        </w:rPr>
        <w:t>45</w:t>
      </w:r>
      <w:r w:rsidRPr="002414E9">
        <w:rPr>
          <w:rFonts w:eastAsia="DengXian" w:cs="Times New Roman"/>
          <w:bCs/>
          <w:noProof/>
          <w:lang w:eastAsia="zh-CN"/>
        </w:rPr>
        <w:t xml:space="preserve">(4), 332–344. https://doi.org/10.1016/j.tra.2011.01.005 </w:t>
      </w:r>
    </w:p>
    <w:p w14:paraId="51BFF46F" w14:textId="5CEE8D2A" w:rsidR="002414E9" w:rsidRPr="002414E9" w:rsidRDefault="002414E9" w:rsidP="002414E9">
      <w:pPr>
        <w:widowControl w:val="0"/>
        <w:autoSpaceDE w:val="0"/>
        <w:autoSpaceDN w:val="0"/>
        <w:adjustRightInd w:val="0"/>
        <w:ind w:left="709" w:hanging="709"/>
        <w:rPr>
          <w:rFonts w:eastAsia="DengXian" w:cs="Times New Roman"/>
          <w:bCs/>
          <w:noProof/>
          <w:lang w:eastAsia="zh-CN"/>
        </w:rPr>
      </w:pPr>
      <w:bookmarkStart w:id="111" w:name="_Hlk74308454"/>
      <w:r w:rsidRPr="002414E9">
        <w:rPr>
          <w:rFonts w:eastAsia="DengXian" w:cs="Times New Roman"/>
          <w:bCs/>
          <w:noProof/>
          <w:lang w:eastAsia="zh-CN"/>
        </w:rPr>
        <w:t xml:space="preserve">Suprayitno, B., &amp; Nurseto, T. (2016, July 25-26). </w:t>
      </w:r>
      <w:r w:rsidRPr="002414E9">
        <w:rPr>
          <w:rFonts w:eastAsia="DengXian" w:cs="Times New Roman"/>
          <w:bCs/>
          <w:i/>
          <w:iCs/>
          <w:noProof/>
          <w:lang w:eastAsia="zh-CN"/>
        </w:rPr>
        <w:t>An experiment of public goods provision through prisoner's dilemma game: Are students homo economicus?</w:t>
      </w:r>
      <w:r w:rsidRPr="002414E9">
        <w:rPr>
          <w:rFonts w:eastAsia="DengXian" w:cs="Times New Roman"/>
          <w:bCs/>
          <w:noProof/>
          <w:lang w:eastAsia="zh-CN"/>
        </w:rPr>
        <w:t xml:space="preserve"> [Paper presentation]. The 13th Indonesian Regional Science Association (IRSA) International Conference, Malang, East Java.</w:t>
      </w:r>
    </w:p>
    <w:bookmarkEnd w:id="111"/>
    <w:p w14:paraId="4C113A8A" w14:textId="46AA710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Surbey, M. K., &amp; McNally, J. J. (1997). Self-deception as a mediator of cooperation and defection in varying social contexts described in the iterated prisoner’s dilemma. </w:t>
      </w:r>
      <w:r w:rsidRPr="002414E9">
        <w:rPr>
          <w:rFonts w:eastAsia="DengXian" w:cs="Times New Roman"/>
          <w:i/>
          <w:iCs/>
          <w:noProof/>
          <w:lang w:eastAsia="zh-CN"/>
        </w:rPr>
        <w:t>Evolution and Human Behavior</w:t>
      </w:r>
      <w:r w:rsidRPr="002414E9">
        <w:rPr>
          <w:rFonts w:eastAsia="DengXian" w:cs="Times New Roman"/>
          <w:noProof/>
          <w:lang w:eastAsia="zh-CN"/>
        </w:rPr>
        <w:t xml:space="preserve">, </w:t>
      </w:r>
      <w:r w:rsidRPr="002414E9">
        <w:rPr>
          <w:rFonts w:eastAsia="DengXian" w:cs="Times New Roman"/>
          <w:i/>
          <w:iCs/>
          <w:noProof/>
          <w:lang w:eastAsia="zh-CN"/>
        </w:rPr>
        <w:t>18</w:t>
      </w:r>
      <w:r w:rsidRPr="002414E9">
        <w:rPr>
          <w:rFonts w:eastAsia="DengXian" w:cs="Times New Roman"/>
          <w:noProof/>
          <w:lang w:eastAsia="zh-CN"/>
        </w:rPr>
        <w:t>(6), 417–435. https://doi.org/10.1016/S1090-5138(97)00090-1</w:t>
      </w:r>
    </w:p>
    <w:p w14:paraId="4BFF8F68" w14:textId="13BFF60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Sutter, M., &amp; Rivas, M. F. (2014). </w:t>
      </w:r>
      <w:r w:rsidRPr="002414E9">
        <w:rPr>
          <w:rFonts w:eastAsia="DengXian" w:cs="Times New Roman"/>
          <w:noProof/>
          <w:lang w:eastAsia="zh-CN"/>
        </w:rPr>
        <w:t xml:space="preserve">Leadership, reward and punishment in sequential public goods experiments. </w:t>
      </w:r>
      <w:r w:rsidRPr="002414E9">
        <w:rPr>
          <w:rFonts w:eastAsia="DengXian" w:cs="Times New Roman"/>
          <w:noProof/>
          <w:lang w:val="en-GB" w:eastAsia="zh-CN"/>
        </w:rPr>
        <w:t xml:space="preserve">In P. A. M. Van Lange, B. Rockenbach, &amp; T. Yamagishi (Eds.). </w:t>
      </w:r>
      <w:r w:rsidRPr="002414E9">
        <w:rPr>
          <w:rFonts w:eastAsia="DengXian" w:cs="Times New Roman"/>
          <w:i/>
          <w:iCs/>
          <w:noProof/>
          <w:lang w:eastAsia="zh-CN"/>
        </w:rPr>
        <w:t>Reward and Punishment in Social Dilemmas</w:t>
      </w:r>
      <w:r w:rsidRPr="002414E9">
        <w:rPr>
          <w:rFonts w:eastAsia="DengXian" w:cs="Times New Roman"/>
          <w:noProof/>
          <w:lang w:eastAsia="zh-CN"/>
        </w:rPr>
        <w:t xml:space="preserve"> (pp. 133–160). Oxford University Press. https://doi.org/10.1093/acprof:oso/9780199300730.003.0008</w:t>
      </w:r>
    </w:p>
    <w:p w14:paraId="262D695E" w14:textId="464E89D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Sutter, M., &amp; Weck-Hannemann, H. (2003). On the effects of asymmetric and endogenous taxation in experimental public goods games. </w:t>
      </w:r>
      <w:r w:rsidRPr="002414E9">
        <w:rPr>
          <w:rFonts w:eastAsia="DengXian" w:cs="Times New Roman"/>
          <w:i/>
          <w:iCs/>
          <w:noProof/>
          <w:lang w:eastAsia="zh-CN"/>
        </w:rPr>
        <w:t>Economics Letters</w:t>
      </w:r>
      <w:r w:rsidRPr="002414E9">
        <w:rPr>
          <w:rFonts w:eastAsia="DengXian" w:cs="Times New Roman"/>
          <w:noProof/>
          <w:lang w:eastAsia="zh-CN"/>
        </w:rPr>
        <w:t xml:space="preserve">, </w:t>
      </w:r>
      <w:r w:rsidRPr="002414E9">
        <w:rPr>
          <w:rFonts w:eastAsia="DengXian" w:cs="Times New Roman"/>
          <w:i/>
          <w:iCs/>
          <w:noProof/>
          <w:lang w:eastAsia="zh-CN"/>
        </w:rPr>
        <w:t>79</w:t>
      </w:r>
      <w:r w:rsidRPr="002414E9">
        <w:rPr>
          <w:rFonts w:eastAsia="DengXian" w:cs="Times New Roman"/>
          <w:noProof/>
          <w:lang w:eastAsia="zh-CN"/>
        </w:rPr>
        <w:t>(1), 59–67. https://doi.org/10.1016/S0165-1765(02)00288-4</w:t>
      </w:r>
    </w:p>
    <w:p w14:paraId="372FF3CC" w14:textId="4E0ADD6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Sutter, M., Haigner, S., &amp; Kocher, M. G. (2010). </w:t>
      </w:r>
      <w:r w:rsidRPr="002414E9">
        <w:rPr>
          <w:rFonts w:eastAsia="DengXian" w:cs="Times New Roman"/>
          <w:noProof/>
          <w:lang w:eastAsia="zh-CN"/>
        </w:rPr>
        <w:t xml:space="preserve">Choosing the carrot or the stick? Endogenous institutional choice in social dilemma situations. </w:t>
      </w:r>
      <w:r w:rsidRPr="002414E9">
        <w:rPr>
          <w:rFonts w:eastAsia="DengXian" w:cs="Times New Roman"/>
          <w:i/>
          <w:iCs/>
          <w:noProof/>
          <w:lang w:eastAsia="zh-CN"/>
        </w:rPr>
        <w:t>Review of Economic Studies</w:t>
      </w:r>
      <w:r w:rsidRPr="002414E9">
        <w:rPr>
          <w:rFonts w:eastAsia="DengXian" w:cs="Times New Roman"/>
          <w:noProof/>
          <w:lang w:eastAsia="zh-CN"/>
        </w:rPr>
        <w:t xml:space="preserve">, </w:t>
      </w:r>
      <w:r w:rsidRPr="002414E9">
        <w:rPr>
          <w:rFonts w:eastAsia="DengXian" w:cs="Times New Roman"/>
          <w:i/>
          <w:iCs/>
          <w:noProof/>
          <w:lang w:eastAsia="zh-CN"/>
        </w:rPr>
        <w:t>77</w:t>
      </w:r>
      <w:r w:rsidRPr="002414E9">
        <w:rPr>
          <w:rFonts w:eastAsia="DengXian" w:cs="Times New Roman"/>
          <w:noProof/>
          <w:lang w:eastAsia="zh-CN"/>
        </w:rPr>
        <w:t>(4), 1540–1566. https://doi.org/10.1111/j.1467-937X.2010.00608.x</w:t>
      </w:r>
    </w:p>
    <w:p w14:paraId="45A898E0" w14:textId="11DC087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Suzuki, A., Takahashi, H., Takemoto, T., Nishihira, N., &amp; Ogawa, K. (2015). Easy economic experiment system wo mochiita keizai jikken no kyōiku kōka: Shūjin no jirenma to </w:t>
      </w:r>
      <w:r w:rsidRPr="002414E9">
        <w:rPr>
          <w:rFonts w:eastAsia="DengXian" w:cs="Times New Roman"/>
          <w:noProof/>
          <w:lang w:eastAsia="zh-CN"/>
        </w:rPr>
        <w:lastRenderedPageBreak/>
        <w:t xml:space="preserve">kyōchō gēmu [Educational effectiveness of classroom experiments using easy economic experiment system: Cases of prisoner’s dilemma and coordination game]. </w:t>
      </w:r>
      <w:r w:rsidRPr="002414E9">
        <w:rPr>
          <w:rFonts w:eastAsia="DengXian" w:cs="Times New Roman"/>
          <w:i/>
          <w:iCs/>
          <w:noProof/>
          <w:lang w:eastAsia="zh-CN"/>
        </w:rPr>
        <w:t>Yamagata Daigaku Kiyō: Shakai Kagaku [Bulletin of Yamagata University: Social Science]</w:t>
      </w:r>
      <w:r w:rsidRPr="002414E9">
        <w:rPr>
          <w:rFonts w:eastAsia="DengXian" w:cs="Times New Roman"/>
          <w:noProof/>
          <w:lang w:eastAsia="zh-CN"/>
        </w:rPr>
        <w:t xml:space="preserve">, </w:t>
      </w:r>
      <w:r w:rsidRPr="002414E9">
        <w:rPr>
          <w:rFonts w:eastAsia="DengXian" w:cs="Times New Roman"/>
          <w:i/>
          <w:iCs/>
          <w:noProof/>
          <w:lang w:eastAsia="zh-CN"/>
        </w:rPr>
        <w:t>46</w:t>
      </w:r>
      <w:r w:rsidRPr="002414E9">
        <w:rPr>
          <w:rFonts w:eastAsia="DengXian" w:cs="Times New Roman"/>
          <w:noProof/>
          <w:lang w:eastAsia="zh-CN"/>
        </w:rPr>
        <w:t>(1), 1–29.</w:t>
      </w:r>
    </w:p>
    <w:p w14:paraId="6FFD92F4" w14:textId="413D8D7B"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Swensson, R. G. (1967). Cooperation in the prisoner's dilemma game I: The effects of asymmetric payoff information and explicit communication. </w:t>
      </w:r>
      <w:r w:rsidRPr="002414E9">
        <w:rPr>
          <w:rFonts w:eastAsia="DengXian" w:cs="Times New Roman"/>
          <w:bCs/>
          <w:i/>
          <w:iCs/>
          <w:noProof/>
          <w:lang w:eastAsia="zh-CN"/>
        </w:rPr>
        <w:t>Behavioral Science</w:t>
      </w:r>
      <w:r w:rsidRPr="002414E9">
        <w:rPr>
          <w:rFonts w:eastAsia="DengXian" w:cs="Times New Roman"/>
          <w:bCs/>
          <w:noProof/>
          <w:lang w:eastAsia="zh-CN"/>
        </w:rPr>
        <w:t xml:space="preserve">, </w:t>
      </w:r>
      <w:r w:rsidRPr="002414E9">
        <w:rPr>
          <w:rFonts w:eastAsia="DengXian" w:cs="Times New Roman"/>
          <w:bCs/>
          <w:i/>
          <w:iCs/>
          <w:noProof/>
          <w:lang w:eastAsia="zh-CN"/>
        </w:rPr>
        <w:t>12</w:t>
      </w:r>
      <w:r w:rsidRPr="002414E9">
        <w:rPr>
          <w:rFonts w:eastAsia="DengXian" w:cs="Times New Roman"/>
          <w:bCs/>
          <w:noProof/>
          <w:lang w:eastAsia="zh-CN"/>
        </w:rPr>
        <w:t>(4), 314–322. https://doi.org/10.1002/bs.3830120406</w:t>
      </w:r>
    </w:p>
    <w:p w14:paraId="6DFB82B7" w14:textId="71696FC3"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Swingle, P. G. (1969). Ethnic factors in interpersonal bargaining. </w:t>
      </w:r>
      <w:r w:rsidRPr="002414E9">
        <w:rPr>
          <w:rFonts w:eastAsia="DengXian" w:cs="Times New Roman"/>
          <w:bCs/>
          <w:i/>
          <w:iCs/>
          <w:noProof/>
          <w:lang w:eastAsia="zh-CN"/>
        </w:rPr>
        <w:t>Canadian Journal of Psychology, 23</w:t>
      </w:r>
      <w:r w:rsidRPr="002414E9">
        <w:rPr>
          <w:rFonts w:eastAsia="DengXian" w:cs="Times New Roman"/>
          <w:bCs/>
          <w:noProof/>
          <w:lang w:eastAsia="zh-CN"/>
        </w:rPr>
        <w:t>(2), 136–146. https://doi.org/10.1037/h0082799</w:t>
      </w:r>
    </w:p>
    <w:p w14:paraId="64D28BDB" w14:textId="74F18200"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Swingle, P. G., &amp; MacLean, B. (1971). The effect of illusory power in non-zero-sum games.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15</w:t>
      </w:r>
      <w:r w:rsidRPr="002414E9">
        <w:rPr>
          <w:rFonts w:eastAsia="DengXian" w:cs="Times New Roman"/>
          <w:bCs/>
          <w:noProof/>
          <w:lang w:eastAsia="zh-CN"/>
        </w:rPr>
        <w:t>(4), 513–522. https://doi.org/10.1177/002200277101500408</w:t>
      </w:r>
    </w:p>
    <w:p w14:paraId="7C4C479E" w14:textId="70152512" w:rsidR="002414E9" w:rsidRPr="002414E9" w:rsidRDefault="002414E9" w:rsidP="002414E9">
      <w:pPr>
        <w:widowControl w:val="0"/>
        <w:autoSpaceDE w:val="0"/>
        <w:autoSpaceDN w:val="0"/>
        <w:adjustRightInd w:val="0"/>
        <w:ind w:left="709" w:hanging="709"/>
        <w:rPr>
          <w:rFonts w:eastAsia="DengXian" w:cs="Times New Roman"/>
          <w:bCs/>
          <w:noProof/>
          <w:lang w:eastAsia="zh-CN"/>
        </w:rPr>
      </w:pPr>
      <w:bookmarkStart w:id="112" w:name="_Hlk74308519"/>
      <w:r w:rsidRPr="002414E9">
        <w:rPr>
          <w:rFonts w:eastAsia="DengXian" w:cs="Times New Roman"/>
          <w:bCs/>
          <w:noProof/>
          <w:lang w:eastAsia="zh-CN"/>
        </w:rPr>
        <w:t xml:space="preserve">Swinth, R. L. (1967). The establishment of the trust relationship. </w:t>
      </w:r>
      <w:r w:rsidRPr="002414E9">
        <w:rPr>
          <w:rFonts w:eastAsia="DengXian" w:cs="Times New Roman"/>
          <w:bCs/>
          <w:i/>
          <w:iCs/>
          <w:noProof/>
          <w:lang w:eastAsia="zh-CN"/>
        </w:rPr>
        <w:t>Journal of Conflict Resolution, 11</w:t>
      </w:r>
      <w:r w:rsidRPr="002414E9">
        <w:rPr>
          <w:rFonts w:eastAsia="DengXian" w:cs="Times New Roman"/>
          <w:bCs/>
          <w:noProof/>
          <w:lang w:eastAsia="zh-CN"/>
        </w:rPr>
        <w:t>(3), 335–344. https://doi.org/10.1177/002200276701100308</w:t>
      </w:r>
    </w:p>
    <w:bookmarkEnd w:id="112"/>
    <w:p w14:paraId="15646A4B" w14:textId="763C131B"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Swope, K. J., Cadigan, J., Schmitt, P. M., &amp; Shupp, R. (2008). </w:t>
      </w:r>
      <w:r w:rsidRPr="002414E9">
        <w:rPr>
          <w:rFonts w:eastAsia="DengXian" w:cs="Times New Roman"/>
          <w:bCs/>
          <w:noProof/>
          <w:lang w:eastAsia="zh-CN"/>
        </w:rPr>
        <w:t xml:space="preserve">Personality preferences in laboratory economics experiments. </w:t>
      </w:r>
      <w:r w:rsidRPr="002414E9">
        <w:rPr>
          <w:rFonts w:eastAsia="DengXian" w:cs="Times New Roman"/>
          <w:bCs/>
          <w:i/>
          <w:iCs/>
          <w:noProof/>
          <w:lang w:eastAsia="zh-CN"/>
        </w:rPr>
        <w:t>The Journal of Socio-Economics</w:t>
      </w:r>
      <w:r w:rsidRPr="002414E9">
        <w:rPr>
          <w:rFonts w:eastAsia="DengXian" w:cs="Times New Roman"/>
          <w:bCs/>
          <w:noProof/>
          <w:lang w:eastAsia="zh-CN"/>
        </w:rPr>
        <w:t xml:space="preserve">, </w:t>
      </w:r>
      <w:r w:rsidRPr="002414E9">
        <w:rPr>
          <w:rFonts w:eastAsia="DengXian" w:cs="Times New Roman"/>
          <w:bCs/>
          <w:i/>
          <w:iCs/>
          <w:noProof/>
          <w:lang w:eastAsia="zh-CN"/>
        </w:rPr>
        <w:t>37</w:t>
      </w:r>
      <w:r w:rsidRPr="002414E9">
        <w:rPr>
          <w:rFonts w:eastAsia="DengXian" w:cs="Times New Roman"/>
          <w:bCs/>
          <w:noProof/>
          <w:lang w:eastAsia="zh-CN"/>
        </w:rPr>
        <w:t>(3), 998–1009. https://doi.org/10.1016/j.socec.2006.12.065</w:t>
      </w:r>
    </w:p>
    <w:p w14:paraId="484E7651" w14:textId="79B5DE7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Sylwester, K., &amp; Roberts, G. (2013). Reputation-based partner choice is an effective alternative to indirect reciprocity in solving social dilemmas. </w:t>
      </w:r>
      <w:r w:rsidRPr="002414E9">
        <w:rPr>
          <w:rFonts w:eastAsia="DengXian" w:cs="Times New Roman"/>
          <w:i/>
          <w:iCs/>
          <w:noProof/>
          <w:lang w:eastAsia="zh-CN"/>
        </w:rPr>
        <w:t>Evolution and Human Behavior</w:t>
      </w:r>
      <w:r w:rsidRPr="002414E9">
        <w:rPr>
          <w:rFonts w:eastAsia="DengXian" w:cs="Times New Roman"/>
          <w:noProof/>
          <w:lang w:eastAsia="zh-CN"/>
        </w:rPr>
        <w:t xml:space="preserve">, </w:t>
      </w:r>
      <w:r w:rsidRPr="002414E9">
        <w:rPr>
          <w:rFonts w:eastAsia="DengXian" w:cs="Times New Roman"/>
          <w:i/>
          <w:iCs/>
          <w:noProof/>
          <w:lang w:eastAsia="zh-CN"/>
        </w:rPr>
        <w:t>34</w:t>
      </w:r>
      <w:r w:rsidRPr="002414E9">
        <w:rPr>
          <w:rFonts w:eastAsia="DengXian" w:cs="Times New Roman"/>
          <w:noProof/>
          <w:lang w:eastAsia="zh-CN"/>
        </w:rPr>
        <w:t>(3), 201–206. https://doi.org/10.1016/j.evolhumbehav.2012.11.009</w:t>
      </w:r>
    </w:p>
    <w:p w14:paraId="051DEEAD" w14:textId="5124EF45" w:rsidR="002414E9" w:rsidRPr="002414E9" w:rsidRDefault="002414E9" w:rsidP="002414E9">
      <w:pPr>
        <w:widowControl w:val="0"/>
        <w:autoSpaceDE w:val="0"/>
        <w:autoSpaceDN w:val="0"/>
        <w:adjustRightInd w:val="0"/>
        <w:ind w:left="709" w:hanging="709"/>
        <w:rPr>
          <w:rFonts w:eastAsia="DengXian" w:cs="Times New Roman"/>
          <w:bCs/>
          <w:noProof/>
          <w:lang w:eastAsia="zh-CN"/>
        </w:rPr>
      </w:pPr>
      <w:bookmarkStart w:id="113" w:name="_Hlk74308625"/>
      <w:r w:rsidRPr="002414E9">
        <w:rPr>
          <w:rFonts w:eastAsia="DengXian" w:cs="Times New Roman"/>
          <w:bCs/>
          <w:noProof/>
          <w:lang w:eastAsia="zh-CN"/>
        </w:rPr>
        <w:t xml:space="preserve">Tabak, B. A. (2011). </w:t>
      </w:r>
      <w:r w:rsidRPr="002414E9">
        <w:rPr>
          <w:rFonts w:eastAsia="DengXian" w:cs="Times New Roman"/>
          <w:bCs/>
          <w:i/>
          <w:iCs/>
          <w:noProof/>
          <w:lang w:eastAsia="zh-CN"/>
        </w:rPr>
        <w:t xml:space="preserve">Associations of the oxytocin receptor gene (OXTR) and emotional reactions to betrayal in an iterated prisoner's dilemma </w:t>
      </w:r>
      <w:r w:rsidRPr="002414E9">
        <w:rPr>
          <w:rFonts w:eastAsia="DengXian" w:cs="Times New Roman"/>
          <w:bCs/>
          <w:noProof/>
          <w:lang w:eastAsia="zh-CN"/>
        </w:rPr>
        <w:t>(Publication No. 3468307)</w:t>
      </w:r>
      <w:r w:rsidRPr="002414E9">
        <w:rPr>
          <w:rFonts w:eastAsia="DengXian" w:cs="Times New Roman"/>
          <w:bCs/>
          <w:i/>
          <w:iCs/>
          <w:noProof/>
          <w:lang w:eastAsia="zh-CN"/>
        </w:rPr>
        <w:t xml:space="preserve"> </w:t>
      </w:r>
      <w:r w:rsidRPr="002414E9">
        <w:rPr>
          <w:rFonts w:eastAsia="DengXian" w:cs="Times New Roman"/>
          <w:bCs/>
          <w:noProof/>
          <w:lang w:eastAsia="zh-CN"/>
        </w:rPr>
        <w:t>[Doctoral dissertation, University of Miami]. ProQuest Dissertations Publishing.</w:t>
      </w:r>
    </w:p>
    <w:bookmarkEnd w:id="113"/>
    <w:p w14:paraId="685A0FE1" w14:textId="10FC1B23"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lastRenderedPageBreak/>
        <w:t xml:space="preserve">Tabak, B. A., McCullough, M. E., Carver, C. S., Pedersen, E. J., &amp; Cuccaro, M. L. (2014). Variation in oxytocin receptor gene (OXTR) polymorphisms is associated with emotional and behavioral reactions to betrayal. </w:t>
      </w:r>
      <w:r w:rsidRPr="002414E9">
        <w:rPr>
          <w:rFonts w:eastAsia="DengXian" w:cs="Times New Roman"/>
          <w:bCs/>
          <w:i/>
          <w:iCs/>
          <w:noProof/>
          <w:lang w:eastAsia="zh-CN"/>
        </w:rPr>
        <w:t>Social Cognitive and Affective Neuroscience</w:t>
      </w:r>
      <w:r w:rsidRPr="002414E9">
        <w:rPr>
          <w:rFonts w:eastAsia="DengXian" w:cs="Times New Roman"/>
          <w:bCs/>
          <w:noProof/>
          <w:lang w:eastAsia="zh-CN"/>
        </w:rPr>
        <w:t xml:space="preserve">, </w:t>
      </w:r>
      <w:r w:rsidRPr="002414E9">
        <w:rPr>
          <w:rFonts w:eastAsia="DengXian" w:cs="Times New Roman"/>
          <w:bCs/>
          <w:i/>
          <w:iCs/>
          <w:noProof/>
          <w:lang w:eastAsia="zh-CN"/>
        </w:rPr>
        <w:t>9</w:t>
      </w:r>
      <w:r w:rsidRPr="002414E9">
        <w:rPr>
          <w:rFonts w:eastAsia="DengXian" w:cs="Times New Roman"/>
          <w:bCs/>
          <w:noProof/>
          <w:lang w:eastAsia="zh-CN"/>
        </w:rPr>
        <w:t xml:space="preserve">(6), 810–816. </w:t>
      </w:r>
      <w:bookmarkStart w:id="114" w:name="_Hlk54080153"/>
      <w:r w:rsidRPr="002414E9">
        <w:rPr>
          <w:rFonts w:eastAsia="DengXian" w:cs="Times New Roman"/>
          <w:bCs/>
          <w:noProof/>
          <w:lang w:eastAsia="zh-CN"/>
        </w:rPr>
        <w:t>https://doi.org/</w:t>
      </w:r>
      <w:bookmarkEnd w:id="114"/>
      <w:r w:rsidRPr="002414E9">
        <w:rPr>
          <w:rFonts w:eastAsia="DengXian" w:cs="Times New Roman"/>
          <w:bCs/>
          <w:noProof/>
          <w:lang w:eastAsia="zh-CN"/>
        </w:rPr>
        <w:t>10.1093/scan/nst042</w:t>
      </w:r>
    </w:p>
    <w:p w14:paraId="62200AF2" w14:textId="32A9C4D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Tajima, T. (2001). Nichijō no taijin kankei to jikken bamen ni okeru naishūdan no seiritsu ni tsuite [Interpersonal relationships in everyday life and ingroup formation in experimental situation]. </w:t>
      </w:r>
      <w:r w:rsidRPr="002414E9">
        <w:rPr>
          <w:rFonts w:eastAsia="DengXian" w:cs="Times New Roman"/>
          <w:i/>
          <w:iCs/>
          <w:noProof/>
          <w:lang w:eastAsia="zh-CN"/>
        </w:rPr>
        <w:t>The Japanese Journal of Experimental Social Psychology</w:t>
      </w:r>
      <w:r w:rsidRPr="002414E9">
        <w:rPr>
          <w:rFonts w:eastAsia="DengXian" w:cs="Times New Roman"/>
          <w:noProof/>
          <w:lang w:eastAsia="zh-CN"/>
        </w:rPr>
        <w:t xml:space="preserve">, </w:t>
      </w:r>
      <w:r w:rsidRPr="002414E9">
        <w:rPr>
          <w:rFonts w:eastAsia="DengXian" w:cs="Times New Roman"/>
          <w:i/>
          <w:iCs/>
          <w:noProof/>
          <w:lang w:eastAsia="zh-CN"/>
        </w:rPr>
        <w:t>40</w:t>
      </w:r>
      <w:r w:rsidRPr="002414E9">
        <w:rPr>
          <w:rFonts w:eastAsia="DengXian" w:cs="Times New Roman"/>
          <w:noProof/>
          <w:lang w:eastAsia="zh-CN"/>
        </w:rPr>
        <w:t>(2), 145–155. https://doi.org/10.2130/jjesp.40.145</w:t>
      </w:r>
    </w:p>
    <w:p w14:paraId="0250C873" w14:textId="35F2202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Takahashi, C., Yamagishi, T., &amp; Hashimoto, H. (2009). </w:t>
      </w:r>
      <w:r w:rsidRPr="002414E9">
        <w:rPr>
          <w:rFonts w:eastAsia="DengXian" w:cs="Times New Roman"/>
          <w:noProof/>
          <w:lang w:eastAsia="zh-CN"/>
        </w:rPr>
        <w:t xml:space="preserve">Shūdan kara no haijo to sōgo kyōchōteki jiko teiji [Interdependent self as a form of self-presentation in response to a threat of exclusion from the group]. </w:t>
      </w:r>
      <w:r w:rsidRPr="002414E9">
        <w:rPr>
          <w:rFonts w:eastAsia="DengXian" w:cs="Times New Roman"/>
          <w:i/>
          <w:iCs/>
          <w:noProof/>
          <w:lang w:eastAsia="zh-CN"/>
        </w:rPr>
        <w:t>Japanese Journal of Social Psychology</w:t>
      </w:r>
      <w:r w:rsidRPr="002414E9">
        <w:rPr>
          <w:rFonts w:eastAsia="DengXian" w:cs="Times New Roman"/>
          <w:noProof/>
          <w:lang w:eastAsia="zh-CN"/>
        </w:rPr>
        <w:t xml:space="preserve">, </w:t>
      </w:r>
      <w:r w:rsidRPr="002414E9">
        <w:rPr>
          <w:rFonts w:eastAsia="DengXian" w:cs="Times New Roman"/>
          <w:i/>
          <w:iCs/>
          <w:noProof/>
          <w:lang w:eastAsia="zh-CN"/>
        </w:rPr>
        <w:t>25</w:t>
      </w:r>
      <w:r w:rsidRPr="002414E9">
        <w:rPr>
          <w:rFonts w:eastAsia="DengXian" w:cs="Times New Roman"/>
          <w:noProof/>
          <w:lang w:eastAsia="zh-CN"/>
        </w:rPr>
        <w:t>(2), 113–120. https://doi.org/10.14966/jssp.KJ00005930940</w:t>
      </w:r>
    </w:p>
    <w:p w14:paraId="702691C8" w14:textId="24C7ADFE"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Takahashi, C., Yamagishi, T., Tanida, S., Kiyonari, T., &amp; Kanazawa, S. (2006). Attractiveness and Cooperation in Social Exchange. </w:t>
      </w:r>
      <w:r w:rsidRPr="002414E9">
        <w:rPr>
          <w:rFonts w:eastAsia="DengXian" w:cs="Times New Roman"/>
          <w:bCs/>
          <w:i/>
          <w:iCs/>
          <w:noProof/>
          <w:lang w:eastAsia="zh-CN"/>
        </w:rPr>
        <w:t>Evolutionary Psychology</w:t>
      </w:r>
      <w:r w:rsidRPr="002414E9">
        <w:rPr>
          <w:rFonts w:eastAsia="DengXian" w:cs="Times New Roman"/>
          <w:bCs/>
          <w:noProof/>
          <w:lang w:eastAsia="zh-CN"/>
        </w:rPr>
        <w:t xml:space="preserve">, </w:t>
      </w:r>
      <w:r w:rsidRPr="002414E9">
        <w:rPr>
          <w:rFonts w:eastAsia="DengXian" w:cs="Times New Roman"/>
          <w:bCs/>
          <w:i/>
          <w:iCs/>
          <w:noProof/>
          <w:lang w:eastAsia="zh-CN"/>
        </w:rPr>
        <w:t>4</w:t>
      </w:r>
      <w:r w:rsidRPr="002414E9">
        <w:rPr>
          <w:rFonts w:eastAsia="DengXian" w:cs="Times New Roman"/>
          <w:bCs/>
          <w:noProof/>
          <w:lang w:eastAsia="zh-CN"/>
        </w:rPr>
        <w:t>, 315–329. https://doi.org/10.1177/147470490600400127</w:t>
      </w:r>
    </w:p>
    <w:p w14:paraId="12B393BB" w14:textId="1B6AA37F"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Takemura, K., &amp; Yuki, M. (2007). Are Japanese groups more competitive than Japanese individuals? A cross‐cultural validation of the interindividual–intergroup discontinuity effect. </w:t>
      </w:r>
      <w:r w:rsidRPr="002414E9">
        <w:rPr>
          <w:rFonts w:eastAsia="DengXian" w:cs="Times New Roman"/>
          <w:bCs/>
          <w:i/>
          <w:iCs/>
          <w:noProof/>
          <w:lang w:eastAsia="zh-CN"/>
        </w:rPr>
        <w:t>International Journal of Psychology</w:t>
      </w:r>
      <w:r w:rsidRPr="002414E9">
        <w:rPr>
          <w:rFonts w:eastAsia="DengXian" w:cs="Times New Roman"/>
          <w:bCs/>
          <w:noProof/>
          <w:lang w:eastAsia="zh-CN"/>
        </w:rPr>
        <w:t xml:space="preserve">, </w:t>
      </w:r>
      <w:r w:rsidRPr="002414E9">
        <w:rPr>
          <w:rFonts w:eastAsia="DengXian" w:cs="Times New Roman"/>
          <w:bCs/>
          <w:i/>
          <w:iCs/>
          <w:noProof/>
          <w:lang w:eastAsia="zh-CN"/>
        </w:rPr>
        <w:t>42</w:t>
      </w:r>
      <w:r w:rsidRPr="002414E9">
        <w:rPr>
          <w:rFonts w:eastAsia="DengXian" w:cs="Times New Roman"/>
          <w:bCs/>
          <w:noProof/>
          <w:lang w:eastAsia="zh-CN"/>
        </w:rPr>
        <w:t>(1), 27–35. https://doi.org/10.1080/00207590500411534</w:t>
      </w:r>
    </w:p>
    <w:p w14:paraId="0E3730E6" w14:textId="650EF7C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Takezawa, M. (1999). Shakaiteki jirenma no kaiketsu ni oite fukōseikan ga hatasu yakuwari [The effect of an unfair treatment in the resolution of a social dilemma]. </w:t>
      </w:r>
      <w:r w:rsidRPr="002414E9">
        <w:rPr>
          <w:rFonts w:eastAsia="DengXian" w:cs="Times New Roman"/>
          <w:i/>
          <w:iCs/>
          <w:noProof/>
          <w:lang w:eastAsia="zh-CN"/>
        </w:rPr>
        <w:t>The Japanese Journal of Experimental Social Psychology</w:t>
      </w:r>
      <w:r w:rsidRPr="002414E9">
        <w:rPr>
          <w:rFonts w:eastAsia="DengXian" w:cs="Times New Roman"/>
          <w:noProof/>
          <w:lang w:eastAsia="zh-CN"/>
        </w:rPr>
        <w:t xml:space="preserve">, </w:t>
      </w:r>
      <w:r w:rsidRPr="002414E9">
        <w:rPr>
          <w:rFonts w:eastAsia="DengXian" w:cs="Times New Roman"/>
          <w:i/>
          <w:iCs/>
          <w:noProof/>
          <w:lang w:eastAsia="zh-CN"/>
        </w:rPr>
        <w:t>39</w:t>
      </w:r>
      <w:r w:rsidRPr="002414E9">
        <w:rPr>
          <w:rFonts w:eastAsia="DengXian" w:cs="Times New Roman"/>
          <w:noProof/>
          <w:lang w:eastAsia="zh-CN"/>
        </w:rPr>
        <w:t>(1), 30–40. https://doi.org/10.2130/jjesp.39.30</w:t>
      </w:r>
    </w:p>
    <w:p w14:paraId="765B915D" w14:textId="0A4499CA" w:rsidR="002414E9" w:rsidRPr="002414E9" w:rsidRDefault="002414E9" w:rsidP="002414E9">
      <w:pPr>
        <w:widowControl w:val="0"/>
        <w:autoSpaceDE w:val="0"/>
        <w:autoSpaceDN w:val="0"/>
        <w:adjustRightInd w:val="0"/>
        <w:ind w:left="709" w:hanging="709"/>
        <w:rPr>
          <w:rFonts w:eastAsia="DengXian" w:cs="Times New Roman"/>
          <w:noProof/>
          <w:lang w:val="nl-NL" w:eastAsia="zh-CN"/>
        </w:rPr>
      </w:pPr>
      <w:r w:rsidRPr="002414E9">
        <w:rPr>
          <w:rFonts w:eastAsia="DengXian" w:cs="Times New Roman"/>
          <w:noProof/>
          <w:lang w:eastAsia="zh-CN"/>
        </w:rPr>
        <w:t xml:space="preserve">Tan, F. (2008). Punishment in a linear public good game with productivity heterogeneity. </w:t>
      </w:r>
      <w:r w:rsidRPr="002414E9">
        <w:rPr>
          <w:rFonts w:eastAsia="DengXian" w:cs="Times New Roman"/>
          <w:i/>
          <w:iCs/>
          <w:noProof/>
          <w:lang w:val="nl-NL" w:eastAsia="zh-CN"/>
        </w:rPr>
        <w:t xml:space="preserve">De </w:t>
      </w:r>
      <w:r w:rsidRPr="002414E9">
        <w:rPr>
          <w:rFonts w:eastAsia="DengXian" w:cs="Times New Roman"/>
          <w:i/>
          <w:iCs/>
          <w:noProof/>
          <w:lang w:val="nl-NL" w:eastAsia="zh-CN"/>
        </w:rPr>
        <w:lastRenderedPageBreak/>
        <w:t>Economist</w:t>
      </w:r>
      <w:r w:rsidRPr="002414E9">
        <w:rPr>
          <w:rFonts w:eastAsia="DengXian" w:cs="Times New Roman"/>
          <w:noProof/>
          <w:lang w:val="nl-NL" w:eastAsia="zh-CN"/>
        </w:rPr>
        <w:t xml:space="preserve">, </w:t>
      </w:r>
      <w:r w:rsidRPr="002414E9">
        <w:rPr>
          <w:rFonts w:eastAsia="DengXian" w:cs="Times New Roman"/>
          <w:i/>
          <w:iCs/>
          <w:noProof/>
          <w:lang w:val="nl-NL" w:eastAsia="zh-CN"/>
        </w:rPr>
        <w:t>156</w:t>
      </w:r>
      <w:r w:rsidRPr="002414E9">
        <w:rPr>
          <w:rFonts w:eastAsia="DengXian" w:cs="Times New Roman"/>
          <w:noProof/>
          <w:lang w:val="nl-NL" w:eastAsia="zh-CN"/>
        </w:rPr>
        <w:t>(3), 269–293. https://doi.org/10.1007/s10645-008-9094-1</w:t>
      </w:r>
    </w:p>
    <w:p w14:paraId="31E48443" w14:textId="04CC7D9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s-ES" w:eastAsia="zh-CN"/>
        </w:rPr>
        <w:t xml:space="preserve">Tan, J. H. W., &amp; Bolle, F. (2007). </w:t>
      </w:r>
      <w:r w:rsidRPr="002414E9">
        <w:rPr>
          <w:rFonts w:eastAsia="DengXian" w:cs="Times New Roman"/>
          <w:noProof/>
          <w:lang w:eastAsia="zh-CN"/>
        </w:rPr>
        <w:t xml:space="preserve">Team competition and the public goods game. </w:t>
      </w:r>
      <w:r w:rsidRPr="002414E9">
        <w:rPr>
          <w:rFonts w:eastAsia="DengXian" w:cs="Times New Roman"/>
          <w:i/>
          <w:iCs/>
          <w:noProof/>
          <w:lang w:eastAsia="zh-CN"/>
        </w:rPr>
        <w:t>Economics Letters</w:t>
      </w:r>
      <w:r w:rsidRPr="002414E9">
        <w:rPr>
          <w:rFonts w:eastAsia="DengXian" w:cs="Times New Roman"/>
          <w:noProof/>
          <w:lang w:eastAsia="zh-CN"/>
        </w:rPr>
        <w:t xml:space="preserve">, </w:t>
      </w:r>
      <w:r w:rsidRPr="002414E9">
        <w:rPr>
          <w:rFonts w:eastAsia="DengXian" w:cs="Times New Roman"/>
          <w:i/>
          <w:iCs/>
          <w:noProof/>
          <w:lang w:eastAsia="zh-CN"/>
        </w:rPr>
        <w:t>96</w:t>
      </w:r>
      <w:r w:rsidRPr="002414E9">
        <w:rPr>
          <w:rFonts w:eastAsia="DengXian" w:cs="Times New Roman"/>
          <w:noProof/>
          <w:lang w:eastAsia="zh-CN"/>
        </w:rPr>
        <w:t>(1), 133–139. https://doi.org/10.1016/j.econlet.2006.12.031</w:t>
      </w:r>
    </w:p>
    <w:p w14:paraId="26B2D256" w14:textId="33FB3EA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Tan, J. H. W., Breitmoser, Y., &amp; Bolle, F. (2015). Voluntary contributions by consent or dissent. </w:t>
      </w:r>
      <w:r w:rsidRPr="002414E9">
        <w:rPr>
          <w:rFonts w:eastAsia="DengXian" w:cs="Times New Roman"/>
          <w:i/>
          <w:iCs/>
          <w:noProof/>
          <w:lang w:eastAsia="zh-CN"/>
        </w:rPr>
        <w:t>Games and Economic Behavior</w:t>
      </w:r>
      <w:r w:rsidRPr="002414E9">
        <w:rPr>
          <w:rFonts w:eastAsia="DengXian" w:cs="Times New Roman"/>
          <w:noProof/>
          <w:lang w:eastAsia="zh-CN"/>
        </w:rPr>
        <w:t xml:space="preserve">, </w:t>
      </w:r>
      <w:r w:rsidRPr="002414E9">
        <w:rPr>
          <w:rFonts w:eastAsia="DengXian" w:cs="Times New Roman"/>
          <w:i/>
          <w:iCs/>
          <w:noProof/>
          <w:lang w:eastAsia="zh-CN"/>
        </w:rPr>
        <w:t>92</w:t>
      </w:r>
      <w:r w:rsidRPr="002414E9">
        <w:rPr>
          <w:rFonts w:eastAsia="DengXian" w:cs="Times New Roman"/>
          <w:noProof/>
          <w:lang w:eastAsia="zh-CN"/>
        </w:rPr>
        <w:t>, 106–121. https://doi.org/10.1016/j.geb.2015.05.007</w:t>
      </w:r>
    </w:p>
    <w:p w14:paraId="353BF879" w14:textId="489F985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Tan, L., &amp; Wei, L. (2014). Voluntary Contribution mechanism played over an infinite horizon. </w:t>
      </w:r>
      <w:r w:rsidRPr="002414E9">
        <w:rPr>
          <w:rFonts w:eastAsia="DengXian" w:cs="Times New Roman"/>
          <w:i/>
          <w:iCs/>
          <w:noProof/>
          <w:lang w:eastAsia="zh-CN"/>
        </w:rPr>
        <w:t>Pacific Economic Review</w:t>
      </w:r>
      <w:r w:rsidRPr="002414E9">
        <w:rPr>
          <w:rFonts w:eastAsia="DengXian" w:cs="Times New Roman"/>
          <w:noProof/>
          <w:lang w:eastAsia="zh-CN"/>
        </w:rPr>
        <w:t xml:space="preserve">, </w:t>
      </w:r>
      <w:r w:rsidRPr="002414E9">
        <w:rPr>
          <w:rFonts w:eastAsia="DengXian" w:cs="Times New Roman"/>
          <w:i/>
          <w:iCs/>
          <w:noProof/>
          <w:lang w:eastAsia="zh-CN"/>
        </w:rPr>
        <w:t>19</w:t>
      </w:r>
      <w:r w:rsidRPr="002414E9">
        <w:rPr>
          <w:rFonts w:eastAsia="DengXian" w:cs="Times New Roman"/>
          <w:noProof/>
          <w:lang w:eastAsia="zh-CN"/>
        </w:rPr>
        <w:t>(3), 313–331. https://doi.org/10.1111/1468-0106.12068</w:t>
      </w:r>
    </w:p>
    <w:p w14:paraId="58B7FB85" w14:textId="2DA3E4E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Tanghe, J., Wisse, B., &amp; Van der Flier, H. (2009). </w:t>
      </w:r>
      <w:r w:rsidRPr="002414E9">
        <w:rPr>
          <w:rFonts w:eastAsia="DengXian" w:cs="Times New Roman"/>
          <w:noProof/>
          <w:lang w:eastAsia="zh-CN"/>
        </w:rPr>
        <w:t xml:space="preserve">The role of group member affect in the relationship between trust and cooperation. </w:t>
      </w:r>
      <w:r w:rsidRPr="002414E9">
        <w:rPr>
          <w:rFonts w:eastAsia="DengXian" w:cs="Times New Roman"/>
          <w:i/>
          <w:iCs/>
          <w:noProof/>
          <w:lang w:eastAsia="zh-CN"/>
        </w:rPr>
        <w:t>British Journal of Management, 21</w:t>
      </w:r>
      <w:r w:rsidRPr="002414E9">
        <w:rPr>
          <w:rFonts w:eastAsia="DengXian" w:cs="Times New Roman"/>
          <w:noProof/>
          <w:lang w:eastAsia="zh-CN"/>
        </w:rPr>
        <w:t>(2), 359–374. https://doi.org/10.1111/j.1467-8551.2009.00643.x</w:t>
      </w:r>
    </w:p>
    <w:p w14:paraId="2538F4AF" w14:textId="0391143D" w:rsidR="002414E9" w:rsidRPr="002414E9" w:rsidRDefault="002414E9" w:rsidP="002414E9">
      <w:pPr>
        <w:widowControl w:val="0"/>
        <w:autoSpaceDE w:val="0"/>
        <w:autoSpaceDN w:val="0"/>
        <w:adjustRightInd w:val="0"/>
        <w:ind w:left="709" w:hanging="709"/>
        <w:rPr>
          <w:rFonts w:eastAsia="DengXian" w:cs="Times New Roman"/>
          <w:noProof/>
          <w:lang w:val="nl-NL" w:eastAsia="zh-CN"/>
        </w:rPr>
      </w:pPr>
      <w:r w:rsidRPr="002414E9">
        <w:rPr>
          <w:rFonts w:eastAsia="DengXian" w:cs="Times New Roman"/>
          <w:noProof/>
          <w:lang w:eastAsia="zh-CN"/>
        </w:rPr>
        <w:t xml:space="preserve">Tantai, X. (2017). </w:t>
      </w:r>
      <w:r w:rsidRPr="002414E9">
        <w:rPr>
          <w:rFonts w:eastAsia="DengXian" w:cs="Times New Roman"/>
          <w:i/>
          <w:iCs/>
          <w:noProof/>
          <w:lang w:eastAsia="zh-CN"/>
        </w:rPr>
        <w:t>Ziwo sunhao yu shehui jiazhi quxiang dui hezuo xingwei de yingxiang</w:t>
      </w:r>
      <w:r w:rsidRPr="002414E9">
        <w:rPr>
          <w:rFonts w:eastAsia="DengXian" w:cs="Times New Roman"/>
          <w:noProof/>
          <w:lang w:eastAsia="zh-CN"/>
        </w:rPr>
        <w:t xml:space="preserve"> [</w:t>
      </w:r>
      <w:r w:rsidRPr="002414E9">
        <w:rPr>
          <w:rFonts w:eastAsia="DengXian" w:cs="Times New Roman" w:hint="eastAsia"/>
          <w:noProof/>
          <w:lang w:eastAsia="zh-CN"/>
        </w:rPr>
        <w:t xml:space="preserve">An </w:t>
      </w:r>
      <w:r w:rsidRPr="002414E9">
        <w:rPr>
          <w:rFonts w:eastAsia="DengXian" w:cs="Times New Roman"/>
          <w:noProof/>
          <w:lang w:eastAsia="zh-CN"/>
        </w:rPr>
        <w:t>e</w:t>
      </w:r>
      <w:r w:rsidRPr="002414E9">
        <w:rPr>
          <w:rFonts w:eastAsia="DengXian" w:cs="Times New Roman" w:hint="eastAsia"/>
          <w:noProof/>
          <w:lang w:eastAsia="zh-CN"/>
        </w:rPr>
        <w:t xml:space="preserve">xperiment </w:t>
      </w:r>
      <w:r w:rsidRPr="002414E9">
        <w:rPr>
          <w:rFonts w:eastAsia="DengXian" w:cs="Times New Roman"/>
          <w:noProof/>
          <w:lang w:eastAsia="zh-CN"/>
        </w:rPr>
        <w:t>s</w:t>
      </w:r>
      <w:r w:rsidRPr="002414E9">
        <w:rPr>
          <w:rFonts w:eastAsia="DengXian" w:cs="Times New Roman" w:hint="eastAsia"/>
          <w:noProof/>
          <w:lang w:eastAsia="zh-CN"/>
        </w:rPr>
        <w:t xml:space="preserve">tudy of the </w:t>
      </w:r>
      <w:r w:rsidRPr="002414E9">
        <w:rPr>
          <w:rFonts w:eastAsia="DengXian" w:cs="Times New Roman"/>
          <w:noProof/>
          <w:lang w:eastAsia="zh-CN"/>
        </w:rPr>
        <w:t>e</w:t>
      </w:r>
      <w:r w:rsidRPr="002414E9">
        <w:rPr>
          <w:rFonts w:eastAsia="DengXian" w:cs="Times New Roman" w:hint="eastAsia"/>
          <w:noProof/>
          <w:lang w:eastAsia="zh-CN"/>
        </w:rPr>
        <w:t xml:space="preserve">ffect of </w:t>
      </w:r>
      <w:r w:rsidRPr="002414E9">
        <w:rPr>
          <w:rFonts w:eastAsia="DengXian" w:cs="Times New Roman"/>
          <w:noProof/>
          <w:lang w:eastAsia="zh-CN"/>
        </w:rPr>
        <w:t>e</w:t>
      </w:r>
      <w:r w:rsidRPr="002414E9">
        <w:rPr>
          <w:rFonts w:eastAsia="DengXian" w:cs="Times New Roman" w:hint="eastAsia"/>
          <w:noProof/>
          <w:lang w:eastAsia="zh-CN"/>
        </w:rPr>
        <w:t xml:space="preserve">go </w:t>
      </w:r>
      <w:r w:rsidRPr="002414E9">
        <w:rPr>
          <w:rFonts w:eastAsia="DengXian" w:cs="Times New Roman"/>
          <w:noProof/>
          <w:lang w:eastAsia="zh-CN"/>
        </w:rPr>
        <w:t>d</w:t>
      </w:r>
      <w:r w:rsidRPr="002414E9">
        <w:rPr>
          <w:rFonts w:eastAsia="DengXian" w:cs="Times New Roman" w:hint="eastAsia"/>
          <w:noProof/>
          <w:lang w:eastAsia="zh-CN"/>
        </w:rPr>
        <w:t xml:space="preserve">epletion and </w:t>
      </w:r>
      <w:r w:rsidRPr="002414E9">
        <w:rPr>
          <w:rFonts w:eastAsia="DengXian" w:cs="Times New Roman"/>
          <w:noProof/>
          <w:lang w:eastAsia="zh-CN"/>
        </w:rPr>
        <w:t>s</w:t>
      </w:r>
      <w:r w:rsidRPr="002414E9">
        <w:rPr>
          <w:rFonts w:eastAsia="DengXian" w:cs="Times New Roman" w:hint="eastAsia"/>
          <w:noProof/>
          <w:lang w:eastAsia="zh-CN"/>
        </w:rPr>
        <w:t xml:space="preserve">ocial </w:t>
      </w:r>
      <w:r w:rsidRPr="002414E9">
        <w:rPr>
          <w:rFonts w:eastAsia="DengXian" w:cs="Times New Roman"/>
          <w:noProof/>
          <w:lang w:eastAsia="zh-CN"/>
        </w:rPr>
        <w:t>v</w:t>
      </w:r>
      <w:r w:rsidRPr="002414E9">
        <w:rPr>
          <w:rFonts w:eastAsia="DengXian" w:cs="Times New Roman" w:hint="eastAsia"/>
          <w:noProof/>
          <w:lang w:eastAsia="zh-CN"/>
        </w:rPr>
        <w:t xml:space="preserve">alue </w:t>
      </w:r>
      <w:r w:rsidRPr="002414E9">
        <w:rPr>
          <w:rFonts w:eastAsia="DengXian" w:cs="Times New Roman"/>
          <w:noProof/>
          <w:lang w:eastAsia="zh-CN"/>
        </w:rPr>
        <w:t>o</w:t>
      </w:r>
      <w:r w:rsidRPr="002414E9">
        <w:rPr>
          <w:rFonts w:eastAsia="DengXian" w:cs="Times New Roman" w:hint="eastAsia"/>
          <w:noProof/>
          <w:lang w:eastAsia="zh-CN"/>
        </w:rPr>
        <w:t xml:space="preserve">rientation on </w:t>
      </w:r>
      <w:r w:rsidRPr="002414E9">
        <w:rPr>
          <w:rFonts w:eastAsia="DengXian" w:cs="Times New Roman"/>
          <w:noProof/>
          <w:lang w:eastAsia="zh-CN"/>
        </w:rPr>
        <w:t>c</w:t>
      </w:r>
      <w:r w:rsidRPr="002414E9">
        <w:rPr>
          <w:rFonts w:eastAsia="DengXian" w:cs="Times New Roman" w:hint="eastAsia"/>
          <w:noProof/>
          <w:lang w:eastAsia="zh-CN"/>
        </w:rPr>
        <w:t xml:space="preserve">ooperation </w:t>
      </w:r>
      <w:r w:rsidRPr="002414E9">
        <w:rPr>
          <w:rFonts w:eastAsia="DengXian" w:cs="Times New Roman"/>
          <w:noProof/>
          <w:lang w:eastAsia="zh-CN"/>
        </w:rPr>
        <w:t>b</w:t>
      </w:r>
      <w:r w:rsidRPr="002414E9">
        <w:rPr>
          <w:rFonts w:eastAsia="DengXian" w:cs="Times New Roman" w:hint="eastAsia"/>
          <w:noProof/>
          <w:lang w:eastAsia="zh-CN"/>
        </w:rPr>
        <w:t>ehavior</w:t>
      </w:r>
      <w:r w:rsidRPr="002414E9">
        <w:rPr>
          <w:rFonts w:eastAsia="DengXian" w:cs="Times New Roman"/>
          <w:noProof/>
          <w:lang w:eastAsia="zh-CN"/>
        </w:rPr>
        <w:t xml:space="preserve">] [Master's thesis, Tianjin shifan daxue]. </w:t>
      </w:r>
      <w:r w:rsidRPr="002414E9">
        <w:rPr>
          <w:rFonts w:eastAsia="DengXian" w:cs="Times New Roman"/>
          <w:noProof/>
          <w:lang w:val="nl-NL" w:eastAsia="zh-CN"/>
        </w:rPr>
        <w:t>CNKI Theses and Dissertations Database.</w:t>
      </w:r>
    </w:p>
    <w:p w14:paraId="150FAF79" w14:textId="6FC222F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Tazelaar, M. J. A., Van Lange, P. A. M., &amp; Ouwerkerk, J. W. (2004). </w:t>
      </w:r>
      <w:r w:rsidRPr="002414E9">
        <w:rPr>
          <w:rFonts w:eastAsia="DengXian" w:cs="Times New Roman"/>
          <w:noProof/>
          <w:lang w:eastAsia="zh-CN"/>
        </w:rPr>
        <w:t xml:space="preserve">How to cope with “noise” in social dilemmas: The benefits of communication. </w:t>
      </w:r>
      <w:r w:rsidRPr="002414E9">
        <w:rPr>
          <w:rFonts w:eastAsia="DengXian" w:cs="Times New Roman"/>
          <w:i/>
          <w:iCs/>
          <w:noProof/>
          <w:lang w:eastAsia="zh-CN"/>
        </w:rPr>
        <w:t>Journal of Personality and Social Psychology</w:t>
      </w:r>
      <w:r w:rsidRPr="002414E9">
        <w:rPr>
          <w:rFonts w:eastAsia="DengXian" w:cs="Times New Roman"/>
          <w:noProof/>
          <w:lang w:eastAsia="zh-CN"/>
        </w:rPr>
        <w:t xml:space="preserve">, </w:t>
      </w:r>
      <w:r w:rsidRPr="002414E9">
        <w:rPr>
          <w:rFonts w:eastAsia="DengXian" w:cs="Times New Roman"/>
          <w:i/>
          <w:iCs/>
          <w:noProof/>
          <w:lang w:eastAsia="zh-CN"/>
        </w:rPr>
        <w:t>87</w:t>
      </w:r>
      <w:r w:rsidRPr="002414E9">
        <w:rPr>
          <w:rFonts w:eastAsia="DengXian" w:cs="Times New Roman"/>
          <w:noProof/>
          <w:lang w:eastAsia="zh-CN"/>
        </w:rPr>
        <w:t>(6), 845–859. https://doi.org/10.1037/0022-3514.87.6.845</w:t>
      </w:r>
    </w:p>
    <w:p w14:paraId="15CB7CE4" w14:textId="05C4C137"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it-IT" w:eastAsia="zh-CN"/>
        </w:rPr>
        <w:t xml:space="preserve">Tedeschi, J. T., Aranoff, D., &amp; Gahagan, J. P. (1968). </w:t>
      </w:r>
      <w:r w:rsidRPr="002414E9">
        <w:rPr>
          <w:rFonts w:eastAsia="DengXian" w:cs="Times New Roman"/>
          <w:bCs/>
          <w:noProof/>
          <w:lang w:eastAsia="zh-CN"/>
        </w:rPr>
        <w:t xml:space="preserve">Discrimination of outcomes in a prisoner’s dilemma game. </w:t>
      </w:r>
      <w:r w:rsidRPr="002414E9">
        <w:rPr>
          <w:rFonts w:eastAsia="DengXian" w:cs="Times New Roman"/>
          <w:bCs/>
          <w:i/>
          <w:iCs/>
          <w:noProof/>
          <w:lang w:eastAsia="zh-CN"/>
        </w:rPr>
        <w:t>Psychonomic Science</w:t>
      </w:r>
      <w:r w:rsidRPr="002414E9">
        <w:rPr>
          <w:rFonts w:eastAsia="DengXian" w:cs="Times New Roman"/>
          <w:bCs/>
          <w:noProof/>
          <w:lang w:eastAsia="zh-CN"/>
        </w:rPr>
        <w:t xml:space="preserve">, </w:t>
      </w:r>
      <w:r w:rsidRPr="002414E9">
        <w:rPr>
          <w:rFonts w:eastAsia="DengXian" w:cs="Times New Roman"/>
          <w:bCs/>
          <w:i/>
          <w:iCs/>
          <w:noProof/>
          <w:lang w:eastAsia="zh-CN"/>
        </w:rPr>
        <w:t>11</w:t>
      </w:r>
      <w:r w:rsidRPr="002414E9">
        <w:rPr>
          <w:rFonts w:eastAsia="DengXian" w:cs="Times New Roman"/>
          <w:bCs/>
          <w:noProof/>
          <w:lang w:eastAsia="zh-CN"/>
        </w:rPr>
        <w:t>(8), 301–302. https://doi.org/10.3758/BF03328202</w:t>
      </w:r>
    </w:p>
    <w:p w14:paraId="3A82F8B1" w14:textId="68352023"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it-IT" w:eastAsia="zh-CN"/>
        </w:rPr>
        <w:t xml:space="preserve">Tedeschi, J. T., Gahagan, J. P., Aranoff, D., &amp; Steele, M. W. (1968). </w:t>
      </w:r>
      <w:r w:rsidRPr="002414E9">
        <w:rPr>
          <w:rFonts w:eastAsia="DengXian" w:cs="Times New Roman"/>
          <w:bCs/>
          <w:noProof/>
          <w:lang w:eastAsia="zh-CN"/>
        </w:rPr>
        <w:t xml:space="preserve">Realism and optimism in the Prisoner's Dilemma Game. </w:t>
      </w:r>
      <w:r w:rsidRPr="002414E9">
        <w:rPr>
          <w:rFonts w:eastAsia="DengXian" w:cs="Times New Roman"/>
          <w:bCs/>
          <w:i/>
          <w:iCs/>
          <w:noProof/>
          <w:lang w:eastAsia="zh-CN"/>
        </w:rPr>
        <w:t>The Journal of Social Psychology</w:t>
      </w:r>
      <w:r w:rsidRPr="002414E9">
        <w:rPr>
          <w:rFonts w:eastAsia="DengXian" w:cs="Times New Roman"/>
          <w:bCs/>
          <w:noProof/>
          <w:lang w:eastAsia="zh-CN"/>
        </w:rPr>
        <w:t xml:space="preserve">, </w:t>
      </w:r>
      <w:r w:rsidRPr="002414E9">
        <w:rPr>
          <w:rFonts w:eastAsia="DengXian" w:cs="Times New Roman"/>
          <w:bCs/>
          <w:i/>
          <w:iCs/>
          <w:noProof/>
          <w:lang w:eastAsia="zh-CN"/>
        </w:rPr>
        <w:t>75</w:t>
      </w:r>
      <w:r w:rsidRPr="002414E9">
        <w:rPr>
          <w:rFonts w:eastAsia="DengXian" w:cs="Times New Roman"/>
          <w:bCs/>
          <w:noProof/>
          <w:lang w:eastAsia="zh-CN"/>
        </w:rPr>
        <w:t>(2), 191–197. https://doi.org/10.1080/00224545.1968.9712493</w:t>
      </w:r>
    </w:p>
    <w:p w14:paraId="4D8B6B2D" w14:textId="591ED1A7"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it-IT" w:eastAsia="zh-CN"/>
        </w:rPr>
        <w:lastRenderedPageBreak/>
        <w:t xml:space="preserve">Tedeschi, J. T., Hiester, D. S., Lesnick, S., &amp; Gahagan, J. P. (1968). </w:t>
      </w:r>
      <w:r w:rsidRPr="002414E9">
        <w:rPr>
          <w:rFonts w:eastAsia="DengXian" w:cs="Times New Roman"/>
          <w:bCs/>
          <w:noProof/>
          <w:lang w:eastAsia="zh-CN"/>
        </w:rPr>
        <w:t xml:space="preserve">Start effect and response bias in the prisoner’s dilemma game. </w:t>
      </w:r>
      <w:r w:rsidRPr="002414E9">
        <w:rPr>
          <w:rFonts w:eastAsia="DengXian" w:cs="Times New Roman"/>
          <w:bCs/>
          <w:i/>
          <w:iCs/>
          <w:noProof/>
          <w:lang w:eastAsia="zh-CN"/>
        </w:rPr>
        <w:t>Psychonomic Science</w:t>
      </w:r>
      <w:r w:rsidRPr="002414E9">
        <w:rPr>
          <w:rFonts w:eastAsia="DengXian" w:cs="Times New Roman"/>
          <w:bCs/>
          <w:noProof/>
          <w:lang w:eastAsia="zh-CN"/>
        </w:rPr>
        <w:t xml:space="preserve">, </w:t>
      </w:r>
      <w:r w:rsidRPr="002414E9">
        <w:rPr>
          <w:rFonts w:eastAsia="DengXian" w:cs="Times New Roman"/>
          <w:bCs/>
          <w:i/>
          <w:iCs/>
          <w:noProof/>
          <w:lang w:eastAsia="zh-CN"/>
        </w:rPr>
        <w:t>11</w:t>
      </w:r>
      <w:r w:rsidRPr="002414E9">
        <w:rPr>
          <w:rFonts w:eastAsia="DengXian" w:cs="Times New Roman"/>
          <w:bCs/>
          <w:noProof/>
          <w:lang w:eastAsia="zh-CN"/>
        </w:rPr>
        <w:t>(4), 149–150. https://doi.org/10.3758/BF03331018</w:t>
      </w:r>
    </w:p>
    <w:p w14:paraId="789B851F" w14:textId="0E5DE5F0"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it-IT" w:eastAsia="zh-CN"/>
        </w:rPr>
        <w:t xml:space="preserve">Tedeschi, J. T., Lindskold, S., Horai, J., &amp; Gahagan, J. P. (1969). </w:t>
      </w:r>
      <w:r w:rsidRPr="002414E9">
        <w:rPr>
          <w:rFonts w:eastAsia="DengXian" w:cs="Times New Roman"/>
          <w:bCs/>
          <w:noProof/>
          <w:lang w:eastAsia="zh-CN"/>
        </w:rPr>
        <w:t xml:space="preserve">Social power and the credibility of promises. </w:t>
      </w:r>
      <w:r w:rsidRPr="002414E9">
        <w:rPr>
          <w:rFonts w:eastAsia="DengXian" w:cs="Times New Roman"/>
          <w:bCs/>
          <w:i/>
          <w:iCs/>
          <w:noProof/>
          <w:lang w:eastAsia="zh-CN"/>
        </w:rPr>
        <w:t>Journal of Personality and Social Psychology, 13</w:t>
      </w:r>
      <w:r w:rsidRPr="002414E9">
        <w:rPr>
          <w:rFonts w:eastAsia="DengXian" w:cs="Times New Roman"/>
          <w:bCs/>
          <w:noProof/>
          <w:lang w:eastAsia="zh-CN"/>
        </w:rPr>
        <w:t>(3), 253</w:t>
      </w:r>
      <w:bookmarkStart w:id="115" w:name="_Hlk54086288"/>
      <w:r w:rsidRPr="002414E9">
        <w:rPr>
          <w:rFonts w:eastAsia="DengXian" w:cs="Times New Roman"/>
          <w:bCs/>
          <w:noProof/>
          <w:lang w:eastAsia="zh-CN"/>
        </w:rPr>
        <w:t>–</w:t>
      </w:r>
      <w:bookmarkEnd w:id="115"/>
      <w:r w:rsidRPr="002414E9">
        <w:rPr>
          <w:rFonts w:eastAsia="DengXian" w:cs="Times New Roman"/>
          <w:bCs/>
          <w:noProof/>
          <w:lang w:eastAsia="zh-CN"/>
        </w:rPr>
        <w:t>261. https://doi.org/10.1037/h0028281</w:t>
      </w:r>
    </w:p>
    <w:p w14:paraId="014EE60F" w14:textId="434ADBBD"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it-IT" w:eastAsia="zh-CN"/>
        </w:rPr>
        <w:t xml:space="preserve">Tedeschi, J. T., Riordan, C. A., Gaes, G. G., &amp; Kane, T. (1983). </w:t>
      </w:r>
      <w:r w:rsidRPr="002414E9">
        <w:rPr>
          <w:rFonts w:eastAsia="DengXian" w:cs="Times New Roman"/>
          <w:bCs/>
          <w:noProof/>
          <w:lang w:eastAsia="zh-CN"/>
        </w:rPr>
        <w:t xml:space="preserve">Verbal accounts and attributions of social motives. </w:t>
      </w:r>
      <w:r w:rsidRPr="002414E9">
        <w:rPr>
          <w:rFonts w:eastAsia="DengXian" w:cs="Times New Roman"/>
          <w:bCs/>
          <w:i/>
          <w:iCs/>
          <w:noProof/>
          <w:lang w:eastAsia="zh-CN"/>
        </w:rPr>
        <w:t>Journal of Research in Personality</w:t>
      </w:r>
      <w:r w:rsidRPr="002414E9">
        <w:rPr>
          <w:rFonts w:eastAsia="DengXian" w:cs="Times New Roman"/>
          <w:bCs/>
          <w:noProof/>
          <w:lang w:eastAsia="zh-CN"/>
        </w:rPr>
        <w:t xml:space="preserve">, </w:t>
      </w:r>
      <w:r w:rsidRPr="002414E9">
        <w:rPr>
          <w:rFonts w:eastAsia="DengXian" w:cs="Times New Roman"/>
          <w:bCs/>
          <w:i/>
          <w:iCs/>
          <w:noProof/>
          <w:lang w:eastAsia="zh-CN"/>
        </w:rPr>
        <w:t>17</w:t>
      </w:r>
      <w:r w:rsidRPr="002414E9">
        <w:rPr>
          <w:rFonts w:eastAsia="DengXian" w:cs="Times New Roman"/>
          <w:bCs/>
          <w:noProof/>
          <w:lang w:eastAsia="zh-CN"/>
        </w:rPr>
        <w:t xml:space="preserve">(2), 218–225. </w:t>
      </w:r>
      <w:bookmarkStart w:id="116" w:name="_Hlk54106701"/>
      <w:r w:rsidRPr="002414E9">
        <w:rPr>
          <w:rFonts w:eastAsia="DengXian" w:cs="Times New Roman"/>
          <w:bCs/>
          <w:noProof/>
          <w:lang w:eastAsia="zh-CN"/>
        </w:rPr>
        <w:t>https://doi.org/</w:t>
      </w:r>
      <w:bookmarkEnd w:id="116"/>
      <w:r w:rsidRPr="002414E9">
        <w:rPr>
          <w:rFonts w:eastAsia="DengXian" w:cs="Times New Roman"/>
          <w:bCs/>
          <w:noProof/>
          <w:lang w:eastAsia="zh-CN"/>
        </w:rPr>
        <w:t>10.1016/0092-6566(83)90032-6</w:t>
      </w:r>
    </w:p>
    <w:p w14:paraId="4ADC8139" w14:textId="29DCBA4D"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Tedeschi, J. T., Schlenker, B. R., &amp; Bonoma, T. V. (1975). </w:t>
      </w:r>
      <w:r w:rsidRPr="002414E9">
        <w:rPr>
          <w:rFonts w:eastAsia="DengXian" w:cs="Times New Roman"/>
          <w:bCs/>
          <w:noProof/>
          <w:lang w:eastAsia="zh-CN"/>
        </w:rPr>
        <w:t xml:space="preserve">Compliance to threats as a function of source attractiveness and esteem. </w:t>
      </w:r>
      <w:r w:rsidRPr="002414E9">
        <w:rPr>
          <w:rFonts w:eastAsia="DengXian" w:cs="Times New Roman"/>
          <w:bCs/>
          <w:i/>
          <w:iCs/>
          <w:noProof/>
          <w:lang w:eastAsia="zh-CN"/>
        </w:rPr>
        <w:t>Sociometry</w:t>
      </w:r>
      <w:r w:rsidRPr="002414E9">
        <w:rPr>
          <w:rFonts w:eastAsia="DengXian" w:cs="Times New Roman"/>
          <w:bCs/>
          <w:noProof/>
          <w:lang w:eastAsia="zh-CN"/>
        </w:rPr>
        <w:t xml:space="preserve">, </w:t>
      </w:r>
      <w:r w:rsidRPr="002414E9">
        <w:rPr>
          <w:rFonts w:eastAsia="DengXian" w:cs="Times New Roman"/>
          <w:bCs/>
          <w:i/>
          <w:iCs/>
          <w:noProof/>
          <w:lang w:eastAsia="zh-CN"/>
        </w:rPr>
        <w:t>38</w:t>
      </w:r>
      <w:r w:rsidRPr="002414E9">
        <w:rPr>
          <w:rFonts w:eastAsia="DengXian" w:cs="Times New Roman"/>
          <w:bCs/>
          <w:noProof/>
          <w:lang w:eastAsia="zh-CN"/>
        </w:rPr>
        <w:t>(1), 81–98. https://doi.org/10.2307/2786234</w:t>
      </w:r>
    </w:p>
    <w:p w14:paraId="08565542" w14:textId="13E3F13E"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it-IT" w:eastAsia="zh-CN"/>
        </w:rPr>
        <w:t xml:space="preserve">Tedesco, J. F., &amp; Fromme, D. K. (1974). </w:t>
      </w:r>
      <w:r w:rsidRPr="002414E9">
        <w:rPr>
          <w:rFonts w:eastAsia="DengXian" w:cs="Times New Roman"/>
          <w:bCs/>
          <w:noProof/>
          <w:lang w:eastAsia="zh-CN"/>
        </w:rPr>
        <w:t xml:space="preserve">Cooperation, competition and personal space. </w:t>
      </w:r>
      <w:r w:rsidRPr="002414E9">
        <w:rPr>
          <w:rFonts w:eastAsia="DengXian" w:cs="Times New Roman"/>
          <w:bCs/>
          <w:i/>
          <w:iCs/>
          <w:noProof/>
          <w:lang w:eastAsia="zh-CN"/>
        </w:rPr>
        <w:t>Sociometry</w:t>
      </w:r>
      <w:r w:rsidRPr="002414E9">
        <w:rPr>
          <w:rFonts w:eastAsia="DengXian" w:cs="Times New Roman"/>
          <w:bCs/>
          <w:noProof/>
          <w:lang w:eastAsia="zh-CN"/>
        </w:rPr>
        <w:t xml:space="preserve">, </w:t>
      </w:r>
      <w:r w:rsidRPr="002414E9">
        <w:rPr>
          <w:rFonts w:eastAsia="DengXian" w:cs="Times New Roman"/>
          <w:bCs/>
          <w:i/>
          <w:iCs/>
          <w:noProof/>
          <w:lang w:eastAsia="zh-CN"/>
        </w:rPr>
        <w:t>32</w:t>
      </w:r>
      <w:r w:rsidRPr="002414E9">
        <w:rPr>
          <w:rFonts w:eastAsia="DengXian" w:cs="Times New Roman"/>
          <w:bCs/>
          <w:noProof/>
          <w:lang w:eastAsia="zh-CN"/>
        </w:rPr>
        <w:t>(1), 116–121.</w:t>
      </w:r>
      <w:bookmarkStart w:id="117" w:name="_Hlk54111515"/>
      <w:r w:rsidRPr="002414E9">
        <w:rPr>
          <w:rFonts w:eastAsia="DengXian" w:cs="Times New Roman"/>
          <w:bCs/>
          <w:noProof/>
          <w:lang w:eastAsia="zh-CN"/>
        </w:rPr>
        <w:t xml:space="preserve"> </w:t>
      </w:r>
      <w:bookmarkEnd w:id="117"/>
      <w:r w:rsidRPr="002414E9">
        <w:rPr>
          <w:rFonts w:eastAsia="DengXian" w:cs="Times New Roman"/>
          <w:bCs/>
          <w:noProof/>
          <w:lang w:eastAsia="zh-CN"/>
        </w:rPr>
        <w:t>https://doi.org/10.2307/2786471</w:t>
      </w:r>
    </w:p>
    <w:p w14:paraId="731172FB" w14:textId="2AAAA620"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Tenbrunsel, A. E., &amp; Messick, D. M. (1999). </w:t>
      </w:r>
      <w:r w:rsidRPr="002414E9">
        <w:rPr>
          <w:rFonts w:eastAsia="DengXian" w:cs="Times New Roman"/>
          <w:bCs/>
          <w:noProof/>
          <w:lang w:eastAsia="zh-CN"/>
        </w:rPr>
        <w:t xml:space="preserve">Sanctioning systems, decision frames, and cooperation. </w:t>
      </w:r>
      <w:r w:rsidRPr="002414E9">
        <w:rPr>
          <w:rFonts w:eastAsia="DengXian" w:cs="Times New Roman"/>
          <w:bCs/>
          <w:i/>
          <w:iCs/>
          <w:noProof/>
          <w:lang w:eastAsia="zh-CN"/>
        </w:rPr>
        <w:t>Administrative Science Quarterly</w:t>
      </w:r>
      <w:r w:rsidRPr="002414E9">
        <w:rPr>
          <w:rFonts w:eastAsia="DengXian" w:cs="Times New Roman"/>
          <w:bCs/>
          <w:noProof/>
          <w:lang w:eastAsia="zh-CN"/>
        </w:rPr>
        <w:t xml:space="preserve">, </w:t>
      </w:r>
      <w:r w:rsidRPr="002414E9">
        <w:rPr>
          <w:rFonts w:eastAsia="DengXian" w:cs="Times New Roman"/>
          <w:bCs/>
          <w:i/>
          <w:iCs/>
          <w:noProof/>
          <w:lang w:eastAsia="zh-CN"/>
        </w:rPr>
        <w:t>44</w:t>
      </w:r>
      <w:r w:rsidRPr="002414E9">
        <w:rPr>
          <w:rFonts w:eastAsia="DengXian" w:cs="Times New Roman"/>
          <w:bCs/>
          <w:noProof/>
          <w:lang w:eastAsia="zh-CN"/>
        </w:rPr>
        <w:t>(4), 684–707. https://doi.org/10.2307/2667052</w:t>
      </w:r>
    </w:p>
    <w:p w14:paraId="7F74F540" w14:textId="6FB3E1DA" w:rsidR="002414E9" w:rsidRPr="002414E9" w:rsidRDefault="002414E9" w:rsidP="002414E9">
      <w:pPr>
        <w:widowControl w:val="0"/>
        <w:autoSpaceDE w:val="0"/>
        <w:autoSpaceDN w:val="0"/>
        <w:adjustRightInd w:val="0"/>
        <w:ind w:left="709" w:hanging="709"/>
        <w:rPr>
          <w:rFonts w:eastAsia="DengXian" w:cs="Times New Roman"/>
          <w:noProof/>
          <w:lang w:eastAsia="zh-CN"/>
        </w:rPr>
      </w:pPr>
      <w:bookmarkStart w:id="118" w:name="_Hlk73020829"/>
      <w:r w:rsidRPr="002414E9">
        <w:rPr>
          <w:rFonts w:eastAsia="DengXian" w:cs="Times New Roman"/>
          <w:noProof/>
          <w:lang w:eastAsia="zh-CN"/>
        </w:rPr>
        <w:t xml:space="preserve">Teng, X. (2014). </w:t>
      </w:r>
      <w:r w:rsidRPr="002414E9">
        <w:rPr>
          <w:rFonts w:eastAsia="DengXian" w:cs="Times New Roman"/>
          <w:i/>
          <w:iCs/>
          <w:noProof/>
          <w:lang w:eastAsia="zh-CN"/>
        </w:rPr>
        <w:t>Yilian ji xinren dui hezuo xingwei de yingxiang</w:t>
      </w:r>
      <w:r w:rsidRPr="002414E9">
        <w:rPr>
          <w:rFonts w:eastAsia="DengXian" w:cs="Times New Roman"/>
          <w:noProof/>
          <w:lang w:eastAsia="zh-CN"/>
        </w:rPr>
        <w:t xml:space="preserve"> [The effects of attachment and trust on cooperation] [Master's thesis, Zhejiang ligong daxue]. CNKI Theses and Dissertations Database.</w:t>
      </w:r>
      <w:bookmarkEnd w:id="118"/>
    </w:p>
    <w:p w14:paraId="44F19202" w14:textId="62EC6C4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Terashima, K. (2015). Tasha mondai kaiketsu no chien yōin to shiteno seitōsei: Jikken teki shuhō ni yoru kentō [Legitimacy delays solving “the problem of others”: An experimental approach]. </w:t>
      </w:r>
      <w:r w:rsidRPr="002414E9">
        <w:rPr>
          <w:rFonts w:eastAsia="DengXian" w:cs="Times New Roman"/>
          <w:i/>
          <w:iCs/>
          <w:noProof/>
          <w:lang w:eastAsia="zh-CN"/>
        </w:rPr>
        <w:t>Annual Review of the Institute for Advanced Social Research</w:t>
      </w:r>
      <w:r w:rsidRPr="002414E9">
        <w:rPr>
          <w:rFonts w:eastAsia="DengXian" w:cs="Times New Roman"/>
          <w:noProof/>
          <w:lang w:eastAsia="zh-CN"/>
        </w:rPr>
        <w:t xml:space="preserve">, </w:t>
      </w:r>
      <w:r w:rsidRPr="002414E9">
        <w:rPr>
          <w:rFonts w:eastAsia="DengXian" w:cs="Times New Roman"/>
          <w:i/>
          <w:iCs/>
          <w:noProof/>
          <w:lang w:eastAsia="zh-CN"/>
        </w:rPr>
        <w:t>12</w:t>
      </w:r>
      <w:r w:rsidRPr="002414E9">
        <w:rPr>
          <w:rFonts w:eastAsia="DengXian" w:cs="Times New Roman"/>
          <w:noProof/>
          <w:lang w:eastAsia="zh-CN"/>
        </w:rPr>
        <w:t xml:space="preserve">, 61–68. </w:t>
      </w:r>
      <w:r w:rsidRPr="002414E9">
        <w:rPr>
          <w:rFonts w:eastAsia="DengXian" w:cs="Times New Roman"/>
          <w:noProof/>
          <w:lang w:eastAsia="zh-CN"/>
        </w:rPr>
        <w:lastRenderedPageBreak/>
        <w:t>https://doi.org/10.32214/iasr.12.0_61</w:t>
      </w:r>
    </w:p>
    <w:p w14:paraId="027B3703" w14:textId="23035C1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Teyssier, S. (2012). Inequity and risk aversion in sequential public good games. </w:t>
      </w:r>
      <w:r w:rsidRPr="002414E9">
        <w:rPr>
          <w:rFonts w:eastAsia="DengXian" w:cs="Times New Roman"/>
          <w:i/>
          <w:iCs/>
          <w:noProof/>
          <w:lang w:eastAsia="zh-CN"/>
        </w:rPr>
        <w:t>Public Choice</w:t>
      </w:r>
      <w:r w:rsidRPr="002414E9">
        <w:rPr>
          <w:rFonts w:eastAsia="DengXian" w:cs="Times New Roman"/>
          <w:noProof/>
          <w:lang w:eastAsia="zh-CN"/>
        </w:rPr>
        <w:t xml:space="preserve">, </w:t>
      </w:r>
      <w:r w:rsidRPr="002414E9">
        <w:rPr>
          <w:rFonts w:eastAsia="DengXian" w:cs="Times New Roman"/>
          <w:i/>
          <w:iCs/>
          <w:noProof/>
          <w:lang w:eastAsia="zh-CN"/>
        </w:rPr>
        <w:t>151</w:t>
      </w:r>
      <w:r w:rsidRPr="002414E9">
        <w:rPr>
          <w:rFonts w:eastAsia="DengXian" w:cs="Times New Roman"/>
          <w:noProof/>
          <w:lang w:eastAsia="zh-CN"/>
        </w:rPr>
        <w:t>(1–2), 91–119. https://doi.org/10.1007/s11127-010-9735-1</w:t>
      </w:r>
    </w:p>
    <w:p w14:paraId="0FAC7EE0" w14:textId="386A496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Tognetti, A., Berticat, C., Raymond, M., &amp; Faurie, C. (2013). Is cooperativeness readable in static facial features? An inter-cultural approach. </w:t>
      </w:r>
      <w:r w:rsidRPr="002414E9">
        <w:rPr>
          <w:rFonts w:eastAsia="DengXian" w:cs="Times New Roman"/>
          <w:i/>
          <w:iCs/>
          <w:noProof/>
          <w:lang w:eastAsia="zh-CN"/>
        </w:rPr>
        <w:t>Evolution and Human Behavior</w:t>
      </w:r>
      <w:r w:rsidRPr="002414E9">
        <w:rPr>
          <w:rFonts w:eastAsia="DengXian" w:cs="Times New Roman"/>
          <w:noProof/>
          <w:lang w:eastAsia="zh-CN"/>
        </w:rPr>
        <w:t xml:space="preserve">, </w:t>
      </w:r>
      <w:r w:rsidRPr="002414E9">
        <w:rPr>
          <w:rFonts w:eastAsia="DengXian" w:cs="Times New Roman"/>
          <w:i/>
          <w:iCs/>
          <w:noProof/>
          <w:lang w:eastAsia="zh-CN"/>
        </w:rPr>
        <w:t>34</w:t>
      </w:r>
      <w:r w:rsidRPr="002414E9">
        <w:rPr>
          <w:rFonts w:eastAsia="DengXian" w:cs="Times New Roman"/>
          <w:noProof/>
          <w:lang w:eastAsia="zh-CN"/>
        </w:rPr>
        <w:t>(6), 427–432. https://doi.org/10.1016/j.evolhumbehav.2013.08.002</w:t>
      </w:r>
    </w:p>
    <w:p w14:paraId="678C1E1B" w14:textId="608DC11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Tognetti, A., Dubois, D., Faurie, C., &amp; Willinger, M. (2016). Men increase contributions to a public good when under sexual competition. </w:t>
      </w:r>
      <w:r w:rsidRPr="002414E9">
        <w:rPr>
          <w:rFonts w:eastAsia="DengXian" w:cs="Times New Roman"/>
          <w:i/>
          <w:iCs/>
          <w:noProof/>
          <w:lang w:eastAsia="zh-CN"/>
        </w:rPr>
        <w:t>Scientific Reports</w:t>
      </w:r>
      <w:r w:rsidRPr="002414E9">
        <w:rPr>
          <w:rFonts w:eastAsia="DengXian" w:cs="Times New Roman"/>
          <w:noProof/>
          <w:lang w:eastAsia="zh-CN"/>
        </w:rPr>
        <w:t xml:space="preserve">, </w:t>
      </w:r>
      <w:r w:rsidRPr="002414E9">
        <w:rPr>
          <w:rFonts w:eastAsia="DengXian" w:cs="Times New Roman"/>
          <w:i/>
          <w:iCs/>
          <w:noProof/>
          <w:lang w:eastAsia="zh-CN"/>
        </w:rPr>
        <w:t>6</w:t>
      </w:r>
      <w:r w:rsidRPr="002414E9">
        <w:rPr>
          <w:rFonts w:eastAsia="DengXian" w:cs="Times New Roman"/>
          <w:noProof/>
          <w:lang w:eastAsia="zh-CN"/>
        </w:rPr>
        <w:t>(1), 29819. https://doi.org/10.1038/srep29819</w:t>
      </w:r>
    </w:p>
    <w:p w14:paraId="056BDDA2" w14:textId="39365C3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Tognoli, J. (1975). Reciprocation of generosity and knowledge of game termination in the decomposed Prisoner’s Dilemma Game. </w:t>
      </w:r>
      <w:r w:rsidRPr="002414E9">
        <w:rPr>
          <w:rFonts w:eastAsia="DengXian" w:cs="Times New Roman"/>
          <w:i/>
          <w:iCs/>
          <w:noProof/>
          <w:lang w:eastAsia="zh-CN"/>
        </w:rPr>
        <w:t>European Journal of Social Psychology</w:t>
      </w:r>
      <w:r w:rsidRPr="002414E9">
        <w:rPr>
          <w:rFonts w:eastAsia="DengXian" w:cs="Times New Roman"/>
          <w:noProof/>
          <w:lang w:eastAsia="zh-CN"/>
        </w:rPr>
        <w:t xml:space="preserve">, </w:t>
      </w:r>
      <w:r w:rsidRPr="002414E9">
        <w:rPr>
          <w:rFonts w:eastAsia="DengXian" w:cs="Times New Roman"/>
          <w:i/>
          <w:iCs/>
          <w:noProof/>
          <w:lang w:eastAsia="zh-CN"/>
        </w:rPr>
        <w:t>5</w:t>
      </w:r>
      <w:r w:rsidRPr="002414E9">
        <w:rPr>
          <w:rFonts w:eastAsia="DengXian" w:cs="Times New Roman"/>
          <w:noProof/>
          <w:lang w:eastAsia="zh-CN"/>
        </w:rPr>
        <w:t>(3), 297–313. https://doi.org/10.1002/ejsp.2420050304</w:t>
      </w:r>
    </w:p>
    <w:p w14:paraId="162251F1" w14:textId="1A088E89" w:rsidR="002414E9" w:rsidRPr="002414E9" w:rsidRDefault="002414E9" w:rsidP="002414E9">
      <w:pPr>
        <w:widowControl w:val="0"/>
        <w:autoSpaceDE w:val="0"/>
        <w:autoSpaceDN w:val="0"/>
        <w:adjustRightInd w:val="0"/>
        <w:ind w:left="709" w:hanging="709"/>
        <w:rPr>
          <w:rFonts w:eastAsia="DengXian" w:cs="Times New Roman"/>
          <w:bCs/>
          <w:noProof/>
          <w:lang w:val="fr-FR" w:eastAsia="zh-CN"/>
        </w:rPr>
      </w:pPr>
      <w:r w:rsidRPr="002414E9">
        <w:rPr>
          <w:rFonts w:eastAsia="DengXian" w:cs="Times New Roman"/>
          <w:bCs/>
          <w:noProof/>
          <w:lang w:eastAsia="zh-CN"/>
        </w:rPr>
        <w:t xml:space="preserve">Tornatzky, L., &amp; Geiwitz, P. J. (1968). The effects of threat and attraction on interpersonal bargaining. </w:t>
      </w:r>
      <w:r w:rsidRPr="002414E9">
        <w:rPr>
          <w:rFonts w:eastAsia="DengXian" w:cs="Times New Roman"/>
          <w:bCs/>
          <w:i/>
          <w:iCs/>
          <w:noProof/>
          <w:lang w:val="fr-FR" w:eastAsia="zh-CN"/>
        </w:rPr>
        <w:t>Psychonomic Science</w:t>
      </w:r>
      <w:r w:rsidRPr="002414E9">
        <w:rPr>
          <w:rFonts w:eastAsia="DengXian" w:cs="Times New Roman"/>
          <w:bCs/>
          <w:noProof/>
          <w:lang w:val="fr-FR" w:eastAsia="zh-CN"/>
        </w:rPr>
        <w:t xml:space="preserve">, </w:t>
      </w:r>
      <w:r w:rsidRPr="002414E9">
        <w:rPr>
          <w:rFonts w:eastAsia="DengXian" w:cs="Times New Roman"/>
          <w:bCs/>
          <w:i/>
          <w:iCs/>
          <w:noProof/>
          <w:lang w:val="fr-FR" w:eastAsia="zh-CN"/>
        </w:rPr>
        <w:t>13</w:t>
      </w:r>
      <w:r w:rsidRPr="002414E9">
        <w:rPr>
          <w:rFonts w:eastAsia="DengXian" w:cs="Times New Roman"/>
          <w:bCs/>
          <w:noProof/>
          <w:lang w:val="fr-FR" w:eastAsia="zh-CN"/>
        </w:rPr>
        <w:t>(2), 125–126. https://doi.org/10.3758/BF03342442</w:t>
      </w:r>
    </w:p>
    <w:p w14:paraId="3DAE45F8" w14:textId="5550E1A7" w:rsidR="002414E9" w:rsidRPr="002414E9" w:rsidRDefault="002414E9" w:rsidP="002414E9">
      <w:pPr>
        <w:widowControl w:val="0"/>
        <w:autoSpaceDE w:val="0"/>
        <w:autoSpaceDN w:val="0"/>
        <w:adjustRightInd w:val="0"/>
        <w:ind w:left="709" w:hanging="709"/>
        <w:rPr>
          <w:rFonts w:eastAsia="DengXian" w:cs="Times New Roman"/>
          <w:noProof/>
          <w:lang w:val="it-IT" w:eastAsia="zh-CN"/>
        </w:rPr>
      </w:pPr>
      <w:r w:rsidRPr="002414E9">
        <w:rPr>
          <w:rFonts w:eastAsia="DengXian" w:cs="Times New Roman"/>
          <w:noProof/>
          <w:lang w:val="fr-FR" w:eastAsia="zh-CN"/>
        </w:rPr>
        <w:t xml:space="preserve">Torres-Guevara, L. E., &amp; Schlüter, A. (2016). </w:t>
      </w:r>
      <w:r w:rsidRPr="002414E9">
        <w:rPr>
          <w:rFonts w:eastAsia="DengXian" w:cs="Times New Roman"/>
          <w:noProof/>
          <w:lang w:eastAsia="zh-CN"/>
        </w:rPr>
        <w:t xml:space="preserve">External validity of artefactual field experiments: A study on cooperation, impatience and sustainability in an artisanal fishery in Colombia. </w:t>
      </w:r>
      <w:r w:rsidRPr="002414E9">
        <w:rPr>
          <w:rFonts w:eastAsia="DengXian" w:cs="Times New Roman"/>
          <w:i/>
          <w:iCs/>
          <w:noProof/>
          <w:lang w:val="it-IT" w:eastAsia="zh-CN"/>
        </w:rPr>
        <w:t>Ecological Economics</w:t>
      </w:r>
      <w:r w:rsidRPr="002414E9">
        <w:rPr>
          <w:rFonts w:eastAsia="DengXian" w:cs="Times New Roman"/>
          <w:noProof/>
          <w:lang w:val="it-IT" w:eastAsia="zh-CN"/>
        </w:rPr>
        <w:t xml:space="preserve">, </w:t>
      </w:r>
      <w:r w:rsidRPr="002414E9">
        <w:rPr>
          <w:rFonts w:eastAsia="DengXian" w:cs="Times New Roman"/>
          <w:i/>
          <w:iCs/>
          <w:noProof/>
          <w:lang w:val="it-IT" w:eastAsia="zh-CN"/>
        </w:rPr>
        <w:t>128</w:t>
      </w:r>
      <w:r w:rsidRPr="002414E9">
        <w:rPr>
          <w:rFonts w:eastAsia="DengXian" w:cs="Times New Roman"/>
          <w:noProof/>
          <w:lang w:val="it-IT" w:eastAsia="zh-CN"/>
        </w:rPr>
        <w:t>, 187–201. https://doi.org/10.1016/j.ecolecon.2016.04.022</w:t>
      </w:r>
    </w:p>
    <w:p w14:paraId="61BF1681" w14:textId="1AEDB33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Torsvik, G., Molander, A., Tjøtta, S., &amp; Kobbeltvedt, T. (2011). </w:t>
      </w:r>
      <w:r w:rsidRPr="002414E9">
        <w:rPr>
          <w:rFonts w:eastAsia="DengXian" w:cs="Times New Roman"/>
          <w:noProof/>
          <w:lang w:eastAsia="zh-CN"/>
        </w:rPr>
        <w:t xml:space="preserve">Anticipated discussion and cooperation in a social dilemma. </w:t>
      </w:r>
      <w:r w:rsidRPr="002414E9">
        <w:rPr>
          <w:rFonts w:eastAsia="DengXian" w:cs="Times New Roman"/>
          <w:i/>
          <w:iCs/>
          <w:noProof/>
          <w:lang w:eastAsia="zh-CN"/>
        </w:rPr>
        <w:t>Rationality and Society</w:t>
      </w:r>
      <w:r w:rsidRPr="002414E9">
        <w:rPr>
          <w:rFonts w:eastAsia="DengXian" w:cs="Times New Roman"/>
          <w:noProof/>
          <w:lang w:eastAsia="zh-CN"/>
        </w:rPr>
        <w:t xml:space="preserve">, </w:t>
      </w:r>
      <w:r w:rsidRPr="002414E9">
        <w:rPr>
          <w:rFonts w:eastAsia="DengXian" w:cs="Times New Roman"/>
          <w:i/>
          <w:iCs/>
          <w:noProof/>
          <w:lang w:eastAsia="zh-CN"/>
        </w:rPr>
        <w:t>23</w:t>
      </w:r>
      <w:r w:rsidRPr="002414E9">
        <w:rPr>
          <w:rFonts w:eastAsia="DengXian" w:cs="Times New Roman"/>
          <w:noProof/>
          <w:lang w:eastAsia="zh-CN"/>
        </w:rPr>
        <w:t>(2), 199–216. https://doi.org/10.1177/1043463111404664</w:t>
      </w:r>
    </w:p>
    <w:p w14:paraId="7ACF43C7" w14:textId="2C01F065"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Twenge, J. M., Baumeister, R. F., DeWall, C. N., Ciarocco, N. J., &amp; Bartels, J. M. (2007). </w:t>
      </w:r>
      <w:r w:rsidRPr="002414E9">
        <w:rPr>
          <w:rFonts w:eastAsia="DengXian" w:cs="Times New Roman"/>
          <w:bCs/>
          <w:noProof/>
          <w:lang w:eastAsia="zh-CN"/>
        </w:rPr>
        <w:t xml:space="preserve">Social exclusion decreases prosocial behavior. </w:t>
      </w:r>
      <w:r w:rsidRPr="002414E9">
        <w:rPr>
          <w:rFonts w:eastAsia="DengXian" w:cs="Times New Roman"/>
          <w:bCs/>
          <w:i/>
          <w:iCs/>
          <w:noProof/>
          <w:lang w:eastAsia="zh-CN"/>
        </w:rPr>
        <w:t>Journal of Personality and Social Psychology, 92</w:t>
      </w:r>
      <w:r w:rsidRPr="002414E9">
        <w:rPr>
          <w:rFonts w:eastAsia="DengXian" w:cs="Times New Roman"/>
          <w:bCs/>
          <w:noProof/>
          <w:lang w:eastAsia="zh-CN"/>
        </w:rPr>
        <w:t>(1), 56–66. https://doi.org/10.1037/0022-3514.92.1.56</w:t>
      </w:r>
    </w:p>
    <w:p w14:paraId="7C681F3A" w14:textId="6170263C"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lastRenderedPageBreak/>
        <w:t xml:space="preserve">Tyson, G. A., Schlachter, A., &amp; Cooper, S. (1988). </w:t>
      </w:r>
      <w:r w:rsidRPr="002414E9">
        <w:rPr>
          <w:rFonts w:eastAsia="DengXian" w:cs="Times New Roman"/>
          <w:bCs/>
          <w:noProof/>
          <w:lang w:eastAsia="zh-CN"/>
        </w:rPr>
        <w:t xml:space="preserve">Game playing strategy as an indicator of racial prejudice among South African students. </w:t>
      </w:r>
      <w:r w:rsidRPr="002414E9">
        <w:rPr>
          <w:rFonts w:eastAsia="DengXian" w:cs="Times New Roman"/>
          <w:bCs/>
          <w:i/>
          <w:iCs/>
          <w:noProof/>
          <w:lang w:eastAsia="zh-CN"/>
        </w:rPr>
        <w:t>The Journal of Social Psychology</w:t>
      </w:r>
      <w:r w:rsidRPr="002414E9">
        <w:rPr>
          <w:rFonts w:eastAsia="DengXian" w:cs="Times New Roman"/>
          <w:bCs/>
          <w:noProof/>
          <w:lang w:eastAsia="zh-CN"/>
        </w:rPr>
        <w:t xml:space="preserve">, </w:t>
      </w:r>
      <w:r w:rsidRPr="002414E9">
        <w:rPr>
          <w:rFonts w:eastAsia="DengXian" w:cs="Times New Roman"/>
          <w:bCs/>
          <w:i/>
          <w:iCs/>
          <w:noProof/>
          <w:lang w:eastAsia="zh-CN"/>
        </w:rPr>
        <w:t>128</w:t>
      </w:r>
      <w:r w:rsidRPr="002414E9">
        <w:rPr>
          <w:rFonts w:eastAsia="DengXian" w:cs="Times New Roman"/>
          <w:bCs/>
          <w:noProof/>
          <w:lang w:eastAsia="zh-CN"/>
        </w:rPr>
        <w:t>(4), 473–485. https://doi.org/10.1080/00224545.1988.9713767</w:t>
      </w:r>
    </w:p>
    <w:p w14:paraId="4182F0AD" w14:textId="2677B9F1"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Tyson, T. (1992). Does believing that everyone else is less ethical have an impact on work behavior?. </w:t>
      </w:r>
      <w:r w:rsidRPr="002414E9">
        <w:rPr>
          <w:rFonts w:eastAsia="DengXian" w:cs="Times New Roman"/>
          <w:bCs/>
          <w:i/>
          <w:iCs/>
          <w:noProof/>
          <w:lang w:eastAsia="zh-CN"/>
        </w:rPr>
        <w:t>Journal of Business Ethics</w:t>
      </w:r>
      <w:r w:rsidRPr="002414E9">
        <w:rPr>
          <w:rFonts w:eastAsia="DengXian" w:cs="Times New Roman"/>
          <w:bCs/>
          <w:noProof/>
          <w:lang w:eastAsia="zh-CN"/>
        </w:rPr>
        <w:t xml:space="preserve">, </w:t>
      </w:r>
      <w:r w:rsidRPr="002414E9">
        <w:rPr>
          <w:rFonts w:eastAsia="DengXian" w:cs="Times New Roman"/>
          <w:bCs/>
          <w:i/>
          <w:iCs/>
          <w:noProof/>
          <w:lang w:eastAsia="zh-CN"/>
        </w:rPr>
        <w:t>11</w:t>
      </w:r>
      <w:r w:rsidRPr="002414E9">
        <w:rPr>
          <w:rFonts w:eastAsia="DengXian" w:cs="Times New Roman"/>
          <w:bCs/>
          <w:noProof/>
          <w:lang w:eastAsia="zh-CN"/>
        </w:rPr>
        <w:t>(9), 707–717. https://doi.org/10.1007/BF01686351</w:t>
      </w:r>
    </w:p>
    <w:p w14:paraId="5757F962" w14:textId="5A252CD7"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Tyszka, T., &amp; Grzelak, J. L. (1976). Criteria of choice in non-constant-sum games.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20</w:t>
      </w:r>
      <w:r w:rsidRPr="002414E9">
        <w:rPr>
          <w:rFonts w:eastAsia="DengXian" w:cs="Times New Roman"/>
          <w:bCs/>
          <w:noProof/>
          <w:lang w:eastAsia="zh-CN"/>
        </w:rPr>
        <w:t>(2), 357–376. https://doi.org/10.1177/002200277602000207</w:t>
      </w:r>
    </w:p>
    <w:p w14:paraId="65070AF4" w14:textId="5F360939"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Uejio, C. K., &amp; Wrightsman, L. S. (1967). Ethnic-group differences in the relationship of trusting attitudes to cooperative behavior. </w:t>
      </w:r>
      <w:r w:rsidRPr="002414E9">
        <w:rPr>
          <w:rFonts w:eastAsia="DengXian" w:cs="Times New Roman"/>
          <w:bCs/>
          <w:i/>
          <w:iCs/>
          <w:noProof/>
          <w:lang w:eastAsia="zh-CN"/>
        </w:rPr>
        <w:t>Psychological Reports</w:t>
      </w:r>
      <w:r w:rsidRPr="002414E9">
        <w:rPr>
          <w:rFonts w:eastAsia="DengXian" w:cs="Times New Roman"/>
          <w:bCs/>
          <w:noProof/>
          <w:lang w:eastAsia="zh-CN"/>
        </w:rPr>
        <w:t xml:space="preserve">, </w:t>
      </w:r>
      <w:r w:rsidRPr="002414E9">
        <w:rPr>
          <w:rFonts w:eastAsia="DengXian" w:cs="Times New Roman"/>
          <w:bCs/>
          <w:i/>
          <w:iCs/>
          <w:noProof/>
          <w:lang w:eastAsia="zh-CN"/>
        </w:rPr>
        <w:t>20</w:t>
      </w:r>
      <w:r w:rsidRPr="002414E9">
        <w:rPr>
          <w:rFonts w:eastAsia="DengXian" w:cs="Times New Roman"/>
          <w:bCs/>
          <w:noProof/>
          <w:lang w:eastAsia="zh-CN"/>
        </w:rPr>
        <w:t>(2), 563–571. https://doi.org/10.2466/pr0.1967.20.2.563</w:t>
      </w:r>
    </w:p>
    <w:p w14:paraId="5A3C1120" w14:textId="0E60926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Uler, N. (2011). Public goods provision, inequality and taxes.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14</w:t>
      </w:r>
      <w:r w:rsidRPr="002414E9">
        <w:rPr>
          <w:rFonts w:eastAsia="DengXian" w:cs="Times New Roman"/>
          <w:noProof/>
          <w:lang w:eastAsia="zh-CN"/>
        </w:rPr>
        <w:t>(3), 287–306. https://doi.org/10.1007/s10683-010-9268-y</w:t>
      </w:r>
    </w:p>
    <w:p w14:paraId="4D69D456" w14:textId="29DC1E2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Utz, S. (2004a). Self-construal and cooperation: Is the interdependent self more cooperative than the independent self? </w:t>
      </w:r>
      <w:r w:rsidRPr="002414E9">
        <w:rPr>
          <w:rFonts w:eastAsia="DengXian" w:cs="Times New Roman"/>
          <w:i/>
          <w:iCs/>
          <w:noProof/>
          <w:lang w:eastAsia="zh-CN"/>
        </w:rPr>
        <w:t>Self and Identity</w:t>
      </w:r>
      <w:r w:rsidRPr="002414E9">
        <w:rPr>
          <w:rFonts w:eastAsia="DengXian" w:cs="Times New Roman"/>
          <w:noProof/>
          <w:lang w:eastAsia="zh-CN"/>
        </w:rPr>
        <w:t xml:space="preserve">, </w:t>
      </w:r>
      <w:r w:rsidRPr="002414E9">
        <w:rPr>
          <w:rFonts w:eastAsia="DengXian" w:cs="Times New Roman"/>
          <w:i/>
          <w:iCs/>
          <w:noProof/>
          <w:lang w:eastAsia="zh-CN"/>
        </w:rPr>
        <w:t>3</w:t>
      </w:r>
      <w:r w:rsidRPr="002414E9">
        <w:rPr>
          <w:rFonts w:eastAsia="DengXian" w:cs="Times New Roman"/>
          <w:noProof/>
          <w:lang w:eastAsia="zh-CN"/>
        </w:rPr>
        <w:t>(3), 177–190. https://doi.org/10.1080/13576500444000001</w:t>
      </w:r>
    </w:p>
    <w:p w14:paraId="7003CDAB" w14:textId="178793F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Utz, S. (2004b). Self-activation is a two-edged sword: The effects of I primes on cooperation. </w:t>
      </w:r>
      <w:r w:rsidRPr="002414E9">
        <w:rPr>
          <w:rFonts w:eastAsia="DengXian" w:cs="Times New Roman"/>
          <w:i/>
          <w:iCs/>
          <w:noProof/>
          <w:lang w:eastAsia="zh-CN"/>
        </w:rPr>
        <w:t>Journal of Experimental Social Psychology</w:t>
      </w:r>
      <w:r w:rsidRPr="002414E9">
        <w:rPr>
          <w:rFonts w:eastAsia="DengXian" w:cs="Times New Roman"/>
          <w:noProof/>
          <w:lang w:eastAsia="zh-CN"/>
        </w:rPr>
        <w:t xml:space="preserve">, </w:t>
      </w:r>
      <w:r w:rsidRPr="002414E9">
        <w:rPr>
          <w:rFonts w:eastAsia="DengXian" w:cs="Times New Roman"/>
          <w:i/>
          <w:iCs/>
          <w:noProof/>
          <w:lang w:eastAsia="zh-CN"/>
        </w:rPr>
        <w:t>40</w:t>
      </w:r>
      <w:r w:rsidRPr="002414E9">
        <w:rPr>
          <w:rFonts w:eastAsia="DengXian" w:cs="Times New Roman"/>
          <w:noProof/>
          <w:lang w:eastAsia="zh-CN"/>
        </w:rPr>
        <w:t>(6), 769–776. https://doi.org/10.1016/j.jesp.2004.03.001</w:t>
      </w:r>
    </w:p>
    <w:p w14:paraId="5CF5FE93" w14:textId="47439D4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Utz, S., Muscanell, N., &amp; Göritz, A. S. (2014). </w:t>
      </w:r>
      <w:r w:rsidRPr="002414E9">
        <w:rPr>
          <w:rFonts w:eastAsia="DengXian" w:cs="Times New Roman"/>
          <w:noProof/>
          <w:lang w:eastAsia="zh-CN"/>
        </w:rPr>
        <w:t xml:space="preserve">Give, match, or take: A new personality construct predicts resource and information sharing. </w:t>
      </w:r>
      <w:r w:rsidRPr="002414E9">
        <w:rPr>
          <w:rFonts w:eastAsia="DengXian" w:cs="Times New Roman"/>
          <w:i/>
          <w:iCs/>
          <w:noProof/>
          <w:lang w:eastAsia="zh-CN"/>
        </w:rPr>
        <w:t>Personality and Individual Differences</w:t>
      </w:r>
      <w:r w:rsidRPr="002414E9">
        <w:rPr>
          <w:rFonts w:eastAsia="DengXian" w:cs="Times New Roman"/>
          <w:noProof/>
          <w:lang w:eastAsia="zh-CN"/>
        </w:rPr>
        <w:t xml:space="preserve">, </w:t>
      </w:r>
      <w:r w:rsidRPr="002414E9">
        <w:rPr>
          <w:rFonts w:eastAsia="DengXian" w:cs="Times New Roman"/>
          <w:i/>
          <w:iCs/>
          <w:noProof/>
          <w:lang w:eastAsia="zh-CN"/>
        </w:rPr>
        <w:t>70</w:t>
      </w:r>
      <w:r w:rsidRPr="002414E9">
        <w:rPr>
          <w:rFonts w:eastAsia="DengXian" w:cs="Times New Roman"/>
          <w:noProof/>
          <w:lang w:eastAsia="zh-CN"/>
        </w:rPr>
        <w:t>, 11–16. https://doi.org/10.1016/j.paid.2014.06.011</w:t>
      </w:r>
    </w:p>
    <w:p w14:paraId="64342524" w14:textId="07F4A78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Utz, S., Ouwerkerk, J. W., &amp; Van Lange, P. A. M. (2004). </w:t>
      </w:r>
      <w:r w:rsidRPr="002414E9">
        <w:rPr>
          <w:rFonts w:eastAsia="DengXian" w:cs="Times New Roman"/>
          <w:noProof/>
          <w:lang w:eastAsia="zh-CN"/>
        </w:rPr>
        <w:t xml:space="preserve">What is smart in a social dilemma? </w:t>
      </w:r>
      <w:r w:rsidRPr="002414E9">
        <w:rPr>
          <w:rFonts w:eastAsia="DengXian" w:cs="Times New Roman"/>
          <w:noProof/>
          <w:lang w:eastAsia="zh-CN"/>
        </w:rPr>
        <w:lastRenderedPageBreak/>
        <w:t xml:space="preserve">Differential effects of priming competence on cooperation. </w:t>
      </w:r>
      <w:r w:rsidRPr="002414E9">
        <w:rPr>
          <w:rFonts w:eastAsia="DengXian" w:cs="Times New Roman"/>
          <w:i/>
          <w:iCs/>
          <w:noProof/>
          <w:lang w:eastAsia="zh-CN"/>
        </w:rPr>
        <w:t>European Journal of Social Psychology</w:t>
      </w:r>
      <w:r w:rsidRPr="002414E9">
        <w:rPr>
          <w:rFonts w:eastAsia="DengXian" w:cs="Times New Roman"/>
          <w:noProof/>
          <w:lang w:eastAsia="zh-CN"/>
        </w:rPr>
        <w:t xml:space="preserve">, </w:t>
      </w:r>
      <w:r w:rsidRPr="002414E9">
        <w:rPr>
          <w:rFonts w:eastAsia="DengXian" w:cs="Times New Roman"/>
          <w:i/>
          <w:iCs/>
          <w:noProof/>
          <w:lang w:eastAsia="zh-CN"/>
        </w:rPr>
        <w:t>34</w:t>
      </w:r>
      <w:r w:rsidRPr="002414E9">
        <w:rPr>
          <w:rFonts w:eastAsia="DengXian" w:cs="Times New Roman"/>
          <w:noProof/>
          <w:lang w:eastAsia="zh-CN"/>
        </w:rPr>
        <w:t>(3), 317–332. https://doi.org/10.1002/ejsp.200</w:t>
      </w:r>
    </w:p>
    <w:p w14:paraId="3F81CAD1" w14:textId="15F7F0E6"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nl-NL" w:eastAsia="zh-CN"/>
        </w:rPr>
        <w:t xml:space="preserve">Van Assen, M. A. L. M., &amp; Snijders, C. (2004). </w:t>
      </w:r>
      <w:r w:rsidRPr="002414E9">
        <w:rPr>
          <w:rFonts w:eastAsia="DengXian" w:cs="Times New Roman"/>
          <w:bCs/>
          <w:noProof/>
          <w:lang w:eastAsia="zh-CN"/>
        </w:rPr>
        <w:t xml:space="preserve">Effects of risk preferences in social dilemmas: a game-theoretical analysis and evidence from two experiments. In R. Suleiman, D. Budescu, I. Fischer, D. M. Messick (Eds.), </w:t>
      </w:r>
      <w:r w:rsidRPr="002414E9">
        <w:rPr>
          <w:rFonts w:eastAsia="DengXian" w:cs="Times New Roman"/>
          <w:bCs/>
          <w:i/>
          <w:iCs/>
          <w:noProof/>
          <w:lang w:eastAsia="zh-CN"/>
        </w:rPr>
        <w:t xml:space="preserve">Contemporary psychological research on social dilemmas </w:t>
      </w:r>
      <w:r w:rsidRPr="002414E9">
        <w:rPr>
          <w:rFonts w:eastAsia="DengXian" w:cs="Times New Roman"/>
          <w:bCs/>
          <w:noProof/>
          <w:lang w:eastAsia="zh-CN"/>
        </w:rPr>
        <w:t>(pp. 38–65). Cambridge University Press.</w:t>
      </w:r>
    </w:p>
    <w:p w14:paraId="6D9BAA22" w14:textId="3BAD5FAC"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nl-NL" w:eastAsia="zh-CN"/>
        </w:rPr>
        <w:t xml:space="preserve">Van der Iest, H., Dijkstra, J., &amp; Stokman, F. N. (2011). </w:t>
      </w:r>
      <w:r w:rsidRPr="002414E9">
        <w:rPr>
          <w:rFonts w:eastAsia="DengXian" w:cs="Times New Roman"/>
          <w:bCs/>
          <w:noProof/>
          <w:lang w:eastAsia="zh-CN"/>
        </w:rPr>
        <w:t xml:space="preserve">Not ‘Just the two of us’: Third party externalities of social dilemmas. </w:t>
      </w:r>
      <w:r w:rsidRPr="002414E9">
        <w:rPr>
          <w:rFonts w:eastAsia="DengXian" w:cs="Times New Roman"/>
          <w:bCs/>
          <w:i/>
          <w:iCs/>
          <w:noProof/>
          <w:lang w:eastAsia="zh-CN"/>
        </w:rPr>
        <w:t>Rationality and Society</w:t>
      </w:r>
      <w:r w:rsidRPr="002414E9">
        <w:rPr>
          <w:rFonts w:eastAsia="DengXian" w:cs="Times New Roman"/>
          <w:bCs/>
          <w:noProof/>
          <w:lang w:eastAsia="zh-CN"/>
        </w:rPr>
        <w:t xml:space="preserve">, </w:t>
      </w:r>
      <w:r w:rsidRPr="002414E9">
        <w:rPr>
          <w:rFonts w:eastAsia="DengXian" w:cs="Times New Roman"/>
          <w:bCs/>
          <w:i/>
          <w:iCs/>
          <w:noProof/>
          <w:lang w:eastAsia="zh-CN"/>
        </w:rPr>
        <w:t>23</w:t>
      </w:r>
      <w:r w:rsidRPr="002414E9">
        <w:rPr>
          <w:rFonts w:eastAsia="DengXian" w:cs="Times New Roman"/>
          <w:bCs/>
          <w:noProof/>
          <w:lang w:eastAsia="zh-CN"/>
        </w:rPr>
        <w:t>(3), 347–370. https://doi.org/10.1177/1043463111412716</w:t>
      </w:r>
    </w:p>
    <w:p w14:paraId="07DABBFD" w14:textId="053C226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Van Dijk, E., &amp; Grodzka, M. (1992). </w:t>
      </w:r>
      <w:r w:rsidRPr="002414E9">
        <w:rPr>
          <w:rFonts w:eastAsia="DengXian" w:cs="Times New Roman"/>
          <w:noProof/>
          <w:lang w:eastAsia="zh-CN"/>
        </w:rPr>
        <w:t xml:space="preserve">The influence of endowments asymmetry and information level on the contribution to a public step good. </w:t>
      </w:r>
      <w:r w:rsidRPr="002414E9">
        <w:rPr>
          <w:rFonts w:eastAsia="DengXian" w:cs="Times New Roman"/>
          <w:i/>
          <w:iCs/>
          <w:noProof/>
          <w:lang w:eastAsia="zh-CN"/>
        </w:rPr>
        <w:t>Journal of Economic Psychology</w:t>
      </w:r>
      <w:r w:rsidRPr="002414E9">
        <w:rPr>
          <w:rFonts w:eastAsia="DengXian" w:cs="Times New Roman"/>
          <w:noProof/>
          <w:lang w:eastAsia="zh-CN"/>
        </w:rPr>
        <w:t xml:space="preserve">, </w:t>
      </w:r>
      <w:r w:rsidRPr="002414E9">
        <w:rPr>
          <w:rFonts w:eastAsia="DengXian" w:cs="Times New Roman"/>
          <w:i/>
          <w:iCs/>
          <w:noProof/>
          <w:lang w:eastAsia="zh-CN"/>
        </w:rPr>
        <w:t>13</w:t>
      </w:r>
      <w:r w:rsidRPr="002414E9">
        <w:rPr>
          <w:rFonts w:eastAsia="DengXian" w:cs="Times New Roman"/>
          <w:noProof/>
          <w:lang w:eastAsia="zh-CN"/>
        </w:rPr>
        <w:t>(2), 329–342. https://doi.org/10.1016/0167-4870(92)90037-8</w:t>
      </w:r>
    </w:p>
    <w:p w14:paraId="6D6A8018" w14:textId="6F017A6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Van Dijk, E., &amp; Wilke, H. (1995). </w:t>
      </w:r>
      <w:r w:rsidRPr="002414E9">
        <w:rPr>
          <w:rFonts w:eastAsia="DengXian" w:cs="Times New Roman"/>
          <w:noProof/>
          <w:lang w:eastAsia="zh-CN"/>
        </w:rPr>
        <w:t xml:space="preserve">Coordination rules in asymmetric social dilemmas: A Comparison between Public Good Dilemmas and Resource Dilemmas. </w:t>
      </w:r>
      <w:r w:rsidRPr="002414E9">
        <w:rPr>
          <w:rFonts w:eastAsia="DengXian" w:cs="Times New Roman"/>
          <w:i/>
          <w:iCs/>
          <w:noProof/>
          <w:lang w:eastAsia="zh-CN"/>
        </w:rPr>
        <w:t>Journal of Experimental Social Psychology</w:t>
      </w:r>
      <w:r w:rsidRPr="002414E9">
        <w:rPr>
          <w:rFonts w:eastAsia="DengXian" w:cs="Times New Roman"/>
          <w:noProof/>
          <w:lang w:eastAsia="zh-CN"/>
        </w:rPr>
        <w:t xml:space="preserve">, </w:t>
      </w:r>
      <w:r w:rsidRPr="002414E9">
        <w:rPr>
          <w:rFonts w:eastAsia="DengXian" w:cs="Times New Roman"/>
          <w:i/>
          <w:iCs/>
          <w:noProof/>
          <w:lang w:eastAsia="zh-CN"/>
        </w:rPr>
        <w:t>31</w:t>
      </w:r>
      <w:r w:rsidRPr="002414E9">
        <w:rPr>
          <w:rFonts w:eastAsia="DengXian" w:cs="Times New Roman"/>
          <w:noProof/>
          <w:lang w:eastAsia="zh-CN"/>
        </w:rPr>
        <w:t>(1), 1–27. https://doi.org/10.1006/jesp.1995.1001</w:t>
      </w:r>
    </w:p>
    <w:p w14:paraId="29C118D9" w14:textId="123E224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Van Dijk, E., &amp; Wilke, H. (1997). </w:t>
      </w:r>
      <w:r w:rsidRPr="002414E9">
        <w:rPr>
          <w:rFonts w:eastAsia="DengXian" w:cs="Times New Roman"/>
          <w:noProof/>
          <w:lang w:eastAsia="zh-CN"/>
        </w:rPr>
        <w:t xml:space="preserve">Is it mine or is it ours? Framing property rights and decision making in social dilemmas. </w:t>
      </w:r>
      <w:r w:rsidRPr="002414E9">
        <w:rPr>
          <w:rFonts w:eastAsia="DengXian" w:cs="Times New Roman"/>
          <w:i/>
          <w:iCs/>
          <w:noProof/>
          <w:lang w:eastAsia="zh-CN"/>
        </w:rPr>
        <w:t>Organizational Behavior and Human Decision Processes</w:t>
      </w:r>
      <w:r w:rsidRPr="002414E9">
        <w:rPr>
          <w:rFonts w:eastAsia="DengXian" w:cs="Times New Roman"/>
          <w:noProof/>
          <w:lang w:eastAsia="zh-CN"/>
        </w:rPr>
        <w:t xml:space="preserve">, </w:t>
      </w:r>
      <w:r w:rsidRPr="002414E9">
        <w:rPr>
          <w:rFonts w:eastAsia="DengXian" w:cs="Times New Roman"/>
          <w:i/>
          <w:iCs/>
          <w:noProof/>
          <w:lang w:eastAsia="zh-CN"/>
        </w:rPr>
        <w:t>71</w:t>
      </w:r>
      <w:r w:rsidRPr="002414E9">
        <w:rPr>
          <w:rFonts w:eastAsia="DengXian" w:cs="Times New Roman"/>
          <w:noProof/>
          <w:lang w:eastAsia="zh-CN"/>
        </w:rPr>
        <w:t>(2), 195–209. https://doi.org/10.1006/obhd.1997.2718</w:t>
      </w:r>
    </w:p>
    <w:p w14:paraId="6FE307AF" w14:textId="74B67D4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Van Dijk, E., &amp; Wilke, H. (2000). </w:t>
      </w:r>
      <w:r w:rsidRPr="002414E9">
        <w:rPr>
          <w:rFonts w:eastAsia="DengXian" w:cs="Times New Roman"/>
          <w:noProof/>
          <w:lang w:eastAsia="zh-CN"/>
        </w:rPr>
        <w:t xml:space="preserve">Decision-induced focusing in social dilemmas: Give-some, keep-some, take-some, and leave-some dilemmas. </w:t>
      </w:r>
      <w:r w:rsidRPr="002414E9">
        <w:rPr>
          <w:rFonts w:eastAsia="DengXian" w:cs="Times New Roman"/>
          <w:i/>
          <w:iCs/>
          <w:noProof/>
          <w:lang w:eastAsia="zh-CN"/>
        </w:rPr>
        <w:t>Journal of Personality and Social Psychology</w:t>
      </w:r>
      <w:r w:rsidRPr="002414E9">
        <w:rPr>
          <w:rFonts w:eastAsia="DengXian" w:cs="Times New Roman"/>
          <w:noProof/>
          <w:lang w:eastAsia="zh-CN"/>
        </w:rPr>
        <w:t xml:space="preserve">, </w:t>
      </w:r>
      <w:r w:rsidRPr="002414E9">
        <w:rPr>
          <w:rFonts w:eastAsia="DengXian" w:cs="Times New Roman"/>
          <w:i/>
          <w:iCs/>
          <w:noProof/>
          <w:lang w:eastAsia="zh-CN"/>
        </w:rPr>
        <w:t>78</w:t>
      </w:r>
      <w:r w:rsidRPr="002414E9">
        <w:rPr>
          <w:rFonts w:eastAsia="DengXian" w:cs="Times New Roman"/>
          <w:noProof/>
          <w:lang w:eastAsia="zh-CN"/>
        </w:rPr>
        <w:t>(1), 92–104. https://doi.org/10.1037/0022-3514.78.1.92</w:t>
      </w:r>
    </w:p>
    <w:p w14:paraId="73AAB005" w14:textId="17F1B59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Van Dijk, E., De Kwaadsteniet, E. W., &amp; De Cremer, D. (2009). </w:t>
      </w:r>
      <w:r w:rsidRPr="002414E9">
        <w:rPr>
          <w:rFonts w:eastAsia="DengXian" w:cs="Times New Roman"/>
          <w:noProof/>
          <w:lang w:eastAsia="zh-CN"/>
        </w:rPr>
        <w:t xml:space="preserve">Tacit coordination in social dilemmas: The importance of having a common understanding. </w:t>
      </w:r>
      <w:r w:rsidRPr="002414E9">
        <w:rPr>
          <w:rFonts w:eastAsia="DengXian" w:cs="Times New Roman"/>
          <w:i/>
          <w:iCs/>
          <w:noProof/>
          <w:lang w:eastAsia="zh-CN"/>
        </w:rPr>
        <w:t xml:space="preserve">Journal of Personality </w:t>
      </w:r>
      <w:r w:rsidRPr="002414E9">
        <w:rPr>
          <w:rFonts w:eastAsia="DengXian" w:cs="Times New Roman"/>
          <w:i/>
          <w:iCs/>
          <w:noProof/>
          <w:lang w:eastAsia="zh-CN"/>
        </w:rPr>
        <w:lastRenderedPageBreak/>
        <w:t>and Social Psychology</w:t>
      </w:r>
      <w:r w:rsidRPr="002414E9">
        <w:rPr>
          <w:rFonts w:eastAsia="DengXian" w:cs="Times New Roman"/>
          <w:noProof/>
          <w:lang w:eastAsia="zh-CN"/>
        </w:rPr>
        <w:t xml:space="preserve">, </w:t>
      </w:r>
      <w:r w:rsidRPr="002414E9">
        <w:rPr>
          <w:rFonts w:eastAsia="DengXian" w:cs="Times New Roman"/>
          <w:i/>
          <w:iCs/>
          <w:noProof/>
          <w:lang w:eastAsia="zh-CN"/>
        </w:rPr>
        <w:t>96</w:t>
      </w:r>
      <w:r w:rsidRPr="002414E9">
        <w:rPr>
          <w:rFonts w:eastAsia="DengXian" w:cs="Times New Roman"/>
          <w:noProof/>
          <w:lang w:eastAsia="zh-CN"/>
        </w:rPr>
        <w:t>(3), 665–678. https://doi.org/10.1037/a0012976</w:t>
      </w:r>
    </w:p>
    <w:p w14:paraId="762F9BEF" w14:textId="2ED0016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Van Dijk, E., Wilke, H., Wilke, M., &amp; Metman, L. (1999). </w:t>
      </w:r>
      <w:r w:rsidRPr="002414E9">
        <w:rPr>
          <w:rFonts w:eastAsia="DengXian" w:cs="Times New Roman"/>
          <w:noProof/>
          <w:lang w:eastAsia="zh-CN"/>
        </w:rPr>
        <w:t xml:space="preserve">What information do we use in social dilemmas? Environmental uncertainty and the employment of coordination rules. </w:t>
      </w:r>
      <w:r w:rsidRPr="002414E9">
        <w:rPr>
          <w:rFonts w:eastAsia="DengXian" w:cs="Times New Roman"/>
          <w:i/>
          <w:iCs/>
          <w:noProof/>
          <w:lang w:eastAsia="zh-CN"/>
        </w:rPr>
        <w:t>Journal of Experimental Social Psychology</w:t>
      </w:r>
      <w:r w:rsidRPr="002414E9">
        <w:rPr>
          <w:rFonts w:eastAsia="DengXian" w:cs="Times New Roman"/>
          <w:noProof/>
          <w:lang w:eastAsia="zh-CN"/>
        </w:rPr>
        <w:t xml:space="preserve">, </w:t>
      </w:r>
      <w:r w:rsidRPr="002414E9">
        <w:rPr>
          <w:rFonts w:eastAsia="DengXian" w:cs="Times New Roman"/>
          <w:i/>
          <w:iCs/>
          <w:noProof/>
          <w:lang w:eastAsia="zh-CN"/>
        </w:rPr>
        <w:t>35</w:t>
      </w:r>
      <w:r w:rsidRPr="002414E9">
        <w:rPr>
          <w:rFonts w:eastAsia="DengXian" w:cs="Times New Roman"/>
          <w:noProof/>
          <w:lang w:eastAsia="zh-CN"/>
        </w:rPr>
        <w:t>(2), 109–135. https://doi.org/10.1006/jesp.1998.1366</w:t>
      </w:r>
    </w:p>
    <w:p w14:paraId="1B7E243A" w14:textId="7CD291F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Van Hoorn, J., Van Dijk, E., Meuwese, R., Rieffe, C., &amp; Crone, E. A. (2016). </w:t>
      </w:r>
      <w:r w:rsidRPr="002414E9">
        <w:rPr>
          <w:rFonts w:eastAsia="DengXian" w:cs="Times New Roman"/>
          <w:noProof/>
          <w:lang w:eastAsia="zh-CN"/>
        </w:rPr>
        <w:t xml:space="preserve">Peer influence on prosocial behavior in adolescence. </w:t>
      </w:r>
      <w:r w:rsidRPr="002414E9">
        <w:rPr>
          <w:rFonts w:eastAsia="DengXian" w:cs="Times New Roman"/>
          <w:i/>
          <w:iCs/>
          <w:noProof/>
          <w:lang w:eastAsia="zh-CN"/>
        </w:rPr>
        <w:t>Journal of Research on Adolescence</w:t>
      </w:r>
      <w:r w:rsidRPr="002414E9">
        <w:rPr>
          <w:rFonts w:eastAsia="DengXian" w:cs="Times New Roman"/>
          <w:noProof/>
          <w:lang w:eastAsia="zh-CN"/>
        </w:rPr>
        <w:t xml:space="preserve">, </w:t>
      </w:r>
      <w:r w:rsidRPr="002414E9">
        <w:rPr>
          <w:rFonts w:eastAsia="DengXian" w:cs="Times New Roman"/>
          <w:i/>
          <w:iCs/>
          <w:noProof/>
          <w:lang w:eastAsia="zh-CN"/>
        </w:rPr>
        <w:t>26</w:t>
      </w:r>
      <w:r w:rsidRPr="002414E9">
        <w:rPr>
          <w:rFonts w:eastAsia="DengXian" w:cs="Times New Roman"/>
          <w:noProof/>
          <w:lang w:eastAsia="zh-CN"/>
        </w:rPr>
        <w:t>(1), 143–152. https://doi.org/10.1111/jora.12173</w:t>
      </w:r>
    </w:p>
    <w:p w14:paraId="5140770C" w14:textId="353606B2"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nl-NL" w:eastAsia="zh-CN"/>
        </w:rPr>
        <w:t xml:space="preserve">Van Lange, P. A. M. (1992). </w:t>
      </w:r>
      <w:r w:rsidRPr="002414E9">
        <w:rPr>
          <w:rFonts w:eastAsia="DengXian" w:cs="Times New Roman"/>
          <w:bCs/>
          <w:noProof/>
          <w:lang w:eastAsia="zh-CN"/>
        </w:rPr>
        <w:t xml:space="preserve">Confidence in expectations: A test of the triangle hypothesis. </w:t>
      </w:r>
      <w:r w:rsidRPr="002414E9">
        <w:rPr>
          <w:rFonts w:eastAsia="DengXian" w:cs="Times New Roman"/>
          <w:bCs/>
          <w:i/>
          <w:iCs/>
          <w:noProof/>
          <w:lang w:eastAsia="zh-CN"/>
        </w:rPr>
        <w:t>European Journal of Personality</w:t>
      </w:r>
      <w:r w:rsidRPr="002414E9">
        <w:rPr>
          <w:rFonts w:eastAsia="DengXian" w:cs="Times New Roman"/>
          <w:bCs/>
          <w:noProof/>
          <w:lang w:eastAsia="zh-CN"/>
        </w:rPr>
        <w:t xml:space="preserve">, </w:t>
      </w:r>
      <w:r w:rsidRPr="002414E9">
        <w:rPr>
          <w:rFonts w:eastAsia="DengXian" w:cs="Times New Roman"/>
          <w:bCs/>
          <w:i/>
          <w:iCs/>
          <w:noProof/>
          <w:lang w:eastAsia="zh-CN"/>
        </w:rPr>
        <w:t>6</w:t>
      </w:r>
      <w:r w:rsidRPr="002414E9">
        <w:rPr>
          <w:rFonts w:eastAsia="DengXian" w:cs="Times New Roman"/>
          <w:bCs/>
          <w:noProof/>
          <w:lang w:eastAsia="zh-CN"/>
        </w:rPr>
        <w:t>(5), 371–379.  https://doi.org/10.1002/per.2410060505</w:t>
      </w:r>
    </w:p>
    <w:p w14:paraId="3123E71E" w14:textId="262BA6B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Van Lange, P. A. M. (1999). </w:t>
      </w:r>
      <w:r w:rsidRPr="002414E9">
        <w:rPr>
          <w:rFonts w:eastAsia="DengXian" w:cs="Times New Roman"/>
          <w:noProof/>
          <w:lang w:eastAsia="zh-CN"/>
        </w:rPr>
        <w:t xml:space="preserve">The pursuit of joint outcomes and equality in outcomes: An integrative model of social value orientation. </w:t>
      </w:r>
      <w:r w:rsidRPr="002414E9">
        <w:rPr>
          <w:rFonts w:eastAsia="DengXian" w:cs="Times New Roman"/>
          <w:i/>
          <w:iCs/>
          <w:noProof/>
          <w:lang w:eastAsia="zh-CN"/>
        </w:rPr>
        <w:t>Journal of Personality and Social Psychology</w:t>
      </w:r>
      <w:r w:rsidRPr="002414E9">
        <w:rPr>
          <w:rFonts w:eastAsia="DengXian" w:cs="Times New Roman"/>
          <w:noProof/>
          <w:lang w:eastAsia="zh-CN"/>
        </w:rPr>
        <w:t xml:space="preserve">, </w:t>
      </w:r>
      <w:r w:rsidRPr="002414E9">
        <w:rPr>
          <w:rFonts w:eastAsia="DengXian" w:cs="Times New Roman"/>
          <w:i/>
          <w:iCs/>
          <w:noProof/>
          <w:lang w:eastAsia="zh-CN"/>
        </w:rPr>
        <w:t>77</w:t>
      </w:r>
      <w:r w:rsidRPr="002414E9">
        <w:rPr>
          <w:rFonts w:eastAsia="DengXian" w:cs="Times New Roman"/>
          <w:noProof/>
          <w:lang w:eastAsia="zh-CN"/>
        </w:rPr>
        <w:t>(2), 337–349. https://doi.org/10.1037/0022-3514.77.2.337</w:t>
      </w:r>
    </w:p>
    <w:p w14:paraId="496648FB" w14:textId="6313BCA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Van Lange, P. A. M., &amp; Liebrand, W. B. G. (1989). </w:t>
      </w:r>
      <w:r w:rsidRPr="002414E9">
        <w:rPr>
          <w:rFonts w:eastAsia="DengXian" w:cs="Times New Roman"/>
          <w:noProof/>
          <w:lang w:eastAsia="zh-CN"/>
        </w:rPr>
        <w:t xml:space="preserve">On perceiving morality and potency: Social values and the effects of person perception in a give‐some dilemma. </w:t>
      </w:r>
      <w:r w:rsidRPr="002414E9">
        <w:rPr>
          <w:rFonts w:eastAsia="DengXian" w:cs="Times New Roman"/>
          <w:i/>
          <w:iCs/>
          <w:noProof/>
          <w:lang w:eastAsia="zh-CN"/>
        </w:rPr>
        <w:t>European Journal of Personality</w:t>
      </w:r>
      <w:r w:rsidRPr="002414E9">
        <w:rPr>
          <w:rFonts w:eastAsia="DengXian" w:cs="Times New Roman"/>
          <w:noProof/>
          <w:lang w:eastAsia="zh-CN"/>
        </w:rPr>
        <w:t xml:space="preserve">, </w:t>
      </w:r>
      <w:r w:rsidRPr="002414E9">
        <w:rPr>
          <w:rFonts w:eastAsia="DengXian" w:cs="Times New Roman"/>
          <w:i/>
          <w:iCs/>
          <w:noProof/>
          <w:lang w:eastAsia="zh-CN"/>
        </w:rPr>
        <w:t>3</w:t>
      </w:r>
      <w:r w:rsidRPr="002414E9">
        <w:rPr>
          <w:rFonts w:eastAsia="DengXian" w:cs="Times New Roman"/>
          <w:noProof/>
          <w:lang w:eastAsia="zh-CN"/>
        </w:rPr>
        <w:t>(3), 209–225. https://doi.org/10.1002/per.2410030306</w:t>
      </w:r>
    </w:p>
    <w:p w14:paraId="740AB247" w14:textId="073A0B4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Van Lange, P. A. M., &amp; Liebrand, W. B. G. (1991a). </w:t>
      </w:r>
      <w:r w:rsidRPr="002414E9">
        <w:rPr>
          <w:rFonts w:eastAsia="DengXian" w:cs="Times New Roman"/>
          <w:noProof/>
          <w:lang w:eastAsia="zh-CN"/>
        </w:rPr>
        <w:t xml:space="preserve">The influence of other’s morality and own social value orientation on cooperation in the Netherlands and the U.S.A. </w:t>
      </w:r>
      <w:r w:rsidRPr="002414E9">
        <w:rPr>
          <w:rFonts w:eastAsia="DengXian" w:cs="Times New Roman"/>
          <w:i/>
          <w:iCs/>
          <w:noProof/>
          <w:lang w:eastAsia="zh-CN"/>
        </w:rPr>
        <w:t>International Journal of Psychology</w:t>
      </w:r>
      <w:r w:rsidRPr="002414E9">
        <w:rPr>
          <w:rFonts w:eastAsia="DengXian" w:cs="Times New Roman"/>
          <w:noProof/>
          <w:lang w:eastAsia="zh-CN"/>
        </w:rPr>
        <w:t xml:space="preserve">, </w:t>
      </w:r>
      <w:r w:rsidRPr="002414E9">
        <w:rPr>
          <w:rFonts w:eastAsia="DengXian" w:cs="Times New Roman"/>
          <w:i/>
          <w:iCs/>
          <w:noProof/>
          <w:lang w:eastAsia="zh-CN"/>
        </w:rPr>
        <w:t>26</w:t>
      </w:r>
      <w:r w:rsidRPr="002414E9">
        <w:rPr>
          <w:rFonts w:eastAsia="DengXian" w:cs="Times New Roman"/>
          <w:noProof/>
          <w:lang w:eastAsia="zh-CN"/>
        </w:rPr>
        <w:t>(4), e130100. https://doi.org/10.1080/00207599108247133</w:t>
      </w:r>
    </w:p>
    <w:p w14:paraId="5966399D" w14:textId="58CF36C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Van Lange, P. A. M., &amp; Liebrand, W. B. G. (1991b). </w:t>
      </w:r>
      <w:r w:rsidRPr="002414E9">
        <w:rPr>
          <w:rFonts w:eastAsia="DengXian" w:cs="Times New Roman"/>
          <w:noProof/>
          <w:lang w:eastAsia="zh-CN"/>
        </w:rPr>
        <w:t xml:space="preserve">Social value orientation and intelligence: A test of the goal prescribes rationality principle. </w:t>
      </w:r>
      <w:r w:rsidRPr="002414E9">
        <w:rPr>
          <w:rFonts w:eastAsia="DengXian" w:cs="Times New Roman"/>
          <w:i/>
          <w:iCs/>
          <w:noProof/>
          <w:lang w:eastAsia="zh-CN"/>
        </w:rPr>
        <w:t>European Journal of Social Psychology</w:t>
      </w:r>
      <w:r w:rsidRPr="002414E9">
        <w:rPr>
          <w:rFonts w:eastAsia="DengXian" w:cs="Times New Roman"/>
          <w:noProof/>
          <w:lang w:eastAsia="zh-CN"/>
        </w:rPr>
        <w:t xml:space="preserve">, </w:t>
      </w:r>
      <w:r w:rsidRPr="002414E9">
        <w:rPr>
          <w:rFonts w:eastAsia="DengXian" w:cs="Times New Roman"/>
          <w:i/>
          <w:iCs/>
          <w:noProof/>
          <w:lang w:eastAsia="zh-CN"/>
        </w:rPr>
        <w:t>21</w:t>
      </w:r>
      <w:r w:rsidRPr="002414E9">
        <w:rPr>
          <w:rFonts w:eastAsia="DengXian" w:cs="Times New Roman"/>
          <w:noProof/>
          <w:lang w:eastAsia="zh-CN"/>
        </w:rPr>
        <w:t>(4), 273–292. https://doi.org/10.1002/ejsp.2420210402</w:t>
      </w:r>
    </w:p>
    <w:p w14:paraId="41BD248F" w14:textId="20761D0F"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nl-NL" w:eastAsia="zh-CN"/>
        </w:rPr>
        <w:lastRenderedPageBreak/>
        <w:t xml:space="preserve">Van Lange, P. A. M., &amp; Semin‐Goossens, A. (1998). </w:t>
      </w:r>
      <w:r w:rsidRPr="002414E9">
        <w:rPr>
          <w:rFonts w:eastAsia="DengXian" w:cs="Times New Roman"/>
          <w:bCs/>
          <w:noProof/>
          <w:lang w:eastAsia="zh-CN"/>
        </w:rPr>
        <w:t xml:space="preserve">The boundaries of reciprocal cooperation. </w:t>
      </w:r>
      <w:r w:rsidRPr="002414E9">
        <w:rPr>
          <w:rFonts w:eastAsia="DengXian" w:cs="Times New Roman"/>
          <w:bCs/>
          <w:i/>
          <w:iCs/>
          <w:noProof/>
          <w:lang w:eastAsia="zh-CN"/>
        </w:rPr>
        <w:t>European Journal of Social Psychology</w:t>
      </w:r>
      <w:r w:rsidRPr="002414E9">
        <w:rPr>
          <w:rFonts w:eastAsia="DengXian" w:cs="Times New Roman"/>
          <w:bCs/>
          <w:noProof/>
          <w:lang w:eastAsia="zh-CN"/>
        </w:rPr>
        <w:t xml:space="preserve">, </w:t>
      </w:r>
      <w:r w:rsidRPr="002414E9">
        <w:rPr>
          <w:rFonts w:eastAsia="DengXian" w:cs="Times New Roman"/>
          <w:bCs/>
          <w:i/>
          <w:iCs/>
          <w:noProof/>
          <w:lang w:eastAsia="zh-CN"/>
        </w:rPr>
        <w:t>28</w:t>
      </w:r>
      <w:r w:rsidRPr="002414E9">
        <w:rPr>
          <w:rFonts w:eastAsia="DengXian" w:cs="Times New Roman"/>
          <w:bCs/>
          <w:noProof/>
          <w:lang w:eastAsia="zh-CN"/>
        </w:rPr>
        <w:t>(5), 847–854. https://doi.org/10.1002/(SICI)1099-0992(199809/10)28:5&lt;847::AID-EJSP886&gt;3.0.CO;2-L</w:t>
      </w:r>
    </w:p>
    <w:p w14:paraId="1EA52EE6"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Van Lange, P. A. M., Klapwijk, A., &amp; Van Munster, L. M. (2011). </w:t>
      </w:r>
      <w:r w:rsidRPr="002414E9">
        <w:rPr>
          <w:rFonts w:eastAsia="DengXian" w:cs="Times New Roman"/>
          <w:noProof/>
          <w:lang w:eastAsia="zh-CN"/>
        </w:rPr>
        <w:t xml:space="preserve">How the shadow of the future might promote cooperation. </w:t>
      </w:r>
      <w:r w:rsidRPr="002414E9">
        <w:rPr>
          <w:rFonts w:eastAsia="DengXian" w:cs="Times New Roman"/>
          <w:i/>
          <w:iCs/>
          <w:noProof/>
          <w:lang w:eastAsia="zh-CN"/>
        </w:rPr>
        <w:t>Group Processes and Intergroup Relations</w:t>
      </w:r>
      <w:r w:rsidRPr="002414E9">
        <w:rPr>
          <w:rFonts w:eastAsia="DengXian" w:cs="Times New Roman"/>
          <w:noProof/>
          <w:lang w:eastAsia="zh-CN"/>
        </w:rPr>
        <w:t xml:space="preserve">, </w:t>
      </w:r>
      <w:r w:rsidRPr="002414E9">
        <w:rPr>
          <w:rFonts w:eastAsia="DengXian" w:cs="Times New Roman"/>
          <w:i/>
          <w:iCs/>
          <w:noProof/>
          <w:lang w:eastAsia="zh-CN"/>
        </w:rPr>
        <w:t>14</w:t>
      </w:r>
      <w:r w:rsidRPr="002414E9">
        <w:rPr>
          <w:rFonts w:eastAsia="DengXian" w:cs="Times New Roman"/>
          <w:noProof/>
          <w:lang w:eastAsia="zh-CN"/>
        </w:rPr>
        <w:t>(6), 857–870. https://doi.org/10.1177/1368430211402102</w:t>
      </w:r>
    </w:p>
    <w:p w14:paraId="4204EF0B" w14:textId="2F03F600" w:rsidR="002414E9" w:rsidRPr="002414E9" w:rsidRDefault="002414E9" w:rsidP="002414E9">
      <w:pPr>
        <w:widowControl w:val="0"/>
        <w:autoSpaceDE w:val="0"/>
        <w:autoSpaceDN w:val="0"/>
        <w:adjustRightInd w:val="0"/>
        <w:ind w:left="709" w:hanging="709"/>
        <w:rPr>
          <w:rFonts w:eastAsia="DengXian" w:cs="Times New Roman"/>
          <w:bCs/>
          <w:noProof/>
          <w:lang w:val="nl-NL" w:eastAsia="zh-CN"/>
        </w:rPr>
      </w:pPr>
      <w:r w:rsidRPr="002414E9">
        <w:rPr>
          <w:rFonts w:eastAsia="DengXian" w:cs="Times New Roman"/>
          <w:bCs/>
          <w:noProof/>
          <w:lang w:val="nl-NL" w:eastAsia="zh-CN"/>
        </w:rPr>
        <w:t xml:space="preserve">Van Lange, P. A. M., Liebrand, W. B., &amp; Kuhlman, D. M. (1990). </w:t>
      </w:r>
      <w:r w:rsidRPr="002414E9">
        <w:rPr>
          <w:rFonts w:eastAsia="DengXian" w:cs="Times New Roman"/>
          <w:bCs/>
          <w:noProof/>
          <w:lang w:eastAsia="zh-CN"/>
        </w:rPr>
        <w:t xml:space="preserve">Causal attribution of choice behavior in three N-person prisoner's dilemmas. </w:t>
      </w:r>
      <w:r w:rsidRPr="002414E9">
        <w:rPr>
          <w:rFonts w:eastAsia="DengXian" w:cs="Times New Roman"/>
          <w:bCs/>
          <w:i/>
          <w:iCs/>
          <w:noProof/>
          <w:lang w:val="nl-NL" w:eastAsia="zh-CN"/>
        </w:rPr>
        <w:t>Journal of Experimental Social Psychology</w:t>
      </w:r>
      <w:r w:rsidRPr="002414E9">
        <w:rPr>
          <w:rFonts w:eastAsia="DengXian" w:cs="Times New Roman"/>
          <w:bCs/>
          <w:noProof/>
          <w:lang w:val="nl-NL" w:eastAsia="zh-CN"/>
        </w:rPr>
        <w:t xml:space="preserve">, </w:t>
      </w:r>
      <w:r w:rsidRPr="002414E9">
        <w:rPr>
          <w:rFonts w:eastAsia="DengXian" w:cs="Times New Roman"/>
          <w:bCs/>
          <w:i/>
          <w:iCs/>
          <w:noProof/>
          <w:lang w:val="nl-NL" w:eastAsia="zh-CN"/>
        </w:rPr>
        <w:t>26</w:t>
      </w:r>
      <w:r w:rsidRPr="002414E9">
        <w:rPr>
          <w:rFonts w:eastAsia="DengXian" w:cs="Times New Roman"/>
          <w:bCs/>
          <w:noProof/>
          <w:lang w:val="nl-NL" w:eastAsia="zh-CN"/>
        </w:rPr>
        <w:t>(1), 34–48. https://doi.org/10.1016/0022-1031(90)90060-Y</w:t>
      </w:r>
    </w:p>
    <w:p w14:paraId="52534965" w14:textId="46013D6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Van Lange, P. A. M., Ouwerkerk, J. W., &amp; Tazelaar, M. J. A. (2002). </w:t>
      </w:r>
      <w:r w:rsidRPr="002414E9">
        <w:rPr>
          <w:rFonts w:eastAsia="DengXian" w:cs="Times New Roman"/>
          <w:noProof/>
          <w:lang w:eastAsia="zh-CN"/>
        </w:rPr>
        <w:t xml:space="preserve">How to overcome the detrimental effects of noise in social interaction: The benefits of generosity. </w:t>
      </w:r>
      <w:r w:rsidRPr="002414E9">
        <w:rPr>
          <w:rFonts w:eastAsia="DengXian" w:cs="Times New Roman"/>
          <w:i/>
          <w:iCs/>
          <w:noProof/>
          <w:lang w:eastAsia="zh-CN"/>
        </w:rPr>
        <w:t>Journal of Personality and Social Psychology</w:t>
      </w:r>
      <w:r w:rsidRPr="002414E9">
        <w:rPr>
          <w:rFonts w:eastAsia="DengXian" w:cs="Times New Roman"/>
          <w:noProof/>
          <w:lang w:eastAsia="zh-CN"/>
        </w:rPr>
        <w:t xml:space="preserve">, </w:t>
      </w:r>
      <w:r w:rsidRPr="002414E9">
        <w:rPr>
          <w:rFonts w:eastAsia="DengXian" w:cs="Times New Roman"/>
          <w:i/>
          <w:iCs/>
          <w:noProof/>
          <w:lang w:eastAsia="zh-CN"/>
        </w:rPr>
        <w:t>82</w:t>
      </w:r>
      <w:r w:rsidRPr="002414E9">
        <w:rPr>
          <w:rFonts w:eastAsia="DengXian" w:cs="Times New Roman"/>
          <w:noProof/>
          <w:lang w:eastAsia="zh-CN"/>
        </w:rPr>
        <w:t>(5), 768–780. https://doi.org/10.1037/0022-3514.82.5.768</w:t>
      </w:r>
    </w:p>
    <w:p w14:paraId="3957903B" w14:textId="13BC715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Van Soest, D., Stoop, J., &amp; Vyrastekova, J. (2016). </w:t>
      </w:r>
      <w:r w:rsidRPr="002414E9">
        <w:rPr>
          <w:rFonts w:eastAsia="DengXian" w:cs="Times New Roman"/>
          <w:noProof/>
          <w:lang w:eastAsia="zh-CN"/>
        </w:rPr>
        <w:t xml:space="preserve">Toward a delineation of the circumstances in which cooperation can be sustained in environmental and resource problems. </w:t>
      </w:r>
      <w:r w:rsidRPr="002414E9">
        <w:rPr>
          <w:rFonts w:eastAsia="DengXian" w:cs="Times New Roman"/>
          <w:i/>
          <w:iCs/>
          <w:noProof/>
          <w:lang w:eastAsia="zh-CN"/>
        </w:rPr>
        <w:t>Journal of Environmental Economics and Management</w:t>
      </w:r>
      <w:r w:rsidRPr="002414E9">
        <w:rPr>
          <w:rFonts w:eastAsia="DengXian" w:cs="Times New Roman"/>
          <w:noProof/>
          <w:lang w:eastAsia="zh-CN"/>
        </w:rPr>
        <w:t xml:space="preserve">, </w:t>
      </w:r>
      <w:r w:rsidRPr="002414E9">
        <w:rPr>
          <w:rFonts w:eastAsia="DengXian" w:cs="Times New Roman"/>
          <w:i/>
          <w:iCs/>
          <w:noProof/>
          <w:lang w:eastAsia="zh-CN"/>
        </w:rPr>
        <w:t>77</w:t>
      </w:r>
      <w:r w:rsidRPr="002414E9">
        <w:rPr>
          <w:rFonts w:eastAsia="DengXian" w:cs="Times New Roman"/>
          <w:noProof/>
          <w:lang w:eastAsia="zh-CN"/>
        </w:rPr>
        <w:t>, 1–13. https://doi.org/10.1016/j.jeem.2015.12.004</w:t>
      </w:r>
    </w:p>
    <w:p w14:paraId="6F4508EA" w14:textId="3F557D8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Van Vugt, M., &amp; De Cremer, D. (1999). </w:t>
      </w:r>
      <w:r w:rsidRPr="002414E9">
        <w:rPr>
          <w:rFonts w:eastAsia="DengXian" w:cs="Times New Roman"/>
          <w:noProof/>
          <w:lang w:eastAsia="zh-CN"/>
        </w:rPr>
        <w:t xml:space="preserve">Leadership in social dilemmas: The effects of group identification on collective actions to provide public goods. </w:t>
      </w:r>
      <w:r w:rsidRPr="002414E9">
        <w:rPr>
          <w:rFonts w:eastAsia="DengXian" w:cs="Times New Roman"/>
          <w:i/>
          <w:iCs/>
          <w:noProof/>
          <w:lang w:eastAsia="zh-CN"/>
        </w:rPr>
        <w:t>Journal of Personality and Social Psychology</w:t>
      </w:r>
      <w:r w:rsidRPr="002414E9">
        <w:rPr>
          <w:rFonts w:eastAsia="DengXian" w:cs="Times New Roman"/>
          <w:noProof/>
          <w:lang w:eastAsia="zh-CN"/>
        </w:rPr>
        <w:t xml:space="preserve">, </w:t>
      </w:r>
      <w:r w:rsidRPr="002414E9">
        <w:rPr>
          <w:rFonts w:eastAsia="DengXian" w:cs="Times New Roman"/>
          <w:i/>
          <w:iCs/>
          <w:noProof/>
          <w:lang w:eastAsia="zh-CN"/>
        </w:rPr>
        <w:t>76</w:t>
      </w:r>
      <w:r w:rsidRPr="002414E9">
        <w:rPr>
          <w:rFonts w:eastAsia="DengXian" w:cs="Times New Roman"/>
          <w:noProof/>
          <w:lang w:eastAsia="zh-CN"/>
        </w:rPr>
        <w:t>(4), 587–599. https://doi.org/10.1037/0022-3514.76.4.587</w:t>
      </w:r>
    </w:p>
    <w:p w14:paraId="4673DEE9" w14:textId="4DBDC39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Van Vugt, M., &amp; Hardy, C. L. (2010). </w:t>
      </w:r>
      <w:r w:rsidRPr="002414E9">
        <w:rPr>
          <w:rFonts w:eastAsia="DengXian" w:cs="Times New Roman"/>
          <w:noProof/>
          <w:lang w:eastAsia="zh-CN"/>
        </w:rPr>
        <w:t xml:space="preserve">Cooperation for reputation: Wasteful contributions as costly signals in public goods. </w:t>
      </w:r>
      <w:r w:rsidRPr="002414E9">
        <w:rPr>
          <w:rFonts w:eastAsia="DengXian" w:cs="Times New Roman"/>
          <w:i/>
          <w:iCs/>
          <w:noProof/>
          <w:lang w:eastAsia="zh-CN"/>
        </w:rPr>
        <w:t>Group Processes &amp; Intergroup Relations</w:t>
      </w:r>
      <w:r w:rsidRPr="002414E9">
        <w:rPr>
          <w:rFonts w:eastAsia="DengXian" w:cs="Times New Roman"/>
          <w:noProof/>
          <w:lang w:eastAsia="zh-CN"/>
        </w:rPr>
        <w:t xml:space="preserve">, </w:t>
      </w:r>
      <w:r w:rsidRPr="002414E9">
        <w:rPr>
          <w:rFonts w:eastAsia="DengXian" w:cs="Times New Roman"/>
          <w:i/>
          <w:iCs/>
          <w:noProof/>
          <w:lang w:eastAsia="zh-CN"/>
        </w:rPr>
        <w:t>13</w:t>
      </w:r>
      <w:r w:rsidRPr="002414E9">
        <w:rPr>
          <w:rFonts w:eastAsia="DengXian" w:cs="Times New Roman"/>
          <w:noProof/>
          <w:lang w:eastAsia="zh-CN"/>
        </w:rPr>
        <w:t xml:space="preserve">(1), 101–111. </w:t>
      </w:r>
      <w:r w:rsidRPr="002414E9">
        <w:rPr>
          <w:rFonts w:eastAsia="DengXian" w:cs="Times New Roman"/>
          <w:noProof/>
          <w:lang w:eastAsia="zh-CN"/>
        </w:rPr>
        <w:lastRenderedPageBreak/>
        <w:t>https://doi.org/10.1177/1368430209342258</w:t>
      </w:r>
    </w:p>
    <w:p w14:paraId="663B6BAE" w14:textId="0404608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Van Vugt, M., &amp; Hart, C. M. (2004). </w:t>
      </w:r>
      <w:r w:rsidRPr="002414E9">
        <w:rPr>
          <w:rFonts w:eastAsia="DengXian" w:cs="Times New Roman"/>
          <w:noProof/>
          <w:lang w:eastAsia="zh-CN"/>
        </w:rPr>
        <w:t xml:space="preserve">Social identity as social glue: The origins of group loyalty. </w:t>
      </w:r>
      <w:r w:rsidRPr="002414E9">
        <w:rPr>
          <w:rFonts w:eastAsia="DengXian" w:cs="Times New Roman"/>
          <w:i/>
          <w:iCs/>
          <w:noProof/>
          <w:lang w:eastAsia="zh-CN"/>
        </w:rPr>
        <w:t>Journal of Personality and Social Psychology</w:t>
      </w:r>
      <w:r w:rsidRPr="002414E9">
        <w:rPr>
          <w:rFonts w:eastAsia="DengXian" w:cs="Times New Roman"/>
          <w:noProof/>
          <w:lang w:eastAsia="zh-CN"/>
        </w:rPr>
        <w:t xml:space="preserve">, </w:t>
      </w:r>
      <w:r w:rsidRPr="002414E9">
        <w:rPr>
          <w:rFonts w:eastAsia="DengXian" w:cs="Times New Roman"/>
          <w:i/>
          <w:iCs/>
          <w:noProof/>
          <w:lang w:eastAsia="zh-CN"/>
        </w:rPr>
        <w:t>86</w:t>
      </w:r>
      <w:r w:rsidRPr="002414E9">
        <w:rPr>
          <w:rFonts w:eastAsia="DengXian" w:cs="Times New Roman"/>
          <w:noProof/>
          <w:lang w:eastAsia="zh-CN"/>
        </w:rPr>
        <w:t>(4), 585–598. https://doi.org/10.1037/0022-3514.86.4.585</w:t>
      </w:r>
    </w:p>
    <w:p w14:paraId="109EE6A7" w14:textId="36F6EBA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Van Vugt, M., &amp; Iredale, W. (2013). </w:t>
      </w:r>
      <w:r w:rsidRPr="002414E9">
        <w:rPr>
          <w:rFonts w:eastAsia="DengXian" w:cs="Times New Roman"/>
          <w:noProof/>
          <w:lang w:eastAsia="zh-CN"/>
        </w:rPr>
        <w:t xml:space="preserve">Men behaving nicely: Public goods as peacock tails. </w:t>
      </w:r>
      <w:r w:rsidRPr="002414E9">
        <w:rPr>
          <w:rFonts w:eastAsia="DengXian" w:cs="Times New Roman"/>
          <w:i/>
          <w:iCs/>
          <w:noProof/>
          <w:lang w:eastAsia="zh-CN"/>
        </w:rPr>
        <w:t>British Journal of Psychology</w:t>
      </w:r>
      <w:r w:rsidRPr="002414E9">
        <w:rPr>
          <w:rFonts w:eastAsia="DengXian" w:cs="Times New Roman"/>
          <w:noProof/>
          <w:lang w:eastAsia="zh-CN"/>
        </w:rPr>
        <w:t xml:space="preserve">, </w:t>
      </w:r>
      <w:r w:rsidRPr="002414E9">
        <w:rPr>
          <w:rFonts w:eastAsia="DengXian" w:cs="Times New Roman"/>
          <w:i/>
          <w:iCs/>
          <w:noProof/>
          <w:lang w:eastAsia="zh-CN"/>
        </w:rPr>
        <w:t>104</w:t>
      </w:r>
      <w:r w:rsidRPr="002414E9">
        <w:rPr>
          <w:rFonts w:eastAsia="DengXian" w:cs="Times New Roman"/>
          <w:noProof/>
          <w:lang w:eastAsia="zh-CN"/>
        </w:rPr>
        <w:t>(1), 3–13. https://doi.org/10.1111/j.2044-8295.2011.02093.x</w:t>
      </w:r>
    </w:p>
    <w:p w14:paraId="09803345" w14:textId="25BF90E4" w:rsidR="002414E9" w:rsidRPr="002414E9" w:rsidRDefault="002414E9" w:rsidP="002414E9">
      <w:pPr>
        <w:widowControl w:val="0"/>
        <w:autoSpaceDE w:val="0"/>
        <w:autoSpaceDN w:val="0"/>
        <w:adjustRightInd w:val="0"/>
        <w:ind w:left="709" w:hanging="709"/>
        <w:rPr>
          <w:rFonts w:eastAsia="DengXian" w:cs="Times New Roman"/>
          <w:noProof/>
          <w:lang w:val="fr-FR" w:eastAsia="zh-CN"/>
        </w:rPr>
      </w:pPr>
      <w:r w:rsidRPr="002414E9">
        <w:rPr>
          <w:rFonts w:eastAsia="DengXian" w:cs="Times New Roman"/>
          <w:noProof/>
          <w:lang w:val="nl-NL" w:eastAsia="zh-CN"/>
        </w:rPr>
        <w:t xml:space="preserve">Van Vugt, M., &amp; Spisak, B. R. (2008). </w:t>
      </w:r>
      <w:r w:rsidRPr="002414E9">
        <w:rPr>
          <w:rFonts w:eastAsia="DengXian" w:cs="Times New Roman"/>
          <w:noProof/>
          <w:lang w:eastAsia="zh-CN"/>
        </w:rPr>
        <w:t xml:space="preserve">Sex differences in the emergence of leadership during competitions within and between groups. </w:t>
      </w:r>
      <w:r w:rsidRPr="002414E9">
        <w:rPr>
          <w:rFonts w:eastAsia="DengXian" w:cs="Times New Roman"/>
          <w:i/>
          <w:iCs/>
          <w:noProof/>
          <w:lang w:val="fr-FR" w:eastAsia="zh-CN"/>
        </w:rPr>
        <w:t>Psychological Science</w:t>
      </w:r>
      <w:r w:rsidRPr="002414E9">
        <w:rPr>
          <w:rFonts w:eastAsia="DengXian" w:cs="Times New Roman"/>
          <w:noProof/>
          <w:lang w:val="fr-FR" w:eastAsia="zh-CN"/>
        </w:rPr>
        <w:t xml:space="preserve">, </w:t>
      </w:r>
      <w:r w:rsidRPr="002414E9">
        <w:rPr>
          <w:rFonts w:eastAsia="DengXian" w:cs="Times New Roman"/>
          <w:i/>
          <w:iCs/>
          <w:noProof/>
          <w:lang w:val="fr-FR" w:eastAsia="zh-CN"/>
        </w:rPr>
        <w:t>19</w:t>
      </w:r>
      <w:r w:rsidRPr="002414E9">
        <w:rPr>
          <w:rFonts w:eastAsia="DengXian" w:cs="Times New Roman"/>
          <w:noProof/>
          <w:lang w:val="fr-FR" w:eastAsia="zh-CN"/>
        </w:rPr>
        <w:t>(9), 854–858. https://doi.org/10.1111/j.1467-9280.2008.02168.x</w:t>
      </w:r>
    </w:p>
    <w:p w14:paraId="163B97D7" w14:textId="4126468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fr-FR" w:eastAsia="zh-CN"/>
        </w:rPr>
        <w:t xml:space="preserve">Velez, J. A. (2015). </w:t>
      </w:r>
      <w:r w:rsidRPr="002414E9">
        <w:rPr>
          <w:rFonts w:eastAsia="DengXian" w:cs="Times New Roman"/>
          <w:noProof/>
          <w:lang w:eastAsia="zh-CN"/>
        </w:rPr>
        <w:t xml:space="preserve">Extending the theory of bounded generalized reciprocity: An explanation of the social benefits of cooperative video game play. </w:t>
      </w:r>
      <w:r w:rsidRPr="002414E9">
        <w:rPr>
          <w:rFonts w:eastAsia="DengXian" w:cs="Times New Roman"/>
          <w:i/>
          <w:iCs/>
          <w:noProof/>
          <w:lang w:eastAsia="zh-CN"/>
        </w:rPr>
        <w:t>Computers in Human Behavior</w:t>
      </w:r>
      <w:r w:rsidRPr="002414E9">
        <w:rPr>
          <w:rFonts w:eastAsia="DengXian" w:cs="Times New Roman"/>
          <w:noProof/>
          <w:lang w:eastAsia="zh-CN"/>
        </w:rPr>
        <w:t xml:space="preserve">, </w:t>
      </w:r>
      <w:r w:rsidRPr="002414E9">
        <w:rPr>
          <w:rFonts w:eastAsia="DengXian" w:cs="Times New Roman"/>
          <w:i/>
          <w:iCs/>
          <w:noProof/>
          <w:lang w:eastAsia="zh-CN"/>
        </w:rPr>
        <w:t>48</w:t>
      </w:r>
      <w:r w:rsidRPr="002414E9">
        <w:rPr>
          <w:rFonts w:eastAsia="DengXian" w:cs="Times New Roman"/>
          <w:noProof/>
          <w:lang w:eastAsia="zh-CN"/>
        </w:rPr>
        <w:t>, 481–491. https://doi.org/10.1016/j.chb.2015.02.015</w:t>
      </w:r>
    </w:p>
    <w:p w14:paraId="073CC84F" w14:textId="746BAE3C" w:rsidR="002414E9" w:rsidRPr="002414E9" w:rsidRDefault="002414E9" w:rsidP="002414E9">
      <w:pPr>
        <w:widowControl w:val="0"/>
        <w:autoSpaceDE w:val="0"/>
        <w:autoSpaceDN w:val="0"/>
        <w:adjustRightInd w:val="0"/>
        <w:ind w:left="709" w:hanging="709"/>
        <w:rPr>
          <w:rFonts w:eastAsia="DengXian" w:cs="Times New Roman"/>
          <w:noProof/>
          <w:lang w:val="nl-NL" w:eastAsia="zh-CN"/>
        </w:rPr>
      </w:pPr>
      <w:r w:rsidRPr="002414E9">
        <w:rPr>
          <w:rFonts w:eastAsia="DengXian" w:cs="Times New Roman"/>
          <w:noProof/>
          <w:lang w:val="es-ES" w:eastAsia="zh-CN"/>
        </w:rPr>
        <w:t xml:space="preserve">Vélez, M. A., Trujillo, C. A., Moros, L., &amp; Forero, C. (2016). </w:t>
      </w:r>
      <w:r w:rsidRPr="002414E9">
        <w:rPr>
          <w:rFonts w:eastAsia="DengXian" w:cs="Times New Roman"/>
          <w:noProof/>
          <w:lang w:eastAsia="zh-CN"/>
        </w:rPr>
        <w:t xml:space="preserve">Prosocial behavior and subjective insecurity in violent contexts: Field experiments. </w:t>
      </w:r>
      <w:r w:rsidRPr="002414E9">
        <w:rPr>
          <w:rFonts w:eastAsia="DengXian" w:cs="Times New Roman"/>
          <w:i/>
          <w:iCs/>
          <w:noProof/>
          <w:lang w:val="nl-NL" w:eastAsia="zh-CN"/>
        </w:rPr>
        <w:t>PLoS ONE</w:t>
      </w:r>
      <w:r w:rsidRPr="002414E9">
        <w:rPr>
          <w:rFonts w:eastAsia="DengXian" w:cs="Times New Roman"/>
          <w:noProof/>
          <w:lang w:val="nl-NL" w:eastAsia="zh-CN"/>
        </w:rPr>
        <w:t xml:space="preserve">, </w:t>
      </w:r>
      <w:r w:rsidRPr="002414E9">
        <w:rPr>
          <w:rFonts w:eastAsia="DengXian" w:cs="Times New Roman"/>
          <w:i/>
          <w:iCs/>
          <w:noProof/>
          <w:lang w:val="nl-NL" w:eastAsia="zh-CN"/>
        </w:rPr>
        <w:t>11</w:t>
      </w:r>
      <w:r w:rsidRPr="002414E9">
        <w:rPr>
          <w:rFonts w:eastAsia="DengXian" w:cs="Times New Roman"/>
          <w:noProof/>
          <w:lang w:val="nl-NL" w:eastAsia="zh-CN"/>
        </w:rPr>
        <w:t>(7), e0158878. https://doi.org/10.1371/journal.pone.0158878</w:t>
      </w:r>
    </w:p>
    <w:p w14:paraId="41DD30D4" w14:textId="620818C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Verkoeijen, P. P. J. L., &amp; Bouwmeester, S. (2014). </w:t>
      </w:r>
      <w:r w:rsidRPr="002414E9">
        <w:rPr>
          <w:rFonts w:eastAsia="DengXian" w:cs="Times New Roman"/>
          <w:noProof/>
          <w:lang w:eastAsia="zh-CN"/>
        </w:rPr>
        <w:t xml:space="preserve">Does intuition cause cooperation? </w:t>
      </w:r>
      <w:r w:rsidRPr="002414E9">
        <w:rPr>
          <w:rFonts w:eastAsia="DengXian" w:cs="Times New Roman"/>
          <w:i/>
          <w:iCs/>
          <w:noProof/>
          <w:lang w:eastAsia="zh-CN"/>
        </w:rPr>
        <w:t>PLoS ONE</w:t>
      </w:r>
      <w:r w:rsidRPr="002414E9">
        <w:rPr>
          <w:rFonts w:eastAsia="DengXian" w:cs="Times New Roman"/>
          <w:noProof/>
          <w:lang w:eastAsia="zh-CN"/>
        </w:rPr>
        <w:t xml:space="preserve">, </w:t>
      </w:r>
      <w:r w:rsidRPr="002414E9">
        <w:rPr>
          <w:rFonts w:eastAsia="DengXian" w:cs="Times New Roman"/>
          <w:i/>
          <w:iCs/>
          <w:noProof/>
          <w:lang w:eastAsia="zh-CN"/>
        </w:rPr>
        <w:t>9</w:t>
      </w:r>
      <w:r w:rsidRPr="002414E9">
        <w:rPr>
          <w:rFonts w:eastAsia="DengXian" w:cs="Times New Roman"/>
          <w:noProof/>
          <w:lang w:eastAsia="zh-CN"/>
        </w:rPr>
        <w:t>(5), e96654. https://doi.org/10.1371/journal.pone.0096654</w:t>
      </w:r>
    </w:p>
    <w:p w14:paraId="5DA6FC59" w14:textId="6BAC449D"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nl-NL" w:eastAsia="zh-CN"/>
        </w:rPr>
        <w:t xml:space="preserve">Verplaetse, J., Vanneste, S., &amp; Braeckman, J. (2007). </w:t>
      </w:r>
      <w:r w:rsidRPr="002414E9">
        <w:rPr>
          <w:rFonts w:eastAsia="DengXian" w:cs="Times New Roman"/>
          <w:bCs/>
          <w:noProof/>
          <w:lang w:eastAsia="zh-CN"/>
        </w:rPr>
        <w:t xml:space="preserve">You can judge a book by its cover: the sequel.: A kernel of truth in predictive cheating detection. </w:t>
      </w:r>
      <w:r w:rsidRPr="002414E9">
        <w:rPr>
          <w:rFonts w:eastAsia="DengXian" w:cs="Times New Roman"/>
          <w:bCs/>
          <w:i/>
          <w:iCs/>
          <w:noProof/>
          <w:lang w:eastAsia="zh-CN"/>
        </w:rPr>
        <w:t>Evolution and Human Behavior</w:t>
      </w:r>
      <w:r w:rsidRPr="002414E9">
        <w:rPr>
          <w:rFonts w:eastAsia="DengXian" w:cs="Times New Roman"/>
          <w:bCs/>
          <w:noProof/>
          <w:lang w:eastAsia="zh-CN"/>
        </w:rPr>
        <w:t xml:space="preserve">, </w:t>
      </w:r>
      <w:r w:rsidRPr="002414E9">
        <w:rPr>
          <w:rFonts w:eastAsia="DengXian" w:cs="Times New Roman"/>
          <w:bCs/>
          <w:i/>
          <w:iCs/>
          <w:noProof/>
          <w:lang w:eastAsia="zh-CN"/>
        </w:rPr>
        <w:t>28</w:t>
      </w:r>
      <w:r w:rsidRPr="002414E9">
        <w:rPr>
          <w:rFonts w:eastAsia="DengXian" w:cs="Times New Roman"/>
          <w:bCs/>
          <w:noProof/>
          <w:lang w:eastAsia="zh-CN"/>
        </w:rPr>
        <w:t>(4), 260–271. https://doi.org/10.1016/j.evolhumbehav.2007.04.006</w:t>
      </w:r>
    </w:p>
    <w:p w14:paraId="01EB3BCC" w14:textId="4AD13A90"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Vlaev, I., &amp; Chater, N. (2006). Game relativity: How context influences strategic decision making. </w:t>
      </w:r>
      <w:r w:rsidRPr="002414E9">
        <w:rPr>
          <w:rFonts w:eastAsia="DengXian" w:cs="Times New Roman"/>
          <w:bCs/>
          <w:i/>
          <w:iCs/>
          <w:noProof/>
          <w:lang w:eastAsia="zh-CN"/>
        </w:rPr>
        <w:t>Journal of Experimental Psychology: Learning, Memory, and Cognition, 32</w:t>
      </w:r>
      <w:r w:rsidRPr="002414E9">
        <w:rPr>
          <w:rFonts w:eastAsia="DengXian" w:cs="Times New Roman"/>
          <w:bCs/>
          <w:noProof/>
          <w:lang w:eastAsia="zh-CN"/>
        </w:rPr>
        <w:t>(1), 131–149. https://doi.org/10.1037/0278-7393.32.1.131</w:t>
      </w:r>
    </w:p>
    <w:p w14:paraId="3861C05A" w14:textId="57C08625"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lastRenderedPageBreak/>
        <w:t xml:space="preserve">Vlaev, I., &amp; Chater, N. (2007). Context effects in games: Local versus global sequential effects on choice in the prisoner's dilemma game. </w:t>
      </w:r>
      <w:r w:rsidRPr="002414E9">
        <w:rPr>
          <w:rFonts w:eastAsia="DengXian" w:cs="Times New Roman"/>
          <w:bCs/>
          <w:i/>
          <w:iCs/>
          <w:noProof/>
          <w:lang w:eastAsia="zh-CN"/>
        </w:rPr>
        <w:t>Judgment and Decision Making</w:t>
      </w:r>
      <w:r w:rsidRPr="002414E9">
        <w:rPr>
          <w:rFonts w:eastAsia="DengXian" w:cs="Times New Roman"/>
          <w:bCs/>
          <w:noProof/>
          <w:lang w:eastAsia="zh-CN"/>
        </w:rPr>
        <w:t xml:space="preserve">, </w:t>
      </w:r>
      <w:r w:rsidRPr="002414E9">
        <w:rPr>
          <w:rFonts w:eastAsia="DengXian" w:cs="Times New Roman"/>
          <w:bCs/>
          <w:i/>
          <w:iCs/>
          <w:noProof/>
          <w:lang w:eastAsia="zh-CN"/>
        </w:rPr>
        <w:t>2</w:t>
      </w:r>
      <w:r w:rsidRPr="002414E9">
        <w:rPr>
          <w:rFonts w:eastAsia="DengXian" w:cs="Times New Roman"/>
          <w:bCs/>
          <w:noProof/>
          <w:lang w:eastAsia="zh-CN"/>
        </w:rPr>
        <w:t>(6), 380–389. https://doi.org/10.1.1.420.479</w:t>
      </w:r>
    </w:p>
    <w:p w14:paraId="07F71C7D" w14:textId="40346BB8" w:rsidR="002414E9" w:rsidRPr="002414E9" w:rsidRDefault="002414E9" w:rsidP="002414E9">
      <w:pPr>
        <w:widowControl w:val="0"/>
        <w:autoSpaceDE w:val="0"/>
        <w:autoSpaceDN w:val="0"/>
        <w:adjustRightInd w:val="0"/>
        <w:ind w:left="709" w:hanging="709"/>
        <w:rPr>
          <w:rFonts w:eastAsia="DengXian" w:cs="Times New Roman"/>
          <w:bCs/>
          <w:noProof/>
          <w:u w:val="single"/>
          <w:lang w:eastAsia="zh-CN"/>
        </w:rPr>
      </w:pPr>
      <w:r w:rsidRPr="002414E9">
        <w:rPr>
          <w:rFonts w:eastAsia="DengXian" w:cs="Times New Roman"/>
          <w:bCs/>
          <w:noProof/>
          <w:lang w:eastAsia="zh-CN"/>
        </w:rPr>
        <w:t xml:space="preserve">Vogt, S., Efferson, C., &amp; Fehr, E. (2013). Can we see inside? Predicting strategic behavior given limited information. </w:t>
      </w:r>
      <w:r w:rsidRPr="002414E9">
        <w:rPr>
          <w:rFonts w:eastAsia="DengXian" w:cs="Times New Roman"/>
          <w:bCs/>
          <w:i/>
          <w:iCs/>
          <w:noProof/>
          <w:lang w:eastAsia="zh-CN"/>
        </w:rPr>
        <w:t>Evolution and Human Behavior</w:t>
      </w:r>
      <w:r w:rsidRPr="002414E9">
        <w:rPr>
          <w:rFonts w:eastAsia="DengXian" w:cs="Times New Roman"/>
          <w:bCs/>
          <w:noProof/>
          <w:lang w:eastAsia="zh-CN"/>
        </w:rPr>
        <w:t xml:space="preserve">, </w:t>
      </w:r>
      <w:r w:rsidRPr="002414E9">
        <w:rPr>
          <w:rFonts w:eastAsia="DengXian" w:cs="Times New Roman"/>
          <w:bCs/>
          <w:i/>
          <w:iCs/>
          <w:noProof/>
          <w:lang w:eastAsia="zh-CN"/>
        </w:rPr>
        <w:t>34</w:t>
      </w:r>
      <w:r w:rsidRPr="002414E9">
        <w:rPr>
          <w:rFonts w:eastAsia="DengXian" w:cs="Times New Roman"/>
          <w:bCs/>
          <w:noProof/>
          <w:lang w:eastAsia="zh-CN"/>
        </w:rPr>
        <w:t>(4), 258–264. https://doi.org/10.1016/j.evolhumbehav.2013.03.003</w:t>
      </w:r>
    </w:p>
    <w:p w14:paraId="2E0C9AAA" w14:textId="36154C48"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Voissem, N. H., &amp; Sistrunk, F. (1971). Communication schedule and cooperative game behavior. </w:t>
      </w:r>
      <w:r w:rsidRPr="002414E9">
        <w:rPr>
          <w:rFonts w:eastAsia="DengXian" w:cs="Times New Roman"/>
          <w:bCs/>
          <w:i/>
          <w:iCs/>
          <w:noProof/>
          <w:lang w:eastAsia="zh-CN"/>
        </w:rPr>
        <w:t>Journal of Personality and Social Psychology, 19</w:t>
      </w:r>
      <w:r w:rsidRPr="002414E9">
        <w:rPr>
          <w:rFonts w:eastAsia="DengXian" w:cs="Times New Roman"/>
          <w:bCs/>
          <w:noProof/>
          <w:lang w:eastAsia="zh-CN"/>
        </w:rPr>
        <w:t>(2), 160–167. https://doi.org/10.1037/h0031277</w:t>
      </w:r>
    </w:p>
    <w:p w14:paraId="34962887" w14:textId="6A1C493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Volk, S., Thöni, C., &amp; Ruigrok, W. (2012). </w:t>
      </w:r>
      <w:r w:rsidRPr="002414E9">
        <w:rPr>
          <w:rFonts w:eastAsia="DengXian" w:cs="Times New Roman"/>
          <w:noProof/>
          <w:lang w:eastAsia="zh-CN"/>
        </w:rPr>
        <w:t xml:space="preserve">Temporal stability and psychological foundations of cooperation preferences. </w:t>
      </w:r>
      <w:r w:rsidRPr="002414E9">
        <w:rPr>
          <w:rFonts w:eastAsia="DengXian" w:cs="Times New Roman"/>
          <w:i/>
          <w:iCs/>
          <w:noProof/>
          <w:lang w:eastAsia="zh-CN"/>
        </w:rPr>
        <w:t>Journal of Economic Behavior &amp; Organization</w:t>
      </w:r>
      <w:r w:rsidRPr="002414E9">
        <w:rPr>
          <w:rFonts w:eastAsia="DengXian" w:cs="Times New Roman"/>
          <w:noProof/>
          <w:lang w:eastAsia="zh-CN"/>
        </w:rPr>
        <w:t xml:space="preserve">, </w:t>
      </w:r>
      <w:r w:rsidRPr="002414E9">
        <w:rPr>
          <w:rFonts w:eastAsia="DengXian" w:cs="Times New Roman"/>
          <w:i/>
          <w:iCs/>
          <w:noProof/>
          <w:lang w:eastAsia="zh-CN"/>
        </w:rPr>
        <w:t>81</w:t>
      </w:r>
      <w:r w:rsidRPr="002414E9">
        <w:rPr>
          <w:rFonts w:eastAsia="DengXian" w:cs="Times New Roman"/>
          <w:noProof/>
          <w:lang w:eastAsia="zh-CN"/>
        </w:rPr>
        <w:t>(2), 664–676. https://doi.org/10.1016/j.jebo.2011.10.006</w:t>
      </w:r>
    </w:p>
    <w:p w14:paraId="7F9D826E" w14:textId="5A317B6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Vollan, B., Landmann, A., Zhou, Y., Hu, B., &amp; Herrmann-Pillath, C. (2017). </w:t>
      </w:r>
      <w:r w:rsidRPr="002414E9">
        <w:rPr>
          <w:rFonts w:eastAsia="DengXian" w:cs="Times New Roman"/>
          <w:noProof/>
          <w:lang w:eastAsia="zh-CN"/>
        </w:rPr>
        <w:t xml:space="preserve">Cooperation and authoritarian values: An experimental study in China. </w:t>
      </w:r>
      <w:r w:rsidRPr="002414E9">
        <w:rPr>
          <w:rFonts w:eastAsia="DengXian" w:cs="Times New Roman"/>
          <w:i/>
          <w:iCs/>
          <w:noProof/>
          <w:lang w:eastAsia="zh-CN"/>
        </w:rPr>
        <w:t>European Economic Review</w:t>
      </w:r>
      <w:r w:rsidRPr="002414E9">
        <w:rPr>
          <w:rFonts w:eastAsia="DengXian" w:cs="Times New Roman"/>
          <w:noProof/>
          <w:lang w:eastAsia="zh-CN"/>
        </w:rPr>
        <w:t xml:space="preserve">, </w:t>
      </w:r>
      <w:r w:rsidRPr="002414E9">
        <w:rPr>
          <w:rFonts w:eastAsia="DengXian" w:cs="Times New Roman"/>
          <w:i/>
          <w:iCs/>
          <w:noProof/>
          <w:lang w:eastAsia="zh-CN"/>
        </w:rPr>
        <w:t>93</w:t>
      </w:r>
      <w:r w:rsidRPr="002414E9">
        <w:rPr>
          <w:rFonts w:eastAsia="DengXian" w:cs="Times New Roman"/>
          <w:noProof/>
          <w:lang w:eastAsia="zh-CN"/>
        </w:rPr>
        <w:t>, 90–105. https://doi.org/10.1016/j.euroecorev.2017.01.007</w:t>
      </w:r>
    </w:p>
    <w:p w14:paraId="4CED90FD" w14:textId="22B2FEC0" w:rsidR="002414E9" w:rsidRPr="002414E9" w:rsidRDefault="002414E9" w:rsidP="002414E9">
      <w:pPr>
        <w:widowControl w:val="0"/>
        <w:autoSpaceDE w:val="0"/>
        <w:autoSpaceDN w:val="0"/>
        <w:adjustRightInd w:val="0"/>
        <w:ind w:left="709" w:hanging="709"/>
        <w:rPr>
          <w:rFonts w:eastAsia="DengXian" w:cs="Times New Roman"/>
          <w:noProof/>
          <w:lang w:val="nl-NL" w:eastAsia="zh-CN"/>
        </w:rPr>
      </w:pPr>
      <w:r w:rsidRPr="002414E9">
        <w:rPr>
          <w:rFonts w:eastAsia="DengXian" w:cs="Times New Roman"/>
          <w:noProof/>
          <w:lang w:eastAsia="zh-CN"/>
        </w:rPr>
        <w:t xml:space="preserve">Vu, D. V. (2016). Germany versus China: How does social distance influence public good behavior? </w:t>
      </w:r>
      <w:r w:rsidRPr="002414E9">
        <w:rPr>
          <w:rFonts w:eastAsia="DengXian" w:cs="Times New Roman"/>
          <w:i/>
          <w:iCs/>
          <w:noProof/>
          <w:lang w:val="nl-NL" w:eastAsia="zh-CN"/>
        </w:rPr>
        <w:t>Mind &amp; Society</w:t>
      </w:r>
      <w:r w:rsidRPr="002414E9">
        <w:rPr>
          <w:rFonts w:eastAsia="DengXian" w:cs="Times New Roman"/>
          <w:noProof/>
          <w:lang w:val="nl-NL" w:eastAsia="zh-CN"/>
        </w:rPr>
        <w:t xml:space="preserve">, </w:t>
      </w:r>
      <w:r w:rsidRPr="002414E9">
        <w:rPr>
          <w:rFonts w:eastAsia="DengXian" w:cs="Times New Roman"/>
          <w:i/>
          <w:iCs/>
          <w:noProof/>
          <w:lang w:val="nl-NL" w:eastAsia="zh-CN"/>
        </w:rPr>
        <w:t>15</w:t>
      </w:r>
      <w:r w:rsidRPr="002414E9">
        <w:rPr>
          <w:rFonts w:eastAsia="DengXian" w:cs="Times New Roman"/>
          <w:noProof/>
          <w:lang w:val="nl-NL" w:eastAsia="zh-CN"/>
        </w:rPr>
        <w:t>(1), 33–52. https://doi.org/10.1007/s11299-015-0163-2</w:t>
      </w:r>
    </w:p>
    <w:p w14:paraId="50E0244F" w14:textId="47E3D8B4" w:rsidR="002414E9" w:rsidRPr="002414E9" w:rsidRDefault="002414E9" w:rsidP="002414E9">
      <w:pPr>
        <w:widowControl w:val="0"/>
        <w:autoSpaceDE w:val="0"/>
        <w:autoSpaceDN w:val="0"/>
        <w:adjustRightInd w:val="0"/>
        <w:ind w:left="709" w:hanging="709"/>
        <w:rPr>
          <w:rFonts w:eastAsia="DengXian" w:cs="Times New Roman"/>
          <w:noProof/>
          <w:lang w:val="en-GB" w:eastAsia="zh-CN"/>
        </w:rPr>
      </w:pPr>
      <w:r w:rsidRPr="002414E9">
        <w:rPr>
          <w:rFonts w:eastAsia="DengXian" w:cs="Times New Roman"/>
          <w:noProof/>
          <w:lang w:val="nl-NL" w:eastAsia="zh-CN"/>
        </w:rPr>
        <w:t xml:space="preserve">Vugt, M. van, Cremer, D. de, &amp; Janssen, D. P. (2007). </w:t>
      </w:r>
      <w:r w:rsidRPr="002414E9">
        <w:rPr>
          <w:rFonts w:eastAsia="DengXian" w:cs="Times New Roman"/>
          <w:noProof/>
          <w:lang w:eastAsia="zh-CN"/>
        </w:rPr>
        <w:t xml:space="preserve">Gender differences in cooperation and competition. </w:t>
      </w:r>
      <w:r w:rsidRPr="002414E9">
        <w:rPr>
          <w:rFonts w:eastAsia="DengXian" w:cs="Times New Roman"/>
          <w:i/>
          <w:iCs/>
          <w:noProof/>
          <w:lang w:val="en-GB" w:eastAsia="zh-CN"/>
        </w:rPr>
        <w:t>Psychological Science</w:t>
      </w:r>
      <w:r w:rsidRPr="002414E9">
        <w:rPr>
          <w:rFonts w:eastAsia="DengXian" w:cs="Times New Roman"/>
          <w:noProof/>
          <w:lang w:val="en-GB" w:eastAsia="zh-CN"/>
        </w:rPr>
        <w:t xml:space="preserve">, </w:t>
      </w:r>
      <w:r w:rsidRPr="002414E9">
        <w:rPr>
          <w:rFonts w:eastAsia="DengXian" w:cs="Times New Roman"/>
          <w:i/>
          <w:iCs/>
          <w:noProof/>
          <w:lang w:val="en-GB" w:eastAsia="zh-CN"/>
        </w:rPr>
        <w:t>18</w:t>
      </w:r>
      <w:r w:rsidRPr="002414E9">
        <w:rPr>
          <w:rFonts w:eastAsia="DengXian" w:cs="Times New Roman"/>
          <w:noProof/>
          <w:lang w:val="en-GB" w:eastAsia="zh-CN"/>
        </w:rPr>
        <w:t xml:space="preserve">(1), 19–23. https://doi.org/10.1111/j.1467-9280.2007.01842.x </w:t>
      </w:r>
    </w:p>
    <w:p w14:paraId="41DDC1D7" w14:textId="0AFD39C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Vuolevi, J. H. K., &amp; Van Lange, P. A. M. (2012). </w:t>
      </w:r>
      <w:r w:rsidRPr="002414E9">
        <w:rPr>
          <w:rFonts w:eastAsia="DengXian" w:cs="Times New Roman"/>
          <w:noProof/>
          <w:lang w:eastAsia="zh-CN"/>
        </w:rPr>
        <w:t xml:space="preserve">Boundaries of reciprocity: Incompleteness of information undermines cooperation. </w:t>
      </w:r>
      <w:r w:rsidRPr="002414E9">
        <w:rPr>
          <w:rFonts w:eastAsia="DengXian" w:cs="Times New Roman"/>
          <w:i/>
          <w:iCs/>
          <w:noProof/>
          <w:lang w:eastAsia="zh-CN"/>
        </w:rPr>
        <w:t>Acta Psychologica</w:t>
      </w:r>
      <w:r w:rsidRPr="002414E9">
        <w:rPr>
          <w:rFonts w:eastAsia="DengXian" w:cs="Times New Roman"/>
          <w:noProof/>
          <w:lang w:eastAsia="zh-CN"/>
        </w:rPr>
        <w:t xml:space="preserve">, </w:t>
      </w:r>
      <w:r w:rsidRPr="002414E9">
        <w:rPr>
          <w:rFonts w:eastAsia="DengXian" w:cs="Times New Roman"/>
          <w:i/>
          <w:iCs/>
          <w:noProof/>
          <w:lang w:eastAsia="zh-CN"/>
        </w:rPr>
        <w:t>141</w:t>
      </w:r>
      <w:r w:rsidRPr="002414E9">
        <w:rPr>
          <w:rFonts w:eastAsia="DengXian" w:cs="Times New Roman"/>
          <w:noProof/>
          <w:lang w:eastAsia="zh-CN"/>
        </w:rPr>
        <w:t>(1), 67–72. https://doi.org/10.1016/j.actpsy.2012.07.004</w:t>
      </w:r>
    </w:p>
    <w:p w14:paraId="73623875" w14:textId="2F9E263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lastRenderedPageBreak/>
        <w:t xml:space="preserve">Wada, S., &amp; Suzuki, K. (2007). Nijū jirenma jōtai de no kyōchō kōdō no yūhatsu ni kansuru ishi kettei shuhū no kentō  [An examination of emerging cooparation under double-bind dilemma]. </w:t>
      </w:r>
      <w:r w:rsidRPr="002414E9">
        <w:rPr>
          <w:rFonts w:eastAsia="DengXian" w:cs="Times New Roman"/>
          <w:i/>
          <w:iCs/>
          <w:noProof/>
          <w:lang w:eastAsia="zh-CN"/>
        </w:rPr>
        <w:t>IEICE Technical Report</w:t>
      </w:r>
      <w:r w:rsidRPr="002414E9">
        <w:rPr>
          <w:rFonts w:eastAsia="DengXian" w:cs="Times New Roman"/>
          <w:noProof/>
          <w:lang w:eastAsia="zh-CN"/>
        </w:rPr>
        <w:t xml:space="preserve">, </w:t>
      </w:r>
      <w:r w:rsidRPr="002414E9">
        <w:rPr>
          <w:rFonts w:eastAsia="DengXian" w:cs="Times New Roman"/>
          <w:i/>
          <w:iCs/>
          <w:noProof/>
          <w:lang w:eastAsia="zh-CN"/>
        </w:rPr>
        <w:t>106</w:t>
      </w:r>
      <w:r w:rsidRPr="002414E9">
        <w:rPr>
          <w:rFonts w:eastAsia="DengXian" w:cs="Times New Roman"/>
          <w:noProof/>
          <w:lang w:eastAsia="zh-CN"/>
        </w:rPr>
        <w:t>(586), 31–38.</w:t>
      </w:r>
    </w:p>
    <w:p w14:paraId="1A1CDB2A" w14:textId="612DCCAC" w:rsidR="002414E9" w:rsidRPr="002414E9" w:rsidRDefault="002414E9" w:rsidP="002414E9">
      <w:pPr>
        <w:widowControl w:val="0"/>
        <w:autoSpaceDE w:val="0"/>
        <w:autoSpaceDN w:val="0"/>
        <w:adjustRightInd w:val="0"/>
        <w:ind w:left="709" w:hanging="709"/>
        <w:rPr>
          <w:rFonts w:eastAsia="DengXian" w:cs="Times New Roman"/>
          <w:noProof/>
          <w:lang w:val="es-ES" w:eastAsia="zh-CN"/>
        </w:rPr>
      </w:pPr>
      <w:r w:rsidRPr="002414E9">
        <w:rPr>
          <w:rFonts w:eastAsia="DengXian" w:cs="Times New Roman"/>
          <w:noProof/>
          <w:lang w:val="de-DE" w:eastAsia="zh-CN"/>
        </w:rPr>
        <w:t xml:space="preserve">Wahl, I., Muehlbacher, S., &amp; Kirchler, E. (2010). </w:t>
      </w:r>
      <w:r w:rsidRPr="002414E9">
        <w:rPr>
          <w:rFonts w:eastAsia="DengXian" w:cs="Times New Roman"/>
          <w:noProof/>
          <w:lang w:eastAsia="zh-CN"/>
        </w:rPr>
        <w:t xml:space="preserve">The impact of voting on tax payments. </w:t>
      </w:r>
      <w:r w:rsidRPr="002414E9">
        <w:rPr>
          <w:rFonts w:eastAsia="DengXian" w:cs="Times New Roman"/>
          <w:i/>
          <w:iCs/>
          <w:noProof/>
          <w:lang w:val="es-ES" w:eastAsia="zh-CN"/>
        </w:rPr>
        <w:t>Kyklos</w:t>
      </w:r>
      <w:r w:rsidRPr="002414E9">
        <w:rPr>
          <w:rFonts w:eastAsia="DengXian" w:cs="Times New Roman"/>
          <w:noProof/>
          <w:lang w:val="es-ES" w:eastAsia="zh-CN"/>
        </w:rPr>
        <w:t xml:space="preserve">, </w:t>
      </w:r>
      <w:r w:rsidRPr="002414E9">
        <w:rPr>
          <w:rFonts w:eastAsia="DengXian" w:cs="Times New Roman"/>
          <w:i/>
          <w:iCs/>
          <w:noProof/>
          <w:lang w:val="es-ES" w:eastAsia="zh-CN"/>
        </w:rPr>
        <w:t>63</w:t>
      </w:r>
      <w:r w:rsidRPr="002414E9">
        <w:rPr>
          <w:rFonts w:eastAsia="DengXian" w:cs="Times New Roman"/>
          <w:noProof/>
          <w:lang w:val="es-ES" w:eastAsia="zh-CN"/>
        </w:rPr>
        <w:t>(1), 144–158. https://doi.org/10.1111/j.1467-6435.2010.00464.x</w:t>
      </w:r>
    </w:p>
    <w:p w14:paraId="60109B12" w14:textId="3511CC8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en-GB" w:eastAsia="zh-CN"/>
        </w:rPr>
        <w:t xml:space="preserve">Walker, J. M., &amp; Halloran, M. A. (2004). </w:t>
      </w:r>
      <w:r w:rsidRPr="002414E9">
        <w:rPr>
          <w:rFonts w:eastAsia="DengXian" w:cs="Times New Roman"/>
          <w:noProof/>
          <w:lang w:eastAsia="zh-CN"/>
        </w:rPr>
        <w:t xml:space="preserve">Rewards and sanctions and the provision of public goods in one-shot settings.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7</w:t>
      </w:r>
      <w:r w:rsidRPr="002414E9">
        <w:rPr>
          <w:rFonts w:eastAsia="DengXian" w:cs="Times New Roman"/>
          <w:noProof/>
          <w:lang w:eastAsia="zh-CN"/>
        </w:rPr>
        <w:t>(3), 235–247. https://doi.org/10.1023/B:EXEC.0000040559.08652.51</w:t>
      </w:r>
    </w:p>
    <w:p w14:paraId="7819DFF2" w14:textId="06DF71E5"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Wallace, D., &amp; Rothaus, P. (1969). Communication, group loyalty, and trust in the PD game.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13</w:t>
      </w:r>
      <w:r w:rsidRPr="002414E9">
        <w:rPr>
          <w:rFonts w:eastAsia="DengXian" w:cs="Times New Roman"/>
          <w:bCs/>
          <w:noProof/>
          <w:lang w:eastAsia="zh-CN"/>
        </w:rPr>
        <w:t>(3), 370–380. https://doi.org/10.1177/002200276901300305</w:t>
      </w:r>
    </w:p>
    <w:p w14:paraId="13B14206" w14:textId="4521096D" w:rsidR="002414E9" w:rsidRPr="002414E9" w:rsidRDefault="002414E9" w:rsidP="002414E9">
      <w:pPr>
        <w:widowControl w:val="0"/>
        <w:autoSpaceDE w:val="0"/>
        <w:autoSpaceDN w:val="0"/>
        <w:adjustRightInd w:val="0"/>
        <w:ind w:left="709" w:hanging="709"/>
        <w:rPr>
          <w:rFonts w:eastAsia="DengXian" w:cs="Times New Roman"/>
          <w:noProof/>
          <w:lang w:eastAsia="zh-CN"/>
        </w:rPr>
      </w:pPr>
      <w:bookmarkStart w:id="119" w:name="_Hlk73020964"/>
      <w:r w:rsidRPr="002414E9">
        <w:rPr>
          <w:rFonts w:eastAsia="DengXian" w:cs="Times New Roman"/>
          <w:noProof/>
          <w:lang w:eastAsia="zh-CN"/>
        </w:rPr>
        <w:t xml:space="preserve">Wang, G. (2015). </w:t>
      </w:r>
      <w:r w:rsidRPr="002414E9">
        <w:rPr>
          <w:rFonts w:eastAsia="DengXian" w:cs="Times New Roman"/>
          <w:i/>
          <w:iCs/>
          <w:noProof/>
          <w:lang w:eastAsia="zh-CN"/>
        </w:rPr>
        <w:t>Butong qingxu neiwai qunti yu shehui jiazhi quxiang zai gonggong wupin kunjing zhong dui shehui toushe yu hezuo de yingxiang</w:t>
      </w:r>
      <w:r w:rsidRPr="002414E9">
        <w:rPr>
          <w:rFonts w:eastAsia="DengXian" w:cs="Times New Roman"/>
          <w:noProof/>
          <w:lang w:eastAsia="zh-CN"/>
        </w:rPr>
        <w:t xml:space="preserve"> [</w:t>
      </w:r>
      <w:r w:rsidRPr="002414E9">
        <w:rPr>
          <w:rFonts w:eastAsia="DengXian" w:cs="Times New Roman" w:hint="eastAsia"/>
          <w:noProof/>
          <w:lang w:eastAsia="zh-CN"/>
        </w:rPr>
        <w:t xml:space="preserve">The </w:t>
      </w:r>
      <w:r w:rsidRPr="002414E9">
        <w:rPr>
          <w:rFonts w:eastAsia="DengXian" w:cs="Times New Roman"/>
          <w:noProof/>
          <w:lang w:eastAsia="zh-CN"/>
        </w:rPr>
        <w:t>i</w:t>
      </w:r>
      <w:r w:rsidRPr="002414E9">
        <w:rPr>
          <w:rFonts w:eastAsia="DengXian" w:cs="Times New Roman" w:hint="eastAsia"/>
          <w:noProof/>
          <w:lang w:eastAsia="zh-CN"/>
        </w:rPr>
        <w:t xml:space="preserve">mpact of </w:t>
      </w:r>
      <w:r w:rsidRPr="002414E9">
        <w:rPr>
          <w:rFonts w:eastAsia="DengXian" w:cs="Times New Roman"/>
          <w:noProof/>
          <w:lang w:eastAsia="zh-CN"/>
        </w:rPr>
        <w:t>e</w:t>
      </w:r>
      <w:r w:rsidRPr="002414E9">
        <w:rPr>
          <w:rFonts w:eastAsia="DengXian" w:cs="Times New Roman" w:hint="eastAsia"/>
          <w:noProof/>
          <w:lang w:eastAsia="zh-CN"/>
        </w:rPr>
        <w:t xml:space="preserve">motions, </w:t>
      </w:r>
      <w:r w:rsidRPr="002414E9">
        <w:rPr>
          <w:rFonts w:eastAsia="DengXian" w:cs="Times New Roman"/>
          <w:noProof/>
          <w:lang w:eastAsia="zh-CN"/>
        </w:rPr>
        <w:t>g</w:t>
      </w:r>
      <w:r w:rsidRPr="002414E9">
        <w:rPr>
          <w:rFonts w:eastAsia="DengXian" w:cs="Times New Roman" w:hint="eastAsia"/>
          <w:noProof/>
          <w:lang w:eastAsia="zh-CN"/>
        </w:rPr>
        <w:t xml:space="preserve">roup </w:t>
      </w:r>
      <w:r w:rsidRPr="002414E9">
        <w:rPr>
          <w:rFonts w:eastAsia="DengXian" w:cs="Times New Roman"/>
          <w:noProof/>
          <w:lang w:eastAsia="zh-CN"/>
        </w:rPr>
        <w:t>i</w:t>
      </w:r>
      <w:r w:rsidRPr="002414E9">
        <w:rPr>
          <w:rFonts w:eastAsia="DengXian" w:cs="Times New Roman" w:hint="eastAsia"/>
          <w:noProof/>
          <w:lang w:eastAsia="zh-CN"/>
        </w:rPr>
        <w:t xml:space="preserve">dentity and </w:t>
      </w:r>
      <w:r w:rsidRPr="002414E9">
        <w:rPr>
          <w:rFonts w:eastAsia="DengXian" w:cs="Times New Roman"/>
          <w:noProof/>
          <w:lang w:eastAsia="zh-CN"/>
        </w:rPr>
        <w:t>s</w:t>
      </w:r>
      <w:r w:rsidRPr="002414E9">
        <w:rPr>
          <w:rFonts w:eastAsia="DengXian" w:cs="Times New Roman" w:hint="eastAsia"/>
          <w:noProof/>
          <w:lang w:eastAsia="zh-CN"/>
        </w:rPr>
        <w:t xml:space="preserve">ocial </w:t>
      </w:r>
      <w:r w:rsidRPr="002414E9">
        <w:rPr>
          <w:rFonts w:eastAsia="DengXian" w:cs="Times New Roman"/>
          <w:noProof/>
          <w:lang w:eastAsia="zh-CN"/>
        </w:rPr>
        <w:t>v</w:t>
      </w:r>
      <w:r w:rsidRPr="002414E9">
        <w:rPr>
          <w:rFonts w:eastAsia="DengXian" w:cs="Times New Roman" w:hint="eastAsia"/>
          <w:noProof/>
          <w:lang w:eastAsia="zh-CN"/>
        </w:rPr>
        <w:t xml:space="preserve">alue </w:t>
      </w:r>
      <w:r w:rsidRPr="002414E9">
        <w:rPr>
          <w:rFonts w:eastAsia="DengXian" w:cs="Times New Roman"/>
          <w:noProof/>
          <w:lang w:eastAsia="zh-CN"/>
        </w:rPr>
        <w:t>o</w:t>
      </w:r>
      <w:r w:rsidRPr="002414E9">
        <w:rPr>
          <w:rFonts w:eastAsia="DengXian" w:cs="Times New Roman" w:hint="eastAsia"/>
          <w:noProof/>
          <w:lang w:eastAsia="zh-CN"/>
        </w:rPr>
        <w:t xml:space="preserve">rientation on the </w:t>
      </w:r>
      <w:r w:rsidRPr="002414E9">
        <w:rPr>
          <w:rFonts w:eastAsia="DengXian" w:cs="Times New Roman"/>
          <w:noProof/>
          <w:lang w:eastAsia="zh-CN"/>
        </w:rPr>
        <w:t>s</w:t>
      </w:r>
      <w:r w:rsidRPr="002414E9">
        <w:rPr>
          <w:rFonts w:eastAsia="DengXian" w:cs="Times New Roman" w:hint="eastAsia"/>
          <w:noProof/>
          <w:lang w:eastAsia="zh-CN"/>
        </w:rPr>
        <w:t xml:space="preserve">ocial </w:t>
      </w:r>
      <w:r w:rsidRPr="002414E9">
        <w:rPr>
          <w:rFonts w:eastAsia="DengXian" w:cs="Times New Roman"/>
          <w:noProof/>
          <w:lang w:eastAsia="zh-CN"/>
        </w:rPr>
        <w:t>p</w:t>
      </w:r>
      <w:r w:rsidRPr="002414E9">
        <w:rPr>
          <w:rFonts w:eastAsia="DengXian" w:cs="Times New Roman" w:hint="eastAsia"/>
          <w:noProof/>
          <w:lang w:eastAsia="zh-CN"/>
        </w:rPr>
        <w:t xml:space="preserve">rojection and </w:t>
      </w:r>
      <w:r w:rsidRPr="002414E9">
        <w:rPr>
          <w:rFonts w:eastAsia="DengXian" w:cs="Times New Roman"/>
          <w:noProof/>
          <w:lang w:eastAsia="zh-CN"/>
        </w:rPr>
        <w:t>c</w:t>
      </w:r>
      <w:r w:rsidRPr="002414E9">
        <w:rPr>
          <w:rFonts w:eastAsia="DengXian" w:cs="Times New Roman" w:hint="eastAsia"/>
          <w:noProof/>
          <w:lang w:eastAsia="zh-CN"/>
        </w:rPr>
        <w:t xml:space="preserve">ooperation in the </w:t>
      </w:r>
      <w:r w:rsidRPr="002414E9">
        <w:rPr>
          <w:rFonts w:eastAsia="DengXian" w:cs="Times New Roman"/>
          <w:noProof/>
          <w:lang w:eastAsia="zh-CN"/>
        </w:rPr>
        <w:t>p</w:t>
      </w:r>
      <w:r w:rsidRPr="002414E9">
        <w:rPr>
          <w:rFonts w:eastAsia="DengXian" w:cs="Times New Roman" w:hint="eastAsia"/>
          <w:noProof/>
          <w:lang w:eastAsia="zh-CN"/>
        </w:rPr>
        <w:t xml:space="preserve">ublic </w:t>
      </w:r>
      <w:r w:rsidRPr="002414E9">
        <w:rPr>
          <w:rFonts w:eastAsia="DengXian" w:cs="Times New Roman"/>
          <w:noProof/>
          <w:lang w:eastAsia="zh-CN"/>
        </w:rPr>
        <w:t>g</w:t>
      </w:r>
      <w:r w:rsidRPr="002414E9">
        <w:rPr>
          <w:rFonts w:eastAsia="DengXian" w:cs="Times New Roman" w:hint="eastAsia"/>
          <w:noProof/>
          <w:lang w:eastAsia="zh-CN"/>
        </w:rPr>
        <w:t xml:space="preserve">oods </w:t>
      </w:r>
      <w:r w:rsidRPr="002414E9">
        <w:rPr>
          <w:rFonts w:eastAsia="DengXian" w:cs="Times New Roman"/>
          <w:noProof/>
          <w:lang w:eastAsia="zh-CN"/>
        </w:rPr>
        <w:t>d</w:t>
      </w:r>
      <w:r w:rsidRPr="002414E9">
        <w:rPr>
          <w:rFonts w:eastAsia="DengXian" w:cs="Times New Roman" w:hint="eastAsia"/>
          <w:noProof/>
          <w:lang w:eastAsia="zh-CN"/>
        </w:rPr>
        <w:t>ilemma</w:t>
      </w:r>
      <w:r w:rsidRPr="002414E9">
        <w:rPr>
          <w:rFonts w:eastAsia="DengXian" w:cs="Times New Roman"/>
          <w:noProof/>
          <w:lang w:eastAsia="zh-CN"/>
        </w:rPr>
        <w:t>] [Master's thesis, Sichuan shifan daxue]. CNKI Theses and Dissertations Database.</w:t>
      </w:r>
      <w:bookmarkEnd w:id="119"/>
    </w:p>
    <w:p w14:paraId="123EA471" w14:textId="1F736D0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Wang, P., &amp; Chen, L. (2011). Chen</w:t>
      </w:r>
      <w:r w:rsidRPr="002414E9">
        <w:rPr>
          <w:rFonts w:eastAsia="DengXian" w:cs="Times New Roman" w:hint="eastAsia"/>
          <w:noProof/>
          <w:lang w:eastAsia="zh-CN"/>
        </w:rPr>
        <w:t>g</w:t>
      </w:r>
      <w:r w:rsidRPr="002414E9">
        <w:rPr>
          <w:rFonts w:eastAsia="DengXian" w:cs="Times New Roman"/>
          <w:noProof/>
          <w:lang w:eastAsia="zh-CN"/>
        </w:rPr>
        <w:t>fa he shehui jiazhi quxiang dui gonggong wupin liangnan zhong renji xinren yu hezuo xingwei de yingxiang [The effects of sanction and social value orientation on trust and cooperation in public goods dilemmas].</w:t>
      </w:r>
      <w:r w:rsidRPr="002414E9">
        <w:rPr>
          <w:rFonts w:eastAsia="DengXian" w:cs="Times New Roman"/>
          <w:i/>
          <w:noProof/>
          <w:lang w:eastAsia="zh-CN"/>
        </w:rPr>
        <w:t xml:space="preserve"> Acta Psychologica Sinica, 43</w:t>
      </w:r>
      <w:r w:rsidRPr="002414E9">
        <w:rPr>
          <w:rFonts w:eastAsia="DengXian" w:cs="Times New Roman"/>
          <w:noProof/>
          <w:lang w:eastAsia="zh-CN"/>
        </w:rPr>
        <w:t>(1), 52–64.</w:t>
      </w:r>
    </w:p>
    <w:p w14:paraId="083748BD" w14:textId="2A2A2B2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Wang, P., &amp; Chen, L. (2012). The effects of sanction and social value orientation on trust and cooperation in public goods dilemmas. </w:t>
      </w:r>
      <w:r w:rsidRPr="002414E9">
        <w:rPr>
          <w:rFonts w:eastAsia="DengXian" w:cs="Times New Roman"/>
          <w:i/>
          <w:iCs/>
          <w:noProof/>
          <w:lang w:eastAsia="zh-CN"/>
        </w:rPr>
        <w:t>Acta Psychologica Sinica</w:t>
      </w:r>
      <w:r w:rsidRPr="002414E9">
        <w:rPr>
          <w:rFonts w:eastAsia="DengXian" w:cs="Times New Roman"/>
          <w:noProof/>
          <w:lang w:eastAsia="zh-CN"/>
        </w:rPr>
        <w:t xml:space="preserve">, </w:t>
      </w:r>
      <w:r w:rsidRPr="002414E9">
        <w:rPr>
          <w:rFonts w:eastAsia="DengXian" w:cs="Times New Roman"/>
          <w:i/>
          <w:iCs/>
          <w:noProof/>
          <w:lang w:eastAsia="zh-CN"/>
        </w:rPr>
        <w:t>43</w:t>
      </w:r>
      <w:r w:rsidRPr="002414E9">
        <w:rPr>
          <w:rFonts w:eastAsia="DengXian" w:cs="Times New Roman"/>
          <w:noProof/>
          <w:lang w:eastAsia="zh-CN"/>
        </w:rPr>
        <w:t>(1), 52–64. https://doi.org/10.3724/SP.J.1041.2011.00052</w:t>
      </w:r>
    </w:p>
    <w:p w14:paraId="4BEE2B4A" w14:textId="2EC6B5A3" w:rsidR="002414E9" w:rsidRPr="002414E9" w:rsidRDefault="002414E9" w:rsidP="002414E9">
      <w:pPr>
        <w:widowControl w:val="0"/>
        <w:autoSpaceDE w:val="0"/>
        <w:autoSpaceDN w:val="0"/>
        <w:adjustRightInd w:val="0"/>
        <w:ind w:left="709" w:hanging="709"/>
        <w:rPr>
          <w:rFonts w:eastAsia="DengXian" w:cs="Times New Roman"/>
          <w:noProof/>
          <w:lang w:eastAsia="zh-CN"/>
        </w:rPr>
      </w:pPr>
      <w:bookmarkStart w:id="120" w:name="_Hlk72937753"/>
      <w:r w:rsidRPr="002414E9">
        <w:rPr>
          <w:rFonts w:eastAsia="DengXian" w:cs="Times New Roman"/>
          <w:noProof/>
          <w:lang w:eastAsia="zh-CN"/>
        </w:rPr>
        <w:lastRenderedPageBreak/>
        <w:t xml:space="preserve">Wang, P., &amp; Ji, H. (2009). Shehui jiazhi quxiang yu fankui dui dongtai shehui liangnan juece de yingxiang: Yi shuiziyuan liangnan juece wei li [The effect of the social value orientation and feedback in decision dilemma: The water resource dilemmas as an example]. </w:t>
      </w:r>
      <w:r w:rsidRPr="002414E9">
        <w:rPr>
          <w:rFonts w:eastAsia="DengXian" w:cs="Times New Roman"/>
          <w:i/>
          <w:noProof/>
          <w:lang w:eastAsia="zh-CN"/>
        </w:rPr>
        <w:t>Studies of Psychology and Behavior</w:t>
      </w:r>
      <w:r w:rsidRPr="002414E9">
        <w:rPr>
          <w:rFonts w:eastAsia="DengXian" w:cs="Times New Roman" w:hint="eastAsia"/>
          <w:i/>
          <w:noProof/>
          <w:lang w:eastAsia="zh-CN"/>
        </w:rPr>
        <w:t>,</w:t>
      </w:r>
      <w:r w:rsidRPr="002414E9">
        <w:rPr>
          <w:rFonts w:eastAsia="DengXian" w:cs="Times New Roman" w:hint="eastAsia"/>
          <w:noProof/>
          <w:lang w:eastAsia="zh-CN"/>
        </w:rPr>
        <w:t xml:space="preserve"> </w:t>
      </w:r>
      <w:r w:rsidRPr="002414E9">
        <w:rPr>
          <w:rFonts w:eastAsia="DengXian" w:cs="Times New Roman" w:hint="eastAsia"/>
          <w:i/>
          <w:iCs/>
          <w:noProof/>
          <w:lang w:eastAsia="zh-CN"/>
        </w:rPr>
        <w:t>7</w:t>
      </w:r>
      <w:r w:rsidRPr="002414E9">
        <w:rPr>
          <w:rFonts w:eastAsia="DengXian" w:cs="Times New Roman" w:hint="eastAsia"/>
          <w:noProof/>
          <w:lang w:eastAsia="zh-CN"/>
        </w:rPr>
        <w:t>(02),</w:t>
      </w:r>
      <w:r w:rsidRPr="002414E9">
        <w:rPr>
          <w:rFonts w:eastAsia="DengXian" w:cs="Times New Roman"/>
          <w:noProof/>
          <w:lang w:eastAsia="zh-CN"/>
        </w:rPr>
        <w:t xml:space="preserve"> </w:t>
      </w:r>
      <w:r w:rsidRPr="002414E9">
        <w:rPr>
          <w:rFonts w:eastAsia="DengXian" w:cs="Times New Roman" w:hint="eastAsia"/>
          <w:noProof/>
          <w:lang w:eastAsia="zh-CN"/>
        </w:rPr>
        <w:t>93</w:t>
      </w:r>
      <w:r w:rsidRPr="002414E9">
        <w:rPr>
          <w:rFonts w:eastAsia="DengXian" w:cs="Times New Roman" w:hint="eastAsia"/>
          <w:noProof/>
          <w:lang w:eastAsia="zh-CN"/>
        </w:rPr>
        <w:t>–</w:t>
      </w:r>
      <w:r w:rsidRPr="002414E9">
        <w:rPr>
          <w:rFonts w:eastAsia="DengXian" w:cs="Times New Roman" w:hint="eastAsia"/>
          <w:noProof/>
          <w:lang w:eastAsia="zh-CN"/>
        </w:rPr>
        <w:t>97.</w:t>
      </w:r>
      <w:bookmarkEnd w:id="120"/>
    </w:p>
    <w:p w14:paraId="0AFF8B4E" w14:textId="1832FDB7" w:rsidR="002414E9" w:rsidRPr="002414E9" w:rsidRDefault="002414E9" w:rsidP="002414E9">
      <w:pPr>
        <w:widowControl w:val="0"/>
        <w:autoSpaceDE w:val="0"/>
        <w:autoSpaceDN w:val="0"/>
        <w:adjustRightInd w:val="0"/>
        <w:ind w:left="709" w:hanging="709"/>
        <w:rPr>
          <w:rFonts w:eastAsia="DengXian" w:cs="Times New Roman"/>
          <w:noProof/>
          <w:lang w:eastAsia="zh-CN"/>
        </w:rPr>
      </w:pPr>
      <w:bookmarkStart w:id="121" w:name="_Hlk73022490"/>
      <w:r w:rsidRPr="002414E9">
        <w:rPr>
          <w:rFonts w:eastAsia="DengXian" w:cs="Times New Roman"/>
          <w:noProof/>
          <w:lang w:val="de-DE" w:eastAsia="zh-CN"/>
        </w:rPr>
        <w:t>Wang, Z</w:t>
      </w:r>
      <w:r w:rsidRPr="002414E9">
        <w:rPr>
          <w:rFonts w:eastAsia="DengXian" w:cs="Times New Roman" w:hint="eastAsia"/>
          <w:noProof/>
          <w:lang w:val="de-DE" w:eastAsia="zh-CN"/>
        </w:rPr>
        <w:t>.</w:t>
      </w:r>
      <w:r w:rsidRPr="002414E9">
        <w:rPr>
          <w:rFonts w:eastAsia="DengXian" w:cs="Times New Roman"/>
          <w:noProof/>
          <w:lang w:val="de-DE" w:eastAsia="zh-CN"/>
        </w:rPr>
        <w:t>, Ch</w:t>
      </w:r>
      <w:r w:rsidRPr="002414E9">
        <w:rPr>
          <w:rFonts w:eastAsia="DengXian" w:cs="Times New Roman" w:hint="eastAsia"/>
          <w:noProof/>
          <w:lang w:val="de-DE" w:eastAsia="zh-CN"/>
        </w:rPr>
        <w:t>e</w:t>
      </w:r>
      <w:r w:rsidRPr="002414E9">
        <w:rPr>
          <w:rFonts w:eastAsia="DengXian" w:cs="Times New Roman"/>
          <w:noProof/>
          <w:lang w:val="de-DE" w:eastAsia="zh-CN"/>
        </w:rPr>
        <w:t xml:space="preserve">ng, L., &amp; Zhang, W. (2010). </w:t>
      </w:r>
      <w:r w:rsidRPr="002414E9">
        <w:rPr>
          <w:rFonts w:eastAsia="DengXian" w:cs="Times New Roman"/>
          <w:noProof/>
          <w:lang w:eastAsia="zh-CN"/>
        </w:rPr>
        <w:t>Qiutu kunjing juece Zhong fenli xiaoying yanzhengxing yu jizhi yanjiu [The verification and mechanism experiments on disjunction effect in prisoner's dilemma].</w:t>
      </w:r>
      <w:r w:rsidRPr="002414E9">
        <w:rPr>
          <w:rFonts w:eastAsia="DengXian" w:cs="Times New Roman" w:hint="eastAsia"/>
          <w:noProof/>
          <w:lang w:eastAsia="zh-CN"/>
        </w:rPr>
        <w:t xml:space="preserve"> </w:t>
      </w:r>
      <w:r w:rsidRPr="002414E9">
        <w:rPr>
          <w:rFonts w:eastAsia="DengXian" w:cs="Times New Roman"/>
          <w:i/>
          <w:noProof/>
          <w:lang w:eastAsia="zh-CN"/>
        </w:rPr>
        <w:t>Chinese Journal of Applied Psychology</w:t>
      </w:r>
      <w:r w:rsidRPr="002414E9">
        <w:rPr>
          <w:rFonts w:eastAsia="DengXian" w:cs="Times New Roman" w:hint="eastAsia"/>
          <w:noProof/>
          <w:lang w:eastAsia="zh-CN"/>
        </w:rPr>
        <w:t xml:space="preserve">, </w:t>
      </w:r>
      <w:r w:rsidRPr="002414E9">
        <w:rPr>
          <w:rFonts w:eastAsia="DengXian" w:cs="Times New Roman"/>
          <w:i/>
          <w:iCs/>
          <w:noProof/>
          <w:lang w:eastAsia="zh-CN"/>
        </w:rPr>
        <w:t>16</w:t>
      </w:r>
      <w:r w:rsidRPr="002414E9">
        <w:rPr>
          <w:rFonts w:eastAsia="DengXian" w:cs="Times New Roman"/>
          <w:noProof/>
          <w:lang w:eastAsia="zh-CN"/>
        </w:rPr>
        <w:t>(2), 180–186</w:t>
      </w:r>
      <w:r w:rsidRPr="002414E9">
        <w:rPr>
          <w:rFonts w:eastAsia="DengXian" w:cs="Times New Roman" w:hint="eastAsia"/>
          <w:noProof/>
          <w:lang w:eastAsia="zh-CN"/>
        </w:rPr>
        <w:t>.</w:t>
      </w:r>
      <w:bookmarkEnd w:id="121"/>
    </w:p>
    <w:p w14:paraId="088FE583" w14:textId="773C249A" w:rsidR="002414E9" w:rsidRPr="002414E9" w:rsidRDefault="002414E9" w:rsidP="002414E9">
      <w:pPr>
        <w:widowControl w:val="0"/>
        <w:autoSpaceDE w:val="0"/>
        <w:autoSpaceDN w:val="0"/>
        <w:adjustRightInd w:val="0"/>
        <w:ind w:left="709" w:hanging="709"/>
        <w:rPr>
          <w:rFonts w:eastAsia="DengXian" w:cs="Times New Roman"/>
          <w:bCs/>
          <w:noProof/>
          <w:lang w:val="en-GB" w:eastAsia="zh-CN"/>
        </w:rPr>
      </w:pPr>
      <w:r w:rsidRPr="002414E9">
        <w:rPr>
          <w:rFonts w:eastAsia="DengXian" w:cs="Times New Roman"/>
          <w:bCs/>
          <w:noProof/>
          <w:lang w:val="de-DE" w:eastAsia="zh-CN"/>
        </w:rPr>
        <w:t xml:space="preserve">Wang, Z., Zhou, Y., Lien, J. W., Zheng, J., &amp; Xu, B. (2016). </w:t>
      </w:r>
      <w:r w:rsidRPr="002414E9">
        <w:rPr>
          <w:rFonts w:eastAsia="DengXian" w:cs="Times New Roman"/>
          <w:bCs/>
          <w:noProof/>
          <w:lang w:eastAsia="zh-CN"/>
        </w:rPr>
        <w:t xml:space="preserve">Extortion can outperform generosity in the iterated prisoner’s dilemma. </w:t>
      </w:r>
      <w:r w:rsidRPr="002414E9">
        <w:rPr>
          <w:rFonts w:eastAsia="DengXian" w:cs="Times New Roman"/>
          <w:bCs/>
          <w:i/>
          <w:iCs/>
          <w:noProof/>
          <w:lang w:val="en-GB" w:eastAsia="zh-CN"/>
        </w:rPr>
        <w:t>Nature Communications</w:t>
      </w:r>
      <w:r w:rsidRPr="002414E9">
        <w:rPr>
          <w:rFonts w:eastAsia="DengXian" w:cs="Times New Roman"/>
          <w:bCs/>
          <w:noProof/>
          <w:lang w:val="en-GB" w:eastAsia="zh-CN"/>
        </w:rPr>
        <w:t xml:space="preserve">, </w:t>
      </w:r>
      <w:r w:rsidRPr="002414E9">
        <w:rPr>
          <w:rFonts w:eastAsia="DengXian" w:cs="Times New Roman"/>
          <w:bCs/>
          <w:i/>
          <w:iCs/>
          <w:noProof/>
          <w:lang w:val="en-GB" w:eastAsia="zh-CN"/>
        </w:rPr>
        <w:t>7</w:t>
      </w:r>
      <w:r w:rsidRPr="002414E9">
        <w:rPr>
          <w:rFonts w:eastAsia="DengXian" w:cs="Times New Roman"/>
          <w:bCs/>
          <w:noProof/>
          <w:lang w:val="en-GB" w:eastAsia="zh-CN"/>
        </w:rPr>
        <w:t>(1), 1–7. https://doi.org/10.1038/ncomms11125</w:t>
      </w:r>
    </w:p>
    <w:p w14:paraId="14581641" w14:textId="595520F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Watabe, M., &amp; Yamagishi, T. (1993). Shakai teki jirenma jōkyō ni okeru senryaku sentaku no kōka: 4 nin shūdan o mochiita jikken teki kenkyū [The effects in choosing strategies in social dilemmas]. </w:t>
      </w:r>
      <w:r w:rsidRPr="002414E9">
        <w:rPr>
          <w:rFonts w:eastAsia="DengXian" w:cs="Times New Roman"/>
          <w:i/>
          <w:iCs/>
          <w:noProof/>
          <w:lang w:eastAsia="zh-CN"/>
        </w:rPr>
        <w:t>Japanese Journal of Social Psychology</w:t>
      </w:r>
      <w:r w:rsidRPr="002414E9">
        <w:rPr>
          <w:rFonts w:eastAsia="DengXian" w:cs="Times New Roman"/>
          <w:noProof/>
          <w:lang w:eastAsia="zh-CN"/>
        </w:rPr>
        <w:t xml:space="preserve">, </w:t>
      </w:r>
      <w:r w:rsidRPr="002414E9">
        <w:rPr>
          <w:rFonts w:eastAsia="DengXian" w:cs="Times New Roman"/>
          <w:i/>
          <w:iCs/>
          <w:noProof/>
          <w:lang w:eastAsia="zh-CN"/>
        </w:rPr>
        <w:t>9</w:t>
      </w:r>
      <w:r w:rsidRPr="002414E9">
        <w:rPr>
          <w:rFonts w:eastAsia="DengXian" w:cs="Times New Roman"/>
          <w:noProof/>
          <w:lang w:eastAsia="zh-CN"/>
        </w:rPr>
        <w:t>(1), 65–72. https://doi.org/10.14966/jssp.KJ00003725234</w:t>
      </w:r>
    </w:p>
    <w:p w14:paraId="125A70F7" w14:textId="31DE17F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Watanabe, Y., &amp; Yamagishi, T. (1997). “Fōrusu konsensasu” ga “fōrusu (ayamari)” de nakunaru toki: Ikkai kagiri no shūjin no jirenma o mochiita jikken kenkyū [When “false consensus” stops being “false”: An experimental study with one-shot prisoner’s dilemma.:An experimental study with one-shot prisoner’s dilemma]. </w:t>
      </w:r>
      <w:r w:rsidRPr="002414E9">
        <w:rPr>
          <w:rFonts w:eastAsia="DengXian" w:cs="Times New Roman"/>
          <w:i/>
          <w:iCs/>
          <w:noProof/>
          <w:lang w:eastAsia="zh-CN"/>
        </w:rPr>
        <w:t>The Japanese Journal of Psychology</w:t>
      </w:r>
      <w:r w:rsidRPr="002414E9">
        <w:rPr>
          <w:rFonts w:eastAsia="DengXian" w:cs="Times New Roman"/>
          <w:noProof/>
          <w:lang w:eastAsia="zh-CN"/>
        </w:rPr>
        <w:t xml:space="preserve">, </w:t>
      </w:r>
      <w:r w:rsidRPr="002414E9">
        <w:rPr>
          <w:rFonts w:eastAsia="DengXian" w:cs="Times New Roman"/>
          <w:i/>
          <w:iCs/>
          <w:noProof/>
          <w:lang w:eastAsia="zh-CN"/>
        </w:rPr>
        <w:t>67</w:t>
      </w:r>
      <w:r w:rsidRPr="002414E9">
        <w:rPr>
          <w:rFonts w:eastAsia="DengXian" w:cs="Times New Roman"/>
          <w:noProof/>
          <w:lang w:eastAsia="zh-CN"/>
        </w:rPr>
        <w:t>(6), 421–428. https://doi.org/10.4992/jjpsy.67.421</w:t>
      </w:r>
    </w:p>
    <w:p w14:paraId="32AC73CC" w14:textId="304A4B14" w:rsidR="002414E9" w:rsidRPr="002414E9" w:rsidRDefault="002414E9" w:rsidP="002414E9">
      <w:pPr>
        <w:widowControl w:val="0"/>
        <w:autoSpaceDE w:val="0"/>
        <w:autoSpaceDN w:val="0"/>
        <w:adjustRightInd w:val="0"/>
        <w:ind w:left="709" w:hanging="709"/>
        <w:rPr>
          <w:rFonts w:eastAsia="DengXian" w:cs="Times New Roman"/>
          <w:noProof/>
          <w:lang w:eastAsia="zh-CN"/>
        </w:rPr>
      </w:pPr>
      <w:bookmarkStart w:id="122" w:name="_Hlk73021080"/>
      <w:r w:rsidRPr="002414E9">
        <w:rPr>
          <w:rFonts w:eastAsia="DengXian" w:cs="Times New Roman"/>
          <w:noProof/>
          <w:lang w:eastAsia="zh-CN"/>
        </w:rPr>
        <w:t xml:space="preserve">Wei, H. (2012). </w:t>
      </w:r>
      <w:r w:rsidRPr="002414E9">
        <w:rPr>
          <w:rFonts w:eastAsia="DengXian" w:cs="Times New Roman"/>
          <w:i/>
          <w:iCs/>
          <w:noProof/>
          <w:lang w:eastAsia="zh-CN"/>
        </w:rPr>
        <w:t>Shehui jiazhi quxiang dui qunti hezuo xingwei de yingxiang</w:t>
      </w:r>
      <w:r w:rsidRPr="002414E9">
        <w:rPr>
          <w:rFonts w:eastAsia="DengXian" w:cs="Times New Roman"/>
          <w:noProof/>
          <w:lang w:eastAsia="zh-CN"/>
        </w:rPr>
        <w:t xml:space="preserve"> [</w:t>
      </w:r>
      <w:r w:rsidRPr="002414E9">
        <w:rPr>
          <w:rFonts w:eastAsia="DengXian" w:cs="Times New Roman" w:hint="eastAsia"/>
          <w:noProof/>
          <w:lang w:eastAsia="zh-CN"/>
        </w:rPr>
        <w:t xml:space="preserve">The </w:t>
      </w:r>
      <w:r w:rsidRPr="002414E9">
        <w:rPr>
          <w:rFonts w:eastAsia="DengXian" w:cs="Times New Roman"/>
          <w:noProof/>
          <w:lang w:eastAsia="zh-CN"/>
        </w:rPr>
        <w:t>i</w:t>
      </w:r>
      <w:r w:rsidRPr="002414E9">
        <w:rPr>
          <w:rFonts w:eastAsia="DengXian" w:cs="Times New Roman" w:hint="eastAsia"/>
          <w:noProof/>
          <w:lang w:eastAsia="zh-CN"/>
        </w:rPr>
        <w:t xml:space="preserve">mpact of </w:t>
      </w:r>
      <w:r w:rsidRPr="002414E9">
        <w:rPr>
          <w:rFonts w:eastAsia="DengXian" w:cs="Times New Roman"/>
          <w:noProof/>
          <w:lang w:eastAsia="zh-CN"/>
        </w:rPr>
        <w:t>s</w:t>
      </w:r>
      <w:r w:rsidRPr="002414E9">
        <w:rPr>
          <w:rFonts w:eastAsia="DengXian" w:cs="Times New Roman" w:hint="eastAsia"/>
          <w:noProof/>
          <w:lang w:eastAsia="zh-CN"/>
        </w:rPr>
        <w:t xml:space="preserve">ocial </w:t>
      </w:r>
      <w:r w:rsidRPr="002414E9">
        <w:rPr>
          <w:rFonts w:eastAsia="DengXian" w:cs="Times New Roman"/>
          <w:noProof/>
          <w:lang w:eastAsia="zh-CN"/>
        </w:rPr>
        <w:t>v</w:t>
      </w:r>
      <w:r w:rsidRPr="002414E9">
        <w:rPr>
          <w:rFonts w:eastAsia="DengXian" w:cs="Times New Roman" w:hint="eastAsia"/>
          <w:noProof/>
          <w:lang w:eastAsia="zh-CN"/>
        </w:rPr>
        <w:t xml:space="preserve">alue </w:t>
      </w:r>
      <w:r w:rsidRPr="002414E9">
        <w:rPr>
          <w:rFonts w:eastAsia="DengXian" w:cs="Times New Roman"/>
          <w:noProof/>
          <w:lang w:eastAsia="zh-CN"/>
        </w:rPr>
        <w:t>o</w:t>
      </w:r>
      <w:r w:rsidRPr="002414E9">
        <w:rPr>
          <w:rFonts w:eastAsia="DengXian" w:cs="Times New Roman" w:hint="eastAsia"/>
          <w:noProof/>
          <w:lang w:eastAsia="zh-CN"/>
        </w:rPr>
        <w:t xml:space="preserve">rientation on </w:t>
      </w:r>
      <w:r w:rsidRPr="002414E9">
        <w:rPr>
          <w:rFonts w:eastAsia="DengXian" w:cs="Times New Roman"/>
          <w:noProof/>
          <w:lang w:eastAsia="zh-CN"/>
        </w:rPr>
        <w:t>c</w:t>
      </w:r>
      <w:r w:rsidRPr="002414E9">
        <w:rPr>
          <w:rFonts w:eastAsia="DengXian" w:cs="Times New Roman" w:hint="eastAsia"/>
          <w:noProof/>
          <w:lang w:eastAsia="zh-CN"/>
        </w:rPr>
        <w:t xml:space="preserve">ooperative </w:t>
      </w:r>
      <w:r w:rsidRPr="002414E9">
        <w:rPr>
          <w:rFonts w:eastAsia="DengXian" w:cs="Times New Roman"/>
          <w:noProof/>
          <w:lang w:eastAsia="zh-CN"/>
        </w:rPr>
        <w:t>b</w:t>
      </w:r>
      <w:r w:rsidRPr="002414E9">
        <w:rPr>
          <w:rFonts w:eastAsia="DengXian" w:cs="Times New Roman" w:hint="eastAsia"/>
          <w:noProof/>
          <w:lang w:eastAsia="zh-CN"/>
        </w:rPr>
        <w:t>ehavior</w:t>
      </w:r>
      <w:r w:rsidRPr="002414E9">
        <w:rPr>
          <w:rFonts w:eastAsia="DengXian" w:cs="Times New Roman"/>
          <w:noProof/>
          <w:lang w:eastAsia="zh-CN"/>
        </w:rPr>
        <w:t>] [Master's thesis, Hebei daxue]. CNKI Theses and Dissertations Database.</w:t>
      </w:r>
      <w:bookmarkEnd w:id="122"/>
    </w:p>
    <w:p w14:paraId="1CE31834"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lastRenderedPageBreak/>
        <w:t xml:space="preserve">Weimann, J. (1994). Individual behaviour in a free riding experiment.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54</w:t>
      </w:r>
      <w:r w:rsidRPr="002414E9">
        <w:rPr>
          <w:rFonts w:eastAsia="DengXian" w:cs="Times New Roman"/>
          <w:noProof/>
          <w:lang w:eastAsia="zh-CN"/>
        </w:rPr>
        <w:t>(2), 185–200. https://doi.org/10.1016/0047-2727(94)90059-0</w:t>
      </w:r>
    </w:p>
    <w:p w14:paraId="4F24341E" w14:textId="2D2F0AC5" w:rsidR="002414E9" w:rsidRPr="002414E9" w:rsidRDefault="002414E9" w:rsidP="002414E9">
      <w:pPr>
        <w:widowControl w:val="0"/>
        <w:autoSpaceDE w:val="0"/>
        <w:autoSpaceDN w:val="0"/>
        <w:adjustRightInd w:val="0"/>
        <w:ind w:left="709" w:hanging="709"/>
        <w:rPr>
          <w:rFonts w:eastAsia="DengXian" w:cs="Times New Roman"/>
          <w:bCs/>
          <w:noProof/>
          <w:u w:val="single"/>
          <w:lang w:eastAsia="zh-CN"/>
        </w:rPr>
      </w:pPr>
      <w:r w:rsidRPr="002414E9">
        <w:rPr>
          <w:rFonts w:eastAsia="DengXian" w:cs="Times New Roman"/>
          <w:bCs/>
          <w:noProof/>
          <w:lang w:eastAsia="zh-CN"/>
        </w:rPr>
        <w:t xml:space="preserve">Weisel, O. (2016). Social motives in intergroup conflict: Group identity and perceived target of threat. </w:t>
      </w:r>
      <w:r w:rsidRPr="002414E9">
        <w:rPr>
          <w:rFonts w:eastAsia="DengXian" w:cs="Times New Roman"/>
          <w:bCs/>
          <w:i/>
          <w:iCs/>
          <w:noProof/>
          <w:lang w:eastAsia="zh-CN"/>
        </w:rPr>
        <w:t>European Economic Review</w:t>
      </w:r>
      <w:r w:rsidRPr="002414E9">
        <w:rPr>
          <w:rFonts w:eastAsia="DengXian" w:cs="Times New Roman"/>
          <w:bCs/>
          <w:noProof/>
          <w:lang w:eastAsia="zh-CN"/>
        </w:rPr>
        <w:t xml:space="preserve">, </w:t>
      </w:r>
      <w:r w:rsidRPr="002414E9">
        <w:rPr>
          <w:rFonts w:eastAsia="DengXian" w:cs="Times New Roman"/>
          <w:bCs/>
          <w:i/>
          <w:iCs/>
          <w:noProof/>
          <w:lang w:eastAsia="zh-CN"/>
        </w:rPr>
        <w:t>90</w:t>
      </w:r>
      <w:r w:rsidRPr="002414E9">
        <w:rPr>
          <w:rFonts w:eastAsia="DengXian" w:cs="Times New Roman"/>
          <w:bCs/>
          <w:noProof/>
          <w:lang w:eastAsia="zh-CN"/>
        </w:rPr>
        <w:t>, 122–133.</w:t>
      </w:r>
      <w:r w:rsidRPr="002414E9">
        <w:rPr>
          <w:rFonts w:eastAsia="DengXian" w:cs="Times New Roman"/>
          <w:bCs/>
          <w:noProof/>
          <w:u w:val="single"/>
          <w:lang w:eastAsia="zh-CN"/>
        </w:rPr>
        <w:t xml:space="preserve"> </w:t>
      </w:r>
      <w:r w:rsidRPr="002414E9">
        <w:rPr>
          <w:rFonts w:eastAsia="DengXian" w:cs="Times New Roman"/>
          <w:bCs/>
          <w:noProof/>
          <w:lang w:eastAsia="zh-CN"/>
        </w:rPr>
        <w:t>https://doi.org/10.1016/j.euroecorev.2016.01.004</w:t>
      </w:r>
    </w:p>
    <w:p w14:paraId="3AF049B3" w14:textId="00BCEC8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Weng, Q., &amp; Carlsson, F. (2015). Cooperation in teams: The role of identity, punishment, and endowment distribution.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126</w:t>
      </w:r>
      <w:r w:rsidRPr="002414E9">
        <w:rPr>
          <w:rFonts w:eastAsia="DengXian" w:cs="Times New Roman"/>
          <w:noProof/>
          <w:lang w:eastAsia="zh-CN"/>
        </w:rPr>
        <w:t>, 25–38. https://doi.org/10.1016/j.jpubeco.2015.03.007</w:t>
      </w:r>
    </w:p>
    <w:p w14:paraId="2F4839F6" w14:textId="6AC9C888" w:rsidR="002414E9" w:rsidRPr="002414E9" w:rsidRDefault="002414E9" w:rsidP="002414E9">
      <w:pPr>
        <w:widowControl w:val="0"/>
        <w:autoSpaceDE w:val="0"/>
        <w:autoSpaceDN w:val="0"/>
        <w:adjustRightInd w:val="0"/>
        <w:ind w:left="709" w:hanging="709"/>
        <w:rPr>
          <w:rFonts w:eastAsia="DengXian" w:cs="Times New Roman"/>
          <w:bCs/>
          <w:noProof/>
          <w:u w:val="single"/>
          <w:lang w:eastAsia="zh-CN"/>
        </w:rPr>
      </w:pPr>
      <w:r w:rsidRPr="002414E9">
        <w:rPr>
          <w:rFonts w:eastAsia="DengXian" w:cs="Times New Roman"/>
          <w:bCs/>
          <w:noProof/>
          <w:lang w:eastAsia="zh-CN"/>
        </w:rPr>
        <w:t xml:space="preserve">West, S. A., Gardner, A., Shuker, D. M., Reynolds, T., Burton-Chellow, M., Sykes, E. M., ... &amp; Griffin, A. S. (2006). Cooperation and the scale of competition in humans. </w:t>
      </w:r>
      <w:r w:rsidRPr="002414E9">
        <w:rPr>
          <w:rFonts w:eastAsia="DengXian" w:cs="Times New Roman"/>
          <w:bCs/>
          <w:i/>
          <w:iCs/>
          <w:noProof/>
          <w:lang w:eastAsia="zh-CN"/>
        </w:rPr>
        <w:t>Current Biology</w:t>
      </w:r>
      <w:r w:rsidRPr="002414E9">
        <w:rPr>
          <w:rFonts w:eastAsia="DengXian" w:cs="Times New Roman"/>
          <w:bCs/>
          <w:noProof/>
          <w:lang w:eastAsia="zh-CN"/>
        </w:rPr>
        <w:t xml:space="preserve">, </w:t>
      </w:r>
      <w:r w:rsidRPr="002414E9">
        <w:rPr>
          <w:rFonts w:eastAsia="DengXian" w:cs="Times New Roman"/>
          <w:bCs/>
          <w:i/>
          <w:iCs/>
          <w:noProof/>
          <w:lang w:eastAsia="zh-CN"/>
        </w:rPr>
        <w:t>16</w:t>
      </w:r>
      <w:r w:rsidRPr="002414E9">
        <w:rPr>
          <w:rFonts w:eastAsia="DengXian" w:cs="Times New Roman"/>
          <w:bCs/>
          <w:noProof/>
          <w:lang w:eastAsia="zh-CN"/>
        </w:rPr>
        <w:t>(11), 1103–1106.</w:t>
      </w:r>
      <w:r w:rsidRPr="002414E9">
        <w:rPr>
          <w:rFonts w:eastAsia="DengXian" w:cs="Times New Roman"/>
          <w:bCs/>
          <w:noProof/>
          <w:u w:val="single"/>
          <w:lang w:eastAsia="zh-CN"/>
        </w:rPr>
        <w:t xml:space="preserve"> </w:t>
      </w:r>
      <w:r w:rsidRPr="002414E9">
        <w:rPr>
          <w:rFonts w:eastAsia="DengXian" w:cs="Times New Roman"/>
          <w:bCs/>
          <w:noProof/>
          <w:lang w:eastAsia="zh-CN"/>
        </w:rPr>
        <w:t>https://doi.org/10.1016/j.cub.2006.03.069</w:t>
      </w:r>
    </w:p>
    <w:p w14:paraId="00E4555B" w14:textId="5A1F080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Wheeler, S. C., Smeesters, D., &amp; Kay, A. C. (2011). </w:t>
      </w:r>
      <w:r w:rsidRPr="002414E9">
        <w:rPr>
          <w:rFonts w:eastAsia="DengXian" w:cs="Times New Roman"/>
          <w:noProof/>
          <w:lang w:eastAsia="zh-CN"/>
        </w:rPr>
        <w:t xml:space="preserve">Culture modifies the operation of prime-to-behavior effects. </w:t>
      </w:r>
      <w:r w:rsidRPr="002414E9">
        <w:rPr>
          <w:rFonts w:eastAsia="DengXian" w:cs="Times New Roman"/>
          <w:i/>
          <w:iCs/>
          <w:noProof/>
          <w:lang w:eastAsia="zh-CN"/>
        </w:rPr>
        <w:t>Journal of Experimental Social Psychology</w:t>
      </w:r>
      <w:r w:rsidRPr="002414E9">
        <w:rPr>
          <w:rFonts w:eastAsia="DengXian" w:cs="Times New Roman"/>
          <w:noProof/>
          <w:lang w:eastAsia="zh-CN"/>
        </w:rPr>
        <w:t xml:space="preserve">, </w:t>
      </w:r>
      <w:r w:rsidRPr="002414E9">
        <w:rPr>
          <w:rFonts w:eastAsia="DengXian" w:cs="Times New Roman"/>
          <w:i/>
          <w:iCs/>
          <w:noProof/>
          <w:lang w:eastAsia="zh-CN"/>
        </w:rPr>
        <w:t>47</w:t>
      </w:r>
      <w:r w:rsidRPr="002414E9">
        <w:rPr>
          <w:rFonts w:eastAsia="DengXian" w:cs="Times New Roman"/>
          <w:noProof/>
          <w:lang w:eastAsia="zh-CN"/>
        </w:rPr>
        <w:t>(4), 824–829. https://doi.org/10.1016/j.jesp.2011.02.018</w:t>
      </w:r>
    </w:p>
    <w:p w14:paraId="52AB465F" w14:textId="73842598"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Wildschut, T., Insko, C. A., &amp; Gaertner, L. (2002). </w:t>
      </w:r>
      <w:r w:rsidRPr="002414E9">
        <w:rPr>
          <w:rFonts w:eastAsia="DengXian" w:cs="Times New Roman"/>
          <w:bCs/>
          <w:noProof/>
          <w:lang w:eastAsia="zh-CN"/>
        </w:rPr>
        <w:t xml:space="preserve">Intragroup social influence and intergroup competition. </w:t>
      </w:r>
      <w:r w:rsidRPr="002414E9">
        <w:rPr>
          <w:rFonts w:eastAsia="DengXian" w:cs="Times New Roman"/>
          <w:bCs/>
          <w:i/>
          <w:iCs/>
          <w:noProof/>
          <w:lang w:eastAsia="zh-CN"/>
        </w:rPr>
        <w:t>Journal of Personality and Social Psychology, 82</w:t>
      </w:r>
      <w:r w:rsidRPr="002414E9">
        <w:rPr>
          <w:rFonts w:eastAsia="DengXian" w:cs="Times New Roman"/>
          <w:bCs/>
          <w:noProof/>
          <w:lang w:eastAsia="zh-CN"/>
        </w:rPr>
        <w:t>(6), 975–992. https://doi.org/10.1037/0022-3514.82.6.975</w:t>
      </w:r>
    </w:p>
    <w:p w14:paraId="0FB77AD7" w14:textId="2FA340BD"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Wildschut, T., Insko, C. A., &amp; Pinter, B. (2007). </w:t>
      </w:r>
      <w:r w:rsidRPr="002414E9">
        <w:rPr>
          <w:rFonts w:eastAsia="DengXian" w:cs="Times New Roman"/>
          <w:bCs/>
          <w:noProof/>
          <w:lang w:eastAsia="zh-CN"/>
        </w:rPr>
        <w:t xml:space="preserve">Interindividual‐intergroup discontinuity as a joint function of acting as a group and interacting with a group. </w:t>
      </w:r>
      <w:r w:rsidRPr="002414E9">
        <w:rPr>
          <w:rFonts w:eastAsia="DengXian" w:cs="Times New Roman"/>
          <w:bCs/>
          <w:i/>
          <w:iCs/>
          <w:noProof/>
          <w:lang w:eastAsia="zh-CN"/>
        </w:rPr>
        <w:t>European Journal of Social Psychology</w:t>
      </w:r>
      <w:r w:rsidRPr="002414E9">
        <w:rPr>
          <w:rFonts w:eastAsia="DengXian" w:cs="Times New Roman"/>
          <w:bCs/>
          <w:noProof/>
          <w:lang w:eastAsia="zh-CN"/>
        </w:rPr>
        <w:t>,</w:t>
      </w:r>
      <w:bookmarkStart w:id="123" w:name="_Hlk54085029"/>
      <w:r w:rsidRPr="002414E9">
        <w:rPr>
          <w:rFonts w:eastAsia="DengXian" w:cs="Times New Roman"/>
          <w:bCs/>
          <w:noProof/>
          <w:lang w:eastAsia="zh-CN"/>
        </w:rPr>
        <w:t xml:space="preserve"> </w:t>
      </w:r>
      <w:r w:rsidRPr="002414E9">
        <w:rPr>
          <w:rFonts w:eastAsia="DengXian" w:cs="Times New Roman"/>
          <w:bCs/>
          <w:i/>
          <w:iCs/>
          <w:noProof/>
          <w:lang w:eastAsia="zh-CN"/>
        </w:rPr>
        <w:t>37</w:t>
      </w:r>
      <w:r w:rsidRPr="002414E9">
        <w:rPr>
          <w:rFonts w:eastAsia="DengXian" w:cs="Times New Roman"/>
          <w:bCs/>
          <w:noProof/>
          <w:lang w:eastAsia="zh-CN"/>
        </w:rPr>
        <w:t xml:space="preserve">(2), </w:t>
      </w:r>
      <w:bookmarkEnd w:id="123"/>
      <w:r w:rsidRPr="002414E9">
        <w:rPr>
          <w:rFonts w:eastAsia="DengXian" w:cs="Times New Roman"/>
          <w:bCs/>
          <w:noProof/>
          <w:lang w:eastAsia="zh-CN"/>
        </w:rPr>
        <w:t>390–399. https://doi.org/10.1002/ejsp.374</w:t>
      </w:r>
    </w:p>
    <w:p w14:paraId="0CF03E42" w14:textId="24F76AB4"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Wildschut, T., Lodewijkx, H. F., &amp; Insko, C. A. (2001). Toward a reconciliation of diverging perspectives on interindividual-intergroup discontinuity: The role of procedural interdependence. </w:t>
      </w:r>
      <w:r w:rsidRPr="002414E9">
        <w:rPr>
          <w:rFonts w:eastAsia="DengXian" w:cs="Times New Roman"/>
          <w:bCs/>
          <w:i/>
          <w:iCs/>
          <w:noProof/>
          <w:lang w:eastAsia="zh-CN"/>
        </w:rPr>
        <w:t>Journal of Experimental Social Psychology</w:t>
      </w:r>
      <w:r w:rsidRPr="002414E9">
        <w:rPr>
          <w:rFonts w:eastAsia="DengXian" w:cs="Times New Roman"/>
          <w:bCs/>
          <w:noProof/>
          <w:lang w:eastAsia="zh-CN"/>
        </w:rPr>
        <w:t xml:space="preserve">, </w:t>
      </w:r>
      <w:r w:rsidRPr="002414E9">
        <w:rPr>
          <w:rFonts w:eastAsia="DengXian" w:cs="Times New Roman"/>
          <w:bCs/>
          <w:i/>
          <w:iCs/>
          <w:noProof/>
          <w:lang w:eastAsia="zh-CN"/>
        </w:rPr>
        <w:t>37</w:t>
      </w:r>
      <w:r w:rsidRPr="002414E9">
        <w:rPr>
          <w:rFonts w:eastAsia="DengXian" w:cs="Times New Roman"/>
          <w:bCs/>
          <w:noProof/>
          <w:lang w:eastAsia="zh-CN"/>
        </w:rPr>
        <w:t xml:space="preserve">(4), 273–285. </w:t>
      </w:r>
      <w:r w:rsidRPr="002414E9">
        <w:rPr>
          <w:rFonts w:eastAsia="DengXian" w:cs="Times New Roman"/>
          <w:bCs/>
          <w:noProof/>
          <w:lang w:eastAsia="zh-CN"/>
        </w:rPr>
        <w:lastRenderedPageBreak/>
        <w:t>https://doi.org/10.1006/jesp.2000.1452</w:t>
      </w:r>
    </w:p>
    <w:p w14:paraId="77912DA2" w14:textId="42C53F47" w:rsidR="002414E9" w:rsidRPr="002414E9" w:rsidRDefault="002414E9" w:rsidP="002414E9">
      <w:pPr>
        <w:widowControl w:val="0"/>
        <w:autoSpaceDE w:val="0"/>
        <w:autoSpaceDN w:val="0"/>
        <w:adjustRightInd w:val="0"/>
        <w:ind w:left="709" w:hanging="709"/>
        <w:rPr>
          <w:rFonts w:eastAsia="DengXian" w:cs="Times New Roman"/>
          <w:bCs/>
          <w:noProof/>
          <w:lang w:eastAsia="zh-CN"/>
        </w:rPr>
      </w:pPr>
      <w:bookmarkStart w:id="124" w:name="_Hlk74309008"/>
      <w:r w:rsidRPr="002414E9">
        <w:rPr>
          <w:rFonts w:eastAsia="DengXian" w:cs="Times New Roman"/>
          <w:bCs/>
          <w:noProof/>
          <w:lang w:eastAsia="zh-CN"/>
        </w:rPr>
        <w:t xml:space="preserve">Wiley, M. G. (1973). Sex roles in games. </w:t>
      </w:r>
      <w:r w:rsidRPr="002414E9">
        <w:rPr>
          <w:rFonts w:eastAsia="DengXian" w:cs="Times New Roman"/>
          <w:bCs/>
          <w:i/>
          <w:iCs/>
          <w:noProof/>
          <w:lang w:eastAsia="zh-CN"/>
        </w:rPr>
        <w:t>Sociometry, 36</w:t>
      </w:r>
      <w:r w:rsidRPr="002414E9">
        <w:rPr>
          <w:rFonts w:eastAsia="DengXian" w:cs="Times New Roman"/>
          <w:bCs/>
          <w:noProof/>
          <w:lang w:eastAsia="zh-CN"/>
        </w:rPr>
        <w:t>(4), 526–541. https://doi.org/10.2307/2786248</w:t>
      </w:r>
    </w:p>
    <w:bookmarkEnd w:id="124"/>
    <w:p w14:paraId="1790A0E2" w14:textId="24195000"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Wilkowski, B. M., &amp; Chai, C. A. (2012). Explicit person memories constrain the indirect reciprocation of prosocial acts. </w:t>
      </w:r>
      <w:r w:rsidRPr="002414E9">
        <w:rPr>
          <w:rFonts w:eastAsia="DengXian" w:cs="Times New Roman"/>
          <w:bCs/>
          <w:i/>
          <w:iCs/>
          <w:noProof/>
          <w:lang w:eastAsia="zh-CN"/>
        </w:rPr>
        <w:t>Journal of Experimental Social Psychology</w:t>
      </w:r>
      <w:r w:rsidRPr="002414E9">
        <w:rPr>
          <w:rFonts w:eastAsia="DengXian" w:cs="Times New Roman"/>
          <w:bCs/>
          <w:noProof/>
          <w:lang w:eastAsia="zh-CN"/>
        </w:rPr>
        <w:t xml:space="preserve">, </w:t>
      </w:r>
      <w:r w:rsidRPr="002414E9">
        <w:rPr>
          <w:rFonts w:eastAsia="DengXian" w:cs="Times New Roman"/>
          <w:bCs/>
          <w:i/>
          <w:iCs/>
          <w:noProof/>
          <w:lang w:eastAsia="zh-CN"/>
        </w:rPr>
        <w:t>48</w:t>
      </w:r>
      <w:r w:rsidRPr="002414E9">
        <w:rPr>
          <w:rFonts w:eastAsia="DengXian" w:cs="Times New Roman"/>
          <w:bCs/>
          <w:noProof/>
          <w:lang w:eastAsia="zh-CN"/>
        </w:rPr>
        <w:t xml:space="preserve">(5), 1037–1046. </w:t>
      </w:r>
      <w:bookmarkStart w:id="125" w:name="_Hlk54038809"/>
      <w:r w:rsidRPr="002414E9">
        <w:rPr>
          <w:rFonts w:eastAsia="DengXian" w:cs="Times New Roman"/>
          <w:bCs/>
          <w:noProof/>
          <w:lang w:eastAsia="zh-CN"/>
        </w:rPr>
        <w:t>https://doi.org/</w:t>
      </w:r>
      <w:bookmarkEnd w:id="125"/>
      <w:r w:rsidRPr="002414E9">
        <w:rPr>
          <w:rFonts w:eastAsia="DengXian" w:cs="Times New Roman"/>
          <w:bCs/>
          <w:noProof/>
          <w:lang w:eastAsia="zh-CN"/>
        </w:rPr>
        <w:t>10.1016/j.jesp.2012.04.005</w:t>
      </w:r>
    </w:p>
    <w:p w14:paraId="2278A97D" w14:textId="7A1ED53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Willinger, M., &amp; Ziegelmeyer, A. (1999). Framing and cooperation in public good games: an experiment with an interior solution. </w:t>
      </w:r>
      <w:r w:rsidRPr="002414E9">
        <w:rPr>
          <w:rFonts w:eastAsia="DengXian" w:cs="Times New Roman"/>
          <w:i/>
          <w:iCs/>
          <w:noProof/>
          <w:lang w:eastAsia="zh-CN"/>
        </w:rPr>
        <w:t>Economics Letters</w:t>
      </w:r>
      <w:r w:rsidRPr="002414E9">
        <w:rPr>
          <w:rFonts w:eastAsia="DengXian" w:cs="Times New Roman"/>
          <w:noProof/>
          <w:lang w:eastAsia="zh-CN"/>
        </w:rPr>
        <w:t xml:space="preserve">, </w:t>
      </w:r>
      <w:r w:rsidRPr="002414E9">
        <w:rPr>
          <w:rFonts w:eastAsia="DengXian" w:cs="Times New Roman"/>
          <w:i/>
          <w:iCs/>
          <w:noProof/>
          <w:lang w:eastAsia="zh-CN"/>
        </w:rPr>
        <w:t>65</w:t>
      </w:r>
      <w:r w:rsidRPr="002414E9">
        <w:rPr>
          <w:rFonts w:eastAsia="DengXian" w:cs="Times New Roman"/>
          <w:noProof/>
          <w:lang w:eastAsia="zh-CN"/>
        </w:rPr>
        <w:t>(3), 323–328. https://doi.org/10.1016/S0165-1765(99)00177-9</w:t>
      </w:r>
    </w:p>
    <w:p w14:paraId="0A0ADA69" w14:textId="0BE7325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Wilson, R. K., &amp; Sell, J. (1997). “Liar, liar... .” </w:t>
      </w:r>
      <w:r w:rsidRPr="002414E9">
        <w:rPr>
          <w:rFonts w:eastAsia="DengXian" w:cs="Times New Roman"/>
          <w:i/>
          <w:iCs/>
          <w:noProof/>
          <w:lang w:eastAsia="zh-CN"/>
        </w:rPr>
        <w:t>Journal of Conflict Resolution</w:t>
      </w:r>
      <w:r w:rsidRPr="002414E9">
        <w:rPr>
          <w:rFonts w:eastAsia="DengXian" w:cs="Times New Roman"/>
          <w:noProof/>
          <w:lang w:eastAsia="zh-CN"/>
        </w:rPr>
        <w:t xml:space="preserve">, </w:t>
      </w:r>
      <w:r w:rsidRPr="002414E9">
        <w:rPr>
          <w:rFonts w:eastAsia="DengXian" w:cs="Times New Roman"/>
          <w:i/>
          <w:iCs/>
          <w:noProof/>
          <w:lang w:eastAsia="zh-CN"/>
        </w:rPr>
        <w:t>41</w:t>
      </w:r>
      <w:r w:rsidRPr="002414E9">
        <w:rPr>
          <w:rFonts w:eastAsia="DengXian" w:cs="Times New Roman"/>
          <w:noProof/>
          <w:lang w:eastAsia="zh-CN"/>
        </w:rPr>
        <w:t>(5), 695–717. https://doi.org/10.1177/0022002797041005005</w:t>
      </w:r>
    </w:p>
    <w:p w14:paraId="5D6991E2" w14:textId="3F8321D3"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Wilson, W. (1969). Cooperation and the cooperativeness of the other player.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13</w:t>
      </w:r>
      <w:r w:rsidRPr="002414E9">
        <w:rPr>
          <w:rFonts w:eastAsia="DengXian" w:cs="Times New Roman"/>
          <w:bCs/>
          <w:noProof/>
          <w:lang w:eastAsia="zh-CN"/>
        </w:rPr>
        <w:t>(1), 110–117. https://doi.org/10.1177/002200276901300108</w:t>
      </w:r>
    </w:p>
    <w:p w14:paraId="360E7D98" w14:textId="24B57CE9"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Wilson, W. (1971). Reciprocation and other techniques for inducing cooperation in the Prisoner's Dilemma game.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15</w:t>
      </w:r>
      <w:r w:rsidRPr="002414E9">
        <w:rPr>
          <w:rFonts w:eastAsia="DengXian" w:cs="Times New Roman"/>
          <w:bCs/>
          <w:noProof/>
          <w:lang w:eastAsia="zh-CN"/>
        </w:rPr>
        <w:t>(2), 167–195. https://doi.org/10.1177/002200277101500205</w:t>
      </w:r>
    </w:p>
    <w:p w14:paraId="64F4F8AC" w14:textId="6185C7A4"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Wilson, W., &amp; Kayatani, M. (1968). Intergroup attitudes and strategies in games between opponents of the same or of a different race. </w:t>
      </w:r>
      <w:r w:rsidRPr="002414E9">
        <w:rPr>
          <w:rFonts w:eastAsia="DengXian" w:cs="Times New Roman"/>
          <w:bCs/>
          <w:i/>
          <w:iCs/>
          <w:noProof/>
          <w:lang w:eastAsia="zh-CN"/>
        </w:rPr>
        <w:t>Journal of Personality and Social Psychology, 9</w:t>
      </w:r>
      <w:r w:rsidRPr="002414E9">
        <w:rPr>
          <w:rFonts w:eastAsia="DengXian" w:cs="Times New Roman"/>
          <w:bCs/>
          <w:noProof/>
          <w:lang w:eastAsia="zh-CN"/>
        </w:rPr>
        <w:t>(1), 24–30. https://doi.org/10.1037/h0025720</w:t>
      </w:r>
    </w:p>
    <w:p w14:paraId="24F4D120" w14:textId="6448C5FA"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Wilson, W., &amp; Robinson, C. (1968). Selective intergroup bias in both authoritarians and non-authoritarians after playing a modified Prisoner's Dilemma game. </w:t>
      </w:r>
      <w:r w:rsidRPr="002414E9">
        <w:rPr>
          <w:rFonts w:eastAsia="DengXian" w:cs="Times New Roman"/>
          <w:bCs/>
          <w:i/>
          <w:iCs/>
          <w:noProof/>
          <w:lang w:eastAsia="zh-CN"/>
        </w:rPr>
        <w:t>Perceptual and Motor Skills</w:t>
      </w:r>
      <w:r w:rsidRPr="002414E9">
        <w:rPr>
          <w:rFonts w:eastAsia="DengXian" w:cs="Times New Roman"/>
          <w:bCs/>
          <w:noProof/>
          <w:lang w:eastAsia="zh-CN"/>
        </w:rPr>
        <w:t xml:space="preserve">, </w:t>
      </w:r>
      <w:r w:rsidRPr="002414E9">
        <w:rPr>
          <w:rFonts w:eastAsia="DengXian" w:cs="Times New Roman"/>
          <w:bCs/>
          <w:i/>
          <w:iCs/>
          <w:noProof/>
          <w:lang w:eastAsia="zh-CN"/>
        </w:rPr>
        <w:t>27</w:t>
      </w:r>
      <w:r w:rsidRPr="002414E9">
        <w:rPr>
          <w:rFonts w:eastAsia="DengXian" w:cs="Times New Roman"/>
          <w:bCs/>
          <w:noProof/>
          <w:lang w:eastAsia="zh-CN"/>
        </w:rPr>
        <w:t>(3), 1051–1058. https://doi.org/10.2466/pms.1968.27.3f.1051</w:t>
      </w:r>
    </w:p>
    <w:p w14:paraId="5F078F04" w14:textId="56DFFB22"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Wit, A. P., &amp; Wilke, H. A. (1992). The effect of social categorization on cooperation in three </w:t>
      </w:r>
      <w:r w:rsidRPr="002414E9">
        <w:rPr>
          <w:rFonts w:eastAsia="DengXian" w:cs="Times New Roman"/>
          <w:bCs/>
          <w:noProof/>
          <w:lang w:eastAsia="zh-CN"/>
        </w:rPr>
        <w:lastRenderedPageBreak/>
        <w:t xml:space="preserve">types of social dilemmas. </w:t>
      </w:r>
      <w:r w:rsidRPr="002414E9">
        <w:rPr>
          <w:rFonts w:eastAsia="DengXian" w:cs="Times New Roman"/>
          <w:bCs/>
          <w:i/>
          <w:iCs/>
          <w:noProof/>
          <w:lang w:eastAsia="zh-CN"/>
        </w:rPr>
        <w:t>Journal of Economic Psychology</w:t>
      </w:r>
      <w:r w:rsidRPr="002414E9">
        <w:rPr>
          <w:rFonts w:eastAsia="DengXian" w:cs="Times New Roman"/>
          <w:bCs/>
          <w:noProof/>
          <w:lang w:eastAsia="zh-CN"/>
        </w:rPr>
        <w:t xml:space="preserve">, </w:t>
      </w:r>
      <w:r w:rsidRPr="002414E9">
        <w:rPr>
          <w:rFonts w:eastAsia="DengXian" w:cs="Times New Roman"/>
          <w:bCs/>
          <w:i/>
          <w:iCs/>
          <w:noProof/>
          <w:lang w:eastAsia="zh-CN"/>
        </w:rPr>
        <w:t>13</w:t>
      </w:r>
      <w:r w:rsidRPr="002414E9">
        <w:rPr>
          <w:rFonts w:eastAsia="DengXian" w:cs="Times New Roman"/>
          <w:bCs/>
          <w:noProof/>
          <w:lang w:eastAsia="zh-CN"/>
        </w:rPr>
        <w:t>(1), 135–151. https://doi.org/10.1016/0167-4870(92)90056-D</w:t>
      </w:r>
    </w:p>
    <w:p w14:paraId="400676DA" w14:textId="69B23618"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Wolf, S. T., Cohen, T. R., Kirchner, J. L., Rea, A., Montoya, R. M., &amp; Insko, C. A. (2009). </w:t>
      </w:r>
      <w:r w:rsidRPr="002414E9">
        <w:rPr>
          <w:rFonts w:eastAsia="DengXian" w:cs="Times New Roman"/>
          <w:bCs/>
          <w:noProof/>
          <w:lang w:eastAsia="zh-CN"/>
        </w:rPr>
        <w:t xml:space="preserve">Reducing intergroup conflict through the consideration of future consequences. </w:t>
      </w:r>
      <w:r w:rsidRPr="002414E9">
        <w:rPr>
          <w:rFonts w:eastAsia="DengXian" w:cs="Times New Roman"/>
          <w:bCs/>
          <w:i/>
          <w:iCs/>
          <w:noProof/>
          <w:lang w:eastAsia="zh-CN"/>
        </w:rPr>
        <w:t>European Journal of Social Psychology</w:t>
      </w:r>
      <w:r w:rsidRPr="002414E9">
        <w:rPr>
          <w:rFonts w:eastAsia="DengXian" w:cs="Times New Roman"/>
          <w:bCs/>
          <w:noProof/>
          <w:lang w:eastAsia="zh-CN"/>
        </w:rPr>
        <w:t xml:space="preserve">, </w:t>
      </w:r>
      <w:r w:rsidRPr="002414E9">
        <w:rPr>
          <w:rFonts w:eastAsia="DengXian" w:cs="Times New Roman"/>
          <w:bCs/>
          <w:i/>
          <w:iCs/>
          <w:noProof/>
          <w:lang w:eastAsia="zh-CN"/>
        </w:rPr>
        <w:t>39</w:t>
      </w:r>
      <w:r w:rsidRPr="002414E9">
        <w:rPr>
          <w:rFonts w:eastAsia="DengXian" w:cs="Times New Roman"/>
          <w:bCs/>
          <w:noProof/>
          <w:lang w:eastAsia="zh-CN"/>
        </w:rPr>
        <w:t>(5), 831–841. https://doi.org/10.1002/ejsp.592</w:t>
      </w:r>
    </w:p>
    <w:p w14:paraId="530A6056" w14:textId="74D22263"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Wood, R. M., Rilling, J. K., Sanfey, A. G., Bhagwagar, Z., &amp; Rogers, R. D. (2006). Effects of tryptophan depletion on the performance of an iterated Prisoner's Dilemma game in healthy adults. </w:t>
      </w:r>
      <w:r w:rsidRPr="002414E9">
        <w:rPr>
          <w:rFonts w:eastAsia="DengXian" w:cs="Times New Roman"/>
          <w:bCs/>
          <w:i/>
          <w:iCs/>
          <w:noProof/>
          <w:lang w:eastAsia="zh-CN"/>
        </w:rPr>
        <w:t>Neuropsychopharmacology</w:t>
      </w:r>
      <w:r w:rsidRPr="002414E9">
        <w:rPr>
          <w:rFonts w:eastAsia="DengXian" w:cs="Times New Roman"/>
          <w:bCs/>
          <w:noProof/>
          <w:lang w:eastAsia="zh-CN"/>
        </w:rPr>
        <w:t xml:space="preserve">, </w:t>
      </w:r>
      <w:r w:rsidRPr="002414E9">
        <w:rPr>
          <w:rFonts w:eastAsia="DengXian" w:cs="Times New Roman"/>
          <w:bCs/>
          <w:i/>
          <w:iCs/>
          <w:noProof/>
          <w:lang w:eastAsia="zh-CN"/>
        </w:rPr>
        <w:t>31</w:t>
      </w:r>
      <w:r w:rsidRPr="002414E9">
        <w:rPr>
          <w:rFonts w:eastAsia="DengXian" w:cs="Times New Roman"/>
          <w:bCs/>
          <w:noProof/>
          <w:lang w:eastAsia="zh-CN"/>
        </w:rPr>
        <w:t>(5), 1075–1084. https://doi.org/10.1038/sj.npp.1300932</w:t>
      </w:r>
    </w:p>
    <w:p w14:paraId="501EA699" w14:textId="3C7E30D8"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Worchel, P. (1969). Temptation and threat in non-zero-sum games.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13</w:t>
      </w:r>
      <w:r w:rsidRPr="002414E9">
        <w:rPr>
          <w:rFonts w:eastAsia="DengXian" w:cs="Times New Roman"/>
          <w:bCs/>
          <w:noProof/>
          <w:lang w:eastAsia="zh-CN"/>
        </w:rPr>
        <w:t>(1), 103–109. https://doi.org/10.1177/002200276901300107</w:t>
      </w:r>
    </w:p>
    <w:p w14:paraId="42EA0FE0" w14:textId="50249221"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Wu, J. J., Zhang, B. Y., Zhou, Z. X., He, Q. Q., Zheng, X. D., Cressman, R., &amp; Tao, Y. (2009). Costly punishment does not always increase cooperation. </w:t>
      </w:r>
      <w:r w:rsidRPr="002414E9">
        <w:rPr>
          <w:rFonts w:eastAsia="DengXian" w:cs="Times New Roman"/>
          <w:bCs/>
          <w:i/>
          <w:iCs/>
          <w:noProof/>
          <w:lang w:eastAsia="zh-CN"/>
        </w:rPr>
        <w:t>Proceedings of the National Academy of Sciences</w:t>
      </w:r>
      <w:r w:rsidRPr="002414E9">
        <w:rPr>
          <w:rFonts w:eastAsia="DengXian" w:cs="Times New Roman"/>
          <w:bCs/>
          <w:noProof/>
          <w:lang w:eastAsia="zh-CN"/>
        </w:rPr>
        <w:t xml:space="preserve">, </w:t>
      </w:r>
      <w:r w:rsidRPr="002414E9">
        <w:rPr>
          <w:rFonts w:eastAsia="DengXian" w:cs="Times New Roman"/>
          <w:bCs/>
          <w:i/>
          <w:iCs/>
          <w:noProof/>
          <w:lang w:eastAsia="zh-CN"/>
        </w:rPr>
        <w:t>106</w:t>
      </w:r>
      <w:r w:rsidRPr="002414E9">
        <w:rPr>
          <w:rFonts w:eastAsia="DengXian" w:cs="Times New Roman"/>
          <w:bCs/>
          <w:noProof/>
          <w:lang w:eastAsia="zh-CN"/>
        </w:rPr>
        <w:t>(41), 17448–17451. https://doi.org/10.1073/pnas.0905918106</w:t>
      </w:r>
    </w:p>
    <w:p w14:paraId="286FEB7A" w14:textId="77777777" w:rsidR="002414E9" w:rsidRPr="002414E9" w:rsidRDefault="002414E9" w:rsidP="002414E9">
      <w:pPr>
        <w:widowControl w:val="0"/>
        <w:autoSpaceDE w:val="0"/>
        <w:autoSpaceDN w:val="0"/>
        <w:adjustRightInd w:val="0"/>
        <w:ind w:left="709" w:hanging="709"/>
        <w:rPr>
          <w:rFonts w:eastAsia="DengXian" w:cs="Times New Roman"/>
          <w:noProof/>
          <w:lang w:val="en-GB" w:eastAsia="zh-CN"/>
        </w:rPr>
      </w:pPr>
      <w:r w:rsidRPr="002414E9">
        <w:rPr>
          <w:rFonts w:eastAsia="DengXian" w:cs="Times New Roman"/>
          <w:noProof/>
          <w:lang w:val="nl-NL" w:eastAsia="zh-CN"/>
        </w:rPr>
        <w:t xml:space="preserve">Wu, J., Balliet, D., &amp; Van Lange, P. A. M. (2016). </w:t>
      </w:r>
      <w:r w:rsidRPr="002414E9">
        <w:rPr>
          <w:rFonts w:eastAsia="DengXian" w:cs="Times New Roman"/>
          <w:noProof/>
          <w:lang w:val="en-GB" w:eastAsia="zh-CN"/>
        </w:rPr>
        <w:t xml:space="preserve">Gossip versus punishment: The efficiency of reputation to promote and maintain cooperation. </w:t>
      </w:r>
      <w:r w:rsidRPr="002414E9">
        <w:rPr>
          <w:rFonts w:eastAsia="DengXian" w:cs="Times New Roman"/>
          <w:i/>
          <w:iCs/>
          <w:noProof/>
          <w:lang w:val="en-GB" w:eastAsia="zh-CN"/>
        </w:rPr>
        <w:t>Scientific Reports</w:t>
      </w:r>
      <w:r w:rsidRPr="002414E9">
        <w:rPr>
          <w:rFonts w:eastAsia="DengXian" w:cs="Times New Roman"/>
          <w:noProof/>
          <w:lang w:val="en-GB" w:eastAsia="zh-CN"/>
        </w:rPr>
        <w:t xml:space="preserve">, </w:t>
      </w:r>
      <w:r w:rsidRPr="002414E9">
        <w:rPr>
          <w:rFonts w:eastAsia="DengXian" w:cs="Times New Roman"/>
          <w:i/>
          <w:iCs/>
          <w:noProof/>
          <w:lang w:val="en-GB" w:eastAsia="zh-CN"/>
        </w:rPr>
        <w:t>6</w:t>
      </w:r>
      <w:r w:rsidRPr="002414E9">
        <w:rPr>
          <w:rFonts w:eastAsia="DengXian" w:cs="Times New Roman"/>
          <w:noProof/>
          <w:lang w:val="en-GB" w:eastAsia="zh-CN"/>
        </w:rPr>
        <w:t>, 23919. https://doi.org/10.1038/srep23919</w:t>
      </w:r>
    </w:p>
    <w:p w14:paraId="4970D7B4" w14:textId="15E9A89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Wu, J., Balliet, D., Tybur, J. M., Arai, S., Van Lange, P. A. M., &amp; Yamagishi, T. (2017). Life history strategy and human cooperation in economic games. </w:t>
      </w:r>
      <w:r w:rsidRPr="002414E9">
        <w:rPr>
          <w:rFonts w:eastAsia="DengXian" w:cs="Times New Roman"/>
          <w:i/>
          <w:iCs/>
          <w:noProof/>
          <w:lang w:eastAsia="zh-CN"/>
        </w:rPr>
        <w:t>Evolution and Human Behavior</w:t>
      </w:r>
      <w:r w:rsidRPr="002414E9">
        <w:rPr>
          <w:rFonts w:eastAsia="DengXian" w:cs="Times New Roman"/>
          <w:noProof/>
          <w:lang w:eastAsia="zh-CN"/>
        </w:rPr>
        <w:t xml:space="preserve">, </w:t>
      </w:r>
      <w:r w:rsidRPr="002414E9">
        <w:rPr>
          <w:rFonts w:eastAsia="DengXian" w:cs="Times New Roman"/>
          <w:i/>
          <w:iCs/>
          <w:noProof/>
          <w:lang w:eastAsia="zh-CN"/>
        </w:rPr>
        <w:t>38</w:t>
      </w:r>
      <w:r w:rsidRPr="002414E9">
        <w:rPr>
          <w:rFonts w:eastAsia="DengXian" w:cs="Times New Roman"/>
          <w:noProof/>
          <w:lang w:eastAsia="zh-CN"/>
        </w:rPr>
        <w:t>(4), 496–505. https://doi.org/10.1016/j.evolhumbehav.2017.03.002</w:t>
      </w:r>
    </w:p>
    <w:p w14:paraId="090FFE91" w14:textId="3FF5CAD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Wu, J.-J., Li, C., Zhang, B.-Y., Cressman, R., &amp; Tao, Y. (2015). The role of institutional incentives and the exemplar in promoting cooperation. </w:t>
      </w:r>
      <w:r w:rsidRPr="002414E9">
        <w:rPr>
          <w:rFonts w:eastAsia="DengXian" w:cs="Times New Roman"/>
          <w:i/>
          <w:iCs/>
          <w:noProof/>
          <w:lang w:eastAsia="zh-CN"/>
        </w:rPr>
        <w:t>Scientific Reports</w:t>
      </w:r>
      <w:r w:rsidRPr="002414E9">
        <w:rPr>
          <w:rFonts w:eastAsia="DengXian" w:cs="Times New Roman"/>
          <w:noProof/>
          <w:lang w:eastAsia="zh-CN"/>
        </w:rPr>
        <w:t xml:space="preserve">, </w:t>
      </w:r>
      <w:r w:rsidRPr="002414E9">
        <w:rPr>
          <w:rFonts w:eastAsia="DengXian" w:cs="Times New Roman"/>
          <w:i/>
          <w:iCs/>
          <w:noProof/>
          <w:lang w:eastAsia="zh-CN"/>
        </w:rPr>
        <w:t>4</w:t>
      </w:r>
      <w:r w:rsidRPr="002414E9">
        <w:rPr>
          <w:rFonts w:eastAsia="DengXian" w:cs="Times New Roman"/>
          <w:noProof/>
          <w:lang w:eastAsia="zh-CN"/>
        </w:rPr>
        <w:t>(1), 6421. https://doi.org/10.1038/srep06421</w:t>
      </w:r>
    </w:p>
    <w:p w14:paraId="45A5C2EA" w14:textId="5373DBCB"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fr-FR" w:eastAsia="zh-CN"/>
        </w:rPr>
        <w:lastRenderedPageBreak/>
        <w:t xml:space="preserve">Wu, S., Sun, J., Cai, W., &amp; Jin, S. (2014). </w:t>
      </w:r>
      <w:r w:rsidRPr="002414E9">
        <w:rPr>
          <w:rFonts w:eastAsia="DengXian" w:cs="Times New Roman"/>
          <w:noProof/>
          <w:lang w:eastAsia="zh-CN"/>
        </w:rPr>
        <w:t xml:space="preserve">The bad apple effect and social value orientation in public-goods dilemmas: Replication and extension of research findings. </w:t>
      </w:r>
      <w:r w:rsidRPr="002414E9">
        <w:rPr>
          <w:rFonts w:eastAsia="DengXian" w:cs="Times New Roman"/>
          <w:i/>
          <w:iCs/>
          <w:noProof/>
          <w:lang w:eastAsia="zh-CN"/>
        </w:rPr>
        <w:t>Psychological Reports</w:t>
      </w:r>
      <w:r w:rsidRPr="002414E9">
        <w:rPr>
          <w:rFonts w:eastAsia="DengXian" w:cs="Times New Roman"/>
          <w:noProof/>
          <w:lang w:eastAsia="zh-CN"/>
        </w:rPr>
        <w:t xml:space="preserve">, </w:t>
      </w:r>
      <w:r w:rsidRPr="002414E9">
        <w:rPr>
          <w:rFonts w:eastAsia="DengXian" w:cs="Times New Roman"/>
          <w:i/>
          <w:iCs/>
          <w:noProof/>
          <w:lang w:eastAsia="zh-CN"/>
        </w:rPr>
        <w:t>114</w:t>
      </w:r>
      <w:r w:rsidRPr="002414E9">
        <w:rPr>
          <w:rFonts w:eastAsia="DengXian" w:cs="Times New Roman"/>
          <w:noProof/>
          <w:lang w:eastAsia="zh-CN"/>
        </w:rPr>
        <w:t>(3), 866–879. https://doi.org/10.2466/07.09.PR0.114k27w5</w:t>
      </w:r>
    </w:p>
    <w:p w14:paraId="0333545E" w14:textId="1EC3E958" w:rsidR="002414E9" w:rsidRPr="002414E9" w:rsidRDefault="002414E9" w:rsidP="002414E9">
      <w:pPr>
        <w:widowControl w:val="0"/>
        <w:autoSpaceDE w:val="0"/>
        <w:autoSpaceDN w:val="0"/>
        <w:adjustRightInd w:val="0"/>
        <w:ind w:left="709" w:hanging="709"/>
        <w:rPr>
          <w:rFonts w:eastAsia="DengXian" w:cs="Times New Roman"/>
          <w:noProof/>
          <w:lang w:eastAsia="zh-CN"/>
        </w:rPr>
      </w:pPr>
      <w:bookmarkStart w:id="126" w:name="_Hlk73021229"/>
      <w:r w:rsidRPr="002414E9">
        <w:rPr>
          <w:rFonts w:eastAsia="DengXian" w:cs="Times New Roman"/>
          <w:noProof/>
          <w:lang w:eastAsia="zh-CN"/>
        </w:rPr>
        <w:t xml:space="preserve">Wu, Y. (2010). </w:t>
      </w:r>
      <w:r w:rsidRPr="002414E9">
        <w:rPr>
          <w:rFonts w:eastAsia="DengXian" w:cs="Times New Roman"/>
          <w:i/>
          <w:iCs/>
          <w:noProof/>
          <w:lang w:eastAsia="zh-CN"/>
        </w:rPr>
        <w:t>Shehui liangnan qingjing xia ziwo xiaonenggan fankui yu jiangli dui hezuo xingwei de yingxiang yanjiu</w:t>
      </w:r>
      <w:r w:rsidRPr="002414E9">
        <w:rPr>
          <w:rFonts w:eastAsia="DengXian" w:cs="Times New Roman"/>
          <w:noProof/>
          <w:lang w:eastAsia="zh-CN"/>
        </w:rPr>
        <w:t xml:space="preserve"> [</w:t>
      </w:r>
      <w:r w:rsidRPr="002414E9">
        <w:rPr>
          <w:rFonts w:eastAsia="DengXian" w:cs="Times New Roman" w:hint="eastAsia"/>
          <w:noProof/>
          <w:lang w:eastAsia="zh-CN"/>
        </w:rPr>
        <w:t xml:space="preserve">An </w:t>
      </w:r>
      <w:r w:rsidRPr="002414E9">
        <w:rPr>
          <w:rFonts w:eastAsia="DengXian" w:cs="Times New Roman"/>
          <w:noProof/>
          <w:lang w:eastAsia="zh-CN"/>
        </w:rPr>
        <w:t>e</w:t>
      </w:r>
      <w:r w:rsidRPr="002414E9">
        <w:rPr>
          <w:rFonts w:eastAsia="DengXian" w:cs="Times New Roman" w:hint="eastAsia"/>
          <w:noProof/>
          <w:lang w:eastAsia="zh-CN"/>
        </w:rPr>
        <w:t xml:space="preserve">xperiment </w:t>
      </w:r>
      <w:r w:rsidRPr="002414E9">
        <w:rPr>
          <w:rFonts w:eastAsia="DengXian" w:cs="Times New Roman"/>
          <w:noProof/>
          <w:lang w:eastAsia="zh-CN"/>
        </w:rPr>
        <w:t>s</w:t>
      </w:r>
      <w:r w:rsidRPr="002414E9">
        <w:rPr>
          <w:rFonts w:eastAsia="DengXian" w:cs="Times New Roman" w:hint="eastAsia"/>
          <w:noProof/>
          <w:lang w:eastAsia="zh-CN"/>
        </w:rPr>
        <w:t xml:space="preserve">tudy of the </w:t>
      </w:r>
      <w:r w:rsidRPr="002414E9">
        <w:rPr>
          <w:rFonts w:eastAsia="DengXian" w:cs="Times New Roman"/>
          <w:noProof/>
          <w:lang w:eastAsia="zh-CN"/>
        </w:rPr>
        <w:t>e</w:t>
      </w:r>
      <w:r w:rsidRPr="002414E9">
        <w:rPr>
          <w:rFonts w:eastAsia="DengXian" w:cs="Times New Roman" w:hint="eastAsia"/>
          <w:noProof/>
          <w:lang w:eastAsia="zh-CN"/>
        </w:rPr>
        <w:t xml:space="preserve">ffects of </w:t>
      </w:r>
      <w:r w:rsidRPr="002414E9">
        <w:rPr>
          <w:rFonts w:eastAsia="DengXian" w:cs="Times New Roman"/>
          <w:noProof/>
          <w:lang w:eastAsia="zh-CN"/>
        </w:rPr>
        <w:t>s</w:t>
      </w:r>
      <w:r w:rsidRPr="002414E9">
        <w:rPr>
          <w:rFonts w:eastAsia="DengXian" w:cs="Times New Roman" w:hint="eastAsia"/>
          <w:noProof/>
          <w:lang w:eastAsia="zh-CN"/>
        </w:rPr>
        <w:t>elf-</w:t>
      </w:r>
      <w:r w:rsidRPr="002414E9">
        <w:rPr>
          <w:rFonts w:eastAsia="DengXian" w:cs="Times New Roman"/>
          <w:noProof/>
          <w:lang w:eastAsia="zh-CN"/>
        </w:rPr>
        <w:t>e</w:t>
      </w:r>
      <w:r w:rsidRPr="002414E9">
        <w:rPr>
          <w:rFonts w:eastAsia="DengXian" w:cs="Times New Roman" w:hint="eastAsia"/>
          <w:noProof/>
          <w:lang w:eastAsia="zh-CN"/>
        </w:rPr>
        <w:t xml:space="preserve">fficacy, </w:t>
      </w:r>
      <w:r w:rsidRPr="002414E9">
        <w:rPr>
          <w:rFonts w:eastAsia="DengXian" w:cs="Times New Roman"/>
          <w:noProof/>
          <w:lang w:eastAsia="zh-CN"/>
        </w:rPr>
        <w:t>f</w:t>
      </w:r>
      <w:r w:rsidRPr="002414E9">
        <w:rPr>
          <w:rFonts w:eastAsia="DengXian" w:cs="Times New Roman" w:hint="eastAsia"/>
          <w:noProof/>
          <w:lang w:eastAsia="zh-CN"/>
        </w:rPr>
        <w:t xml:space="preserve">eedback and </w:t>
      </w:r>
      <w:r w:rsidRPr="002414E9">
        <w:rPr>
          <w:rFonts w:eastAsia="DengXian" w:cs="Times New Roman"/>
          <w:noProof/>
          <w:lang w:eastAsia="zh-CN"/>
        </w:rPr>
        <w:t>r</w:t>
      </w:r>
      <w:r w:rsidRPr="002414E9">
        <w:rPr>
          <w:rFonts w:eastAsia="DengXian" w:cs="Times New Roman" w:hint="eastAsia"/>
          <w:noProof/>
          <w:lang w:eastAsia="zh-CN"/>
        </w:rPr>
        <w:t xml:space="preserve">ewards on </w:t>
      </w:r>
      <w:r w:rsidRPr="002414E9">
        <w:rPr>
          <w:rFonts w:eastAsia="DengXian" w:cs="Times New Roman"/>
          <w:noProof/>
          <w:lang w:eastAsia="zh-CN"/>
        </w:rPr>
        <w:t>c</w:t>
      </w:r>
      <w:r w:rsidRPr="002414E9">
        <w:rPr>
          <w:rFonts w:eastAsia="DengXian" w:cs="Times New Roman" w:hint="eastAsia"/>
          <w:noProof/>
          <w:lang w:eastAsia="zh-CN"/>
        </w:rPr>
        <w:t xml:space="preserve">ooperative </w:t>
      </w:r>
      <w:r w:rsidRPr="002414E9">
        <w:rPr>
          <w:rFonts w:eastAsia="DengXian" w:cs="Times New Roman"/>
          <w:noProof/>
          <w:lang w:eastAsia="zh-CN"/>
        </w:rPr>
        <w:t>b</w:t>
      </w:r>
      <w:r w:rsidRPr="002414E9">
        <w:rPr>
          <w:rFonts w:eastAsia="DengXian" w:cs="Times New Roman" w:hint="eastAsia"/>
          <w:noProof/>
          <w:lang w:eastAsia="zh-CN"/>
        </w:rPr>
        <w:t xml:space="preserve">ehavior in the </w:t>
      </w:r>
      <w:r w:rsidRPr="002414E9">
        <w:rPr>
          <w:rFonts w:eastAsia="DengXian" w:cs="Times New Roman"/>
          <w:noProof/>
          <w:lang w:eastAsia="zh-CN"/>
        </w:rPr>
        <w:t>s</w:t>
      </w:r>
      <w:r w:rsidRPr="002414E9">
        <w:rPr>
          <w:rFonts w:eastAsia="DengXian" w:cs="Times New Roman" w:hint="eastAsia"/>
          <w:noProof/>
          <w:lang w:eastAsia="zh-CN"/>
        </w:rPr>
        <w:t xml:space="preserve">ocial </w:t>
      </w:r>
      <w:r w:rsidRPr="002414E9">
        <w:rPr>
          <w:rFonts w:eastAsia="DengXian" w:cs="Times New Roman"/>
          <w:noProof/>
          <w:lang w:eastAsia="zh-CN"/>
        </w:rPr>
        <w:t>d</w:t>
      </w:r>
      <w:r w:rsidRPr="002414E9">
        <w:rPr>
          <w:rFonts w:eastAsia="DengXian" w:cs="Times New Roman" w:hint="eastAsia"/>
          <w:noProof/>
          <w:lang w:eastAsia="zh-CN"/>
        </w:rPr>
        <w:t>ilemma</w:t>
      </w:r>
      <w:r w:rsidRPr="002414E9">
        <w:rPr>
          <w:rFonts w:eastAsia="DengXian" w:cs="Times New Roman"/>
          <w:noProof/>
          <w:lang w:eastAsia="zh-CN"/>
        </w:rPr>
        <w:t>] [Master's thesis, Neimenggu shifan daxue]. CNKI Theses and Dissertations Database.</w:t>
      </w:r>
      <w:bookmarkEnd w:id="126"/>
    </w:p>
    <w:p w14:paraId="633846F4" w14:textId="5CDB8C5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nl-NL" w:eastAsia="zh-CN"/>
        </w:rPr>
        <w:t xml:space="preserve">Wubben, M. J. J., De Cremer, D., &amp; Dijk, E. Van. </w:t>
      </w:r>
      <w:r w:rsidRPr="002414E9">
        <w:rPr>
          <w:rFonts w:eastAsia="DengXian" w:cs="Times New Roman"/>
          <w:noProof/>
          <w:lang w:eastAsia="zh-CN"/>
        </w:rPr>
        <w:t xml:space="preserve">(2009). When and how communicated guilt affects contributions in public good dilemmas. </w:t>
      </w:r>
      <w:r w:rsidRPr="002414E9">
        <w:rPr>
          <w:rFonts w:eastAsia="DengXian" w:cs="Times New Roman"/>
          <w:i/>
          <w:iCs/>
          <w:noProof/>
          <w:lang w:eastAsia="zh-CN"/>
        </w:rPr>
        <w:t>Journal of Experimental Social Psychology</w:t>
      </w:r>
      <w:r w:rsidRPr="002414E9">
        <w:rPr>
          <w:rFonts w:eastAsia="DengXian" w:cs="Times New Roman"/>
          <w:noProof/>
          <w:lang w:eastAsia="zh-CN"/>
        </w:rPr>
        <w:t xml:space="preserve">, </w:t>
      </w:r>
      <w:r w:rsidRPr="002414E9">
        <w:rPr>
          <w:rFonts w:eastAsia="DengXian" w:cs="Times New Roman"/>
          <w:i/>
          <w:iCs/>
          <w:noProof/>
          <w:lang w:eastAsia="zh-CN"/>
        </w:rPr>
        <w:t>45</w:t>
      </w:r>
      <w:r w:rsidRPr="002414E9">
        <w:rPr>
          <w:rFonts w:eastAsia="DengXian" w:cs="Times New Roman"/>
          <w:noProof/>
          <w:lang w:eastAsia="zh-CN"/>
        </w:rPr>
        <w:t>(1), 15–23. https://doi.org/10.1016/j.jesp.2008.07.015</w:t>
      </w:r>
    </w:p>
    <w:p w14:paraId="0106F050" w14:textId="6DA3C85C"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Wyer, R. S. (1969). Prediction of behavior in two-person games. </w:t>
      </w:r>
      <w:r w:rsidRPr="002414E9">
        <w:rPr>
          <w:rFonts w:eastAsia="DengXian" w:cs="Times New Roman"/>
          <w:bCs/>
          <w:i/>
          <w:iCs/>
          <w:noProof/>
          <w:lang w:eastAsia="zh-CN"/>
        </w:rPr>
        <w:t>Journal of Personality and Social Psychology, 13</w:t>
      </w:r>
      <w:r w:rsidRPr="002414E9">
        <w:rPr>
          <w:rFonts w:eastAsia="DengXian" w:cs="Times New Roman"/>
          <w:bCs/>
          <w:noProof/>
          <w:lang w:eastAsia="zh-CN"/>
        </w:rPr>
        <w:t>(3), 222–238. https://doi.org/10.1037/h0028279</w:t>
      </w:r>
    </w:p>
    <w:p w14:paraId="023DE63D" w14:textId="3F4A5AB2"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it-IT" w:eastAsia="zh-CN"/>
        </w:rPr>
        <w:t xml:space="preserve">Xi, Y., Li, T., &amp; Zheng, Y. (2013). </w:t>
      </w:r>
      <w:r w:rsidRPr="002414E9">
        <w:rPr>
          <w:rFonts w:eastAsia="DengXian" w:cs="Times New Roman"/>
          <w:bCs/>
          <w:noProof/>
          <w:lang w:eastAsia="zh-CN"/>
        </w:rPr>
        <w:t xml:space="preserve">Understanding cooperation in a single-trial Prisoner's Dilemma game: Interactions among three conditions. </w:t>
      </w:r>
      <w:r w:rsidRPr="002414E9">
        <w:rPr>
          <w:rFonts w:eastAsia="DengXian" w:cs="Times New Roman"/>
          <w:bCs/>
          <w:i/>
          <w:iCs/>
          <w:noProof/>
          <w:lang w:eastAsia="zh-CN"/>
        </w:rPr>
        <w:t>Social Behavior and Personality: An International Journal</w:t>
      </w:r>
      <w:r w:rsidRPr="002414E9">
        <w:rPr>
          <w:rFonts w:eastAsia="DengXian" w:cs="Times New Roman"/>
          <w:bCs/>
          <w:noProof/>
          <w:lang w:eastAsia="zh-CN"/>
        </w:rPr>
        <w:t xml:space="preserve">, </w:t>
      </w:r>
      <w:r w:rsidRPr="002414E9">
        <w:rPr>
          <w:rFonts w:eastAsia="DengXian" w:cs="Times New Roman"/>
          <w:bCs/>
          <w:i/>
          <w:iCs/>
          <w:noProof/>
          <w:lang w:eastAsia="zh-CN"/>
        </w:rPr>
        <w:t>41</w:t>
      </w:r>
      <w:r w:rsidRPr="002414E9">
        <w:rPr>
          <w:rFonts w:eastAsia="DengXian" w:cs="Times New Roman"/>
          <w:bCs/>
          <w:noProof/>
          <w:lang w:eastAsia="zh-CN"/>
        </w:rPr>
        <w:t>(5), 721–729. https://doi.org/10.2224/sbp.2013.41.5.721</w:t>
      </w:r>
    </w:p>
    <w:p w14:paraId="1BB655FB" w14:textId="2286407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Xiao, E., &amp; Houser, D. (2011). Punish in public. </w:t>
      </w:r>
      <w:r w:rsidRPr="002414E9">
        <w:rPr>
          <w:rFonts w:eastAsia="DengXian" w:cs="Times New Roman"/>
          <w:i/>
          <w:iCs/>
          <w:noProof/>
          <w:lang w:eastAsia="zh-CN"/>
        </w:rPr>
        <w:t>Journal of Public Economics</w:t>
      </w:r>
      <w:r w:rsidRPr="002414E9">
        <w:rPr>
          <w:rFonts w:eastAsia="DengXian" w:cs="Times New Roman"/>
          <w:noProof/>
          <w:lang w:eastAsia="zh-CN"/>
        </w:rPr>
        <w:t xml:space="preserve">, </w:t>
      </w:r>
      <w:r w:rsidRPr="002414E9">
        <w:rPr>
          <w:rFonts w:eastAsia="DengXian" w:cs="Times New Roman"/>
          <w:i/>
          <w:iCs/>
          <w:noProof/>
          <w:lang w:eastAsia="zh-CN"/>
        </w:rPr>
        <w:t>95</w:t>
      </w:r>
      <w:r w:rsidRPr="002414E9">
        <w:rPr>
          <w:rFonts w:eastAsia="DengXian" w:cs="Times New Roman"/>
          <w:noProof/>
          <w:lang w:eastAsia="zh-CN"/>
        </w:rPr>
        <w:t>(7–8), 1006–1017. https://doi.org/10.1016/j.jpubeco.2010.11.021</w:t>
      </w:r>
    </w:p>
    <w:p w14:paraId="3D0D366A" w14:textId="136330D4"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Xiao, E., &amp; Kunreuther, H. (2016). Punishment and cooperation in stochastic social dilemmas.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60</w:t>
      </w:r>
      <w:r w:rsidRPr="002414E9">
        <w:rPr>
          <w:rFonts w:eastAsia="DengXian" w:cs="Times New Roman"/>
          <w:bCs/>
          <w:noProof/>
          <w:lang w:eastAsia="zh-CN"/>
        </w:rPr>
        <w:t>(4), 670–693. https://doi.org/10.1177/0022002714564426</w:t>
      </w:r>
    </w:p>
    <w:p w14:paraId="3EED62DA" w14:textId="5F54FF91"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Xu, H., Kou, Y., &amp; Zhong, N. (2012). The effect of empathy on cooperation, forgiveness, and “Returning Good for Evil” in the prisoner's dilemma. </w:t>
      </w:r>
      <w:r w:rsidRPr="002414E9">
        <w:rPr>
          <w:rFonts w:eastAsia="DengXian" w:cs="Times New Roman"/>
          <w:bCs/>
          <w:i/>
          <w:iCs/>
          <w:noProof/>
          <w:lang w:eastAsia="zh-CN"/>
        </w:rPr>
        <w:t>Public Personnel Management</w:t>
      </w:r>
      <w:r w:rsidRPr="002414E9">
        <w:rPr>
          <w:rFonts w:eastAsia="DengXian" w:cs="Times New Roman"/>
          <w:bCs/>
          <w:noProof/>
          <w:lang w:eastAsia="zh-CN"/>
        </w:rPr>
        <w:t xml:space="preserve">, </w:t>
      </w:r>
      <w:r w:rsidRPr="002414E9">
        <w:rPr>
          <w:rFonts w:eastAsia="DengXian" w:cs="Times New Roman"/>
          <w:bCs/>
          <w:i/>
          <w:iCs/>
          <w:noProof/>
          <w:lang w:eastAsia="zh-CN"/>
        </w:rPr>
        <w:t>41</w:t>
      </w:r>
      <w:r w:rsidRPr="002414E9">
        <w:rPr>
          <w:rFonts w:eastAsia="DengXian" w:cs="Times New Roman"/>
          <w:bCs/>
          <w:noProof/>
          <w:lang w:eastAsia="zh-CN"/>
        </w:rPr>
        <w:t>(5), 105–115. https://doi.org/10.1177/009102601204100510</w:t>
      </w:r>
    </w:p>
    <w:p w14:paraId="33F61B5D" w14:textId="5ADD539D" w:rsidR="002414E9" w:rsidRPr="002414E9" w:rsidRDefault="002414E9" w:rsidP="002414E9">
      <w:pPr>
        <w:widowControl w:val="0"/>
        <w:autoSpaceDE w:val="0"/>
        <w:autoSpaceDN w:val="0"/>
        <w:adjustRightInd w:val="0"/>
        <w:ind w:left="709" w:hanging="709"/>
        <w:rPr>
          <w:rFonts w:eastAsia="DengXian" w:cs="Times New Roman"/>
          <w:noProof/>
          <w:lang w:eastAsia="zh-CN"/>
        </w:rPr>
      </w:pPr>
      <w:bookmarkStart w:id="127" w:name="_Hlk73021333"/>
      <w:r w:rsidRPr="002414E9">
        <w:rPr>
          <w:rFonts w:eastAsia="DengXian" w:cs="Times New Roman"/>
          <w:noProof/>
          <w:lang w:eastAsia="zh-CN"/>
        </w:rPr>
        <w:lastRenderedPageBreak/>
        <w:t xml:space="preserve">Xu, M. (2012). </w:t>
      </w:r>
      <w:r w:rsidRPr="002414E9">
        <w:rPr>
          <w:rFonts w:eastAsia="DengXian" w:cs="Times New Roman"/>
          <w:i/>
          <w:iCs/>
          <w:noProof/>
          <w:lang w:eastAsia="zh-CN"/>
        </w:rPr>
        <w:t>Shehui guifan yu rongrugan dui liangnan hezuo de yingxiang</w:t>
      </w:r>
      <w:r w:rsidRPr="002414E9">
        <w:rPr>
          <w:rFonts w:eastAsia="DengXian" w:cs="Times New Roman"/>
          <w:noProof/>
          <w:lang w:eastAsia="zh-CN"/>
        </w:rPr>
        <w:t xml:space="preserve"> [</w:t>
      </w:r>
      <w:r w:rsidRPr="002414E9">
        <w:rPr>
          <w:rFonts w:eastAsia="DengXian" w:cs="Times New Roman" w:hint="eastAsia"/>
          <w:noProof/>
          <w:lang w:eastAsia="zh-CN"/>
        </w:rPr>
        <w:t xml:space="preserve">Effects of </w:t>
      </w:r>
      <w:r w:rsidRPr="002414E9">
        <w:rPr>
          <w:rFonts w:eastAsia="DengXian" w:cs="Times New Roman"/>
          <w:noProof/>
          <w:lang w:eastAsia="zh-CN"/>
        </w:rPr>
        <w:t>s</w:t>
      </w:r>
      <w:r w:rsidRPr="002414E9">
        <w:rPr>
          <w:rFonts w:eastAsia="DengXian" w:cs="Times New Roman" w:hint="eastAsia"/>
          <w:noProof/>
          <w:lang w:eastAsia="zh-CN"/>
        </w:rPr>
        <w:t xml:space="preserve">ocial </w:t>
      </w:r>
      <w:r w:rsidRPr="002414E9">
        <w:rPr>
          <w:rFonts w:eastAsia="DengXian" w:cs="Times New Roman"/>
          <w:noProof/>
          <w:lang w:eastAsia="zh-CN"/>
        </w:rPr>
        <w:t>n</w:t>
      </w:r>
      <w:r w:rsidRPr="002414E9">
        <w:rPr>
          <w:rFonts w:eastAsia="DengXian" w:cs="Times New Roman" w:hint="eastAsia"/>
          <w:noProof/>
          <w:lang w:eastAsia="zh-CN"/>
        </w:rPr>
        <w:t xml:space="preserve">orm and </w:t>
      </w:r>
      <w:r w:rsidRPr="002414E9">
        <w:rPr>
          <w:rFonts w:eastAsia="DengXian" w:cs="Times New Roman"/>
          <w:noProof/>
          <w:lang w:eastAsia="zh-CN"/>
        </w:rPr>
        <w:t>s</w:t>
      </w:r>
      <w:r w:rsidRPr="002414E9">
        <w:rPr>
          <w:rFonts w:eastAsia="DengXian" w:cs="Times New Roman" w:hint="eastAsia"/>
          <w:noProof/>
          <w:lang w:eastAsia="zh-CN"/>
        </w:rPr>
        <w:t xml:space="preserve">ense of </w:t>
      </w:r>
      <w:r w:rsidRPr="002414E9">
        <w:rPr>
          <w:rFonts w:eastAsia="DengXian" w:cs="Times New Roman"/>
          <w:noProof/>
          <w:lang w:eastAsia="zh-CN"/>
        </w:rPr>
        <w:t>h</w:t>
      </w:r>
      <w:r w:rsidRPr="002414E9">
        <w:rPr>
          <w:rFonts w:eastAsia="DengXian" w:cs="Times New Roman" w:hint="eastAsia"/>
          <w:noProof/>
          <w:lang w:eastAsia="zh-CN"/>
        </w:rPr>
        <w:t xml:space="preserve">onor and </w:t>
      </w:r>
      <w:r w:rsidRPr="002414E9">
        <w:rPr>
          <w:rFonts w:eastAsia="DengXian" w:cs="Times New Roman"/>
          <w:noProof/>
          <w:lang w:eastAsia="zh-CN"/>
        </w:rPr>
        <w:t>d</w:t>
      </w:r>
      <w:r w:rsidRPr="002414E9">
        <w:rPr>
          <w:rFonts w:eastAsia="DengXian" w:cs="Times New Roman" w:hint="eastAsia"/>
          <w:noProof/>
          <w:lang w:eastAsia="zh-CN"/>
        </w:rPr>
        <w:t xml:space="preserve">isgrace on </w:t>
      </w:r>
      <w:r w:rsidRPr="002414E9">
        <w:rPr>
          <w:rFonts w:eastAsia="DengXian" w:cs="Times New Roman"/>
          <w:noProof/>
          <w:lang w:eastAsia="zh-CN"/>
        </w:rPr>
        <w:t>c</w:t>
      </w:r>
      <w:r w:rsidRPr="002414E9">
        <w:rPr>
          <w:rFonts w:eastAsia="DengXian" w:cs="Times New Roman" w:hint="eastAsia"/>
          <w:noProof/>
          <w:lang w:eastAsia="zh-CN"/>
        </w:rPr>
        <w:t xml:space="preserve">ooperation in </w:t>
      </w:r>
      <w:r w:rsidRPr="002414E9">
        <w:rPr>
          <w:rFonts w:eastAsia="DengXian" w:cs="Times New Roman"/>
          <w:noProof/>
          <w:lang w:eastAsia="zh-CN"/>
        </w:rPr>
        <w:t>s</w:t>
      </w:r>
      <w:r w:rsidRPr="002414E9">
        <w:rPr>
          <w:rFonts w:eastAsia="DengXian" w:cs="Times New Roman" w:hint="eastAsia"/>
          <w:noProof/>
          <w:lang w:eastAsia="zh-CN"/>
        </w:rPr>
        <w:t xml:space="preserve">ocial </w:t>
      </w:r>
      <w:r w:rsidRPr="002414E9">
        <w:rPr>
          <w:rFonts w:eastAsia="DengXian" w:cs="Times New Roman"/>
          <w:noProof/>
          <w:lang w:eastAsia="zh-CN"/>
        </w:rPr>
        <w:t>d</w:t>
      </w:r>
      <w:r w:rsidRPr="002414E9">
        <w:rPr>
          <w:rFonts w:eastAsia="DengXian" w:cs="Times New Roman" w:hint="eastAsia"/>
          <w:noProof/>
          <w:lang w:eastAsia="zh-CN"/>
        </w:rPr>
        <w:t>ilemmas</w:t>
      </w:r>
      <w:r w:rsidRPr="002414E9">
        <w:rPr>
          <w:rFonts w:eastAsia="DengXian" w:cs="Times New Roman"/>
          <w:noProof/>
          <w:lang w:eastAsia="zh-CN"/>
        </w:rPr>
        <w:t>] [Master's thesis, Zhejiang daxue]. CNKI Theses and Dissertations Database.</w:t>
      </w:r>
    </w:p>
    <w:bookmarkEnd w:id="127"/>
    <w:p w14:paraId="03849448" w14:textId="77DD8420"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Xu, Q., &amp; Wei, J. (2013). Gonggong wupin liangnan qingjing xia chengfazhi dui xinren yu hezuo xingwei de yingxiang [</w:t>
      </w:r>
      <w:r w:rsidRPr="002414E9">
        <w:rPr>
          <w:rFonts w:eastAsia="DengXian" w:cs="Times New Roman" w:hint="eastAsia"/>
          <w:noProof/>
          <w:lang w:eastAsia="zh-CN"/>
        </w:rPr>
        <w:t xml:space="preserve">The effect of </w:t>
      </w:r>
      <w:r w:rsidRPr="002414E9">
        <w:rPr>
          <w:rFonts w:eastAsia="DengXian" w:cs="Times New Roman"/>
          <w:noProof/>
          <w:lang w:eastAsia="zh-CN"/>
        </w:rPr>
        <w:t>s</w:t>
      </w:r>
      <w:r w:rsidRPr="002414E9">
        <w:rPr>
          <w:rFonts w:eastAsia="DengXian" w:cs="Times New Roman" w:hint="eastAsia"/>
          <w:noProof/>
          <w:lang w:eastAsia="zh-CN"/>
        </w:rPr>
        <w:t xml:space="preserve">anctioning </w:t>
      </w:r>
      <w:r w:rsidRPr="002414E9">
        <w:rPr>
          <w:rFonts w:eastAsia="DengXian" w:cs="Times New Roman"/>
          <w:noProof/>
          <w:lang w:eastAsia="zh-CN"/>
        </w:rPr>
        <w:t>s</w:t>
      </w:r>
      <w:r w:rsidRPr="002414E9">
        <w:rPr>
          <w:rFonts w:eastAsia="DengXian" w:cs="Times New Roman" w:hint="eastAsia"/>
          <w:noProof/>
          <w:lang w:eastAsia="zh-CN"/>
        </w:rPr>
        <w:t xml:space="preserve">ystems on </w:t>
      </w:r>
      <w:r w:rsidRPr="002414E9">
        <w:rPr>
          <w:rFonts w:eastAsia="DengXian" w:cs="Times New Roman"/>
          <w:noProof/>
          <w:lang w:eastAsia="zh-CN"/>
        </w:rPr>
        <w:t>t</w:t>
      </w:r>
      <w:r w:rsidRPr="002414E9">
        <w:rPr>
          <w:rFonts w:eastAsia="DengXian" w:cs="Times New Roman" w:hint="eastAsia"/>
          <w:noProof/>
          <w:lang w:eastAsia="zh-CN"/>
        </w:rPr>
        <w:t xml:space="preserve">rust and </w:t>
      </w:r>
      <w:r w:rsidRPr="002414E9">
        <w:rPr>
          <w:rFonts w:eastAsia="DengXian" w:cs="Times New Roman"/>
          <w:noProof/>
          <w:lang w:eastAsia="zh-CN"/>
        </w:rPr>
        <w:t>c</w:t>
      </w:r>
      <w:r w:rsidRPr="002414E9">
        <w:rPr>
          <w:rFonts w:eastAsia="DengXian" w:cs="Times New Roman" w:hint="eastAsia"/>
          <w:noProof/>
          <w:lang w:eastAsia="zh-CN"/>
        </w:rPr>
        <w:t xml:space="preserve">ooperative </w:t>
      </w:r>
      <w:r w:rsidRPr="002414E9">
        <w:rPr>
          <w:rFonts w:eastAsia="DengXian" w:cs="Times New Roman"/>
          <w:noProof/>
          <w:lang w:eastAsia="zh-CN"/>
        </w:rPr>
        <w:t>b</w:t>
      </w:r>
      <w:r w:rsidRPr="002414E9">
        <w:rPr>
          <w:rFonts w:eastAsia="DengXian" w:cs="Times New Roman" w:hint="eastAsia"/>
          <w:noProof/>
          <w:lang w:eastAsia="zh-CN"/>
        </w:rPr>
        <w:t xml:space="preserve">ehaviors in </w:t>
      </w:r>
      <w:r w:rsidRPr="002414E9">
        <w:rPr>
          <w:rFonts w:eastAsia="DengXian" w:cs="Times New Roman"/>
          <w:noProof/>
          <w:lang w:eastAsia="zh-CN"/>
        </w:rPr>
        <w:t>p</w:t>
      </w:r>
      <w:r w:rsidRPr="002414E9">
        <w:rPr>
          <w:rFonts w:eastAsia="DengXian" w:cs="Times New Roman" w:hint="eastAsia"/>
          <w:noProof/>
          <w:lang w:eastAsia="zh-CN"/>
        </w:rPr>
        <w:t xml:space="preserve">ublic </w:t>
      </w:r>
      <w:r w:rsidRPr="002414E9">
        <w:rPr>
          <w:rFonts w:eastAsia="DengXian" w:cs="Times New Roman"/>
          <w:noProof/>
          <w:lang w:eastAsia="zh-CN"/>
        </w:rPr>
        <w:t>g</w:t>
      </w:r>
      <w:r w:rsidRPr="002414E9">
        <w:rPr>
          <w:rFonts w:eastAsia="DengXian" w:cs="Times New Roman" w:hint="eastAsia"/>
          <w:noProof/>
          <w:lang w:eastAsia="zh-CN"/>
        </w:rPr>
        <w:t xml:space="preserve">oods </w:t>
      </w:r>
      <w:r w:rsidRPr="002414E9">
        <w:rPr>
          <w:rFonts w:eastAsia="DengXian" w:cs="Times New Roman"/>
          <w:noProof/>
          <w:lang w:eastAsia="zh-CN"/>
        </w:rPr>
        <w:t>d</w:t>
      </w:r>
      <w:r w:rsidRPr="002414E9">
        <w:rPr>
          <w:rFonts w:eastAsia="DengXian" w:cs="Times New Roman" w:hint="eastAsia"/>
          <w:noProof/>
          <w:lang w:eastAsia="zh-CN"/>
        </w:rPr>
        <w:t>ilemmas</w:t>
      </w:r>
      <w:r w:rsidRPr="002414E9">
        <w:rPr>
          <w:rFonts w:eastAsia="DengXian" w:cs="Times New Roman"/>
          <w:noProof/>
          <w:lang w:eastAsia="zh-CN"/>
        </w:rPr>
        <w:t>].</w:t>
      </w:r>
      <w:r w:rsidRPr="002414E9">
        <w:rPr>
          <w:rFonts w:eastAsia="DengXian" w:cs="Times New Roman" w:hint="eastAsia"/>
          <w:noProof/>
          <w:lang w:eastAsia="zh-CN"/>
        </w:rPr>
        <w:t xml:space="preserve"> </w:t>
      </w:r>
      <w:r w:rsidRPr="002414E9">
        <w:rPr>
          <w:rFonts w:eastAsia="DengXian" w:cs="Times New Roman"/>
          <w:i/>
          <w:noProof/>
          <w:lang w:eastAsia="zh-CN"/>
        </w:rPr>
        <w:t xml:space="preserve">2013 nian </w:t>
      </w:r>
      <w:r w:rsidRPr="002414E9">
        <w:rPr>
          <w:rFonts w:eastAsia="DengXian" w:cs="Times New Roman"/>
          <w:i/>
          <w:iCs/>
          <w:noProof/>
          <w:lang w:eastAsia="zh-CN"/>
        </w:rPr>
        <w:t>xinlixue yu shehui hexie xueshu huiyi (CPSH 2013) lunwenji</w:t>
      </w:r>
      <w:r w:rsidRPr="002414E9">
        <w:rPr>
          <w:rFonts w:eastAsia="DengXian" w:cs="Times New Roman"/>
          <w:noProof/>
          <w:lang w:eastAsia="zh-CN"/>
        </w:rPr>
        <w:t xml:space="preserve"> (pp. 109</w:t>
      </w:r>
      <w:r w:rsidRPr="002414E9">
        <w:rPr>
          <w:rFonts w:eastAsia="DengXian" w:cs="Times New Roman" w:hint="eastAsia"/>
          <w:noProof/>
          <w:lang w:eastAsia="zh-CN"/>
        </w:rPr>
        <w:t>–</w:t>
      </w:r>
      <w:r w:rsidRPr="002414E9">
        <w:rPr>
          <w:rFonts w:eastAsia="DengXian" w:cs="Times New Roman"/>
          <w:noProof/>
          <w:lang w:eastAsia="zh-CN"/>
        </w:rPr>
        <w:t>112)</w:t>
      </w:r>
      <w:r w:rsidRPr="002414E9">
        <w:rPr>
          <w:rFonts w:eastAsia="DengXian" w:cs="Times New Roman" w:hint="eastAsia"/>
          <w:noProof/>
          <w:lang w:eastAsia="zh-CN"/>
        </w:rPr>
        <w:t>.</w:t>
      </w:r>
      <w:r w:rsidRPr="002414E9">
        <w:rPr>
          <w:rFonts w:eastAsia="DengXian" w:cs="Times New Roman"/>
          <w:noProof/>
          <w:lang w:eastAsia="zh-CN"/>
        </w:rPr>
        <w:t xml:space="preserve"> Wuhan daxue.</w:t>
      </w:r>
    </w:p>
    <w:p w14:paraId="3C8C7DEC" w14:textId="75A2B54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Yamagishi, T. (1990). Shakaiteki jirenma ni okeru shūdan saizu no zanyo kōka to sono baikai yōin [Factors mediating residual effects of group size in social dilemmas]. </w:t>
      </w:r>
      <w:r w:rsidRPr="002414E9">
        <w:rPr>
          <w:rFonts w:eastAsia="DengXian" w:cs="Times New Roman"/>
          <w:i/>
          <w:iCs/>
          <w:noProof/>
          <w:lang w:eastAsia="zh-CN"/>
        </w:rPr>
        <w:t>The Japanese Journal of Psychology</w:t>
      </w:r>
      <w:r w:rsidRPr="002414E9">
        <w:rPr>
          <w:rFonts w:eastAsia="DengXian" w:cs="Times New Roman"/>
          <w:noProof/>
          <w:lang w:eastAsia="zh-CN"/>
        </w:rPr>
        <w:t xml:space="preserve">, </w:t>
      </w:r>
      <w:r w:rsidRPr="002414E9">
        <w:rPr>
          <w:rFonts w:eastAsia="DengXian" w:cs="Times New Roman"/>
          <w:i/>
          <w:iCs/>
          <w:noProof/>
          <w:lang w:eastAsia="zh-CN"/>
        </w:rPr>
        <w:t>61</w:t>
      </w:r>
      <w:r w:rsidRPr="002414E9">
        <w:rPr>
          <w:rFonts w:eastAsia="DengXian" w:cs="Times New Roman"/>
          <w:noProof/>
          <w:lang w:eastAsia="zh-CN"/>
        </w:rPr>
        <w:t>(3), 162–169. https://doi.org/10.4992/jjpsy.61.162</w:t>
      </w:r>
    </w:p>
    <w:p w14:paraId="74C7A40E" w14:textId="7E10D74D"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Yamagishi, T., &amp; Kakiuchi, R. (2000). It takes venturing into a tiger's cave to steal a baby tiger: Experiments on the development of trust relationships. In W. Raub &amp; J. Weesie (Eds.), </w:t>
      </w:r>
      <w:r w:rsidRPr="002414E9">
        <w:rPr>
          <w:rFonts w:eastAsia="DengXian" w:cs="Times New Roman"/>
          <w:bCs/>
          <w:i/>
          <w:iCs/>
          <w:noProof/>
          <w:lang w:eastAsia="zh-CN"/>
        </w:rPr>
        <w:t>The management of durable relations: Theoretical models and empirical studies of households and organizations</w:t>
      </w:r>
      <w:r w:rsidRPr="002414E9">
        <w:rPr>
          <w:rFonts w:eastAsia="DengXian" w:cs="Times New Roman"/>
          <w:bCs/>
          <w:noProof/>
          <w:lang w:eastAsia="zh-CN"/>
        </w:rPr>
        <w:t xml:space="preserve"> (pp. 121–123). Thela Thesis.</w:t>
      </w:r>
    </w:p>
    <w:p w14:paraId="29EDA306" w14:textId="6720B0D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Yamagishi, T., Horita, Y., Mifune, N., Hashimoto, H., Li, Y., Shinada, M., Miura, A., Inukai, K., Takagishi, H., &amp; Simunovic, D. (2012). </w:t>
      </w:r>
      <w:r w:rsidRPr="002414E9">
        <w:rPr>
          <w:rFonts w:eastAsia="DengXian" w:cs="Times New Roman"/>
          <w:noProof/>
          <w:lang w:eastAsia="zh-CN"/>
        </w:rPr>
        <w:t xml:space="preserve">Rejection of unfair offers in the ultimatum game is no evidence of strong reciprocity. </w:t>
      </w:r>
      <w:r w:rsidRPr="002414E9">
        <w:rPr>
          <w:rFonts w:eastAsia="DengXian" w:cs="Times New Roman"/>
          <w:i/>
          <w:iCs/>
          <w:noProof/>
          <w:lang w:eastAsia="zh-CN"/>
        </w:rPr>
        <w:t>Proceedings of the National Academy of Sciences</w:t>
      </w:r>
      <w:r w:rsidRPr="002414E9">
        <w:rPr>
          <w:rFonts w:eastAsia="DengXian" w:cs="Times New Roman"/>
          <w:noProof/>
          <w:lang w:eastAsia="zh-CN"/>
        </w:rPr>
        <w:t xml:space="preserve">, </w:t>
      </w:r>
      <w:r w:rsidRPr="002414E9">
        <w:rPr>
          <w:rFonts w:eastAsia="DengXian" w:cs="Times New Roman"/>
          <w:i/>
          <w:iCs/>
          <w:noProof/>
          <w:lang w:eastAsia="zh-CN"/>
        </w:rPr>
        <w:t>109</w:t>
      </w:r>
      <w:r w:rsidRPr="002414E9">
        <w:rPr>
          <w:rFonts w:eastAsia="DengXian" w:cs="Times New Roman"/>
          <w:noProof/>
          <w:lang w:eastAsia="zh-CN"/>
        </w:rPr>
        <w:t>(50), 20364–20368. https://doi.org/10.1073/pnas.1212126109</w:t>
      </w:r>
    </w:p>
    <w:p w14:paraId="1C93F36D" w14:textId="6C2DECEB"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it-IT" w:eastAsia="zh-CN"/>
        </w:rPr>
        <w:t xml:space="preserve">Yamagishi, T., Li, Y., Matsumoto, Y., &amp; Kiyonari, T. (2016). </w:t>
      </w:r>
      <w:r w:rsidRPr="002414E9">
        <w:rPr>
          <w:rFonts w:eastAsia="DengXian" w:cs="Times New Roman"/>
          <w:bCs/>
          <w:noProof/>
          <w:lang w:eastAsia="zh-CN"/>
        </w:rPr>
        <w:t xml:space="preserve">Moral bargain hunters purchase moral righteousness when it is cheap: Within-individual effect of stake size in economic games. </w:t>
      </w:r>
      <w:r w:rsidRPr="002414E9">
        <w:rPr>
          <w:rFonts w:eastAsia="DengXian" w:cs="Times New Roman"/>
          <w:bCs/>
          <w:i/>
          <w:iCs/>
          <w:noProof/>
          <w:lang w:eastAsia="zh-CN"/>
        </w:rPr>
        <w:t>Scientific Reports</w:t>
      </w:r>
      <w:r w:rsidRPr="002414E9">
        <w:rPr>
          <w:rFonts w:eastAsia="DengXian" w:cs="Times New Roman"/>
          <w:bCs/>
          <w:noProof/>
          <w:lang w:eastAsia="zh-CN"/>
        </w:rPr>
        <w:t xml:space="preserve">, </w:t>
      </w:r>
      <w:r w:rsidRPr="002414E9">
        <w:rPr>
          <w:rFonts w:eastAsia="DengXian" w:cs="Times New Roman"/>
          <w:bCs/>
          <w:i/>
          <w:iCs/>
          <w:noProof/>
          <w:lang w:eastAsia="zh-CN"/>
        </w:rPr>
        <w:t>6</w:t>
      </w:r>
      <w:r w:rsidRPr="002414E9">
        <w:rPr>
          <w:rFonts w:eastAsia="DengXian" w:cs="Times New Roman"/>
          <w:bCs/>
          <w:noProof/>
          <w:lang w:eastAsia="zh-CN"/>
        </w:rPr>
        <w:t>(1), 1–7. ttps://doi.org/10.1038/srep27824</w:t>
      </w:r>
    </w:p>
    <w:p w14:paraId="72EE52B1" w14:textId="38E6DD0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Yamagishi, T., Mifune, N., Li, Y., Shinada, M., Hashimoto, H., Horita, Y., Miura, A., Inukai, K., Tanida, S., Kiyonari, T., Takagishi, H., &amp; Simunovic, D. (2013). Is behavioral pro-</w:t>
      </w:r>
      <w:r w:rsidRPr="002414E9">
        <w:rPr>
          <w:rFonts w:eastAsia="DengXian" w:cs="Times New Roman"/>
          <w:noProof/>
          <w:lang w:eastAsia="zh-CN"/>
        </w:rPr>
        <w:lastRenderedPageBreak/>
        <w:t xml:space="preserve">sociality game-specific? Pro-social preference and expectations of pro-sociality. </w:t>
      </w:r>
      <w:r w:rsidRPr="002414E9">
        <w:rPr>
          <w:rFonts w:eastAsia="DengXian" w:cs="Times New Roman"/>
          <w:i/>
          <w:iCs/>
          <w:noProof/>
          <w:lang w:eastAsia="zh-CN"/>
        </w:rPr>
        <w:t>Organizational Behavior and Human Decision Processes</w:t>
      </w:r>
      <w:r w:rsidRPr="002414E9">
        <w:rPr>
          <w:rFonts w:eastAsia="DengXian" w:cs="Times New Roman"/>
          <w:noProof/>
          <w:lang w:eastAsia="zh-CN"/>
        </w:rPr>
        <w:t xml:space="preserve">, </w:t>
      </w:r>
      <w:r w:rsidRPr="002414E9">
        <w:rPr>
          <w:rFonts w:eastAsia="DengXian" w:cs="Times New Roman"/>
          <w:i/>
          <w:iCs/>
          <w:noProof/>
          <w:lang w:eastAsia="zh-CN"/>
        </w:rPr>
        <w:t>120</w:t>
      </w:r>
      <w:r w:rsidRPr="002414E9">
        <w:rPr>
          <w:rFonts w:eastAsia="DengXian" w:cs="Times New Roman"/>
          <w:noProof/>
          <w:lang w:eastAsia="zh-CN"/>
        </w:rPr>
        <w:t>(2), 260–271. https://doi.org/10.1016/j.obhdp.2012.06.002</w:t>
      </w:r>
    </w:p>
    <w:p w14:paraId="3BE7560C" w14:textId="0BB9E728"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it-IT" w:eastAsia="zh-CN"/>
        </w:rPr>
        <w:t xml:space="preserve">Yamagishi, Toshio, &amp; Cook, K. S. (1993). </w:t>
      </w:r>
      <w:r w:rsidRPr="002414E9">
        <w:rPr>
          <w:rFonts w:eastAsia="DengXian" w:cs="Times New Roman"/>
          <w:noProof/>
          <w:lang w:eastAsia="zh-CN"/>
        </w:rPr>
        <w:t xml:space="preserve">Generalized exchange and social dilemmas. </w:t>
      </w:r>
      <w:r w:rsidRPr="002414E9">
        <w:rPr>
          <w:rFonts w:eastAsia="DengXian" w:cs="Times New Roman"/>
          <w:i/>
          <w:iCs/>
          <w:noProof/>
          <w:lang w:eastAsia="zh-CN"/>
        </w:rPr>
        <w:t>Social Psychology Quarterly</w:t>
      </w:r>
      <w:r w:rsidRPr="002414E9">
        <w:rPr>
          <w:rFonts w:eastAsia="DengXian" w:cs="Times New Roman"/>
          <w:noProof/>
          <w:lang w:eastAsia="zh-CN"/>
        </w:rPr>
        <w:t xml:space="preserve">, </w:t>
      </w:r>
      <w:r w:rsidRPr="002414E9">
        <w:rPr>
          <w:rFonts w:eastAsia="DengXian" w:cs="Times New Roman"/>
          <w:i/>
          <w:iCs/>
          <w:noProof/>
          <w:lang w:eastAsia="zh-CN"/>
        </w:rPr>
        <w:t>56</w:t>
      </w:r>
      <w:r w:rsidRPr="002414E9">
        <w:rPr>
          <w:rFonts w:eastAsia="DengXian" w:cs="Times New Roman"/>
          <w:noProof/>
          <w:lang w:eastAsia="zh-CN"/>
        </w:rPr>
        <w:t>(4), 235–248. https://doi.org/10.2307/2786661</w:t>
      </w:r>
    </w:p>
    <w:p w14:paraId="34DCED0A" w14:textId="75E590F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Yamagishi, Toshio, &amp; Kiyonari, T. (2000). The group as the container of generalized reciprocity. </w:t>
      </w:r>
      <w:r w:rsidRPr="002414E9">
        <w:rPr>
          <w:rFonts w:eastAsia="DengXian" w:cs="Times New Roman"/>
          <w:i/>
          <w:iCs/>
          <w:noProof/>
          <w:lang w:eastAsia="zh-CN"/>
        </w:rPr>
        <w:t>Social Psychology Quarterly</w:t>
      </w:r>
      <w:r w:rsidRPr="002414E9">
        <w:rPr>
          <w:rFonts w:eastAsia="DengXian" w:cs="Times New Roman"/>
          <w:noProof/>
          <w:lang w:eastAsia="zh-CN"/>
        </w:rPr>
        <w:t xml:space="preserve">, </w:t>
      </w:r>
      <w:r w:rsidRPr="002414E9">
        <w:rPr>
          <w:rFonts w:eastAsia="DengXian" w:cs="Times New Roman"/>
          <w:i/>
          <w:iCs/>
          <w:noProof/>
          <w:lang w:eastAsia="zh-CN"/>
        </w:rPr>
        <w:t>63</w:t>
      </w:r>
      <w:r w:rsidRPr="002414E9">
        <w:rPr>
          <w:rFonts w:eastAsia="DengXian" w:cs="Times New Roman"/>
          <w:noProof/>
          <w:lang w:eastAsia="zh-CN"/>
        </w:rPr>
        <w:t>(2), 116–132. https://doi.org/10.2307/2695887</w:t>
      </w:r>
    </w:p>
    <w:p w14:paraId="1A7E7AF1" w14:textId="02F65C39"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Yamagishi, Toshio, &amp; Mifune, N. (2009). Social exchange and solidarity: in-group love or out-group hate? </w:t>
      </w:r>
      <w:r w:rsidRPr="002414E9">
        <w:rPr>
          <w:rFonts w:eastAsia="DengXian" w:cs="Times New Roman"/>
          <w:i/>
          <w:iCs/>
          <w:noProof/>
          <w:lang w:eastAsia="zh-CN"/>
        </w:rPr>
        <w:t>Evolution and Human Behavior</w:t>
      </w:r>
      <w:r w:rsidRPr="002414E9">
        <w:rPr>
          <w:rFonts w:eastAsia="DengXian" w:cs="Times New Roman"/>
          <w:noProof/>
          <w:lang w:eastAsia="zh-CN"/>
        </w:rPr>
        <w:t xml:space="preserve">, </w:t>
      </w:r>
      <w:r w:rsidRPr="002414E9">
        <w:rPr>
          <w:rFonts w:eastAsia="DengXian" w:cs="Times New Roman"/>
          <w:i/>
          <w:iCs/>
          <w:noProof/>
          <w:lang w:eastAsia="zh-CN"/>
        </w:rPr>
        <w:t>30</w:t>
      </w:r>
      <w:r w:rsidRPr="002414E9">
        <w:rPr>
          <w:rFonts w:eastAsia="DengXian" w:cs="Times New Roman"/>
          <w:noProof/>
          <w:lang w:eastAsia="zh-CN"/>
        </w:rPr>
        <w:t>(4), 229–237. https://doi.org/10.1016/j.evolhumbehav.2009.02.004</w:t>
      </w:r>
    </w:p>
    <w:p w14:paraId="013F2F05" w14:textId="403CB51F"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Yamagishi, Toshio, &amp; Sato, K. (1986). Motivational bases of the public goods problem. </w:t>
      </w:r>
      <w:r w:rsidRPr="002414E9">
        <w:rPr>
          <w:rFonts w:eastAsia="DengXian" w:cs="Times New Roman"/>
          <w:i/>
          <w:iCs/>
          <w:noProof/>
          <w:lang w:eastAsia="zh-CN"/>
        </w:rPr>
        <w:t>Journal of Personality and Social Psychology</w:t>
      </w:r>
      <w:r w:rsidRPr="002414E9">
        <w:rPr>
          <w:rFonts w:eastAsia="DengXian" w:cs="Times New Roman"/>
          <w:noProof/>
          <w:lang w:eastAsia="zh-CN"/>
        </w:rPr>
        <w:t xml:space="preserve">, </w:t>
      </w:r>
      <w:r w:rsidRPr="002414E9">
        <w:rPr>
          <w:rFonts w:eastAsia="DengXian" w:cs="Times New Roman"/>
          <w:i/>
          <w:iCs/>
          <w:noProof/>
          <w:lang w:eastAsia="zh-CN"/>
        </w:rPr>
        <w:t>50</w:t>
      </w:r>
      <w:r w:rsidRPr="002414E9">
        <w:rPr>
          <w:rFonts w:eastAsia="DengXian" w:cs="Times New Roman"/>
          <w:noProof/>
          <w:lang w:eastAsia="zh-CN"/>
        </w:rPr>
        <w:t>(1), 67–73. https://doi.org/10.1037/0022-3514.50.1.67</w:t>
      </w:r>
    </w:p>
    <w:p w14:paraId="6FFB8085" w14:textId="73FD4BDD"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Yamagishi, Toshio, Makimura, Y., Foddy, M., Matsuda, M., Kiyonari, T., &amp; Platow, M. J. (2005). Comparisons of Australians and Japanese on group-based cooperation. </w:t>
      </w:r>
      <w:r w:rsidRPr="002414E9">
        <w:rPr>
          <w:rFonts w:eastAsia="DengXian" w:cs="Times New Roman"/>
          <w:i/>
          <w:iCs/>
          <w:noProof/>
          <w:lang w:eastAsia="zh-CN"/>
        </w:rPr>
        <w:t>Asian Journal Of Social Psychology</w:t>
      </w:r>
      <w:r w:rsidRPr="002414E9">
        <w:rPr>
          <w:rFonts w:eastAsia="DengXian" w:cs="Times New Roman"/>
          <w:noProof/>
          <w:lang w:eastAsia="zh-CN"/>
        </w:rPr>
        <w:t xml:space="preserve">, </w:t>
      </w:r>
      <w:r w:rsidRPr="002414E9">
        <w:rPr>
          <w:rFonts w:eastAsia="DengXian" w:cs="Times New Roman"/>
          <w:i/>
          <w:iCs/>
          <w:noProof/>
          <w:lang w:eastAsia="zh-CN"/>
        </w:rPr>
        <w:t>8</w:t>
      </w:r>
      <w:r w:rsidRPr="002414E9">
        <w:rPr>
          <w:rFonts w:eastAsia="DengXian" w:cs="Times New Roman"/>
          <w:noProof/>
          <w:lang w:eastAsia="zh-CN"/>
        </w:rPr>
        <w:t>(2), 173–190. https://doi.org/10.1111/j.1467-839x.2005.00165.x</w:t>
      </w:r>
    </w:p>
    <w:p w14:paraId="1E7E66E1" w14:textId="575459D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Yamagishi, Toshio, Terai, S., Kiyonari, T., Mifune, N., &amp; Kanazawa, S. (2007). The social exchange heuristic: Managing errors in social exchange. </w:t>
      </w:r>
      <w:r w:rsidRPr="002414E9">
        <w:rPr>
          <w:rFonts w:eastAsia="DengXian" w:cs="Times New Roman"/>
          <w:i/>
          <w:iCs/>
          <w:noProof/>
          <w:lang w:eastAsia="zh-CN"/>
        </w:rPr>
        <w:t>Rationality and Society</w:t>
      </w:r>
      <w:r w:rsidRPr="002414E9">
        <w:rPr>
          <w:rFonts w:eastAsia="DengXian" w:cs="Times New Roman"/>
          <w:noProof/>
          <w:lang w:eastAsia="zh-CN"/>
        </w:rPr>
        <w:t xml:space="preserve">, </w:t>
      </w:r>
      <w:r w:rsidRPr="002414E9">
        <w:rPr>
          <w:rFonts w:eastAsia="DengXian" w:cs="Times New Roman"/>
          <w:i/>
          <w:iCs/>
          <w:noProof/>
          <w:lang w:eastAsia="zh-CN"/>
        </w:rPr>
        <w:t>19</w:t>
      </w:r>
      <w:r w:rsidRPr="002414E9">
        <w:rPr>
          <w:rFonts w:eastAsia="DengXian" w:cs="Times New Roman"/>
          <w:noProof/>
          <w:lang w:eastAsia="zh-CN"/>
        </w:rPr>
        <w:t>(3), 259–291. https://doi.org/10.1177/1043463107080449</w:t>
      </w:r>
    </w:p>
    <w:p w14:paraId="723D8ECA" w14:textId="5A067C9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Yamagishi, Toshio. (1986a). The provision of a sanctioning system as a public good. </w:t>
      </w:r>
      <w:r w:rsidRPr="002414E9">
        <w:rPr>
          <w:rFonts w:eastAsia="DengXian" w:cs="Times New Roman"/>
          <w:i/>
          <w:iCs/>
          <w:noProof/>
          <w:lang w:eastAsia="zh-CN"/>
        </w:rPr>
        <w:t>Journal of Personality and Social Psychology</w:t>
      </w:r>
      <w:r w:rsidRPr="002414E9">
        <w:rPr>
          <w:rFonts w:eastAsia="DengXian" w:cs="Times New Roman"/>
          <w:noProof/>
          <w:lang w:eastAsia="zh-CN"/>
        </w:rPr>
        <w:t xml:space="preserve">, </w:t>
      </w:r>
      <w:r w:rsidRPr="002414E9">
        <w:rPr>
          <w:rFonts w:eastAsia="DengXian" w:cs="Times New Roman"/>
          <w:i/>
          <w:iCs/>
          <w:noProof/>
          <w:lang w:eastAsia="zh-CN"/>
        </w:rPr>
        <w:t>51</w:t>
      </w:r>
      <w:r w:rsidRPr="002414E9">
        <w:rPr>
          <w:rFonts w:eastAsia="DengXian" w:cs="Times New Roman"/>
          <w:noProof/>
          <w:lang w:eastAsia="zh-CN"/>
        </w:rPr>
        <w:t>(1), 110–116. https://doi.org/10.1037/0022-3514.51.1.110</w:t>
      </w:r>
    </w:p>
    <w:p w14:paraId="3E9BDF68" w14:textId="45E5B81E"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lastRenderedPageBreak/>
        <w:t xml:space="preserve">Yamagishi, Toshio. (1988a). Seriousness of social dilemmas and the provision of a sanctioning system. </w:t>
      </w:r>
      <w:r w:rsidRPr="002414E9">
        <w:rPr>
          <w:rFonts w:eastAsia="DengXian" w:cs="Times New Roman"/>
          <w:i/>
          <w:iCs/>
          <w:noProof/>
          <w:lang w:eastAsia="zh-CN"/>
        </w:rPr>
        <w:t>Social Psychology Quarterly</w:t>
      </w:r>
      <w:r w:rsidRPr="002414E9">
        <w:rPr>
          <w:rFonts w:eastAsia="DengXian" w:cs="Times New Roman"/>
          <w:noProof/>
          <w:lang w:eastAsia="zh-CN"/>
        </w:rPr>
        <w:t xml:space="preserve">, </w:t>
      </w:r>
      <w:r w:rsidRPr="002414E9">
        <w:rPr>
          <w:rFonts w:eastAsia="DengXian" w:cs="Times New Roman"/>
          <w:i/>
          <w:iCs/>
          <w:noProof/>
          <w:lang w:eastAsia="zh-CN"/>
        </w:rPr>
        <w:t>51</w:t>
      </w:r>
      <w:r w:rsidRPr="002414E9">
        <w:rPr>
          <w:rFonts w:eastAsia="DengXian" w:cs="Times New Roman"/>
          <w:noProof/>
          <w:lang w:eastAsia="zh-CN"/>
        </w:rPr>
        <w:t>(1), 32–42. https://doi.org/10.2307/2786982</w:t>
      </w:r>
    </w:p>
    <w:p w14:paraId="7CD674B7" w14:textId="18D530E4"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Yamagishi, Toshio. (1988b). The provision of a sanctioning system in the United States and Japan. </w:t>
      </w:r>
      <w:r w:rsidRPr="002414E9">
        <w:rPr>
          <w:rFonts w:eastAsia="DengXian" w:cs="Times New Roman"/>
          <w:i/>
          <w:iCs/>
          <w:noProof/>
          <w:lang w:eastAsia="zh-CN"/>
        </w:rPr>
        <w:t>Social Psychology Quarterly</w:t>
      </w:r>
      <w:r w:rsidRPr="002414E9">
        <w:rPr>
          <w:rFonts w:eastAsia="DengXian" w:cs="Times New Roman"/>
          <w:noProof/>
          <w:lang w:eastAsia="zh-CN"/>
        </w:rPr>
        <w:t xml:space="preserve">, </w:t>
      </w:r>
      <w:r w:rsidRPr="002414E9">
        <w:rPr>
          <w:rFonts w:eastAsia="DengXian" w:cs="Times New Roman"/>
          <w:i/>
          <w:iCs/>
          <w:noProof/>
          <w:lang w:eastAsia="zh-CN"/>
        </w:rPr>
        <w:t>51</w:t>
      </w:r>
      <w:r w:rsidRPr="002414E9">
        <w:rPr>
          <w:rFonts w:eastAsia="DengXian" w:cs="Times New Roman"/>
          <w:noProof/>
          <w:lang w:eastAsia="zh-CN"/>
        </w:rPr>
        <w:t>(3), 265–271. https://doi.org/10.2307/2786924</w:t>
      </w:r>
    </w:p>
    <w:p w14:paraId="4A488BD0" w14:textId="45C15413"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Yamakawa, T., Okano, Y., &amp; Saijo, T. (2016). Detecting motives for cooperation in public goods experiments. </w:t>
      </w:r>
      <w:r w:rsidRPr="002414E9">
        <w:rPr>
          <w:rFonts w:eastAsia="DengXian" w:cs="Times New Roman"/>
          <w:i/>
          <w:iCs/>
          <w:noProof/>
          <w:lang w:eastAsia="zh-CN"/>
        </w:rPr>
        <w:t>Experimental Economics</w:t>
      </w:r>
      <w:r w:rsidRPr="002414E9">
        <w:rPr>
          <w:rFonts w:eastAsia="DengXian" w:cs="Times New Roman"/>
          <w:noProof/>
          <w:lang w:eastAsia="zh-CN"/>
        </w:rPr>
        <w:t xml:space="preserve">, </w:t>
      </w:r>
      <w:r w:rsidRPr="002414E9">
        <w:rPr>
          <w:rFonts w:eastAsia="DengXian" w:cs="Times New Roman"/>
          <w:i/>
          <w:iCs/>
          <w:noProof/>
          <w:lang w:eastAsia="zh-CN"/>
        </w:rPr>
        <w:t>19</w:t>
      </w:r>
      <w:r w:rsidRPr="002414E9">
        <w:rPr>
          <w:rFonts w:eastAsia="DengXian" w:cs="Times New Roman"/>
          <w:noProof/>
          <w:lang w:eastAsia="zh-CN"/>
        </w:rPr>
        <w:t>(2), 500–512. https://doi.org/10.1007/s10683-015-9451-2</w:t>
      </w:r>
    </w:p>
    <w:p w14:paraId="5C2883CD" w14:textId="24C32E0D"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Yamauchi, H. (1982). Sex differences in motive to avoid success on competitive or cooperative action. </w:t>
      </w:r>
      <w:r w:rsidRPr="002414E9">
        <w:rPr>
          <w:rFonts w:eastAsia="DengXian" w:cs="Times New Roman"/>
          <w:bCs/>
          <w:i/>
          <w:iCs/>
          <w:noProof/>
          <w:lang w:eastAsia="zh-CN"/>
        </w:rPr>
        <w:t>Psychological Reports</w:t>
      </w:r>
      <w:r w:rsidRPr="002414E9">
        <w:rPr>
          <w:rFonts w:eastAsia="DengXian" w:cs="Times New Roman"/>
          <w:bCs/>
          <w:noProof/>
          <w:lang w:eastAsia="zh-CN"/>
        </w:rPr>
        <w:t xml:space="preserve">, </w:t>
      </w:r>
      <w:r w:rsidRPr="002414E9">
        <w:rPr>
          <w:rFonts w:eastAsia="DengXian" w:cs="Times New Roman"/>
          <w:bCs/>
          <w:i/>
          <w:iCs/>
          <w:noProof/>
          <w:lang w:eastAsia="zh-CN"/>
        </w:rPr>
        <w:t>50</w:t>
      </w:r>
      <w:r w:rsidRPr="002414E9">
        <w:rPr>
          <w:rFonts w:eastAsia="DengXian" w:cs="Times New Roman"/>
          <w:bCs/>
          <w:noProof/>
          <w:lang w:eastAsia="zh-CN"/>
        </w:rPr>
        <w:t>(1), 55–61. https://doi.org/10.2466/pr0.1982.50.1.55</w:t>
      </w:r>
    </w:p>
    <w:p w14:paraId="19553621" w14:textId="6ECA77B2"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Yan, J., &amp; Wang, Z. (2000). Liangnan duice zhong jiazhi quxiang dui qunti hezuo xingwei de yingxiang [The effects of values orientation on group cooperation in social dilemmas]. </w:t>
      </w:r>
      <w:r w:rsidRPr="002414E9">
        <w:rPr>
          <w:rFonts w:eastAsia="DengXian" w:cs="Times New Roman"/>
          <w:i/>
          <w:noProof/>
          <w:lang w:eastAsia="zh-CN"/>
        </w:rPr>
        <w:t>Acta Psychologica Sinica, 32</w:t>
      </w:r>
      <w:r w:rsidRPr="002414E9">
        <w:rPr>
          <w:rFonts w:eastAsia="DengXian" w:cs="Times New Roman"/>
          <w:noProof/>
          <w:lang w:eastAsia="zh-CN"/>
        </w:rPr>
        <w:t>(3), 332–336.</w:t>
      </w:r>
    </w:p>
    <w:p w14:paraId="750A3D9E" w14:textId="685ED2BC"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Yan, J., &amp; Wang, Z. (2003). Qunti renwu zhong hezuo xingwei de kuajieduan yanbian [The development of cooperative behaviors in resource dilemmas]. </w:t>
      </w:r>
      <w:r w:rsidRPr="002414E9">
        <w:rPr>
          <w:rFonts w:eastAsia="DengXian" w:cs="Times New Roman"/>
          <w:i/>
          <w:noProof/>
          <w:lang w:eastAsia="zh-CN"/>
        </w:rPr>
        <w:t>Acta Psychologica Sinica, 35</w:t>
      </w:r>
      <w:r w:rsidRPr="002414E9">
        <w:rPr>
          <w:rFonts w:eastAsia="DengXian" w:cs="Times New Roman"/>
          <w:noProof/>
          <w:lang w:eastAsia="zh-CN"/>
        </w:rPr>
        <w:t>(4), 499–503.</w:t>
      </w:r>
    </w:p>
    <w:p w14:paraId="24EAC7FE" w14:textId="18C765DE"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Yao, Z., &amp; Yu, R. (2016). The spreading of social energy: How exposure to positive and negative social news affects behavior. </w:t>
      </w:r>
      <w:r w:rsidRPr="002414E9">
        <w:rPr>
          <w:rFonts w:eastAsia="DengXian" w:cs="Times New Roman"/>
          <w:bCs/>
          <w:i/>
          <w:iCs/>
          <w:noProof/>
          <w:lang w:eastAsia="zh-CN"/>
        </w:rPr>
        <w:t>PLoS ONE</w:t>
      </w:r>
      <w:r w:rsidRPr="002414E9">
        <w:rPr>
          <w:rFonts w:eastAsia="DengXian" w:cs="Times New Roman"/>
          <w:bCs/>
          <w:noProof/>
          <w:lang w:eastAsia="zh-CN"/>
        </w:rPr>
        <w:t xml:space="preserve">, </w:t>
      </w:r>
      <w:r w:rsidRPr="002414E9">
        <w:rPr>
          <w:rFonts w:eastAsia="DengXian" w:cs="Times New Roman"/>
          <w:bCs/>
          <w:i/>
          <w:iCs/>
          <w:noProof/>
          <w:lang w:eastAsia="zh-CN"/>
        </w:rPr>
        <w:t>11</w:t>
      </w:r>
      <w:r w:rsidRPr="002414E9">
        <w:rPr>
          <w:rFonts w:eastAsia="DengXian" w:cs="Times New Roman"/>
          <w:bCs/>
          <w:noProof/>
          <w:lang w:eastAsia="zh-CN"/>
        </w:rPr>
        <w:t>(6), e0156062. https://doi.org/10.1371/journal.pone.0156062</w:t>
      </w:r>
    </w:p>
    <w:p w14:paraId="5E071CD6" w14:textId="349BBAE2" w:rsidR="002414E9" w:rsidRPr="002414E9" w:rsidRDefault="002414E9" w:rsidP="002414E9">
      <w:pPr>
        <w:widowControl w:val="0"/>
        <w:autoSpaceDE w:val="0"/>
        <w:autoSpaceDN w:val="0"/>
        <w:adjustRightInd w:val="0"/>
        <w:ind w:left="709" w:hanging="709"/>
        <w:rPr>
          <w:rFonts w:eastAsia="DengXian" w:cs="Times New Roman"/>
          <w:noProof/>
          <w:lang w:eastAsia="zh-CN"/>
        </w:rPr>
      </w:pPr>
      <w:bookmarkStart w:id="128" w:name="_Hlk73021513"/>
      <w:r w:rsidRPr="002414E9">
        <w:rPr>
          <w:rFonts w:eastAsia="DengXian" w:cs="Times New Roman"/>
          <w:noProof/>
          <w:lang w:eastAsia="zh-CN"/>
        </w:rPr>
        <w:t xml:space="preserve">Ye, H. (2007). </w:t>
      </w:r>
      <w:r w:rsidRPr="002414E9">
        <w:rPr>
          <w:rFonts w:eastAsia="DengXian" w:cs="Times New Roman"/>
          <w:i/>
          <w:iCs/>
          <w:noProof/>
          <w:lang w:eastAsia="zh-CN"/>
        </w:rPr>
        <w:t>Tuili nengli he chengfa zai gonggong wupin kunjing zhong de zuoyong yanjiu</w:t>
      </w:r>
      <w:r w:rsidRPr="002414E9">
        <w:rPr>
          <w:rFonts w:eastAsia="DengXian" w:cs="Times New Roman"/>
          <w:noProof/>
          <w:lang w:eastAsia="zh-CN"/>
        </w:rPr>
        <w:t xml:space="preserve"> [</w:t>
      </w:r>
      <w:r w:rsidRPr="002414E9">
        <w:rPr>
          <w:rFonts w:eastAsia="DengXian" w:cs="Times New Roman" w:hint="eastAsia"/>
          <w:noProof/>
          <w:lang w:eastAsia="zh-CN"/>
        </w:rPr>
        <w:t xml:space="preserve">The </w:t>
      </w:r>
      <w:r w:rsidRPr="002414E9">
        <w:rPr>
          <w:rFonts w:eastAsia="DengXian" w:cs="Times New Roman"/>
          <w:noProof/>
          <w:lang w:eastAsia="zh-CN"/>
        </w:rPr>
        <w:t>s</w:t>
      </w:r>
      <w:r w:rsidRPr="002414E9">
        <w:rPr>
          <w:rFonts w:eastAsia="DengXian" w:cs="Times New Roman" w:hint="eastAsia"/>
          <w:noProof/>
          <w:lang w:eastAsia="zh-CN"/>
        </w:rPr>
        <w:t xml:space="preserve">tudy on the </w:t>
      </w:r>
      <w:r w:rsidRPr="002414E9">
        <w:rPr>
          <w:rFonts w:eastAsia="DengXian" w:cs="Times New Roman"/>
          <w:noProof/>
          <w:lang w:eastAsia="zh-CN"/>
        </w:rPr>
        <w:t>p</w:t>
      </w:r>
      <w:r w:rsidRPr="002414E9">
        <w:rPr>
          <w:rFonts w:eastAsia="DengXian" w:cs="Times New Roman" w:hint="eastAsia"/>
          <w:noProof/>
          <w:lang w:eastAsia="zh-CN"/>
        </w:rPr>
        <w:t xml:space="preserve">art </w:t>
      </w:r>
      <w:r w:rsidRPr="002414E9">
        <w:rPr>
          <w:rFonts w:eastAsia="DengXian" w:cs="Times New Roman"/>
          <w:noProof/>
          <w:lang w:eastAsia="zh-CN"/>
        </w:rPr>
        <w:t>p</w:t>
      </w:r>
      <w:r w:rsidRPr="002414E9">
        <w:rPr>
          <w:rFonts w:eastAsia="DengXian" w:cs="Times New Roman" w:hint="eastAsia"/>
          <w:noProof/>
          <w:lang w:eastAsia="zh-CN"/>
        </w:rPr>
        <w:t xml:space="preserve">layed by </w:t>
      </w:r>
      <w:r w:rsidRPr="002414E9">
        <w:rPr>
          <w:rFonts w:eastAsia="DengXian" w:cs="Times New Roman"/>
          <w:noProof/>
          <w:lang w:eastAsia="zh-CN"/>
        </w:rPr>
        <w:t>r</w:t>
      </w:r>
      <w:r w:rsidRPr="002414E9">
        <w:rPr>
          <w:rFonts w:eastAsia="DengXian" w:cs="Times New Roman" w:hint="eastAsia"/>
          <w:noProof/>
          <w:lang w:eastAsia="zh-CN"/>
        </w:rPr>
        <w:t xml:space="preserve">easoning </w:t>
      </w:r>
      <w:r w:rsidRPr="002414E9">
        <w:rPr>
          <w:rFonts w:eastAsia="DengXian" w:cs="Times New Roman"/>
          <w:noProof/>
          <w:lang w:eastAsia="zh-CN"/>
        </w:rPr>
        <w:t>a</w:t>
      </w:r>
      <w:r w:rsidRPr="002414E9">
        <w:rPr>
          <w:rFonts w:eastAsia="DengXian" w:cs="Times New Roman" w:hint="eastAsia"/>
          <w:noProof/>
          <w:lang w:eastAsia="zh-CN"/>
        </w:rPr>
        <w:t xml:space="preserve">bility and </w:t>
      </w:r>
      <w:r w:rsidRPr="002414E9">
        <w:rPr>
          <w:rFonts w:eastAsia="DengXian" w:cs="Times New Roman"/>
          <w:noProof/>
          <w:lang w:eastAsia="zh-CN"/>
        </w:rPr>
        <w:t>p</w:t>
      </w:r>
      <w:r w:rsidRPr="002414E9">
        <w:rPr>
          <w:rFonts w:eastAsia="DengXian" w:cs="Times New Roman" w:hint="eastAsia"/>
          <w:noProof/>
          <w:lang w:eastAsia="zh-CN"/>
        </w:rPr>
        <w:t xml:space="preserve">unishment in </w:t>
      </w:r>
      <w:r w:rsidRPr="002414E9">
        <w:rPr>
          <w:rFonts w:eastAsia="DengXian" w:cs="Times New Roman"/>
          <w:noProof/>
          <w:lang w:eastAsia="zh-CN"/>
        </w:rPr>
        <w:t>p</w:t>
      </w:r>
      <w:r w:rsidRPr="002414E9">
        <w:rPr>
          <w:rFonts w:eastAsia="DengXian" w:cs="Times New Roman" w:hint="eastAsia"/>
          <w:noProof/>
          <w:lang w:eastAsia="zh-CN"/>
        </w:rPr>
        <w:t xml:space="preserve">ublic </w:t>
      </w:r>
      <w:r w:rsidRPr="002414E9">
        <w:rPr>
          <w:rFonts w:eastAsia="DengXian" w:cs="Times New Roman"/>
          <w:noProof/>
          <w:lang w:eastAsia="zh-CN"/>
        </w:rPr>
        <w:t>g</w:t>
      </w:r>
      <w:r w:rsidRPr="002414E9">
        <w:rPr>
          <w:rFonts w:eastAsia="DengXian" w:cs="Times New Roman" w:hint="eastAsia"/>
          <w:noProof/>
          <w:lang w:eastAsia="zh-CN"/>
        </w:rPr>
        <w:t xml:space="preserve">oods </w:t>
      </w:r>
      <w:r w:rsidRPr="002414E9">
        <w:rPr>
          <w:rFonts w:eastAsia="DengXian" w:cs="Times New Roman"/>
          <w:noProof/>
          <w:lang w:eastAsia="zh-CN"/>
        </w:rPr>
        <w:t>d</w:t>
      </w:r>
      <w:r w:rsidRPr="002414E9">
        <w:rPr>
          <w:rFonts w:eastAsia="DengXian" w:cs="Times New Roman" w:hint="eastAsia"/>
          <w:noProof/>
          <w:lang w:eastAsia="zh-CN"/>
        </w:rPr>
        <w:t>ilemma</w:t>
      </w:r>
      <w:r w:rsidRPr="002414E9">
        <w:rPr>
          <w:rFonts w:eastAsia="DengXian" w:cs="Times New Roman"/>
          <w:noProof/>
          <w:lang w:eastAsia="zh-CN"/>
        </w:rPr>
        <w:t>] [Master's thesis, Suzhou daxue]. CNKI Theses and Dissertations Database.</w:t>
      </w:r>
      <w:bookmarkEnd w:id="128"/>
    </w:p>
    <w:p w14:paraId="51EA151C" w14:textId="555D43A5"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Yi, R., &amp; Rachlin, H. (2004). Contingencies of reinforcement in a five‐person prisoner's dilemma. </w:t>
      </w:r>
      <w:r w:rsidRPr="002414E9">
        <w:rPr>
          <w:rFonts w:eastAsia="DengXian" w:cs="Times New Roman"/>
          <w:bCs/>
          <w:i/>
          <w:iCs/>
          <w:noProof/>
          <w:lang w:eastAsia="zh-CN"/>
        </w:rPr>
        <w:t>Journal of the Experimental Analysis of Behavior</w:t>
      </w:r>
      <w:r w:rsidRPr="002414E9">
        <w:rPr>
          <w:rFonts w:eastAsia="DengXian" w:cs="Times New Roman"/>
          <w:bCs/>
          <w:noProof/>
          <w:lang w:eastAsia="zh-CN"/>
        </w:rPr>
        <w:t xml:space="preserve">, </w:t>
      </w:r>
      <w:r w:rsidRPr="002414E9">
        <w:rPr>
          <w:rFonts w:eastAsia="DengXian" w:cs="Times New Roman"/>
          <w:bCs/>
          <w:i/>
          <w:iCs/>
          <w:noProof/>
          <w:lang w:eastAsia="zh-CN"/>
        </w:rPr>
        <w:t>82</w:t>
      </w:r>
      <w:r w:rsidRPr="002414E9">
        <w:rPr>
          <w:rFonts w:eastAsia="DengXian" w:cs="Times New Roman"/>
          <w:bCs/>
          <w:noProof/>
          <w:lang w:eastAsia="zh-CN"/>
        </w:rPr>
        <w:t xml:space="preserve">(2), 161–176. </w:t>
      </w:r>
      <w:r w:rsidRPr="002414E9">
        <w:rPr>
          <w:rFonts w:eastAsia="DengXian" w:cs="Times New Roman"/>
          <w:bCs/>
          <w:noProof/>
          <w:lang w:eastAsia="zh-CN"/>
        </w:rPr>
        <w:lastRenderedPageBreak/>
        <w:t>https://doi.org/10.1901/jeab.2004.82-161</w:t>
      </w:r>
    </w:p>
    <w:p w14:paraId="1C38A512" w14:textId="75F8FF15"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Yi, R., Buchhalter, A. R., Gatchalian, K. M., &amp; Bickel, W. K. (2007). </w:t>
      </w:r>
      <w:r w:rsidRPr="002414E9">
        <w:rPr>
          <w:rFonts w:eastAsia="DengXian" w:cs="Times New Roman"/>
          <w:bCs/>
          <w:noProof/>
          <w:lang w:eastAsia="zh-CN"/>
        </w:rPr>
        <w:t xml:space="preserve">The relationship between temporal discounting and the prisoner's dilemma game in intranasal abusers of prescription opioids. </w:t>
      </w:r>
      <w:r w:rsidRPr="002414E9">
        <w:rPr>
          <w:rFonts w:eastAsia="DengXian" w:cs="Times New Roman"/>
          <w:bCs/>
          <w:i/>
          <w:iCs/>
          <w:noProof/>
          <w:lang w:eastAsia="zh-CN"/>
        </w:rPr>
        <w:t>Drug and Alcohol Dependence</w:t>
      </w:r>
      <w:r w:rsidRPr="002414E9">
        <w:rPr>
          <w:rFonts w:eastAsia="DengXian" w:cs="Times New Roman"/>
          <w:bCs/>
          <w:noProof/>
          <w:lang w:eastAsia="zh-CN"/>
        </w:rPr>
        <w:t xml:space="preserve">, </w:t>
      </w:r>
      <w:r w:rsidRPr="002414E9">
        <w:rPr>
          <w:rFonts w:eastAsia="DengXian" w:cs="Times New Roman"/>
          <w:bCs/>
          <w:i/>
          <w:iCs/>
          <w:noProof/>
          <w:lang w:eastAsia="zh-CN"/>
        </w:rPr>
        <w:t>87</w:t>
      </w:r>
      <w:r w:rsidRPr="002414E9">
        <w:rPr>
          <w:rFonts w:eastAsia="DengXian" w:cs="Times New Roman"/>
          <w:bCs/>
          <w:noProof/>
          <w:lang w:eastAsia="zh-CN"/>
        </w:rPr>
        <w:t>(1), 94–97. https://doi.org/10.1016/j.drugalcdep.2006.07.007</w:t>
      </w:r>
    </w:p>
    <w:p w14:paraId="44216B78" w14:textId="6C5EC947"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Yi, R., Johnson, M. W., &amp; Bickel, W. K. (2005). Relationship between cooperation in an iterated prisoner's dilemma game and the discounting of hypothetical outcomes. </w:t>
      </w:r>
      <w:r w:rsidRPr="002414E9">
        <w:rPr>
          <w:rFonts w:eastAsia="DengXian" w:cs="Times New Roman"/>
          <w:bCs/>
          <w:i/>
          <w:iCs/>
          <w:noProof/>
          <w:lang w:eastAsia="zh-CN"/>
        </w:rPr>
        <w:t>Learning &amp; Behavior</w:t>
      </w:r>
      <w:r w:rsidRPr="002414E9">
        <w:rPr>
          <w:rFonts w:eastAsia="DengXian" w:cs="Times New Roman"/>
          <w:bCs/>
          <w:noProof/>
          <w:lang w:eastAsia="zh-CN"/>
        </w:rPr>
        <w:t xml:space="preserve">, </w:t>
      </w:r>
      <w:r w:rsidRPr="002414E9">
        <w:rPr>
          <w:rFonts w:eastAsia="DengXian" w:cs="Times New Roman"/>
          <w:bCs/>
          <w:i/>
          <w:iCs/>
          <w:noProof/>
          <w:lang w:eastAsia="zh-CN"/>
        </w:rPr>
        <w:t>33</w:t>
      </w:r>
      <w:r w:rsidRPr="002414E9">
        <w:rPr>
          <w:rFonts w:eastAsia="DengXian" w:cs="Times New Roman"/>
          <w:bCs/>
          <w:noProof/>
          <w:lang w:eastAsia="zh-CN"/>
        </w:rPr>
        <w:t>(3), 324–336. https://doi.org/10.3758/BF03192861</w:t>
      </w:r>
    </w:p>
    <w:p w14:paraId="5124C2D1" w14:textId="0B5CA45A"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Yoshida, F. (1978). Shakaiteki sōgo sayō bamen ni okeru taijin ninchi no kenkyū [An experimental study of interpersonal perceptions in social interaction</w:t>
      </w:r>
      <w:r w:rsidRPr="002414E9">
        <w:rPr>
          <w:rFonts w:eastAsia="DengXian" w:cs="Times New Roman" w:hint="eastAsia"/>
          <w:noProof/>
          <w:lang w:eastAsia="zh-CN"/>
        </w:rPr>
        <w:t>:</w:t>
      </w:r>
      <w:r w:rsidRPr="002414E9">
        <w:rPr>
          <w:rFonts w:eastAsia="DengXian" w:cs="Times New Roman"/>
          <w:noProof/>
          <w:lang w:eastAsia="zh-CN"/>
        </w:rPr>
        <w:t xml:space="preserve"> (1)</w:t>
      </w:r>
      <w:r w:rsidRPr="002414E9">
        <w:rPr>
          <w:rFonts w:eastAsia="DengXian" w:cs="Times New Roman" w:hint="eastAsia"/>
          <w:noProof/>
          <w:lang w:eastAsia="zh-CN"/>
        </w:rPr>
        <w:t xml:space="preserve"> </w:t>
      </w:r>
      <w:r w:rsidRPr="002414E9">
        <w:rPr>
          <w:rFonts w:eastAsia="DengXian" w:cs="Times New Roman"/>
          <w:noProof/>
          <w:lang w:eastAsia="zh-CN"/>
        </w:rPr>
        <w:t xml:space="preserve">the cooperator and the noncooperator: Divergent vs. Convergent perceptions]. </w:t>
      </w:r>
      <w:r w:rsidRPr="002414E9">
        <w:rPr>
          <w:rFonts w:eastAsia="DengXian" w:cs="Times New Roman"/>
          <w:i/>
          <w:iCs/>
          <w:noProof/>
          <w:lang w:eastAsia="zh-CN"/>
        </w:rPr>
        <w:t>The Japanese Journal of Experimental Social Psychology</w:t>
      </w:r>
      <w:r w:rsidRPr="002414E9">
        <w:rPr>
          <w:rFonts w:eastAsia="DengXian" w:cs="Times New Roman"/>
          <w:noProof/>
          <w:lang w:eastAsia="zh-CN"/>
        </w:rPr>
        <w:t xml:space="preserve">, </w:t>
      </w:r>
      <w:r w:rsidRPr="002414E9">
        <w:rPr>
          <w:rFonts w:eastAsia="DengXian" w:cs="Times New Roman"/>
          <w:i/>
          <w:iCs/>
          <w:noProof/>
          <w:lang w:eastAsia="zh-CN"/>
        </w:rPr>
        <w:t>18</w:t>
      </w:r>
      <w:r w:rsidRPr="002414E9">
        <w:rPr>
          <w:rFonts w:eastAsia="DengXian" w:cs="Times New Roman"/>
          <w:noProof/>
          <w:lang w:eastAsia="zh-CN"/>
        </w:rPr>
        <w:t>(1), 11–20. https://doi.org/10.2130/jjesp.18.11</w:t>
      </w:r>
    </w:p>
    <w:p w14:paraId="0A52BF2B" w14:textId="7C19D866"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fr-FR" w:eastAsia="zh-CN"/>
        </w:rPr>
        <w:t xml:space="preserve">Yu, C., Au, W., &amp; Chan, K. K. (2009). </w:t>
      </w:r>
      <w:r w:rsidRPr="002414E9">
        <w:rPr>
          <w:rFonts w:eastAsia="DengXian" w:cs="Times New Roman"/>
          <w:noProof/>
          <w:lang w:eastAsia="zh-CN"/>
        </w:rPr>
        <w:t xml:space="preserve">Efficacy = endowment × efficiency: Revisiting efficacy and endowment effects in a public goods dilemma. </w:t>
      </w:r>
      <w:r w:rsidRPr="002414E9">
        <w:rPr>
          <w:rFonts w:eastAsia="DengXian" w:cs="Times New Roman"/>
          <w:i/>
          <w:iCs/>
          <w:noProof/>
          <w:lang w:eastAsia="zh-CN"/>
        </w:rPr>
        <w:t>Journal of Personality and Social Psychology</w:t>
      </w:r>
      <w:r w:rsidRPr="002414E9">
        <w:rPr>
          <w:rFonts w:eastAsia="DengXian" w:cs="Times New Roman"/>
          <w:noProof/>
          <w:lang w:eastAsia="zh-CN"/>
        </w:rPr>
        <w:t xml:space="preserve">, </w:t>
      </w:r>
      <w:r w:rsidRPr="002414E9">
        <w:rPr>
          <w:rFonts w:eastAsia="DengXian" w:cs="Times New Roman"/>
          <w:i/>
          <w:iCs/>
          <w:noProof/>
          <w:lang w:eastAsia="zh-CN"/>
        </w:rPr>
        <w:t>96</w:t>
      </w:r>
      <w:r w:rsidRPr="002414E9">
        <w:rPr>
          <w:rFonts w:eastAsia="DengXian" w:cs="Times New Roman"/>
          <w:noProof/>
          <w:lang w:eastAsia="zh-CN"/>
        </w:rPr>
        <w:t>(1), 155–169. https://doi.org/10.1037/a0012879</w:t>
      </w:r>
    </w:p>
    <w:p w14:paraId="0FFCB1E2" w14:textId="77777777"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val="de-DE" w:eastAsia="zh-CN"/>
        </w:rPr>
        <w:t xml:space="preserve">Zettler, I., Hilbig, B. E., &amp; Heydasch, T. (2013). </w:t>
      </w:r>
      <w:r w:rsidRPr="002414E9">
        <w:rPr>
          <w:rFonts w:eastAsia="DengXian" w:cs="Times New Roman"/>
          <w:noProof/>
          <w:lang w:eastAsia="zh-CN"/>
        </w:rPr>
        <w:t xml:space="preserve">Two sides of one coin: Honesty-Humility and situational factors mutually shape social dilemma decision making. </w:t>
      </w:r>
      <w:r w:rsidRPr="002414E9">
        <w:rPr>
          <w:rFonts w:eastAsia="DengXian" w:cs="Times New Roman"/>
          <w:i/>
          <w:iCs/>
          <w:noProof/>
          <w:lang w:eastAsia="zh-CN"/>
        </w:rPr>
        <w:t>Journal of Research in Personality</w:t>
      </w:r>
      <w:r w:rsidRPr="002414E9">
        <w:rPr>
          <w:rFonts w:eastAsia="DengXian" w:cs="Times New Roman"/>
          <w:noProof/>
          <w:lang w:eastAsia="zh-CN"/>
        </w:rPr>
        <w:t xml:space="preserve">, </w:t>
      </w:r>
      <w:r w:rsidRPr="002414E9">
        <w:rPr>
          <w:rFonts w:eastAsia="DengXian" w:cs="Times New Roman"/>
          <w:i/>
          <w:iCs/>
          <w:noProof/>
          <w:lang w:eastAsia="zh-CN"/>
        </w:rPr>
        <w:t>47</w:t>
      </w:r>
      <w:r w:rsidRPr="002414E9">
        <w:rPr>
          <w:rFonts w:eastAsia="DengXian" w:cs="Times New Roman"/>
          <w:noProof/>
          <w:lang w:eastAsia="zh-CN"/>
        </w:rPr>
        <w:t>(4), 286–295. https://doi.org/10.1016/j.jrp.2013.01.012</w:t>
      </w:r>
    </w:p>
    <w:p w14:paraId="6C40D49C" w14:textId="068FBABE" w:rsidR="002414E9" w:rsidRPr="002414E9" w:rsidRDefault="002414E9" w:rsidP="002414E9">
      <w:pPr>
        <w:widowControl w:val="0"/>
        <w:autoSpaceDE w:val="0"/>
        <w:autoSpaceDN w:val="0"/>
        <w:adjustRightInd w:val="0"/>
        <w:ind w:left="709" w:hanging="709"/>
        <w:rPr>
          <w:rFonts w:eastAsia="DengXian" w:cs="Times New Roman"/>
          <w:noProof/>
          <w:lang w:val="de-DE" w:eastAsia="zh-CN"/>
        </w:rPr>
      </w:pPr>
      <w:r w:rsidRPr="002414E9">
        <w:rPr>
          <w:rFonts w:eastAsia="DengXian" w:cs="Times New Roman"/>
          <w:noProof/>
          <w:lang w:val="de-DE" w:eastAsia="zh-CN"/>
        </w:rPr>
        <w:t xml:space="preserve">Zhang Z., Jin S., Wu S., &amp; Zhou X. (2013). Gonggong ziyuan kunjing zhong lingdao dui qunti chengyuan hezuo xingwei de yingxiang [The influence of leader on group member’s cooperation in common resource dilemmas]. </w:t>
      </w:r>
      <w:r w:rsidRPr="002414E9">
        <w:rPr>
          <w:rFonts w:eastAsia="DengXian" w:cs="Times New Roman"/>
          <w:i/>
          <w:noProof/>
          <w:lang w:val="de-DE" w:eastAsia="zh-CN"/>
        </w:rPr>
        <w:t>Acta Psychologica Sinica, 45</w:t>
      </w:r>
      <w:r w:rsidRPr="002414E9">
        <w:rPr>
          <w:rFonts w:eastAsia="DengXian" w:cs="Times New Roman"/>
          <w:noProof/>
          <w:lang w:val="de-DE" w:eastAsia="zh-CN"/>
        </w:rPr>
        <w:t>(4), 453–465.</w:t>
      </w:r>
    </w:p>
    <w:p w14:paraId="0E2956A4" w14:textId="52FBBDE6"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en-GB" w:eastAsia="zh-CN"/>
        </w:rPr>
        <w:t xml:space="preserve">Zhang, B. Y., Fan, S. J., Li, C., Zheng, X. D., Bao, J. Z., Cressman, R., &amp; Tao, Y. (2016). </w:t>
      </w:r>
      <w:r w:rsidRPr="002414E9">
        <w:rPr>
          <w:rFonts w:eastAsia="DengXian" w:cs="Times New Roman"/>
          <w:bCs/>
          <w:noProof/>
          <w:lang w:eastAsia="zh-CN"/>
        </w:rPr>
        <w:t xml:space="preserve">Opting out against defection leads to stable coexistence with cooperation. </w:t>
      </w:r>
      <w:r w:rsidRPr="002414E9">
        <w:rPr>
          <w:rFonts w:eastAsia="DengXian" w:cs="Times New Roman"/>
          <w:bCs/>
          <w:i/>
          <w:iCs/>
          <w:noProof/>
          <w:lang w:eastAsia="zh-CN"/>
        </w:rPr>
        <w:t>Scientific Reports</w:t>
      </w:r>
      <w:r w:rsidRPr="002414E9">
        <w:rPr>
          <w:rFonts w:eastAsia="DengXian" w:cs="Times New Roman"/>
          <w:bCs/>
          <w:noProof/>
          <w:lang w:eastAsia="zh-CN"/>
        </w:rPr>
        <w:t xml:space="preserve">, </w:t>
      </w:r>
      <w:r w:rsidRPr="002414E9">
        <w:rPr>
          <w:rFonts w:eastAsia="DengXian" w:cs="Times New Roman"/>
          <w:bCs/>
          <w:i/>
          <w:iCs/>
          <w:noProof/>
          <w:lang w:eastAsia="zh-CN"/>
        </w:rPr>
        <w:lastRenderedPageBreak/>
        <w:t>6</w:t>
      </w:r>
      <w:r w:rsidRPr="002414E9">
        <w:rPr>
          <w:rFonts w:eastAsia="DengXian" w:cs="Times New Roman"/>
          <w:bCs/>
          <w:noProof/>
          <w:lang w:eastAsia="zh-CN"/>
        </w:rPr>
        <w:t>(1), 1–7. https://doi.org/10.1038/srep35902</w:t>
      </w:r>
    </w:p>
    <w:p w14:paraId="62ED8FB1" w14:textId="1EB10735"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eastAsia="zh-CN"/>
        </w:rPr>
        <w:t xml:space="preserve">Zhang, S., Gao, W., &amp; Fan, B. (2015). Cognitive Ability and Cooperation: Evidence from the Public Goods Experiments. </w:t>
      </w:r>
      <w:r w:rsidRPr="002414E9">
        <w:rPr>
          <w:rFonts w:eastAsia="DengXian" w:cs="Times New Roman"/>
          <w:bCs/>
          <w:i/>
          <w:iCs/>
          <w:noProof/>
          <w:lang w:eastAsia="zh-CN"/>
        </w:rPr>
        <w:t>Annals of Economics &amp; Finance</w:t>
      </w:r>
      <w:r w:rsidRPr="002414E9">
        <w:rPr>
          <w:rFonts w:eastAsia="DengXian" w:cs="Times New Roman"/>
          <w:bCs/>
          <w:noProof/>
          <w:lang w:eastAsia="zh-CN"/>
        </w:rPr>
        <w:t xml:space="preserve">, </w:t>
      </w:r>
      <w:r w:rsidRPr="002414E9">
        <w:rPr>
          <w:rFonts w:eastAsia="DengXian" w:cs="Times New Roman"/>
          <w:bCs/>
          <w:i/>
          <w:iCs/>
          <w:noProof/>
          <w:lang w:eastAsia="zh-CN"/>
        </w:rPr>
        <w:t>16</w:t>
      </w:r>
      <w:r w:rsidRPr="002414E9">
        <w:rPr>
          <w:rFonts w:eastAsia="DengXian" w:cs="Times New Roman"/>
          <w:bCs/>
          <w:noProof/>
          <w:lang w:eastAsia="zh-CN"/>
        </w:rPr>
        <w:t xml:space="preserve">(1), 43–68. https://www.semanticscholar.org/paper/Cognitive-Ability-and-Cooperation%3A-Evidence-from-Zhang-Gao/348acdd3ac1905c68543c944d16cf0ead42f4f1d </w:t>
      </w:r>
    </w:p>
    <w:p w14:paraId="4EAE6965" w14:textId="086E5041"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de-DE" w:eastAsia="zh-CN"/>
        </w:rPr>
        <w:t xml:space="preserve">Zheng, H., Kendrick, K. M., &amp; Yu, R. (2016). </w:t>
      </w:r>
      <w:r w:rsidRPr="002414E9">
        <w:rPr>
          <w:rFonts w:eastAsia="DengXian" w:cs="Times New Roman"/>
          <w:bCs/>
          <w:noProof/>
          <w:lang w:eastAsia="zh-CN"/>
        </w:rPr>
        <w:t xml:space="preserve">Fear or greed? Oxytocin regulates inter-individual conflict by enhancing fear in men. </w:t>
      </w:r>
      <w:r w:rsidRPr="002414E9">
        <w:rPr>
          <w:rFonts w:eastAsia="DengXian" w:cs="Times New Roman"/>
          <w:bCs/>
          <w:i/>
          <w:iCs/>
          <w:noProof/>
          <w:lang w:eastAsia="zh-CN"/>
        </w:rPr>
        <w:t>Hormones and Behavior</w:t>
      </w:r>
      <w:r w:rsidRPr="002414E9">
        <w:rPr>
          <w:rFonts w:eastAsia="DengXian" w:cs="Times New Roman"/>
          <w:bCs/>
          <w:noProof/>
          <w:lang w:eastAsia="zh-CN"/>
        </w:rPr>
        <w:t xml:space="preserve">, </w:t>
      </w:r>
      <w:r w:rsidRPr="002414E9">
        <w:rPr>
          <w:rFonts w:eastAsia="DengXian" w:cs="Times New Roman"/>
          <w:bCs/>
          <w:i/>
          <w:iCs/>
          <w:noProof/>
          <w:lang w:eastAsia="zh-CN"/>
        </w:rPr>
        <w:t>85</w:t>
      </w:r>
      <w:r w:rsidRPr="002414E9">
        <w:rPr>
          <w:rFonts w:eastAsia="DengXian" w:cs="Times New Roman"/>
          <w:bCs/>
          <w:noProof/>
          <w:lang w:eastAsia="zh-CN"/>
        </w:rPr>
        <w:t>, 12–18. https://doi.org/10.1016/j.yhbeh.2016.07.003</w:t>
      </w:r>
    </w:p>
    <w:p w14:paraId="140E1758" w14:textId="0B09727B" w:rsidR="002414E9" w:rsidRPr="002414E9" w:rsidRDefault="002414E9" w:rsidP="002414E9">
      <w:pPr>
        <w:widowControl w:val="0"/>
        <w:autoSpaceDE w:val="0"/>
        <w:autoSpaceDN w:val="0"/>
        <w:adjustRightInd w:val="0"/>
        <w:ind w:left="709" w:hanging="709"/>
        <w:rPr>
          <w:rFonts w:eastAsia="DengXian" w:cs="Times New Roman"/>
          <w:noProof/>
          <w:lang w:eastAsia="zh-CN"/>
        </w:rPr>
      </w:pPr>
      <w:bookmarkStart w:id="129" w:name="_Hlk72936435"/>
      <w:r w:rsidRPr="002414E9">
        <w:rPr>
          <w:rFonts w:eastAsia="DengXian" w:cs="Times New Roman"/>
          <w:noProof/>
          <w:lang w:val="it-IT" w:eastAsia="zh-CN"/>
        </w:rPr>
        <w:t xml:space="preserve">Zheng, J., Cai, M., Li, C., &amp; Shao, C. (2017). </w:t>
      </w:r>
      <w:r w:rsidRPr="002414E9">
        <w:rPr>
          <w:rFonts w:eastAsia="DengXian" w:cs="Times New Roman"/>
          <w:noProof/>
          <w:lang w:eastAsia="zh-CN"/>
        </w:rPr>
        <w:t xml:space="preserve">Juece kuangjia, xinli juli dui getijian hezuo xingwei yingxiang de shiyan yanjiu [Impacts of decision framing and psychological distance on individual cooperative behavior]. </w:t>
      </w:r>
      <w:r w:rsidRPr="002414E9">
        <w:rPr>
          <w:rFonts w:eastAsia="DengXian" w:cs="Times New Roman"/>
          <w:i/>
          <w:noProof/>
          <w:lang w:eastAsia="zh-CN"/>
        </w:rPr>
        <w:t>Management Review, 29</w:t>
      </w:r>
      <w:r w:rsidRPr="002414E9">
        <w:rPr>
          <w:rFonts w:eastAsia="DengXian" w:cs="Times New Roman"/>
          <w:noProof/>
          <w:lang w:eastAsia="zh-CN"/>
        </w:rPr>
        <w:t>(5), 102</w:t>
      </w:r>
      <w:bookmarkStart w:id="130" w:name="_Hlk72936179"/>
      <w:r w:rsidRPr="002414E9">
        <w:rPr>
          <w:rFonts w:eastAsia="DengXian" w:cs="Times New Roman"/>
          <w:noProof/>
          <w:lang w:eastAsia="zh-CN"/>
        </w:rPr>
        <w:t>–</w:t>
      </w:r>
      <w:bookmarkEnd w:id="130"/>
      <w:r w:rsidRPr="002414E9">
        <w:rPr>
          <w:rFonts w:eastAsia="DengXian" w:cs="Times New Roman"/>
          <w:noProof/>
          <w:lang w:eastAsia="zh-CN"/>
        </w:rPr>
        <w:t>109.</w:t>
      </w:r>
    </w:p>
    <w:bookmarkEnd w:id="129"/>
    <w:p w14:paraId="7BA241AA" w14:textId="04799A40"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nl-NL" w:eastAsia="zh-CN"/>
        </w:rPr>
        <w:t xml:space="preserve">Zhong, C. B., Loewenstein, J., &amp; Murnighan, J. K. (2007). </w:t>
      </w:r>
      <w:r w:rsidRPr="002414E9">
        <w:rPr>
          <w:rFonts w:eastAsia="DengXian" w:cs="Times New Roman"/>
          <w:bCs/>
          <w:noProof/>
          <w:lang w:eastAsia="zh-CN"/>
        </w:rPr>
        <w:t xml:space="preserve">Speaking the same language: The cooperative effects of labeling in the prisoner's dilemma. </w:t>
      </w:r>
      <w:r w:rsidRPr="002414E9">
        <w:rPr>
          <w:rFonts w:eastAsia="DengXian" w:cs="Times New Roman"/>
          <w:bCs/>
          <w:i/>
          <w:iCs/>
          <w:noProof/>
          <w:lang w:eastAsia="zh-CN"/>
        </w:rPr>
        <w:t>Journal of Conflict Resolution</w:t>
      </w:r>
      <w:r w:rsidRPr="002414E9">
        <w:rPr>
          <w:rFonts w:eastAsia="DengXian" w:cs="Times New Roman"/>
          <w:bCs/>
          <w:noProof/>
          <w:lang w:eastAsia="zh-CN"/>
        </w:rPr>
        <w:t xml:space="preserve">, </w:t>
      </w:r>
      <w:r w:rsidRPr="002414E9">
        <w:rPr>
          <w:rFonts w:eastAsia="DengXian" w:cs="Times New Roman"/>
          <w:bCs/>
          <w:i/>
          <w:iCs/>
          <w:noProof/>
          <w:lang w:eastAsia="zh-CN"/>
        </w:rPr>
        <w:t>51</w:t>
      </w:r>
      <w:r w:rsidRPr="002414E9">
        <w:rPr>
          <w:rFonts w:eastAsia="DengXian" w:cs="Times New Roman"/>
          <w:bCs/>
          <w:noProof/>
          <w:lang w:eastAsia="zh-CN"/>
        </w:rPr>
        <w:t>(3), 431–456. https://doi.org/10.1177/0022002707300834</w:t>
      </w:r>
    </w:p>
    <w:p w14:paraId="1ABE0787" w14:textId="481F3A41"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Zhou, Y., Jiao, P., &amp; Zhang, Q. (2017). Second-party and third-party punishment in a public goods experiment. </w:t>
      </w:r>
      <w:r w:rsidRPr="002414E9">
        <w:rPr>
          <w:rFonts w:eastAsia="DengXian" w:cs="Times New Roman"/>
          <w:i/>
          <w:iCs/>
          <w:noProof/>
          <w:lang w:eastAsia="zh-CN"/>
        </w:rPr>
        <w:t>Applied Economics Letters</w:t>
      </w:r>
      <w:r w:rsidRPr="002414E9">
        <w:rPr>
          <w:rFonts w:eastAsia="DengXian" w:cs="Times New Roman"/>
          <w:noProof/>
          <w:lang w:eastAsia="zh-CN"/>
        </w:rPr>
        <w:t xml:space="preserve">, </w:t>
      </w:r>
      <w:r w:rsidRPr="002414E9">
        <w:rPr>
          <w:rFonts w:eastAsia="DengXian" w:cs="Times New Roman"/>
          <w:i/>
          <w:iCs/>
          <w:noProof/>
          <w:lang w:eastAsia="zh-CN"/>
        </w:rPr>
        <w:t>24</w:t>
      </w:r>
      <w:r w:rsidRPr="002414E9">
        <w:rPr>
          <w:rFonts w:eastAsia="DengXian" w:cs="Times New Roman"/>
          <w:noProof/>
          <w:lang w:eastAsia="zh-CN"/>
        </w:rPr>
        <w:t>(1), 54–57. https://doi.org/10.1080/13504851.2016.1161709</w:t>
      </w:r>
    </w:p>
    <w:p w14:paraId="073387C2" w14:textId="710AA182" w:rsidR="002414E9" w:rsidRPr="002414E9" w:rsidRDefault="002414E9" w:rsidP="002414E9">
      <w:pPr>
        <w:widowControl w:val="0"/>
        <w:autoSpaceDE w:val="0"/>
        <w:autoSpaceDN w:val="0"/>
        <w:adjustRightInd w:val="0"/>
        <w:ind w:left="709" w:hanging="709"/>
        <w:rPr>
          <w:rFonts w:eastAsia="DengXian" w:cs="Times New Roman"/>
          <w:noProof/>
          <w:lang w:eastAsia="zh-CN"/>
        </w:rPr>
      </w:pPr>
      <w:bookmarkStart w:id="131" w:name="_Hlk73021639"/>
      <w:r w:rsidRPr="002414E9">
        <w:rPr>
          <w:rFonts w:eastAsia="DengXian" w:cs="Times New Roman"/>
          <w:noProof/>
          <w:lang w:eastAsia="zh-CN"/>
        </w:rPr>
        <w:t xml:space="preserve">Zhu, Y. (2008). </w:t>
      </w:r>
      <w:r w:rsidRPr="002414E9">
        <w:rPr>
          <w:rFonts w:eastAsia="DengXian" w:cs="Times New Roman"/>
          <w:i/>
          <w:iCs/>
          <w:noProof/>
          <w:lang w:eastAsia="zh-CN"/>
        </w:rPr>
        <w:t>Gonggong wupin liangnan qingjing zhong jiangcheng xitong dui hezuo xingwei yiji xinren de yingxiang yanjiu</w:t>
      </w:r>
      <w:r w:rsidRPr="002414E9">
        <w:rPr>
          <w:rFonts w:eastAsia="DengXian" w:cs="Times New Roman"/>
          <w:noProof/>
          <w:lang w:eastAsia="zh-CN"/>
        </w:rPr>
        <w:t xml:space="preserve"> [</w:t>
      </w:r>
      <w:r w:rsidRPr="002414E9">
        <w:rPr>
          <w:rFonts w:eastAsia="DengXian" w:cs="Times New Roman" w:hint="eastAsia"/>
          <w:noProof/>
          <w:lang w:eastAsia="zh-CN"/>
        </w:rPr>
        <w:t xml:space="preserve">The </w:t>
      </w:r>
      <w:r w:rsidRPr="002414E9">
        <w:rPr>
          <w:rFonts w:eastAsia="DengXian" w:cs="Times New Roman"/>
          <w:noProof/>
          <w:lang w:eastAsia="zh-CN"/>
        </w:rPr>
        <w:t>e</w:t>
      </w:r>
      <w:r w:rsidRPr="002414E9">
        <w:rPr>
          <w:rFonts w:eastAsia="DengXian" w:cs="Times New Roman" w:hint="eastAsia"/>
          <w:noProof/>
          <w:lang w:eastAsia="zh-CN"/>
        </w:rPr>
        <w:t xml:space="preserve">ffects of </w:t>
      </w:r>
      <w:r w:rsidRPr="002414E9">
        <w:rPr>
          <w:rFonts w:eastAsia="DengXian" w:cs="Times New Roman"/>
          <w:noProof/>
          <w:lang w:eastAsia="zh-CN"/>
        </w:rPr>
        <w:t>s</w:t>
      </w:r>
      <w:r w:rsidRPr="002414E9">
        <w:rPr>
          <w:rFonts w:eastAsia="DengXian" w:cs="Times New Roman" w:hint="eastAsia"/>
          <w:noProof/>
          <w:lang w:eastAsia="zh-CN"/>
        </w:rPr>
        <w:t xml:space="preserve">anctioning </w:t>
      </w:r>
      <w:r w:rsidRPr="002414E9">
        <w:rPr>
          <w:rFonts w:eastAsia="DengXian" w:cs="Times New Roman"/>
          <w:noProof/>
          <w:lang w:eastAsia="zh-CN"/>
        </w:rPr>
        <w:t>s</w:t>
      </w:r>
      <w:r w:rsidRPr="002414E9">
        <w:rPr>
          <w:rFonts w:eastAsia="DengXian" w:cs="Times New Roman" w:hint="eastAsia"/>
          <w:noProof/>
          <w:lang w:eastAsia="zh-CN"/>
        </w:rPr>
        <w:t xml:space="preserve">ystems on </w:t>
      </w:r>
      <w:r w:rsidRPr="002414E9">
        <w:rPr>
          <w:rFonts w:eastAsia="DengXian" w:cs="Times New Roman"/>
          <w:noProof/>
          <w:lang w:eastAsia="zh-CN"/>
        </w:rPr>
        <w:t>c</w:t>
      </w:r>
      <w:r w:rsidRPr="002414E9">
        <w:rPr>
          <w:rFonts w:eastAsia="DengXian" w:cs="Times New Roman" w:hint="eastAsia"/>
          <w:noProof/>
          <w:lang w:eastAsia="zh-CN"/>
        </w:rPr>
        <w:t xml:space="preserve">ooperation and </w:t>
      </w:r>
      <w:r w:rsidRPr="002414E9">
        <w:rPr>
          <w:rFonts w:eastAsia="DengXian" w:cs="Times New Roman"/>
          <w:noProof/>
          <w:lang w:eastAsia="zh-CN"/>
        </w:rPr>
        <w:t>t</w:t>
      </w:r>
      <w:r w:rsidRPr="002414E9">
        <w:rPr>
          <w:rFonts w:eastAsia="DengXian" w:cs="Times New Roman" w:hint="eastAsia"/>
          <w:noProof/>
          <w:lang w:eastAsia="zh-CN"/>
        </w:rPr>
        <w:t xml:space="preserve">rust in </w:t>
      </w:r>
      <w:r w:rsidRPr="002414E9">
        <w:rPr>
          <w:rFonts w:eastAsia="DengXian" w:cs="Times New Roman"/>
          <w:noProof/>
          <w:lang w:eastAsia="zh-CN"/>
        </w:rPr>
        <w:t>p</w:t>
      </w:r>
      <w:r w:rsidRPr="002414E9">
        <w:rPr>
          <w:rFonts w:eastAsia="DengXian" w:cs="Times New Roman" w:hint="eastAsia"/>
          <w:noProof/>
          <w:lang w:eastAsia="zh-CN"/>
        </w:rPr>
        <w:t xml:space="preserve">ublic </w:t>
      </w:r>
      <w:r w:rsidRPr="002414E9">
        <w:rPr>
          <w:rFonts w:eastAsia="DengXian" w:cs="Times New Roman"/>
          <w:noProof/>
          <w:lang w:eastAsia="zh-CN"/>
        </w:rPr>
        <w:t>g</w:t>
      </w:r>
      <w:r w:rsidRPr="002414E9">
        <w:rPr>
          <w:rFonts w:eastAsia="DengXian" w:cs="Times New Roman" w:hint="eastAsia"/>
          <w:noProof/>
          <w:lang w:eastAsia="zh-CN"/>
        </w:rPr>
        <w:t xml:space="preserve">oods </w:t>
      </w:r>
      <w:r w:rsidRPr="002414E9">
        <w:rPr>
          <w:rFonts w:eastAsia="DengXian" w:cs="Times New Roman"/>
          <w:noProof/>
          <w:lang w:eastAsia="zh-CN"/>
        </w:rPr>
        <w:t>d</w:t>
      </w:r>
      <w:r w:rsidRPr="002414E9">
        <w:rPr>
          <w:rFonts w:eastAsia="DengXian" w:cs="Times New Roman" w:hint="eastAsia"/>
          <w:noProof/>
          <w:lang w:eastAsia="zh-CN"/>
        </w:rPr>
        <w:t>ilemma</w:t>
      </w:r>
      <w:r w:rsidRPr="002414E9">
        <w:rPr>
          <w:rFonts w:eastAsia="DengXian" w:cs="Times New Roman"/>
          <w:noProof/>
          <w:lang w:eastAsia="zh-CN"/>
        </w:rPr>
        <w:t>] [Master's thesis, Zhejiang daxue]. CNKI Theses and Dissertations Database.</w:t>
      </w:r>
      <w:bookmarkEnd w:id="131"/>
    </w:p>
    <w:p w14:paraId="5EEBDC6A" w14:textId="3FE2E685" w:rsidR="002414E9" w:rsidRPr="002414E9" w:rsidRDefault="002414E9" w:rsidP="002414E9">
      <w:pPr>
        <w:widowControl w:val="0"/>
        <w:autoSpaceDE w:val="0"/>
        <w:autoSpaceDN w:val="0"/>
        <w:adjustRightInd w:val="0"/>
        <w:ind w:left="709" w:hanging="709"/>
        <w:rPr>
          <w:rFonts w:eastAsia="DengXian" w:cs="Times New Roman"/>
          <w:noProof/>
          <w:lang w:eastAsia="zh-CN"/>
        </w:rPr>
      </w:pPr>
      <w:r w:rsidRPr="002414E9">
        <w:rPr>
          <w:rFonts w:eastAsia="DengXian" w:cs="Times New Roman"/>
          <w:noProof/>
          <w:lang w:eastAsia="zh-CN"/>
        </w:rPr>
        <w:t xml:space="preserve">Zizzo, D. J., &amp; Fleming, P. (2011). Can experimental measures of sensitivity to social pressure predict public good contribution? </w:t>
      </w:r>
      <w:r w:rsidRPr="002414E9">
        <w:rPr>
          <w:rFonts w:eastAsia="DengXian" w:cs="Times New Roman"/>
          <w:i/>
          <w:iCs/>
          <w:noProof/>
          <w:lang w:eastAsia="zh-CN"/>
        </w:rPr>
        <w:t>Economics Letters</w:t>
      </w:r>
      <w:r w:rsidRPr="002414E9">
        <w:rPr>
          <w:rFonts w:eastAsia="DengXian" w:cs="Times New Roman"/>
          <w:noProof/>
          <w:lang w:eastAsia="zh-CN"/>
        </w:rPr>
        <w:t xml:space="preserve">, </w:t>
      </w:r>
      <w:r w:rsidRPr="002414E9">
        <w:rPr>
          <w:rFonts w:eastAsia="DengXian" w:cs="Times New Roman"/>
          <w:i/>
          <w:iCs/>
          <w:noProof/>
          <w:lang w:eastAsia="zh-CN"/>
        </w:rPr>
        <w:t>111</w:t>
      </w:r>
      <w:r w:rsidRPr="002414E9">
        <w:rPr>
          <w:rFonts w:eastAsia="DengXian" w:cs="Times New Roman"/>
          <w:noProof/>
          <w:lang w:eastAsia="zh-CN"/>
        </w:rPr>
        <w:t xml:space="preserve">(3), 239–242. </w:t>
      </w:r>
      <w:r w:rsidRPr="002414E9">
        <w:rPr>
          <w:rFonts w:eastAsia="DengXian" w:cs="Times New Roman"/>
          <w:noProof/>
          <w:lang w:eastAsia="zh-CN"/>
        </w:rPr>
        <w:lastRenderedPageBreak/>
        <w:t>https://doi.org/10.1016/j.econlet.2011.02.021</w:t>
      </w:r>
    </w:p>
    <w:p w14:paraId="1973BE87" w14:textId="7EB2648A" w:rsidR="002414E9" w:rsidRPr="002414E9" w:rsidRDefault="002414E9" w:rsidP="002414E9">
      <w:pPr>
        <w:widowControl w:val="0"/>
        <w:autoSpaceDE w:val="0"/>
        <w:autoSpaceDN w:val="0"/>
        <w:adjustRightInd w:val="0"/>
        <w:ind w:left="709" w:hanging="709"/>
        <w:rPr>
          <w:rFonts w:eastAsia="DengXian" w:cs="Times New Roman"/>
          <w:bCs/>
          <w:noProof/>
          <w:lang w:eastAsia="zh-CN"/>
        </w:rPr>
      </w:pPr>
      <w:r w:rsidRPr="002414E9">
        <w:rPr>
          <w:rFonts w:eastAsia="DengXian" w:cs="Times New Roman"/>
          <w:bCs/>
          <w:noProof/>
          <w:lang w:val="es-ES" w:eastAsia="zh-CN"/>
        </w:rPr>
        <w:t xml:space="preserve">Zizzo, D. J., &amp; Tan, J. H. (2007). </w:t>
      </w:r>
      <w:r w:rsidRPr="002414E9">
        <w:rPr>
          <w:rFonts w:eastAsia="DengXian" w:cs="Times New Roman"/>
          <w:bCs/>
          <w:noProof/>
          <w:lang w:eastAsia="zh-CN"/>
        </w:rPr>
        <w:t xml:space="preserve">Perceived harmony, similarity and cooperation in 2× 2 games: An experimental study. </w:t>
      </w:r>
      <w:r w:rsidRPr="002414E9">
        <w:rPr>
          <w:rFonts w:eastAsia="DengXian" w:cs="Times New Roman"/>
          <w:bCs/>
          <w:i/>
          <w:iCs/>
          <w:noProof/>
          <w:lang w:eastAsia="zh-CN"/>
        </w:rPr>
        <w:t>Journal of Economic Psychology</w:t>
      </w:r>
      <w:r w:rsidRPr="002414E9">
        <w:rPr>
          <w:rFonts w:eastAsia="DengXian" w:cs="Times New Roman"/>
          <w:bCs/>
          <w:noProof/>
          <w:lang w:eastAsia="zh-CN"/>
        </w:rPr>
        <w:t xml:space="preserve">, </w:t>
      </w:r>
      <w:r w:rsidRPr="002414E9">
        <w:rPr>
          <w:rFonts w:eastAsia="DengXian" w:cs="Times New Roman"/>
          <w:bCs/>
          <w:i/>
          <w:iCs/>
          <w:noProof/>
          <w:lang w:eastAsia="zh-CN"/>
        </w:rPr>
        <w:t>28</w:t>
      </w:r>
      <w:r w:rsidRPr="002414E9">
        <w:rPr>
          <w:rFonts w:eastAsia="DengXian" w:cs="Times New Roman"/>
          <w:bCs/>
          <w:noProof/>
          <w:lang w:eastAsia="zh-CN"/>
        </w:rPr>
        <w:t xml:space="preserve">(3), 365–386. https://doi.org/10.1016/j.joep.2006.06.008 </w:t>
      </w:r>
    </w:p>
    <w:p w14:paraId="5715AD1D" w14:textId="77777777" w:rsidR="0089281D" w:rsidRPr="009B01DA" w:rsidRDefault="0089281D" w:rsidP="003E2766">
      <w:pPr>
        <w:pStyle w:val="Bibliography"/>
        <w:rPr>
          <w:rFonts w:cs="Times New Roman"/>
          <w:lang w:val="en-GB"/>
        </w:rPr>
      </w:pPr>
    </w:p>
    <w:sectPr w:rsidR="0089281D" w:rsidRPr="009B01DA" w:rsidSect="00F63796">
      <w:pgSz w:w="12240" w:h="15840"/>
      <w:pgMar w:top="1440" w:right="1440" w:bottom="1440" w:left="144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EDDBC8" w14:textId="77777777" w:rsidR="005F0290" w:rsidRDefault="005F0290" w:rsidP="00510CB5">
      <w:pPr>
        <w:spacing w:line="240" w:lineRule="auto"/>
      </w:pPr>
      <w:r>
        <w:separator/>
      </w:r>
    </w:p>
  </w:endnote>
  <w:endnote w:type="continuationSeparator" w:id="0">
    <w:p w14:paraId="040E6792" w14:textId="77777777" w:rsidR="005F0290" w:rsidRDefault="005F0290" w:rsidP="00510C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47CAA4" w14:textId="77777777" w:rsidR="005F0290" w:rsidRDefault="005F0290" w:rsidP="00510CB5">
      <w:pPr>
        <w:spacing w:line="240" w:lineRule="auto"/>
      </w:pPr>
      <w:r>
        <w:separator/>
      </w:r>
    </w:p>
  </w:footnote>
  <w:footnote w:type="continuationSeparator" w:id="0">
    <w:p w14:paraId="6EC58E30" w14:textId="77777777" w:rsidR="005F0290" w:rsidRDefault="005F0290" w:rsidP="00510CB5">
      <w:pPr>
        <w:spacing w:line="240" w:lineRule="auto"/>
      </w:pPr>
      <w:r>
        <w:continuationSeparator/>
      </w:r>
    </w:p>
  </w:footnote>
  <w:footnote w:id="1">
    <w:p w14:paraId="62B56E1F" w14:textId="7437AD17" w:rsidR="008F440D" w:rsidRPr="00AE0AFB" w:rsidRDefault="008F440D" w:rsidP="008F440D">
      <w:pPr>
        <w:pStyle w:val="FootnoteText"/>
        <w:rPr>
          <w:rFonts w:cs="Times New Roman"/>
          <w:lang w:val="en-US"/>
        </w:rPr>
      </w:pPr>
      <w:r w:rsidRPr="002972E0">
        <w:rPr>
          <w:rStyle w:val="FootnoteReference"/>
        </w:rPr>
        <w:footnoteRef/>
      </w:r>
      <w:r w:rsidRPr="00AE0AFB">
        <w:rPr>
          <w:rFonts w:cs="Times New Roman"/>
          <w:lang w:val="en-US"/>
        </w:rPr>
        <w:t xml:space="preserve"> An exception appears when “real-world” cooperative behavior was measured. Yezer and colleagues </w:t>
      </w:r>
      <w:r>
        <w:rPr>
          <w:rFonts w:cs="Times New Roman"/>
          <w:lang w:val="en-US"/>
        </w:rPr>
        <w:fldChar w:fldCharType="begin" w:fldLock="1"/>
      </w:r>
      <w:r w:rsidR="005503FA">
        <w:rPr>
          <w:rFonts w:cs="Times New Roman"/>
          <w:lang w:val="en-US"/>
        </w:rPr>
        <w:instrText xml:space="preserve"> ADDIN ZOTERO_ITEM CSL_CITATION {"citationID":"lxi4uInt","properties":{"formattedCitation":"(Yezer et al., 1996)","plainCitation":"(Yezer et al., 1996)","dontUpdate":true,"noteIndex":1},"citationItems":[{"id":"nUUgFwyg/cvhwoaEZ","uris":["http://www.mendeley.com/documents/?uuid=ee214299-567e-4e03-9a81-0df75bb5d104"],"itemData":{"DOI":"10.1257/jep.10.1.177","author":[{"dropping-particle":"","family":"Yezer","given":"Anthony M","non-dropping-particle":"","parse-names":false,"suffix":""},{"dropping-particle":"","family":"Goldfarb","given":"Robert S","non-dropping-particle":"","parse-names":false,"suffix":""},{"dropping-particle":"","family":"Poppen","given":"Paul J","non-dropping-particle":"","parse-names":false,"suffix":""}],"container-title":"Journal of Economic Perspectives","id":"ITEM-1","issue":"1","issued":{"date-parts":[["1996"]]},"page":"177-186","title":"Does studying economics discourage cooperation? Watch what we do, not what we say or how we play","type":"article-journal","volume":"10"}}],"schema":"https://github.com/citation-style-language/schema/raw/master/csl-citation.json"} </w:instrText>
      </w:r>
      <w:r>
        <w:rPr>
          <w:rFonts w:cs="Times New Roman"/>
          <w:lang w:val="en-US"/>
        </w:rPr>
        <w:fldChar w:fldCharType="separate"/>
      </w:r>
      <w:r w:rsidR="00F272CA" w:rsidRPr="00F272CA">
        <w:rPr>
          <w:rFonts w:cs="Times New Roman"/>
          <w:lang w:val="en-GB"/>
        </w:rPr>
        <w:t>(1996)</w:t>
      </w:r>
      <w:r>
        <w:rPr>
          <w:rFonts w:cs="Times New Roman"/>
          <w:lang w:val="en-US"/>
        </w:rPr>
        <w:fldChar w:fldCharType="end"/>
      </w:r>
      <w:r w:rsidRPr="00AE0AFB">
        <w:rPr>
          <w:rFonts w:cs="Times New Roman"/>
          <w:lang w:val="en-US"/>
        </w:rPr>
        <w:t xml:space="preserve"> designed a lost-letter experiment and economics students in this study were more cooperative than students from other disciplines.</w:t>
      </w:r>
    </w:p>
  </w:footnote>
  <w:footnote w:id="2">
    <w:p w14:paraId="01D19F39" w14:textId="77777777" w:rsidR="0030334F" w:rsidRPr="00F53BD4" w:rsidRDefault="0030334F" w:rsidP="0030334F">
      <w:pPr>
        <w:pStyle w:val="FootnoteText"/>
        <w:rPr>
          <w:lang w:val="en-GB"/>
        </w:rPr>
      </w:pPr>
      <w:r w:rsidRPr="002972E0">
        <w:rPr>
          <w:rStyle w:val="FootnoteReference"/>
        </w:rPr>
        <w:footnoteRef/>
      </w:r>
      <w:r w:rsidRPr="00F53BD4">
        <w:rPr>
          <w:lang w:val="en-GB"/>
        </w:rPr>
        <w:t xml:space="preserve"> Only a few </w:t>
      </w:r>
      <w:r>
        <w:rPr>
          <w:lang w:val="en-GB"/>
        </w:rPr>
        <w:t xml:space="preserve">cooperation rates </w:t>
      </w:r>
      <w:r w:rsidRPr="00F53BD4">
        <w:rPr>
          <w:lang w:val="en-GB"/>
        </w:rPr>
        <w:t>were from studies where knowledge of the end game was manipulated but cooperation rates at each level of this structural variable were unavailable (</w:t>
      </w:r>
      <w:r w:rsidRPr="00F53BD4">
        <w:rPr>
          <w:i/>
          <w:iCs/>
          <w:lang w:val="en-GB"/>
        </w:rPr>
        <w:t>k</w:t>
      </w:r>
      <w:r w:rsidRPr="00F53BD4">
        <w:rPr>
          <w:lang w:val="en-GB"/>
        </w:rPr>
        <w:t xml:space="preserve"> = 40). Besides, this variable has missing values (</w:t>
      </w:r>
      <w:r w:rsidRPr="00F53BD4">
        <w:rPr>
          <w:i/>
          <w:iCs/>
          <w:lang w:val="en-GB"/>
        </w:rPr>
        <w:t>k</w:t>
      </w:r>
      <w:r w:rsidRPr="00F53BD4">
        <w:rPr>
          <w:lang w:val="en-GB"/>
        </w:rPr>
        <w:t xml:space="preserve"> = 636).</w:t>
      </w:r>
      <w:r>
        <w:rPr>
          <w:lang w:val="en-GB"/>
        </w:rPr>
        <w:t xml:space="preserve"> Results of inter-rater reliability from the Cooperation Databank showed that knowledge of the end game scored an adequate level of inter-rater agreement (</w:t>
      </w:r>
      <w:r w:rsidRPr="00F53BD4">
        <w:rPr>
          <w:lang w:val="en-GB"/>
        </w:rPr>
        <w:t xml:space="preserve">Krippendorff’s </w:t>
      </w:r>
      <w:r w:rsidRPr="0027499D">
        <w:rPr>
          <w:rFonts w:cs="Times New Roman"/>
          <w:bCs/>
          <w:szCs w:val="22"/>
        </w:rPr>
        <w:t>α</w:t>
      </w:r>
      <w:r w:rsidRPr="00F53BD4">
        <w:rPr>
          <w:rFonts w:cs="Times New Roman"/>
          <w:bCs/>
          <w:szCs w:val="22"/>
          <w:lang w:val="en-GB"/>
        </w:rPr>
        <w:t xml:space="preserve"> = 0.78, </w:t>
      </w:r>
      <w:r>
        <w:rPr>
          <w:rFonts w:cs="Times New Roman"/>
          <w:bCs/>
          <w:szCs w:val="22"/>
          <w:lang w:val="en-GB"/>
        </w:rPr>
        <w:t>A</w:t>
      </w:r>
      <w:r w:rsidRPr="00F53BD4">
        <w:rPr>
          <w:rFonts w:cs="Times New Roman"/>
          <w:bCs/>
          <w:szCs w:val="22"/>
          <w:lang w:val="en-GB"/>
        </w:rPr>
        <w:t xml:space="preserve">greement </w:t>
      </w:r>
      <w:r>
        <w:rPr>
          <w:rFonts w:cs="Times New Roman"/>
          <w:bCs/>
          <w:szCs w:val="22"/>
          <w:lang w:val="en-GB"/>
        </w:rPr>
        <w:t>R</w:t>
      </w:r>
      <w:r w:rsidRPr="00F53BD4">
        <w:rPr>
          <w:rFonts w:cs="Times New Roman"/>
          <w:bCs/>
          <w:szCs w:val="22"/>
          <w:lang w:val="en-GB"/>
        </w:rPr>
        <w:t>ates = 90.7</w:t>
      </w:r>
      <w:r>
        <w:rPr>
          <w:rFonts w:cs="Times New Roman"/>
          <w:bCs/>
          <w:szCs w:val="22"/>
          <w:lang w:val="en-GB"/>
        </w:rPr>
        <w:t>%</w:t>
      </w:r>
      <w:r>
        <w:rPr>
          <w:lang w:val="en-GB"/>
        </w:rPr>
        <w:t>).</w:t>
      </w:r>
    </w:p>
  </w:footnote>
  <w:footnote w:id="3">
    <w:p w14:paraId="5315259A" w14:textId="692097DC" w:rsidR="00017F8F" w:rsidRDefault="00CB2D78" w:rsidP="00027DD1">
      <w:pPr>
        <w:spacing w:line="240" w:lineRule="auto"/>
      </w:pPr>
      <w:r w:rsidRPr="002972E0">
        <w:rPr>
          <w:rStyle w:val="FootnoteReference"/>
        </w:rPr>
        <w:footnoteRef/>
      </w:r>
      <w:r w:rsidRPr="003828BA">
        <w:t xml:space="preserve"> </w:t>
      </w:r>
      <w:r w:rsidRPr="00027DD1">
        <w:rPr>
          <w:i/>
          <w:sz w:val="20"/>
          <w:szCs w:val="20"/>
        </w:rPr>
        <w:t>R</w:t>
      </w:r>
      <w:r w:rsidRPr="00027DD1">
        <w:rPr>
          <w:i/>
          <w:sz w:val="20"/>
          <w:szCs w:val="20"/>
          <w:vertAlign w:val="superscript"/>
        </w:rPr>
        <w:t>2</w:t>
      </w:r>
      <w:r w:rsidRPr="00027DD1">
        <w:rPr>
          <w:i/>
          <w:sz w:val="20"/>
          <w:szCs w:val="20"/>
          <w:vertAlign w:val="subscript"/>
        </w:rPr>
        <w:t>oob</w:t>
      </w:r>
      <w:r w:rsidRPr="00027DD1">
        <w:rPr>
          <w:sz w:val="20"/>
          <w:szCs w:val="20"/>
        </w:rPr>
        <w:t xml:space="preserve"> is a measure of predictive accuracy of the MetaForest model, which is derived from the </w:t>
      </w:r>
      <w:r w:rsidRPr="00027DD1">
        <w:rPr>
          <w:i/>
          <w:iCs/>
          <w:sz w:val="20"/>
          <w:szCs w:val="20"/>
        </w:rPr>
        <w:t>out-of-bag</w:t>
      </w:r>
      <w:r w:rsidRPr="00027DD1">
        <w:rPr>
          <w:sz w:val="20"/>
          <w:szCs w:val="20"/>
        </w:rPr>
        <w:t xml:space="preserve"> (OOB) error and provides a good estimate of the prediction accuracy in future samples </w:t>
      </w:r>
      <w:r w:rsidRPr="00027DD1">
        <w:rPr>
          <w:sz w:val="20"/>
          <w:szCs w:val="20"/>
        </w:rPr>
        <w:fldChar w:fldCharType="begin" w:fldLock="1"/>
      </w:r>
      <w:r w:rsidR="005503FA">
        <w:rPr>
          <w:sz w:val="20"/>
          <w:szCs w:val="20"/>
        </w:rPr>
        <w:instrText xml:space="preserve"> ADDIN ZOTERO_ITEM CSL_CITATION {"citationID":"Q3OZTzyZ","properties":{"formattedCitation":"(Van Lissa, 2017)","plainCitation":"(Van Lissa, 2017)","noteIndex":3},"citationItems":[{"id":5161,"uris":["http://zotero.org/users/8822807/items/IHM8JLGF"],"itemData":{"id":5161,"type":"article-journal","abstract":"Meta-analyses in psychology often lack the power to adequately account for between-studies heterogeneity. The number of studies on any topic is typically low, because research is cost- and time-intensive. At the same time, a host of potential moderators are introduced when similar research questions are examined in different labs, sampling from different populations, using idiosyncratic methods and instrumentation. Such between-studies heterogeneity presents a substantial challenge to data aggregation in classic meta-analysis. When the causes for heterogeneity are known a-priori, they can be accounted for using meta-regression. What is currently lacking, however, is an exploratory approach, to be used when heterogeneity is suspected, but it is not known which moderators most strongly influence the observed effect size. Recently, weighted regression trees have been used to explore heterogeneity in meta-analysis. Although this provides a promising first step, single trees have many limitations, which can be overcome by using random forests: A powerful learning algorithm, which is flexible, yet relatively robust to overfitting. The present paper introduces MetaForest: An adaptation of random forests for meta-analysis. We present two simulation studies, which illustrate that, in datasets as small as 20 cases, MetaForest outperforms single trees, in terms of three metrics: 1) Predictive performance; 2) power, as evidenced by the proportion of datasets in which the algorithm achieved a positive R2cv; and 3) the ability to distinguish relevant moderators from irrelevant moderators, using variable importance measures. We discuss how MetaForest can enhance the exploration of between-studies heterogeneity when conducting meta-analyses in diverse bodies of literature.","container-title":"Arxiv","note":"arXiv: 1208.5535v1","page":"1-60","title":"MetaForest: Exploring heterogeneity in meta-analysis using random forests","author":[{"family":"Van Lissa","given":"Caspar J."}],"issued":{"date-parts":[["2017"]]}}}],"schema":"https://github.com/citation-style-language/schema/raw/master/csl-citation.json"} </w:instrText>
      </w:r>
      <w:r w:rsidRPr="00027DD1">
        <w:rPr>
          <w:sz w:val="20"/>
          <w:szCs w:val="20"/>
        </w:rPr>
        <w:fldChar w:fldCharType="separate"/>
      </w:r>
      <w:r w:rsidR="005503FA" w:rsidRPr="005503FA">
        <w:rPr>
          <w:rFonts w:cs="Times New Roman"/>
          <w:sz w:val="20"/>
        </w:rPr>
        <w:t>(Van Lissa, 2017)</w:t>
      </w:r>
      <w:r w:rsidRPr="00027DD1">
        <w:rPr>
          <w:sz w:val="20"/>
          <w:szCs w:val="20"/>
        </w:rPr>
        <w:fldChar w:fldCharType="end"/>
      </w:r>
      <w:r w:rsidRPr="00027DD1">
        <w:rPr>
          <w:sz w:val="20"/>
          <w:szCs w:val="20"/>
        </w:rPr>
        <w:t xml:space="preserve">. </w:t>
      </w:r>
      <w:r w:rsidRPr="00027DD1">
        <w:rPr>
          <w:i/>
          <w:sz w:val="20"/>
          <w:szCs w:val="20"/>
        </w:rPr>
        <w:t>R</w:t>
      </w:r>
      <w:r w:rsidRPr="00027DD1">
        <w:rPr>
          <w:i/>
          <w:sz w:val="20"/>
          <w:szCs w:val="20"/>
          <w:vertAlign w:val="superscript"/>
        </w:rPr>
        <w:t>2</w:t>
      </w:r>
      <w:r w:rsidRPr="00027DD1">
        <w:rPr>
          <w:i/>
          <w:sz w:val="20"/>
          <w:szCs w:val="20"/>
          <w:vertAlign w:val="subscript"/>
        </w:rPr>
        <w:t>cv</w:t>
      </w:r>
      <w:r w:rsidRPr="00027DD1">
        <w:rPr>
          <w:sz w:val="20"/>
          <w:szCs w:val="20"/>
        </w:rPr>
        <w:t xml:space="preserve"> is a cross-validated measure of predictive accuracy of the meta-regression model, which is obtained by estimating a model on a “training” dataset, and then using a second “testing” dataset to calculate the fraction of variance explained by this model, relative to the variance around the mean of the training dataset </w:t>
      </w:r>
      <w:r w:rsidRPr="00027DD1">
        <w:rPr>
          <w:sz w:val="20"/>
          <w:szCs w:val="20"/>
        </w:rPr>
        <w:fldChar w:fldCharType="begin" w:fldLock="1"/>
      </w:r>
      <w:r w:rsidR="005503FA">
        <w:rPr>
          <w:sz w:val="20"/>
          <w:szCs w:val="20"/>
        </w:rPr>
        <w:instrText xml:space="preserve"> ADDIN ZOTERO_ITEM CSL_CITATION {"citationID":"Qpa6LmNo","properties":{"formattedCitation":"(Hastie et al., 2009)","plainCitation":"(Hastie et al., 2009)","noteIndex":3},"citationItems":[{"id":4472,"uris":["http://zotero.org/users/8822807/items/I4JR6GD6"],"itemData":{"id":4472,"type":"book","ISBN":"978-0-387-84858-7","note":"collection-title: Springer Series in Statistics\nDOI: 10.1007/978-0-387-84858-7","publisher":"Springer New York","title":"The elements of statistical learning: Data mining, inference, and prediction (Second ed.)","URL":"https://books.google.nl/books?id=tVIjmNS3Ob8C","author":[{"family":"Hastie","given":"T"},{"family":"Tibshirani","given":"R"},{"family":"Friedman","given":"J"}],"issued":{"date-parts":[["2009"]]}}}],"schema":"https://github.com/citation-style-language/schema/raw/master/csl-citation.json"} </w:instrText>
      </w:r>
      <w:r w:rsidRPr="00027DD1">
        <w:rPr>
          <w:sz w:val="20"/>
          <w:szCs w:val="20"/>
        </w:rPr>
        <w:fldChar w:fldCharType="separate"/>
      </w:r>
      <w:r w:rsidR="005503FA" w:rsidRPr="005503FA">
        <w:rPr>
          <w:rFonts w:cs="Times New Roman"/>
          <w:sz w:val="20"/>
        </w:rPr>
        <w:t>(Hastie et al., 2009)</w:t>
      </w:r>
      <w:r w:rsidRPr="00027DD1">
        <w:rPr>
          <w:sz w:val="20"/>
          <w:szCs w:val="20"/>
        </w:rPr>
        <w:fldChar w:fldCharType="end"/>
      </w:r>
      <w:r w:rsidRPr="00027DD1">
        <w:rPr>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9307418"/>
      <w:docPartObj>
        <w:docPartGallery w:val="Page Numbers (Top of Page)"/>
        <w:docPartUnique/>
      </w:docPartObj>
    </w:sdtPr>
    <w:sdtContent>
      <w:p w14:paraId="63229354" w14:textId="62187731" w:rsidR="006D624F" w:rsidRPr="002C0F19" w:rsidRDefault="006D624F" w:rsidP="002C0F19">
        <w:r>
          <w:t>INSTITUTIONS</w:t>
        </w:r>
        <w:r w:rsidR="00AA0F4E">
          <w:t xml:space="preserve"> AND</w:t>
        </w:r>
        <w:r>
          <w:t xml:space="preserve"> COOPERATION</w:t>
        </w:r>
        <w:r w:rsidRPr="00DD5060">
          <w:ptab w:relativeTo="margin" w:alignment="right" w:leader="none"/>
        </w:r>
        <w:r w:rsidRPr="00DD5060">
          <w:fldChar w:fldCharType="begin"/>
        </w:r>
        <w:r w:rsidRPr="00FD5A58">
          <w:instrText>PAGE   \* MERGEFORMAT</w:instrText>
        </w:r>
        <w:r w:rsidRPr="00DD5060">
          <w:fldChar w:fldCharType="separate"/>
        </w:r>
        <w:r>
          <w:t>2</w:t>
        </w:r>
        <w:r w:rsidRPr="00DD5060">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90D83"/>
    <w:multiLevelType w:val="hybridMultilevel"/>
    <w:tmpl w:val="FBB4C2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FB0988"/>
    <w:multiLevelType w:val="hybridMultilevel"/>
    <w:tmpl w:val="61C41444"/>
    <w:lvl w:ilvl="0" w:tplc="D1EA8CAE">
      <w:start w:val="1"/>
      <w:numFmt w:val="decimal"/>
      <w:lvlText w:val="%1."/>
      <w:lvlJc w:val="left"/>
      <w:pPr>
        <w:ind w:left="720" w:hanging="360"/>
      </w:pPr>
      <w:rPr>
        <w:rFonts w:ascii="Times New Roman" w:eastAsia="SimSun" w:hAnsi="Times New Roman"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3C1903"/>
    <w:multiLevelType w:val="multilevel"/>
    <w:tmpl w:val="746A8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9C1105"/>
    <w:multiLevelType w:val="hybridMultilevel"/>
    <w:tmpl w:val="8CF62E2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9F00D8"/>
    <w:multiLevelType w:val="multilevel"/>
    <w:tmpl w:val="0B9CC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24C53"/>
    <w:multiLevelType w:val="hybridMultilevel"/>
    <w:tmpl w:val="814CC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A35AD5"/>
    <w:multiLevelType w:val="multilevel"/>
    <w:tmpl w:val="B47EB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525C92"/>
    <w:multiLevelType w:val="hybridMultilevel"/>
    <w:tmpl w:val="54524FA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0C7112"/>
    <w:multiLevelType w:val="hybridMultilevel"/>
    <w:tmpl w:val="7BBC81E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5322505"/>
    <w:multiLevelType w:val="hybridMultilevel"/>
    <w:tmpl w:val="7430D5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F86714"/>
    <w:multiLevelType w:val="multilevel"/>
    <w:tmpl w:val="62B66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9E4C94"/>
    <w:multiLevelType w:val="multilevel"/>
    <w:tmpl w:val="28A2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296618"/>
    <w:multiLevelType w:val="hybridMultilevel"/>
    <w:tmpl w:val="103C4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4E0742"/>
    <w:multiLevelType w:val="hybridMultilevel"/>
    <w:tmpl w:val="55786DFA"/>
    <w:lvl w:ilvl="0" w:tplc="79C03740">
      <w:start w:val="1"/>
      <w:numFmt w:val="bullet"/>
      <w:lvlText w:val="•"/>
      <w:lvlJc w:val="left"/>
      <w:pPr>
        <w:tabs>
          <w:tab w:val="num" w:pos="720"/>
        </w:tabs>
        <w:ind w:left="720" w:hanging="360"/>
      </w:pPr>
      <w:rPr>
        <w:rFonts w:ascii="Times New Roman" w:hAnsi="Times New Roman" w:hint="default"/>
      </w:rPr>
    </w:lvl>
    <w:lvl w:ilvl="1" w:tplc="E7207130" w:tentative="1">
      <w:start w:val="1"/>
      <w:numFmt w:val="bullet"/>
      <w:lvlText w:val="•"/>
      <w:lvlJc w:val="left"/>
      <w:pPr>
        <w:tabs>
          <w:tab w:val="num" w:pos="1440"/>
        </w:tabs>
        <w:ind w:left="1440" w:hanging="360"/>
      </w:pPr>
      <w:rPr>
        <w:rFonts w:ascii="Times New Roman" w:hAnsi="Times New Roman" w:hint="default"/>
      </w:rPr>
    </w:lvl>
    <w:lvl w:ilvl="2" w:tplc="D938EA02" w:tentative="1">
      <w:start w:val="1"/>
      <w:numFmt w:val="bullet"/>
      <w:lvlText w:val="•"/>
      <w:lvlJc w:val="left"/>
      <w:pPr>
        <w:tabs>
          <w:tab w:val="num" w:pos="2160"/>
        </w:tabs>
        <w:ind w:left="2160" w:hanging="360"/>
      </w:pPr>
      <w:rPr>
        <w:rFonts w:ascii="Times New Roman" w:hAnsi="Times New Roman" w:hint="default"/>
      </w:rPr>
    </w:lvl>
    <w:lvl w:ilvl="3" w:tplc="CE04FFE0" w:tentative="1">
      <w:start w:val="1"/>
      <w:numFmt w:val="bullet"/>
      <w:lvlText w:val="•"/>
      <w:lvlJc w:val="left"/>
      <w:pPr>
        <w:tabs>
          <w:tab w:val="num" w:pos="2880"/>
        </w:tabs>
        <w:ind w:left="2880" w:hanging="360"/>
      </w:pPr>
      <w:rPr>
        <w:rFonts w:ascii="Times New Roman" w:hAnsi="Times New Roman" w:hint="default"/>
      </w:rPr>
    </w:lvl>
    <w:lvl w:ilvl="4" w:tplc="00A0307C" w:tentative="1">
      <w:start w:val="1"/>
      <w:numFmt w:val="bullet"/>
      <w:lvlText w:val="•"/>
      <w:lvlJc w:val="left"/>
      <w:pPr>
        <w:tabs>
          <w:tab w:val="num" w:pos="3600"/>
        </w:tabs>
        <w:ind w:left="3600" w:hanging="360"/>
      </w:pPr>
      <w:rPr>
        <w:rFonts w:ascii="Times New Roman" w:hAnsi="Times New Roman" w:hint="default"/>
      </w:rPr>
    </w:lvl>
    <w:lvl w:ilvl="5" w:tplc="545CB09E" w:tentative="1">
      <w:start w:val="1"/>
      <w:numFmt w:val="bullet"/>
      <w:lvlText w:val="•"/>
      <w:lvlJc w:val="left"/>
      <w:pPr>
        <w:tabs>
          <w:tab w:val="num" w:pos="4320"/>
        </w:tabs>
        <w:ind w:left="4320" w:hanging="360"/>
      </w:pPr>
      <w:rPr>
        <w:rFonts w:ascii="Times New Roman" w:hAnsi="Times New Roman" w:hint="default"/>
      </w:rPr>
    </w:lvl>
    <w:lvl w:ilvl="6" w:tplc="1FA6A50E" w:tentative="1">
      <w:start w:val="1"/>
      <w:numFmt w:val="bullet"/>
      <w:lvlText w:val="•"/>
      <w:lvlJc w:val="left"/>
      <w:pPr>
        <w:tabs>
          <w:tab w:val="num" w:pos="5040"/>
        </w:tabs>
        <w:ind w:left="5040" w:hanging="360"/>
      </w:pPr>
      <w:rPr>
        <w:rFonts w:ascii="Times New Roman" w:hAnsi="Times New Roman" w:hint="default"/>
      </w:rPr>
    </w:lvl>
    <w:lvl w:ilvl="7" w:tplc="AA6A16E0" w:tentative="1">
      <w:start w:val="1"/>
      <w:numFmt w:val="bullet"/>
      <w:lvlText w:val="•"/>
      <w:lvlJc w:val="left"/>
      <w:pPr>
        <w:tabs>
          <w:tab w:val="num" w:pos="5760"/>
        </w:tabs>
        <w:ind w:left="5760" w:hanging="360"/>
      </w:pPr>
      <w:rPr>
        <w:rFonts w:ascii="Times New Roman" w:hAnsi="Times New Roman" w:hint="default"/>
      </w:rPr>
    </w:lvl>
    <w:lvl w:ilvl="8" w:tplc="E410F400"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418133A0"/>
    <w:multiLevelType w:val="hybridMultilevel"/>
    <w:tmpl w:val="4FEA27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1EE77D4"/>
    <w:multiLevelType w:val="hybridMultilevel"/>
    <w:tmpl w:val="C2C45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847F59"/>
    <w:multiLevelType w:val="multilevel"/>
    <w:tmpl w:val="82D80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1A5DB0"/>
    <w:multiLevelType w:val="hybridMultilevel"/>
    <w:tmpl w:val="6CBE0CB4"/>
    <w:lvl w:ilvl="0" w:tplc="BD64349C">
      <w:start w:val="1"/>
      <w:numFmt w:val="decimal"/>
      <w:lvlText w:val="(%1)"/>
      <w:lvlJc w:val="left"/>
      <w:pPr>
        <w:ind w:left="360" w:hanging="360"/>
      </w:pPr>
      <w:rPr>
        <w:rFonts w:ascii="Times New Roman" w:eastAsiaTheme="minorEastAsia"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4EC65ADD"/>
    <w:multiLevelType w:val="multilevel"/>
    <w:tmpl w:val="23A02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6608C1"/>
    <w:multiLevelType w:val="hybridMultilevel"/>
    <w:tmpl w:val="B68E15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24A2CA5"/>
    <w:multiLevelType w:val="hybridMultilevel"/>
    <w:tmpl w:val="BB16DC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8D4D6A"/>
    <w:multiLevelType w:val="hybridMultilevel"/>
    <w:tmpl w:val="F528CA4E"/>
    <w:lvl w:ilvl="0" w:tplc="17EAB68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DB3A97"/>
    <w:multiLevelType w:val="hybridMultilevel"/>
    <w:tmpl w:val="4FA86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EDC57B4"/>
    <w:multiLevelType w:val="hybridMultilevel"/>
    <w:tmpl w:val="AB7E82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0741989"/>
    <w:multiLevelType w:val="hybridMultilevel"/>
    <w:tmpl w:val="66CE4F94"/>
    <w:lvl w:ilvl="0" w:tplc="A4943F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62937E65"/>
    <w:multiLevelType w:val="multilevel"/>
    <w:tmpl w:val="6474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8939C3"/>
    <w:multiLevelType w:val="hybridMultilevel"/>
    <w:tmpl w:val="E5F45BAA"/>
    <w:lvl w:ilvl="0" w:tplc="540018C0">
      <w:start w:val="7"/>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0E029C"/>
    <w:multiLevelType w:val="hybridMultilevel"/>
    <w:tmpl w:val="B15CC9EE"/>
    <w:lvl w:ilvl="0" w:tplc="D1EA8CAE">
      <w:start w:val="1"/>
      <w:numFmt w:val="decimal"/>
      <w:lvlText w:val="%1."/>
      <w:lvlJc w:val="left"/>
      <w:pPr>
        <w:ind w:left="720" w:hanging="360"/>
      </w:pPr>
      <w:rPr>
        <w:rFonts w:ascii="Times New Roman" w:eastAsia="SimSun" w:hAnsi="Times New Roman"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9E84728"/>
    <w:multiLevelType w:val="hybridMultilevel"/>
    <w:tmpl w:val="7668D8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244DF0"/>
    <w:multiLevelType w:val="multilevel"/>
    <w:tmpl w:val="4A16C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5F6126"/>
    <w:multiLevelType w:val="hybridMultilevel"/>
    <w:tmpl w:val="0C50DED6"/>
    <w:lvl w:ilvl="0" w:tplc="BD64349C">
      <w:start w:val="1"/>
      <w:numFmt w:val="decimal"/>
      <w:lvlText w:val="(%1)"/>
      <w:lvlJc w:val="left"/>
      <w:pPr>
        <w:ind w:left="360" w:hanging="360"/>
      </w:pPr>
      <w:rPr>
        <w:rFonts w:ascii="Times New Roman" w:eastAsiaTheme="minorEastAsia"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70511B0A"/>
    <w:multiLevelType w:val="multilevel"/>
    <w:tmpl w:val="252C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5C26D9"/>
    <w:multiLevelType w:val="hybridMultilevel"/>
    <w:tmpl w:val="8EFCF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2D2E18"/>
    <w:multiLevelType w:val="hybridMultilevel"/>
    <w:tmpl w:val="9C02A4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BB65852"/>
    <w:multiLevelType w:val="hybridMultilevel"/>
    <w:tmpl w:val="860AB994"/>
    <w:lvl w:ilvl="0" w:tplc="911EABF0">
      <w:numFmt w:val="bullet"/>
      <w:lvlText w:val="-"/>
      <w:lvlJc w:val="left"/>
      <w:pPr>
        <w:ind w:left="-120" w:hanging="360"/>
      </w:pPr>
      <w:rPr>
        <w:rFonts w:ascii="Times New Roman" w:eastAsiaTheme="minorHAnsi" w:hAnsi="Times New Roman" w:cs="Times New Roman" w:hint="default"/>
      </w:rPr>
    </w:lvl>
    <w:lvl w:ilvl="1" w:tplc="04090003" w:tentative="1">
      <w:start w:val="1"/>
      <w:numFmt w:val="bullet"/>
      <w:lvlText w:val="o"/>
      <w:lvlJc w:val="left"/>
      <w:pPr>
        <w:ind w:left="600" w:hanging="360"/>
      </w:pPr>
      <w:rPr>
        <w:rFonts w:ascii="Courier New" w:hAnsi="Courier New" w:cs="Courier New" w:hint="default"/>
      </w:rPr>
    </w:lvl>
    <w:lvl w:ilvl="2" w:tplc="04090005" w:tentative="1">
      <w:start w:val="1"/>
      <w:numFmt w:val="bullet"/>
      <w:lvlText w:val=""/>
      <w:lvlJc w:val="left"/>
      <w:pPr>
        <w:ind w:left="1320" w:hanging="360"/>
      </w:pPr>
      <w:rPr>
        <w:rFonts w:ascii="Wingdings" w:hAnsi="Wingdings" w:hint="default"/>
      </w:rPr>
    </w:lvl>
    <w:lvl w:ilvl="3" w:tplc="04090001" w:tentative="1">
      <w:start w:val="1"/>
      <w:numFmt w:val="bullet"/>
      <w:lvlText w:val=""/>
      <w:lvlJc w:val="left"/>
      <w:pPr>
        <w:ind w:left="2040" w:hanging="360"/>
      </w:pPr>
      <w:rPr>
        <w:rFonts w:ascii="Symbol" w:hAnsi="Symbol" w:hint="default"/>
      </w:rPr>
    </w:lvl>
    <w:lvl w:ilvl="4" w:tplc="04090003" w:tentative="1">
      <w:start w:val="1"/>
      <w:numFmt w:val="bullet"/>
      <w:lvlText w:val="o"/>
      <w:lvlJc w:val="left"/>
      <w:pPr>
        <w:ind w:left="2760" w:hanging="360"/>
      </w:pPr>
      <w:rPr>
        <w:rFonts w:ascii="Courier New" w:hAnsi="Courier New" w:cs="Courier New" w:hint="default"/>
      </w:rPr>
    </w:lvl>
    <w:lvl w:ilvl="5" w:tplc="04090005" w:tentative="1">
      <w:start w:val="1"/>
      <w:numFmt w:val="bullet"/>
      <w:lvlText w:val=""/>
      <w:lvlJc w:val="left"/>
      <w:pPr>
        <w:ind w:left="3480" w:hanging="360"/>
      </w:pPr>
      <w:rPr>
        <w:rFonts w:ascii="Wingdings" w:hAnsi="Wingdings" w:hint="default"/>
      </w:rPr>
    </w:lvl>
    <w:lvl w:ilvl="6" w:tplc="04090001" w:tentative="1">
      <w:start w:val="1"/>
      <w:numFmt w:val="bullet"/>
      <w:lvlText w:val=""/>
      <w:lvlJc w:val="left"/>
      <w:pPr>
        <w:ind w:left="4200" w:hanging="360"/>
      </w:pPr>
      <w:rPr>
        <w:rFonts w:ascii="Symbol" w:hAnsi="Symbol" w:hint="default"/>
      </w:rPr>
    </w:lvl>
    <w:lvl w:ilvl="7" w:tplc="04090003" w:tentative="1">
      <w:start w:val="1"/>
      <w:numFmt w:val="bullet"/>
      <w:lvlText w:val="o"/>
      <w:lvlJc w:val="left"/>
      <w:pPr>
        <w:ind w:left="4920" w:hanging="360"/>
      </w:pPr>
      <w:rPr>
        <w:rFonts w:ascii="Courier New" w:hAnsi="Courier New" w:cs="Courier New" w:hint="default"/>
      </w:rPr>
    </w:lvl>
    <w:lvl w:ilvl="8" w:tplc="04090005" w:tentative="1">
      <w:start w:val="1"/>
      <w:numFmt w:val="bullet"/>
      <w:lvlText w:val=""/>
      <w:lvlJc w:val="left"/>
      <w:pPr>
        <w:ind w:left="5640" w:hanging="360"/>
      </w:pPr>
      <w:rPr>
        <w:rFonts w:ascii="Wingdings" w:hAnsi="Wingdings" w:hint="default"/>
      </w:rPr>
    </w:lvl>
  </w:abstractNum>
  <w:abstractNum w:abstractNumId="35" w15:restartNumberingAfterBreak="0">
    <w:nsid w:val="7C8C4761"/>
    <w:multiLevelType w:val="multilevel"/>
    <w:tmpl w:val="0E868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FB0536"/>
    <w:multiLevelType w:val="hybridMultilevel"/>
    <w:tmpl w:val="35A686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75326667">
    <w:abstractNumId w:val="14"/>
  </w:num>
  <w:num w:numId="2" w16cid:durableId="1425148507">
    <w:abstractNumId w:val="9"/>
  </w:num>
  <w:num w:numId="3" w16cid:durableId="1003436443">
    <w:abstractNumId w:val="2"/>
  </w:num>
  <w:num w:numId="4" w16cid:durableId="1845048503">
    <w:abstractNumId w:val="18"/>
  </w:num>
  <w:num w:numId="5" w16cid:durableId="1260020698">
    <w:abstractNumId w:val="11"/>
  </w:num>
  <w:num w:numId="6" w16cid:durableId="246157615">
    <w:abstractNumId w:val="4"/>
  </w:num>
  <w:num w:numId="7" w16cid:durableId="380053754">
    <w:abstractNumId w:val="35"/>
  </w:num>
  <w:num w:numId="8" w16cid:durableId="1363898649">
    <w:abstractNumId w:val="31"/>
  </w:num>
  <w:num w:numId="9" w16cid:durableId="115026142">
    <w:abstractNumId w:val="16"/>
  </w:num>
  <w:num w:numId="10" w16cid:durableId="760102647">
    <w:abstractNumId w:val="6"/>
  </w:num>
  <w:num w:numId="11" w16cid:durableId="1655141343">
    <w:abstractNumId w:val="29"/>
  </w:num>
  <w:num w:numId="12" w16cid:durableId="1763992761">
    <w:abstractNumId w:val="25"/>
  </w:num>
  <w:num w:numId="13" w16cid:durableId="1997294843">
    <w:abstractNumId w:val="10"/>
  </w:num>
  <w:num w:numId="14" w16cid:durableId="215316186">
    <w:abstractNumId w:val="34"/>
  </w:num>
  <w:num w:numId="15" w16cid:durableId="1620068600">
    <w:abstractNumId w:val="27"/>
  </w:num>
  <w:num w:numId="16" w16cid:durableId="929432898">
    <w:abstractNumId w:val="30"/>
  </w:num>
  <w:num w:numId="17" w16cid:durableId="1069377772">
    <w:abstractNumId w:val="17"/>
  </w:num>
  <w:num w:numId="18" w16cid:durableId="492063444">
    <w:abstractNumId w:val="24"/>
  </w:num>
  <w:num w:numId="19" w16cid:durableId="145123108">
    <w:abstractNumId w:val="7"/>
  </w:num>
  <w:num w:numId="20" w16cid:durableId="1374111406">
    <w:abstractNumId w:val="3"/>
  </w:num>
  <w:num w:numId="21" w16cid:durableId="320042808">
    <w:abstractNumId w:val="32"/>
  </w:num>
  <w:num w:numId="22" w16cid:durableId="2010478498">
    <w:abstractNumId w:val="19"/>
  </w:num>
  <w:num w:numId="23" w16cid:durableId="163520548">
    <w:abstractNumId w:val="15"/>
  </w:num>
  <w:num w:numId="24" w16cid:durableId="1826242849">
    <w:abstractNumId w:val="13"/>
  </w:num>
  <w:num w:numId="25" w16cid:durableId="708720492">
    <w:abstractNumId w:val="28"/>
  </w:num>
  <w:num w:numId="26" w16cid:durableId="750390297">
    <w:abstractNumId w:val="36"/>
  </w:num>
  <w:num w:numId="27" w16cid:durableId="1590850938">
    <w:abstractNumId w:val="0"/>
  </w:num>
  <w:num w:numId="28" w16cid:durableId="138806862">
    <w:abstractNumId w:val="5"/>
  </w:num>
  <w:num w:numId="29" w16cid:durableId="973099867">
    <w:abstractNumId w:val="23"/>
  </w:num>
  <w:num w:numId="30" w16cid:durableId="22630386">
    <w:abstractNumId w:val="33"/>
  </w:num>
  <w:num w:numId="31" w16cid:durableId="75791805">
    <w:abstractNumId w:val="12"/>
  </w:num>
  <w:num w:numId="32" w16cid:durableId="1921521811">
    <w:abstractNumId w:val="22"/>
  </w:num>
  <w:num w:numId="33" w16cid:durableId="566114637">
    <w:abstractNumId w:val="21"/>
  </w:num>
  <w:num w:numId="34" w16cid:durableId="223415954">
    <w:abstractNumId w:val="20"/>
  </w:num>
  <w:num w:numId="35" w16cid:durableId="2034110658">
    <w:abstractNumId w:val="8"/>
  </w:num>
  <w:num w:numId="36" w16cid:durableId="1594169551">
    <w:abstractNumId w:val="1"/>
  </w:num>
  <w:num w:numId="37" w16cid:durableId="7163231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936"/>
    <w:rsid w:val="00001694"/>
    <w:rsid w:val="00002776"/>
    <w:rsid w:val="00003766"/>
    <w:rsid w:val="000062D5"/>
    <w:rsid w:val="00011E97"/>
    <w:rsid w:val="0001210E"/>
    <w:rsid w:val="00015E8D"/>
    <w:rsid w:val="00016522"/>
    <w:rsid w:val="00016CA9"/>
    <w:rsid w:val="0001731A"/>
    <w:rsid w:val="00017902"/>
    <w:rsid w:val="00017F8F"/>
    <w:rsid w:val="00022342"/>
    <w:rsid w:val="000228D0"/>
    <w:rsid w:val="000241D6"/>
    <w:rsid w:val="00027DD1"/>
    <w:rsid w:val="00031E3A"/>
    <w:rsid w:val="00037887"/>
    <w:rsid w:val="000418D8"/>
    <w:rsid w:val="00042903"/>
    <w:rsid w:val="00046C9D"/>
    <w:rsid w:val="00047AB7"/>
    <w:rsid w:val="00054F87"/>
    <w:rsid w:val="000555C4"/>
    <w:rsid w:val="00055BBD"/>
    <w:rsid w:val="00057994"/>
    <w:rsid w:val="00060564"/>
    <w:rsid w:val="00060AE3"/>
    <w:rsid w:val="000616D7"/>
    <w:rsid w:val="00061BDE"/>
    <w:rsid w:val="0006299A"/>
    <w:rsid w:val="000635AA"/>
    <w:rsid w:val="00063F1D"/>
    <w:rsid w:val="00065042"/>
    <w:rsid w:val="00065E61"/>
    <w:rsid w:val="00066B90"/>
    <w:rsid w:val="00070B28"/>
    <w:rsid w:val="00072312"/>
    <w:rsid w:val="0007376E"/>
    <w:rsid w:val="000738E6"/>
    <w:rsid w:val="0007643C"/>
    <w:rsid w:val="00080D72"/>
    <w:rsid w:val="000812DE"/>
    <w:rsid w:val="000813A0"/>
    <w:rsid w:val="0008163E"/>
    <w:rsid w:val="0008464C"/>
    <w:rsid w:val="00085D69"/>
    <w:rsid w:val="00087F8D"/>
    <w:rsid w:val="00090D6C"/>
    <w:rsid w:val="00090EE6"/>
    <w:rsid w:val="00091EC0"/>
    <w:rsid w:val="00091F48"/>
    <w:rsid w:val="000924E3"/>
    <w:rsid w:val="0009418A"/>
    <w:rsid w:val="0009469B"/>
    <w:rsid w:val="000A0CE9"/>
    <w:rsid w:val="000A3231"/>
    <w:rsid w:val="000A4A41"/>
    <w:rsid w:val="000A6AB8"/>
    <w:rsid w:val="000B0A68"/>
    <w:rsid w:val="000B4882"/>
    <w:rsid w:val="000C067C"/>
    <w:rsid w:val="000C16C9"/>
    <w:rsid w:val="000C2731"/>
    <w:rsid w:val="000C2F5E"/>
    <w:rsid w:val="000C40E0"/>
    <w:rsid w:val="000C6796"/>
    <w:rsid w:val="000C7E62"/>
    <w:rsid w:val="000D1167"/>
    <w:rsid w:val="000D2B60"/>
    <w:rsid w:val="000D7863"/>
    <w:rsid w:val="000E24A7"/>
    <w:rsid w:val="000E6E79"/>
    <w:rsid w:val="000E6FDB"/>
    <w:rsid w:val="000F31A9"/>
    <w:rsid w:val="000F6857"/>
    <w:rsid w:val="00102E1B"/>
    <w:rsid w:val="00103C07"/>
    <w:rsid w:val="001058CF"/>
    <w:rsid w:val="0011047F"/>
    <w:rsid w:val="001111BF"/>
    <w:rsid w:val="00111F12"/>
    <w:rsid w:val="00113430"/>
    <w:rsid w:val="00115158"/>
    <w:rsid w:val="00117CC6"/>
    <w:rsid w:val="00122979"/>
    <w:rsid w:val="00124A46"/>
    <w:rsid w:val="00125D0C"/>
    <w:rsid w:val="00126066"/>
    <w:rsid w:val="001273B9"/>
    <w:rsid w:val="0012797E"/>
    <w:rsid w:val="001335BB"/>
    <w:rsid w:val="0013427C"/>
    <w:rsid w:val="0014097E"/>
    <w:rsid w:val="00142694"/>
    <w:rsid w:val="0014281A"/>
    <w:rsid w:val="00146916"/>
    <w:rsid w:val="00151A06"/>
    <w:rsid w:val="00153B24"/>
    <w:rsid w:val="00154122"/>
    <w:rsid w:val="00154D1B"/>
    <w:rsid w:val="00155038"/>
    <w:rsid w:val="00156901"/>
    <w:rsid w:val="00157DC5"/>
    <w:rsid w:val="001625A9"/>
    <w:rsid w:val="00172421"/>
    <w:rsid w:val="0017258B"/>
    <w:rsid w:val="001726E1"/>
    <w:rsid w:val="00172FC1"/>
    <w:rsid w:val="0017678B"/>
    <w:rsid w:val="0017707B"/>
    <w:rsid w:val="00177CFC"/>
    <w:rsid w:val="00177F9C"/>
    <w:rsid w:val="0018406F"/>
    <w:rsid w:val="001845BE"/>
    <w:rsid w:val="00186408"/>
    <w:rsid w:val="00187B95"/>
    <w:rsid w:val="00187E99"/>
    <w:rsid w:val="00190DBC"/>
    <w:rsid w:val="0019186B"/>
    <w:rsid w:val="001918CD"/>
    <w:rsid w:val="001975FC"/>
    <w:rsid w:val="00197628"/>
    <w:rsid w:val="001A0341"/>
    <w:rsid w:val="001A4559"/>
    <w:rsid w:val="001A6AB6"/>
    <w:rsid w:val="001B6F3F"/>
    <w:rsid w:val="001C11A5"/>
    <w:rsid w:val="001C559F"/>
    <w:rsid w:val="001C5A8B"/>
    <w:rsid w:val="001D3276"/>
    <w:rsid w:val="001D5642"/>
    <w:rsid w:val="001D58A8"/>
    <w:rsid w:val="001E366B"/>
    <w:rsid w:val="001E5653"/>
    <w:rsid w:val="001E70A3"/>
    <w:rsid w:val="001F0D02"/>
    <w:rsid w:val="001F0E65"/>
    <w:rsid w:val="001F2429"/>
    <w:rsid w:val="001F40F4"/>
    <w:rsid w:val="001F4A30"/>
    <w:rsid w:val="00203F38"/>
    <w:rsid w:val="00204378"/>
    <w:rsid w:val="0020785E"/>
    <w:rsid w:val="00220651"/>
    <w:rsid w:val="002255DC"/>
    <w:rsid w:val="00225B49"/>
    <w:rsid w:val="002300AE"/>
    <w:rsid w:val="00231FBC"/>
    <w:rsid w:val="002322F1"/>
    <w:rsid w:val="00234F41"/>
    <w:rsid w:val="00236458"/>
    <w:rsid w:val="002414E9"/>
    <w:rsid w:val="00242C84"/>
    <w:rsid w:val="00247A26"/>
    <w:rsid w:val="00251007"/>
    <w:rsid w:val="00253248"/>
    <w:rsid w:val="00254B33"/>
    <w:rsid w:val="00255520"/>
    <w:rsid w:val="00256B34"/>
    <w:rsid w:val="00265CF6"/>
    <w:rsid w:val="002667A9"/>
    <w:rsid w:val="00266B0C"/>
    <w:rsid w:val="00271856"/>
    <w:rsid w:val="002738A7"/>
    <w:rsid w:val="0027499D"/>
    <w:rsid w:val="002754D2"/>
    <w:rsid w:val="002760F5"/>
    <w:rsid w:val="00276366"/>
    <w:rsid w:val="002774E2"/>
    <w:rsid w:val="00283C8D"/>
    <w:rsid w:val="002857D5"/>
    <w:rsid w:val="00292726"/>
    <w:rsid w:val="00292A69"/>
    <w:rsid w:val="00294B38"/>
    <w:rsid w:val="0029574A"/>
    <w:rsid w:val="002960A2"/>
    <w:rsid w:val="002972E0"/>
    <w:rsid w:val="002A22D1"/>
    <w:rsid w:val="002A511F"/>
    <w:rsid w:val="002A601A"/>
    <w:rsid w:val="002A6C83"/>
    <w:rsid w:val="002B04DC"/>
    <w:rsid w:val="002B2766"/>
    <w:rsid w:val="002B27BF"/>
    <w:rsid w:val="002B41CE"/>
    <w:rsid w:val="002B4C88"/>
    <w:rsid w:val="002B5C9A"/>
    <w:rsid w:val="002C0D89"/>
    <w:rsid w:val="002C0F19"/>
    <w:rsid w:val="002C6297"/>
    <w:rsid w:val="002D1967"/>
    <w:rsid w:val="002D4439"/>
    <w:rsid w:val="002D503E"/>
    <w:rsid w:val="002D59E4"/>
    <w:rsid w:val="002E0C68"/>
    <w:rsid w:val="002E0C7A"/>
    <w:rsid w:val="002E225A"/>
    <w:rsid w:val="002E3221"/>
    <w:rsid w:val="002E5262"/>
    <w:rsid w:val="002E54A4"/>
    <w:rsid w:val="002E7581"/>
    <w:rsid w:val="002F13C2"/>
    <w:rsid w:val="002F3E30"/>
    <w:rsid w:val="002F4EFC"/>
    <w:rsid w:val="002F5ED7"/>
    <w:rsid w:val="002F6F89"/>
    <w:rsid w:val="00301872"/>
    <w:rsid w:val="00301F83"/>
    <w:rsid w:val="00303155"/>
    <w:rsid w:val="0030334F"/>
    <w:rsid w:val="00305E36"/>
    <w:rsid w:val="00310E8F"/>
    <w:rsid w:val="0031713A"/>
    <w:rsid w:val="00317559"/>
    <w:rsid w:val="003200BF"/>
    <w:rsid w:val="00322436"/>
    <w:rsid w:val="00323C8D"/>
    <w:rsid w:val="00324B90"/>
    <w:rsid w:val="003250E9"/>
    <w:rsid w:val="00325BCA"/>
    <w:rsid w:val="003271F7"/>
    <w:rsid w:val="00327497"/>
    <w:rsid w:val="00331105"/>
    <w:rsid w:val="00341477"/>
    <w:rsid w:val="0034193C"/>
    <w:rsid w:val="0034526A"/>
    <w:rsid w:val="0034610C"/>
    <w:rsid w:val="00350CE4"/>
    <w:rsid w:val="00351C09"/>
    <w:rsid w:val="00352BC4"/>
    <w:rsid w:val="00353078"/>
    <w:rsid w:val="00354033"/>
    <w:rsid w:val="00354D03"/>
    <w:rsid w:val="00356D13"/>
    <w:rsid w:val="0035763B"/>
    <w:rsid w:val="0036192B"/>
    <w:rsid w:val="00361D38"/>
    <w:rsid w:val="003630FF"/>
    <w:rsid w:val="0036461B"/>
    <w:rsid w:val="003658FC"/>
    <w:rsid w:val="003663CA"/>
    <w:rsid w:val="00371757"/>
    <w:rsid w:val="003718B4"/>
    <w:rsid w:val="0037299E"/>
    <w:rsid w:val="003734AA"/>
    <w:rsid w:val="00376C2C"/>
    <w:rsid w:val="00377D03"/>
    <w:rsid w:val="003800C0"/>
    <w:rsid w:val="00384991"/>
    <w:rsid w:val="00384995"/>
    <w:rsid w:val="0038611A"/>
    <w:rsid w:val="003866DC"/>
    <w:rsid w:val="003926D0"/>
    <w:rsid w:val="00392A57"/>
    <w:rsid w:val="00394EA3"/>
    <w:rsid w:val="0039511B"/>
    <w:rsid w:val="003A247E"/>
    <w:rsid w:val="003A3049"/>
    <w:rsid w:val="003A4B1B"/>
    <w:rsid w:val="003A4B6C"/>
    <w:rsid w:val="003A5CD7"/>
    <w:rsid w:val="003A699F"/>
    <w:rsid w:val="003B180B"/>
    <w:rsid w:val="003B5600"/>
    <w:rsid w:val="003B79A6"/>
    <w:rsid w:val="003C2802"/>
    <w:rsid w:val="003C354B"/>
    <w:rsid w:val="003C6590"/>
    <w:rsid w:val="003D253F"/>
    <w:rsid w:val="003D3DD4"/>
    <w:rsid w:val="003D5C4C"/>
    <w:rsid w:val="003E034C"/>
    <w:rsid w:val="003E1C94"/>
    <w:rsid w:val="003E2766"/>
    <w:rsid w:val="003E3B50"/>
    <w:rsid w:val="003E425A"/>
    <w:rsid w:val="003E48DB"/>
    <w:rsid w:val="003F1C99"/>
    <w:rsid w:val="003F23C7"/>
    <w:rsid w:val="003F362F"/>
    <w:rsid w:val="003F618C"/>
    <w:rsid w:val="003F6F03"/>
    <w:rsid w:val="003F710E"/>
    <w:rsid w:val="00400279"/>
    <w:rsid w:val="00404130"/>
    <w:rsid w:val="004044EA"/>
    <w:rsid w:val="00404DAD"/>
    <w:rsid w:val="00404DEF"/>
    <w:rsid w:val="00410B88"/>
    <w:rsid w:val="004116FF"/>
    <w:rsid w:val="004121CC"/>
    <w:rsid w:val="00417274"/>
    <w:rsid w:val="0042110F"/>
    <w:rsid w:val="0042127D"/>
    <w:rsid w:val="004214B6"/>
    <w:rsid w:val="0042151C"/>
    <w:rsid w:val="00423607"/>
    <w:rsid w:val="0042549D"/>
    <w:rsid w:val="00425636"/>
    <w:rsid w:val="00433628"/>
    <w:rsid w:val="00435E9F"/>
    <w:rsid w:val="00442922"/>
    <w:rsid w:val="00442D3A"/>
    <w:rsid w:val="004470D6"/>
    <w:rsid w:val="00450797"/>
    <w:rsid w:val="004529AF"/>
    <w:rsid w:val="00456C03"/>
    <w:rsid w:val="00462721"/>
    <w:rsid w:val="004629B5"/>
    <w:rsid w:val="00463373"/>
    <w:rsid w:val="004649B1"/>
    <w:rsid w:val="00467E22"/>
    <w:rsid w:val="004743C5"/>
    <w:rsid w:val="00475A5D"/>
    <w:rsid w:val="004764EB"/>
    <w:rsid w:val="00482BAA"/>
    <w:rsid w:val="0048464D"/>
    <w:rsid w:val="00485C92"/>
    <w:rsid w:val="00486F60"/>
    <w:rsid w:val="004870CB"/>
    <w:rsid w:val="004873B1"/>
    <w:rsid w:val="0049009C"/>
    <w:rsid w:val="00495064"/>
    <w:rsid w:val="00495B40"/>
    <w:rsid w:val="004961D9"/>
    <w:rsid w:val="004A332E"/>
    <w:rsid w:val="004A33E9"/>
    <w:rsid w:val="004B031D"/>
    <w:rsid w:val="004B190E"/>
    <w:rsid w:val="004B302E"/>
    <w:rsid w:val="004B365B"/>
    <w:rsid w:val="004B79C8"/>
    <w:rsid w:val="004C1C86"/>
    <w:rsid w:val="004D01F2"/>
    <w:rsid w:val="004D0A4A"/>
    <w:rsid w:val="004D15B5"/>
    <w:rsid w:val="004D2EBB"/>
    <w:rsid w:val="004D4519"/>
    <w:rsid w:val="004D4727"/>
    <w:rsid w:val="004D66D6"/>
    <w:rsid w:val="004E4EFC"/>
    <w:rsid w:val="004E65AE"/>
    <w:rsid w:val="004F0D94"/>
    <w:rsid w:val="004F6F71"/>
    <w:rsid w:val="004F7FC5"/>
    <w:rsid w:val="0050023F"/>
    <w:rsid w:val="00504B44"/>
    <w:rsid w:val="00506B4D"/>
    <w:rsid w:val="00510CB5"/>
    <w:rsid w:val="00512730"/>
    <w:rsid w:val="00513A2C"/>
    <w:rsid w:val="00514E87"/>
    <w:rsid w:val="0051587D"/>
    <w:rsid w:val="0052002E"/>
    <w:rsid w:val="00520D09"/>
    <w:rsid w:val="00523562"/>
    <w:rsid w:val="00524BA3"/>
    <w:rsid w:val="0052727F"/>
    <w:rsid w:val="00527A85"/>
    <w:rsid w:val="00530D50"/>
    <w:rsid w:val="0053244A"/>
    <w:rsid w:val="00532715"/>
    <w:rsid w:val="00533442"/>
    <w:rsid w:val="00537D3E"/>
    <w:rsid w:val="0054046F"/>
    <w:rsid w:val="00542999"/>
    <w:rsid w:val="005455B1"/>
    <w:rsid w:val="00545959"/>
    <w:rsid w:val="0054661D"/>
    <w:rsid w:val="00546F0E"/>
    <w:rsid w:val="00547834"/>
    <w:rsid w:val="005503FA"/>
    <w:rsid w:val="00551462"/>
    <w:rsid w:val="005557B0"/>
    <w:rsid w:val="00557474"/>
    <w:rsid w:val="005631B2"/>
    <w:rsid w:val="00563408"/>
    <w:rsid w:val="00565304"/>
    <w:rsid w:val="005666E1"/>
    <w:rsid w:val="005708D5"/>
    <w:rsid w:val="00570D94"/>
    <w:rsid w:val="00570F82"/>
    <w:rsid w:val="00573C82"/>
    <w:rsid w:val="00575A03"/>
    <w:rsid w:val="00580A8D"/>
    <w:rsid w:val="00582D6E"/>
    <w:rsid w:val="00583897"/>
    <w:rsid w:val="00587DD2"/>
    <w:rsid w:val="00587F95"/>
    <w:rsid w:val="00590FC4"/>
    <w:rsid w:val="00592B43"/>
    <w:rsid w:val="00597480"/>
    <w:rsid w:val="005979E5"/>
    <w:rsid w:val="005A0F66"/>
    <w:rsid w:val="005A425B"/>
    <w:rsid w:val="005A4731"/>
    <w:rsid w:val="005A5065"/>
    <w:rsid w:val="005A69EF"/>
    <w:rsid w:val="005A7D49"/>
    <w:rsid w:val="005B2BAA"/>
    <w:rsid w:val="005B4E5A"/>
    <w:rsid w:val="005B55B4"/>
    <w:rsid w:val="005B5FC4"/>
    <w:rsid w:val="005C06C1"/>
    <w:rsid w:val="005C2D36"/>
    <w:rsid w:val="005C448F"/>
    <w:rsid w:val="005C5005"/>
    <w:rsid w:val="005D2598"/>
    <w:rsid w:val="005D361B"/>
    <w:rsid w:val="005D3936"/>
    <w:rsid w:val="005D4016"/>
    <w:rsid w:val="005D6644"/>
    <w:rsid w:val="005E03F6"/>
    <w:rsid w:val="005E1CB3"/>
    <w:rsid w:val="005E2040"/>
    <w:rsid w:val="005E3742"/>
    <w:rsid w:val="005F0290"/>
    <w:rsid w:val="005F522C"/>
    <w:rsid w:val="00600635"/>
    <w:rsid w:val="00600F71"/>
    <w:rsid w:val="006014C9"/>
    <w:rsid w:val="00601859"/>
    <w:rsid w:val="006044F9"/>
    <w:rsid w:val="006063AB"/>
    <w:rsid w:val="00610291"/>
    <w:rsid w:val="00611111"/>
    <w:rsid w:val="0061254E"/>
    <w:rsid w:val="0061421F"/>
    <w:rsid w:val="006154E2"/>
    <w:rsid w:val="00615E9E"/>
    <w:rsid w:val="00617458"/>
    <w:rsid w:val="00617533"/>
    <w:rsid w:val="00617AC5"/>
    <w:rsid w:val="00617B4F"/>
    <w:rsid w:val="00621598"/>
    <w:rsid w:val="00621B73"/>
    <w:rsid w:val="00622B63"/>
    <w:rsid w:val="00627501"/>
    <w:rsid w:val="00627ED7"/>
    <w:rsid w:val="00631428"/>
    <w:rsid w:val="00634A1A"/>
    <w:rsid w:val="00635AEB"/>
    <w:rsid w:val="00635E0A"/>
    <w:rsid w:val="00636237"/>
    <w:rsid w:val="00647C49"/>
    <w:rsid w:val="00650334"/>
    <w:rsid w:val="0065085C"/>
    <w:rsid w:val="006515C0"/>
    <w:rsid w:val="006523BD"/>
    <w:rsid w:val="006530C5"/>
    <w:rsid w:val="00653332"/>
    <w:rsid w:val="00653AAD"/>
    <w:rsid w:val="006541F2"/>
    <w:rsid w:val="00655DC5"/>
    <w:rsid w:val="00657511"/>
    <w:rsid w:val="00657A58"/>
    <w:rsid w:val="006636AA"/>
    <w:rsid w:val="00664C37"/>
    <w:rsid w:val="00665A9A"/>
    <w:rsid w:val="00672010"/>
    <w:rsid w:val="0067222C"/>
    <w:rsid w:val="006815A4"/>
    <w:rsid w:val="006826FB"/>
    <w:rsid w:val="006845D4"/>
    <w:rsid w:val="006847E4"/>
    <w:rsid w:val="00686A07"/>
    <w:rsid w:val="00691581"/>
    <w:rsid w:val="00691C42"/>
    <w:rsid w:val="006931ED"/>
    <w:rsid w:val="00693763"/>
    <w:rsid w:val="00695777"/>
    <w:rsid w:val="006A0423"/>
    <w:rsid w:val="006A3AA7"/>
    <w:rsid w:val="006A660B"/>
    <w:rsid w:val="006A7EEA"/>
    <w:rsid w:val="006B0735"/>
    <w:rsid w:val="006B138B"/>
    <w:rsid w:val="006B3236"/>
    <w:rsid w:val="006B359C"/>
    <w:rsid w:val="006B3E48"/>
    <w:rsid w:val="006C116A"/>
    <w:rsid w:val="006C2427"/>
    <w:rsid w:val="006C311E"/>
    <w:rsid w:val="006C4831"/>
    <w:rsid w:val="006D11D4"/>
    <w:rsid w:val="006D3C4A"/>
    <w:rsid w:val="006D403B"/>
    <w:rsid w:val="006D624F"/>
    <w:rsid w:val="006E3278"/>
    <w:rsid w:val="006E5BA3"/>
    <w:rsid w:val="006E7831"/>
    <w:rsid w:val="006F4F61"/>
    <w:rsid w:val="0070005B"/>
    <w:rsid w:val="00700646"/>
    <w:rsid w:val="00705F93"/>
    <w:rsid w:val="00706D1A"/>
    <w:rsid w:val="007121C7"/>
    <w:rsid w:val="00717232"/>
    <w:rsid w:val="0072006C"/>
    <w:rsid w:val="00720BCC"/>
    <w:rsid w:val="007245A0"/>
    <w:rsid w:val="007247B7"/>
    <w:rsid w:val="007317C6"/>
    <w:rsid w:val="0073577A"/>
    <w:rsid w:val="007411F7"/>
    <w:rsid w:val="007424AE"/>
    <w:rsid w:val="0074411C"/>
    <w:rsid w:val="00744B70"/>
    <w:rsid w:val="007463CA"/>
    <w:rsid w:val="007463EF"/>
    <w:rsid w:val="00747CF9"/>
    <w:rsid w:val="00750D45"/>
    <w:rsid w:val="007537A3"/>
    <w:rsid w:val="007543C3"/>
    <w:rsid w:val="00755B5A"/>
    <w:rsid w:val="007569D3"/>
    <w:rsid w:val="00756DFF"/>
    <w:rsid w:val="00760E3D"/>
    <w:rsid w:val="00761D91"/>
    <w:rsid w:val="00762829"/>
    <w:rsid w:val="007634AB"/>
    <w:rsid w:val="00771573"/>
    <w:rsid w:val="00775CE4"/>
    <w:rsid w:val="007800C9"/>
    <w:rsid w:val="0078447A"/>
    <w:rsid w:val="00785660"/>
    <w:rsid w:val="007907C5"/>
    <w:rsid w:val="00790D36"/>
    <w:rsid w:val="00796518"/>
    <w:rsid w:val="007970CD"/>
    <w:rsid w:val="00797326"/>
    <w:rsid w:val="007A1B30"/>
    <w:rsid w:val="007A397C"/>
    <w:rsid w:val="007A748E"/>
    <w:rsid w:val="007B1F89"/>
    <w:rsid w:val="007B531B"/>
    <w:rsid w:val="007B5543"/>
    <w:rsid w:val="007B5969"/>
    <w:rsid w:val="007B6D51"/>
    <w:rsid w:val="007C08B9"/>
    <w:rsid w:val="007C2AB8"/>
    <w:rsid w:val="007C2C60"/>
    <w:rsid w:val="007C780F"/>
    <w:rsid w:val="007D186C"/>
    <w:rsid w:val="007D1F51"/>
    <w:rsid w:val="007D3A51"/>
    <w:rsid w:val="007D6A3B"/>
    <w:rsid w:val="007D6FA6"/>
    <w:rsid w:val="007E1B46"/>
    <w:rsid w:val="007E7049"/>
    <w:rsid w:val="007E7454"/>
    <w:rsid w:val="007E7CBD"/>
    <w:rsid w:val="007F23C1"/>
    <w:rsid w:val="008004A5"/>
    <w:rsid w:val="00801467"/>
    <w:rsid w:val="00803212"/>
    <w:rsid w:val="00804303"/>
    <w:rsid w:val="00806123"/>
    <w:rsid w:val="008102B2"/>
    <w:rsid w:val="0081035F"/>
    <w:rsid w:val="00810F77"/>
    <w:rsid w:val="0081213F"/>
    <w:rsid w:val="00812C14"/>
    <w:rsid w:val="00813772"/>
    <w:rsid w:val="008156AB"/>
    <w:rsid w:val="00816C05"/>
    <w:rsid w:val="008171FB"/>
    <w:rsid w:val="00821B00"/>
    <w:rsid w:val="00824785"/>
    <w:rsid w:val="008278F0"/>
    <w:rsid w:val="00827AE5"/>
    <w:rsid w:val="00830519"/>
    <w:rsid w:val="00830859"/>
    <w:rsid w:val="00832615"/>
    <w:rsid w:val="008326D3"/>
    <w:rsid w:val="00832865"/>
    <w:rsid w:val="00832B4B"/>
    <w:rsid w:val="00837A6D"/>
    <w:rsid w:val="00837D92"/>
    <w:rsid w:val="00840BF9"/>
    <w:rsid w:val="00840CD3"/>
    <w:rsid w:val="0084247B"/>
    <w:rsid w:val="00843DF4"/>
    <w:rsid w:val="00844838"/>
    <w:rsid w:val="00846AE9"/>
    <w:rsid w:val="008500F4"/>
    <w:rsid w:val="00851B6A"/>
    <w:rsid w:val="00854C34"/>
    <w:rsid w:val="00861301"/>
    <w:rsid w:val="00861790"/>
    <w:rsid w:val="00862B88"/>
    <w:rsid w:val="00863053"/>
    <w:rsid w:val="00863C83"/>
    <w:rsid w:val="0086424B"/>
    <w:rsid w:val="008666F2"/>
    <w:rsid w:val="00867B7F"/>
    <w:rsid w:val="00870023"/>
    <w:rsid w:val="008703C8"/>
    <w:rsid w:val="00871293"/>
    <w:rsid w:val="00871679"/>
    <w:rsid w:val="00871904"/>
    <w:rsid w:val="00871BF2"/>
    <w:rsid w:val="00874309"/>
    <w:rsid w:val="00876AF9"/>
    <w:rsid w:val="0088670C"/>
    <w:rsid w:val="00890542"/>
    <w:rsid w:val="00890BB8"/>
    <w:rsid w:val="0089281D"/>
    <w:rsid w:val="00896B42"/>
    <w:rsid w:val="008A1211"/>
    <w:rsid w:val="008A1597"/>
    <w:rsid w:val="008A1C95"/>
    <w:rsid w:val="008A28DA"/>
    <w:rsid w:val="008A4358"/>
    <w:rsid w:val="008B106E"/>
    <w:rsid w:val="008B3665"/>
    <w:rsid w:val="008B4848"/>
    <w:rsid w:val="008B5945"/>
    <w:rsid w:val="008B7005"/>
    <w:rsid w:val="008C11D7"/>
    <w:rsid w:val="008C29DA"/>
    <w:rsid w:val="008C31DA"/>
    <w:rsid w:val="008C48BA"/>
    <w:rsid w:val="008C4A34"/>
    <w:rsid w:val="008D147C"/>
    <w:rsid w:val="008D4569"/>
    <w:rsid w:val="008D6964"/>
    <w:rsid w:val="008E1F9C"/>
    <w:rsid w:val="008E28AB"/>
    <w:rsid w:val="008E599D"/>
    <w:rsid w:val="008E740D"/>
    <w:rsid w:val="008F0111"/>
    <w:rsid w:val="008F08E6"/>
    <w:rsid w:val="008F16E2"/>
    <w:rsid w:val="008F1C0F"/>
    <w:rsid w:val="008F1E33"/>
    <w:rsid w:val="008F2028"/>
    <w:rsid w:val="008F3D86"/>
    <w:rsid w:val="008F3F56"/>
    <w:rsid w:val="008F440D"/>
    <w:rsid w:val="008F4C7C"/>
    <w:rsid w:val="008F504A"/>
    <w:rsid w:val="008F67A6"/>
    <w:rsid w:val="00900AE1"/>
    <w:rsid w:val="009011BB"/>
    <w:rsid w:val="009030B2"/>
    <w:rsid w:val="0090632E"/>
    <w:rsid w:val="00907040"/>
    <w:rsid w:val="00907E74"/>
    <w:rsid w:val="00910238"/>
    <w:rsid w:val="009106D0"/>
    <w:rsid w:val="00913B9F"/>
    <w:rsid w:val="009142CC"/>
    <w:rsid w:val="00914EAF"/>
    <w:rsid w:val="009213F4"/>
    <w:rsid w:val="00924E24"/>
    <w:rsid w:val="00926C08"/>
    <w:rsid w:val="00931326"/>
    <w:rsid w:val="009318D9"/>
    <w:rsid w:val="009326AA"/>
    <w:rsid w:val="00932A42"/>
    <w:rsid w:val="009360AF"/>
    <w:rsid w:val="009374E4"/>
    <w:rsid w:val="0094193F"/>
    <w:rsid w:val="00941B49"/>
    <w:rsid w:val="00942DC3"/>
    <w:rsid w:val="009457BD"/>
    <w:rsid w:val="0094787D"/>
    <w:rsid w:val="0095135C"/>
    <w:rsid w:val="00956341"/>
    <w:rsid w:val="009568DB"/>
    <w:rsid w:val="00956C08"/>
    <w:rsid w:val="00956E53"/>
    <w:rsid w:val="009575EE"/>
    <w:rsid w:val="00957E9E"/>
    <w:rsid w:val="00960166"/>
    <w:rsid w:val="009628AE"/>
    <w:rsid w:val="009633E7"/>
    <w:rsid w:val="00963404"/>
    <w:rsid w:val="0096557C"/>
    <w:rsid w:val="00965601"/>
    <w:rsid w:val="00970919"/>
    <w:rsid w:val="00971B7D"/>
    <w:rsid w:val="00977B88"/>
    <w:rsid w:val="00981BED"/>
    <w:rsid w:val="0098290C"/>
    <w:rsid w:val="00982C95"/>
    <w:rsid w:val="00984D85"/>
    <w:rsid w:val="00984DC6"/>
    <w:rsid w:val="0098621A"/>
    <w:rsid w:val="0098665E"/>
    <w:rsid w:val="00991E14"/>
    <w:rsid w:val="0099725E"/>
    <w:rsid w:val="009A4DD0"/>
    <w:rsid w:val="009A5221"/>
    <w:rsid w:val="009A68BA"/>
    <w:rsid w:val="009B01DA"/>
    <w:rsid w:val="009B2ED4"/>
    <w:rsid w:val="009B3DCD"/>
    <w:rsid w:val="009B49EA"/>
    <w:rsid w:val="009B4ECC"/>
    <w:rsid w:val="009B5F1C"/>
    <w:rsid w:val="009B7A76"/>
    <w:rsid w:val="009B7F5D"/>
    <w:rsid w:val="009C122E"/>
    <w:rsid w:val="009C6F3F"/>
    <w:rsid w:val="009D438A"/>
    <w:rsid w:val="009D7B9F"/>
    <w:rsid w:val="009E2703"/>
    <w:rsid w:val="009E4426"/>
    <w:rsid w:val="009E5818"/>
    <w:rsid w:val="009E7426"/>
    <w:rsid w:val="009F1334"/>
    <w:rsid w:val="009F55B4"/>
    <w:rsid w:val="009F6417"/>
    <w:rsid w:val="00A00867"/>
    <w:rsid w:val="00A02099"/>
    <w:rsid w:val="00A022C7"/>
    <w:rsid w:val="00A04DAA"/>
    <w:rsid w:val="00A0589E"/>
    <w:rsid w:val="00A1064D"/>
    <w:rsid w:val="00A10E6D"/>
    <w:rsid w:val="00A11E14"/>
    <w:rsid w:val="00A14D71"/>
    <w:rsid w:val="00A15150"/>
    <w:rsid w:val="00A17B45"/>
    <w:rsid w:val="00A20DE0"/>
    <w:rsid w:val="00A26F5F"/>
    <w:rsid w:val="00A31686"/>
    <w:rsid w:val="00A3194E"/>
    <w:rsid w:val="00A31A18"/>
    <w:rsid w:val="00A32160"/>
    <w:rsid w:val="00A33BD6"/>
    <w:rsid w:val="00A34428"/>
    <w:rsid w:val="00A40526"/>
    <w:rsid w:val="00A409B5"/>
    <w:rsid w:val="00A43633"/>
    <w:rsid w:val="00A44781"/>
    <w:rsid w:val="00A44BDE"/>
    <w:rsid w:val="00A44C64"/>
    <w:rsid w:val="00A459A0"/>
    <w:rsid w:val="00A460B2"/>
    <w:rsid w:val="00A50332"/>
    <w:rsid w:val="00A5383F"/>
    <w:rsid w:val="00A54BE8"/>
    <w:rsid w:val="00A54E9F"/>
    <w:rsid w:val="00A567D2"/>
    <w:rsid w:val="00A61E95"/>
    <w:rsid w:val="00A64314"/>
    <w:rsid w:val="00A64562"/>
    <w:rsid w:val="00A65163"/>
    <w:rsid w:val="00A71E30"/>
    <w:rsid w:val="00A74DBE"/>
    <w:rsid w:val="00A75892"/>
    <w:rsid w:val="00A763ED"/>
    <w:rsid w:val="00A77518"/>
    <w:rsid w:val="00A822F7"/>
    <w:rsid w:val="00A8480B"/>
    <w:rsid w:val="00A84E44"/>
    <w:rsid w:val="00A85868"/>
    <w:rsid w:val="00A87C5F"/>
    <w:rsid w:val="00A9138F"/>
    <w:rsid w:val="00A93D41"/>
    <w:rsid w:val="00A946C6"/>
    <w:rsid w:val="00AA0F4E"/>
    <w:rsid w:val="00AA1C32"/>
    <w:rsid w:val="00AA73B7"/>
    <w:rsid w:val="00AB108C"/>
    <w:rsid w:val="00AB1203"/>
    <w:rsid w:val="00AB153C"/>
    <w:rsid w:val="00AB17E2"/>
    <w:rsid w:val="00AB366A"/>
    <w:rsid w:val="00AB6990"/>
    <w:rsid w:val="00AB7727"/>
    <w:rsid w:val="00AC0D80"/>
    <w:rsid w:val="00AC1500"/>
    <w:rsid w:val="00AC1D52"/>
    <w:rsid w:val="00AC299A"/>
    <w:rsid w:val="00AC31A3"/>
    <w:rsid w:val="00AD4071"/>
    <w:rsid w:val="00AD5427"/>
    <w:rsid w:val="00AE1230"/>
    <w:rsid w:val="00AE306D"/>
    <w:rsid w:val="00AE37D1"/>
    <w:rsid w:val="00AE7C2C"/>
    <w:rsid w:val="00AF2E14"/>
    <w:rsid w:val="00AF2E99"/>
    <w:rsid w:val="00AF2F8A"/>
    <w:rsid w:val="00AF42D2"/>
    <w:rsid w:val="00AF727A"/>
    <w:rsid w:val="00B00206"/>
    <w:rsid w:val="00B023AC"/>
    <w:rsid w:val="00B02409"/>
    <w:rsid w:val="00B03930"/>
    <w:rsid w:val="00B05AF9"/>
    <w:rsid w:val="00B06E4C"/>
    <w:rsid w:val="00B078A5"/>
    <w:rsid w:val="00B116F7"/>
    <w:rsid w:val="00B14319"/>
    <w:rsid w:val="00B14AEF"/>
    <w:rsid w:val="00B14C38"/>
    <w:rsid w:val="00B15DBC"/>
    <w:rsid w:val="00B2001E"/>
    <w:rsid w:val="00B2101B"/>
    <w:rsid w:val="00B218B4"/>
    <w:rsid w:val="00B22095"/>
    <w:rsid w:val="00B23722"/>
    <w:rsid w:val="00B23856"/>
    <w:rsid w:val="00B26AEB"/>
    <w:rsid w:val="00B278AC"/>
    <w:rsid w:val="00B3026A"/>
    <w:rsid w:val="00B311B9"/>
    <w:rsid w:val="00B31AC4"/>
    <w:rsid w:val="00B34AB0"/>
    <w:rsid w:val="00B3655A"/>
    <w:rsid w:val="00B37B38"/>
    <w:rsid w:val="00B50C7D"/>
    <w:rsid w:val="00B519E4"/>
    <w:rsid w:val="00B51E75"/>
    <w:rsid w:val="00B53BB9"/>
    <w:rsid w:val="00B56FB2"/>
    <w:rsid w:val="00B602F0"/>
    <w:rsid w:val="00B6193A"/>
    <w:rsid w:val="00B64610"/>
    <w:rsid w:val="00B707D2"/>
    <w:rsid w:val="00B7139C"/>
    <w:rsid w:val="00B72A1B"/>
    <w:rsid w:val="00B733B3"/>
    <w:rsid w:val="00B73D11"/>
    <w:rsid w:val="00B74C7A"/>
    <w:rsid w:val="00B77998"/>
    <w:rsid w:val="00B77B82"/>
    <w:rsid w:val="00B8029D"/>
    <w:rsid w:val="00B80FBC"/>
    <w:rsid w:val="00B81680"/>
    <w:rsid w:val="00B81A31"/>
    <w:rsid w:val="00B834A6"/>
    <w:rsid w:val="00B85F4E"/>
    <w:rsid w:val="00B87D5B"/>
    <w:rsid w:val="00B91BEF"/>
    <w:rsid w:val="00B94B4D"/>
    <w:rsid w:val="00B94E86"/>
    <w:rsid w:val="00B95203"/>
    <w:rsid w:val="00B9556F"/>
    <w:rsid w:val="00BA22E1"/>
    <w:rsid w:val="00BA2D5B"/>
    <w:rsid w:val="00BA363D"/>
    <w:rsid w:val="00BA3DD5"/>
    <w:rsid w:val="00BA4846"/>
    <w:rsid w:val="00BA6C47"/>
    <w:rsid w:val="00BB0E0D"/>
    <w:rsid w:val="00BB10D5"/>
    <w:rsid w:val="00BB15D3"/>
    <w:rsid w:val="00BB2041"/>
    <w:rsid w:val="00BB4865"/>
    <w:rsid w:val="00BB503F"/>
    <w:rsid w:val="00BC01AF"/>
    <w:rsid w:val="00BC2845"/>
    <w:rsid w:val="00BC359D"/>
    <w:rsid w:val="00BC6EC1"/>
    <w:rsid w:val="00BD2712"/>
    <w:rsid w:val="00BD5FF1"/>
    <w:rsid w:val="00BD617E"/>
    <w:rsid w:val="00BD6850"/>
    <w:rsid w:val="00BD6C42"/>
    <w:rsid w:val="00BD7EAD"/>
    <w:rsid w:val="00BE00ED"/>
    <w:rsid w:val="00BE0A92"/>
    <w:rsid w:val="00BE0F14"/>
    <w:rsid w:val="00BE3CF7"/>
    <w:rsid w:val="00BE5861"/>
    <w:rsid w:val="00BF2DEF"/>
    <w:rsid w:val="00BF35BC"/>
    <w:rsid w:val="00BF4538"/>
    <w:rsid w:val="00BF58DC"/>
    <w:rsid w:val="00BF5AD8"/>
    <w:rsid w:val="00BF7807"/>
    <w:rsid w:val="00C02B50"/>
    <w:rsid w:val="00C0518F"/>
    <w:rsid w:val="00C11827"/>
    <w:rsid w:val="00C12950"/>
    <w:rsid w:val="00C12D1B"/>
    <w:rsid w:val="00C1430C"/>
    <w:rsid w:val="00C17D6E"/>
    <w:rsid w:val="00C20B37"/>
    <w:rsid w:val="00C214D4"/>
    <w:rsid w:val="00C228E5"/>
    <w:rsid w:val="00C248EB"/>
    <w:rsid w:val="00C25431"/>
    <w:rsid w:val="00C32ADD"/>
    <w:rsid w:val="00C35C2D"/>
    <w:rsid w:val="00C35C4A"/>
    <w:rsid w:val="00C43DF7"/>
    <w:rsid w:val="00C4477A"/>
    <w:rsid w:val="00C45F9E"/>
    <w:rsid w:val="00C50AFA"/>
    <w:rsid w:val="00C50E25"/>
    <w:rsid w:val="00C52423"/>
    <w:rsid w:val="00C63A0E"/>
    <w:rsid w:val="00C64936"/>
    <w:rsid w:val="00C652C3"/>
    <w:rsid w:val="00C66E73"/>
    <w:rsid w:val="00C67974"/>
    <w:rsid w:val="00C75086"/>
    <w:rsid w:val="00C7706F"/>
    <w:rsid w:val="00C77CFB"/>
    <w:rsid w:val="00C80B63"/>
    <w:rsid w:val="00C8285F"/>
    <w:rsid w:val="00C84338"/>
    <w:rsid w:val="00C936E1"/>
    <w:rsid w:val="00C96099"/>
    <w:rsid w:val="00C96CBC"/>
    <w:rsid w:val="00C97B8A"/>
    <w:rsid w:val="00CA12FB"/>
    <w:rsid w:val="00CA1CFF"/>
    <w:rsid w:val="00CA2958"/>
    <w:rsid w:val="00CB2D78"/>
    <w:rsid w:val="00CB2EA4"/>
    <w:rsid w:val="00CB525D"/>
    <w:rsid w:val="00CB5888"/>
    <w:rsid w:val="00CB5FA1"/>
    <w:rsid w:val="00CB6A26"/>
    <w:rsid w:val="00CB6FE7"/>
    <w:rsid w:val="00CC0FB6"/>
    <w:rsid w:val="00CC1705"/>
    <w:rsid w:val="00CC45A9"/>
    <w:rsid w:val="00CC63A2"/>
    <w:rsid w:val="00CC6981"/>
    <w:rsid w:val="00CC706D"/>
    <w:rsid w:val="00CC7B9E"/>
    <w:rsid w:val="00CD0784"/>
    <w:rsid w:val="00CD2740"/>
    <w:rsid w:val="00CD38C6"/>
    <w:rsid w:val="00CD4884"/>
    <w:rsid w:val="00CD7B2A"/>
    <w:rsid w:val="00CE1AE8"/>
    <w:rsid w:val="00CE2107"/>
    <w:rsid w:val="00CE366D"/>
    <w:rsid w:val="00CE5FE5"/>
    <w:rsid w:val="00CE60BD"/>
    <w:rsid w:val="00CE62D1"/>
    <w:rsid w:val="00CF3617"/>
    <w:rsid w:val="00CF4A27"/>
    <w:rsid w:val="00CF54C5"/>
    <w:rsid w:val="00D00004"/>
    <w:rsid w:val="00D01A84"/>
    <w:rsid w:val="00D03E3C"/>
    <w:rsid w:val="00D04993"/>
    <w:rsid w:val="00D04E93"/>
    <w:rsid w:val="00D059E7"/>
    <w:rsid w:val="00D07787"/>
    <w:rsid w:val="00D10A6E"/>
    <w:rsid w:val="00D10E81"/>
    <w:rsid w:val="00D13176"/>
    <w:rsid w:val="00D13EA5"/>
    <w:rsid w:val="00D13FF8"/>
    <w:rsid w:val="00D14C1C"/>
    <w:rsid w:val="00D1608C"/>
    <w:rsid w:val="00D17025"/>
    <w:rsid w:val="00D176C9"/>
    <w:rsid w:val="00D20583"/>
    <w:rsid w:val="00D21B2D"/>
    <w:rsid w:val="00D22F53"/>
    <w:rsid w:val="00D24263"/>
    <w:rsid w:val="00D274A2"/>
    <w:rsid w:val="00D27801"/>
    <w:rsid w:val="00D3175E"/>
    <w:rsid w:val="00D32EA6"/>
    <w:rsid w:val="00D35087"/>
    <w:rsid w:val="00D353F8"/>
    <w:rsid w:val="00D37826"/>
    <w:rsid w:val="00D407F2"/>
    <w:rsid w:val="00D41B19"/>
    <w:rsid w:val="00D4508C"/>
    <w:rsid w:val="00D458E2"/>
    <w:rsid w:val="00D45FAC"/>
    <w:rsid w:val="00D47502"/>
    <w:rsid w:val="00D5404C"/>
    <w:rsid w:val="00D5662D"/>
    <w:rsid w:val="00D5684B"/>
    <w:rsid w:val="00D56A60"/>
    <w:rsid w:val="00D615ED"/>
    <w:rsid w:val="00D61A86"/>
    <w:rsid w:val="00D622F5"/>
    <w:rsid w:val="00D63858"/>
    <w:rsid w:val="00D63C0E"/>
    <w:rsid w:val="00D64551"/>
    <w:rsid w:val="00D65BAF"/>
    <w:rsid w:val="00D666E0"/>
    <w:rsid w:val="00D67A9C"/>
    <w:rsid w:val="00D67ED9"/>
    <w:rsid w:val="00D71927"/>
    <w:rsid w:val="00D727BC"/>
    <w:rsid w:val="00D84ABD"/>
    <w:rsid w:val="00D90278"/>
    <w:rsid w:val="00D9078A"/>
    <w:rsid w:val="00D90F7F"/>
    <w:rsid w:val="00D94E2A"/>
    <w:rsid w:val="00D9528F"/>
    <w:rsid w:val="00D95A2D"/>
    <w:rsid w:val="00D9654B"/>
    <w:rsid w:val="00D974CF"/>
    <w:rsid w:val="00DA0426"/>
    <w:rsid w:val="00DA0974"/>
    <w:rsid w:val="00DA1CE8"/>
    <w:rsid w:val="00DA2BF3"/>
    <w:rsid w:val="00DA508D"/>
    <w:rsid w:val="00DA599E"/>
    <w:rsid w:val="00DA6125"/>
    <w:rsid w:val="00DA6163"/>
    <w:rsid w:val="00DA7366"/>
    <w:rsid w:val="00DB321B"/>
    <w:rsid w:val="00DB4350"/>
    <w:rsid w:val="00DB6285"/>
    <w:rsid w:val="00DC16FC"/>
    <w:rsid w:val="00DC5340"/>
    <w:rsid w:val="00DC6D3F"/>
    <w:rsid w:val="00DD0078"/>
    <w:rsid w:val="00DD038D"/>
    <w:rsid w:val="00DD407B"/>
    <w:rsid w:val="00DD547C"/>
    <w:rsid w:val="00DD712A"/>
    <w:rsid w:val="00DE09F6"/>
    <w:rsid w:val="00DE124A"/>
    <w:rsid w:val="00DE4C5F"/>
    <w:rsid w:val="00DF007B"/>
    <w:rsid w:val="00DF15A4"/>
    <w:rsid w:val="00DF58AC"/>
    <w:rsid w:val="00DF6930"/>
    <w:rsid w:val="00DF6A2D"/>
    <w:rsid w:val="00E01E11"/>
    <w:rsid w:val="00E02265"/>
    <w:rsid w:val="00E028F0"/>
    <w:rsid w:val="00E060CB"/>
    <w:rsid w:val="00E1011D"/>
    <w:rsid w:val="00E10B00"/>
    <w:rsid w:val="00E10F0F"/>
    <w:rsid w:val="00E11F89"/>
    <w:rsid w:val="00E12561"/>
    <w:rsid w:val="00E12E47"/>
    <w:rsid w:val="00E13E82"/>
    <w:rsid w:val="00E13F77"/>
    <w:rsid w:val="00E14456"/>
    <w:rsid w:val="00E2235F"/>
    <w:rsid w:val="00E2445F"/>
    <w:rsid w:val="00E330DF"/>
    <w:rsid w:val="00E340C6"/>
    <w:rsid w:val="00E34DC9"/>
    <w:rsid w:val="00E35931"/>
    <w:rsid w:val="00E4054E"/>
    <w:rsid w:val="00E40A14"/>
    <w:rsid w:val="00E41E17"/>
    <w:rsid w:val="00E448E3"/>
    <w:rsid w:val="00E46714"/>
    <w:rsid w:val="00E469D7"/>
    <w:rsid w:val="00E46ECE"/>
    <w:rsid w:val="00E510EC"/>
    <w:rsid w:val="00E527D0"/>
    <w:rsid w:val="00E55385"/>
    <w:rsid w:val="00E61276"/>
    <w:rsid w:val="00E62C90"/>
    <w:rsid w:val="00E7287F"/>
    <w:rsid w:val="00E737AA"/>
    <w:rsid w:val="00E742DF"/>
    <w:rsid w:val="00E753E9"/>
    <w:rsid w:val="00E75EB5"/>
    <w:rsid w:val="00E76CCF"/>
    <w:rsid w:val="00E80154"/>
    <w:rsid w:val="00E811FC"/>
    <w:rsid w:val="00E81286"/>
    <w:rsid w:val="00E8198D"/>
    <w:rsid w:val="00E81B0D"/>
    <w:rsid w:val="00E85651"/>
    <w:rsid w:val="00E8612D"/>
    <w:rsid w:val="00E8710D"/>
    <w:rsid w:val="00E90CAE"/>
    <w:rsid w:val="00E912E1"/>
    <w:rsid w:val="00E921C4"/>
    <w:rsid w:val="00E9281C"/>
    <w:rsid w:val="00E95740"/>
    <w:rsid w:val="00E95E55"/>
    <w:rsid w:val="00E964BE"/>
    <w:rsid w:val="00E9696E"/>
    <w:rsid w:val="00E97C72"/>
    <w:rsid w:val="00E97DBC"/>
    <w:rsid w:val="00E97F83"/>
    <w:rsid w:val="00EA11F2"/>
    <w:rsid w:val="00EA17A9"/>
    <w:rsid w:val="00EA2661"/>
    <w:rsid w:val="00EA6B43"/>
    <w:rsid w:val="00EA75BF"/>
    <w:rsid w:val="00EA7B01"/>
    <w:rsid w:val="00EB2574"/>
    <w:rsid w:val="00EB3B46"/>
    <w:rsid w:val="00EC2237"/>
    <w:rsid w:val="00EC3EB4"/>
    <w:rsid w:val="00EC4F0E"/>
    <w:rsid w:val="00ED3321"/>
    <w:rsid w:val="00ED75EE"/>
    <w:rsid w:val="00EE27A8"/>
    <w:rsid w:val="00EE2EDF"/>
    <w:rsid w:val="00EE4F47"/>
    <w:rsid w:val="00EE6FAA"/>
    <w:rsid w:val="00EE7F1F"/>
    <w:rsid w:val="00EF18FB"/>
    <w:rsid w:val="00EF331A"/>
    <w:rsid w:val="00EF5944"/>
    <w:rsid w:val="00EF75F6"/>
    <w:rsid w:val="00EF7690"/>
    <w:rsid w:val="00F00132"/>
    <w:rsid w:val="00F011ED"/>
    <w:rsid w:val="00F0193E"/>
    <w:rsid w:val="00F01A1E"/>
    <w:rsid w:val="00F07994"/>
    <w:rsid w:val="00F07AFC"/>
    <w:rsid w:val="00F133AA"/>
    <w:rsid w:val="00F13DE3"/>
    <w:rsid w:val="00F13E85"/>
    <w:rsid w:val="00F14A45"/>
    <w:rsid w:val="00F15EA4"/>
    <w:rsid w:val="00F16538"/>
    <w:rsid w:val="00F1775E"/>
    <w:rsid w:val="00F1777C"/>
    <w:rsid w:val="00F23205"/>
    <w:rsid w:val="00F24E81"/>
    <w:rsid w:val="00F272CA"/>
    <w:rsid w:val="00F300FC"/>
    <w:rsid w:val="00F30B53"/>
    <w:rsid w:val="00F3408B"/>
    <w:rsid w:val="00F346C0"/>
    <w:rsid w:val="00F53BD4"/>
    <w:rsid w:val="00F53C7C"/>
    <w:rsid w:val="00F55F30"/>
    <w:rsid w:val="00F601D7"/>
    <w:rsid w:val="00F63796"/>
    <w:rsid w:val="00F63CC4"/>
    <w:rsid w:val="00F75DF8"/>
    <w:rsid w:val="00F761E3"/>
    <w:rsid w:val="00F775EA"/>
    <w:rsid w:val="00F80C3A"/>
    <w:rsid w:val="00F82C5C"/>
    <w:rsid w:val="00F83039"/>
    <w:rsid w:val="00F831B1"/>
    <w:rsid w:val="00F86BC8"/>
    <w:rsid w:val="00F875E2"/>
    <w:rsid w:val="00F90EE0"/>
    <w:rsid w:val="00F9240A"/>
    <w:rsid w:val="00F94F7F"/>
    <w:rsid w:val="00FA0F94"/>
    <w:rsid w:val="00FA18FC"/>
    <w:rsid w:val="00FA4594"/>
    <w:rsid w:val="00FA4D51"/>
    <w:rsid w:val="00FA5AFD"/>
    <w:rsid w:val="00FA6A0F"/>
    <w:rsid w:val="00FB2DEA"/>
    <w:rsid w:val="00FB6153"/>
    <w:rsid w:val="00FC26FF"/>
    <w:rsid w:val="00FD1220"/>
    <w:rsid w:val="00FD1449"/>
    <w:rsid w:val="00FD4390"/>
    <w:rsid w:val="00FD5D4A"/>
    <w:rsid w:val="00FE2F2B"/>
    <w:rsid w:val="00FE3401"/>
    <w:rsid w:val="00FE65B8"/>
    <w:rsid w:val="00FE717F"/>
    <w:rsid w:val="00FF01BA"/>
    <w:rsid w:val="00FF0DD0"/>
    <w:rsid w:val="00FF125C"/>
    <w:rsid w:val="00FF4572"/>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684D3"/>
  <w15:chartTrackingRefBased/>
  <w15:docId w15:val="{9619B860-E9D3-4314-8BC7-45AC753A1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319"/>
    <w:pPr>
      <w:spacing w:after="0" w:line="480" w:lineRule="auto"/>
    </w:pPr>
    <w:rPr>
      <w:rFonts w:ascii="Times New Roman" w:eastAsia="SimSun" w:hAnsi="Times New Roman" w:cs="Calibri"/>
      <w:sz w:val="24"/>
      <w:szCs w:val="24"/>
      <w:lang w:val="en-US" w:eastAsia="en-US"/>
    </w:rPr>
  </w:style>
  <w:style w:type="paragraph" w:styleId="Heading1">
    <w:name w:val="heading 1"/>
    <w:basedOn w:val="Normal"/>
    <w:next w:val="Normal"/>
    <w:link w:val="Heading1Char"/>
    <w:uiPriority w:val="9"/>
    <w:qFormat/>
    <w:rsid w:val="005B2BAA"/>
    <w:pPr>
      <w:keepNext/>
      <w:keepLines/>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5B2BAA"/>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8B7005"/>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2414E9"/>
    <w:pPr>
      <w:keepNext/>
      <w:keepLines/>
      <w:spacing w:before="80" w:after="40" w:line="278" w:lineRule="auto"/>
      <w:outlineLvl w:val="3"/>
    </w:pPr>
    <w:rPr>
      <w:rFonts w:asciiTheme="minorHAnsi" w:eastAsiaTheme="majorEastAsia" w:hAnsiTheme="minorHAnsi" w:cstheme="majorBidi"/>
      <w:i/>
      <w:iCs/>
      <w:color w:val="2E74B5" w:themeColor="accent1" w:themeShade="BF"/>
      <w:kern w:val="2"/>
      <w:lang w:val="en-GB" w:eastAsia="zh-CN"/>
    </w:rPr>
  </w:style>
  <w:style w:type="paragraph" w:styleId="Heading5">
    <w:name w:val="heading 5"/>
    <w:basedOn w:val="Normal"/>
    <w:next w:val="Normal"/>
    <w:link w:val="Heading5Char"/>
    <w:uiPriority w:val="9"/>
    <w:semiHidden/>
    <w:unhideWhenUsed/>
    <w:qFormat/>
    <w:rsid w:val="002414E9"/>
    <w:pPr>
      <w:keepNext/>
      <w:keepLines/>
      <w:spacing w:before="80" w:after="40" w:line="278" w:lineRule="auto"/>
      <w:outlineLvl w:val="4"/>
    </w:pPr>
    <w:rPr>
      <w:rFonts w:asciiTheme="minorHAnsi" w:eastAsiaTheme="majorEastAsia" w:hAnsiTheme="minorHAnsi" w:cstheme="majorBidi"/>
      <w:color w:val="2E74B5" w:themeColor="accent1" w:themeShade="BF"/>
      <w:kern w:val="2"/>
      <w:lang w:val="en-GB" w:eastAsia="zh-CN"/>
    </w:rPr>
  </w:style>
  <w:style w:type="paragraph" w:styleId="Heading6">
    <w:name w:val="heading 6"/>
    <w:basedOn w:val="Normal"/>
    <w:next w:val="Normal"/>
    <w:link w:val="Heading6Char"/>
    <w:uiPriority w:val="9"/>
    <w:semiHidden/>
    <w:unhideWhenUsed/>
    <w:qFormat/>
    <w:rsid w:val="002414E9"/>
    <w:pPr>
      <w:keepNext/>
      <w:keepLines/>
      <w:spacing w:before="40" w:line="278" w:lineRule="auto"/>
      <w:outlineLvl w:val="5"/>
    </w:pPr>
    <w:rPr>
      <w:rFonts w:asciiTheme="minorHAnsi" w:eastAsiaTheme="majorEastAsia" w:hAnsiTheme="minorHAnsi" w:cstheme="majorBidi"/>
      <w:i/>
      <w:iCs/>
      <w:color w:val="595959" w:themeColor="text1" w:themeTint="A6"/>
      <w:kern w:val="2"/>
      <w:lang w:val="en-GB" w:eastAsia="zh-CN"/>
    </w:rPr>
  </w:style>
  <w:style w:type="paragraph" w:styleId="Heading7">
    <w:name w:val="heading 7"/>
    <w:basedOn w:val="Normal"/>
    <w:next w:val="Normal"/>
    <w:link w:val="Heading7Char"/>
    <w:uiPriority w:val="9"/>
    <w:semiHidden/>
    <w:unhideWhenUsed/>
    <w:qFormat/>
    <w:rsid w:val="002414E9"/>
    <w:pPr>
      <w:keepNext/>
      <w:keepLines/>
      <w:spacing w:before="40" w:line="278" w:lineRule="auto"/>
      <w:outlineLvl w:val="6"/>
    </w:pPr>
    <w:rPr>
      <w:rFonts w:asciiTheme="minorHAnsi" w:eastAsiaTheme="majorEastAsia" w:hAnsiTheme="minorHAnsi" w:cstheme="majorBidi"/>
      <w:color w:val="595959" w:themeColor="text1" w:themeTint="A6"/>
      <w:kern w:val="2"/>
      <w:lang w:val="en-GB" w:eastAsia="zh-CN"/>
    </w:rPr>
  </w:style>
  <w:style w:type="paragraph" w:styleId="Heading8">
    <w:name w:val="heading 8"/>
    <w:basedOn w:val="Normal"/>
    <w:next w:val="Normal"/>
    <w:link w:val="Heading8Char"/>
    <w:uiPriority w:val="9"/>
    <w:semiHidden/>
    <w:unhideWhenUsed/>
    <w:qFormat/>
    <w:rsid w:val="002414E9"/>
    <w:pPr>
      <w:keepNext/>
      <w:keepLines/>
      <w:spacing w:line="278" w:lineRule="auto"/>
      <w:outlineLvl w:val="7"/>
    </w:pPr>
    <w:rPr>
      <w:rFonts w:asciiTheme="minorHAnsi" w:eastAsiaTheme="majorEastAsia" w:hAnsiTheme="minorHAnsi" w:cstheme="majorBidi"/>
      <w:i/>
      <w:iCs/>
      <w:color w:val="272727" w:themeColor="text1" w:themeTint="D8"/>
      <w:kern w:val="2"/>
      <w:lang w:val="en-GB" w:eastAsia="zh-CN"/>
    </w:rPr>
  </w:style>
  <w:style w:type="paragraph" w:styleId="Heading9">
    <w:name w:val="heading 9"/>
    <w:basedOn w:val="Normal"/>
    <w:next w:val="Normal"/>
    <w:link w:val="Heading9Char"/>
    <w:uiPriority w:val="9"/>
    <w:semiHidden/>
    <w:unhideWhenUsed/>
    <w:qFormat/>
    <w:rsid w:val="002414E9"/>
    <w:pPr>
      <w:keepNext/>
      <w:keepLines/>
      <w:spacing w:line="278" w:lineRule="auto"/>
      <w:outlineLvl w:val="8"/>
    </w:pPr>
    <w:rPr>
      <w:rFonts w:asciiTheme="minorHAnsi" w:eastAsiaTheme="majorEastAsia" w:hAnsiTheme="minorHAnsi" w:cstheme="majorBidi"/>
      <w:color w:val="272727" w:themeColor="text1" w:themeTint="D8"/>
      <w:kern w:val="2"/>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2BAA"/>
    <w:rPr>
      <w:rFonts w:ascii="Times New Roman" w:eastAsiaTheme="majorEastAsia" w:hAnsi="Times New Roman" w:cstheme="majorBidi"/>
      <w:b/>
      <w:sz w:val="24"/>
      <w:szCs w:val="32"/>
      <w:lang w:val="en-US" w:eastAsia="en-US"/>
    </w:rPr>
  </w:style>
  <w:style w:type="character" w:customStyle="1" w:styleId="Heading2Char">
    <w:name w:val="Heading 2 Char"/>
    <w:basedOn w:val="DefaultParagraphFont"/>
    <w:link w:val="Heading2"/>
    <w:uiPriority w:val="9"/>
    <w:rsid w:val="005B2BAA"/>
    <w:rPr>
      <w:rFonts w:ascii="Times New Roman" w:eastAsiaTheme="majorEastAsia" w:hAnsi="Times New Roman" w:cstheme="majorBidi"/>
      <w:b/>
      <w:sz w:val="24"/>
      <w:szCs w:val="26"/>
      <w:lang w:val="en-US" w:eastAsia="en-US"/>
    </w:rPr>
  </w:style>
  <w:style w:type="paragraph" w:styleId="TOCHeading">
    <w:name w:val="TOC Heading"/>
    <w:basedOn w:val="Heading1"/>
    <w:next w:val="Normal"/>
    <w:uiPriority w:val="39"/>
    <w:unhideWhenUsed/>
    <w:qFormat/>
    <w:rsid w:val="008D4569"/>
    <w:pPr>
      <w:spacing w:before="240" w:line="259" w:lineRule="auto"/>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5D6644"/>
    <w:pPr>
      <w:tabs>
        <w:tab w:val="right" w:leader="dot" w:pos="12950"/>
      </w:tabs>
      <w:spacing w:after="100" w:line="240" w:lineRule="auto"/>
    </w:pPr>
    <w:rPr>
      <w:b/>
    </w:rPr>
  </w:style>
  <w:style w:type="paragraph" w:styleId="TOC2">
    <w:name w:val="toc 2"/>
    <w:basedOn w:val="Normal"/>
    <w:next w:val="Normal"/>
    <w:autoRedefine/>
    <w:uiPriority w:val="39"/>
    <w:unhideWhenUsed/>
    <w:rsid w:val="005C06C1"/>
    <w:pPr>
      <w:tabs>
        <w:tab w:val="right" w:leader="dot" w:pos="12950"/>
      </w:tabs>
      <w:spacing w:after="100" w:line="240" w:lineRule="auto"/>
      <w:ind w:left="238"/>
    </w:pPr>
  </w:style>
  <w:style w:type="character" w:styleId="Hyperlink">
    <w:name w:val="Hyperlink"/>
    <w:basedOn w:val="DefaultParagraphFont"/>
    <w:uiPriority w:val="99"/>
    <w:unhideWhenUsed/>
    <w:rsid w:val="008D4569"/>
    <w:rPr>
      <w:color w:val="0563C1" w:themeColor="hyperlink"/>
      <w:u w:val="single"/>
    </w:rPr>
  </w:style>
  <w:style w:type="paragraph" w:styleId="TOC3">
    <w:name w:val="toc 3"/>
    <w:basedOn w:val="Normal"/>
    <w:next w:val="Normal"/>
    <w:autoRedefine/>
    <w:uiPriority w:val="39"/>
    <w:unhideWhenUsed/>
    <w:rsid w:val="008C48BA"/>
    <w:pPr>
      <w:spacing w:after="100" w:line="259" w:lineRule="auto"/>
      <w:ind w:left="440"/>
    </w:pPr>
    <w:rPr>
      <w:rFonts w:eastAsiaTheme="minorEastAsia" w:cs="Times New Roman"/>
      <w:sz w:val="22"/>
      <w:szCs w:val="22"/>
    </w:rPr>
  </w:style>
  <w:style w:type="character" w:styleId="CommentReference">
    <w:name w:val="annotation reference"/>
    <w:basedOn w:val="DefaultParagraphFont"/>
    <w:uiPriority w:val="99"/>
    <w:semiHidden/>
    <w:unhideWhenUsed/>
    <w:rsid w:val="00863053"/>
    <w:rPr>
      <w:sz w:val="16"/>
      <w:szCs w:val="16"/>
    </w:rPr>
  </w:style>
  <w:style w:type="paragraph" w:styleId="CommentText">
    <w:name w:val="annotation text"/>
    <w:basedOn w:val="Normal"/>
    <w:link w:val="CommentTextChar"/>
    <w:uiPriority w:val="99"/>
    <w:unhideWhenUsed/>
    <w:rsid w:val="00863053"/>
    <w:pPr>
      <w:spacing w:line="240" w:lineRule="auto"/>
    </w:pPr>
    <w:rPr>
      <w:sz w:val="20"/>
      <w:szCs w:val="20"/>
    </w:rPr>
  </w:style>
  <w:style w:type="character" w:customStyle="1" w:styleId="CommentTextChar">
    <w:name w:val="Comment Text Char"/>
    <w:basedOn w:val="DefaultParagraphFont"/>
    <w:link w:val="CommentText"/>
    <w:uiPriority w:val="99"/>
    <w:rsid w:val="00863053"/>
    <w:rPr>
      <w:rFonts w:ascii="Times New Roman" w:eastAsia="SimSun" w:hAnsi="Times New Roman" w:cs="Calibri"/>
      <w:sz w:val="20"/>
      <w:szCs w:val="20"/>
      <w:lang w:val="en-US" w:eastAsia="en-US"/>
    </w:rPr>
  </w:style>
  <w:style w:type="paragraph" w:styleId="CommentSubject">
    <w:name w:val="annotation subject"/>
    <w:basedOn w:val="CommentText"/>
    <w:next w:val="CommentText"/>
    <w:link w:val="CommentSubjectChar"/>
    <w:uiPriority w:val="99"/>
    <w:semiHidden/>
    <w:unhideWhenUsed/>
    <w:rsid w:val="00863053"/>
    <w:rPr>
      <w:b/>
      <w:bCs/>
    </w:rPr>
  </w:style>
  <w:style w:type="character" w:customStyle="1" w:styleId="CommentSubjectChar">
    <w:name w:val="Comment Subject Char"/>
    <w:basedOn w:val="CommentTextChar"/>
    <w:link w:val="CommentSubject"/>
    <w:uiPriority w:val="99"/>
    <w:semiHidden/>
    <w:rsid w:val="00863053"/>
    <w:rPr>
      <w:rFonts w:ascii="Times New Roman" w:eastAsia="SimSun" w:hAnsi="Times New Roman" w:cs="Calibri"/>
      <w:b/>
      <w:bCs/>
      <w:sz w:val="20"/>
      <w:szCs w:val="20"/>
      <w:lang w:val="en-US" w:eastAsia="en-US"/>
    </w:rPr>
  </w:style>
  <w:style w:type="paragraph" w:styleId="BalloonText">
    <w:name w:val="Balloon Text"/>
    <w:basedOn w:val="Normal"/>
    <w:link w:val="BalloonTextChar"/>
    <w:uiPriority w:val="99"/>
    <w:semiHidden/>
    <w:unhideWhenUsed/>
    <w:rsid w:val="003B180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80B"/>
    <w:rPr>
      <w:rFonts w:ascii="Segoe UI" w:eastAsia="SimSun" w:hAnsi="Segoe UI" w:cs="Segoe UI"/>
      <w:sz w:val="18"/>
      <w:szCs w:val="18"/>
      <w:lang w:val="en-US" w:eastAsia="en-US"/>
    </w:rPr>
  </w:style>
  <w:style w:type="table" w:customStyle="1" w:styleId="TableGrid3">
    <w:name w:val="Table Grid3"/>
    <w:basedOn w:val="TableNormal"/>
    <w:next w:val="TableGrid"/>
    <w:uiPriority w:val="39"/>
    <w:rsid w:val="007317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317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001694"/>
  </w:style>
  <w:style w:type="character" w:styleId="UnresolvedMention">
    <w:name w:val="Unresolved Mention"/>
    <w:basedOn w:val="DefaultParagraphFont"/>
    <w:uiPriority w:val="99"/>
    <w:semiHidden/>
    <w:unhideWhenUsed/>
    <w:rsid w:val="00001694"/>
    <w:rPr>
      <w:color w:val="605E5C"/>
      <w:shd w:val="clear" w:color="auto" w:fill="E1DFDD"/>
    </w:rPr>
  </w:style>
  <w:style w:type="character" w:customStyle="1" w:styleId="nlmyear">
    <w:name w:val="nlm_year"/>
    <w:basedOn w:val="DefaultParagraphFont"/>
    <w:rsid w:val="00001694"/>
  </w:style>
  <w:style w:type="character" w:customStyle="1" w:styleId="nlmarticle-title">
    <w:name w:val="nlm_article-title"/>
    <w:basedOn w:val="DefaultParagraphFont"/>
    <w:rsid w:val="00001694"/>
  </w:style>
  <w:style w:type="character" w:customStyle="1" w:styleId="nlmfpage">
    <w:name w:val="nlm_fpage"/>
    <w:basedOn w:val="DefaultParagraphFont"/>
    <w:rsid w:val="00001694"/>
  </w:style>
  <w:style w:type="character" w:customStyle="1" w:styleId="nlmlpage">
    <w:name w:val="nlm_lpage"/>
    <w:basedOn w:val="DefaultParagraphFont"/>
    <w:rsid w:val="00001694"/>
  </w:style>
  <w:style w:type="character" w:customStyle="1" w:styleId="nlmpublisher-loc">
    <w:name w:val="nlm_publisher-loc"/>
    <w:basedOn w:val="DefaultParagraphFont"/>
    <w:rsid w:val="00001694"/>
  </w:style>
  <w:style w:type="character" w:customStyle="1" w:styleId="nlmpublisher-name">
    <w:name w:val="nlm_publisher-name"/>
    <w:basedOn w:val="DefaultParagraphFont"/>
    <w:rsid w:val="00001694"/>
  </w:style>
  <w:style w:type="character" w:styleId="Emphasis">
    <w:name w:val="Emphasis"/>
    <w:basedOn w:val="DefaultParagraphFont"/>
    <w:uiPriority w:val="20"/>
    <w:qFormat/>
    <w:rsid w:val="00001694"/>
    <w:rPr>
      <w:i/>
      <w:iCs/>
    </w:rPr>
  </w:style>
  <w:style w:type="paragraph" w:customStyle="1" w:styleId="dx-doi">
    <w:name w:val="dx-doi"/>
    <w:basedOn w:val="Normal"/>
    <w:rsid w:val="00001694"/>
    <w:pPr>
      <w:spacing w:before="100" w:beforeAutospacing="1" w:after="100" w:afterAutospacing="1" w:line="240" w:lineRule="auto"/>
    </w:pPr>
    <w:rPr>
      <w:rFonts w:eastAsia="Times New Roman" w:cs="Times New Roman"/>
    </w:rPr>
  </w:style>
  <w:style w:type="character" w:styleId="Strong">
    <w:name w:val="Strong"/>
    <w:basedOn w:val="DefaultParagraphFont"/>
    <w:uiPriority w:val="22"/>
    <w:qFormat/>
    <w:rsid w:val="00001694"/>
    <w:rPr>
      <w:b/>
      <w:bCs/>
    </w:rPr>
  </w:style>
  <w:style w:type="paragraph" w:customStyle="1" w:styleId="pull-left">
    <w:name w:val="pull-left"/>
    <w:basedOn w:val="Normal"/>
    <w:rsid w:val="00001694"/>
    <w:pPr>
      <w:spacing w:before="100" w:beforeAutospacing="1" w:after="100" w:afterAutospacing="1" w:line="240" w:lineRule="auto"/>
    </w:pPr>
    <w:rPr>
      <w:rFonts w:eastAsia="Times New Roman" w:cs="Times New Roman"/>
    </w:rPr>
  </w:style>
  <w:style w:type="character" w:styleId="PlaceholderText">
    <w:name w:val="Placeholder Text"/>
    <w:basedOn w:val="DefaultParagraphFont"/>
    <w:uiPriority w:val="99"/>
    <w:semiHidden/>
    <w:rsid w:val="00001694"/>
    <w:rPr>
      <w:color w:val="808080"/>
    </w:rPr>
  </w:style>
  <w:style w:type="paragraph" w:customStyle="1" w:styleId="msonormal0">
    <w:name w:val="msonormal"/>
    <w:basedOn w:val="Normal"/>
    <w:rsid w:val="00001694"/>
    <w:pPr>
      <w:spacing w:before="100" w:beforeAutospacing="1" w:after="100" w:afterAutospacing="1" w:line="240" w:lineRule="auto"/>
    </w:pPr>
    <w:rPr>
      <w:rFonts w:eastAsia="DengXian" w:cs="Times New Roman"/>
    </w:rPr>
  </w:style>
  <w:style w:type="paragraph" w:styleId="ListParagraph">
    <w:name w:val="List Paragraph"/>
    <w:basedOn w:val="Normal"/>
    <w:uiPriority w:val="34"/>
    <w:qFormat/>
    <w:rsid w:val="00001694"/>
    <w:pPr>
      <w:spacing w:line="240" w:lineRule="auto"/>
      <w:ind w:left="720"/>
      <w:contextualSpacing/>
    </w:pPr>
    <w:rPr>
      <w:rFonts w:ascii="Calibri" w:hAnsi="Calibri" w:cs="Times New Roman"/>
    </w:rPr>
  </w:style>
  <w:style w:type="character" w:customStyle="1" w:styleId="FollowedHyperlink1">
    <w:name w:val="FollowedHyperlink1"/>
    <w:basedOn w:val="DefaultParagraphFont"/>
    <w:uiPriority w:val="99"/>
    <w:semiHidden/>
    <w:unhideWhenUsed/>
    <w:rsid w:val="00001694"/>
    <w:rPr>
      <w:color w:val="954F72"/>
      <w:u w:val="single"/>
    </w:rPr>
  </w:style>
  <w:style w:type="character" w:styleId="FollowedHyperlink">
    <w:name w:val="FollowedHyperlink"/>
    <w:basedOn w:val="DefaultParagraphFont"/>
    <w:uiPriority w:val="99"/>
    <w:semiHidden/>
    <w:unhideWhenUsed/>
    <w:rsid w:val="00001694"/>
    <w:rPr>
      <w:color w:val="954F72" w:themeColor="followedHyperlink"/>
      <w:u w:val="single"/>
    </w:rPr>
  </w:style>
  <w:style w:type="paragraph" w:styleId="FootnoteText">
    <w:name w:val="footnote text"/>
    <w:basedOn w:val="Normal"/>
    <w:link w:val="FootnoteTextChar"/>
    <w:uiPriority w:val="99"/>
    <w:unhideWhenUsed/>
    <w:rsid w:val="00510CB5"/>
    <w:pPr>
      <w:spacing w:line="240" w:lineRule="auto"/>
    </w:pPr>
    <w:rPr>
      <w:rFonts w:eastAsiaTheme="minorEastAsia" w:cstheme="minorBidi"/>
      <w:sz w:val="20"/>
      <w:szCs w:val="20"/>
      <w:lang w:val="nl-NL" w:eastAsia="zh-CN"/>
    </w:rPr>
  </w:style>
  <w:style w:type="character" w:customStyle="1" w:styleId="FootnoteTextChar">
    <w:name w:val="Footnote Text Char"/>
    <w:basedOn w:val="DefaultParagraphFont"/>
    <w:link w:val="FootnoteText"/>
    <w:uiPriority w:val="99"/>
    <w:rsid w:val="00510CB5"/>
    <w:rPr>
      <w:rFonts w:ascii="Times New Roman" w:hAnsi="Times New Roman"/>
      <w:sz w:val="20"/>
      <w:szCs w:val="20"/>
    </w:rPr>
  </w:style>
  <w:style w:type="character" w:styleId="FootnoteReference">
    <w:name w:val="footnote reference"/>
    <w:basedOn w:val="DefaultParagraphFont"/>
    <w:uiPriority w:val="99"/>
    <w:semiHidden/>
    <w:unhideWhenUsed/>
    <w:rsid w:val="00510CB5"/>
    <w:rPr>
      <w:vertAlign w:val="superscript"/>
    </w:rPr>
  </w:style>
  <w:style w:type="paragraph" w:styleId="Header">
    <w:name w:val="header"/>
    <w:basedOn w:val="Normal"/>
    <w:link w:val="HeaderChar"/>
    <w:uiPriority w:val="99"/>
    <w:unhideWhenUsed/>
    <w:rsid w:val="002C0F19"/>
    <w:pPr>
      <w:tabs>
        <w:tab w:val="center" w:pos="4513"/>
        <w:tab w:val="right" w:pos="9026"/>
      </w:tabs>
      <w:spacing w:line="240" w:lineRule="auto"/>
    </w:pPr>
  </w:style>
  <w:style w:type="character" w:customStyle="1" w:styleId="HeaderChar">
    <w:name w:val="Header Char"/>
    <w:basedOn w:val="DefaultParagraphFont"/>
    <w:link w:val="Header"/>
    <w:uiPriority w:val="99"/>
    <w:rsid w:val="002C0F19"/>
    <w:rPr>
      <w:rFonts w:ascii="Times New Roman" w:eastAsia="SimSun" w:hAnsi="Times New Roman" w:cs="Calibri"/>
      <w:sz w:val="24"/>
      <w:szCs w:val="24"/>
      <w:lang w:val="en-US" w:eastAsia="en-US"/>
    </w:rPr>
  </w:style>
  <w:style w:type="paragraph" w:styleId="Footer">
    <w:name w:val="footer"/>
    <w:basedOn w:val="Normal"/>
    <w:link w:val="FooterChar"/>
    <w:uiPriority w:val="99"/>
    <w:unhideWhenUsed/>
    <w:rsid w:val="002C0F19"/>
    <w:pPr>
      <w:tabs>
        <w:tab w:val="center" w:pos="4513"/>
        <w:tab w:val="right" w:pos="9026"/>
      </w:tabs>
      <w:spacing w:line="240" w:lineRule="auto"/>
    </w:pPr>
  </w:style>
  <w:style w:type="character" w:customStyle="1" w:styleId="FooterChar">
    <w:name w:val="Footer Char"/>
    <w:basedOn w:val="DefaultParagraphFont"/>
    <w:link w:val="Footer"/>
    <w:uiPriority w:val="99"/>
    <w:rsid w:val="002C0F19"/>
    <w:rPr>
      <w:rFonts w:ascii="Times New Roman" w:eastAsia="SimSun" w:hAnsi="Times New Roman" w:cs="Calibri"/>
      <w:sz w:val="24"/>
      <w:szCs w:val="24"/>
      <w:lang w:val="en-US" w:eastAsia="en-US"/>
    </w:rPr>
  </w:style>
  <w:style w:type="paragraph" w:styleId="NoSpacing">
    <w:name w:val="No Spacing"/>
    <w:uiPriority w:val="1"/>
    <w:qFormat/>
    <w:rsid w:val="004961D9"/>
    <w:pPr>
      <w:spacing w:after="0" w:line="240" w:lineRule="auto"/>
    </w:pPr>
    <w:rPr>
      <w:rFonts w:ascii="Times New Roman" w:eastAsia="SimSun" w:hAnsi="Times New Roman" w:cs="Calibri"/>
      <w:sz w:val="24"/>
      <w:szCs w:val="24"/>
      <w:lang w:val="en-US" w:eastAsia="en-US"/>
    </w:rPr>
  </w:style>
  <w:style w:type="paragraph" w:styleId="Revision">
    <w:name w:val="Revision"/>
    <w:hidden/>
    <w:uiPriority w:val="99"/>
    <w:semiHidden/>
    <w:rsid w:val="00D353F8"/>
    <w:pPr>
      <w:spacing w:after="0" w:line="240" w:lineRule="auto"/>
    </w:pPr>
    <w:rPr>
      <w:rFonts w:ascii="Times New Roman" w:eastAsia="SimSun" w:hAnsi="Times New Roman" w:cs="Calibri"/>
      <w:sz w:val="24"/>
      <w:szCs w:val="24"/>
      <w:lang w:val="en-US" w:eastAsia="en-US"/>
    </w:rPr>
  </w:style>
  <w:style w:type="character" w:customStyle="1" w:styleId="Heading3Char">
    <w:name w:val="Heading 3 Char"/>
    <w:basedOn w:val="DefaultParagraphFont"/>
    <w:link w:val="Heading3"/>
    <w:uiPriority w:val="9"/>
    <w:rsid w:val="008B7005"/>
    <w:rPr>
      <w:rFonts w:asciiTheme="majorHAnsi" w:eastAsiaTheme="majorEastAsia" w:hAnsiTheme="majorHAnsi" w:cstheme="majorBidi"/>
      <w:color w:val="1F4D78" w:themeColor="accent1" w:themeShade="7F"/>
      <w:sz w:val="24"/>
      <w:szCs w:val="24"/>
      <w:lang w:val="en-US" w:eastAsia="en-US"/>
    </w:rPr>
  </w:style>
  <w:style w:type="paragraph" w:styleId="Bibliography">
    <w:name w:val="Bibliography"/>
    <w:basedOn w:val="Normal"/>
    <w:next w:val="Normal"/>
    <w:uiPriority w:val="37"/>
    <w:unhideWhenUsed/>
    <w:rsid w:val="00F272CA"/>
    <w:pPr>
      <w:ind w:left="720" w:hanging="720"/>
    </w:pPr>
  </w:style>
  <w:style w:type="character" w:styleId="EndnoteReference">
    <w:name w:val="endnote reference"/>
    <w:basedOn w:val="DefaultParagraphFont"/>
    <w:uiPriority w:val="99"/>
    <w:semiHidden/>
    <w:unhideWhenUsed/>
    <w:rsid w:val="002972E0"/>
    <w:rPr>
      <w:vertAlign w:val="superscript"/>
    </w:rPr>
  </w:style>
  <w:style w:type="character" w:customStyle="1" w:styleId="Heading4Char">
    <w:name w:val="Heading 4 Char"/>
    <w:basedOn w:val="DefaultParagraphFont"/>
    <w:link w:val="Heading4"/>
    <w:uiPriority w:val="9"/>
    <w:semiHidden/>
    <w:rsid w:val="002414E9"/>
    <w:rPr>
      <w:rFonts w:eastAsiaTheme="majorEastAsia" w:cstheme="majorBidi"/>
      <w:i/>
      <w:iCs/>
      <w:color w:val="2E74B5" w:themeColor="accent1" w:themeShade="BF"/>
      <w:kern w:val="2"/>
      <w:sz w:val="24"/>
      <w:szCs w:val="24"/>
      <w:lang w:val="en-GB"/>
    </w:rPr>
  </w:style>
  <w:style w:type="character" w:customStyle="1" w:styleId="Heading5Char">
    <w:name w:val="Heading 5 Char"/>
    <w:basedOn w:val="DefaultParagraphFont"/>
    <w:link w:val="Heading5"/>
    <w:uiPriority w:val="9"/>
    <w:semiHidden/>
    <w:rsid w:val="002414E9"/>
    <w:rPr>
      <w:rFonts w:eastAsiaTheme="majorEastAsia" w:cstheme="majorBidi"/>
      <w:color w:val="2E74B5" w:themeColor="accent1" w:themeShade="BF"/>
      <w:kern w:val="2"/>
      <w:sz w:val="24"/>
      <w:szCs w:val="24"/>
      <w:lang w:val="en-GB"/>
    </w:rPr>
  </w:style>
  <w:style w:type="character" w:customStyle="1" w:styleId="Heading6Char">
    <w:name w:val="Heading 6 Char"/>
    <w:basedOn w:val="DefaultParagraphFont"/>
    <w:link w:val="Heading6"/>
    <w:uiPriority w:val="9"/>
    <w:semiHidden/>
    <w:rsid w:val="002414E9"/>
    <w:rPr>
      <w:rFonts w:eastAsiaTheme="majorEastAsia" w:cstheme="majorBidi"/>
      <w:i/>
      <w:iCs/>
      <w:color w:val="595959" w:themeColor="text1" w:themeTint="A6"/>
      <w:kern w:val="2"/>
      <w:sz w:val="24"/>
      <w:szCs w:val="24"/>
      <w:lang w:val="en-GB"/>
    </w:rPr>
  </w:style>
  <w:style w:type="character" w:customStyle="1" w:styleId="Heading7Char">
    <w:name w:val="Heading 7 Char"/>
    <w:basedOn w:val="DefaultParagraphFont"/>
    <w:link w:val="Heading7"/>
    <w:uiPriority w:val="9"/>
    <w:semiHidden/>
    <w:rsid w:val="002414E9"/>
    <w:rPr>
      <w:rFonts w:eastAsiaTheme="majorEastAsia" w:cstheme="majorBidi"/>
      <w:color w:val="595959" w:themeColor="text1" w:themeTint="A6"/>
      <w:kern w:val="2"/>
      <w:sz w:val="24"/>
      <w:szCs w:val="24"/>
      <w:lang w:val="en-GB"/>
    </w:rPr>
  </w:style>
  <w:style w:type="character" w:customStyle="1" w:styleId="Heading8Char">
    <w:name w:val="Heading 8 Char"/>
    <w:basedOn w:val="DefaultParagraphFont"/>
    <w:link w:val="Heading8"/>
    <w:uiPriority w:val="9"/>
    <w:semiHidden/>
    <w:rsid w:val="002414E9"/>
    <w:rPr>
      <w:rFonts w:eastAsiaTheme="majorEastAsia" w:cstheme="majorBidi"/>
      <w:i/>
      <w:iCs/>
      <w:color w:val="272727" w:themeColor="text1" w:themeTint="D8"/>
      <w:kern w:val="2"/>
      <w:sz w:val="24"/>
      <w:szCs w:val="24"/>
      <w:lang w:val="en-GB"/>
    </w:rPr>
  </w:style>
  <w:style w:type="character" w:customStyle="1" w:styleId="Heading9Char">
    <w:name w:val="Heading 9 Char"/>
    <w:basedOn w:val="DefaultParagraphFont"/>
    <w:link w:val="Heading9"/>
    <w:uiPriority w:val="9"/>
    <w:semiHidden/>
    <w:rsid w:val="002414E9"/>
    <w:rPr>
      <w:rFonts w:eastAsiaTheme="majorEastAsia" w:cstheme="majorBidi"/>
      <w:color w:val="272727" w:themeColor="text1" w:themeTint="D8"/>
      <w:kern w:val="2"/>
      <w:sz w:val="24"/>
      <w:szCs w:val="24"/>
      <w:lang w:val="en-GB"/>
    </w:rPr>
  </w:style>
  <w:style w:type="numbering" w:customStyle="1" w:styleId="NoList2">
    <w:name w:val="No List2"/>
    <w:next w:val="NoList"/>
    <w:uiPriority w:val="99"/>
    <w:semiHidden/>
    <w:unhideWhenUsed/>
    <w:rsid w:val="002414E9"/>
  </w:style>
  <w:style w:type="table" w:customStyle="1" w:styleId="ListTable2-Accent31">
    <w:name w:val="List Table 2 - Accent 31"/>
    <w:basedOn w:val="TableNormal"/>
    <w:next w:val="ListTable2-Accent3"/>
    <w:uiPriority w:val="47"/>
    <w:rsid w:val="002414E9"/>
    <w:pPr>
      <w:spacing w:after="0" w:line="240" w:lineRule="auto"/>
    </w:p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3">
    <w:name w:val="List Table 2 Accent 3"/>
    <w:basedOn w:val="TableNormal"/>
    <w:uiPriority w:val="47"/>
    <w:rsid w:val="002414E9"/>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
    <w:name w:val="Table Grid1"/>
    <w:basedOn w:val="TableNormal"/>
    <w:next w:val="TableGrid"/>
    <w:uiPriority w:val="39"/>
    <w:unhideWhenUsed/>
    <w:rsid w:val="002414E9"/>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414E9"/>
    <w:pPr>
      <w:spacing w:after="200" w:line="240" w:lineRule="auto"/>
    </w:pPr>
    <w:rPr>
      <w:rFonts w:eastAsiaTheme="minorEastAsia" w:cstheme="minorBidi"/>
      <w:i/>
      <w:iCs/>
      <w:color w:val="44546A" w:themeColor="text2"/>
      <w:sz w:val="18"/>
      <w:szCs w:val="18"/>
      <w:lang w:val="nl-NL" w:eastAsia="zh-CN"/>
    </w:rPr>
  </w:style>
  <w:style w:type="table" w:customStyle="1" w:styleId="TableGrid2">
    <w:name w:val="Table Grid2"/>
    <w:basedOn w:val="TableNormal"/>
    <w:next w:val="TableGrid"/>
    <w:uiPriority w:val="39"/>
    <w:rsid w:val="00241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241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zh-CN"/>
    </w:rPr>
  </w:style>
  <w:style w:type="character" w:customStyle="1" w:styleId="HTMLPreformattedChar">
    <w:name w:val="HTML Preformatted Char"/>
    <w:basedOn w:val="DefaultParagraphFont"/>
    <w:link w:val="HTMLPreformatted"/>
    <w:uiPriority w:val="99"/>
    <w:semiHidden/>
    <w:rsid w:val="002414E9"/>
    <w:rPr>
      <w:rFonts w:ascii="Courier New" w:eastAsia="Times New Roman" w:hAnsi="Courier New" w:cs="Courier New"/>
      <w:sz w:val="20"/>
      <w:szCs w:val="20"/>
      <w:lang w:val="en-US"/>
    </w:rPr>
  </w:style>
  <w:style w:type="character" w:styleId="LineNumber">
    <w:name w:val="line number"/>
    <w:basedOn w:val="DefaultParagraphFont"/>
    <w:uiPriority w:val="99"/>
    <w:semiHidden/>
    <w:unhideWhenUsed/>
    <w:rsid w:val="002414E9"/>
  </w:style>
  <w:style w:type="paragraph" w:styleId="Title">
    <w:name w:val="Title"/>
    <w:basedOn w:val="Normal"/>
    <w:next w:val="Normal"/>
    <w:link w:val="TitleChar"/>
    <w:uiPriority w:val="10"/>
    <w:qFormat/>
    <w:rsid w:val="002414E9"/>
    <w:pPr>
      <w:spacing w:after="80" w:line="240" w:lineRule="auto"/>
      <w:contextualSpacing/>
    </w:pPr>
    <w:rPr>
      <w:rFonts w:asciiTheme="majorHAnsi" w:eastAsiaTheme="majorEastAsia" w:hAnsiTheme="majorHAnsi" w:cstheme="majorBidi"/>
      <w:spacing w:val="-10"/>
      <w:kern w:val="28"/>
      <w:sz w:val="56"/>
      <w:szCs w:val="56"/>
      <w:lang w:val="en-GB" w:eastAsia="zh-CN"/>
    </w:rPr>
  </w:style>
  <w:style w:type="character" w:customStyle="1" w:styleId="TitleChar">
    <w:name w:val="Title Char"/>
    <w:basedOn w:val="DefaultParagraphFont"/>
    <w:link w:val="Title"/>
    <w:uiPriority w:val="10"/>
    <w:rsid w:val="002414E9"/>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2414E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GB" w:eastAsia="zh-CN"/>
    </w:rPr>
  </w:style>
  <w:style w:type="character" w:customStyle="1" w:styleId="SubtitleChar">
    <w:name w:val="Subtitle Char"/>
    <w:basedOn w:val="DefaultParagraphFont"/>
    <w:link w:val="Subtitle"/>
    <w:uiPriority w:val="11"/>
    <w:rsid w:val="002414E9"/>
    <w:rPr>
      <w:rFonts w:eastAsiaTheme="majorEastAsia" w:cstheme="majorBidi"/>
      <w:color w:val="595959" w:themeColor="text1" w:themeTint="A6"/>
      <w:spacing w:val="15"/>
      <w:kern w:val="2"/>
      <w:sz w:val="28"/>
      <w:szCs w:val="28"/>
      <w:lang w:val="en-GB"/>
    </w:rPr>
  </w:style>
  <w:style w:type="paragraph" w:styleId="Quote">
    <w:name w:val="Quote"/>
    <w:basedOn w:val="Normal"/>
    <w:next w:val="Normal"/>
    <w:link w:val="QuoteChar"/>
    <w:uiPriority w:val="29"/>
    <w:qFormat/>
    <w:rsid w:val="002414E9"/>
    <w:pPr>
      <w:spacing w:before="160" w:after="160" w:line="278" w:lineRule="auto"/>
      <w:jc w:val="center"/>
    </w:pPr>
    <w:rPr>
      <w:rFonts w:asciiTheme="minorHAnsi" w:eastAsiaTheme="minorEastAsia" w:hAnsiTheme="minorHAnsi" w:cstheme="minorBidi"/>
      <w:i/>
      <w:iCs/>
      <w:color w:val="404040" w:themeColor="text1" w:themeTint="BF"/>
      <w:kern w:val="2"/>
      <w:lang w:val="en-GB" w:eastAsia="zh-CN"/>
    </w:rPr>
  </w:style>
  <w:style w:type="character" w:customStyle="1" w:styleId="QuoteChar">
    <w:name w:val="Quote Char"/>
    <w:basedOn w:val="DefaultParagraphFont"/>
    <w:link w:val="Quote"/>
    <w:uiPriority w:val="29"/>
    <w:rsid w:val="002414E9"/>
    <w:rPr>
      <w:i/>
      <w:iCs/>
      <w:color w:val="404040" w:themeColor="text1" w:themeTint="BF"/>
      <w:kern w:val="2"/>
      <w:sz w:val="24"/>
      <w:szCs w:val="24"/>
      <w:lang w:val="en-GB"/>
    </w:rPr>
  </w:style>
  <w:style w:type="character" w:styleId="IntenseEmphasis">
    <w:name w:val="Intense Emphasis"/>
    <w:basedOn w:val="DefaultParagraphFont"/>
    <w:uiPriority w:val="21"/>
    <w:qFormat/>
    <w:rsid w:val="002414E9"/>
    <w:rPr>
      <w:i/>
      <w:iCs/>
      <w:color w:val="2E74B5" w:themeColor="accent1" w:themeShade="BF"/>
    </w:rPr>
  </w:style>
  <w:style w:type="paragraph" w:styleId="IntenseQuote">
    <w:name w:val="Intense Quote"/>
    <w:basedOn w:val="Normal"/>
    <w:next w:val="Normal"/>
    <w:link w:val="IntenseQuoteChar"/>
    <w:uiPriority w:val="30"/>
    <w:qFormat/>
    <w:rsid w:val="002414E9"/>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EastAsia" w:hAnsiTheme="minorHAnsi" w:cstheme="minorBidi"/>
      <w:i/>
      <w:iCs/>
      <w:color w:val="2E74B5" w:themeColor="accent1" w:themeShade="BF"/>
      <w:kern w:val="2"/>
      <w:lang w:val="en-GB" w:eastAsia="zh-CN"/>
    </w:rPr>
  </w:style>
  <w:style w:type="character" w:customStyle="1" w:styleId="IntenseQuoteChar">
    <w:name w:val="Intense Quote Char"/>
    <w:basedOn w:val="DefaultParagraphFont"/>
    <w:link w:val="IntenseQuote"/>
    <w:uiPriority w:val="30"/>
    <w:rsid w:val="002414E9"/>
    <w:rPr>
      <w:i/>
      <w:iCs/>
      <w:color w:val="2E74B5" w:themeColor="accent1" w:themeShade="BF"/>
      <w:kern w:val="2"/>
      <w:sz w:val="24"/>
      <w:szCs w:val="24"/>
      <w:lang w:val="en-GB"/>
    </w:rPr>
  </w:style>
  <w:style w:type="character" w:styleId="IntenseReference">
    <w:name w:val="Intense Reference"/>
    <w:basedOn w:val="DefaultParagraphFont"/>
    <w:uiPriority w:val="32"/>
    <w:qFormat/>
    <w:rsid w:val="002414E9"/>
    <w:rPr>
      <w:b/>
      <w:bCs/>
      <w:smallCaps/>
      <w:color w:val="2E74B5" w:themeColor="accent1" w:themeShade="BF"/>
      <w:spacing w:val="5"/>
    </w:rPr>
  </w:style>
  <w:style w:type="numbering" w:customStyle="1" w:styleId="NoList11">
    <w:name w:val="No List11"/>
    <w:next w:val="NoList"/>
    <w:uiPriority w:val="99"/>
    <w:semiHidden/>
    <w:unhideWhenUsed/>
    <w:rsid w:val="002414E9"/>
  </w:style>
  <w:style w:type="paragraph" w:customStyle="1" w:styleId="TOCHeading1">
    <w:name w:val="TOC Heading1"/>
    <w:basedOn w:val="Heading1"/>
    <w:next w:val="Normal"/>
    <w:uiPriority w:val="39"/>
    <w:unhideWhenUsed/>
    <w:qFormat/>
    <w:rsid w:val="002414E9"/>
    <w:pPr>
      <w:spacing w:before="240" w:line="259" w:lineRule="auto"/>
      <w:outlineLvl w:val="9"/>
    </w:pPr>
    <w:rPr>
      <w:rFonts w:asciiTheme="majorHAnsi" w:hAnsiTheme="majorHAnsi"/>
      <w:b w:val="0"/>
      <w:color w:val="2E74B5" w:themeColor="accent1" w:themeShade="BF"/>
      <w:sz w:val="32"/>
    </w:rPr>
  </w:style>
  <w:style w:type="character" w:customStyle="1" w:styleId="Hyperlink1">
    <w:name w:val="Hyperlink1"/>
    <w:basedOn w:val="DefaultParagraphFont"/>
    <w:uiPriority w:val="99"/>
    <w:unhideWhenUsed/>
    <w:rsid w:val="002414E9"/>
    <w:rPr>
      <w:color w:val="0563C1"/>
      <w:u w:val="single"/>
    </w:rPr>
  </w:style>
  <w:style w:type="paragraph" w:customStyle="1" w:styleId="TOC31">
    <w:name w:val="TOC 31"/>
    <w:basedOn w:val="Normal"/>
    <w:next w:val="Normal"/>
    <w:autoRedefine/>
    <w:uiPriority w:val="39"/>
    <w:unhideWhenUsed/>
    <w:rsid w:val="002414E9"/>
    <w:pPr>
      <w:spacing w:after="100" w:line="259" w:lineRule="auto"/>
      <w:ind w:left="440"/>
    </w:pPr>
    <w:rPr>
      <w:rFonts w:eastAsiaTheme="minorEastAsia" w:cs="Times New Roman"/>
      <w:sz w:val="22"/>
      <w:szCs w:val="22"/>
    </w:rPr>
  </w:style>
  <w:style w:type="numbering" w:customStyle="1" w:styleId="NoList111">
    <w:name w:val="No List111"/>
    <w:next w:val="NoList"/>
    <w:uiPriority w:val="99"/>
    <w:semiHidden/>
    <w:unhideWhenUsed/>
    <w:rsid w:val="002414E9"/>
  </w:style>
  <w:style w:type="character" w:customStyle="1" w:styleId="FollowedHyperlink2">
    <w:name w:val="FollowedHyperlink2"/>
    <w:basedOn w:val="DefaultParagraphFont"/>
    <w:uiPriority w:val="99"/>
    <w:semiHidden/>
    <w:unhideWhenUsed/>
    <w:rsid w:val="002414E9"/>
    <w:rPr>
      <w:color w:val="954F72"/>
      <w:u w:val="single"/>
    </w:rPr>
  </w:style>
  <w:style w:type="paragraph" w:customStyle="1" w:styleId="FootnoteText1">
    <w:name w:val="Footnote Text1"/>
    <w:basedOn w:val="Normal"/>
    <w:next w:val="FootnoteText"/>
    <w:uiPriority w:val="99"/>
    <w:semiHidden/>
    <w:unhideWhenUsed/>
    <w:rsid w:val="002414E9"/>
    <w:pPr>
      <w:spacing w:line="240" w:lineRule="auto"/>
    </w:pPr>
    <w:rPr>
      <w:rFonts w:eastAsiaTheme="minorEastAsia" w:cstheme="minorBidi"/>
      <w:kern w:val="2"/>
      <w:sz w:val="20"/>
      <w:szCs w:val="20"/>
      <w:lang w:val="en-GB" w:eastAsia="zh-CN"/>
    </w:rPr>
  </w:style>
  <w:style w:type="character" w:customStyle="1" w:styleId="FootnoteTextChar1">
    <w:name w:val="Footnote Text Char1"/>
    <w:basedOn w:val="DefaultParagraphFont"/>
    <w:uiPriority w:val="99"/>
    <w:semiHidden/>
    <w:rsid w:val="002414E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19147">
      <w:bodyDiv w:val="1"/>
      <w:marLeft w:val="0"/>
      <w:marRight w:val="0"/>
      <w:marTop w:val="0"/>
      <w:marBottom w:val="0"/>
      <w:divBdr>
        <w:top w:val="none" w:sz="0" w:space="0" w:color="auto"/>
        <w:left w:val="none" w:sz="0" w:space="0" w:color="auto"/>
        <w:bottom w:val="none" w:sz="0" w:space="0" w:color="auto"/>
        <w:right w:val="none" w:sz="0" w:space="0" w:color="auto"/>
      </w:divBdr>
    </w:div>
    <w:div w:id="54398542">
      <w:bodyDiv w:val="1"/>
      <w:marLeft w:val="0"/>
      <w:marRight w:val="0"/>
      <w:marTop w:val="0"/>
      <w:marBottom w:val="0"/>
      <w:divBdr>
        <w:top w:val="none" w:sz="0" w:space="0" w:color="auto"/>
        <w:left w:val="none" w:sz="0" w:space="0" w:color="auto"/>
        <w:bottom w:val="none" w:sz="0" w:space="0" w:color="auto"/>
        <w:right w:val="none" w:sz="0" w:space="0" w:color="auto"/>
      </w:divBdr>
    </w:div>
    <w:div w:id="55863473">
      <w:bodyDiv w:val="1"/>
      <w:marLeft w:val="0"/>
      <w:marRight w:val="0"/>
      <w:marTop w:val="0"/>
      <w:marBottom w:val="0"/>
      <w:divBdr>
        <w:top w:val="none" w:sz="0" w:space="0" w:color="auto"/>
        <w:left w:val="none" w:sz="0" w:space="0" w:color="auto"/>
        <w:bottom w:val="none" w:sz="0" w:space="0" w:color="auto"/>
        <w:right w:val="none" w:sz="0" w:space="0" w:color="auto"/>
      </w:divBdr>
    </w:div>
    <w:div w:id="55931543">
      <w:bodyDiv w:val="1"/>
      <w:marLeft w:val="0"/>
      <w:marRight w:val="0"/>
      <w:marTop w:val="0"/>
      <w:marBottom w:val="0"/>
      <w:divBdr>
        <w:top w:val="none" w:sz="0" w:space="0" w:color="auto"/>
        <w:left w:val="none" w:sz="0" w:space="0" w:color="auto"/>
        <w:bottom w:val="none" w:sz="0" w:space="0" w:color="auto"/>
        <w:right w:val="none" w:sz="0" w:space="0" w:color="auto"/>
      </w:divBdr>
    </w:div>
    <w:div w:id="58599762">
      <w:bodyDiv w:val="1"/>
      <w:marLeft w:val="0"/>
      <w:marRight w:val="0"/>
      <w:marTop w:val="0"/>
      <w:marBottom w:val="0"/>
      <w:divBdr>
        <w:top w:val="none" w:sz="0" w:space="0" w:color="auto"/>
        <w:left w:val="none" w:sz="0" w:space="0" w:color="auto"/>
        <w:bottom w:val="none" w:sz="0" w:space="0" w:color="auto"/>
        <w:right w:val="none" w:sz="0" w:space="0" w:color="auto"/>
      </w:divBdr>
    </w:div>
    <w:div w:id="71005595">
      <w:bodyDiv w:val="1"/>
      <w:marLeft w:val="0"/>
      <w:marRight w:val="0"/>
      <w:marTop w:val="0"/>
      <w:marBottom w:val="0"/>
      <w:divBdr>
        <w:top w:val="none" w:sz="0" w:space="0" w:color="auto"/>
        <w:left w:val="none" w:sz="0" w:space="0" w:color="auto"/>
        <w:bottom w:val="none" w:sz="0" w:space="0" w:color="auto"/>
        <w:right w:val="none" w:sz="0" w:space="0" w:color="auto"/>
      </w:divBdr>
    </w:div>
    <w:div w:id="74056346">
      <w:bodyDiv w:val="1"/>
      <w:marLeft w:val="0"/>
      <w:marRight w:val="0"/>
      <w:marTop w:val="0"/>
      <w:marBottom w:val="0"/>
      <w:divBdr>
        <w:top w:val="none" w:sz="0" w:space="0" w:color="auto"/>
        <w:left w:val="none" w:sz="0" w:space="0" w:color="auto"/>
        <w:bottom w:val="none" w:sz="0" w:space="0" w:color="auto"/>
        <w:right w:val="none" w:sz="0" w:space="0" w:color="auto"/>
      </w:divBdr>
    </w:div>
    <w:div w:id="75590841">
      <w:bodyDiv w:val="1"/>
      <w:marLeft w:val="0"/>
      <w:marRight w:val="0"/>
      <w:marTop w:val="0"/>
      <w:marBottom w:val="0"/>
      <w:divBdr>
        <w:top w:val="none" w:sz="0" w:space="0" w:color="auto"/>
        <w:left w:val="none" w:sz="0" w:space="0" w:color="auto"/>
        <w:bottom w:val="none" w:sz="0" w:space="0" w:color="auto"/>
        <w:right w:val="none" w:sz="0" w:space="0" w:color="auto"/>
      </w:divBdr>
    </w:div>
    <w:div w:id="86731308">
      <w:bodyDiv w:val="1"/>
      <w:marLeft w:val="0"/>
      <w:marRight w:val="0"/>
      <w:marTop w:val="0"/>
      <w:marBottom w:val="0"/>
      <w:divBdr>
        <w:top w:val="none" w:sz="0" w:space="0" w:color="auto"/>
        <w:left w:val="none" w:sz="0" w:space="0" w:color="auto"/>
        <w:bottom w:val="none" w:sz="0" w:space="0" w:color="auto"/>
        <w:right w:val="none" w:sz="0" w:space="0" w:color="auto"/>
      </w:divBdr>
    </w:div>
    <w:div w:id="206720840">
      <w:bodyDiv w:val="1"/>
      <w:marLeft w:val="0"/>
      <w:marRight w:val="0"/>
      <w:marTop w:val="0"/>
      <w:marBottom w:val="0"/>
      <w:divBdr>
        <w:top w:val="none" w:sz="0" w:space="0" w:color="auto"/>
        <w:left w:val="none" w:sz="0" w:space="0" w:color="auto"/>
        <w:bottom w:val="none" w:sz="0" w:space="0" w:color="auto"/>
        <w:right w:val="none" w:sz="0" w:space="0" w:color="auto"/>
      </w:divBdr>
    </w:div>
    <w:div w:id="224993495">
      <w:bodyDiv w:val="1"/>
      <w:marLeft w:val="0"/>
      <w:marRight w:val="0"/>
      <w:marTop w:val="0"/>
      <w:marBottom w:val="0"/>
      <w:divBdr>
        <w:top w:val="none" w:sz="0" w:space="0" w:color="auto"/>
        <w:left w:val="none" w:sz="0" w:space="0" w:color="auto"/>
        <w:bottom w:val="none" w:sz="0" w:space="0" w:color="auto"/>
        <w:right w:val="none" w:sz="0" w:space="0" w:color="auto"/>
      </w:divBdr>
    </w:div>
    <w:div w:id="253898289">
      <w:bodyDiv w:val="1"/>
      <w:marLeft w:val="0"/>
      <w:marRight w:val="0"/>
      <w:marTop w:val="0"/>
      <w:marBottom w:val="0"/>
      <w:divBdr>
        <w:top w:val="none" w:sz="0" w:space="0" w:color="auto"/>
        <w:left w:val="none" w:sz="0" w:space="0" w:color="auto"/>
        <w:bottom w:val="none" w:sz="0" w:space="0" w:color="auto"/>
        <w:right w:val="none" w:sz="0" w:space="0" w:color="auto"/>
      </w:divBdr>
    </w:div>
    <w:div w:id="277105558">
      <w:bodyDiv w:val="1"/>
      <w:marLeft w:val="0"/>
      <w:marRight w:val="0"/>
      <w:marTop w:val="0"/>
      <w:marBottom w:val="0"/>
      <w:divBdr>
        <w:top w:val="none" w:sz="0" w:space="0" w:color="auto"/>
        <w:left w:val="none" w:sz="0" w:space="0" w:color="auto"/>
        <w:bottom w:val="none" w:sz="0" w:space="0" w:color="auto"/>
        <w:right w:val="none" w:sz="0" w:space="0" w:color="auto"/>
      </w:divBdr>
    </w:div>
    <w:div w:id="295381188">
      <w:bodyDiv w:val="1"/>
      <w:marLeft w:val="0"/>
      <w:marRight w:val="0"/>
      <w:marTop w:val="0"/>
      <w:marBottom w:val="0"/>
      <w:divBdr>
        <w:top w:val="none" w:sz="0" w:space="0" w:color="auto"/>
        <w:left w:val="none" w:sz="0" w:space="0" w:color="auto"/>
        <w:bottom w:val="none" w:sz="0" w:space="0" w:color="auto"/>
        <w:right w:val="none" w:sz="0" w:space="0" w:color="auto"/>
      </w:divBdr>
    </w:div>
    <w:div w:id="310447780">
      <w:bodyDiv w:val="1"/>
      <w:marLeft w:val="0"/>
      <w:marRight w:val="0"/>
      <w:marTop w:val="0"/>
      <w:marBottom w:val="0"/>
      <w:divBdr>
        <w:top w:val="none" w:sz="0" w:space="0" w:color="auto"/>
        <w:left w:val="none" w:sz="0" w:space="0" w:color="auto"/>
        <w:bottom w:val="none" w:sz="0" w:space="0" w:color="auto"/>
        <w:right w:val="none" w:sz="0" w:space="0" w:color="auto"/>
      </w:divBdr>
    </w:div>
    <w:div w:id="315112666">
      <w:bodyDiv w:val="1"/>
      <w:marLeft w:val="0"/>
      <w:marRight w:val="0"/>
      <w:marTop w:val="0"/>
      <w:marBottom w:val="0"/>
      <w:divBdr>
        <w:top w:val="none" w:sz="0" w:space="0" w:color="auto"/>
        <w:left w:val="none" w:sz="0" w:space="0" w:color="auto"/>
        <w:bottom w:val="none" w:sz="0" w:space="0" w:color="auto"/>
        <w:right w:val="none" w:sz="0" w:space="0" w:color="auto"/>
      </w:divBdr>
    </w:div>
    <w:div w:id="367488209">
      <w:bodyDiv w:val="1"/>
      <w:marLeft w:val="0"/>
      <w:marRight w:val="0"/>
      <w:marTop w:val="0"/>
      <w:marBottom w:val="0"/>
      <w:divBdr>
        <w:top w:val="none" w:sz="0" w:space="0" w:color="auto"/>
        <w:left w:val="none" w:sz="0" w:space="0" w:color="auto"/>
        <w:bottom w:val="none" w:sz="0" w:space="0" w:color="auto"/>
        <w:right w:val="none" w:sz="0" w:space="0" w:color="auto"/>
      </w:divBdr>
    </w:div>
    <w:div w:id="388769431">
      <w:bodyDiv w:val="1"/>
      <w:marLeft w:val="0"/>
      <w:marRight w:val="0"/>
      <w:marTop w:val="0"/>
      <w:marBottom w:val="0"/>
      <w:divBdr>
        <w:top w:val="none" w:sz="0" w:space="0" w:color="auto"/>
        <w:left w:val="none" w:sz="0" w:space="0" w:color="auto"/>
        <w:bottom w:val="none" w:sz="0" w:space="0" w:color="auto"/>
        <w:right w:val="none" w:sz="0" w:space="0" w:color="auto"/>
      </w:divBdr>
    </w:div>
    <w:div w:id="417479857">
      <w:bodyDiv w:val="1"/>
      <w:marLeft w:val="0"/>
      <w:marRight w:val="0"/>
      <w:marTop w:val="0"/>
      <w:marBottom w:val="0"/>
      <w:divBdr>
        <w:top w:val="none" w:sz="0" w:space="0" w:color="auto"/>
        <w:left w:val="none" w:sz="0" w:space="0" w:color="auto"/>
        <w:bottom w:val="none" w:sz="0" w:space="0" w:color="auto"/>
        <w:right w:val="none" w:sz="0" w:space="0" w:color="auto"/>
      </w:divBdr>
    </w:div>
    <w:div w:id="449203884">
      <w:bodyDiv w:val="1"/>
      <w:marLeft w:val="0"/>
      <w:marRight w:val="0"/>
      <w:marTop w:val="0"/>
      <w:marBottom w:val="0"/>
      <w:divBdr>
        <w:top w:val="none" w:sz="0" w:space="0" w:color="auto"/>
        <w:left w:val="none" w:sz="0" w:space="0" w:color="auto"/>
        <w:bottom w:val="none" w:sz="0" w:space="0" w:color="auto"/>
        <w:right w:val="none" w:sz="0" w:space="0" w:color="auto"/>
      </w:divBdr>
    </w:div>
    <w:div w:id="452788980">
      <w:bodyDiv w:val="1"/>
      <w:marLeft w:val="0"/>
      <w:marRight w:val="0"/>
      <w:marTop w:val="0"/>
      <w:marBottom w:val="0"/>
      <w:divBdr>
        <w:top w:val="none" w:sz="0" w:space="0" w:color="auto"/>
        <w:left w:val="none" w:sz="0" w:space="0" w:color="auto"/>
        <w:bottom w:val="none" w:sz="0" w:space="0" w:color="auto"/>
        <w:right w:val="none" w:sz="0" w:space="0" w:color="auto"/>
      </w:divBdr>
    </w:div>
    <w:div w:id="458954107">
      <w:bodyDiv w:val="1"/>
      <w:marLeft w:val="0"/>
      <w:marRight w:val="0"/>
      <w:marTop w:val="0"/>
      <w:marBottom w:val="0"/>
      <w:divBdr>
        <w:top w:val="none" w:sz="0" w:space="0" w:color="auto"/>
        <w:left w:val="none" w:sz="0" w:space="0" w:color="auto"/>
        <w:bottom w:val="none" w:sz="0" w:space="0" w:color="auto"/>
        <w:right w:val="none" w:sz="0" w:space="0" w:color="auto"/>
      </w:divBdr>
    </w:div>
    <w:div w:id="467669859">
      <w:bodyDiv w:val="1"/>
      <w:marLeft w:val="0"/>
      <w:marRight w:val="0"/>
      <w:marTop w:val="0"/>
      <w:marBottom w:val="0"/>
      <w:divBdr>
        <w:top w:val="none" w:sz="0" w:space="0" w:color="auto"/>
        <w:left w:val="none" w:sz="0" w:space="0" w:color="auto"/>
        <w:bottom w:val="none" w:sz="0" w:space="0" w:color="auto"/>
        <w:right w:val="none" w:sz="0" w:space="0" w:color="auto"/>
      </w:divBdr>
    </w:div>
    <w:div w:id="496846937">
      <w:bodyDiv w:val="1"/>
      <w:marLeft w:val="0"/>
      <w:marRight w:val="0"/>
      <w:marTop w:val="0"/>
      <w:marBottom w:val="0"/>
      <w:divBdr>
        <w:top w:val="none" w:sz="0" w:space="0" w:color="auto"/>
        <w:left w:val="none" w:sz="0" w:space="0" w:color="auto"/>
        <w:bottom w:val="none" w:sz="0" w:space="0" w:color="auto"/>
        <w:right w:val="none" w:sz="0" w:space="0" w:color="auto"/>
      </w:divBdr>
    </w:div>
    <w:div w:id="508909052">
      <w:bodyDiv w:val="1"/>
      <w:marLeft w:val="0"/>
      <w:marRight w:val="0"/>
      <w:marTop w:val="0"/>
      <w:marBottom w:val="0"/>
      <w:divBdr>
        <w:top w:val="none" w:sz="0" w:space="0" w:color="auto"/>
        <w:left w:val="none" w:sz="0" w:space="0" w:color="auto"/>
        <w:bottom w:val="none" w:sz="0" w:space="0" w:color="auto"/>
        <w:right w:val="none" w:sz="0" w:space="0" w:color="auto"/>
      </w:divBdr>
    </w:div>
    <w:div w:id="531962104">
      <w:bodyDiv w:val="1"/>
      <w:marLeft w:val="0"/>
      <w:marRight w:val="0"/>
      <w:marTop w:val="0"/>
      <w:marBottom w:val="0"/>
      <w:divBdr>
        <w:top w:val="none" w:sz="0" w:space="0" w:color="auto"/>
        <w:left w:val="none" w:sz="0" w:space="0" w:color="auto"/>
        <w:bottom w:val="none" w:sz="0" w:space="0" w:color="auto"/>
        <w:right w:val="none" w:sz="0" w:space="0" w:color="auto"/>
      </w:divBdr>
    </w:div>
    <w:div w:id="533152715">
      <w:bodyDiv w:val="1"/>
      <w:marLeft w:val="0"/>
      <w:marRight w:val="0"/>
      <w:marTop w:val="0"/>
      <w:marBottom w:val="0"/>
      <w:divBdr>
        <w:top w:val="none" w:sz="0" w:space="0" w:color="auto"/>
        <w:left w:val="none" w:sz="0" w:space="0" w:color="auto"/>
        <w:bottom w:val="none" w:sz="0" w:space="0" w:color="auto"/>
        <w:right w:val="none" w:sz="0" w:space="0" w:color="auto"/>
      </w:divBdr>
    </w:div>
    <w:div w:id="538709514">
      <w:bodyDiv w:val="1"/>
      <w:marLeft w:val="0"/>
      <w:marRight w:val="0"/>
      <w:marTop w:val="0"/>
      <w:marBottom w:val="0"/>
      <w:divBdr>
        <w:top w:val="none" w:sz="0" w:space="0" w:color="auto"/>
        <w:left w:val="none" w:sz="0" w:space="0" w:color="auto"/>
        <w:bottom w:val="none" w:sz="0" w:space="0" w:color="auto"/>
        <w:right w:val="none" w:sz="0" w:space="0" w:color="auto"/>
      </w:divBdr>
    </w:div>
    <w:div w:id="539442411">
      <w:bodyDiv w:val="1"/>
      <w:marLeft w:val="0"/>
      <w:marRight w:val="0"/>
      <w:marTop w:val="0"/>
      <w:marBottom w:val="0"/>
      <w:divBdr>
        <w:top w:val="none" w:sz="0" w:space="0" w:color="auto"/>
        <w:left w:val="none" w:sz="0" w:space="0" w:color="auto"/>
        <w:bottom w:val="none" w:sz="0" w:space="0" w:color="auto"/>
        <w:right w:val="none" w:sz="0" w:space="0" w:color="auto"/>
      </w:divBdr>
    </w:div>
    <w:div w:id="546382066">
      <w:bodyDiv w:val="1"/>
      <w:marLeft w:val="0"/>
      <w:marRight w:val="0"/>
      <w:marTop w:val="0"/>
      <w:marBottom w:val="0"/>
      <w:divBdr>
        <w:top w:val="none" w:sz="0" w:space="0" w:color="auto"/>
        <w:left w:val="none" w:sz="0" w:space="0" w:color="auto"/>
        <w:bottom w:val="none" w:sz="0" w:space="0" w:color="auto"/>
        <w:right w:val="none" w:sz="0" w:space="0" w:color="auto"/>
      </w:divBdr>
    </w:div>
    <w:div w:id="553657055">
      <w:bodyDiv w:val="1"/>
      <w:marLeft w:val="0"/>
      <w:marRight w:val="0"/>
      <w:marTop w:val="0"/>
      <w:marBottom w:val="0"/>
      <w:divBdr>
        <w:top w:val="none" w:sz="0" w:space="0" w:color="auto"/>
        <w:left w:val="none" w:sz="0" w:space="0" w:color="auto"/>
        <w:bottom w:val="none" w:sz="0" w:space="0" w:color="auto"/>
        <w:right w:val="none" w:sz="0" w:space="0" w:color="auto"/>
      </w:divBdr>
    </w:div>
    <w:div w:id="563178501">
      <w:bodyDiv w:val="1"/>
      <w:marLeft w:val="0"/>
      <w:marRight w:val="0"/>
      <w:marTop w:val="0"/>
      <w:marBottom w:val="0"/>
      <w:divBdr>
        <w:top w:val="none" w:sz="0" w:space="0" w:color="auto"/>
        <w:left w:val="none" w:sz="0" w:space="0" w:color="auto"/>
        <w:bottom w:val="none" w:sz="0" w:space="0" w:color="auto"/>
        <w:right w:val="none" w:sz="0" w:space="0" w:color="auto"/>
      </w:divBdr>
    </w:div>
    <w:div w:id="611520212">
      <w:bodyDiv w:val="1"/>
      <w:marLeft w:val="0"/>
      <w:marRight w:val="0"/>
      <w:marTop w:val="0"/>
      <w:marBottom w:val="0"/>
      <w:divBdr>
        <w:top w:val="none" w:sz="0" w:space="0" w:color="auto"/>
        <w:left w:val="none" w:sz="0" w:space="0" w:color="auto"/>
        <w:bottom w:val="none" w:sz="0" w:space="0" w:color="auto"/>
        <w:right w:val="none" w:sz="0" w:space="0" w:color="auto"/>
      </w:divBdr>
    </w:div>
    <w:div w:id="638532383">
      <w:bodyDiv w:val="1"/>
      <w:marLeft w:val="0"/>
      <w:marRight w:val="0"/>
      <w:marTop w:val="0"/>
      <w:marBottom w:val="0"/>
      <w:divBdr>
        <w:top w:val="none" w:sz="0" w:space="0" w:color="auto"/>
        <w:left w:val="none" w:sz="0" w:space="0" w:color="auto"/>
        <w:bottom w:val="none" w:sz="0" w:space="0" w:color="auto"/>
        <w:right w:val="none" w:sz="0" w:space="0" w:color="auto"/>
      </w:divBdr>
    </w:div>
    <w:div w:id="644549011">
      <w:bodyDiv w:val="1"/>
      <w:marLeft w:val="0"/>
      <w:marRight w:val="0"/>
      <w:marTop w:val="0"/>
      <w:marBottom w:val="0"/>
      <w:divBdr>
        <w:top w:val="none" w:sz="0" w:space="0" w:color="auto"/>
        <w:left w:val="none" w:sz="0" w:space="0" w:color="auto"/>
        <w:bottom w:val="none" w:sz="0" w:space="0" w:color="auto"/>
        <w:right w:val="none" w:sz="0" w:space="0" w:color="auto"/>
      </w:divBdr>
    </w:div>
    <w:div w:id="664282397">
      <w:bodyDiv w:val="1"/>
      <w:marLeft w:val="0"/>
      <w:marRight w:val="0"/>
      <w:marTop w:val="0"/>
      <w:marBottom w:val="0"/>
      <w:divBdr>
        <w:top w:val="none" w:sz="0" w:space="0" w:color="auto"/>
        <w:left w:val="none" w:sz="0" w:space="0" w:color="auto"/>
        <w:bottom w:val="none" w:sz="0" w:space="0" w:color="auto"/>
        <w:right w:val="none" w:sz="0" w:space="0" w:color="auto"/>
      </w:divBdr>
    </w:div>
    <w:div w:id="699865038">
      <w:bodyDiv w:val="1"/>
      <w:marLeft w:val="0"/>
      <w:marRight w:val="0"/>
      <w:marTop w:val="0"/>
      <w:marBottom w:val="0"/>
      <w:divBdr>
        <w:top w:val="none" w:sz="0" w:space="0" w:color="auto"/>
        <w:left w:val="none" w:sz="0" w:space="0" w:color="auto"/>
        <w:bottom w:val="none" w:sz="0" w:space="0" w:color="auto"/>
        <w:right w:val="none" w:sz="0" w:space="0" w:color="auto"/>
      </w:divBdr>
    </w:div>
    <w:div w:id="700013055">
      <w:bodyDiv w:val="1"/>
      <w:marLeft w:val="0"/>
      <w:marRight w:val="0"/>
      <w:marTop w:val="0"/>
      <w:marBottom w:val="0"/>
      <w:divBdr>
        <w:top w:val="none" w:sz="0" w:space="0" w:color="auto"/>
        <w:left w:val="none" w:sz="0" w:space="0" w:color="auto"/>
        <w:bottom w:val="none" w:sz="0" w:space="0" w:color="auto"/>
        <w:right w:val="none" w:sz="0" w:space="0" w:color="auto"/>
      </w:divBdr>
    </w:div>
    <w:div w:id="707611392">
      <w:bodyDiv w:val="1"/>
      <w:marLeft w:val="0"/>
      <w:marRight w:val="0"/>
      <w:marTop w:val="0"/>
      <w:marBottom w:val="0"/>
      <w:divBdr>
        <w:top w:val="none" w:sz="0" w:space="0" w:color="auto"/>
        <w:left w:val="none" w:sz="0" w:space="0" w:color="auto"/>
        <w:bottom w:val="none" w:sz="0" w:space="0" w:color="auto"/>
        <w:right w:val="none" w:sz="0" w:space="0" w:color="auto"/>
      </w:divBdr>
    </w:div>
    <w:div w:id="720059244">
      <w:bodyDiv w:val="1"/>
      <w:marLeft w:val="0"/>
      <w:marRight w:val="0"/>
      <w:marTop w:val="0"/>
      <w:marBottom w:val="0"/>
      <w:divBdr>
        <w:top w:val="none" w:sz="0" w:space="0" w:color="auto"/>
        <w:left w:val="none" w:sz="0" w:space="0" w:color="auto"/>
        <w:bottom w:val="none" w:sz="0" w:space="0" w:color="auto"/>
        <w:right w:val="none" w:sz="0" w:space="0" w:color="auto"/>
      </w:divBdr>
    </w:div>
    <w:div w:id="747269670">
      <w:bodyDiv w:val="1"/>
      <w:marLeft w:val="0"/>
      <w:marRight w:val="0"/>
      <w:marTop w:val="0"/>
      <w:marBottom w:val="0"/>
      <w:divBdr>
        <w:top w:val="none" w:sz="0" w:space="0" w:color="auto"/>
        <w:left w:val="none" w:sz="0" w:space="0" w:color="auto"/>
        <w:bottom w:val="none" w:sz="0" w:space="0" w:color="auto"/>
        <w:right w:val="none" w:sz="0" w:space="0" w:color="auto"/>
      </w:divBdr>
    </w:div>
    <w:div w:id="784887765">
      <w:bodyDiv w:val="1"/>
      <w:marLeft w:val="0"/>
      <w:marRight w:val="0"/>
      <w:marTop w:val="0"/>
      <w:marBottom w:val="0"/>
      <w:divBdr>
        <w:top w:val="none" w:sz="0" w:space="0" w:color="auto"/>
        <w:left w:val="none" w:sz="0" w:space="0" w:color="auto"/>
        <w:bottom w:val="none" w:sz="0" w:space="0" w:color="auto"/>
        <w:right w:val="none" w:sz="0" w:space="0" w:color="auto"/>
      </w:divBdr>
    </w:div>
    <w:div w:id="790055366">
      <w:bodyDiv w:val="1"/>
      <w:marLeft w:val="0"/>
      <w:marRight w:val="0"/>
      <w:marTop w:val="0"/>
      <w:marBottom w:val="0"/>
      <w:divBdr>
        <w:top w:val="none" w:sz="0" w:space="0" w:color="auto"/>
        <w:left w:val="none" w:sz="0" w:space="0" w:color="auto"/>
        <w:bottom w:val="none" w:sz="0" w:space="0" w:color="auto"/>
        <w:right w:val="none" w:sz="0" w:space="0" w:color="auto"/>
      </w:divBdr>
    </w:div>
    <w:div w:id="822162929">
      <w:bodyDiv w:val="1"/>
      <w:marLeft w:val="0"/>
      <w:marRight w:val="0"/>
      <w:marTop w:val="0"/>
      <w:marBottom w:val="0"/>
      <w:divBdr>
        <w:top w:val="none" w:sz="0" w:space="0" w:color="auto"/>
        <w:left w:val="none" w:sz="0" w:space="0" w:color="auto"/>
        <w:bottom w:val="none" w:sz="0" w:space="0" w:color="auto"/>
        <w:right w:val="none" w:sz="0" w:space="0" w:color="auto"/>
      </w:divBdr>
    </w:div>
    <w:div w:id="942878053">
      <w:bodyDiv w:val="1"/>
      <w:marLeft w:val="0"/>
      <w:marRight w:val="0"/>
      <w:marTop w:val="0"/>
      <w:marBottom w:val="0"/>
      <w:divBdr>
        <w:top w:val="none" w:sz="0" w:space="0" w:color="auto"/>
        <w:left w:val="none" w:sz="0" w:space="0" w:color="auto"/>
        <w:bottom w:val="none" w:sz="0" w:space="0" w:color="auto"/>
        <w:right w:val="none" w:sz="0" w:space="0" w:color="auto"/>
      </w:divBdr>
    </w:div>
    <w:div w:id="967003988">
      <w:bodyDiv w:val="1"/>
      <w:marLeft w:val="0"/>
      <w:marRight w:val="0"/>
      <w:marTop w:val="0"/>
      <w:marBottom w:val="0"/>
      <w:divBdr>
        <w:top w:val="none" w:sz="0" w:space="0" w:color="auto"/>
        <w:left w:val="none" w:sz="0" w:space="0" w:color="auto"/>
        <w:bottom w:val="none" w:sz="0" w:space="0" w:color="auto"/>
        <w:right w:val="none" w:sz="0" w:space="0" w:color="auto"/>
      </w:divBdr>
    </w:div>
    <w:div w:id="970785792">
      <w:bodyDiv w:val="1"/>
      <w:marLeft w:val="0"/>
      <w:marRight w:val="0"/>
      <w:marTop w:val="0"/>
      <w:marBottom w:val="0"/>
      <w:divBdr>
        <w:top w:val="none" w:sz="0" w:space="0" w:color="auto"/>
        <w:left w:val="none" w:sz="0" w:space="0" w:color="auto"/>
        <w:bottom w:val="none" w:sz="0" w:space="0" w:color="auto"/>
        <w:right w:val="none" w:sz="0" w:space="0" w:color="auto"/>
      </w:divBdr>
    </w:div>
    <w:div w:id="1011108237">
      <w:bodyDiv w:val="1"/>
      <w:marLeft w:val="0"/>
      <w:marRight w:val="0"/>
      <w:marTop w:val="0"/>
      <w:marBottom w:val="0"/>
      <w:divBdr>
        <w:top w:val="none" w:sz="0" w:space="0" w:color="auto"/>
        <w:left w:val="none" w:sz="0" w:space="0" w:color="auto"/>
        <w:bottom w:val="none" w:sz="0" w:space="0" w:color="auto"/>
        <w:right w:val="none" w:sz="0" w:space="0" w:color="auto"/>
      </w:divBdr>
    </w:div>
    <w:div w:id="1026062320">
      <w:bodyDiv w:val="1"/>
      <w:marLeft w:val="0"/>
      <w:marRight w:val="0"/>
      <w:marTop w:val="0"/>
      <w:marBottom w:val="0"/>
      <w:divBdr>
        <w:top w:val="none" w:sz="0" w:space="0" w:color="auto"/>
        <w:left w:val="none" w:sz="0" w:space="0" w:color="auto"/>
        <w:bottom w:val="none" w:sz="0" w:space="0" w:color="auto"/>
        <w:right w:val="none" w:sz="0" w:space="0" w:color="auto"/>
      </w:divBdr>
    </w:div>
    <w:div w:id="1036540471">
      <w:bodyDiv w:val="1"/>
      <w:marLeft w:val="0"/>
      <w:marRight w:val="0"/>
      <w:marTop w:val="0"/>
      <w:marBottom w:val="0"/>
      <w:divBdr>
        <w:top w:val="none" w:sz="0" w:space="0" w:color="auto"/>
        <w:left w:val="none" w:sz="0" w:space="0" w:color="auto"/>
        <w:bottom w:val="none" w:sz="0" w:space="0" w:color="auto"/>
        <w:right w:val="none" w:sz="0" w:space="0" w:color="auto"/>
      </w:divBdr>
    </w:div>
    <w:div w:id="1114442335">
      <w:bodyDiv w:val="1"/>
      <w:marLeft w:val="0"/>
      <w:marRight w:val="0"/>
      <w:marTop w:val="0"/>
      <w:marBottom w:val="0"/>
      <w:divBdr>
        <w:top w:val="none" w:sz="0" w:space="0" w:color="auto"/>
        <w:left w:val="none" w:sz="0" w:space="0" w:color="auto"/>
        <w:bottom w:val="none" w:sz="0" w:space="0" w:color="auto"/>
        <w:right w:val="none" w:sz="0" w:space="0" w:color="auto"/>
      </w:divBdr>
    </w:div>
    <w:div w:id="1123691231">
      <w:bodyDiv w:val="1"/>
      <w:marLeft w:val="0"/>
      <w:marRight w:val="0"/>
      <w:marTop w:val="0"/>
      <w:marBottom w:val="0"/>
      <w:divBdr>
        <w:top w:val="none" w:sz="0" w:space="0" w:color="auto"/>
        <w:left w:val="none" w:sz="0" w:space="0" w:color="auto"/>
        <w:bottom w:val="none" w:sz="0" w:space="0" w:color="auto"/>
        <w:right w:val="none" w:sz="0" w:space="0" w:color="auto"/>
      </w:divBdr>
    </w:div>
    <w:div w:id="1138255164">
      <w:bodyDiv w:val="1"/>
      <w:marLeft w:val="0"/>
      <w:marRight w:val="0"/>
      <w:marTop w:val="0"/>
      <w:marBottom w:val="0"/>
      <w:divBdr>
        <w:top w:val="none" w:sz="0" w:space="0" w:color="auto"/>
        <w:left w:val="none" w:sz="0" w:space="0" w:color="auto"/>
        <w:bottom w:val="none" w:sz="0" w:space="0" w:color="auto"/>
        <w:right w:val="none" w:sz="0" w:space="0" w:color="auto"/>
      </w:divBdr>
    </w:div>
    <w:div w:id="1173687548">
      <w:bodyDiv w:val="1"/>
      <w:marLeft w:val="0"/>
      <w:marRight w:val="0"/>
      <w:marTop w:val="0"/>
      <w:marBottom w:val="0"/>
      <w:divBdr>
        <w:top w:val="none" w:sz="0" w:space="0" w:color="auto"/>
        <w:left w:val="none" w:sz="0" w:space="0" w:color="auto"/>
        <w:bottom w:val="none" w:sz="0" w:space="0" w:color="auto"/>
        <w:right w:val="none" w:sz="0" w:space="0" w:color="auto"/>
      </w:divBdr>
    </w:div>
    <w:div w:id="1211920417">
      <w:bodyDiv w:val="1"/>
      <w:marLeft w:val="0"/>
      <w:marRight w:val="0"/>
      <w:marTop w:val="0"/>
      <w:marBottom w:val="0"/>
      <w:divBdr>
        <w:top w:val="none" w:sz="0" w:space="0" w:color="auto"/>
        <w:left w:val="none" w:sz="0" w:space="0" w:color="auto"/>
        <w:bottom w:val="none" w:sz="0" w:space="0" w:color="auto"/>
        <w:right w:val="none" w:sz="0" w:space="0" w:color="auto"/>
      </w:divBdr>
    </w:div>
    <w:div w:id="1233926646">
      <w:bodyDiv w:val="1"/>
      <w:marLeft w:val="0"/>
      <w:marRight w:val="0"/>
      <w:marTop w:val="0"/>
      <w:marBottom w:val="0"/>
      <w:divBdr>
        <w:top w:val="none" w:sz="0" w:space="0" w:color="auto"/>
        <w:left w:val="none" w:sz="0" w:space="0" w:color="auto"/>
        <w:bottom w:val="none" w:sz="0" w:space="0" w:color="auto"/>
        <w:right w:val="none" w:sz="0" w:space="0" w:color="auto"/>
      </w:divBdr>
    </w:div>
    <w:div w:id="1238444550">
      <w:bodyDiv w:val="1"/>
      <w:marLeft w:val="0"/>
      <w:marRight w:val="0"/>
      <w:marTop w:val="0"/>
      <w:marBottom w:val="0"/>
      <w:divBdr>
        <w:top w:val="none" w:sz="0" w:space="0" w:color="auto"/>
        <w:left w:val="none" w:sz="0" w:space="0" w:color="auto"/>
        <w:bottom w:val="none" w:sz="0" w:space="0" w:color="auto"/>
        <w:right w:val="none" w:sz="0" w:space="0" w:color="auto"/>
      </w:divBdr>
    </w:div>
    <w:div w:id="1249004605">
      <w:bodyDiv w:val="1"/>
      <w:marLeft w:val="0"/>
      <w:marRight w:val="0"/>
      <w:marTop w:val="0"/>
      <w:marBottom w:val="0"/>
      <w:divBdr>
        <w:top w:val="none" w:sz="0" w:space="0" w:color="auto"/>
        <w:left w:val="none" w:sz="0" w:space="0" w:color="auto"/>
        <w:bottom w:val="none" w:sz="0" w:space="0" w:color="auto"/>
        <w:right w:val="none" w:sz="0" w:space="0" w:color="auto"/>
      </w:divBdr>
    </w:div>
    <w:div w:id="1250500875">
      <w:bodyDiv w:val="1"/>
      <w:marLeft w:val="0"/>
      <w:marRight w:val="0"/>
      <w:marTop w:val="0"/>
      <w:marBottom w:val="0"/>
      <w:divBdr>
        <w:top w:val="none" w:sz="0" w:space="0" w:color="auto"/>
        <w:left w:val="none" w:sz="0" w:space="0" w:color="auto"/>
        <w:bottom w:val="none" w:sz="0" w:space="0" w:color="auto"/>
        <w:right w:val="none" w:sz="0" w:space="0" w:color="auto"/>
      </w:divBdr>
    </w:div>
    <w:div w:id="1275944234">
      <w:bodyDiv w:val="1"/>
      <w:marLeft w:val="0"/>
      <w:marRight w:val="0"/>
      <w:marTop w:val="0"/>
      <w:marBottom w:val="0"/>
      <w:divBdr>
        <w:top w:val="none" w:sz="0" w:space="0" w:color="auto"/>
        <w:left w:val="none" w:sz="0" w:space="0" w:color="auto"/>
        <w:bottom w:val="none" w:sz="0" w:space="0" w:color="auto"/>
        <w:right w:val="none" w:sz="0" w:space="0" w:color="auto"/>
      </w:divBdr>
    </w:div>
    <w:div w:id="1276517033">
      <w:bodyDiv w:val="1"/>
      <w:marLeft w:val="0"/>
      <w:marRight w:val="0"/>
      <w:marTop w:val="0"/>
      <w:marBottom w:val="0"/>
      <w:divBdr>
        <w:top w:val="none" w:sz="0" w:space="0" w:color="auto"/>
        <w:left w:val="none" w:sz="0" w:space="0" w:color="auto"/>
        <w:bottom w:val="none" w:sz="0" w:space="0" w:color="auto"/>
        <w:right w:val="none" w:sz="0" w:space="0" w:color="auto"/>
      </w:divBdr>
    </w:div>
    <w:div w:id="1290208959">
      <w:bodyDiv w:val="1"/>
      <w:marLeft w:val="0"/>
      <w:marRight w:val="0"/>
      <w:marTop w:val="0"/>
      <w:marBottom w:val="0"/>
      <w:divBdr>
        <w:top w:val="none" w:sz="0" w:space="0" w:color="auto"/>
        <w:left w:val="none" w:sz="0" w:space="0" w:color="auto"/>
        <w:bottom w:val="none" w:sz="0" w:space="0" w:color="auto"/>
        <w:right w:val="none" w:sz="0" w:space="0" w:color="auto"/>
      </w:divBdr>
    </w:div>
    <w:div w:id="1330281701">
      <w:bodyDiv w:val="1"/>
      <w:marLeft w:val="0"/>
      <w:marRight w:val="0"/>
      <w:marTop w:val="0"/>
      <w:marBottom w:val="0"/>
      <w:divBdr>
        <w:top w:val="none" w:sz="0" w:space="0" w:color="auto"/>
        <w:left w:val="none" w:sz="0" w:space="0" w:color="auto"/>
        <w:bottom w:val="none" w:sz="0" w:space="0" w:color="auto"/>
        <w:right w:val="none" w:sz="0" w:space="0" w:color="auto"/>
      </w:divBdr>
    </w:div>
    <w:div w:id="1343239143">
      <w:bodyDiv w:val="1"/>
      <w:marLeft w:val="0"/>
      <w:marRight w:val="0"/>
      <w:marTop w:val="0"/>
      <w:marBottom w:val="0"/>
      <w:divBdr>
        <w:top w:val="none" w:sz="0" w:space="0" w:color="auto"/>
        <w:left w:val="none" w:sz="0" w:space="0" w:color="auto"/>
        <w:bottom w:val="none" w:sz="0" w:space="0" w:color="auto"/>
        <w:right w:val="none" w:sz="0" w:space="0" w:color="auto"/>
      </w:divBdr>
    </w:div>
    <w:div w:id="1359118330">
      <w:bodyDiv w:val="1"/>
      <w:marLeft w:val="0"/>
      <w:marRight w:val="0"/>
      <w:marTop w:val="0"/>
      <w:marBottom w:val="0"/>
      <w:divBdr>
        <w:top w:val="none" w:sz="0" w:space="0" w:color="auto"/>
        <w:left w:val="none" w:sz="0" w:space="0" w:color="auto"/>
        <w:bottom w:val="none" w:sz="0" w:space="0" w:color="auto"/>
        <w:right w:val="none" w:sz="0" w:space="0" w:color="auto"/>
      </w:divBdr>
    </w:div>
    <w:div w:id="1387994769">
      <w:bodyDiv w:val="1"/>
      <w:marLeft w:val="0"/>
      <w:marRight w:val="0"/>
      <w:marTop w:val="0"/>
      <w:marBottom w:val="0"/>
      <w:divBdr>
        <w:top w:val="none" w:sz="0" w:space="0" w:color="auto"/>
        <w:left w:val="none" w:sz="0" w:space="0" w:color="auto"/>
        <w:bottom w:val="none" w:sz="0" w:space="0" w:color="auto"/>
        <w:right w:val="none" w:sz="0" w:space="0" w:color="auto"/>
      </w:divBdr>
    </w:div>
    <w:div w:id="1418669775">
      <w:bodyDiv w:val="1"/>
      <w:marLeft w:val="0"/>
      <w:marRight w:val="0"/>
      <w:marTop w:val="0"/>
      <w:marBottom w:val="0"/>
      <w:divBdr>
        <w:top w:val="none" w:sz="0" w:space="0" w:color="auto"/>
        <w:left w:val="none" w:sz="0" w:space="0" w:color="auto"/>
        <w:bottom w:val="none" w:sz="0" w:space="0" w:color="auto"/>
        <w:right w:val="none" w:sz="0" w:space="0" w:color="auto"/>
      </w:divBdr>
    </w:div>
    <w:div w:id="1422606474">
      <w:bodyDiv w:val="1"/>
      <w:marLeft w:val="0"/>
      <w:marRight w:val="0"/>
      <w:marTop w:val="0"/>
      <w:marBottom w:val="0"/>
      <w:divBdr>
        <w:top w:val="none" w:sz="0" w:space="0" w:color="auto"/>
        <w:left w:val="none" w:sz="0" w:space="0" w:color="auto"/>
        <w:bottom w:val="none" w:sz="0" w:space="0" w:color="auto"/>
        <w:right w:val="none" w:sz="0" w:space="0" w:color="auto"/>
      </w:divBdr>
    </w:div>
    <w:div w:id="1448696010">
      <w:bodyDiv w:val="1"/>
      <w:marLeft w:val="0"/>
      <w:marRight w:val="0"/>
      <w:marTop w:val="0"/>
      <w:marBottom w:val="0"/>
      <w:divBdr>
        <w:top w:val="none" w:sz="0" w:space="0" w:color="auto"/>
        <w:left w:val="none" w:sz="0" w:space="0" w:color="auto"/>
        <w:bottom w:val="none" w:sz="0" w:space="0" w:color="auto"/>
        <w:right w:val="none" w:sz="0" w:space="0" w:color="auto"/>
      </w:divBdr>
    </w:div>
    <w:div w:id="1487014867">
      <w:bodyDiv w:val="1"/>
      <w:marLeft w:val="0"/>
      <w:marRight w:val="0"/>
      <w:marTop w:val="0"/>
      <w:marBottom w:val="0"/>
      <w:divBdr>
        <w:top w:val="none" w:sz="0" w:space="0" w:color="auto"/>
        <w:left w:val="none" w:sz="0" w:space="0" w:color="auto"/>
        <w:bottom w:val="none" w:sz="0" w:space="0" w:color="auto"/>
        <w:right w:val="none" w:sz="0" w:space="0" w:color="auto"/>
      </w:divBdr>
    </w:div>
    <w:div w:id="1499691006">
      <w:bodyDiv w:val="1"/>
      <w:marLeft w:val="0"/>
      <w:marRight w:val="0"/>
      <w:marTop w:val="0"/>
      <w:marBottom w:val="0"/>
      <w:divBdr>
        <w:top w:val="none" w:sz="0" w:space="0" w:color="auto"/>
        <w:left w:val="none" w:sz="0" w:space="0" w:color="auto"/>
        <w:bottom w:val="none" w:sz="0" w:space="0" w:color="auto"/>
        <w:right w:val="none" w:sz="0" w:space="0" w:color="auto"/>
      </w:divBdr>
    </w:div>
    <w:div w:id="1501702643">
      <w:bodyDiv w:val="1"/>
      <w:marLeft w:val="0"/>
      <w:marRight w:val="0"/>
      <w:marTop w:val="0"/>
      <w:marBottom w:val="0"/>
      <w:divBdr>
        <w:top w:val="none" w:sz="0" w:space="0" w:color="auto"/>
        <w:left w:val="none" w:sz="0" w:space="0" w:color="auto"/>
        <w:bottom w:val="none" w:sz="0" w:space="0" w:color="auto"/>
        <w:right w:val="none" w:sz="0" w:space="0" w:color="auto"/>
      </w:divBdr>
    </w:div>
    <w:div w:id="1525751844">
      <w:bodyDiv w:val="1"/>
      <w:marLeft w:val="0"/>
      <w:marRight w:val="0"/>
      <w:marTop w:val="0"/>
      <w:marBottom w:val="0"/>
      <w:divBdr>
        <w:top w:val="none" w:sz="0" w:space="0" w:color="auto"/>
        <w:left w:val="none" w:sz="0" w:space="0" w:color="auto"/>
        <w:bottom w:val="none" w:sz="0" w:space="0" w:color="auto"/>
        <w:right w:val="none" w:sz="0" w:space="0" w:color="auto"/>
      </w:divBdr>
    </w:div>
    <w:div w:id="1556427098">
      <w:bodyDiv w:val="1"/>
      <w:marLeft w:val="0"/>
      <w:marRight w:val="0"/>
      <w:marTop w:val="0"/>
      <w:marBottom w:val="0"/>
      <w:divBdr>
        <w:top w:val="none" w:sz="0" w:space="0" w:color="auto"/>
        <w:left w:val="none" w:sz="0" w:space="0" w:color="auto"/>
        <w:bottom w:val="none" w:sz="0" w:space="0" w:color="auto"/>
        <w:right w:val="none" w:sz="0" w:space="0" w:color="auto"/>
      </w:divBdr>
    </w:div>
    <w:div w:id="1567908521">
      <w:bodyDiv w:val="1"/>
      <w:marLeft w:val="0"/>
      <w:marRight w:val="0"/>
      <w:marTop w:val="0"/>
      <w:marBottom w:val="0"/>
      <w:divBdr>
        <w:top w:val="none" w:sz="0" w:space="0" w:color="auto"/>
        <w:left w:val="none" w:sz="0" w:space="0" w:color="auto"/>
        <w:bottom w:val="none" w:sz="0" w:space="0" w:color="auto"/>
        <w:right w:val="none" w:sz="0" w:space="0" w:color="auto"/>
      </w:divBdr>
    </w:div>
    <w:div w:id="1583947909">
      <w:bodyDiv w:val="1"/>
      <w:marLeft w:val="0"/>
      <w:marRight w:val="0"/>
      <w:marTop w:val="0"/>
      <w:marBottom w:val="0"/>
      <w:divBdr>
        <w:top w:val="none" w:sz="0" w:space="0" w:color="auto"/>
        <w:left w:val="none" w:sz="0" w:space="0" w:color="auto"/>
        <w:bottom w:val="none" w:sz="0" w:space="0" w:color="auto"/>
        <w:right w:val="none" w:sz="0" w:space="0" w:color="auto"/>
      </w:divBdr>
    </w:div>
    <w:div w:id="1584102007">
      <w:bodyDiv w:val="1"/>
      <w:marLeft w:val="0"/>
      <w:marRight w:val="0"/>
      <w:marTop w:val="0"/>
      <w:marBottom w:val="0"/>
      <w:divBdr>
        <w:top w:val="none" w:sz="0" w:space="0" w:color="auto"/>
        <w:left w:val="none" w:sz="0" w:space="0" w:color="auto"/>
        <w:bottom w:val="none" w:sz="0" w:space="0" w:color="auto"/>
        <w:right w:val="none" w:sz="0" w:space="0" w:color="auto"/>
      </w:divBdr>
    </w:div>
    <w:div w:id="1592739072">
      <w:bodyDiv w:val="1"/>
      <w:marLeft w:val="0"/>
      <w:marRight w:val="0"/>
      <w:marTop w:val="0"/>
      <w:marBottom w:val="0"/>
      <w:divBdr>
        <w:top w:val="none" w:sz="0" w:space="0" w:color="auto"/>
        <w:left w:val="none" w:sz="0" w:space="0" w:color="auto"/>
        <w:bottom w:val="none" w:sz="0" w:space="0" w:color="auto"/>
        <w:right w:val="none" w:sz="0" w:space="0" w:color="auto"/>
      </w:divBdr>
    </w:div>
    <w:div w:id="1600676541">
      <w:bodyDiv w:val="1"/>
      <w:marLeft w:val="0"/>
      <w:marRight w:val="0"/>
      <w:marTop w:val="0"/>
      <w:marBottom w:val="0"/>
      <w:divBdr>
        <w:top w:val="none" w:sz="0" w:space="0" w:color="auto"/>
        <w:left w:val="none" w:sz="0" w:space="0" w:color="auto"/>
        <w:bottom w:val="none" w:sz="0" w:space="0" w:color="auto"/>
        <w:right w:val="none" w:sz="0" w:space="0" w:color="auto"/>
      </w:divBdr>
    </w:div>
    <w:div w:id="1614286022">
      <w:bodyDiv w:val="1"/>
      <w:marLeft w:val="0"/>
      <w:marRight w:val="0"/>
      <w:marTop w:val="0"/>
      <w:marBottom w:val="0"/>
      <w:divBdr>
        <w:top w:val="none" w:sz="0" w:space="0" w:color="auto"/>
        <w:left w:val="none" w:sz="0" w:space="0" w:color="auto"/>
        <w:bottom w:val="none" w:sz="0" w:space="0" w:color="auto"/>
        <w:right w:val="none" w:sz="0" w:space="0" w:color="auto"/>
      </w:divBdr>
    </w:div>
    <w:div w:id="1626807350">
      <w:bodyDiv w:val="1"/>
      <w:marLeft w:val="0"/>
      <w:marRight w:val="0"/>
      <w:marTop w:val="0"/>
      <w:marBottom w:val="0"/>
      <w:divBdr>
        <w:top w:val="none" w:sz="0" w:space="0" w:color="auto"/>
        <w:left w:val="none" w:sz="0" w:space="0" w:color="auto"/>
        <w:bottom w:val="none" w:sz="0" w:space="0" w:color="auto"/>
        <w:right w:val="none" w:sz="0" w:space="0" w:color="auto"/>
      </w:divBdr>
    </w:div>
    <w:div w:id="1628900519">
      <w:bodyDiv w:val="1"/>
      <w:marLeft w:val="0"/>
      <w:marRight w:val="0"/>
      <w:marTop w:val="0"/>
      <w:marBottom w:val="0"/>
      <w:divBdr>
        <w:top w:val="none" w:sz="0" w:space="0" w:color="auto"/>
        <w:left w:val="none" w:sz="0" w:space="0" w:color="auto"/>
        <w:bottom w:val="none" w:sz="0" w:space="0" w:color="auto"/>
        <w:right w:val="none" w:sz="0" w:space="0" w:color="auto"/>
      </w:divBdr>
    </w:div>
    <w:div w:id="1679772318">
      <w:bodyDiv w:val="1"/>
      <w:marLeft w:val="0"/>
      <w:marRight w:val="0"/>
      <w:marTop w:val="0"/>
      <w:marBottom w:val="0"/>
      <w:divBdr>
        <w:top w:val="none" w:sz="0" w:space="0" w:color="auto"/>
        <w:left w:val="none" w:sz="0" w:space="0" w:color="auto"/>
        <w:bottom w:val="none" w:sz="0" w:space="0" w:color="auto"/>
        <w:right w:val="none" w:sz="0" w:space="0" w:color="auto"/>
      </w:divBdr>
    </w:div>
    <w:div w:id="1683042644">
      <w:bodyDiv w:val="1"/>
      <w:marLeft w:val="0"/>
      <w:marRight w:val="0"/>
      <w:marTop w:val="0"/>
      <w:marBottom w:val="0"/>
      <w:divBdr>
        <w:top w:val="none" w:sz="0" w:space="0" w:color="auto"/>
        <w:left w:val="none" w:sz="0" w:space="0" w:color="auto"/>
        <w:bottom w:val="none" w:sz="0" w:space="0" w:color="auto"/>
        <w:right w:val="none" w:sz="0" w:space="0" w:color="auto"/>
      </w:divBdr>
    </w:div>
    <w:div w:id="1692955832">
      <w:bodyDiv w:val="1"/>
      <w:marLeft w:val="0"/>
      <w:marRight w:val="0"/>
      <w:marTop w:val="0"/>
      <w:marBottom w:val="0"/>
      <w:divBdr>
        <w:top w:val="none" w:sz="0" w:space="0" w:color="auto"/>
        <w:left w:val="none" w:sz="0" w:space="0" w:color="auto"/>
        <w:bottom w:val="none" w:sz="0" w:space="0" w:color="auto"/>
        <w:right w:val="none" w:sz="0" w:space="0" w:color="auto"/>
      </w:divBdr>
    </w:div>
    <w:div w:id="1753698030">
      <w:bodyDiv w:val="1"/>
      <w:marLeft w:val="0"/>
      <w:marRight w:val="0"/>
      <w:marTop w:val="0"/>
      <w:marBottom w:val="0"/>
      <w:divBdr>
        <w:top w:val="none" w:sz="0" w:space="0" w:color="auto"/>
        <w:left w:val="none" w:sz="0" w:space="0" w:color="auto"/>
        <w:bottom w:val="none" w:sz="0" w:space="0" w:color="auto"/>
        <w:right w:val="none" w:sz="0" w:space="0" w:color="auto"/>
      </w:divBdr>
    </w:div>
    <w:div w:id="1776437989">
      <w:bodyDiv w:val="1"/>
      <w:marLeft w:val="0"/>
      <w:marRight w:val="0"/>
      <w:marTop w:val="0"/>
      <w:marBottom w:val="0"/>
      <w:divBdr>
        <w:top w:val="none" w:sz="0" w:space="0" w:color="auto"/>
        <w:left w:val="none" w:sz="0" w:space="0" w:color="auto"/>
        <w:bottom w:val="none" w:sz="0" w:space="0" w:color="auto"/>
        <w:right w:val="none" w:sz="0" w:space="0" w:color="auto"/>
      </w:divBdr>
    </w:div>
    <w:div w:id="1783114161">
      <w:bodyDiv w:val="1"/>
      <w:marLeft w:val="0"/>
      <w:marRight w:val="0"/>
      <w:marTop w:val="0"/>
      <w:marBottom w:val="0"/>
      <w:divBdr>
        <w:top w:val="none" w:sz="0" w:space="0" w:color="auto"/>
        <w:left w:val="none" w:sz="0" w:space="0" w:color="auto"/>
        <w:bottom w:val="none" w:sz="0" w:space="0" w:color="auto"/>
        <w:right w:val="none" w:sz="0" w:space="0" w:color="auto"/>
      </w:divBdr>
    </w:div>
    <w:div w:id="1787847195">
      <w:bodyDiv w:val="1"/>
      <w:marLeft w:val="0"/>
      <w:marRight w:val="0"/>
      <w:marTop w:val="0"/>
      <w:marBottom w:val="0"/>
      <w:divBdr>
        <w:top w:val="none" w:sz="0" w:space="0" w:color="auto"/>
        <w:left w:val="none" w:sz="0" w:space="0" w:color="auto"/>
        <w:bottom w:val="none" w:sz="0" w:space="0" w:color="auto"/>
        <w:right w:val="none" w:sz="0" w:space="0" w:color="auto"/>
      </w:divBdr>
    </w:div>
    <w:div w:id="1790391895">
      <w:bodyDiv w:val="1"/>
      <w:marLeft w:val="0"/>
      <w:marRight w:val="0"/>
      <w:marTop w:val="0"/>
      <w:marBottom w:val="0"/>
      <w:divBdr>
        <w:top w:val="none" w:sz="0" w:space="0" w:color="auto"/>
        <w:left w:val="none" w:sz="0" w:space="0" w:color="auto"/>
        <w:bottom w:val="none" w:sz="0" w:space="0" w:color="auto"/>
        <w:right w:val="none" w:sz="0" w:space="0" w:color="auto"/>
      </w:divBdr>
    </w:div>
    <w:div w:id="1820809357">
      <w:bodyDiv w:val="1"/>
      <w:marLeft w:val="0"/>
      <w:marRight w:val="0"/>
      <w:marTop w:val="0"/>
      <w:marBottom w:val="0"/>
      <w:divBdr>
        <w:top w:val="none" w:sz="0" w:space="0" w:color="auto"/>
        <w:left w:val="none" w:sz="0" w:space="0" w:color="auto"/>
        <w:bottom w:val="none" w:sz="0" w:space="0" w:color="auto"/>
        <w:right w:val="none" w:sz="0" w:space="0" w:color="auto"/>
      </w:divBdr>
    </w:div>
    <w:div w:id="1833763465">
      <w:bodyDiv w:val="1"/>
      <w:marLeft w:val="0"/>
      <w:marRight w:val="0"/>
      <w:marTop w:val="0"/>
      <w:marBottom w:val="0"/>
      <w:divBdr>
        <w:top w:val="none" w:sz="0" w:space="0" w:color="auto"/>
        <w:left w:val="none" w:sz="0" w:space="0" w:color="auto"/>
        <w:bottom w:val="none" w:sz="0" w:space="0" w:color="auto"/>
        <w:right w:val="none" w:sz="0" w:space="0" w:color="auto"/>
      </w:divBdr>
    </w:div>
    <w:div w:id="1859346797">
      <w:bodyDiv w:val="1"/>
      <w:marLeft w:val="0"/>
      <w:marRight w:val="0"/>
      <w:marTop w:val="0"/>
      <w:marBottom w:val="0"/>
      <w:divBdr>
        <w:top w:val="none" w:sz="0" w:space="0" w:color="auto"/>
        <w:left w:val="none" w:sz="0" w:space="0" w:color="auto"/>
        <w:bottom w:val="none" w:sz="0" w:space="0" w:color="auto"/>
        <w:right w:val="none" w:sz="0" w:space="0" w:color="auto"/>
      </w:divBdr>
    </w:div>
    <w:div w:id="1862743342">
      <w:bodyDiv w:val="1"/>
      <w:marLeft w:val="0"/>
      <w:marRight w:val="0"/>
      <w:marTop w:val="0"/>
      <w:marBottom w:val="0"/>
      <w:divBdr>
        <w:top w:val="none" w:sz="0" w:space="0" w:color="auto"/>
        <w:left w:val="none" w:sz="0" w:space="0" w:color="auto"/>
        <w:bottom w:val="none" w:sz="0" w:space="0" w:color="auto"/>
        <w:right w:val="none" w:sz="0" w:space="0" w:color="auto"/>
      </w:divBdr>
    </w:div>
    <w:div w:id="1901088768">
      <w:bodyDiv w:val="1"/>
      <w:marLeft w:val="0"/>
      <w:marRight w:val="0"/>
      <w:marTop w:val="0"/>
      <w:marBottom w:val="0"/>
      <w:divBdr>
        <w:top w:val="none" w:sz="0" w:space="0" w:color="auto"/>
        <w:left w:val="none" w:sz="0" w:space="0" w:color="auto"/>
        <w:bottom w:val="none" w:sz="0" w:space="0" w:color="auto"/>
        <w:right w:val="none" w:sz="0" w:space="0" w:color="auto"/>
      </w:divBdr>
    </w:div>
    <w:div w:id="1925453833">
      <w:bodyDiv w:val="1"/>
      <w:marLeft w:val="0"/>
      <w:marRight w:val="0"/>
      <w:marTop w:val="0"/>
      <w:marBottom w:val="0"/>
      <w:divBdr>
        <w:top w:val="none" w:sz="0" w:space="0" w:color="auto"/>
        <w:left w:val="none" w:sz="0" w:space="0" w:color="auto"/>
        <w:bottom w:val="none" w:sz="0" w:space="0" w:color="auto"/>
        <w:right w:val="none" w:sz="0" w:space="0" w:color="auto"/>
      </w:divBdr>
    </w:div>
    <w:div w:id="1939412166">
      <w:bodyDiv w:val="1"/>
      <w:marLeft w:val="0"/>
      <w:marRight w:val="0"/>
      <w:marTop w:val="0"/>
      <w:marBottom w:val="0"/>
      <w:divBdr>
        <w:top w:val="none" w:sz="0" w:space="0" w:color="auto"/>
        <w:left w:val="none" w:sz="0" w:space="0" w:color="auto"/>
        <w:bottom w:val="none" w:sz="0" w:space="0" w:color="auto"/>
        <w:right w:val="none" w:sz="0" w:space="0" w:color="auto"/>
      </w:divBdr>
    </w:div>
    <w:div w:id="1944994905">
      <w:bodyDiv w:val="1"/>
      <w:marLeft w:val="0"/>
      <w:marRight w:val="0"/>
      <w:marTop w:val="0"/>
      <w:marBottom w:val="0"/>
      <w:divBdr>
        <w:top w:val="none" w:sz="0" w:space="0" w:color="auto"/>
        <w:left w:val="none" w:sz="0" w:space="0" w:color="auto"/>
        <w:bottom w:val="none" w:sz="0" w:space="0" w:color="auto"/>
        <w:right w:val="none" w:sz="0" w:space="0" w:color="auto"/>
      </w:divBdr>
    </w:div>
    <w:div w:id="1963225380">
      <w:bodyDiv w:val="1"/>
      <w:marLeft w:val="0"/>
      <w:marRight w:val="0"/>
      <w:marTop w:val="0"/>
      <w:marBottom w:val="0"/>
      <w:divBdr>
        <w:top w:val="none" w:sz="0" w:space="0" w:color="auto"/>
        <w:left w:val="none" w:sz="0" w:space="0" w:color="auto"/>
        <w:bottom w:val="none" w:sz="0" w:space="0" w:color="auto"/>
        <w:right w:val="none" w:sz="0" w:space="0" w:color="auto"/>
      </w:divBdr>
    </w:div>
    <w:div w:id="2009941556">
      <w:bodyDiv w:val="1"/>
      <w:marLeft w:val="0"/>
      <w:marRight w:val="0"/>
      <w:marTop w:val="0"/>
      <w:marBottom w:val="0"/>
      <w:divBdr>
        <w:top w:val="none" w:sz="0" w:space="0" w:color="auto"/>
        <w:left w:val="none" w:sz="0" w:space="0" w:color="auto"/>
        <w:bottom w:val="none" w:sz="0" w:space="0" w:color="auto"/>
        <w:right w:val="none" w:sz="0" w:space="0" w:color="auto"/>
      </w:divBdr>
    </w:div>
    <w:div w:id="2016691565">
      <w:bodyDiv w:val="1"/>
      <w:marLeft w:val="0"/>
      <w:marRight w:val="0"/>
      <w:marTop w:val="0"/>
      <w:marBottom w:val="0"/>
      <w:divBdr>
        <w:top w:val="none" w:sz="0" w:space="0" w:color="auto"/>
        <w:left w:val="none" w:sz="0" w:space="0" w:color="auto"/>
        <w:bottom w:val="none" w:sz="0" w:space="0" w:color="auto"/>
        <w:right w:val="none" w:sz="0" w:space="0" w:color="auto"/>
      </w:divBdr>
    </w:div>
    <w:div w:id="2032803246">
      <w:bodyDiv w:val="1"/>
      <w:marLeft w:val="0"/>
      <w:marRight w:val="0"/>
      <w:marTop w:val="0"/>
      <w:marBottom w:val="0"/>
      <w:divBdr>
        <w:top w:val="none" w:sz="0" w:space="0" w:color="auto"/>
        <w:left w:val="none" w:sz="0" w:space="0" w:color="auto"/>
        <w:bottom w:val="none" w:sz="0" w:space="0" w:color="auto"/>
        <w:right w:val="none" w:sz="0" w:space="0" w:color="auto"/>
      </w:divBdr>
    </w:div>
    <w:div w:id="2036883595">
      <w:bodyDiv w:val="1"/>
      <w:marLeft w:val="0"/>
      <w:marRight w:val="0"/>
      <w:marTop w:val="0"/>
      <w:marBottom w:val="0"/>
      <w:divBdr>
        <w:top w:val="none" w:sz="0" w:space="0" w:color="auto"/>
        <w:left w:val="none" w:sz="0" w:space="0" w:color="auto"/>
        <w:bottom w:val="none" w:sz="0" w:space="0" w:color="auto"/>
        <w:right w:val="none" w:sz="0" w:space="0" w:color="auto"/>
      </w:divBdr>
    </w:div>
    <w:div w:id="2109308633">
      <w:bodyDiv w:val="1"/>
      <w:marLeft w:val="0"/>
      <w:marRight w:val="0"/>
      <w:marTop w:val="0"/>
      <w:marBottom w:val="0"/>
      <w:divBdr>
        <w:top w:val="none" w:sz="0" w:space="0" w:color="auto"/>
        <w:left w:val="none" w:sz="0" w:space="0" w:color="auto"/>
        <w:bottom w:val="none" w:sz="0" w:space="0" w:color="auto"/>
        <w:right w:val="none" w:sz="0" w:space="0" w:color="auto"/>
      </w:divBdr>
    </w:div>
    <w:div w:id="212469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4663E-FA2A-41BB-84D5-049B48B87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219</Pages>
  <Words>54979</Words>
  <Characters>313382</Characters>
  <Application>Microsoft Office Word</Application>
  <DocSecurity>0</DocSecurity>
  <Lines>2611</Lines>
  <Paragraphs>735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Shuxian Jin</cp:lastModifiedBy>
  <cp:revision>1471</cp:revision>
  <cp:lastPrinted>2021-09-06T08:14:00Z</cp:lastPrinted>
  <dcterms:created xsi:type="dcterms:W3CDTF">2023-12-06T12:58:00Z</dcterms:created>
  <dcterms:modified xsi:type="dcterms:W3CDTF">2024-06-16T19:11:00Z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4578ac84-ea2e-352d-97bf-286a59e003c8</vt:lpwstr>
  </property>
  <property fmtid="{D5CDD505-2E9C-101B-9397-08002B2CF9AE}" pid="24" name="Mendeley Citation Style_1">
    <vt:lpwstr>http://www.zotero.org/styles/apa</vt:lpwstr>
  </property>
  <property fmtid="{D5CDD505-2E9C-101B-9397-08002B2CF9AE}" pid="25" name="ZOTERO_PREF_1">
    <vt:lpwstr>&lt;data data-version="3" zotero-version="6.0.26"&gt;&lt;session id="3xNQUhmG"/&gt;&lt;style id="http://www.zotero.org/styles/apa" locale="en-GB" hasBibliography="1" bibliographyStyleHasBeenSet="1"/&gt;&lt;prefs&gt;&lt;pref name="fieldType" value="Field"/&gt;&lt;pref name="automaticJourn</vt:lpwstr>
  </property>
  <property fmtid="{D5CDD505-2E9C-101B-9397-08002B2CF9AE}" pid="26" name="ZOTERO_PREF_2">
    <vt:lpwstr>alAbbreviations" value="true"/&gt;&lt;/prefs&gt;&lt;/data&gt;</vt:lpwstr>
  </property>
</Properties>
</file>