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A9B9" w14:textId="1259B962" w:rsidR="00EC0942" w:rsidRPr="00D048A6" w:rsidRDefault="00647AFA" w:rsidP="00647AFA">
      <w:pPr>
        <w:jc w:val="center"/>
        <w:rPr>
          <w:rFonts w:ascii="Cambria" w:hAnsi="Cambria"/>
          <w:b/>
          <w:bCs/>
        </w:rPr>
      </w:pPr>
      <w:r w:rsidRPr="00D048A6">
        <w:rPr>
          <w:rFonts w:ascii="Cambria" w:hAnsi="Cambria"/>
          <w:b/>
          <w:bCs/>
        </w:rPr>
        <w:t>Supplemental File</w:t>
      </w:r>
    </w:p>
    <w:p w14:paraId="1729A977" w14:textId="77777777" w:rsidR="00D048A6" w:rsidRPr="00D048A6" w:rsidRDefault="00D048A6" w:rsidP="00647AFA">
      <w:pPr>
        <w:jc w:val="center"/>
        <w:rPr>
          <w:rFonts w:ascii="Cambria" w:hAnsi="Cambria"/>
        </w:rPr>
      </w:pPr>
    </w:p>
    <w:p w14:paraId="1580C0BA" w14:textId="4E35DECF" w:rsidR="00647AFA" w:rsidRPr="00E6031A" w:rsidRDefault="00647AFA" w:rsidP="00D048A6">
      <w:pPr>
        <w:spacing w:line="480" w:lineRule="auto"/>
        <w:rPr>
          <w:rFonts w:ascii="Cambria" w:hAnsi="Cambria" w:cs="Times New Roman"/>
          <w:b/>
        </w:rPr>
      </w:pPr>
      <w:r w:rsidRPr="00E6031A">
        <w:rPr>
          <w:rFonts w:ascii="Cambria" w:hAnsi="Cambria" w:cs="Times New Roman"/>
          <w:b/>
        </w:rPr>
        <w:t xml:space="preserve">Study </w:t>
      </w:r>
      <w:r w:rsidR="00892B27">
        <w:rPr>
          <w:rFonts w:ascii="Cambria" w:hAnsi="Cambria" w:cs="Times New Roman"/>
          <w:b/>
        </w:rPr>
        <w:t>2C</w:t>
      </w:r>
      <w:r w:rsidR="00D048A6">
        <w:rPr>
          <w:rFonts w:ascii="Cambria" w:hAnsi="Cambria" w:cs="Times New Roman"/>
          <w:b/>
        </w:rPr>
        <w:t xml:space="preserve">: </w:t>
      </w:r>
      <w:r w:rsidRPr="00E6031A">
        <w:rPr>
          <w:rFonts w:ascii="Cambria" w:hAnsi="Cambria" w:cs="Times New Roman"/>
        </w:rPr>
        <w:t>Survey Validation with Straight</w:t>
      </w:r>
      <w:r w:rsidR="00D048A6">
        <w:rPr>
          <w:rFonts w:ascii="Cambria" w:hAnsi="Cambria" w:cs="Times New Roman"/>
        </w:rPr>
        <w:t xml:space="preserve"> Cisgender Sample</w:t>
      </w:r>
    </w:p>
    <w:p w14:paraId="076E5F43" w14:textId="457DA16F" w:rsidR="00647AFA" w:rsidRDefault="00647AFA" w:rsidP="00647AFA">
      <w:pPr>
        <w:spacing w:line="480" w:lineRule="auto"/>
        <w:rPr>
          <w:rFonts w:ascii="Cambria" w:hAnsi="Cambria" w:cs="Times New Roman"/>
        </w:rPr>
      </w:pPr>
      <w:r w:rsidRPr="00E6031A">
        <w:rPr>
          <w:rFonts w:ascii="Cambria" w:hAnsi="Cambria" w:cs="Times New Roman"/>
        </w:rPr>
        <w:tab/>
        <w:t xml:space="preserve">We sought to validate the </w:t>
      </w:r>
      <w:r w:rsidR="00FE4897">
        <w:rPr>
          <w:rFonts w:ascii="Cambria" w:hAnsi="Cambria" w:cs="Times New Roman"/>
        </w:rPr>
        <w:t xml:space="preserve">allyship </w:t>
      </w:r>
      <w:r w:rsidRPr="00E6031A">
        <w:rPr>
          <w:rFonts w:ascii="Cambria" w:hAnsi="Cambria" w:cs="Times New Roman"/>
        </w:rPr>
        <w:t xml:space="preserve">scale in a sample of participants who were not identified as members of the LGBT+ community. We asked participants how good of an ally they were and correlated this with their self-ratings on our Allyship scale. The study was pre-registered on aspredicted.org (#26936). </w:t>
      </w:r>
    </w:p>
    <w:p w14:paraId="30494FF4" w14:textId="77777777" w:rsidR="00647AFA" w:rsidRPr="000155E2" w:rsidRDefault="00647AFA" w:rsidP="00647AFA">
      <w:pPr>
        <w:spacing w:line="480" w:lineRule="auto"/>
        <w:jc w:val="center"/>
        <w:rPr>
          <w:rFonts w:ascii="Cambria" w:hAnsi="Cambria" w:cs="Times New Roman"/>
          <w:b/>
        </w:rPr>
      </w:pPr>
      <w:r>
        <w:rPr>
          <w:rFonts w:ascii="Cambria" w:hAnsi="Cambria" w:cs="Times New Roman"/>
          <w:b/>
        </w:rPr>
        <w:t>Method</w:t>
      </w:r>
    </w:p>
    <w:p w14:paraId="078D097A" w14:textId="77777777" w:rsidR="00647AFA" w:rsidRPr="00E6031A" w:rsidRDefault="00647AFA" w:rsidP="00647AFA">
      <w:pPr>
        <w:spacing w:line="480" w:lineRule="auto"/>
        <w:rPr>
          <w:rFonts w:ascii="Cambria" w:hAnsi="Cambria" w:cs="Times New Roman"/>
          <w:b/>
        </w:rPr>
      </w:pPr>
      <w:r w:rsidRPr="00E6031A">
        <w:rPr>
          <w:rFonts w:ascii="Cambria" w:hAnsi="Cambria" w:cs="Times New Roman"/>
          <w:b/>
        </w:rPr>
        <w:t>Participants</w:t>
      </w:r>
    </w:p>
    <w:p w14:paraId="48B14BE3" w14:textId="5D003BD9" w:rsidR="00647AFA" w:rsidRPr="00E6031A" w:rsidRDefault="00647AFA" w:rsidP="00647AFA">
      <w:pPr>
        <w:spacing w:line="480" w:lineRule="auto"/>
        <w:rPr>
          <w:rFonts w:ascii="Cambria" w:hAnsi="Cambria" w:cs="Times New Roman"/>
        </w:rPr>
      </w:pPr>
      <w:r w:rsidRPr="00E6031A">
        <w:rPr>
          <w:rFonts w:ascii="Cambria" w:hAnsi="Cambria" w:cs="Times New Roman"/>
        </w:rPr>
        <w:tab/>
        <w:t xml:space="preserve">The sample contained 421 </w:t>
      </w:r>
      <w:r w:rsidR="00653FDA">
        <w:rPr>
          <w:rFonts w:ascii="Cambria" w:hAnsi="Cambria" w:cs="Times New Roman"/>
        </w:rPr>
        <w:t xml:space="preserve">straight-identified </w:t>
      </w:r>
      <w:r w:rsidRPr="00E6031A">
        <w:rPr>
          <w:rFonts w:ascii="Cambria" w:hAnsi="Cambria" w:cs="Times New Roman"/>
        </w:rPr>
        <w:t xml:space="preserve">participants (256 male, 165 female; </w:t>
      </w:r>
      <w:r w:rsidRPr="00E6031A">
        <w:rPr>
          <w:rFonts w:ascii="Cambria" w:hAnsi="Cambria" w:cs="Times New Roman"/>
          <w:i/>
        </w:rPr>
        <w:t>M</w:t>
      </w:r>
      <w:r w:rsidRPr="00E6031A">
        <w:rPr>
          <w:rFonts w:ascii="Cambria" w:hAnsi="Cambria" w:cs="Times New Roman"/>
          <w:vertAlign w:val="subscript"/>
        </w:rPr>
        <w:t>age</w:t>
      </w:r>
      <w:r w:rsidRPr="00E6031A">
        <w:rPr>
          <w:rFonts w:ascii="Cambria" w:hAnsi="Cambria" w:cs="Times New Roman"/>
        </w:rPr>
        <w:t xml:space="preserve"> = 37.75, </w:t>
      </w:r>
      <w:r w:rsidRPr="00E6031A">
        <w:rPr>
          <w:rFonts w:ascii="Cambria" w:hAnsi="Cambria" w:cs="Times New Roman"/>
          <w:i/>
        </w:rPr>
        <w:t>SD</w:t>
      </w:r>
      <w:r w:rsidRPr="00E6031A">
        <w:rPr>
          <w:rFonts w:ascii="Cambria" w:hAnsi="Cambria" w:cs="Times New Roman"/>
        </w:rPr>
        <w:t xml:space="preserve"> = 11.17 years). With respect to self-identified race, there were 307 White participants, 40 Asian participants, 38 Black participants, 22 Latinx participants, 6 Native American participants, 6 Mixed race participants, 1 Middle Eastern participant, and 1 other identified participant. </w:t>
      </w:r>
    </w:p>
    <w:p w14:paraId="54B910A4" w14:textId="77777777" w:rsidR="00647AFA" w:rsidRPr="00E6031A" w:rsidRDefault="00647AFA" w:rsidP="00647AFA">
      <w:pPr>
        <w:spacing w:line="480" w:lineRule="auto"/>
        <w:rPr>
          <w:rFonts w:ascii="Cambria" w:hAnsi="Cambria" w:cs="Times New Roman"/>
          <w:b/>
        </w:rPr>
      </w:pPr>
      <w:r w:rsidRPr="00E6031A">
        <w:rPr>
          <w:rFonts w:ascii="Cambria" w:hAnsi="Cambria" w:cs="Times New Roman"/>
          <w:b/>
        </w:rPr>
        <w:t>Measures and Procedures</w:t>
      </w:r>
    </w:p>
    <w:p w14:paraId="5AC040DD" w14:textId="77777777" w:rsidR="00647AFA" w:rsidRPr="00E6031A" w:rsidRDefault="00647AFA" w:rsidP="00647AFA">
      <w:pPr>
        <w:spacing w:line="480" w:lineRule="auto"/>
        <w:rPr>
          <w:rFonts w:ascii="Cambria" w:hAnsi="Cambria" w:cs="Times New Roman"/>
        </w:rPr>
      </w:pPr>
      <w:r w:rsidRPr="00E6031A">
        <w:rPr>
          <w:rFonts w:ascii="Cambria" w:hAnsi="Cambria" w:cs="Times New Roman"/>
        </w:rPr>
        <w:tab/>
        <w:t xml:space="preserve">Participants were recruited to the study via mTurk. After informed consent, they completed demographic questions. Those who indicated being a member of the LGBT+ community were redirected to another study, as pre-registered. Participants completed the following scales in randomized order. </w:t>
      </w:r>
    </w:p>
    <w:p w14:paraId="4EDC8D14" w14:textId="1C952BA1" w:rsidR="00760D23" w:rsidRDefault="00647AFA" w:rsidP="00F0163F">
      <w:pPr>
        <w:spacing w:line="480" w:lineRule="auto"/>
        <w:rPr>
          <w:rFonts w:ascii="Cambria" w:hAnsi="Cambria" w:cs="Times New Roman"/>
        </w:rPr>
      </w:pPr>
      <w:r w:rsidRPr="00E6031A">
        <w:rPr>
          <w:rFonts w:ascii="Cambria" w:hAnsi="Cambria" w:cs="Times New Roman"/>
        </w:rPr>
        <w:tab/>
      </w:r>
      <w:r>
        <w:rPr>
          <w:rFonts w:ascii="Cambria" w:hAnsi="Cambria" w:cs="Times New Roman"/>
        </w:rPr>
        <w:t>For convergent validity, p</w:t>
      </w:r>
      <w:r w:rsidRPr="00E6031A">
        <w:rPr>
          <w:rFonts w:ascii="Cambria" w:hAnsi="Cambria" w:cs="Times New Roman"/>
        </w:rPr>
        <w:t>articipants completed the allyship scale items and a single-item, global measure rating themselves on how good of an ally they were to the LGBT+ community. These items were on a 7-point scale from 1(</w:t>
      </w:r>
      <w:r w:rsidRPr="00E6031A">
        <w:rPr>
          <w:rFonts w:ascii="Cambria" w:hAnsi="Cambria" w:cs="Times New Roman"/>
          <w:i/>
        </w:rPr>
        <w:t>not true</w:t>
      </w:r>
      <w:r w:rsidRPr="00E6031A">
        <w:rPr>
          <w:rFonts w:ascii="Cambria" w:hAnsi="Cambria" w:cs="Times New Roman"/>
        </w:rPr>
        <w:t>) to 7(</w:t>
      </w:r>
      <w:r w:rsidRPr="00E6031A">
        <w:rPr>
          <w:rFonts w:ascii="Cambria" w:hAnsi="Cambria" w:cs="Times New Roman"/>
          <w:i/>
        </w:rPr>
        <w:t>extremely true</w:t>
      </w:r>
      <w:r w:rsidRPr="00E6031A">
        <w:rPr>
          <w:rFonts w:ascii="Cambria" w:hAnsi="Cambria" w:cs="Times New Roman"/>
        </w:rPr>
        <w:t xml:space="preserve">). Note that the allyship scale items were rephrased to the first-person in order to assess the extent to which participants felt each behavior was true of themselves.  </w:t>
      </w:r>
      <w:r w:rsidR="002C14EF">
        <w:rPr>
          <w:rFonts w:ascii="Cambria" w:hAnsi="Cambria" w:cs="Times New Roman"/>
        </w:rPr>
        <w:t xml:space="preserve">For additional convergent </w:t>
      </w:r>
      <w:r w:rsidR="002C14EF">
        <w:rPr>
          <w:rFonts w:ascii="Cambria" w:hAnsi="Cambria" w:cs="Times New Roman"/>
        </w:rPr>
        <w:lastRenderedPageBreak/>
        <w:t>validity, we investigated</w:t>
      </w:r>
      <w:r>
        <w:rPr>
          <w:rFonts w:ascii="Cambria" w:hAnsi="Cambria" w:cs="Times New Roman"/>
        </w:rPr>
        <w:t xml:space="preserve"> how self-rated allyship was related to participants’ levels of LGBT contact, </w:t>
      </w:r>
      <w:r w:rsidRPr="00E6031A">
        <w:rPr>
          <w:rFonts w:ascii="Cambria" w:hAnsi="Cambria" w:cs="Times New Roman"/>
        </w:rPr>
        <w:t xml:space="preserve">explicit prejudice, homonegativity (Morrison &amp; Morrison, 2003), and social dominance orientation (Ho et al., 2015). </w:t>
      </w:r>
    </w:p>
    <w:p w14:paraId="3E98CBDB" w14:textId="1DF804CA" w:rsidR="00647AFA" w:rsidRDefault="00647AFA" w:rsidP="002C14EF">
      <w:pPr>
        <w:spacing w:line="480" w:lineRule="auto"/>
        <w:ind w:firstLine="720"/>
        <w:rPr>
          <w:rFonts w:ascii="Cambria" w:hAnsi="Cambria" w:cs="Times New Roman"/>
        </w:rPr>
      </w:pPr>
      <w:r w:rsidRPr="000065C5">
        <w:rPr>
          <w:rFonts w:ascii="Cambria" w:hAnsi="Cambria" w:cs="Times New Roman"/>
          <w:b/>
          <w:bCs/>
        </w:rPr>
        <w:t>Self-reported contact</w:t>
      </w:r>
      <w:r w:rsidRPr="00E6031A">
        <w:rPr>
          <w:rFonts w:ascii="Cambria" w:hAnsi="Cambria" w:cs="Times New Roman"/>
        </w:rPr>
        <w:t xml:space="preserve"> (</w:t>
      </w:r>
      <m:oMath>
        <m:r>
          <w:rPr>
            <w:rFonts w:ascii="Cambria Math" w:hAnsi="Cambria Math" w:cs="Times New Roman"/>
          </w:rPr>
          <m:t xml:space="preserve">∝ </m:t>
        </m:r>
      </m:oMath>
      <w:r w:rsidRPr="00E6031A">
        <w:rPr>
          <w:rFonts w:ascii="Cambria" w:hAnsi="Cambria" w:cs="Times New Roman"/>
        </w:rPr>
        <w:t>= .85</w:t>
      </w:r>
      <w:r>
        <w:rPr>
          <w:rFonts w:ascii="Cambria" w:hAnsi="Cambria" w:cs="Times New Roman"/>
        </w:rPr>
        <w:t>) was</w:t>
      </w:r>
      <w:r w:rsidRPr="00E6031A">
        <w:rPr>
          <w:rFonts w:ascii="Cambria" w:hAnsi="Cambria" w:cs="Times New Roman"/>
        </w:rPr>
        <w:t xml:space="preserve"> adapted from </w:t>
      </w:r>
      <w:r>
        <w:rPr>
          <w:rFonts w:ascii="Cambria" w:hAnsi="Cambria" w:cs="Times New Roman"/>
        </w:rPr>
        <w:t>(</w:t>
      </w:r>
      <w:r w:rsidRPr="00E6031A">
        <w:rPr>
          <w:rFonts w:ascii="Cambria" w:hAnsi="Cambria" w:cs="Times New Roman"/>
        </w:rPr>
        <w:t>Herek &amp; Capitanio, 1996). The measure included four items, such as “How many friends do you have who identify as LGBT?” with scale response options from 1(</w:t>
      </w:r>
      <w:r w:rsidRPr="00E6031A">
        <w:rPr>
          <w:rFonts w:ascii="Cambria" w:hAnsi="Cambria" w:cs="Times New Roman"/>
          <w:i/>
        </w:rPr>
        <w:t>None</w:t>
      </w:r>
      <w:r w:rsidRPr="00E6031A">
        <w:rPr>
          <w:rFonts w:ascii="Cambria" w:hAnsi="Cambria" w:cs="Times New Roman"/>
        </w:rPr>
        <w:t>) to 5(</w:t>
      </w:r>
      <w:r w:rsidRPr="00E6031A">
        <w:rPr>
          <w:rFonts w:ascii="Cambria" w:hAnsi="Cambria" w:cs="Times New Roman"/>
          <w:i/>
        </w:rPr>
        <w:t>Many</w:t>
      </w:r>
      <w:r w:rsidRPr="00E6031A">
        <w:rPr>
          <w:rFonts w:ascii="Cambria" w:hAnsi="Cambria" w:cs="Times New Roman"/>
        </w:rPr>
        <w:t>). The other three items asked about relatives, close acquaintances, and coworkers/colleagues.</w:t>
      </w:r>
      <w:r>
        <w:rPr>
          <w:rFonts w:ascii="Cambria" w:hAnsi="Cambria" w:cs="Times New Roman"/>
        </w:rPr>
        <w:t xml:space="preserve"> </w:t>
      </w:r>
    </w:p>
    <w:p w14:paraId="06D17005" w14:textId="77777777" w:rsidR="00647AFA" w:rsidRDefault="00647AFA" w:rsidP="00647AFA">
      <w:pPr>
        <w:spacing w:line="480" w:lineRule="auto"/>
        <w:ind w:firstLine="720"/>
        <w:rPr>
          <w:rFonts w:ascii="Cambria" w:hAnsi="Cambria" w:cs="Times New Roman"/>
        </w:rPr>
      </w:pPr>
      <w:r w:rsidRPr="000065C5">
        <w:rPr>
          <w:rFonts w:ascii="Cambria" w:hAnsi="Cambria" w:cs="Times New Roman"/>
          <w:b/>
          <w:bCs/>
        </w:rPr>
        <w:t>Explicit prejudice</w:t>
      </w:r>
      <w:r w:rsidRPr="00E6031A">
        <w:rPr>
          <w:rFonts w:ascii="Cambria" w:hAnsi="Cambria" w:cs="Times New Roman"/>
        </w:rPr>
        <w:t xml:space="preserve"> was measured with two feeling thermometer items in which participants were asked to rate how cold or warm they feel toward gay and lesbian people or toward transgender people, from 0(</w:t>
      </w:r>
      <w:r w:rsidRPr="00E6031A">
        <w:rPr>
          <w:rFonts w:ascii="Cambria" w:hAnsi="Cambria" w:cs="Times New Roman"/>
          <w:i/>
        </w:rPr>
        <w:t>very cold</w:t>
      </w:r>
      <w:r w:rsidRPr="00E6031A">
        <w:rPr>
          <w:rFonts w:ascii="Cambria" w:hAnsi="Cambria" w:cs="Times New Roman"/>
        </w:rPr>
        <w:t>) to 100(</w:t>
      </w:r>
      <w:r w:rsidRPr="00E6031A">
        <w:rPr>
          <w:rFonts w:ascii="Cambria" w:hAnsi="Cambria" w:cs="Times New Roman"/>
          <w:i/>
        </w:rPr>
        <w:t>very warm</w:t>
      </w:r>
      <w:r w:rsidRPr="00E6031A">
        <w:rPr>
          <w:rFonts w:ascii="Cambria" w:hAnsi="Cambria" w:cs="Times New Roman"/>
        </w:rPr>
        <w:t xml:space="preserve">) in 10-unit increments. Because the items were very strongly correlated, </w:t>
      </w:r>
      <w:r w:rsidRPr="00E6031A">
        <w:rPr>
          <w:rFonts w:ascii="Cambria" w:hAnsi="Cambria" w:cs="Times New Roman"/>
          <w:i/>
        </w:rPr>
        <w:t>r</w:t>
      </w:r>
      <w:r w:rsidRPr="00E6031A">
        <w:rPr>
          <w:rFonts w:ascii="Cambria" w:hAnsi="Cambria" w:cs="Times New Roman"/>
        </w:rPr>
        <w:t xml:space="preserve">(399) = .84, </w:t>
      </w:r>
      <w:r w:rsidRPr="00E6031A">
        <w:rPr>
          <w:rFonts w:ascii="Cambria" w:hAnsi="Cambria" w:cs="Times New Roman"/>
          <w:i/>
        </w:rPr>
        <w:t>p</w:t>
      </w:r>
      <w:r w:rsidRPr="00E6031A">
        <w:rPr>
          <w:rFonts w:ascii="Cambria" w:hAnsi="Cambria" w:cs="Times New Roman"/>
        </w:rPr>
        <w:t xml:space="preserve"> &lt; .001, they were combined into a measure of explicit anti-LGBT prejudice. </w:t>
      </w:r>
    </w:p>
    <w:p w14:paraId="2BC33307" w14:textId="77777777" w:rsidR="00647AFA" w:rsidRPr="00E6031A" w:rsidRDefault="00647AFA" w:rsidP="00647AFA">
      <w:pPr>
        <w:spacing w:line="480" w:lineRule="auto"/>
        <w:ind w:firstLine="720"/>
        <w:rPr>
          <w:rFonts w:ascii="Cambria" w:hAnsi="Cambria" w:cs="Times New Roman"/>
        </w:rPr>
      </w:pPr>
      <w:r w:rsidRPr="000065C5">
        <w:rPr>
          <w:rFonts w:ascii="Cambria" w:hAnsi="Cambria" w:cs="Times New Roman"/>
          <w:b/>
          <w:bCs/>
        </w:rPr>
        <w:t>Homonegativity</w:t>
      </w:r>
      <w:r w:rsidRPr="00E6031A">
        <w:rPr>
          <w:rFonts w:ascii="Cambria" w:hAnsi="Cambria" w:cs="Times New Roman"/>
        </w:rPr>
        <w:t xml:space="preserve"> was measured with Morrison and Morrison’s (2003) 12-item scale (</w:t>
      </w:r>
      <m:oMath>
        <m:r>
          <w:rPr>
            <w:rFonts w:ascii="Cambria Math" w:hAnsi="Cambria Math" w:cs="Times New Roman"/>
          </w:rPr>
          <m:t xml:space="preserve">∝ </m:t>
        </m:r>
      </m:oMath>
      <w:r w:rsidRPr="00E6031A">
        <w:rPr>
          <w:rFonts w:ascii="Cambria" w:hAnsi="Cambria" w:cs="Times New Roman"/>
        </w:rPr>
        <w:t>= .97), such as “LGBT people should stop shoving their lifestyle down other people’s throats.” The response scale was a 7-point scale anchored at 1(</w:t>
      </w:r>
      <w:r w:rsidRPr="00E6031A">
        <w:rPr>
          <w:rFonts w:ascii="Cambria" w:hAnsi="Cambria" w:cs="Times New Roman"/>
          <w:i/>
        </w:rPr>
        <w:t>strongly disagree</w:t>
      </w:r>
      <w:r w:rsidRPr="00E6031A">
        <w:rPr>
          <w:rFonts w:ascii="Cambria" w:hAnsi="Cambria" w:cs="Times New Roman"/>
        </w:rPr>
        <w:t>) to 7(</w:t>
      </w:r>
      <w:r w:rsidRPr="00E6031A">
        <w:rPr>
          <w:rFonts w:ascii="Cambria" w:hAnsi="Cambria" w:cs="Times New Roman"/>
          <w:i/>
        </w:rPr>
        <w:t>strongly agree</w:t>
      </w:r>
      <w:r w:rsidRPr="00E6031A">
        <w:rPr>
          <w:rFonts w:ascii="Cambria" w:hAnsi="Cambria" w:cs="Times New Roman"/>
        </w:rPr>
        <w:t>).</w:t>
      </w:r>
    </w:p>
    <w:p w14:paraId="7A896AC2" w14:textId="77777777" w:rsidR="00647AFA" w:rsidRPr="00E6031A" w:rsidRDefault="00647AFA" w:rsidP="00647AFA">
      <w:pPr>
        <w:spacing w:line="480" w:lineRule="auto"/>
        <w:ind w:firstLine="720"/>
        <w:rPr>
          <w:rFonts w:ascii="Cambria" w:hAnsi="Cambria" w:cs="Times New Roman"/>
        </w:rPr>
      </w:pPr>
      <w:r w:rsidRPr="000065C5">
        <w:rPr>
          <w:rFonts w:ascii="Cambria" w:hAnsi="Cambria" w:cs="Times New Roman"/>
          <w:b/>
          <w:bCs/>
        </w:rPr>
        <w:t>Social dominance orientation</w:t>
      </w:r>
      <w:r w:rsidRPr="00E6031A">
        <w:rPr>
          <w:rFonts w:ascii="Cambria" w:hAnsi="Cambria" w:cs="Times New Roman"/>
        </w:rPr>
        <w:t xml:space="preserve"> was measured with Ho et al.’s (2015) scale (</w:t>
      </w:r>
      <m:oMath>
        <m:r>
          <w:rPr>
            <w:rFonts w:ascii="Cambria Math" w:hAnsi="Cambria Math" w:cs="Times New Roman"/>
          </w:rPr>
          <m:t xml:space="preserve">∝ </m:t>
        </m:r>
      </m:oMath>
      <w:r w:rsidRPr="00E6031A">
        <w:rPr>
          <w:rFonts w:ascii="Cambria" w:hAnsi="Cambria" w:cs="Times New Roman"/>
        </w:rPr>
        <w:t>= .90). We used the short version that consisted of eight items, such as “Group equality should not be our primary goal” with a response scale from 1(</w:t>
      </w:r>
      <w:r w:rsidRPr="00E6031A">
        <w:rPr>
          <w:rFonts w:ascii="Cambria" w:hAnsi="Cambria" w:cs="Times New Roman"/>
          <w:i/>
        </w:rPr>
        <w:t>strongly oppose</w:t>
      </w:r>
      <w:r w:rsidRPr="00E6031A">
        <w:rPr>
          <w:rFonts w:ascii="Cambria" w:hAnsi="Cambria" w:cs="Times New Roman"/>
        </w:rPr>
        <w:t>) to 7(</w:t>
      </w:r>
      <w:r w:rsidRPr="00E6031A">
        <w:rPr>
          <w:rFonts w:ascii="Cambria" w:hAnsi="Cambria" w:cs="Times New Roman"/>
          <w:i/>
        </w:rPr>
        <w:t>strongly favor</w:t>
      </w:r>
      <w:r w:rsidRPr="00E6031A">
        <w:rPr>
          <w:rFonts w:ascii="Cambria" w:hAnsi="Cambria" w:cs="Times New Roman"/>
        </w:rPr>
        <w:t xml:space="preserve">).  </w:t>
      </w:r>
    </w:p>
    <w:p w14:paraId="04D17ECE" w14:textId="312B8F33" w:rsidR="00647AFA" w:rsidRPr="00E6031A" w:rsidRDefault="00647AFA" w:rsidP="00647AFA">
      <w:pPr>
        <w:spacing w:line="480" w:lineRule="auto"/>
        <w:rPr>
          <w:rFonts w:ascii="Cambria" w:hAnsi="Cambria" w:cs="Times New Roman"/>
        </w:rPr>
      </w:pPr>
      <w:r w:rsidRPr="00E6031A">
        <w:rPr>
          <w:rFonts w:ascii="Cambria" w:hAnsi="Cambria" w:cs="Times New Roman"/>
        </w:rPr>
        <w:tab/>
      </w:r>
      <w:r>
        <w:rPr>
          <w:rFonts w:ascii="Cambria" w:hAnsi="Cambria" w:cs="Times New Roman"/>
        </w:rPr>
        <w:t>For discriminant validity, w</w:t>
      </w:r>
      <w:r w:rsidRPr="00E6031A">
        <w:rPr>
          <w:rFonts w:ascii="Cambria" w:hAnsi="Cambria" w:cs="Times New Roman"/>
        </w:rPr>
        <w:t xml:space="preserve">e assessed Openness to Experience </w:t>
      </w:r>
      <w:r w:rsidR="002247CC">
        <w:rPr>
          <w:rFonts w:ascii="Cambria" w:hAnsi="Cambria" w:cs="Times New Roman"/>
        </w:rPr>
        <w:t>(</w:t>
      </w:r>
      <w:r w:rsidR="00856EBA">
        <w:rPr>
          <w:rFonts w:ascii="Cambria" w:hAnsi="Cambria" w:cs="Times New Roman"/>
        </w:rPr>
        <w:t>Gosling et al., 2003</w:t>
      </w:r>
      <w:r w:rsidR="002247CC">
        <w:rPr>
          <w:rFonts w:ascii="Cambria" w:hAnsi="Cambria" w:cs="Times New Roman"/>
        </w:rPr>
        <w:t xml:space="preserve">) </w:t>
      </w:r>
      <w:r w:rsidRPr="00E6031A">
        <w:rPr>
          <w:rFonts w:ascii="Cambria" w:hAnsi="Cambria" w:cs="Times New Roman"/>
        </w:rPr>
        <w:t xml:space="preserve">and Impression Management (Hart et al., 2015). </w:t>
      </w:r>
      <w:r w:rsidRPr="00B14FC3">
        <w:rPr>
          <w:rFonts w:ascii="Cambria" w:hAnsi="Cambria" w:cs="Times New Roman"/>
          <w:b/>
          <w:bCs/>
        </w:rPr>
        <w:t>Openness to Experience</w:t>
      </w:r>
      <w:r w:rsidRPr="00E6031A">
        <w:rPr>
          <w:rFonts w:ascii="Cambria" w:hAnsi="Cambria" w:cs="Times New Roman"/>
        </w:rPr>
        <w:t xml:space="preserve"> was measure</w:t>
      </w:r>
      <w:r w:rsidR="00B14FC3">
        <w:rPr>
          <w:rFonts w:ascii="Cambria" w:hAnsi="Cambria" w:cs="Times New Roman"/>
        </w:rPr>
        <w:t>d</w:t>
      </w:r>
      <w:r w:rsidRPr="00E6031A">
        <w:rPr>
          <w:rFonts w:ascii="Cambria" w:hAnsi="Cambria" w:cs="Times New Roman"/>
        </w:rPr>
        <w:t xml:space="preserve"> with two items from the Big Five scale, </w:t>
      </w:r>
      <w:r w:rsidRPr="00E6031A">
        <w:rPr>
          <w:rFonts w:ascii="Cambria" w:hAnsi="Cambria" w:cs="Times New Roman"/>
          <w:i/>
        </w:rPr>
        <w:t>r</w:t>
      </w:r>
      <w:r w:rsidRPr="00E6031A">
        <w:rPr>
          <w:rFonts w:ascii="Cambria" w:hAnsi="Cambria" w:cs="Times New Roman"/>
        </w:rPr>
        <w:t>(400) = .45,</w:t>
      </w:r>
      <w:r w:rsidRPr="00E6031A">
        <w:rPr>
          <w:rFonts w:ascii="Cambria" w:hAnsi="Cambria" w:cs="Times New Roman"/>
          <w:i/>
        </w:rPr>
        <w:t xml:space="preserve"> p</w:t>
      </w:r>
      <w:r w:rsidRPr="00E6031A">
        <w:rPr>
          <w:rFonts w:ascii="Cambria" w:hAnsi="Cambria" w:cs="Times New Roman"/>
        </w:rPr>
        <w:t xml:space="preserve"> &lt; .001. </w:t>
      </w:r>
      <w:r w:rsidRPr="00B14FC3">
        <w:rPr>
          <w:rFonts w:ascii="Cambria" w:hAnsi="Cambria" w:cs="Times New Roman"/>
          <w:b/>
          <w:bCs/>
        </w:rPr>
        <w:t xml:space="preserve">Impression Management </w:t>
      </w:r>
      <w:r w:rsidRPr="00E6031A">
        <w:rPr>
          <w:rFonts w:ascii="Cambria" w:hAnsi="Cambria" w:cs="Times New Roman"/>
        </w:rPr>
        <w:t>(</w:t>
      </w:r>
      <m:oMath>
        <m:r>
          <w:rPr>
            <w:rFonts w:ascii="Cambria Math" w:hAnsi="Cambria Math" w:cs="Times New Roman"/>
          </w:rPr>
          <m:t>∝</m:t>
        </m:r>
        <m:r>
          <w:rPr>
            <w:rFonts w:ascii="Cambria Math" w:hAnsi="Cambria Math" w:cs="Times New Roman"/>
          </w:rPr>
          <w:lastRenderedPageBreak/>
          <m:t xml:space="preserve"> </m:t>
        </m:r>
      </m:oMath>
      <w:r w:rsidRPr="00E6031A">
        <w:rPr>
          <w:rFonts w:ascii="Cambria" w:hAnsi="Cambria" w:cs="Times New Roman"/>
        </w:rPr>
        <w:t>= .78) was measured with eight items, such as “I sometimes tell lies,” with response options from 1(</w:t>
      </w:r>
      <w:r w:rsidRPr="00E6031A">
        <w:rPr>
          <w:rFonts w:ascii="Cambria" w:hAnsi="Cambria" w:cs="Times New Roman"/>
          <w:i/>
        </w:rPr>
        <w:t>strongly disagree</w:t>
      </w:r>
      <w:r w:rsidRPr="00E6031A">
        <w:rPr>
          <w:rFonts w:ascii="Cambria" w:hAnsi="Cambria" w:cs="Times New Roman"/>
        </w:rPr>
        <w:t>) to 7(</w:t>
      </w:r>
      <w:r w:rsidRPr="00E6031A">
        <w:rPr>
          <w:rFonts w:ascii="Cambria" w:hAnsi="Cambria" w:cs="Times New Roman"/>
          <w:i/>
        </w:rPr>
        <w:t>strongly agree</w:t>
      </w:r>
      <w:r w:rsidRPr="00E6031A">
        <w:rPr>
          <w:rFonts w:ascii="Cambria" w:hAnsi="Cambria" w:cs="Times New Roman"/>
        </w:rPr>
        <w:t xml:space="preserve">). Higher scores indicated more impression management, that is, disagreement with items that would portray the participant in a negative light. One item (“I avoid listening”) decreased the scale’s reliability, and so it was cut from the composite. </w:t>
      </w:r>
    </w:p>
    <w:p w14:paraId="73FA4EB8" w14:textId="77777777" w:rsidR="00647AFA" w:rsidRPr="00944F1C" w:rsidRDefault="00647AFA" w:rsidP="00647AFA">
      <w:pPr>
        <w:spacing w:line="480" w:lineRule="auto"/>
        <w:jc w:val="center"/>
        <w:rPr>
          <w:rFonts w:ascii="Cambria" w:hAnsi="Cambria" w:cs="Times New Roman"/>
          <w:b/>
        </w:rPr>
      </w:pPr>
      <w:r w:rsidRPr="00E6031A">
        <w:rPr>
          <w:rFonts w:ascii="Cambria" w:hAnsi="Cambria" w:cs="Times New Roman"/>
          <w:b/>
        </w:rPr>
        <w:t>Results</w:t>
      </w:r>
    </w:p>
    <w:p w14:paraId="64AAD749" w14:textId="77777777" w:rsidR="00647AFA" w:rsidRPr="00E6031A" w:rsidRDefault="00647AFA" w:rsidP="00647AFA">
      <w:pPr>
        <w:spacing w:line="480" w:lineRule="auto"/>
        <w:rPr>
          <w:rFonts w:ascii="Cambria" w:hAnsi="Cambria" w:cs="Times New Roman"/>
          <w:b/>
        </w:rPr>
      </w:pPr>
      <w:r w:rsidRPr="00E6031A">
        <w:rPr>
          <w:rFonts w:ascii="Cambria" w:hAnsi="Cambria" w:cs="Times New Roman"/>
          <w:b/>
        </w:rPr>
        <w:t>Confirmatory Factor Analysis</w:t>
      </w:r>
    </w:p>
    <w:p w14:paraId="091201D6" w14:textId="014947E7" w:rsidR="00647AFA" w:rsidRPr="00567A73" w:rsidRDefault="00647AFA" w:rsidP="00647AFA">
      <w:pPr>
        <w:spacing w:line="480" w:lineRule="auto"/>
        <w:ind w:firstLine="720"/>
        <w:rPr>
          <w:rFonts w:ascii="Cambria" w:hAnsi="Cambria" w:cs="Times New Roman"/>
          <w:bCs/>
        </w:rPr>
      </w:pPr>
      <w:r w:rsidRPr="00E6031A">
        <w:rPr>
          <w:rFonts w:ascii="Cambria" w:hAnsi="Cambria" w:cs="Times New Roman"/>
          <w:bCs/>
        </w:rPr>
        <w:t xml:space="preserve">The same 11-item, three-factor scale structure reported in Study </w:t>
      </w:r>
      <w:r w:rsidR="00931E80">
        <w:rPr>
          <w:rFonts w:ascii="Cambria" w:hAnsi="Cambria" w:cs="Times New Roman"/>
          <w:bCs/>
        </w:rPr>
        <w:t>2</w:t>
      </w:r>
      <w:r w:rsidR="005935C4">
        <w:rPr>
          <w:rFonts w:ascii="Cambria" w:hAnsi="Cambria" w:cs="Times New Roman"/>
          <w:bCs/>
        </w:rPr>
        <w:t>b</w:t>
      </w:r>
      <w:r w:rsidRPr="00E6031A">
        <w:rPr>
          <w:rFonts w:ascii="Cambria" w:hAnsi="Cambria" w:cs="Times New Roman"/>
          <w:bCs/>
        </w:rPr>
        <w:t xml:space="preserve"> was tested in the current sample, with the wording of the items modified so that </w:t>
      </w:r>
      <w:r w:rsidR="00344034">
        <w:rPr>
          <w:rFonts w:ascii="Cambria" w:hAnsi="Cambria" w:cs="Times New Roman"/>
          <w:bCs/>
        </w:rPr>
        <w:t>participants</w:t>
      </w:r>
      <w:r w:rsidRPr="00E6031A">
        <w:rPr>
          <w:rFonts w:ascii="Cambria" w:hAnsi="Cambria" w:cs="Times New Roman"/>
          <w:bCs/>
        </w:rPr>
        <w:t xml:space="preserve"> </w:t>
      </w:r>
      <w:r w:rsidR="00681922">
        <w:rPr>
          <w:rFonts w:ascii="Cambria" w:hAnsi="Cambria" w:cs="Times New Roman"/>
          <w:bCs/>
        </w:rPr>
        <w:t>were</w:t>
      </w:r>
      <w:r w:rsidRPr="00E6031A">
        <w:rPr>
          <w:rFonts w:ascii="Cambria" w:hAnsi="Cambria" w:cs="Times New Roman"/>
          <w:bCs/>
        </w:rPr>
        <w:t xml:space="preserve"> reporting on their own allyship behaviors. Specifically, we tested a CFA model with a non-prejudiced latent factor predicting four items (e.g., “I want equal rights for everyone”), an action latent factor predicting four items (e.g., “I speak out ag</w:t>
      </w:r>
      <w:r>
        <w:rPr>
          <w:rFonts w:ascii="Cambria" w:hAnsi="Cambria" w:cs="Times New Roman"/>
          <w:bCs/>
        </w:rPr>
        <w:t>a</w:t>
      </w:r>
      <w:r w:rsidRPr="00E6031A">
        <w:rPr>
          <w:rFonts w:ascii="Cambria" w:hAnsi="Cambria" w:cs="Times New Roman"/>
          <w:bCs/>
        </w:rPr>
        <w:t xml:space="preserve">inst anti-LGBT discrimination”), and a humility factor predicting three items (e.g., “I avoid speaking on behalf of LGBT+ people”). </w:t>
      </w:r>
      <w:r w:rsidRPr="00E6031A">
        <w:rPr>
          <w:rFonts w:ascii="Cambria" w:hAnsi="Cambria" w:cs="Times New Roman"/>
        </w:rPr>
        <w:t>This model yielded good fit, RMSEA = .07, CF(.06, .09), CFI = .97, SRMR = .06.</w:t>
      </w:r>
    </w:p>
    <w:p w14:paraId="12DD1AF4" w14:textId="77777777" w:rsidR="00647AFA" w:rsidRPr="00E6031A" w:rsidRDefault="00647AFA" w:rsidP="00647AFA">
      <w:pPr>
        <w:spacing w:line="480" w:lineRule="auto"/>
        <w:rPr>
          <w:rFonts w:ascii="Cambria" w:hAnsi="Cambria" w:cs="Times New Roman"/>
          <w:b/>
        </w:rPr>
      </w:pPr>
      <w:r>
        <w:rPr>
          <w:rFonts w:ascii="Cambria" w:hAnsi="Cambria" w:cs="Times New Roman"/>
          <w:b/>
        </w:rPr>
        <w:t>Convergent and Discriminant Validity</w:t>
      </w:r>
    </w:p>
    <w:p w14:paraId="475FBC8F" w14:textId="619EE722" w:rsidR="00647AFA" w:rsidRDefault="00647AFA" w:rsidP="00647AFA">
      <w:pPr>
        <w:spacing w:line="480" w:lineRule="auto"/>
        <w:ind w:firstLine="720"/>
        <w:rPr>
          <w:rFonts w:ascii="Cambria" w:hAnsi="Cambria" w:cs="Times New Roman"/>
        </w:rPr>
      </w:pPr>
      <w:r w:rsidRPr="00E6031A">
        <w:rPr>
          <w:rFonts w:ascii="Cambria" w:hAnsi="Cambria" w:cs="Times New Roman"/>
        </w:rPr>
        <w:t xml:space="preserve">Table </w:t>
      </w:r>
      <w:r w:rsidR="005C3CBB">
        <w:rPr>
          <w:rFonts w:ascii="Cambria" w:hAnsi="Cambria" w:cs="Times New Roman"/>
        </w:rPr>
        <w:t>S1</w:t>
      </w:r>
      <w:r w:rsidRPr="00E6031A">
        <w:rPr>
          <w:rFonts w:ascii="Cambria" w:hAnsi="Cambria" w:cs="Times New Roman"/>
        </w:rPr>
        <w:t xml:space="preserve"> presents the zero-order correlations between the variables. </w:t>
      </w:r>
      <w:r>
        <w:rPr>
          <w:rFonts w:ascii="Cambria" w:hAnsi="Cambria" w:cs="Times New Roman"/>
        </w:rPr>
        <w:t>Convergent validity of the allyship components was supported by positive correlations with s</w:t>
      </w:r>
      <w:r w:rsidRPr="00E6031A">
        <w:rPr>
          <w:rFonts w:ascii="Cambria" w:hAnsi="Cambria" w:cs="Times New Roman"/>
        </w:rPr>
        <w:t xml:space="preserve">elf-rated </w:t>
      </w:r>
      <w:r w:rsidR="00373F91">
        <w:rPr>
          <w:rFonts w:ascii="Cambria" w:hAnsi="Cambria" w:cs="Times New Roman"/>
        </w:rPr>
        <w:t xml:space="preserve">global </w:t>
      </w:r>
      <w:r w:rsidRPr="00E6031A">
        <w:rPr>
          <w:rFonts w:ascii="Cambria" w:hAnsi="Cambria" w:cs="Times New Roman"/>
        </w:rPr>
        <w:t>allyship</w:t>
      </w:r>
      <w:r w:rsidR="007368DC">
        <w:rPr>
          <w:rFonts w:ascii="Cambria" w:hAnsi="Cambria" w:cs="Times New Roman"/>
        </w:rPr>
        <w:t xml:space="preserve"> and negative correlations with prejudice, homonegativity, and social dominance orientation. </w:t>
      </w:r>
      <w:r w:rsidR="008F03D5">
        <w:rPr>
          <w:rFonts w:ascii="Cambria" w:hAnsi="Cambria" w:cs="Times New Roman"/>
        </w:rPr>
        <w:t xml:space="preserve">Unexpectedly, there was not a significant correlation between the allyship composite and self-reported LGBT contact. </w:t>
      </w:r>
      <w:r w:rsidR="007A1E87">
        <w:rPr>
          <w:rFonts w:ascii="Cambria" w:hAnsi="Cambria" w:cs="Times New Roman"/>
        </w:rPr>
        <w:t>However, this association was marginally significant</w:t>
      </w:r>
      <w:r w:rsidR="0043316D">
        <w:rPr>
          <w:rFonts w:ascii="Cambria" w:hAnsi="Cambria" w:cs="Times New Roman"/>
        </w:rPr>
        <w:t xml:space="preserve"> (</w:t>
      </w:r>
      <w:r w:rsidR="0043316D" w:rsidRPr="001D56C5">
        <w:rPr>
          <w:rFonts w:ascii="Cambria" w:hAnsi="Cambria" w:cs="Times New Roman"/>
          <w:i/>
          <w:iCs/>
        </w:rPr>
        <w:t>p</w:t>
      </w:r>
      <w:r w:rsidR="0043316D">
        <w:rPr>
          <w:rFonts w:ascii="Cambria" w:hAnsi="Cambria" w:cs="Times New Roman"/>
        </w:rPr>
        <w:t xml:space="preserve"> = .065)</w:t>
      </w:r>
      <w:r w:rsidR="007A1E87">
        <w:rPr>
          <w:rFonts w:ascii="Cambria" w:hAnsi="Cambria" w:cs="Times New Roman"/>
        </w:rPr>
        <w:t xml:space="preserve"> in the predicted, positive direction. A post-hoc </w:t>
      </w:r>
      <w:r w:rsidR="003E5975">
        <w:rPr>
          <w:rFonts w:ascii="Cambria" w:hAnsi="Cambria" w:cs="Times New Roman"/>
        </w:rPr>
        <w:t xml:space="preserve">power analysis indicated that we would need a sample size of approximately 1200 participants </w:t>
      </w:r>
      <w:r w:rsidR="003E5975">
        <w:rPr>
          <w:rFonts w:ascii="Cambria" w:hAnsi="Cambria" w:cs="Times New Roman"/>
        </w:rPr>
        <w:lastRenderedPageBreak/>
        <w:t xml:space="preserve">(four times our current sample size) to achieve .90 power to detect a correlation of this size. </w:t>
      </w:r>
    </w:p>
    <w:p w14:paraId="1FB02BA0" w14:textId="5F96292C" w:rsidR="00647AFA" w:rsidRDefault="00647AFA" w:rsidP="00647AFA">
      <w:pPr>
        <w:spacing w:line="480" w:lineRule="auto"/>
        <w:ind w:firstLine="720"/>
        <w:rPr>
          <w:rFonts w:ascii="Cambria" w:hAnsi="Cambria" w:cs="Times New Roman"/>
        </w:rPr>
      </w:pPr>
      <w:r>
        <w:rPr>
          <w:rFonts w:ascii="Cambria" w:hAnsi="Cambria" w:cs="Times New Roman"/>
        </w:rPr>
        <w:t xml:space="preserve">In terms of discriminant validity, </w:t>
      </w:r>
      <w:r w:rsidR="00EA3A88">
        <w:rPr>
          <w:rFonts w:ascii="Cambria" w:hAnsi="Cambria" w:cs="Times New Roman"/>
        </w:rPr>
        <w:t xml:space="preserve">we </w:t>
      </w:r>
      <w:r>
        <w:rPr>
          <w:rFonts w:ascii="Cambria" w:hAnsi="Cambria" w:cs="Times New Roman"/>
        </w:rPr>
        <w:t xml:space="preserve">expected that openness to experience and impression management should be uncorrelated or only modestly correlated with allyship. Indeed, </w:t>
      </w:r>
      <w:r w:rsidR="00AE4963">
        <w:rPr>
          <w:rFonts w:ascii="Cambria" w:hAnsi="Cambria" w:cs="Times New Roman"/>
        </w:rPr>
        <w:t xml:space="preserve">allyship only had a small positive correlation with openness to experience, and it was not correlated with impression management. </w:t>
      </w:r>
    </w:p>
    <w:p w14:paraId="4AAAD6BB" w14:textId="77777777" w:rsidR="00891386" w:rsidRDefault="00891386" w:rsidP="00647AFA">
      <w:pPr>
        <w:spacing w:line="480" w:lineRule="auto"/>
        <w:ind w:firstLine="720"/>
        <w:rPr>
          <w:rFonts w:ascii="Cambria" w:hAnsi="Cambria" w:cs="Times New Roman"/>
        </w:rPr>
      </w:pPr>
    </w:p>
    <w:p w14:paraId="16A89252" w14:textId="0916A608" w:rsidR="00A551EC" w:rsidRDefault="00A551EC" w:rsidP="00891386">
      <w:pPr>
        <w:rPr>
          <w:rFonts w:ascii="Cambria" w:hAnsi="Cambria" w:cs="Times New Roman"/>
          <w:b/>
        </w:rPr>
        <w:sectPr w:rsidR="00A551EC">
          <w:pgSz w:w="12240" w:h="15840"/>
          <w:pgMar w:top="1440" w:right="1440" w:bottom="1440" w:left="1440" w:header="720" w:footer="720" w:gutter="0"/>
          <w:cols w:space="720"/>
          <w:docGrid w:linePitch="360"/>
        </w:sectPr>
      </w:pPr>
    </w:p>
    <w:p w14:paraId="1CE4532A" w14:textId="31DAECF9" w:rsidR="00891386" w:rsidRPr="00E549E5" w:rsidRDefault="001277D3" w:rsidP="00891386">
      <w:pPr>
        <w:rPr>
          <w:rFonts w:ascii="Cambria" w:hAnsi="Cambria" w:cs="Times New Roman"/>
          <w:b/>
        </w:rPr>
      </w:pPr>
      <w:r w:rsidRPr="00E549E5">
        <w:rPr>
          <w:rFonts w:ascii="Cambria" w:hAnsi="Cambria" w:cs="Times New Roman"/>
          <w:b/>
        </w:rPr>
        <w:lastRenderedPageBreak/>
        <w:t>Table S1</w:t>
      </w:r>
    </w:p>
    <w:p w14:paraId="6F94975F" w14:textId="77777777" w:rsidR="00891386" w:rsidRPr="00E549E5" w:rsidRDefault="00891386" w:rsidP="00891386">
      <w:pPr>
        <w:rPr>
          <w:rFonts w:ascii="Cambria" w:hAnsi="Cambria" w:cs="Times New Roman"/>
          <w:b/>
        </w:rPr>
      </w:pPr>
    </w:p>
    <w:p w14:paraId="464F520E" w14:textId="155D93A5" w:rsidR="001277D3" w:rsidRPr="00E549E5" w:rsidRDefault="001277D3" w:rsidP="00891386">
      <w:pPr>
        <w:rPr>
          <w:rFonts w:ascii="Cambria" w:hAnsi="Cambria" w:cs="Times New Roman"/>
          <w:i/>
          <w:iCs/>
        </w:rPr>
      </w:pPr>
      <w:r w:rsidRPr="00E549E5">
        <w:rPr>
          <w:rFonts w:ascii="Cambria" w:hAnsi="Cambria" w:cs="Times New Roman"/>
          <w:i/>
          <w:iCs/>
        </w:rPr>
        <w:t>Zero-</w:t>
      </w:r>
      <w:r w:rsidR="00E45973" w:rsidRPr="00E549E5">
        <w:rPr>
          <w:rFonts w:ascii="Cambria" w:hAnsi="Cambria" w:cs="Times New Roman"/>
          <w:i/>
          <w:iCs/>
        </w:rPr>
        <w:t>O</w:t>
      </w:r>
      <w:r w:rsidRPr="00E549E5">
        <w:rPr>
          <w:rFonts w:ascii="Cambria" w:hAnsi="Cambria" w:cs="Times New Roman"/>
          <w:i/>
          <w:iCs/>
        </w:rPr>
        <w:t xml:space="preserve">rder </w:t>
      </w:r>
      <w:r w:rsidR="00E45973" w:rsidRPr="00E549E5">
        <w:rPr>
          <w:rFonts w:ascii="Cambria" w:hAnsi="Cambria" w:cs="Times New Roman"/>
          <w:i/>
          <w:iCs/>
        </w:rPr>
        <w:t>C</w:t>
      </w:r>
      <w:r w:rsidRPr="00E549E5">
        <w:rPr>
          <w:rFonts w:ascii="Cambria" w:hAnsi="Cambria" w:cs="Times New Roman"/>
          <w:i/>
          <w:iCs/>
        </w:rPr>
        <w:t xml:space="preserve">orrelations </w:t>
      </w:r>
      <w:r w:rsidR="00E45973" w:rsidRPr="00E549E5">
        <w:rPr>
          <w:rFonts w:ascii="Cambria" w:hAnsi="Cambria" w:cs="Times New Roman"/>
          <w:i/>
          <w:iCs/>
        </w:rPr>
        <w:t>B</w:t>
      </w:r>
      <w:r w:rsidRPr="00E549E5">
        <w:rPr>
          <w:rFonts w:ascii="Cambria" w:hAnsi="Cambria" w:cs="Times New Roman"/>
          <w:i/>
          <w:iCs/>
        </w:rPr>
        <w:t xml:space="preserve">etween </w:t>
      </w:r>
      <w:r w:rsidR="00E45973" w:rsidRPr="00E549E5">
        <w:rPr>
          <w:rFonts w:ascii="Cambria" w:hAnsi="Cambria" w:cs="Times New Roman"/>
          <w:i/>
          <w:iCs/>
        </w:rPr>
        <w:t>M</w:t>
      </w:r>
      <w:r w:rsidRPr="00E549E5">
        <w:rPr>
          <w:rFonts w:ascii="Cambria" w:hAnsi="Cambria" w:cs="Times New Roman"/>
          <w:i/>
          <w:iCs/>
        </w:rPr>
        <w:t xml:space="preserve">easured </w:t>
      </w:r>
      <w:r w:rsidR="00E45973" w:rsidRPr="00E549E5">
        <w:rPr>
          <w:rFonts w:ascii="Cambria" w:hAnsi="Cambria" w:cs="Times New Roman"/>
          <w:i/>
          <w:iCs/>
        </w:rPr>
        <w:t>V</w:t>
      </w:r>
      <w:r w:rsidRPr="00E549E5">
        <w:rPr>
          <w:rFonts w:ascii="Cambria" w:hAnsi="Cambria" w:cs="Times New Roman"/>
          <w:i/>
          <w:iCs/>
        </w:rPr>
        <w:t xml:space="preserve">ariables in Study </w:t>
      </w:r>
      <w:r w:rsidR="00E45973" w:rsidRPr="00E549E5">
        <w:rPr>
          <w:rFonts w:ascii="Cambria" w:hAnsi="Cambria" w:cs="Times New Roman"/>
          <w:i/>
          <w:iCs/>
        </w:rPr>
        <w:t>2C</w:t>
      </w:r>
    </w:p>
    <w:p w14:paraId="0552D524" w14:textId="77777777" w:rsidR="00891386" w:rsidRPr="00E549E5" w:rsidRDefault="00891386" w:rsidP="00891386">
      <w:pPr>
        <w:rPr>
          <w:rFonts w:ascii="Cambria" w:hAnsi="Cambria" w:cs="Times New Roman"/>
        </w:rPr>
      </w:pPr>
    </w:p>
    <w:tbl>
      <w:tblPr>
        <w:tblStyle w:val="TableGrid"/>
        <w:tblW w:w="11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972"/>
        <w:gridCol w:w="972"/>
        <w:gridCol w:w="972"/>
        <w:gridCol w:w="972"/>
        <w:gridCol w:w="972"/>
        <w:gridCol w:w="972"/>
        <w:gridCol w:w="972"/>
        <w:gridCol w:w="972"/>
      </w:tblGrid>
      <w:tr w:rsidR="00001B53" w:rsidRPr="00E549E5" w14:paraId="6E96B2D7" w14:textId="7F777637" w:rsidTr="002578B0">
        <w:trPr>
          <w:trHeight w:val="469"/>
        </w:trPr>
        <w:tc>
          <w:tcPr>
            <w:tcW w:w="3685" w:type="dxa"/>
            <w:tcBorders>
              <w:top w:val="single" w:sz="4" w:space="0" w:color="auto"/>
              <w:bottom w:val="single" w:sz="4" w:space="0" w:color="auto"/>
            </w:tcBorders>
            <w:vAlign w:val="center"/>
          </w:tcPr>
          <w:p w14:paraId="4C3600F4" w14:textId="77777777" w:rsidR="00001B53" w:rsidRPr="00E549E5" w:rsidRDefault="00001B53" w:rsidP="00DD4827">
            <w:pPr>
              <w:rPr>
                <w:rFonts w:ascii="Cambria" w:hAnsi="Cambria" w:cs="Times New Roman"/>
              </w:rPr>
            </w:pPr>
          </w:p>
        </w:tc>
        <w:tc>
          <w:tcPr>
            <w:tcW w:w="972" w:type="dxa"/>
            <w:tcBorders>
              <w:top w:val="single" w:sz="4" w:space="0" w:color="auto"/>
              <w:bottom w:val="single" w:sz="4" w:space="0" w:color="auto"/>
            </w:tcBorders>
            <w:vAlign w:val="center"/>
          </w:tcPr>
          <w:p w14:paraId="4ECF799D" w14:textId="77777777" w:rsidR="00001B53" w:rsidRPr="00E549E5" w:rsidRDefault="00001B53" w:rsidP="009E7B70">
            <w:pPr>
              <w:jc w:val="center"/>
              <w:rPr>
                <w:rFonts w:ascii="Cambria" w:hAnsi="Cambria" w:cs="Times New Roman"/>
              </w:rPr>
            </w:pPr>
            <w:r w:rsidRPr="00E549E5">
              <w:rPr>
                <w:rFonts w:ascii="Cambria" w:hAnsi="Cambria" w:cs="Times New Roman"/>
              </w:rPr>
              <w:t>1</w:t>
            </w:r>
          </w:p>
        </w:tc>
        <w:tc>
          <w:tcPr>
            <w:tcW w:w="972" w:type="dxa"/>
            <w:tcBorders>
              <w:top w:val="single" w:sz="4" w:space="0" w:color="auto"/>
              <w:bottom w:val="single" w:sz="4" w:space="0" w:color="auto"/>
            </w:tcBorders>
            <w:vAlign w:val="center"/>
          </w:tcPr>
          <w:p w14:paraId="0879683C" w14:textId="77777777" w:rsidR="00001B53" w:rsidRPr="00E549E5" w:rsidRDefault="00001B53" w:rsidP="009E7B70">
            <w:pPr>
              <w:jc w:val="center"/>
              <w:rPr>
                <w:rFonts w:ascii="Cambria" w:hAnsi="Cambria" w:cs="Times New Roman"/>
              </w:rPr>
            </w:pPr>
            <w:r w:rsidRPr="00E549E5">
              <w:rPr>
                <w:rFonts w:ascii="Cambria" w:hAnsi="Cambria" w:cs="Times New Roman"/>
              </w:rPr>
              <w:t>2</w:t>
            </w:r>
          </w:p>
        </w:tc>
        <w:tc>
          <w:tcPr>
            <w:tcW w:w="972" w:type="dxa"/>
            <w:tcBorders>
              <w:top w:val="single" w:sz="4" w:space="0" w:color="auto"/>
              <w:bottom w:val="single" w:sz="4" w:space="0" w:color="auto"/>
            </w:tcBorders>
            <w:vAlign w:val="center"/>
          </w:tcPr>
          <w:p w14:paraId="34A0845D" w14:textId="77777777" w:rsidR="00001B53" w:rsidRPr="00E549E5" w:rsidRDefault="00001B53" w:rsidP="009E7B70">
            <w:pPr>
              <w:jc w:val="center"/>
              <w:rPr>
                <w:rFonts w:ascii="Cambria" w:hAnsi="Cambria" w:cs="Times New Roman"/>
              </w:rPr>
            </w:pPr>
            <w:r w:rsidRPr="00E549E5">
              <w:rPr>
                <w:rFonts w:ascii="Cambria" w:hAnsi="Cambria" w:cs="Times New Roman"/>
              </w:rPr>
              <w:t>3</w:t>
            </w:r>
          </w:p>
        </w:tc>
        <w:tc>
          <w:tcPr>
            <w:tcW w:w="972" w:type="dxa"/>
            <w:tcBorders>
              <w:top w:val="single" w:sz="4" w:space="0" w:color="auto"/>
              <w:bottom w:val="single" w:sz="4" w:space="0" w:color="auto"/>
            </w:tcBorders>
            <w:vAlign w:val="center"/>
          </w:tcPr>
          <w:p w14:paraId="0D02B0F7" w14:textId="77777777" w:rsidR="00001B53" w:rsidRPr="00E549E5" w:rsidRDefault="00001B53" w:rsidP="009E7B70">
            <w:pPr>
              <w:jc w:val="center"/>
              <w:rPr>
                <w:rFonts w:ascii="Cambria" w:hAnsi="Cambria" w:cs="Times New Roman"/>
              </w:rPr>
            </w:pPr>
            <w:r w:rsidRPr="00E549E5">
              <w:rPr>
                <w:rFonts w:ascii="Cambria" w:hAnsi="Cambria" w:cs="Times New Roman"/>
              </w:rPr>
              <w:t>4</w:t>
            </w:r>
          </w:p>
        </w:tc>
        <w:tc>
          <w:tcPr>
            <w:tcW w:w="972" w:type="dxa"/>
            <w:tcBorders>
              <w:top w:val="single" w:sz="4" w:space="0" w:color="auto"/>
              <w:bottom w:val="single" w:sz="4" w:space="0" w:color="auto"/>
            </w:tcBorders>
            <w:vAlign w:val="center"/>
          </w:tcPr>
          <w:p w14:paraId="3B4BAAA7" w14:textId="77777777" w:rsidR="00001B53" w:rsidRPr="00E549E5" w:rsidRDefault="00001B53" w:rsidP="009E7B70">
            <w:pPr>
              <w:jc w:val="center"/>
              <w:rPr>
                <w:rFonts w:ascii="Cambria" w:hAnsi="Cambria" w:cs="Times New Roman"/>
              </w:rPr>
            </w:pPr>
            <w:r w:rsidRPr="00E549E5">
              <w:rPr>
                <w:rFonts w:ascii="Cambria" w:hAnsi="Cambria" w:cs="Times New Roman"/>
              </w:rPr>
              <w:t>5</w:t>
            </w:r>
          </w:p>
        </w:tc>
        <w:tc>
          <w:tcPr>
            <w:tcW w:w="972" w:type="dxa"/>
            <w:tcBorders>
              <w:top w:val="single" w:sz="4" w:space="0" w:color="auto"/>
              <w:bottom w:val="single" w:sz="4" w:space="0" w:color="auto"/>
            </w:tcBorders>
            <w:vAlign w:val="center"/>
          </w:tcPr>
          <w:p w14:paraId="60DEA7FA" w14:textId="77777777" w:rsidR="00001B53" w:rsidRPr="00E549E5" w:rsidRDefault="00001B53" w:rsidP="009E7B70">
            <w:pPr>
              <w:jc w:val="center"/>
              <w:rPr>
                <w:rFonts w:ascii="Cambria" w:hAnsi="Cambria" w:cs="Times New Roman"/>
              </w:rPr>
            </w:pPr>
            <w:r w:rsidRPr="00E549E5">
              <w:rPr>
                <w:rFonts w:ascii="Cambria" w:hAnsi="Cambria" w:cs="Times New Roman"/>
              </w:rPr>
              <w:t>6</w:t>
            </w:r>
          </w:p>
        </w:tc>
        <w:tc>
          <w:tcPr>
            <w:tcW w:w="972" w:type="dxa"/>
            <w:tcBorders>
              <w:top w:val="single" w:sz="4" w:space="0" w:color="auto"/>
              <w:bottom w:val="single" w:sz="4" w:space="0" w:color="auto"/>
            </w:tcBorders>
            <w:vAlign w:val="center"/>
          </w:tcPr>
          <w:p w14:paraId="58DEFD75" w14:textId="77777777" w:rsidR="00001B53" w:rsidRPr="00E549E5" w:rsidRDefault="00001B53" w:rsidP="009E7B70">
            <w:pPr>
              <w:jc w:val="center"/>
              <w:rPr>
                <w:rFonts w:ascii="Cambria" w:hAnsi="Cambria" w:cs="Times New Roman"/>
              </w:rPr>
            </w:pPr>
            <w:r w:rsidRPr="00E549E5">
              <w:rPr>
                <w:rFonts w:ascii="Cambria" w:hAnsi="Cambria" w:cs="Times New Roman"/>
              </w:rPr>
              <w:t>7</w:t>
            </w:r>
          </w:p>
        </w:tc>
        <w:tc>
          <w:tcPr>
            <w:tcW w:w="972" w:type="dxa"/>
            <w:tcBorders>
              <w:top w:val="single" w:sz="4" w:space="0" w:color="auto"/>
              <w:bottom w:val="single" w:sz="4" w:space="0" w:color="auto"/>
            </w:tcBorders>
            <w:vAlign w:val="center"/>
          </w:tcPr>
          <w:p w14:paraId="7DAE50F6" w14:textId="77777777" w:rsidR="00001B53" w:rsidRPr="00E549E5" w:rsidRDefault="00001B53" w:rsidP="009E7B70">
            <w:pPr>
              <w:jc w:val="center"/>
              <w:rPr>
                <w:rFonts w:ascii="Cambria" w:hAnsi="Cambria" w:cs="Times New Roman"/>
              </w:rPr>
            </w:pPr>
            <w:r w:rsidRPr="00E549E5">
              <w:rPr>
                <w:rFonts w:ascii="Cambria" w:hAnsi="Cambria" w:cs="Times New Roman"/>
              </w:rPr>
              <w:t>8</w:t>
            </w:r>
          </w:p>
        </w:tc>
      </w:tr>
      <w:tr w:rsidR="00001B53" w:rsidRPr="00E549E5" w14:paraId="4369CAB4" w14:textId="6836FC46" w:rsidTr="002578B0">
        <w:trPr>
          <w:trHeight w:val="469"/>
        </w:trPr>
        <w:tc>
          <w:tcPr>
            <w:tcW w:w="3685" w:type="dxa"/>
            <w:tcBorders>
              <w:top w:val="single" w:sz="4" w:space="0" w:color="auto"/>
            </w:tcBorders>
            <w:vAlign w:val="center"/>
          </w:tcPr>
          <w:p w14:paraId="705FAD30" w14:textId="1140444A" w:rsidR="00001B53" w:rsidRPr="00E549E5" w:rsidRDefault="00001B53" w:rsidP="00DD4827">
            <w:pPr>
              <w:pStyle w:val="ListParagraph"/>
              <w:numPr>
                <w:ilvl w:val="0"/>
                <w:numId w:val="1"/>
              </w:numPr>
              <w:ind w:left="253" w:hanging="270"/>
              <w:rPr>
                <w:rFonts w:ascii="Cambria" w:hAnsi="Cambria" w:cs="Times New Roman"/>
              </w:rPr>
            </w:pPr>
            <w:r w:rsidRPr="00E549E5">
              <w:rPr>
                <w:rFonts w:ascii="Cambria" w:hAnsi="Cambria" w:cs="Times New Roman"/>
              </w:rPr>
              <w:t>Allyship composite</w:t>
            </w:r>
          </w:p>
        </w:tc>
        <w:tc>
          <w:tcPr>
            <w:tcW w:w="972" w:type="dxa"/>
            <w:tcBorders>
              <w:top w:val="single" w:sz="4" w:space="0" w:color="auto"/>
            </w:tcBorders>
            <w:vAlign w:val="center"/>
          </w:tcPr>
          <w:p w14:paraId="2183EEFE" w14:textId="5C6D3B48" w:rsidR="00001B53" w:rsidRPr="00E549E5" w:rsidRDefault="00001B53" w:rsidP="009E7B70">
            <w:pPr>
              <w:jc w:val="center"/>
              <w:rPr>
                <w:rFonts w:ascii="Cambria" w:hAnsi="Cambria" w:cs="Times New Roman"/>
              </w:rPr>
            </w:pPr>
            <w:r>
              <w:rPr>
                <w:rFonts w:ascii="Cambria" w:hAnsi="Cambria" w:cs="Times New Roman"/>
              </w:rPr>
              <w:t>--</w:t>
            </w:r>
          </w:p>
        </w:tc>
        <w:tc>
          <w:tcPr>
            <w:tcW w:w="972" w:type="dxa"/>
            <w:tcBorders>
              <w:top w:val="single" w:sz="4" w:space="0" w:color="auto"/>
            </w:tcBorders>
            <w:vAlign w:val="center"/>
          </w:tcPr>
          <w:p w14:paraId="5D74571F" w14:textId="26DDED24" w:rsidR="00001B53" w:rsidRPr="00E549E5" w:rsidRDefault="00CD470C" w:rsidP="009E7B70">
            <w:pPr>
              <w:jc w:val="center"/>
              <w:rPr>
                <w:rFonts w:ascii="Cambria" w:hAnsi="Cambria" w:cs="Times New Roman"/>
              </w:rPr>
            </w:pPr>
            <w:r>
              <w:rPr>
                <w:rFonts w:ascii="Cambria" w:hAnsi="Cambria" w:cs="Times New Roman"/>
              </w:rPr>
              <w:t>.59***</w:t>
            </w:r>
          </w:p>
        </w:tc>
        <w:tc>
          <w:tcPr>
            <w:tcW w:w="972" w:type="dxa"/>
            <w:tcBorders>
              <w:top w:val="single" w:sz="4" w:space="0" w:color="auto"/>
            </w:tcBorders>
            <w:vAlign w:val="center"/>
          </w:tcPr>
          <w:p w14:paraId="533F19BA" w14:textId="79D5E91F" w:rsidR="00001B53" w:rsidRPr="00E549E5" w:rsidRDefault="00CD470C" w:rsidP="009E7B70">
            <w:pPr>
              <w:jc w:val="center"/>
              <w:rPr>
                <w:rFonts w:ascii="Cambria" w:hAnsi="Cambria" w:cs="Times New Roman"/>
              </w:rPr>
            </w:pPr>
            <w:r>
              <w:rPr>
                <w:rFonts w:ascii="Cambria" w:hAnsi="Cambria" w:cs="Times New Roman"/>
              </w:rPr>
              <w:t>.09+</w:t>
            </w:r>
          </w:p>
        </w:tc>
        <w:tc>
          <w:tcPr>
            <w:tcW w:w="972" w:type="dxa"/>
            <w:tcBorders>
              <w:top w:val="single" w:sz="4" w:space="0" w:color="auto"/>
            </w:tcBorders>
            <w:vAlign w:val="center"/>
          </w:tcPr>
          <w:p w14:paraId="36CAC9C4" w14:textId="26CD4F65" w:rsidR="00001B53" w:rsidRPr="00E549E5" w:rsidRDefault="00CD470C" w:rsidP="009E7B70">
            <w:pPr>
              <w:jc w:val="center"/>
              <w:rPr>
                <w:rFonts w:ascii="Cambria" w:hAnsi="Cambria" w:cs="Times New Roman"/>
              </w:rPr>
            </w:pPr>
            <w:r>
              <w:rPr>
                <w:rFonts w:ascii="Cambria" w:hAnsi="Cambria" w:cs="Times New Roman"/>
              </w:rPr>
              <w:t>-.50***</w:t>
            </w:r>
          </w:p>
        </w:tc>
        <w:tc>
          <w:tcPr>
            <w:tcW w:w="972" w:type="dxa"/>
            <w:tcBorders>
              <w:top w:val="single" w:sz="4" w:space="0" w:color="auto"/>
            </w:tcBorders>
            <w:vAlign w:val="center"/>
          </w:tcPr>
          <w:p w14:paraId="1CAB2BD6" w14:textId="4DD5637D" w:rsidR="00001B53" w:rsidRPr="00E549E5" w:rsidRDefault="00CD470C" w:rsidP="009E7B70">
            <w:pPr>
              <w:jc w:val="center"/>
              <w:rPr>
                <w:rFonts w:ascii="Cambria" w:hAnsi="Cambria" w:cs="Times New Roman"/>
              </w:rPr>
            </w:pPr>
            <w:r>
              <w:rPr>
                <w:rFonts w:ascii="Cambria" w:hAnsi="Cambria" w:cs="Times New Roman"/>
              </w:rPr>
              <w:t>-.70***</w:t>
            </w:r>
          </w:p>
        </w:tc>
        <w:tc>
          <w:tcPr>
            <w:tcW w:w="972" w:type="dxa"/>
            <w:tcBorders>
              <w:top w:val="single" w:sz="4" w:space="0" w:color="auto"/>
            </w:tcBorders>
            <w:vAlign w:val="center"/>
          </w:tcPr>
          <w:p w14:paraId="6DBD7D17" w14:textId="0B96044E" w:rsidR="00001B53" w:rsidRPr="00E549E5" w:rsidRDefault="00CD470C" w:rsidP="009E7B70">
            <w:pPr>
              <w:jc w:val="center"/>
              <w:rPr>
                <w:rFonts w:ascii="Cambria" w:hAnsi="Cambria" w:cs="Times New Roman"/>
              </w:rPr>
            </w:pPr>
            <w:r>
              <w:rPr>
                <w:rFonts w:ascii="Cambria" w:hAnsi="Cambria" w:cs="Times New Roman"/>
              </w:rPr>
              <w:t>-.58***</w:t>
            </w:r>
          </w:p>
        </w:tc>
        <w:tc>
          <w:tcPr>
            <w:tcW w:w="972" w:type="dxa"/>
            <w:tcBorders>
              <w:top w:val="single" w:sz="4" w:space="0" w:color="auto"/>
            </w:tcBorders>
            <w:vAlign w:val="center"/>
          </w:tcPr>
          <w:p w14:paraId="1974DF15" w14:textId="3D0EDE7F" w:rsidR="00001B53" w:rsidRPr="00E549E5" w:rsidRDefault="00CD470C" w:rsidP="009E7B70">
            <w:pPr>
              <w:jc w:val="center"/>
              <w:rPr>
                <w:rFonts w:ascii="Cambria" w:hAnsi="Cambria" w:cs="Times New Roman"/>
              </w:rPr>
            </w:pPr>
            <w:r>
              <w:rPr>
                <w:rFonts w:ascii="Cambria" w:hAnsi="Cambria" w:cs="Times New Roman"/>
              </w:rPr>
              <w:t>.18**</w:t>
            </w:r>
          </w:p>
        </w:tc>
        <w:tc>
          <w:tcPr>
            <w:tcW w:w="972" w:type="dxa"/>
            <w:tcBorders>
              <w:top w:val="single" w:sz="4" w:space="0" w:color="auto"/>
            </w:tcBorders>
            <w:vAlign w:val="center"/>
          </w:tcPr>
          <w:p w14:paraId="339EE8B2" w14:textId="2170F99F" w:rsidR="00001B53" w:rsidRPr="00E549E5" w:rsidRDefault="00CD470C" w:rsidP="009E7B70">
            <w:pPr>
              <w:jc w:val="center"/>
              <w:rPr>
                <w:rFonts w:ascii="Cambria" w:hAnsi="Cambria" w:cs="Times New Roman"/>
              </w:rPr>
            </w:pPr>
            <w:r>
              <w:rPr>
                <w:rFonts w:ascii="Cambria" w:hAnsi="Cambria" w:cs="Times New Roman"/>
              </w:rPr>
              <w:t>.01</w:t>
            </w:r>
          </w:p>
        </w:tc>
      </w:tr>
      <w:tr w:rsidR="00001B53" w:rsidRPr="00E549E5" w14:paraId="5407FAEC" w14:textId="610A63D6" w:rsidTr="002578B0">
        <w:trPr>
          <w:trHeight w:val="469"/>
        </w:trPr>
        <w:tc>
          <w:tcPr>
            <w:tcW w:w="3685" w:type="dxa"/>
            <w:vAlign w:val="center"/>
          </w:tcPr>
          <w:p w14:paraId="7BAEAC99" w14:textId="77777777" w:rsidR="00001B53" w:rsidRPr="00E549E5" w:rsidRDefault="00001B53" w:rsidP="00325C6E">
            <w:pPr>
              <w:pStyle w:val="ListParagraph"/>
              <w:numPr>
                <w:ilvl w:val="0"/>
                <w:numId w:val="1"/>
              </w:numPr>
              <w:ind w:left="253" w:hanging="270"/>
              <w:rPr>
                <w:rFonts w:ascii="Cambria" w:hAnsi="Cambria" w:cs="Times New Roman"/>
              </w:rPr>
            </w:pPr>
            <w:r w:rsidRPr="00E549E5">
              <w:rPr>
                <w:rFonts w:ascii="Cambria" w:hAnsi="Cambria" w:cs="Times New Roman"/>
              </w:rPr>
              <w:t>Global self-rated allyship</w:t>
            </w:r>
          </w:p>
        </w:tc>
        <w:tc>
          <w:tcPr>
            <w:tcW w:w="972" w:type="dxa"/>
            <w:vAlign w:val="center"/>
          </w:tcPr>
          <w:p w14:paraId="77207219" w14:textId="77777777" w:rsidR="00001B53" w:rsidRPr="00E549E5" w:rsidRDefault="00001B53" w:rsidP="00325C6E">
            <w:pPr>
              <w:jc w:val="center"/>
              <w:rPr>
                <w:rFonts w:ascii="Cambria" w:hAnsi="Cambria" w:cs="Times New Roman"/>
              </w:rPr>
            </w:pPr>
          </w:p>
        </w:tc>
        <w:tc>
          <w:tcPr>
            <w:tcW w:w="972" w:type="dxa"/>
            <w:vAlign w:val="center"/>
          </w:tcPr>
          <w:p w14:paraId="32C6277D" w14:textId="5EEFED88" w:rsidR="00001B53" w:rsidRPr="00E549E5" w:rsidRDefault="00E804E0" w:rsidP="00325C6E">
            <w:pPr>
              <w:jc w:val="center"/>
              <w:rPr>
                <w:rFonts w:ascii="Cambria" w:hAnsi="Cambria" w:cs="Times New Roman"/>
              </w:rPr>
            </w:pPr>
            <w:r>
              <w:rPr>
                <w:rFonts w:ascii="Cambria" w:hAnsi="Cambria" w:cs="Times New Roman"/>
              </w:rPr>
              <w:t>--</w:t>
            </w:r>
          </w:p>
        </w:tc>
        <w:tc>
          <w:tcPr>
            <w:tcW w:w="972" w:type="dxa"/>
            <w:vAlign w:val="center"/>
          </w:tcPr>
          <w:p w14:paraId="76E5AA5E" w14:textId="0B1B0D44" w:rsidR="00001B53" w:rsidRPr="00E549E5" w:rsidRDefault="00CD470C" w:rsidP="00325C6E">
            <w:pPr>
              <w:jc w:val="center"/>
              <w:rPr>
                <w:rFonts w:ascii="Cambria" w:hAnsi="Cambria" w:cs="Times New Roman"/>
              </w:rPr>
            </w:pPr>
            <w:r>
              <w:rPr>
                <w:rFonts w:ascii="Cambria" w:hAnsi="Cambria" w:cs="Times New Roman"/>
              </w:rPr>
              <w:t>.27***</w:t>
            </w:r>
          </w:p>
        </w:tc>
        <w:tc>
          <w:tcPr>
            <w:tcW w:w="972" w:type="dxa"/>
            <w:vAlign w:val="center"/>
          </w:tcPr>
          <w:p w14:paraId="63C5CEAF" w14:textId="310C4EC8" w:rsidR="00001B53" w:rsidRPr="00E549E5" w:rsidRDefault="00CD470C" w:rsidP="00325C6E">
            <w:pPr>
              <w:jc w:val="center"/>
              <w:rPr>
                <w:rFonts w:ascii="Cambria" w:hAnsi="Cambria" w:cs="Times New Roman"/>
              </w:rPr>
            </w:pPr>
            <w:r>
              <w:rPr>
                <w:rFonts w:ascii="Cambria" w:hAnsi="Cambria" w:cs="Times New Roman"/>
              </w:rPr>
              <w:t>-.60***</w:t>
            </w:r>
          </w:p>
        </w:tc>
        <w:tc>
          <w:tcPr>
            <w:tcW w:w="972" w:type="dxa"/>
            <w:vAlign w:val="center"/>
          </w:tcPr>
          <w:p w14:paraId="3696F733" w14:textId="4392D626" w:rsidR="00001B53" w:rsidRPr="00E549E5" w:rsidRDefault="00CD470C" w:rsidP="00325C6E">
            <w:pPr>
              <w:jc w:val="center"/>
              <w:rPr>
                <w:rFonts w:ascii="Cambria" w:hAnsi="Cambria" w:cs="Times New Roman"/>
              </w:rPr>
            </w:pPr>
            <w:r>
              <w:rPr>
                <w:rFonts w:ascii="Cambria" w:hAnsi="Cambria" w:cs="Times New Roman"/>
              </w:rPr>
              <w:t>-.61***</w:t>
            </w:r>
          </w:p>
        </w:tc>
        <w:tc>
          <w:tcPr>
            <w:tcW w:w="972" w:type="dxa"/>
            <w:vAlign w:val="center"/>
          </w:tcPr>
          <w:p w14:paraId="58964162" w14:textId="2908E262" w:rsidR="00001B53" w:rsidRPr="00E549E5" w:rsidRDefault="00CD470C" w:rsidP="00325C6E">
            <w:pPr>
              <w:jc w:val="center"/>
              <w:rPr>
                <w:rFonts w:ascii="Cambria" w:hAnsi="Cambria" w:cs="Times New Roman"/>
              </w:rPr>
            </w:pPr>
            <w:r>
              <w:rPr>
                <w:rFonts w:ascii="Cambria" w:hAnsi="Cambria" w:cs="Times New Roman"/>
              </w:rPr>
              <w:t>-.42***</w:t>
            </w:r>
          </w:p>
        </w:tc>
        <w:tc>
          <w:tcPr>
            <w:tcW w:w="972" w:type="dxa"/>
            <w:vAlign w:val="center"/>
          </w:tcPr>
          <w:p w14:paraId="17572EFC" w14:textId="61052149" w:rsidR="00001B53" w:rsidRPr="00E549E5" w:rsidRDefault="00CD470C" w:rsidP="00325C6E">
            <w:pPr>
              <w:jc w:val="center"/>
              <w:rPr>
                <w:rFonts w:ascii="Cambria" w:hAnsi="Cambria" w:cs="Times New Roman"/>
              </w:rPr>
            </w:pPr>
            <w:r>
              <w:rPr>
                <w:rFonts w:ascii="Cambria" w:hAnsi="Cambria" w:cs="Times New Roman"/>
              </w:rPr>
              <w:t>.22***</w:t>
            </w:r>
          </w:p>
        </w:tc>
        <w:tc>
          <w:tcPr>
            <w:tcW w:w="972" w:type="dxa"/>
            <w:vAlign w:val="center"/>
          </w:tcPr>
          <w:p w14:paraId="06B23FFC" w14:textId="1F53CBA4" w:rsidR="00001B53" w:rsidRPr="00E549E5" w:rsidRDefault="00CD470C" w:rsidP="00325C6E">
            <w:pPr>
              <w:jc w:val="center"/>
              <w:rPr>
                <w:rFonts w:ascii="Cambria" w:hAnsi="Cambria" w:cs="Times New Roman"/>
              </w:rPr>
            </w:pPr>
            <w:r>
              <w:rPr>
                <w:rFonts w:ascii="Cambria" w:hAnsi="Cambria" w:cs="Times New Roman"/>
              </w:rPr>
              <w:t>.03</w:t>
            </w:r>
          </w:p>
        </w:tc>
      </w:tr>
      <w:tr w:rsidR="00001B53" w:rsidRPr="00E549E5" w14:paraId="362D3CFC" w14:textId="61ABBC3C" w:rsidTr="002578B0">
        <w:trPr>
          <w:trHeight w:val="469"/>
        </w:trPr>
        <w:tc>
          <w:tcPr>
            <w:tcW w:w="3685" w:type="dxa"/>
            <w:vAlign w:val="center"/>
          </w:tcPr>
          <w:p w14:paraId="5132102B" w14:textId="77777777" w:rsidR="00001B53" w:rsidRPr="00E549E5" w:rsidRDefault="00001B53" w:rsidP="00325C6E">
            <w:pPr>
              <w:pStyle w:val="ListParagraph"/>
              <w:numPr>
                <w:ilvl w:val="0"/>
                <w:numId w:val="1"/>
              </w:numPr>
              <w:ind w:left="253" w:hanging="270"/>
              <w:rPr>
                <w:rFonts w:ascii="Cambria" w:hAnsi="Cambria" w:cs="Times New Roman"/>
              </w:rPr>
            </w:pPr>
            <w:r w:rsidRPr="00E549E5">
              <w:rPr>
                <w:rFonts w:ascii="Cambria" w:hAnsi="Cambria" w:cs="Times New Roman"/>
              </w:rPr>
              <w:t xml:space="preserve">Contact </w:t>
            </w:r>
          </w:p>
        </w:tc>
        <w:tc>
          <w:tcPr>
            <w:tcW w:w="972" w:type="dxa"/>
            <w:vAlign w:val="center"/>
          </w:tcPr>
          <w:p w14:paraId="08A312B2" w14:textId="77777777" w:rsidR="00001B53" w:rsidRPr="00E549E5" w:rsidRDefault="00001B53" w:rsidP="00325C6E">
            <w:pPr>
              <w:jc w:val="center"/>
              <w:rPr>
                <w:rFonts w:ascii="Cambria" w:hAnsi="Cambria" w:cs="Times New Roman"/>
              </w:rPr>
            </w:pPr>
          </w:p>
        </w:tc>
        <w:tc>
          <w:tcPr>
            <w:tcW w:w="972" w:type="dxa"/>
            <w:vAlign w:val="center"/>
          </w:tcPr>
          <w:p w14:paraId="7310FEAB" w14:textId="77777777" w:rsidR="00001B53" w:rsidRPr="00E549E5" w:rsidRDefault="00001B53" w:rsidP="00325C6E">
            <w:pPr>
              <w:jc w:val="center"/>
              <w:rPr>
                <w:rFonts w:ascii="Cambria" w:hAnsi="Cambria" w:cs="Times New Roman"/>
              </w:rPr>
            </w:pPr>
          </w:p>
        </w:tc>
        <w:tc>
          <w:tcPr>
            <w:tcW w:w="972" w:type="dxa"/>
            <w:vAlign w:val="center"/>
          </w:tcPr>
          <w:p w14:paraId="6E06D550" w14:textId="6904AFDA" w:rsidR="00001B53" w:rsidRPr="00E549E5" w:rsidRDefault="00E804E0" w:rsidP="00325C6E">
            <w:pPr>
              <w:jc w:val="center"/>
              <w:rPr>
                <w:rFonts w:ascii="Cambria" w:hAnsi="Cambria" w:cs="Times New Roman"/>
              </w:rPr>
            </w:pPr>
            <w:r>
              <w:rPr>
                <w:rFonts w:ascii="Cambria" w:hAnsi="Cambria" w:cs="Times New Roman"/>
              </w:rPr>
              <w:t>--</w:t>
            </w:r>
          </w:p>
        </w:tc>
        <w:tc>
          <w:tcPr>
            <w:tcW w:w="972" w:type="dxa"/>
            <w:vAlign w:val="center"/>
          </w:tcPr>
          <w:p w14:paraId="17324D2F" w14:textId="487CD297" w:rsidR="00001B53" w:rsidRPr="00E549E5" w:rsidRDefault="00CD470C" w:rsidP="00325C6E">
            <w:pPr>
              <w:jc w:val="center"/>
              <w:rPr>
                <w:rFonts w:ascii="Cambria" w:hAnsi="Cambria" w:cs="Times New Roman"/>
              </w:rPr>
            </w:pPr>
            <w:r>
              <w:rPr>
                <w:rFonts w:ascii="Cambria" w:hAnsi="Cambria" w:cs="Times New Roman"/>
              </w:rPr>
              <w:t>-.32***</w:t>
            </w:r>
          </w:p>
        </w:tc>
        <w:tc>
          <w:tcPr>
            <w:tcW w:w="972" w:type="dxa"/>
            <w:vAlign w:val="center"/>
          </w:tcPr>
          <w:p w14:paraId="7FC7C5EF" w14:textId="3AF7F8FD" w:rsidR="00001B53" w:rsidRPr="00E549E5" w:rsidRDefault="00CD470C" w:rsidP="00325C6E">
            <w:pPr>
              <w:jc w:val="center"/>
              <w:rPr>
                <w:rFonts w:ascii="Cambria" w:hAnsi="Cambria" w:cs="Times New Roman"/>
              </w:rPr>
            </w:pPr>
            <w:r>
              <w:rPr>
                <w:rFonts w:ascii="Cambria" w:hAnsi="Cambria" w:cs="Times New Roman"/>
              </w:rPr>
              <w:t>-.17***</w:t>
            </w:r>
          </w:p>
        </w:tc>
        <w:tc>
          <w:tcPr>
            <w:tcW w:w="972" w:type="dxa"/>
            <w:vAlign w:val="center"/>
          </w:tcPr>
          <w:p w14:paraId="2E015511" w14:textId="2A282111" w:rsidR="00001B53" w:rsidRPr="00E549E5" w:rsidRDefault="00CD470C" w:rsidP="00325C6E">
            <w:pPr>
              <w:jc w:val="center"/>
              <w:rPr>
                <w:rFonts w:ascii="Cambria" w:hAnsi="Cambria" w:cs="Times New Roman"/>
              </w:rPr>
            </w:pPr>
            <w:r>
              <w:rPr>
                <w:rFonts w:ascii="Cambria" w:hAnsi="Cambria" w:cs="Times New Roman"/>
              </w:rPr>
              <w:t>.05</w:t>
            </w:r>
          </w:p>
        </w:tc>
        <w:tc>
          <w:tcPr>
            <w:tcW w:w="972" w:type="dxa"/>
            <w:vAlign w:val="center"/>
          </w:tcPr>
          <w:p w14:paraId="04292EBE" w14:textId="3322380C" w:rsidR="00001B53" w:rsidRPr="00E549E5" w:rsidRDefault="00CD470C" w:rsidP="00325C6E">
            <w:pPr>
              <w:jc w:val="center"/>
              <w:rPr>
                <w:rFonts w:ascii="Cambria" w:hAnsi="Cambria" w:cs="Times New Roman"/>
              </w:rPr>
            </w:pPr>
            <w:r>
              <w:rPr>
                <w:rFonts w:ascii="Cambria" w:hAnsi="Cambria" w:cs="Times New Roman"/>
              </w:rPr>
              <w:t>.01</w:t>
            </w:r>
          </w:p>
        </w:tc>
        <w:tc>
          <w:tcPr>
            <w:tcW w:w="972" w:type="dxa"/>
            <w:vAlign w:val="center"/>
          </w:tcPr>
          <w:p w14:paraId="3AF2E007" w14:textId="6F9B8A02" w:rsidR="00001B53" w:rsidRPr="00E549E5" w:rsidRDefault="00CD470C" w:rsidP="00325C6E">
            <w:pPr>
              <w:jc w:val="center"/>
              <w:rPr>
                <w:rFonts w:ascii="Cambria" w:hAnsi="Cambria" w:cs="Times New Roman"/>
              </w:rPr>
            </w:pPr>
            <w:r>
              <w:rPr>
                <w:rFonts w:ascii="Cambria" w:hAnsi="Cambria" w:cs="Times New Roman"/>
              </w:rPr>
              <w:t>.03</w:t>
            </w:r>
          </w:p>
        </w:tc>
      </w:tr>
      <w:tr w:rsidR="00001B53" w:rsidRPr="00E549E5" w14:paraId="5B11CB40" w14:textId="70333845" w:rsidTr="002578B0">
        <w:trPr>
          <w:trHeight w:val="469"/>
        </w:trPr>
        <w:tc>
          <w:tcPr>
            <w:tcW w:w="3685" w:type="dxa"/>
            <w:vAlign w:val="center"/>
          </w:tcPr>
          <w:p w14:paraId="0089516A" w14:textId="77777777" w:rsidR="00001B53" w:rsidRPr="00E549E5" w:rsidRDefault="00001B53" w:rsidP="00325C6E">
            <w:pPr>
              <w:pStyle w:val="ListParagraph"/>
              <w:numPr>
                <w:ilvl w:val="0"/>
                <w:numId w:val="1"/>
              </w:numPr>
              <w:ind w:left="253" w:hanging="270"/>
              <w:rPr>
                <w:rFonts w:ascii="Cambria" w:hAnsi="Cambria" w:cs="Times New Roman"/>
              </w:rPr>
            </w:pPr>
            <w:r w:rsidRPr="00E549E5">
              <w:rPr>
                <w:rFonts w:ascii="Cambria" w:hAnsi="Cambria" w:cs="Times New Roman"/>
              </w:rPr>
              <w:t xml:space="preserve">Anti-LGBT prejudice </w:t>
            </w:r>
          </w:p>
        </w:tc>
        <w:tc>
          <w:tcPr>
            <w:tcW w:w="972" w:type="dxa"/>
            <w:vAlign w:val="center"/>
          </w:tcPr>
          <w:p w14:paraId="2F04F606" w14:textId="77777777" w:rsidR="00001B53" w:rsidRPr="00E549E5" w:rsidRDefault="00001B53" w:rsidP="00325C6E">
            <w:pPr>
              <w:jc w:val="center"/>
              <w:rPr>
                <w:rFonts w:ascii="Cambria" w:hAnsi="Cambria" w:cs="Times New Roman"/>
              </w:rPr>
            </w:pPr>
          </w:p>
        </w:tc>
        <w:tc>
          <w:tcPr>
            <w:tcW w:w="972" w:type="dxa"/>
            <w:vAlign w:val="center"/>
          </w:tcPr>
          <w:p w14:paraId="6C5F0597" w14:textId="77777777" w:rsidR="00001B53" w:rsidRPr="00E549E5" w:rsidRDefault="00001B53" w:rsidP="00325C6E">
            <w:pPr>
              <w:jc w:val="center"/>
              <w:rPr>
                <w:rFonts w:ascii="Cambria" w:hAnsi="Cambria" w:cs="Times New Roman"/>
              </w:rPr>
            </w:pPr>
          </w:p>
        </w:tc>
        <w:tc>
          <w:tcPr>
            <w:tcW w:w="972" w:type="dxa"/>
            <w:vAlign w:val="center"/>
          </w:tcPr>
          <w:p w14:paraId="14666D27" w14:textId="77777777" w:rsidR="00001B53" w:rsidRPr="00E549E5" w:rsidRDefault="00001B53" w:rsidP="00325C6E">
            <w:pPr>
              <w:jc w:val="center"/>
              <w:rPr>
                <w:rFonts w:ascii="Cambria" w:hAnsi="Cambria" w:cs="Times New Roman"/>
              </w:rPr>
            </w:pPr>
          </w:p>
        </w:tc>
        <w:tc>
          <w:tcPr>
            <w:tcW w:w="972" w:type="dxa"/>
            <w:vAlign w:val="center"/>
          </w:tcPr>
          <w:p w14:paraId="387633A1" w14:textId="3A5D9E9A" w:rsidR="00001B53" w:rsidRPr="00E549E5" w:rsidRDefault="00E804E0" w:rsidP="00325C6E">
            <w:pPr>
              <w:jc w:val="center"/>
              <w:rPr>
                <w:rFonts w:ascii="Cambria" w:hAnsi="Cambria" w:cs="Times New Roman"/>
              </w:rPr>
            </w:pPr>
            <w:r>
              <w:rPr>
                <w:rFonts w:ascii="Cambria" w:hAnsi="Cambria" w:cs="Times New Roman"/>
              </w:rPr>
              <w:t>--</w:t>
            </w:r>
          </w:p>
        </w:tc>
        <w:tc>
          <w:tcPr>
            <w:tcW w:w="972" w:type="dxa"/>
            <w:vAlign w:val="center"/>
          </w:tcPr>
          <w:p w14:paraId="29A785C0" w14:textId="1D6BBCCE" w:rsidR="00001B53" w:rsidRPr="00E549E5" w:rsidRDefault="00174B6C" w:rsidP="00325C6E">
            <w:pPr>
              <w:jc w:val="center"/>
              <w:rPr>
                <w:rFonts w:ascii="Cambria" w:hAnsi="Cambria" w:cs="Times New Roman"/>
              </w:rPr>
            </w:pPr>
            <w:r>
              <w:rPr>
                <w:rFonts w:ascii="Cambria" w:hAnsi="Cambria" w:cs="Times New Roman"/>
              </w:rPr>
              <w:t>.66***</w:t>
            </w:r>
          </w:p>
        </w:tc>
        <w:tc>
          <w:tcPr>
            <w:tcW w:w="972" w:type="dxa"/>
            <w:vAlign w:val="center"/>
          </w:tcPr>
          <w:p w14:paraId="1AC2DD8F" w14:textId="4B01A42A" w:rsidR="00001B53" w:rsidRPr="00E549E5" w:rsidRDefault="00174B6C" w:rsidP="00325C6E">
            <w:pPr>
              <w:jc w:val="center"/>
              <w:rPr>
                <w:rFonts w:ascii="Cambria" w:hAnsi="Cambria" w:cs="Times New Roman"/>
              </w:rPr>
            </w:pPr>
            <w:r>
              <w:rPr>
                <w:rFonts w:ascii="Cambria" w:hAnsi="Cambria" w:cs="Times New Roman"/>
              </w:rPr>
              <w:t>.51***</w:t>
            </w:r>
          </w:p>
        </w:tc>
        <w:tc>
          <w:tcPr>
            <w:tcW w:w="972" w:type="dxa"/>
            <w:vAlign w:val="center"/>
          </w:tcPr>
          <w:p w14:paraId="40BA8360" w14:textId="53A3EE1A" w:rsidR="00001B53" w:rsidRPr="00E549E5" w:rsidRDefault="00174B6C" w:rsidP="00325C6E">
            <w:pPr>
              <w:jc w:val="center"/>
              <w:rPr>
                <w:rFonts w:ascii="Cambria" w:hAnsi="Cambria" w:cs="Times New Roman"/>
              </w:rPr>
            </w:pPr>
            <w:r>
              <w:rPr>
                <w:rFonts w:ascii="Cambria" w:hAnsi="Cambria" w:cs="Times New Roman"/>
              </w:rPr>
              <w:t>-.05</w:t>
            </w:r>
          </w:p>
        </w:tc>
        <w:tc>
          <w:tcPr>
            <w:tcW w:w="972" w:type="dxa"/>
            <w:vAlign w:val="center"/>
          </w:tcPr>
          <w:p w14:paraId="4E4EDE34" w14:textId="5C113B00" w:rsidR="00001B53" w:rsidRPr="00E549E5" w:rsidRDefault="00174B6C" w:rsidP="00325C6E">
            <w:pPr>
              <w:jc w:val="center"/>
              <w:rPr>
                <w:rFonts w:ascii="Cambria" w:hAnsi="Cambria" w:cs="Times New Roman"/>
              </w:rPr>
            </w:pPr>
            <w:r>
              <w:rPr>
                <w:rFonts w:ascii="Cambria" w:hAnsi="Cambria" w:cs="Times New Roman"/>
              </w:rPr>
              <w:t>-.09+</w:t>
            </w:r>
          </w:p>
        </w:tc>
      </w:tr>
      <w:tr w:rsidR="00001B53" w:rsidRPr="00E549E5" w14:paraId="5DB0BC5D" w14:textId="1687045F" w:rsidTr="002578B0">
        <w:trPr>
          <w:trHeight w:val="469"/>
        </w:trPr>
        <w:tc>
          <w:tcPr>
            <w:tcW w:w="3685" w:type="dxa"/>
            <w:vAlign w:val="center"/>
          </w:tcPr>
          <w:p w14:paraId="54AF3290" w14:textId="77777777" w:rsidR="00001B53" w:rsidRPr="00E549E5" w:rsidRDefault="00001B53" w:rsidP="00325C6E">
            <w:pPr>
              <w:pStyle w:val="ListParagraph"/>
              <w:numPr>
                <w:ilvl w:val="0"/>
                <w:numId w:val="1"/>
              </w:numPr>
              <w:ind w:left="253" w:hanging="270"/>
              <w:rPr>
                <w:rFonts w:ascii="Cambria" w:hAnsi="Cambria" w:cs="Times New Roman"/>
              </w:rPr>
            </w:pPr>
            <w:r w:rsidRPr="00E549E5">
              <w:rPr>
                <w:rFonts w:ascii="Cambria" w:hAnsi="Cambria" w:cs="Times New Roman"/>
              </w:rPr>
              <w:t>Homonegativity</w:t>
            </w:r>
          </w:p>
        </w:tc>
        <w:tc>
          <w:tcPr>
            <w:tcW w:w="972" w:type="dxa"/>
            <w:vAlign w:val="center"/>
          </w:tcPr>
          <w:p w14:paraId="60338FC2" w14:textId="77777777" w:rsidR="00001B53" w:rsidRPr="00E549E5" w:rsidRDefault="00001B53" w:rsidP="00325C6E">
            <w:pPr>
              <w:jc w:val="center"/>
              <w:rPr>
                <w:rFonts w:ascii="Cambria" w:hAnsi="Cambria" w:cs="Times New Roman"/>
              </w:rPr>
            </w:pPr>
          </w:p>
        </w:tc>
        <w:tc>
          <w:tcPr>
            <w:tcW w:w="972" w:type="dxa"/>
            <w:vAlign w:val="center"/>
          </w:tcPr>
          <w:p w14:paraId="351EF053" w14:textId="77777777" w:rsidR="00001B53" w:rsidRPr="00E549E5" w:rsidRDefault="00001B53" w:rsidP="00325C6E">
            <w:pPr>
              <w:jc w:val="center"/>
              <w:rPr>
                <w:rFonts w:ascii="Cambria" w:hAnsi="Cambria" w:cs="Times New Roman"/>
              </w:rPr>
            </w:pPr>
          </w:p>
        </w:tc>
        <w:tc>
          <w:tcPr>
            <w:tcW w:w="972" w:type="dxa"/>
            <w:vAlign w:val="center"/>
          </w:tcPr>
          <w:p w14:paraId="7EF67ABD" w14:textId="77777777" w:rsidR="00001B53" w:rsidRPr="00E549E5" w:rsidRDefault="00001B53" w:rsidP="00325C6E">
            <w:pPr>
              <w:jc w:val="center"/>
              <w:rPr>
                <w:rFonts w:ascii="Cambria" w:hAnsi="Cambria" w:cs="Times New Roman"/>
              </w:rPr>
            </w:pPr>
          </w:p>
        </w:tc>
        <w:tc>
          <w:tcPr>
            <w:tcW w:w="972" w:type="dxa"/>
            <w:vAlign w:val="center"/>
          </w:tcPr>
          <w:p w14:paraId="50CF95A7" w14:textId="77777777" w:rsidR="00001B53" w:rsidRPr="00E549E5" w:rsidRDefault="00001B53" w:rsidP="00325C6E">
            <w:pPr>
              <w:jc w:val="center"/>
              <w:rPr>
                <w:rFonts w:ascii="Cambria" w:hAnsi="Cambria" w:cs="Times New Roman"/>
              </w:rPr>
            </w:pPr>
          </w:p>
        </w:tc>
        <w:tc>
          <w:tcPr>
            <w:tcW w:w="972" w:type="dxa"/>
            <w:vAlign w:val="center"/>
          </w:tcPr>
          <w:p w14:paraId="46ACFE36" w14:textId="63A4A2EB" w:rsidR="00001B53" w:rsidRPr="00E549E5" w:rsidRDefault="00E804E0" w:rsidP="00325C6E">
            <w:pPr>
              <w:jc w:val="center"/>
              <w:rPr>
                <w:rFonts w:ascii="Cambria" w:hAnsi="Cambria" w:cs="Times New Roman"/>
              </w:rPr>
            </w:pPr>
            <w:r>
              <w:rPr>
                <w:rFonts w:ascii="Cambria" w:hAnsi="Cambria" w:cs="Times New Roman"/>
              </w:rPr>
              <w:t>--</w:t>
            </w:r>
          </w:p>
        </w:tc>
        <w:tc>
          <w:tcPr>
            <w:tcW w:w="972" w:type="dxa"/>
            <w:vAlign w:val="center"/>
          </w:tcPr>
          <w:p w14:paraId="75A12F96" w14:textId="2AE16445" w:rsidR="00001B53" w:rsidRPr="00E549E5" w:rsidRDefault="00634663" w:rsidP="00325C6E">
            <w:pPr>
              <w:jc w:val="center"/>
              <w:rPr>
                <w:rFonts w:ascii="Cambria" w:hAnsi="Cambria" w:cs="Times New Roman"/>
              </w:rPr>
            </w:pPr>
            <w:r>
              <w:rPr>
                <w:rFonts w:ascii="Cambria" w:hAnsi="Cambria" w:cs="Times New Roman"/>
              </w:rPr>
              <w:t>.67***</w:t>
            </w:r>
          </w:p>
        </w:tc>
        <w:tc>
          <w:tcPr>
            <w:tcW w:w="972" w:type="dxa"/>
            <w:vAlign w:val="center"/>
          </w:tcPr>
          <w:p w14:paraId="43AB82C1" w14:textId="5AB0B821" w:rsidR="00001B53" w:rsidRPr="00E549E5" w:rsidRDefault="00634663" w:rsidP="00325C6E">
            <w:pPr>
              <w:jc w:val="center"/>
              <w:rPr>
                <w:rFonts w:ascii="Cambria" w:hAnsi="Cambria" w:cs="Times New Roman"/>
              </w:rPr>
            </w:pPr>
            <w:r>
              <w:rPr>
                <w:rFonts w:ascii="Cambria" w:hAnsi="Cambria" w:cs="Times New Roman"/>
              </w:rPr>
              <w:t>-.14**</w:t>
            </w:r>
          </w:p>
        </w:tc>
        <w:tc>
          <w:tcPr>
            <w:tcW w:w="972" w:type="dxa"/>
            <w:vAlign w:val="center"/>
          </w:tcPr>
          <w:p w14:paraId="25C40A4B" w14:textId="10B42987" w:rsidR="00001B53" w:rsidRPr="00E549E5" w:rsidRDefault="00634663" w:rsidP="00325C6E">
            <w:pPr>
              <w:jc w:val="center"/>
              <w:rPr>
                <w:rFonts w:ascii="Cambria" w:hAnsi="Cambria" w:cs="Times New Roman"/>
              </w:rPr>
            </w:pPr>
            <w:r>
              <w:rPr>
                <w:rFonts w:ascii="Cambria" w:hAnsi="Cambria" w:cs="Times New Roman"/>
              </w:rPr>
              <w:t>-.04</w:t>
            </w:r>
          </w:p>
        </w:tc>
      </w:tr>
      <w:tr w:rsidR="00001B53" w:rsidRPr="00E549E5" w14:paraId="685213FB" w14:textId="4D493422" w:rsidTr="002578B0">
        <w:trPr>
          <w:trHeight w:val="469"/>
        </w:trPr>
        <w:tc>
          <w:tcPr>
            <w:tcW w:w="3685" w:type="dxa"/>
            <w:vAlign w:val="center"/>
          </w:tcPr>
          <w:p w14:paraId="4B4D6E69" w14:textId="2FD57075" w:rsidR="00001B53" w:rsidRPr="00E549E5" w:rsidRDefault="00001B53" w:rsidP="00325C6E">
            <w:pPr>
              <w:pStyle w:val="ListParagraph"/>
              <w:numPr>
                <w:ilvl w:val="0"/>
                <w:numId w:val="1"/>
              </w:numPr>
              <w:ind w:left="253" w:hanging="270"/>
              <w:rPr>
                <w:rFonts w:ascii="Cambria" w:hAnsi="Cambria" w:cs="Times New Roman"/>
              </w:rPr>
            </w:pPr>
            <w:r w:rsidRPr="00E549E5">
              <w:rPr>
                <w:rFonts w:ascii="Cambria" w:hAnsi="Cambria" w:cs="Times New Roman"/>
              </w:rPr>
              <w:t>Social Dominance Orientation</w:t>
            </w:r>
          </w:p>
        </w:tc>
        <w:tc>
          <w:tcPr>
            <w:tcW w:w="972" w:type="dxa"/>
            <w:vAlign w:val="center"/>
          </w:tcPr>
          <w:p w14:paraId="74918BAE" w14:textId="77777777" w:rsidR="00001B53" w:rsidRPr="00E549E5" w:rsidRDefault="00001B53" w:rsidP="00325C6E">
            <w:pPr>
              <w:jc w:val="center"/>
              <w:rPr>
                <w:rFonts w:ascii="Cambria" w:hAnsi="Cambria" w:cs="Times New Roman"/>
              </w:rPr>
            </w:pPr>
          </w:p>
        </w:tc>
        <w:tc>
          <w:tcPr>
            <w:tcW w:w="972" w:type="dxa"/>
            <w:vAlign w:val="center"/>
          </w:tcPr>
          <w:p w14:paraId="0EA894BD" w14:textId="77777777" w:rsidR="00001B53" w:rsidRPr="00E549E5" w:rsidRDefault="00001B53" w:rsidP="00325C6E">
            <w:pPr>
              <w:jc w:val="center"/>
              <w:rPr>
                <w:rFonts w:ascii="Cambria" w:hAnsi="Cambria" w:cs="Times New Roman"/>
              </w:rPr>
            </w:pPr>
          </w:p>
        </w:tc>
        <w:tc>
          <w:tcPr>
            <w:tcW w:w="972" w:type="dxa"/>
            <w:vAlign w:val="center"/>
          </w:tcPr>
          <w:p w14:paraId="745EDA51" w14:textId="77777777" w:rsidR="00001B53" w:rsidRPr="00E549E5" w:rsidRDefault="00001B53" w:rsidP="00325C6E">
            <w:pPr>
              <w:jc w:val="center"/>
              <w:rPr>
                <w:rFonts w:ascii="Cambria" w:hAnsi="Cambria" w:cs="Times New Roman"/>
              </w:rPr>
            </w:pPr>
          </w:p>
        </w:tc>
        <w:tc>
          <w:tcPr>
            <w:tcW w:w="972" w:type="dxa"/>
            <w:vAlign w:val="center"/>
          </w:tcPr>
          <w:p w14:paraId="75EA5673" w14:textId="77777777" w:rsidR="00001B53" w:rsidRPr="00E549E5" w:rsidRDefault="00001B53" w:rsidP="00325C6E">
            <w:pPr>
              <w:jc w:val="center"/>
              <w:rPr>
                <w:rFonts w:ascii="Cambria" w:hAnsi="Cambria" w:cs="Times New Roman"/>
              </w:rPr>
            </w:pPr>
          </w:p>
        </w:tc>
        <w:tc>
          <w:tcPr>
            <w:tcW w:w="972" w:type="dxa"/>
            <w:vAlign w:val="center"/>
          </w:tcPr>
          <w:p w14:paraId="3A0371E3" w14:textId="77777777" w:rsidR="00001B53" w:rsidRPr="00E549E5" w:rsidRDefault="00001B53" w:rsidP="00325C6E">
            <w:pPr>
              <w:jc w:val="center"/>
              <w:rPr>
                <w:rFonts w:ascii="Cambria" w:hAnsi="Cambria" w:cs="Times New Roman"/>
              </w:rPr>
            </w:pPr>
          </w:p>
        </w:tc>
        <w:tc>
          <w:tcPr>
            <w:tcW w:w="972" w:type="dxa"/>
            <w:vAlign w:val="center"/>
          </w:tcPr>
          <w:p w14:paraId="3134F1E6" w14:textId="1F819240" w:rsidR="00001B53" w:rsidRPr="00E549E5" w:rsidRDefault="00E804E0" w:rsidP="00325C6E">
            <w:pPr>
              <w:jc w:val="center"/>
              <w:rPr>
                <w:rFonts w:ascii="Cambria" w:hAnsi="Cambria" w:cs="Times New Roman"/>
              </w:rPr>
            </w:pPr>
            <w:r>
              <w:rPr>
                <w:rFonts w:ascii="Cambria" w:hAnsi="Cambria" w:cs="Times New Roman"/>
              </w:rPr>
              <w:t>--</w:t>
            </w:r>
          </w:p>
        </w:tc>
        <w:tc>
          <w:tcPr>
            <w:tcW w:w="972" w:type="dxa"/>
            <w:vAlign w:val="center"/>
          </w:tcPr>
          <w:p w14:paraId="5730D5A0" w14:textId="5A4F1516" w:rsidR="00001B53" w:rsidRPr="00E549E5" w:rsidRDefault="00634663" w:rsidP="00325C6E">
            <w:pPr>
              <w:jc w:val="center"/>
              <w:rPr>
                <w:rFonts w:ascii="Cambria" w:hAnsi="Cambria" w:cs="Times New Roman"/>
              </w:rPr>
            </w:pPr>
            <w:r>
              <w:rPr>
                <w:rFonts w:ascii="Cambria" w:hAnsi="Cambria" w:cs="Times New Roman"/>
              </w:rPr>
              <w:t>-.17***</w:t>
            </w:r>
          </w:p>
        </w:tc>
        <w:tc>
          <w:tcPr>
            <w:tcW w:w="972" w:type="dxa"/>
            <w:vAlign w:val="center"/>
          </w:tcPr>
          <w:p w14:paraId="07804980" w14:textId="70D29667" w:rsidR="00001B53" w:rsidRPr="00E549E5" w:rsidRDefault="00634663" w:rsidP="00325C6E">
            <w:pPr>
              <w:jc w:val="center"/>
              <w:rPr>
                <w:rFonts w:ascii="Cambria" w:hAnsi="Cambria" w:cs="Times New Roman"/>
              </w:rPr>
            </w:pPr>
            <w:r>
              <w:rPr>
                <w:rFonts w:ascii="Cambria" w:hAnsi="Cambria" w:cs="Times New Roman"/>
              </w:rPr>
              <w:t>-.10+</w:t>
            </w:r>
          </w:p>
        </w:tc>
      </w:tr>
      <w:tr w:rsidR="00001B53" w:rsidRPr="00E549E5" w14:paraId="2D0DFE80" w14:textId="21FB151C" w:rsidTr="002578B0">
        <w:trPr>
          <w:trHeight w:val="469"/>
        </w:trPr>
        <w:tc>
          <w:tcPr>
            <w:tcW w:w="3685" w:type="dxa"/>
            <w:vAlign w:val="center"/>
          </w:tcPr>
          <w:p w14:paraId="6037176C" w14:textId="77777777" w:rsidR="00001B53" w:rsidRPr="00E549E5" w:rsidRDefault="00001B53" w:rsidP="005F2D48">
            <w:pPr>
              <w:pStyle w:val="ListParagraph"/>
              <w:numPr>
                <w:ilvl w:val="0"/>
                <w:numId w:val="1"/>
              </w:numPr>
              <w:tabs>
                <w:tab w:val="left" w:pos="333"/>
              </w:tabs>
              <w:ind w:left="253" w:hanging="270"/>
              <w:rPr>
                <w:rFonts w:ascii="Cambria" w:hAnsi="Cambria" w:cs="Times New Roman"/>
              </w:rPr>
            </w:pPr>
            <w:r w:rsidRPr="00E549E5">
              <w:rPr>
                <w:rFonts w:ascii="Cambria" w:hAnsi="Cambria" w:cs="Times New Roman"/>
              </w:rPr>
              <w:t>Openness to experience</w:t>
            </w:r>
          </w:p>
        </w:tc>
        <w:tc>
          <w:tcPr>
            <w:tcW w:w="972" w:type="dxa"/>
            <w:vAlign w:val="center"/>
          </w:tcPr>
          <w:p w14:paraId="3C8A69B2" w14:textId="77777777" w:rsidR="00001B53" w:rsidRPr="00E549E5" w:rsidRDefault="00001B53" w:rsidP="00325C6E">
            <w:pPr>
              <w:jc w:val="center"/>
              <w:rPr>
                <w:rFonts w:ascii="Cambria" w:hAnsi="Cambria" w:cs="Times New Roman"/>
              </w:rPr>
            </w:pPr>
          </w:p>
        </w:tc>
        <w:tc>
          <w:tcPr>
            <w:tcW w:w="972" w:type="dxa"/>
            <w:vAlign w:val="center"/>
          </w:tcPr>
          <w:p w14:paraId="250594E0" w14:textId="77777777" w:rsidR="00001B53" w:rsidRPr="00E549E5" w:rsidRDefault="00001B53" w:rsidP="00325C6E">
            <w:pPr>
              <w:jc w:val="center"/>
              <w:rPr>
                <w:rFonts w:ascii="Cambria" w:hAnsi="Cambria" w:cs="Times New Roman"/>
              </w:rPr>
            </w:pPr>
          </w:p>
        </w:tc>
        <w:tc>
          <w:tcPr>
            <w:tcW w:w="972" w:type="dxa"/>
            <w:vAlign w:val="center"/>
          </w:tcPr>
          <w:p w14:paraId="622D2C97" w14:textId="77777777" w:rsidR="00001B53" w:rsidRPr="00E549E5" w:rsidRDefault="00001B53" w:rsidP="00325C6E">
            <w:pPr>
              <w:jc w:val="center"/>
              <w:rPr>
                <w:rFonts w:ascii="Cambria" w:hAnsi="Cambria" w:cs="Times New Roman"/>
              </w:rPr>
            </w:pPr>
          </w:p>
        </w:tc>
        <w:tc>
          <w:tcPr>
            <w:tcW w:w="972" w:type="dxa"/>
            <w:vAlign w:val="center"/>
          </w:tcPr>
          <w:p w14:paraId="7A14872D" w14:textId="77777777" w:rsidR="00001B53" w:rsidRPr="00E549E5" w:rsidRDefault="00001B53" w:rsidP="00325C6E">
            <w:pPr>
              <w:jc w:val="center"/>
              <w:rPr>
                <w:rFonts w:ascii="Cambria" w:hAnsi="Cambria" w:cs="Times New Roman"/>
              </w:rPr>
            </w:pPr>
          </w:p>
        </w:tc>
        <w:tc>
          <w:tcPr>
            <w:tcW w:w="972" w:type="dxa"/>
            <w:vAlign w:val="center"/>
          </w:tcPr>
          <w:p w14:paraId="0092BFE3" w14:textId="77777777" w:rsidR="00001B53" w:rsidRPr="00E549E5" w:rsidRDefault="00001B53" w:rsidP="00325C6E">
            <w:pPr>
              <w:jc w:val="center"/>
              <w:rPr>
                <w:rFonts w:ascii="Cambria" w:hAnsi="Cambria" w:cs="Times New Roman"/>
              </w:rPr>
            </w:pPr>
          </w:p>
        </w:tc>
        <w:tc>
          <w:tcPr>
            <w:tcW w:w="972" w:type="dxa"/>
            <w:vAlign w:val="center"/>
          </w:tcPr>
          <w:p w14:paraId="18D828BB" w14:textId="77777777" w:rsidR="00001B53" w:rsidRPr="00E549E5" w:rsidRDefault="00001B53" w:rsidP="00325C6E">
            <w:pPr>
              <w:jc w:val="center"/>
              <w:rPr>
                <w:rFonts w:ascii="Cambria" w:hAnsi="Cambria" w:cs="Times New Roman"/>
              </w:rPr>
            </w:pPr>
          </w:p>
        </w:tc>
        <w:tc>
          <w:tcPr>
            <w:tcW w:w="972" w:type="dxa"/>
            <w:vAlign w:val="center"/>
          </w:tcPr>
          <w:p w14:paraId="379F496E" w14:textId="196EFF72" w:rsidR="00001B53" w:rsidRPr="00E549E5" w:rsidRDefault="00E804E0" w:rsidP="00325C6E">
            <w:pPr>
              <w:jc w:val="center"/>
              <w:rPr>
                <w:rFonts w:ascii="Cambria" w:hAnsi="Cambria" w:cs="Times New Roman"/>
              </w:rPr>
            </w:pPr>
            <w:r>
              <w:rPr>
                <w:rFonts w:ascii="Cambria" w:hAnsi="Cambria" w:cs="Times New Roman"/>
              </w:rPr>
              <w:t>--</w:t>
            </w:r>
          </w:p>
        </w:tc>
        <w:tc>
          <w:tcPr>
            <w:tcW w:w="972" w:type="dxa"/>
            <w:vAlign w:val="center"/>
          </w:tcPr>
          <w:p w14:paraId="74D0C87A" w14:textId="2F24A19F" w:rsidR="00001B53" w:rsidRPr="00E549E5" w:rsidRDefault="00634663" w:rsidP="00325C6E">
            <w:pPr>
              <w:jc w:val="center"/>
              <w:rPr>
                <w:rFonts w:ascii="Cambria" w:hAnsi="Cambria" w:cs="Times New Roman"/>
              </w:rPr>
            </w:pPr>
            <w:r>
              <w:rPr>
                <w:rFonts w:ascii="Cambria" w:hAnsi="Cambria" w:cs="Times New Roman"/>
              </w:rPr>
              <w:t>.19***</w:t>
            </w:r>
          </w:p>
        </w:tc>
      </w:tr>
      <w:tr w:rsidR="00001B53" w:rsidRPr="00E549E5" w14:paraId="3AEB26E7" w14:textId="2E242F5A" w:rsidTr="002578B0">
        <w:trPr>
          <w:trHeight w:val="469"/>
        </w:trPr>
        <w:tc>
          <w:tcPr>
            <w:tcW w:w="3685" w:type="dxa"/>
            <w:tcBorders>
              <w:bottom w:val="single" w:sz="4" w:space="0" w:color="auto"/>
            </w:tcBorders>
            <w:vAlign w:val="center"/>
          </w:tcPr>
          <w:p w14:paraId="2D8D172E" w14:textId="6F7FBE50" w:rsidR="00001B53" w:rsidRPr="00E549E5" w:rsidRDefault="00001B53" w:rsidP="00236960">
            <w:pPr>
              <w:pStyle w:val="ListParagraph"/>
              <w:numPr>
                <w:ilvl w:val="0"/>
                <w:numId w:val="1"/>
              </w:numPr>
              <w:tabs>
                <w:tab w:val="left" w:pos="333"/>
              </w:tabs>
              <w:ind w:left="253" w:hanging="270"/>
              <w:rPr>
                <w:rFonts w:ascii="Cambria" w:hAnsi="Cambria" w:cs="Times New Roman"/>
              </w:rPr>
            </w:pPr>
            <w:r>
              <w:rPr>
                <w:rFonts w:ascii="Cambria" w:hAnsi="Cambria" w:cs="Times New Roman"/>
              </w:rPr>
              <w:t>Impression Management</w:t>
            </w:r>
          </w:p>
        </w:tc>
        <w:tc>
          <w:tcPr>
            <w:tcW w:w="972" w:type="dxa"/>
            <w:tcBorders>
              <w:bottom w:val="single" w:sz="4" w:space="0" w:color="auto"/>
            </w:tcBorders>
            <w:vAlign w:val="center"/>
          </w:tcPr>
          <w:p w14:paraId="18BF1030" w14:textId="77777777" w:rsidR="00001B53" w:rsidRPr="00E549E5" w:rsidRDefault="00001B53" w:rsidP="00325C6E">
            <w:pPr>
              <w:jc w:val="center"/>
              <w:rPr>
                <w:rFonts w:ascii="Cambria" w:hAnsi="Cambria" w:cs="Times New Roman"/>
              </w:rPr>
            </w:pPr>
          </w:p>
        </w:tc>
        <w:tc>
          <w:tcPr>
            <w:tcW w:w="972" w:type="dxa"/>
            <w:tcBorders>
              <w:bottom w:val="single" w:sz="4" w:space="0" w:color="auto"/>
            </w:tcBorders>
            <w:vAlign w:val="center"/>
          </w:tcPr>
          <w:p w14:paraId="74DCB80F" w14:textId="77777777" w:rsidR="00001B53" w:rsidRPr="00E549E5" w:rsidRDefault="00001B53" w:rsidP="00325C6E">
            <w:pPr>
              <w:jc w:val="center"/>
              <w:rPr>
                <w:rFonts w:ascii="Cambria" w:hAnsi="Cambria" w:cs="Times New Roman"/>
              </w:rPr>
            </w:pPr>
          </w:p>
        </w:tc>
        <w:tc>
          <w:tcPr>
            <w:tcW w:w="972" w:type="dxa"/>
            <w:tcBorders>
              <w:bottom w:val="single" w:sz="4" w:space="0" w:color="auto"/>
            </w:tcBorders>
            <w:vAlign w:val="center"/>
          </w:tcPr>
          <w:p w14:paraId="528E013F" w14:textId="77777777" w:rsidR="00001B53" w:rsidRPr="00E549E5" w:rsidRDefault="00001B53" w:rsidP="00325C6E">
            <w:pPr>
              <w:jc w:val="center"/>
              <w:rPr>
                <w:rFonts w:ascii="Cambria" w:hAnsi="Cambria" w:cs="Times New Roman"/>
              </w:rPr>
            </w:pPr>
          </w:p>
        </w:tc>
        <w:tc>
          <w:tcPr>
            <w:tcW w:w="972" w:type="dxa"/>
            <w:tcBorders>
              <w:bottom w:val="single" w:sz="4" w:space="0" w:color="auto"/>
            </w:tcBorders>
            <w:vAlign w:val="center"/>
          </w:tcPr>
          <w:p w14:paraId="2CD2BA02" w14:textId="77777777" w:rsidR="00001B53" w:rsidRPr="00E549E5" w:rsidRDefault="00001B53" w:rsidP="00325C6E">
            <w:pPr>
              <w:jc w:val="center"/>
              <w:rPr>
                <w:rFonts w:ascii="Cambria" w:hAnsi="Cambria" w:cs="Times New Roman"/>
              </w:rPr>
            </w:pPr>
          </w:p>
        </w:tc>
        <w:tc>
          <w:tcPr>
            <w:tcW w:w="972" w:type="dxa"/>
            <w:tcBorders>
              <w:bottom w:val="single" w:sz="4" w:space="0" w:color="auto"/>
            </w:tcBorders>
            <w:vAlign w:val="center"/>
          </w:tcPr>
          <w:p w14:paraId="2B36BCB0" w14:textId="77777777" w:rsidR="00001B53" w:rsidRPr="00E549E5" w:rsidRDefault="00001B53" w:rsidP="00325C6E">
            <w:pPr>
              <w:jc w:val="center"/>
              <w:rPr>
                <w:rFonts w:ascii="Cambria" w:hAnsi="Cambria" w:cs="Times New Roman"/>
              </w:rPr>
            </w:pPr>
          </w:p>
        </w:tc>
        <w:tc>
          <w:tcPr>
            <w:tcW w:w="972" w:type="dxa"/>
            <w:tcBorders>
              <w:bottom w:val="single" w:sz="4" w:space="0" w:color="auto"/>
            </w:tcBorders>
            <w:vAlign w:val="center"/>
          </w:tcPr>
          <w:p w14:paraId="6DF17D3B" w14:textId="77777777" w:rsidR="00001B53" w:rsidRPr="00E549E5" w:rsidRDefault="00001B53" w:rsidP="00325C6E">
            <w:pPr>
              <w:jc w:val="center"/>
              <w:rPr>
                <w:rFonts w:ascii="Cambria" w:hAnsi="Cambria" w:cs="Times New Roman"/>
              </w:rPr>
            </w:pPr>
          </w:p>
        </w:tc>
        <w:tc>
          <w:tcPr>
            <w:tcW w:w="972" w:type="dxa"/>
            <w:tcBorders>
              <w:bottom w:val="single" w:sz="4" w:space="0" w:color="auto"/>
            </w:tcBorders>
            <w:vAlign w:val="center"/>
          </w:tcPr>
          <w:p w14:paraId="645E43B5" w14:textId="77777777" w:rsidR="00001B53" w:rsidRPr="00E549E5" w:rsidRDefault="00001B53" w:rsidP="00325C6E">
            <w:pPr>
              <w:jc w:val="center"/>
              <w:rPr>
                <w:rFonts w:ascii="Cambria" w:hAnsi="Cambria" w:cs="Times New Roman"/>
              </w:rPr>
            </w:pPr>
          </w:p>
        </w:tc>
        <w:tc>
          <w:tcPr>
            <w:tcW w:w="972" w:type="dxa"/>
            <w:tcBorders>
              <w:bottom w:val="single" w:sz="4" w:space="0" w:color="auto"/>
            </w:tcBorders>
            <w:vAlign w:val="center"/>
          </w:tcPr>
          <w:p w14:paraId="0F585996" w14:textId="0DD48796" w:rsidR="00001B53" w:rsidRPr="00E549E5" w:rsidRDefault="00E804E0" w:rsidP="00325C6E">
            <w:pPr>
              <w:jc w:val="center"/>
              <w:rPr>
                <w:rFonts w:ascii="Cambria" w:hAnsi="Cambria" w:cs="Times New Roman"/>
              </w:rPr>
            </w:pPr>
            <w:r>
              <w:rPr>
                <w:rFonts w:ascii="Cambria" w:hAnsi="Cambria" w:cs="Times New Roman"/>
              </w:rPr>
              <w:t>--</w:t>
            </w:r>
          </w:p>
        </w:tc>
      </w:tr>
    </w:tbl>
    <w:p w14:paraId="6C0BC7B6" w14:textId="77777777" w:rsidR="001277D3" w:rsidRPr="00E549E5" w:rsidRDefault="001277D3" w:rsidP="00143D0B">
      <w:pPr>
        <w:rPr>
          <w:rFonts w:ascii="Cambria" w:hAnsi="Cambria" w:cs="Times New Roman"/>
        </w:rPr>
      </w:pPr>
      <w:r w:rsidRPr="00E549E5">
        <w:rPr>
          <w:rFonts w:ascii="Cambria" w:hAnsi="Cambria" w:cs="Times New Roman"/>
        </w:rPr>
        <w:t>Note: ***</w:t>
      </w:r>
      <w:r w:rsidRPr="00E549E5">
        <w:rPr>
          <w:rFonts w:ascii="Cambria" w:hAnsi="Cambria" w:cs="Times New Roman"/>
          <w:i/>
        </w:rPr>
        <w:t>p</w:t>
      </w:r>
      <w:r w:rsidRPr="00E549E5">
        <w:rPr>
          <w:rFonts w:ascii="Cambria" w:hAnsi="Cambria" w:cs="Times New Roman"/>
        </w:rPr>
        <w:t>&lt;.001, **</w:t>
      </w:r>
      <w:r w:rsidRPr="00E549E5">
        <w:rPr>
          <w:rFonts w:ascii="Cambria" w:hAnsi="Cambria" w:cs="Times New Roman"/>
          <w:i/>
        </w:rPr>
        <w:t>p</w:t>
      </w:r>
      <w:r w:rsidRPr="00E549E5">
        <w:rPr>
          <w:rFonts w:ascii="Cambria" w:hAnsi="Cambria" w:cs="Times New Roman"/>
        </w:rPr>
        <w:t>&lt;.01, *</w:t>
      </w:r>
      <w:r w:rsidRPr="00E549E5">
        <w:rPr>
          <w:rFonts w:ascii="Cambria" w:hAnsi="Cambria" w:cs="Times New Roman"/>
          <w:i/>
        </w:rPr>
        <w:t>p</w:t>
      </w:r>
      <w:r w:rsidRPr="00E549E5">
        <w:rPr>
          <w:rFonts w:ascii="Cambria" w:hAnsi="Cambria" w:cs="Times New Roman"/>
        </w:rPr>
        <w:t xml:space="preserve">&lt;.05, </w:t>
      </w:r>
      <w:r w:rsidRPr="00E549E5">
        <w:rPr>
          <w:rFonts w:ascii="Cambria" w:hAnsi="Cambria" w:cs="Times New Roman"/>
          <w:vertAlign w:val="superscript"/>
        </w:rPr>
        <w:t>+</w:t>
      </w:r>
      <w:r w:rsidRPr="00E549E5">
        <w:rPr>
          <w:rFonts w:ascii="Cambria" w:hAnsi="Cambria" w:cs="Times New Roman"/>
          <w:i/>
        </w:rPr>
        <w:t>p</w:t>
      </w:r>
      <w:r w:rsidRPr="00E549E5">
        <w:rPr>
          <w:rFonts w:ascii="Cambria" w:hAnsi="Cambria" w:cs="Times New Roman"/>
        </w:rPr>
        <w:t>&lt;.12</w:t>
      </w:r>
    </w:p>
    <w:p w14:paraId="02C8C774" w14:textId="77777777" w:rsidR="00647AFA" w:rsidRPr="00E549E5" w:rsidRDefault="00647AFA" w:rsidP="00647AFA"/>
    <w:sectPr w:rsidR="00647AFA" w:rsidRPr="00E549E5" w:rsidSect="00A551E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B52B3"/>
    <w:multiLevelType w:val="hybridMultilevel"/>
    <w:tmpl w:val="EAE25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8223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942"/>
    <w:rsid w:val="00001B53"/>
    <w:rsid w:val="000065C5"/>
    <w:rsid w:val="00031B25"/>
    <w:rsid w:val="00056BC1"/>
    <w:rsid w:val="0010565F"/>
    <w:rsid w:val="001277D3"/>
    <w:rsid w:val="00143D0B"/>
    <w:rsid w:val="00174B6C"/>
    <w:rsid w:val="001B04C9"/>
    <w:rsid w:val="001B4F52"/>
    <w:rsid w:val="001C3884"/>
    <w:rsid w:val="001D56C5"/>
    <w:rsid w:val="001F2658"/>
    <w:rsid w:val="002046B2"/>
    <w:rsid w:val="0020622A"/>
    <w:rsid w:val="00207156"/>
    <w:rsid w:val="002247CC"/>
    <w:rsid w:val="00236960"/>
    <w:rsid w:val="002578B0"/>
    <w:rsid w:val="00265373"/>
    <w:rsid w:val="002C14EF"/>
    <w:rsid w:val="00316B13"/>
    <w:rsid w:val="00325C6E"/>
    <w:rsid w:val="00344034"/>
    <w:rsid w:val="00351433"/>
    <w:rsid w:val="00373F91"/>
    <w:rsid w:val="003B40BC"/>
    <w:rsid w:val="003E5975"/>
    <w:rsid w:val="0041082F"/>
    <w:rsid w:val="0043316D"/>
    <w:rsid w:val="00472D37"/>
    <w:rsid w:val="004E7FA7"/>
    <w:rsid w:val="00530995"/>
    <w:rsid w:val="005328D5"/>
    <w:rsid w:val="00584FF3"/>
    <w:rsid w:val="005935C4"/>
    <w:rsid w:val="005C3CBB"/>
    <w:rsid w:val="005F2D48"/>
    <w:rsid w:val="005F33D8"/>
    <w:rsid w:val="00634663"/>
    <w:rsid w:val="00647AFA"/>
    <w:rsid w:val="00653FDA"/>
    <w:rsid w:val="00681922"/>
    <w:rsid w:val="006B5351"/>
    <w:rsid w:val="006E56B8"/>
    <w:rsid w:val="00712639"/>
    <w:rsid w:val="007368DC"/>
    <w:rsid w:val="00760D23"/>
    <w:rsid w:val="007A1E87"/>
    <w:rsid w:val="008055A7"/>
    <w:rsid w:val="00853F4A"/>
    <w:rsid w:val="00856EBA"/>
    <w:rsid w:val="00891386"/>
    <w:rsid w:val="00892B27"/>
    <w:rsid w:val="00894D5E"/>
    <w:rsid w:val="008F03D5"/>
    <w:rsid w:val="00931E80"/>
    <w:rsid w:val="009E7B70"/>
    <w:rsid w:val="00A309FC"/>
    <w:rsid w:val="00A551EC"/>
    <w:rsid w:val="00AE4963"/>
    <w:rsid w:val="00AF63EC"/>
    <w:rsid w:val="00B0200E"/>
    <w:rsid w:val="00B14FC3"/>
    <w:rsid w:val="00B5635E"/>
    <w:rsid w:val="00BF43F6"/>
    <w:rsid w:val="00CD470C"/>
    <w:rsid w:val="00CE42FC"/>
    <w:rsid w:val="00CF1F6C"/>
    <w:rsid w:val="00D048A6"/>
    <w:rsid w:val="00D177C6"/>
    <w:rsid w:val="00DA3F8F"/>
    <w:rsid w:val="00DD4827"/>
    <w:rsid w:val="00E161E1"/>
    <w:rsid w:val="00E45973"/>
    <w:rsid w:val="00E549E5"/>
    <w:rsid w:val="00E624AB"/>
    <w:rsid w:val="00E804E0"/>
    <w:rsid w:val="00EA3A88"/>
    <w:rsid w:val="00EB5143"/>
    <w:rsid w:val="00EC0942"/>
    <w:rsid w:val="00F0163F"/>
    <w:rsid w:val="00F238EB"/>
    <w:rsid w:val="00F64B98"/>
    <w:rsid w:val="00F67929"/>
    <w:rsid w:val="00F978D7"/>
    <w:rsid w:val="00FC3E08"/>
    <w:rsid w:val="00FE4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1651A2"/>
  <w15:chartTrackingRefBased/>
  <w15:docId w15:val="{168349E9-FE6B-2D4C-A27C-189A804A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7AFA"/>
    <w:rPr>
      <w:sz w:val="16"/>
      <w:szCs w:val="16"/>
    </w:rPr>
  </w:style>
  <w:style w:type="paragraph" w:styleId="CommentText">
    <w:name w:val="annotation text"/>
    <w:basedOn w:val="Normal"/>
    <w:link w:val="CommentTextChar"/>
    <w:uiPriority w:val="99"/>
    <w:semiHidden/>
    <w:unhideWhenUsed/>
    <w:rsid w:val="00647AFA"/>
    <w:rPr>
      <w:sz w:val="20"/>
      <w:szCs w:val="20"/>
    </w:rPr>
  </w:style>
  <w:style w:type="character" w:customStyle="1" w:styleId="CommentTextChar">
    <w:name w:val="Comment Text Char"/>
    <w:basedOn w:val="DefaultParagraphFont"/>
    <w:link w:val="CommentText"/>
    <w:uiPriority w:val="99"/>
    <w:semiHidden/>
    <w:rsid w:val="00647AFA"/>
    <w:rPr>
      <w:sz w:val="20"/>
      <w:szCs w:val="20"/>
    </w:rPr>
  </w:style>
  <w:style w:type="table" w:styleId="TableGrid">
    <w:name w:val="Table Grid"/>
    <w:basedOn w:val="TableNormal"/>
    <w:rsid w:val="00127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7D3"/>
    <w:pPr>
      <w:ind w:left="720"/>
      <w:contextualSpacing/>
    </w:pPr>
  </w:style>
  <w:style w:type="paragraph" w:styleId="CommentSubject">
    <w:name w:val="annotation subject"/>
    <w:basedOn w:val="CommentText"/>
    <w:next w:val="CommentText"/>
    <w:link w:val="CommentSubjectChar"/>
    <w:uiPriority w:val="99"/>
    <w:semiHidden/>
    <w:unhideWhenUsed/>
    <w:rsid w:val="00FC3E08"/>
    <w:rPr>
      <w:b/>
      <w:bCs/>
    </w:rPr>
  </w:style>
  <w:style w:type="character" w:customStyle="1" w:styleId="CommentSubjectChar">
    <w:name w:val="Comment Subject Char"/>
    <w:basedOn w:val="CommentTextChar"/>
    <w:link w:val="CommentSubject"/>
    <w:uiPriority w:val="99"/>
    <w:semiHidden/>
    <w:rsid w:val="00FC3E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882</Words>
  <Characters>5034</Characters>
  <Application>Microsoft Office Word</Application>
  <DocSecurity>0</DocSecurity>
  <Lines>41</Lines>
  <Paragraphs>11</Paragraphs>
  <ScaleCrop>false</ScaleCrop>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Jacqueline</dc:creator>
  <cp:keywords/>
  <dc:description/>
  <cp:lastModifiedBy>Chen, Jacqueline</cp:lastModifiedBy>
  <cp:revision>59</cp:revision>
  <dcterms:created xsi:type="dcterms:W3CDTF">2022-11-19T17:24:00Z</dcterms:created>
  <dcterms:modified xsi:type="dcterms:W3CDTF">2023-02-18T12:25:00Z</dcterms:modified>
</cp:coreProperties>
</file>