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B1D2C" w14:textId="77777777" w:rsidR="00107F44" w:rsidRDefault="00107F44" w:rsidP="00107F44">
      <w:pPr>
        <w:spacing w:line="480" w:lineRule="auto"/>
        <w:jc w:val="center"/>
        <w:rPr>
          <w:b/>
        </w:rPr>
      </w:pPr>
    </w:p>
    <w:p w14:paraId="4D534ACF" w14:textId="77777777" w:rsidR="00107F44" w:rsidRDefault="00107F44" w:rsidP="00107F44">
      <w:pPr>
        <w:spacing w:line="480" w:lineRule="auto"/>
        <w:jc w:val="center"/>
        <w:rPr>
          <w:b/>
        </w:rPr>
      </w:pPr>
    </w:p>
    <w:p w14:paraId="0CB9D3B8" w14:textId="070B088A" w:rsidR="00107F44" w:rsidRDefault="00107F44" w:rsidP="00107F44">
      <w:pPr>
        <w:spacing w:line="480" w:lineRule="auto"/>
        <w:jc w:val="center"/>
        <w:rPr>
          <w:b/>
        </w:rPr>
      </w:pPr>
      <w:r>
        <w:rPr>
          <w:b/>
        </w:rPr>
        <w:t>Supplemental Materials</w:t>
      </w:r>
    </w:p>
    <w:p w14:paraId="0518C603" w14:textId="551291D1" w:rsidR="00107F44" w:rsidRPr="00107F44" w:rsidRDefault="00107F44" w:rsidP="00107F44">
      <w:pPr>
        <w:spacing w:line="480" w:lineRule="auto"/>
        <w:jc w:val="center"/>
        <w:rPr>
          <w:i/>
        </w:rPr>
      </w:pPr>
      <w:r w:rsidRPr="00107F44">
        <w:rPr>
          <w:i/>
        </w:rPr>
        <w:t>for</w:t>
      </w:r>
    </w:p>
    <w:p w14:paraId="4A2E36C0" w14:textId="7C1F3FE9" w:rsidR="00107F44" w:rsidRDefault="00107F44" w:rsidP="00107F44">
      <w:pPr>
        <w:spacing w:line="480" w:lineRule="auto"/>
        <w:jc w:val="center"/>
        <w:rPr>
          <w:b/>
        </w:rPr>
      </w:pPr>
      <w:r>
        <w:rPr>
          <w:b/>
        </w:rPr>
        <w:t>“People believe that others have more voluntary control over their beliefs</w:t>
      </w:r>
      <w:r w:rsidR="00F70544">
        <w:rPr>
          <w:b/>
        </w:rPr>
        <w:br/>
      </w:r>
      <w:r>
        <w:rPr>
          <w:b/>
        </w:rPr>
        <w:t xml:space="preserve"> than they, themselves do.”</w:t>
      </w:r>
    </w:p>
    <w:p w14:paraId="0E423AAC" w14:textId="4470D04C" w:rsidR="00107F44" w:rsidRDefault="00107F44" w:rsidP="00B522E4">
      <w:pPr>
        <w:spacing w:line="480" w:lineRule="auto"/>
        <w:rPr>
          <w:b/>
        </w:rPr>
      </w:pPr>
    </w:p>
    <w:p w14:paraId="36F3D77D" w14:textId="439EB51F" w:rsidR="00107F44" w:rsidRDefault="00107F44" w:rsidP="00B522E4">
      <w:pPr>
        <w:spacing w:line="480" w:lineRule="auto"/>
        <w:rPr>
          <w:b/>
        </w:rPr>
      </w:pPr>
    </w:p>
    <w:p w14:paraId="3A973084" w14:textId="552D1204" w:rsidR="00107F44" w:rsidRDefault="00107F44" w:rsidP="00B522E4">
      <w:pPr>
        <w:spacing w:line="480" w:lineRule="auto"/>
        <w:rPr>
          <w:b/>
        </w:rPr>
      </w:pPr>
    </w:p>
    <w:p w14:paraId="3D190A08" w14:textId="77777777" w:rsidR="00107F44" w:rsidRDefault="00107F44" w:rsidP="00B522E4">
      <w:pPr>
        <w:spacing w:line="480" w:lineRule="auto"/>
        <w:rPr>
          <w:b/>
        </w:rPr>
      </w:pPr>
    </w:p>
    <w:p w14:paraId="655C229B" w14:textId="77777777" w:rsidR="00107F44" w:rsidRDefault="00107F44">
      <w:pPr>
        <w:rPr>
          <w:b/>
        </w:rPr>
      </w:pPr>
      <w:r>
        <w:rPr>
          <w:b/>
        </w:rPr>
        <w:br w:type="page"/>
      </w:r>
    </w:p>
    <w:p w14:paraId="5BE49D47" w14:textId="77777777" w:rsidR="00F70544" w:rsidRPr="00945F19" w:rsidRDefault="00F70544" w:rsidP="00F70544">
      <w:pPr>
        <w:rPr>
          <w:b/>
          <w:bCs/>
        </w:rPr>
      </w:pPr>
      <w:r w:rsidRPr="00945F19">
        <w:rPr>
          <w:b/>
          <w:bCs/>
        </w:rPr>
        <w:lastRenderedPageBreak/>
        <w:t>Study 4 Coding Instructions</w:t>
      </w:r>
    </w:p>
    <w:p w14:paraId="6C729F22" w14:textId="77777777" w:rsidR="00F70544" w:rsidRPr="00945F19" w:rsidRDefault="00F70544" w:rsidP="00F70544"/>
    <w:p w14:paraId="55F026CE" w14:textId="77777777" w:rsidR="00D73293" w:rsidRPr="00945F19" w:rsidRDefault="00D73293" w:rsidP="00D73293">
      <w:pPr>
        <w:rPr>
          <w:u w:val="single"/>
        </w:rPr>
      </w:pPr>
      <w:r>
        <w:rPr>
          <w:u w:val="single"/>
        </w:rPr>
        <w:t>Introduction</w:t>
      </w:r>
      <w:r w:rsidRPr="00945F19">
        <w:rPr>
          <w:u w:val="single"/>
        </w:rPr>
        <w:t xml:space="preserve">: </w:t>
      </w:r>
    </w:p>
    <w:p w14:paraId="790D9D9A" w14:textId="77777777" w:rsidR="00D73293" w:rsidRPr="00945F19" w:rsidRDefault="00D73293" w:rsidP="00D73293"/>
    <w:p w14:paraId="1A6404F3" w14:textId="77777777" w:rsidR="00D73293" w:rsidRDefault="00D73293" w:rsidP="00D73293">
      <w:r w:rsidRPr="00945F19">
        <w:t xml:space="preserve">You are going to read and evaluate a series of statements written by a </w:t>
      </w:r>
      <w:r>
        <w:t>subject</w:t>
      </w:r>
      <w:r w:rsidRPr="00945F19">
        <w:t xml:space="preserve"> who was tasked with deciding how much voluntary control either they or another person has over a specific belief. </w:t>
      </w:r>
      <w:r>
        <w:t>Here</w:t>
      </w:r>
      <w:r w:rsidRPr="00945F19">
        <w:t>,</w:t>
      </w:r>
      <w:r>
        <w:t xml:space="preserve"> and below,</w:t>
      </w:r>
      <w:r w:rsidRPr="00945F19">
        <w:t xml:space="preserve"> “subject” refers to the person who wrote the statement you are coding; “believer” refers to the individual who </w:t>
      </w:r>
      <w:r>
        <w:t>held</w:t>
      </w:r>
      <w:r w:rsidRPr="00945F19">
        <w:t xml:space="preserve"> the belief (and to whom control is being attributed); this individual (the “believer”) could be the subject themselves</w:t>
      </w:r>
      <w:r>
        <w:t xml:space="preserve">, but it could also be </w:t>
      </w:r>
      <w:r w:rsidRPr="00945F19">
        <w:t>another person</w:t>
      </w:r>
      <w:r>
        <w:t xml:space="preserve"> depending on which condition subjects were assigned to (self vs. other, see above)</w:t>
      </w:r>
      <w:r w:rsidRPr="00945F19">
        <w:t xml:space="preserve">. </w:t>
      </w:r>
    </w:p>
    <w:p w14:paraId="0A1E9641" w14:textId="77777777" w:rsidR="00D73293" w:rsidRDefault="00D73293" w:rsidP="00D73293"/>
    <w:p w14:paraId="5276E306" w14:textId="77777777" w:rsidR="00D73293" w:rsidRDefault="00D73293" w:rsidP="00D73293">
      <w:r>
        <w:t xml:space="preserve">There were several different beliefs in the study that believers held.  Each subject attributed belief control for one of these beliefs.  Attributions of belief control were made in the following way.  If the believer believed that, for instance, “Earth’s climate is warming due to human behavior,” then the subject rated how much they agreed with a statement that the believer could voluntarily change this belief.  So, if the believer attributed belief control to another person, that means they rated their agreement or disagreement with the statement, “X voluntarily holds this belief.  If X wanted to, he/she could choose to believe that Earth’s climate is not warming due to human behavior” (where “X” was substituted with the person’s initials).  If the believer attributed belief control to themselves, that means they rated their agreement or disagreement with the statement, “I voluntarily hold this belief.  If I wanted to, I could choose to believe that Earth’s climate is not warming due to human behavior.”  </w:t>
      </w:r>
    </w:p>
    <w:p w14:paraId="35F04BDA" w14:textId="77777777" w:rsidR="00D73293" w:rsidRDefault="00D73293" w:rsidP="00D73293"/>
    <w:p w14:paraId="5E9AA889" w14:textId="77777777" w:rsidR="00D73293" w:rsidRDefault="00D73293" w:rsidP="00D73293">
      <w:r w:rsidRPr="003A031A">
        <w:t>KEY TASK:</w:t>
      </w:r>
      <w:r>
        <w:t xml:space="preserve"> After attributing control, each subject then wrote a statement in their own words reporting what they thought about while judging whether the believer has control over his (or her) belief.  </w:t>
      </w:r>
      <w:r w:rsidRPr="00A55480">
        <w:rPr>
          <w:b/>
        </w:rPr>
        <w:t>Your task is to evaluate what subjects wrote about in these statements.</w:t>
      </w:r>
    </w:p>
    <w:p w14:paraId="6E406E67" w14:textId="77777777" w:rsidR="00D73293" w:rsidRDefault="00D73293" w:rsidP="00D73293"/>
    <w:p w14:paraId="38D84F11" w14:textId="77777777" w:rsidR="00D73293" w:rsidRPr="00945F19" w:rsidRDefault="00D73293" w:rsidP="00D73293">
      <w:r w:rsidRPr="00945F19">
        <w:t xml:space="preserve">For each statement, you will separately evaluate (1) whether the subject reported that they considered </w:t>
      </w:r>
      <w:r>
        <w:t>generic facts about</w:t>
      </w:r>
      <w:r w:rsidRPr="00945F19">
        <w:t xml:space="preserve"> be</w:t>
      </w:r>
      <w:r>
        <w:t>l</w:t>
      </w:r>
      <w:r w:rsidRPr="00945F19">
        <w:t xml:space="preserve">ief control </w:t>
      </w:r>
      <w:r>
        <w:t xml:space="preserve">(i.e., general facts that do not pertain to the specific contents of the belief in question) </w:t>
      </w:r>
      <w:r w:rsidRPr="00945F19">
        <w:t xml:space="preserve">and (2) whether the subject reported that they considered specific evidence </w:t>
      </w:r>
      <w:r>
        <w:t xml:space="preserve">held by the believer </w:t>
      </w:r>
      <w:r w:rsidRPr="00945F19">
        <w:t xml:space="preserve">in favor of the belief. You will be provided with the belief in question but will not have access to any further information about the subject or the believer. </w:t>
      </w:r>
    </w:p>
    <w:p w14:paraId="5D5E1D82" w14:textId="77777777" w:rsidR="00D73293" w:rsidRPr="00945F19" w:rsidRDefault="00D73293" w:rsidP="00D73293"/>
    <w:p w14:paraId="7E9EF85D" w14:textId="77777777" w:rsidR="00D73293" w:rsidRDefault="00D73293" w:rsidP="00D73293">
      <w:pPr>
        <w:rPr>
          <w:u w:val="single"/>
        </w:rPr>
      </w:pPr>
      <w:r>
        <w:rPr>
          <w:u w:val="single"/>
        </w:rPr>
        <w:br w:type="page"/>
      </w:r>
    </w:p>
    <w:p w14:paraId="33AAF675" w14:textId="77777777" w:rsidR="00D73293" w:rsidRPr="00945F19" w:rsidRDefault="00D73293" w:rsidP="00D73293">
      <w:pPr>
        <w:rPr>
          <w:u w:val="single"/>
        </w:rPr>
      </w:pPr>
      <w:r w:rsidRPr="00945F19">
        <w:rPr>
          <w:u w:val="single"/>
        </w:rPr>
        <w:lastRenderedPageBreak/>
        <w:t>Coding Rules:</w:t>
      </w:r>
    </w:p>
    <w:p w14:paraId="40BDA4EB" w14:textId="77777777" w:rsidR="00D73293" w:rsidRPr="00945F19" w:rsidRDefault="00D73293" w:rsidP="00D73293"/>
    <w:p w14:paraId="466CB0F9" w14:textId="77777777" w:rsidR="00D73293" w:rsidRPr="00945F19" w:rsidRDefault="00D73293" w:rsidP="00D73293">
      <w:r w:rsidRPr="00945F19">
        <w:t>Separately evaluate each response in accordance with the following rules, keeping each code (1 or 0) in a separate column clearly marked “</w:t>
      </w:r>
      <w:r>
        <w:t>Generic</w:t>
      </w:r>
      <w:r w:rsidRPr="00945F19">
        <w:t xml:space="preserve"> Present” and “Evidence Present”, respectively.</w:t>
      </w:r>
      <w:r>
        <w:t xml:space="preserve">  Each response should be coded either with a “1” or a “0”, and no other codes.  Do not leave any columns blank; if you are unsure in any given case, make your best judgment.</w:t>
      </w:r>
    </w:p>
    <w:p w14:paraId="52CE25FC" w14:textId="77777777" w:rsidR="00D73293" w:rsidRPr="00945F19" w:rsidRDefault="00D73293" w:rsidP="00D73293"/>
    <w:p w14:paraId="4994131B" w14:textId="77777777" w:rsidR="00D73293" w:rsidRPr="00945F19" w:rsidRDefault="00D73293" w:rsidP="00D73293">
      <w:pPr>
        <w:rPr>
          <w:b/>
          <w:bCs/>
        </w:rPr>
      </w:pPr>
      <w:r>
        <w:rPr>
          <w:b/>
          <w:bCs/>
        </w:rPr>
        <w:t>GENERIC</w:t>
      </w:r>
      <w:r w:rsidRPr="00945F19">
        <w:rPr>
          <w:b/>
          <w:bCs/>
        </w:rPr>
        <w:t xml:space="preserve">:  </w:t>
      </w:r>
      <w:r>
        <w:rPr>
          <w:b/>
          <w:bCs/>
        </w:rPr>
        <w:t>Generic</w:t>
      </w:r>
      <w:r w:rsidRPr="00945F19">
        <w:rPr>
          <w:b/>
          <w:bCs/>
        </w:rPr>
        <w:t xml:space="preserve"> conception of belief control:</w:t>
      </w:r>
    </w:p>
    <w:p w14:paraId="50ADD57D" w14:textId="77777777" w:rsidR="00D73293" w:rsidRPr="00945F19" w:rsidRDefault="00D73293" w:rsidP="00D73293">
      <w:pPr>
        <w:pStyle w:val="ListParagraph"/>
        <w:numPr>
          <w:ilvl w:val="0"/>
          <w:numId w:val="1"/>
        </w:numPr>
        <w:rPr>
          <w:rFonts w:ascii="Times New Roman" w:hAnsi="Times New Roman" w:cs="Times New Roman"/>
        </w:rPr>
      </w:pPr>
      <w:bookmarkStart w:id="0" w:name="_Hlk17133690"/>
      <w:r w:rsidRPr="00945F19">
        <w:rPr>
          <w:rFonts w:ascii="Times New Roman" w:hAnsi="Times New Roman" w:cs="Times New Roman"/>
        </w:rPr>
        <w:t xml:space="preserve">If the subject writes something which states or presupposes </w:t>
      </w:r>
      <w:r>
        <w:rPr>
          <w:rFonts w:ascii="Times New Roman" w:hAnsi="Times New Roman" w:cs="Times New Roman"/>
        </w:rPr>
        <w:t>a general statement about whether</w:t>
      </w:r>
      <w:r w:rsidRPr="00945F19">
        <w:rPr>
          <w:rFonts w:ascii="Times New Roman" w:hAnsi="Times New Roman" w:cs="Times New Roman"/>
        </w:rPr>
        <w:t xml:space="preserve"> (a) beliefs </w:t>
      </w:r>
      <w:r>
        <w:rPr>
          <w:rFonts w:ascii="Times New Roman" w:hAnsi="Times New Roman" w:cs="Times New Roman"/>
        </w:rPr>
        <w:t xml:space="preserve">(in general) </w:t>
      </w:r>
      <w:r w:rsidRPr="00945F19">
        <w:rPr>
          <w:rFonts w:ascii="Times New Roman" w:hAnsi="Times New Roman" w:cs="Times New Roman"/>
        </w:rPr>
        <w:t>are controllable, (b) beliefs </w:t>
      </w:r>
      <w:r>
        <w:rPr>
          <w:rFonts w:ascii="Times New Roman" w:hAnsi="Times New Roman" w:cs="Times New Roman"/>
        </w:rPr>
        <w:t xml:space="preserve">(in general) </w:t>
      </w:r>
      <w:r w:rsidRPr="00945F19">
        <w:rPr>
          <w:rFonts w:ascii="Times New Roman" w:hAnsi="Times New Roman" w:cs="Times New Roman"/>
        </w:rPr>
        <w:t xml:space="preserve">are uncontrollable, (c) beliefs </w:t>
      </w:r>
      <w:r>
        <w:rPr>
          <w:rFonts w:ascii="Times New Roman" w:hAnsi="Times New Roman" w:cs="Times New Roman"/>
        </w:rPr>
        <w:t xml:space="preserve">(in general) </w:t>
      </w:r>
      <w:r w:rsidRPr="00945F19">
        <w:rPr>
          <w:rFonts w:ascii="Times New Roman" w:hAnsi="Times New Roman" w:cs="Times New Roman"/>
        </w:rPr>
        <w:t xml:space="preserve">are chosen, </w:t>
      </w:r>
      <w:r w:rsidRPr="00945F19">
        <w:rPr>
          <w:rFonts w:ascii="Times New Roman" w:hAnsi="Times New Roman" w:cs="Times New Roman"/>
          <w:i/>
          <w:iCs/>
        </w:rPr>
        <w:t>or</w:t>
      </w:r>
      <w:r w:rsidRPr="00945F19">
        <w:rPr>
          <w:rFonts w:ascii="Times New Roman" w:hAnsi="Times New Roman" w:cs="Times New Roman"/>
        </w:rPr>
        <w:t xml:space="preserve"> (d) beliefs </w:t>
      </w:r>
      <w:r>
        <w:rPr>
          <w:rFonts w:ascii="Times New Roman" w:hAnsi="Times New Roman" w:cs="Times New Roman"/>
        </w:rPr>
        <w:t xml:space="preserve">(in general) </w:t>
      </w:r>
      <w:r w:rsidRPr="00945F19">
        <w:rPr>
          <w:rFonts w:ascii="Times New Roman" w:hAnsi="Times New Roman" w:cs="Times New Roman"/>
        </w:rPr>
        <w:t>are not chosen, indicate “1”. Otherwise indicate “0”.</w:t>
      </w:r>
      <w:r>
        <w:rPr>
          <w:rFonts w:ascii="Times New Roman" w:hAnsi="Times New Roman" w:cs="Times New Roman"/>
        </w:rPr>
        <w:t xml:space="preserve">  Subjects need not explicitly state that they are making a general statement about beliefs, but this should be implicit in their response.  </w:t>
      </w:r>
    </w:p>
    <w:bookmarkEnd w:id="0"/>
    <w:p w14:paraId="37E3FEB8" w14:textId="77777777" w:rsidR="00D73293" w:rsidRPr="00945F19" w:rsidRDefault="00D73293" w:rsidP="00D73293"/>
    <w:p w14:paraId="40AF984F" w14:textId="77777777" w:rsidR="00D73293" w:rsidRPr="00945F19" w:rsidRDefault="00D73293" w:rsidP="00D73293">
      <w:r w:rsidRPr="00945F19">
        <w:rPr>
          <w:b/>
          <w:bCs/>
        </w:rPr>
        <w:t>EVIDENCE:  Reasons or evidence supporting the belief:</w:t>
      </w:r>
    </w:p>
    <w:p w14:paraId="2B72E2C5" w14:textId="77777777" w:rsidR="00D73293" w:rsidRPr="00945F19" w:rsidRDefault="00D73293" w:rsidP="00D73293">
      <w:pPr>
        <w:pStyle w:val="ListParagraph"/>
        <w:numPr>
          <w:ilvl w:val="0"/>
          <w:numId w:val="1"/>
        </w:numPr>
        <w:rPr>
          <w:rFonts w:ascii="Times New Roman" w:hAnsi="Times New Roman" w:cs="Times New Roman"/>
        </w:rPr>
      </w:pPr>
      <w:bookmarkStart w:id="1" w:name="_Hlk17133716"/>
      <w:r w:rsidRPr="00945F19">
        <w:rPr>
          <w:rFonts w:ascii="Times New Roman" w:hAnsi="Times New Roman" w:cs="Times New Roman"/>
        </w:rPr>
        <w:t xml:space="preserve">If the subject writes something which articulates (or alludes to the existence of) reasons, evidence, or arguments in support of the </w:t>
      </w:r>
      <w:r>
        <w:rPr>
          <w:rFonts w:ascii="Times New Roman" w:hAnsi="Times New Roman" w:cs="Times New Roman"/>
        </w:rPr>
        <w:t xml:space="preserve">specific </w:t>
      </w:r>
      <w:r w:rsidRPr="00945F19">
        <w:rPr>
          <w:rFonts w:ascii="Times New Roman" w:hAnsi="Times New Roman" w:cs="Times New Roman"/>
        </w:rPr>
        <w:t>belief</w:t>
      </w:r>
      <w:r>
        <w:rPr>
          <w:rFonts w:ascii="Times New Roman" w:hAnsi="Times New Roman" w:cs="Times New Roman"/>
        </w:rPr>
        <w:t xml:space="preserve"> in question</w:t>
      </w:r>
      <w:r w:rsidRPr="00945F19">
        <w:rPr>
          <w:rFonts w:ascii="Times New Roman" w:hAnsi="Times New Roman" w:cs="Times New Roman"/>
        </w:rPr>
        <w:t>, indicate “1”</w:t>
      </w:r>
      <w:r>
        <w:rPr>
          <w:rFonts w:ascii="Times New Roman" w:hAnsi="Times New Roman" w:cs="Times New Roman"/>
        </w:rPr>
        <w:t>.</w:t>
      </w:r>
      <w:r w:rsidRPr="00945F19">
        <w:rPr>
          <w:rFonts w:ascii="Times New Roman" w:hAnsi="Times New Roman" w:cs="Times New Roman"/>
        </w:rPr>
        <w:t xml:space="preserve"> </w:t>
      </w:r>
      <w:r>
        <w:rPr>
          <w:rFonts w:ascii="Times New Roman" w:hAnsi="Times New Roman" w:cs="Times New Roman"/>
        </w:rPr>
        <w:t>O</w:t>
      </w:r>
      <w:r w:rsidRPr="00945F19">
        <w:rPr>
          <w:rFonts w:ascii="Times New Roman" w:hAnsi="Times New Roman" w:cs="Times New Roman"/>
        </w:rPr>
        <w:t>therwise indicate “0”.  It should be implicit in</w:t>
      </w:r>
      <w:r>
        <w:rPr>
          <w:rFonts w:ascii="Times New Roman" w:hAnsi="Times New Roman" w:cs="Times New Roman"/>
        </w:rPr>
        <w:t xml:space="preserve"> the</w:t>
      </w:r>
      <w:r w:rsidRPr="00945F19">
        <w:rPr>
          <w:rFonts w:ascii="Times New Roman" w:hAnsi="Times New Roman" w:cs="Times New Roman"/>
        </w:rPr>
        <w:t xml:space="preserve"> subject</w:t>
      </w:r>
      <w:r>
        <w:rPr>
          <w:rFonts w:ascii="Times New Roman" w:hAnsi="Times New Roman" w:cs="Times New Roman"/>
        </w:rPr>
        <w:t>’s</w:t>
      </w:r>
      <w:r w:rsidRPr="00945F19">
        <w:rPr>
          <w:rFonts w:ascii="Times New Roman" w:hAnsi="Times New Roman" w:cs="Times New Roman"/>
        </w:rPr>
        <w:t xml:space="preserve"> response that the believer is </w:t>
      </w:r>
      <w:r>
        <w:rPr>
          <w:rFonts w:ascii="Times New Roman" w:hAnsi="Times New Roman" w:cs="Times New Roman"/>
        </w:rPr>
        <w:t xml:space="preserve">presently </w:t>
      </w:r>
      <w:r w:rsidRPr="00945F19">
        <w:rPr>
          <w:rFonts w:ascii="Times New Roman" w:hAnsi="Times New Roman" w:cs="Times New Roman"/>
        </w:rPr>
        <w:t>consciously aware of the reasons and evidence being described, but this need not be mentioned explicitly.</w:t>
      </w:r>
    </w:p>
    <w:bookmarkEnd w:id="1"/>
    <w:p w14:paraId="717271C3" w14:textId="77777777" w:rsidR="00D73293" w:rsidRPr="00945F19" w:rsidRDefault="00D73293" w:rsidP="00D73293"/>
    <w:p w14:paraId="4E8329A5" w14:textId="77777777" w:rsidR="00D73293" w:rsidRDefault="00D73293" w:rsidP="00D73293">
      <w:pPr>
        <w:rPr>
          <w:u w:val="single"/>
        </w:rPr>
      </w:pPr>
    </w:p>
    <w:p w14:paraId="18E176AF" w14:textId="77777777" w:rsidR="00D73293" w:rsidRDefault="00D73293" w:rsidP="00D73293">
      <w:pPr>
        <w:rPr>
          <w:u w:val="single"/>
        </w:rPr>
      </w:pPr>
    </w:p>
    <w:p w14:paraId="1C92E5F4" w14:textId="77777777" w:rsidR="00D73293" w:rsidRPr="00945F19" w:rsidRDefault="00D73293" w:rsidP="00D73293">
      <w:pPr>
        <w:rPr>
          <w:u w:val="single"/>
        </w:rPr>
      </w:pPr>
      <w:r w:rsidRPr="00945F19">
        <w:rPr>
          <w:u w:val="single"/>
        </w:rPr>
        <w:t xml:space="preserve">Notes </w:t>
      </w:r>
      <w:r>
        <w:rPr>
          <w:u w:val="single"/>
        </w:rPr>
        <w:t>for resolving potentially ambiguous cases</w:t>
      </w:r>
      <w:r w:rsidRPr="00945F19">
        <w:rPr>
          <w:u w:val="single"/>
        </w:rPr>
        <w:t xml:space="preserve">: </w:t>
      </w:r>
    </w:p>
    <w:p w14:paraId="4A8C74F7" w14:textId="77777777" w:rsidR="00D73293" w:rsidRPr="00945F19" w:rsidRDefault="00D73293" w:rsidP="00D73293"/>
    <w:p w14:paraId="097011D5" w14:textId="77777777" w:rsidR="00D73293" w:rsidRPr="00945F19" w:rsidRDefault="00D73293" w:rsidP="00D73293">
      <w:pPr>
        <w:pStyle w:val="ListParagraph"/>
        <w:numPr>
          <w:ilvl w:val="0"/>
          <w:numId w:val="2"/>
        </w:numPr>
        <w:rPr>
          <w:rFonts w:ascii="Times New Roman" w:hAnsi="Times New Roman" w:cs="Times New Roman"/>
        </w:rPr>
      </w:pPr>
      <w:r w:rsidRPr="00945F19">
        <w:rPr>
          <w:rFonts w:ascii="Times New Roman" w:hAnsi="Times New Roman" w:cs="Times New Roman"/>
        </w:rPr>
        <w:t>As long as any part of the subject’s response can be coded as either “</w:t>
      </w:r>
      <w:r>
        <w:rPr>
          <w:rFonts w:ascii="Times New Roman" w:hAnsi="Times New Roman" w:cs="Times New Roman"/>
        </w:rPr>
        <w:t>Generic</w:t>
      </w:r>
      <w:r w:rsidRPr="00945F19">
        <w:rPr>
          <w:rFonts w:ascii="Times New Roman" w:hAnsi="Times New Roman" w:cs="Times New Roman"/>
        </w:rPr>
        <w:t>” or “Evidence” the response gets coded that way. This means that some responses can be coded as both “</w:t>
      </w:r>
      <w:r>
        <w:rPr>
          <w:rFonts w:ascii="Times New Roman" w:hAnsi="Times New Roman" w:cs="Times New Roman"/>
        </w:rPr>
        <w:t>Generic</w:t>
      </w:r>
      <w:r w:rsidRPr="00945F19">
        <w:rPr>
          <w:rFonts w:ascii="Times New Roman" w:hAnsi="Times New Roman" w:cs="Times New Roman"/>
        </w:rPr>
        <w:t>” and “Evidence”. This also means that some responses can be coded as either “</w:t>
      </w:r>
      <w:r>
        <w:rPr>
          <w:rFonts w:ascii="Times New Roman" w:hAnsi="Times New Roman" w:cs="Times New Roman"/>
        </w:rPr>
        <w:t>Generic</w:t>
      </w:r>
      <w:r w:rsidRPr="00945F19">
        <w:rPr>
          <w:rFonts w:ascii="Times New Roman" w:hAnsi="Times New Roman" w:cs="Times New Roman"/>
        </w:rPr>
        <w:t xml:space="preserve">” or “Evidence” (or both) even if other parts of the response would be not be coded as either. </w:t>
      </w:r>
    </w:p>
    <w:p w14:paraId="2B68D3A6" w14:textId="77777777" w:rsidR="00D73293" w:rsidRDefault="00D73293" w:rsidP="00D73293"/>
    <w:p w14:paraId="6F8C54C7" w14:textId="77777777" w:rsidR="00D73293" w:rsidRDefault="00D73293" w:rsidP="00D73293">
      <w:pPr>
        <w:pStyle w:val="ListParagraph"/>
        <w:numPr>
          <w:ilvl w:val="0"/>
          <w:numId w:val="2"/>
        </w:numPr>
        <w:rPr>
          <w:rFonts w:ascii="Times New Roman" w:hAnsi="Times New Roman" w:cs="Times New Roman"/>
        </w:rPr>
      </w:pPr>
      <w:r w:rsidRPr="00322E5F">
        <w:rPr>
          <w:rFonts w:ascii="Times New Roman" w:hAnsi="Times New Roman" w:cs="Times New Roman"/>
        </w:rPr>
        <w:t>Regarding “Evidence”, what it means for reasons, evidence, or arguments to “support</w:t>
      </w:r>
      <w:r>
        <w:rPr>
          <w:rFonts w:ascii="Times New Roman" w:hAnsi="Times New Roman" w:cs="Times New Roman"/>
        </w:rPr>
        <w:t>”</w:t>
      </w:r>
      <w:r w:rsidRPr="00322E5F">
        <w:rPr>
          <w:rFonts w:ascii="Times New Roman" w:hAnsi="Times New Roman" w:cs="Times New Roman"/>
        </w:rPr>
        <w:t xml:space="preserve"> the belief is that </w:t>
      </w:r>
      <w:r w:rsidRPr="00CF63E3">
        <w:rPr>
          <w:rFonts w:ascii="Times New Roman" w:hAnsi="Times New Roman" w:cs="Times New Roman"/>
          <w:u w:val="single"/>
        </w:rPr>
        <w:t>they suggest that the belief is true</w:t>
      </w:r>
      <w:r w:rsidRPr="00322E5F">
        <w:rPr>
          <w:rFonts w:ascii="Times New Roman" w:hAnsi="Times New Roman" w:cs="Times New Roman"/>
        </w:rPr>
        <w:t xml:space="preserve">. Therefore, statements which cite (or allude to) reasons, arguments, or evidence which suggest the belief is </w:t>
      </w:r>
      <w:r w:rsidRPr="00CF63E3">
        <w:rPr>
          <w:rFonts w:ascii="Times New Roman" w:hAnsi="Times New Roman" w:cs="Times New Roman"/>
        </w:rPr>
        <w:t>not</w:t>
      </w:r>
      <w:r w:rsidRPr="00322E5F">
        <w:rPr>
          <w:rFonts w:ascii="Times New Roman" w:hAnsi="Times New Roman" w:cs="Times New Roman"/>
        </w:rPr>
        <w:t xml:space="preserve"> true should not be counted</w:t>
      </w:r>
      <w:r>
        <w:rPr>
          <w:rFonts w:ascii="Times New Roman" w:hAnsi="Times New Roman" w:cs="Times New Roman"/>
        </w:rPr>
        <w:t xml:space="preserve"> (i.e., they should instead be coded as “0”)</w:t>
      </w:r>
      <w:r w:rsidRPr="00322E5F">
        <w:rPr>
          <w:rFonts w:ascii="Times New Roman" w:hAnsi="Times New Roman" w:cs="Times New Roman"/>
        </w:rPr>
        <w:t xml:space="preserve">. Additionally, statements which suggest that a belief may be useful, morally right, or </w:t>
      </w:r>
      <w:r w:rsidRPr="00322E5F">
        <w:rPr>
          <w:rFonts w:ascii="Times New Roman" w:hAnsi="Times New Roman" w:cs="Times New Roman"/>
          <w:color w:val="000000"/>
        </w:rPr>
        <w:t xml:space="preserve">favorable in some other way that does not pertain to whether the belief is </w:t>
      </w:r>
      <w:r w:rsidRPr="00647691">
        <w:rPr>
          <w:rFonts w:ascii="Times New Roman" w:hAnsi="Times New Roman" w:cs="Times New Roman"/>
          <w:i/>
          <w:color w:val="000000"/>
        </w:rPr>
        <w:t>true</w:t>
      </w:r>
      <w:r w:rsidRPr="00322E5F">
        <w:rPr>
          <w:rFonts w:ascii="Times New Roman" w:hAnsi="Times New Roman" w:cs="Times New Roman"/>
          <w:color w:val="000000"/>
        </w:rPr>
        <w:t>, should not be counted</w:t>
      </w:r>
      <w:r w:rsidRPr="00322E5F">
        <w:rPr>
          <w:rFonts w:ascii="Times New Roman" w:hAnsi="Times New Roman" w:cs="Times New Roman"/>
        </w:rPr>
        <w:t xml:space="preserve"> (unless this information is also clearly intended as evidence for the belief). </w:t>
      </w:r>
    </w:p>
    <w:p w14:paraId="759D4F73" w14:textId="77777777" w:rsidR="00D73293" w:rsidRPr="00945F19" w:rsidRDefault="00D73293" w:rsidP="00D73293"/>
    <w:p w14:paraId="2EFDE40B" w14:textId="77777777" w:rsidR="00D73293" w:rsidRPr="00945F19" w:rsidRDefault="00D73293" w:rsidP="00D73293">
      <w:pPr>
        <w:pStyle w:val="ListParagraph"/>
        <w:numPr>
          <w:ilvl w:val="0"/>
          <w:numId w:val="2"/>
        </w:numPr>
        <w:rPr>
          <w:rFonts w:ascii="Times New Roman" w:hAnsi="Times New Roman" w:cs="Times New Roman"/>
        </w:rPr>
      </w:pPr>
      <w:r w:rsidRPr="00945F19">
        <w:rPr>
          <w:rFonts w:ascii="Times New Roman" w:hAnsi="Times New Roman" w:cs="Times New Roman"/>
        </w:rPr>
        <w:t xml:space="preserve">Regarding “Evidence”, </w:t>
      </w:r>
      <w:r>
        <w:rPr>
          <w:rFonts w:ascii="Times New Roman" w:hAnsi="Times New Roman" w:cs="Times New Roman"/>
        </w:rPr>
        <w:t xml:space="preserve">a response can still be coded as “1” </w:t>
      </w:r>
      <w:r w:rsidRPr="00945F19">
        <w:rPr>
          <w:rFonts w:ascii="Times New Roman" w:hAnsi="Times New Roman" w:cs="Times New Roman"/>
        </w:rPr>
        <w:t xml:space="preserve">if </w:t>
      </w:r>
      <w:r>
        <w:rPr>
          <w:rFonts w:ascii="Times New Roman" w:hAnsi="Times New Roman" w:cs="Times New Roman"/>
        </w:rPr>
        <w:t>it</w:t>
      </w:r>
      <w:r w:rsidRPr="00945F19">
        <w:rPr>
          <w:rFonts w:ascii="Times New Roman" w:hAnsi="Times New Roman" w:cs="Times New Roman"/>
        </w:rPr>
        <w:t xml:space="preserve"> states reasons without </w:t>
      </w:r>
      <w:r>
        <w:rPr>
          <w:rFonts w:ascii="Times New Roman" w:hAnsi="Times New Roman" w:cs="Times New Roman"/>
        </w:rPr>
        <w:t>also explicitly</w:t>
      </w:r>
      <w:r w:rsidRPr="00945F19">
        <w:rPr>
          <w:rFonts w:ascii="Times New Roman" w:hAnsi="Times New Roman" w:cs="Times New Roman"/>
        </w:rPr>
        <w:t xml:space="preserve"> stating that the believer is aware of them. All that is required is that the context suggest that the reason (or arguments) are known to the believer. For example, this may be because those reasons originally motivated the believer to form the belief or because that information is common knowledge.</w:t>
      </w:r>
    </w:p>
    <w:p w14:paraId="5D2237CF" w14:textId="77777777" w:rsidR="00D73293" w:rsidRPr="00945F19" w:rsidRDefault="00D73293" w:rsidP="00D73293"/>
    <w:p w14:paraId="04C3FAC9" w14:textId="77777777" w:rsidR="00D73293" w:rsidRPr="00A55480" w:rsidRDefault="00D73293" w:rsidP="00D73293">
      <w:pPr>
        <w:pStyle w:val="ListParagraph"/>
        <w:numPr>
          <w:ilvl w:val="0"/>
          <w:numId w:val="2"/>
        </w:numPr>
        <w:rPr>
          <w:rFonts w:ascii="Times New Roman" w:hAnsi="Times New Roman" w:cs="Times New Roman"/>
        </w:rPr>
      </w:pPr>
      <w:r w:rsidRPr="00945F19">
        <w:rPr>
          <w:rFonts w:ascii="Times New Roman" w:hAnsi="Times New Roman" w:cs="Times New Roman"/>
        </w:rPr>
        <w:lastRenderedPageBreak/>
        <w:t xml:space="preserve">Regarding “Evidence”, statements which cite information that the believer is not currently aware of, such as possible new discoveries, hypothetical arguments, or arguments that the subject is aware </w:t>
      </w:r>
      <w:proofErr w:type="gramStart"/>
      <w:r w:rsidRPr="00945F19">
        <w:rPr>
          <w:rFonts w:ascii="Times New Roman" w:hAnsi="Times New Roman" w:cs="Times New Roman"/>
        </w:rPr>
        <w:t>of</w:t>
      </w:r>
      <w:proofErr w:type="gramEnd"/>
      <w:r w:rsidRPr="00945F19">
        <w:rPr>
          <w:rFonts w:ascii="Times New Roman" w:hAnsi="Times New Roman" w:cs="Times New Roman"/>
        </w:rPr>
        <w:t xml:space="preserve"> but the believer is not aware of, should </w:t>
      </w:r>
      <w:r w:rsidRPr="00CF63E3">
        <w:rPr>
          <w:rFonts w:ascii="Times New Roman" w:hAnsi="Times New Roman" w:cs="Times New Roman"/>
          <w:u w:val="single"/>
        </w:rPr>
        <w:t>not</w:t>
      </w:r>
      <w:r w:rsidRPr="00945F19">
        <w:rPr>
          <w:rFonts w:ascii="Times New Roman" w:hAnsi="Times New Roman" w:cs="Times New Roman"/>
        </w:rPr>
        <w:t xml:space="preserve"> be counted</w:t>
      </w:r>
      <w:r>
        <w:rPr>
          <w:rFonts w:ascii="Times New Roman" w:hAnsi="Times New Roman" w:cs="Times New Roman"/>
        </w:rPr>
        <w:t xml:space="preserve"> (i.e., they should instead be coded as “0”)</w:t>
      </w:r>
      <w:r w:rsidRPr="00945F19">
        <w:rPr>
          <w:rFonts w:ascii="Times New Roman" w:hAnsi="Times New Roman" w:cs="Times New Roman"/>
        </w:rPr>
        <w:t>.</w:t>
      </w:r>
    </w:p>
    <w:p w14:paraId="6D78AAC9" w14:textId="77777777" w:rsidR="00D73293" w:rsidRPr="00493982" w:rsidRDefault="00D73293" w:rsidP="00D73293">
      <w:pPr>
        <w:pStyle w:val="ListParagraph"/>
        <w:rPr>
          <w:rFonts w:ascii="Times New Roman" w:hAnsi="Times New Roman" w:cs="Times New Roman"/>
        </w:rPr>
      </w:pPr>
    </w:p>
    <w:p w14:paraId="493CE2F2" w14:textId="77777777" w:rsidR="00D73293" w:rsidRDefault="00D73293" w:rsidP="00D73293">
      <w:pPr>
        <w:pStyle w:val="ListParagraph"/>
        <w:numPr>
          <w:ilvl w:val="0"/>
          <w:numId w:val="2"/>
        </w:numPr>
        <w:rPr>
          <w:rFonts w:ascii="Times New Roman" w:hAnsi="Times New Roman" w:cs="Times New Roman"/>
          <w:color w:val="000000"/>
        </w:rPr>
      </w:pPr>
      <w:r w:rsidRPr="00DD63AC">
        <w:rPr>
          <w:rFonts w:ascii="Times New Roman" w:hAnsi="Times New Roman" w:cs="Times New Roman"/>
          <w:color w:val="000000"/>
        </w:rPr>
        <w:t>Regarding “</w:t>
      </w:r>
      <w:r>
        <w:rPr>
          <w:rFonts w:ascii="Times New Roman" w:hAnsi="Times New Roman" w:cs="Times New Roman"/>
          <w:color w:val="000000"/>
        </w:rPr>
        <w:t>E</w:t>
      </w:r>
      <w:r w:rsidRPr="00DD63AC">
        <w:rPr>
          <w:rFonts w:ascii="Times New Roman" w:hAnsi="Times New Roman" w:cs="Times New Roman"/>
          <w:color w:val="000000"/>
        </w:rPr>
        <w:t>vidence”, mark “1” any time the subject appears to assess the</w:t>
      </w:r>
      <w:r w:rsidRPr="00DD63AC">
        <w:rPr>
          <w:rStyle w:val="apple-converted-space"/>
          <w:rFonts w:ascii="Times New Roman" w:hAnsi="Times New Roman" w:cs="Times New Roman"/>
          <w:color w:val="000000"/>
        </w:rPr>
        <w:t> </w:t>
      </w:r>
      <w:r w:rsidRPr="00CF63E3">
        <w:rPr>
          <w:rFonts w:ascii="Times New Roman" w:hAnsi="Times New Roman" w:cs="Times New Roman"/>
          <w:iCs/>
          <w:color w:val="000000"/>
        </w:rPr>
        <w:t>balance</w:t>
      </w:r>
      <w:r w:rsidRPr="00DD63AC">
        <w:rPr>
          <w:rStyle w:val="apple-converted-space"/>
          <w:rFonts w:ascii="Times New Roman" w:hAnsi="Times New Roman" w:cs="Times New Roman"/>
          <w:color w:val="000000"/>
        </w:rPr>
        <w:t> </w:t>
      </w:r>
      <w:r w:rsidRPr="00DD63AC">
        <w:rPr>
          <w:rFonts w:ascii="Times New Roman" w:hAnsi="Times New Roman" w:cs="Times New Roman"/>
          <w:color w:val="000000"/>
        </w:rPr>
        <w:t xml:space="preserve">of evidence </w:t>
      </w:r>
      <w:r>
        <w:rPr>
          <w:rFonts w:ascii="Times New Roman" w:hAnsi="Times New Roman" w:cs="Times New Roman"/>
          <w:color w:val="000000"/>
        </w:rPr>
        <w:t>as</w:t>
      </w:r>
      <w:r w:rsidRPr="00DD63AC">
        <w:rPr>
          <w:rFonts w:ascii="Times New Roman" w:hAnsi="Times New Roman" w:cs="Times New Roman"/>
          <w:color w:val="000000"/>
        </w:rPr>
        <w:t xml:space="preserve"> </w:t>
      </w:r>
      <w:r w:rsidRPr="00CF63E3">
        <w:rPr>
          <w:rFonts w:ascii="Times New Roman" w:hAnsi="Times New Roman" w:cs="Times New Roman"/>
          <w:color w:val="000000"/>
        </w:rPr>
        <w:t>supporting</w:t>
      </w:r>
      <w:r w:rsidRPr="00DD63AC">
        <w:rPr>
          <w:rFonts w:ascii="Times New Roman" w:hAnsi="Times New Roman" w:cs="Times New Roman"/>
          <w:color w:val="000000"/>
        </w:rPr>
        <w:t xml:space="preserve"> their current belief. For instance, if </w:t>
      </w:r>
      <w:r>
        <w:rPr>
          <w:rFonts w:ascii="Times New Roman" w:hAnsi="Times New Roman" w:cs="Times New Roman"/>
          <w:color w:val="000000"/>
        </w:rPr>
        <w:t>a subject wrote,</w:t>
      </w:r>
      <w:r w:rsidRPr="00DD63AC">
        <w:rPr>
          <w:rFonts w:ascii="Times New Roman" w:hAnsi="Times New Roman" w:cs="Times New Roman"/>
          <w:color w:val="000000"/>
        </w:rPr>
        <w:t xml:space="preserve"> “</w:t>
      </w:r>
      <w:r>
        <w:rPr>
          <w:rFonts w:ascii="Times New Roman" w:hAnsi="Times New Roman" w:cs="Times New Roman"/>
          <w:color w:val="000000"/>
        </w:rPr>
        <w:t>this</w:t>
      </w:r>
      <w:r w:rsidRPr="00DD63AC">
        <w:rPr>
          <w:rFonts w:ascii="Times New Roman" w:hAnsi="Times New Roman" w:cs="Times New Roman"/>
          <w:color w:val="000000"/>
        </w:rPr>
        <w:t xml:space="preserve"> belief is better supported than the other side” or “the other side has no support at all” this would be coded as “1”. (Note that the balance of evidence </w:t>
      </w:r>
      <w:r>
        <w:rPr>
          <w:rFonts w:ascii="Times New Roman" w:hAnsi="Times New Roman" w:cs="Times New Roman"/>
          <w:color w:val="000000"/>
        </w:rPr>
        <w:t>must</w:t>
      </w:r>
      <w:r w:rsidRPr="00DD63AC">
        <w:rPr>
          <w:rFonts w:ascii="Times New Roman" w:hAnsi="Times New Roman" w:cs="Times New Roman"/>
          <w:color w:val="000000"/>
        </w:rPr>
        <w:t xml:space="preserve"> be currently known and appreciated by the believer</w:t>
      </w:r>
      <w:r>
        <w:rPr>
          <w:rFonts w:ascii="Times New Roman" w:hAnsi="Times New Roman" w:cs="Times New Roman"/>
          <w:color w:val="000000"/>
        </w:rPr>
        <w:t>; see note “C” above</w:t>
      </w:r>
      <w:r w:rsidRPr="00DD63AC">
        <w:rPr>
          <w:rFonts w:ascii="Times New Roman" w:hAnsi="Times New Roman" w:cs="Times New Roman"/>
          <w:color w:val="000000"/>
        </w:rPr>
        <w:t>.)</w:t>
      </w:r>
    </w:p>
    <w:p w14:paraId="3FDB368E" w14:textId="77777777" w:rsidR="00D73293" w:rsidRPr="00DD63AC" w:rsidRDefault="00D73293" w:rsidP="00D73293">
      <w:pPr>
        <w:pStyle w:val="ListParagraph"/>
        <w:rPr>
          <w:rFonts w:ascii="Times New Roman" w:hAnsi="Times New Roman" w:cs="Times New Roman"/>
          <w:color w:val="000000"/>
        </w:rPr>
      </w:pPr>
    </w:p>
    <w:p w14:paraId="57C8BADA" w14:textId="77777777" w:rsidR="00D73293" w:rsidRPr="00DD63AC" w:rsidRDefault="00D73293" w:rsidP="00D73293">
      <w:pPr>
        <w:pStyle w:val="ListParagraph"/>
        <w:numPr>
          <w:ilvl w:val="0"/>
          <w:numId w:val="2"/>
        </w:numPr>
        <w:rPr>
          <w:rFonts w:ascii="Times New Roman" w:hAnsi="Times New Roman" w:cs="Times New Roman"/>
          <w:color w:val="000000"/>
        </w:rPr>
      </w:pPr>
      <w:r w:rsidRPr="00DD63AC">
        <w:rPr>
          <w:rFonts w:ascii="Times New Roman" w:hAnsi="Times New Roman" w:cs="Times New Roman"/>
          <w:color w:val="000000"/>
        </w:rPr>
        <w:t xml:space="preserve">Regarding “Evidence”, merely stating that one </w:t>
      </w:r>
      <w:r>
        <w:rPr>
          <w:rFonts w:ascii="Times New Roman" w:hAnsi="Times New Roman" w:cs="Times New Roman"/>
          <w:color w:val="000000"/>
        </w:rPr>
        <w:t xml:space="preserve">simply </w:t>
      </w:r>
      <w:r w:rsidRPr="00DD63AC">
        <w:rPr>
          <w:rFonts w:ascii="Times New Roman" w:hAnsi="Times New Roman" w:cs="Times New Roman"/>
          <w:color w:val="000000"/>
        </w:rPr>
        <w:t xml:space="preserve">knows something to be true, that the belief </w:t>
      </w:r>
      <w:r>
        <w:rPr>
          <w:rFonts w:ascii="Times New Roman" w:hAnsi="Times New Roman" w:cs="Times New Roman"/>
          <w:color w:val="000000"/>
        </w:rPr>
        <w:t xml:space="preserve">simply </w:t>
      </w:r>
      <w:r w:rsidRPr="00DD63AC">
        <w:rPr>
          <w:rFonts w:ascii="Times New Roman" w:hAnsi="Times New Roman" w:cs="Times New Roman"/>
          <w:color w:val="000000"/>
        </w:rPr>
        <w:t xml:space="preserve">is right, or objective, should not be counted as evidence. This is because statements must allude to some </w:t>
      </w:r>
      <w:r>
        <w:rPr>
          <w:rFonts w:ascii="Times New Roman" w:hAnsi="Times New Roman" w:cs="Times New Roman"/>
          <w:color w:val="000000"/>
        </w:rPr>
        <w:t xml:space="preserve">actual </w:t>
      </w:r>
      <w:r w:rsidRPr="00DD63AC">
        <w:rPr>
          <w:rFonts w:ascii="Times New Roman" w:hAnsi="Times New Roman" w:cs="Times New Roman"/>
          <w:color w:val="000000"/>
        </w:rPr>
        <w:t xml:space="preserve">reasons or arguments in favor of the belief in order to count as evidence. </w:t>
      </w:r>
      <w:r>
        <w:rPr>
          <w:rFonts w:ascii="Times New Roman" w:hAnsi="Times New Roman" w:cs="Times New Roman"/>
          <w:color w:val="000000"/>
        </w:rPr>
        <w:t>In other words, bare statements of knowledge or objectivity that do not allude to reasons should not be counted as evidence (e.g., “X knows this is true.”)  However, s</w:t>
      </w:r>
      <w:r w:rsidRPr="00DD63AC">
        <w:rPr>
          <w:rFonts w:ascii="Times New Roman" w:hAnsi="Times New Roman" w:cs="Times New Roman"/>
          <w:color w:val="000000"/>
        </w:rPr>
        <w:t xml:space="preserve">tatements of knowledge or objectivity that </w:t>
      </w:r>
      <w:r w:rsidRPr="00647691">
        <w:rPr>
          <w:rFonts w:ascii="Times New Roman" w:hAnsi="Times New Roman" w:cs="Times New Roman"/>
          <w:i/>
          <w:color w:val="000000"/>
        </w:rPr>
        <w:t>do</w:t>
      </w:r>
      <w:r w:rsidRPr="00DD63AC">
        <w:rPr>
          <w:rFonts w:ascii="Times New Roman" w:hAnsi="Times New Roman" w:cs="Times New Roman"/>
          <w:color w:val="000000"/>
        </w:rPr>
        <w:t xml:space="preserve"> allude to such reasons / evidence should be counted as evidence (e.g., “</w:t>
      </w:r>
      <w:r>
        <w:rPr>
          <w:rFonts w:ascii="Times New Roman" w:hAnsi="Times New Roman" w:cs="Times New Roman"/>
          <w:color w:val="000000"/>
        </w:rPr>
        <w:t xml:space="preserve">X </w:t>
      </w:r>
      <w:r w:rsidRPr="00DD63AC">
        <w:rPr>
          <w:rFonts w:ascii="Times New Roman" w:hAnsi="Times New Roman" w:cs="Times New Roman"/>
          <w:color w:val="000000"/>
        </w:rPr>
        <w:t>know</w:t>
      </w:r>
      <w:r>
        <w:rPr>
          <w:rFonts w:ascii="Times New Roman" w:hAnsi="Times New Roman" w:cs="Times New Roman"/>
          <w:color w:val="000000"/>
        </w:rPr>
        <w:t>s</w:t>
      </w:r>
      <w:r w:rsidRPr="00DD63AC">
        <w:rPr>
          <w:rFonts w:ascii="Times New Roman" w:hAnsi="Times New Roman" w:cs="Times New Roman"/>
          <w:color w:val="000000"/>
        </w:rPr>
        <w:t xml:space="preserve"> this is true because </w:t>
      </w:r>
      <w:r>
        <w:rPr>
          <w:rFonts w:ascii="Times New Roman" w:hAnsi="Times New Roman" w:cs="Times New Roman"/>
          <w:color w:val="000000"/>
        </w:rPr>
        <w:t>X has</w:t>
      </w:r>
      <w:r w:rsidRPr="00DD63AC">
        <w:rPr>
          <w:rFonts w:ascii="Times New Roman" w:hAnsi="Times New Roman" w:cs="Times New Roman"/>
          <w:color w:val="000000"/>
        </w:rPr>
        <w:t xml:space="preserve"> facts.”). </w:t>
      </w:r>
    </w:p>
    <w:p w14:paraId="4AB53228" w14:textId="77777777" w:rsidR="00D73293" w:rsidRPr="00945F19" w:rsidRDefault="00D73293" w:rsidP="00D73293"/>
    <w:p w14:paraId="24521721" w14:textId="77777777" w:rsidR="00D73293" w:rsidRPr="00322E5F" w:rsidRDefault="00D73293" w:rsidP="00D73293">
      <w:pPr>
        <w:pStyle w:val="ListParagraph"/>
        <w:numPr>
          <w:ilvl w:val="0"/>
          <w:numId w:val="2"/>
        </w:numPr>
        <w:rPr>
          <w:rFonts w:ascii="Times New Roman" w:hAnsi="Times New Roman" w:cs="Times New Roman"/>
        </w:rPr>
      </w:pPr>
      <w:r w:rsidRPr="00322E5F">
        <w:rPr>
          <w:rFonts w:ascii="Times New Roman" w:hAnsi="Times New Roman" w:cs="Times New Roman"/>
        </w:rPr>
        <w:t>Regarding “</w:t>
      </w:r>
      <w:r>
        <w:rPr>
          <w:rFonts w:ascii="Times New Roman" w:hAnsi="Times New Roman" w:cs="Times New Roman"/>
        </w:rPr>
        <w:t>Generic</w:t>
      </w:r>
      <w:r w:rsidRPr="00322E5F">
        <w:rPr>
          <w:rFonts w:ascii="Times New Roman" w:hAnsi="Times New Roman" w:cs="Times New Roman"/>
        </w:rPr>
        <w:t xml:space="preserve">”, the response may refer to the general controllability of beliefs for all or most people, or for the specific person under consideration (as long as that believer is not marked as any kind of exception, i.e., as having an unusually high or low degree of control over their beliefs). </w:t>
      </w:r>
      <w:r>
        <w:rPr>
          <w:rFonts w:ascii="Times New Roman" w:hAnsi="Times New Roman" w:cs="Times New Roman"/>
        </w:rPr>
        <w:t>Similarly</w:t>
      </w:r>
      <w:r w:rsidRPr="00322E5F">
        <w:rPr>
          <w:rFonts w:ascii="Times New Roman" w:hAnsi="Times New Roman" w:cs="Times New Roman"/>
        </w:rPr>
        <w:t xml:space="preserve">, a response that </w:t>
      </w:r>
      <w:r>
        <w:rPr>
          <w:rFonts w:ascii="Times New Roman" w:hAnsi="Times New Roman" w:cs="Times New Roman"/>
        </w:rPr>
        <w:t>seems</w:t>
      </w:r>
      <w:r w:rsidRPr="00322E5F">
        <w:rPr>
          <w:rFonts w:ascii="Times New Roman" w:hAnsi="Times New Roman" w:cs="Times New Roman"/>
        </w:rPr>
        <w:t xml:space="preserve"> </w:t>
      </w:r>
      <w:r>
        <w:rPr>
          <w:rFonts w:ascii="Times New Roman" w:hAnsi="Times New Roman" w:cs="Times New Roman"/>
        </w:rPr>
        <w:t>only</w:t>
      </w:r>
      <w:r w:rsidRPr="00322E5F">
        <w:rPr>
          <w:rFonts w:ascii="Times New Roman" w:hAnsi="Times New Roman" w:cs="Times New Roman"/>
        </w:rPr>
        <w:t xml:space="preserve"> to </w:t>
      </w:r>
      <w:r>
        <w:rPr>
          <w:rFonts w:ascii="Times New Roman" w:hAnsi="Times New Roman" w:cs="Times New Roman"/>
        </w:rPr>
        <w:t xml:space="preserve">speak of </w:t>
      </w:r>
      <w:r w:rsidRPr="00322E5F">
        <w:rPr>
          <w:rFonts w:ascii="Times New Roman" w:hAnsi="Times New Roman" w:cs="Times New Roman"/>
        </w:rPr>
        <w:t xml:space="preserve">the controllability of the </w:t>
      </w:r>
      <w:r>
        <w:rPr>
          <w:rFonts w:ascii="Times New Roman" w:hAnsi="Times New Roman" w:cs="Times New Roman"/>
        </w:rPr>
        <w:t xml:space="preserve">specific </w:t>
      </w:r>
      <w:r w:rsidRPr="00322E5F">
        <w:rPr>
          <w:rFonts w:ascii="Times New Roman" w:hAnsi="Times New Roman" w:cs="Times New Roman"/>
        </w:rPr>
        <w:t>belief in question should not be counted</w:t>
      </w:r>
      <w:r>
        <w:rPr>
          <w:rFonts w:ascii="Times New Roman" w:hAnsi="Times New Roman" w:cs="Times New Roman"/>
        </w:rPr>
        <w:t xml:space="preserve"> (i.e., it should instead be coded as “0”)</w:t>
      </w:r>
      <w:r w:rsidRPr="00322E5F">
        <w:rPr>
          <w:rFonts w:ascii="Times New Roman" w:hAnsi="Times New Roman" w:cs="Times New Roman"/>
        </w:rPr>
        <w:t xml:space="preserve">.  </w:t>
      </w:r>
    </w:p>
    <w:p w14:paraId="7C4E045B" w14:textId="77777777" w:rsidR="00D73293" w:rsidRPr="00945F19" w:rsidRDefault="00D73293" w:rsidP="00D73293"/>
    <w:p w14:paraId="580A202D" w14:textId="77777777" w:rsidR="00D73293" w:rsidRPr="00D824E2" w:rsidRDefault="00D73293" w:rsidP="00D73293">
      <w:pPr>
        <w:pStyle w:val="ListParagraph"/>
        <w:numPr>
          <w:ilvl w:val="0"/>
          <w:numId w:val="2"/>
        </w:numPr>
        <w:rPr>
          <w:rFonts w:ascii="Times New Roman" w:hAnsi="Times New Roman" w:cs="Times New Roman"/>
        </w:rPr>
      </w:pPr>
      <w:r w:rsidRPr="00945F19">
        <w:rPr>
          <w:rFonts w:ascii="Times New Roman" w:hAnsi="Times New Roman" w:cs="Times New Roman"/>
        </w:rPr>
        <w:t>Regarding “</w:t>
      </w:r>
      <w:r>
        <w:rPr>
          <w:rFonts w:ascii="Times New Roman" w:hAnsi="Times New Roman" w:cs="Times New Roman"/>
        </w:rPr>
        <w:t>Generic</w:t>
      </w:r>
      <w:r w:rsidRPr="00945F19">
        <w:rPr>
          <w:rFonts w:ascii="Times New Roman" w:hAnsi="Times New Roman" w:cs="Times New Roman"/>
        </w:rPr>
        <w:t>”, responses stating that someone can or cannot be blamed for their belief, or that people are permitted or not permitted to hold certain beliefs, should not be counted. Permissibility is independent of control</w:t>
      </w:r>
      <w:r>
        <w:rPr>
          <w:rFonts w:ascii="Times New Roman" w:hAnsi="Times New Roman" w:cs="Times New Roman"/>
        </w:rPr>
        <w:t xml:space="preserve">; </w:t>
      </w:r>
      <w:r w:rsidRPr="00945F19">
        <w:rPr>
          <w:rFonts w:ascii="Times New Roman" w:hAnsi="Times New Roman" w:cs="Times New Roman"/>
        </w:rPr>
        <w:t>people may be permitted to hold a given belief without having control over it. Likewise, people may not be permitted to hold a given belief, and yet lack voluntary control over it.</w:t>
      </w:r>
    </w:p>
    <w:p w14:paraId="189C5576" w14:textId="77777777" w:rsidR="00F70544" w:rsidRDefault="00F70544">
      <w:pPr>
        <w:rPr>
          <w:b/>
        </w:rPr>
      </w:pPr>
      <w:r>
        <w:rPr>
          <w:b/>
        </w:rPr>
        <w:br w:type="page"/>
      </w:r>
    </w:p>
    <w:p w14:paraId="2C0F61EC" w14:textId="23EB655D" w:rsidR="00D87F7B" w:rsidRDefault="00107F44" w:rsidP="00B522E4">
      <w:pPr>
        <w:spacing w:line="480" w:lineRule="auto"/>
        <w:rPr>
          <w:b/>
        </w:rPr>
      </w:pPr>
      <w:r>
        <w:rPr>
          <w:b/>
        </w:rPr>
        <w:lastRenderedPageBreak/>
        <w:t>Public debates about belief control and responsibility</w:t>
      </w:r>
    </w:p>
    <w:p w14:paraId="62BB1DBF" w14:textId="32913352" w:rsidR="00D620FF" w:rsidRDefault="00D620FF" w:rsidP="00F70544">
      <w:pPr>
        <w:ind w:firstLine="720"/>
      </w:pPr>
      <w:r>
        <w:t xml:space="preserve">In the main text, we </w:t>
      </w:r>
      <w:r w:rsidR="00107F44">
        <w:t xml:space="preserve">referenced </w:t>
      </w:r>
      <w:r>
        <w:t xml:space="preserve">a public </w:t>
      </w:r>
      <w:r w:rsidR="00107F44">
        <w:t>debate</w:t>
      </w:r>
      <w:r>
        <w:t xml:space="preserve"> about whether conservatives are properly held responsible for their beliefs. Megan McArdle argued that they are not, and therefore their treatment at the hand</w:t>
      </w:r>
      <w:r w:rsidR="00632A6E">
        <w:t>s</w:t>
      </w:r>
      <w:r>
        <w:t xml:space="preserve"> of liberals constitutes a form of prejudice. In a </w:t>
      </w:r>
      <w:r w:rsidR="00632A6E">
        <w:t>reply</w:t>
      </w:r>
      <w:r>
        <w:t xml:space="preserve">, Hamilton Nolan argued </w:t>
      </w:r>
      <w:r w:rsidR="00632A6E">
        <w:t>conservatives are legitimately held responsible for their beliefs</w:t>
      </w:r>
      <w:r>
        <w:t xml:space="preserve"> because conservativism is a choice, and</w:t>
      </w:r>
      <w:r w:rsidR="00632A6E">
        <w:t xml:space="preserve"> therefore</w:t>
      </w:r>
      <w:r>
        <w:t xml:space="preserve"> conservatives could change their ideology at any time. We pointed out that the crux of this disagreement is whether conservatives (or anyone else) has voluntary control over their beliefs. However, McArdle does not explicitly write about belief control in her </w:t>
      </w:r>
      <w:r w:rsidR="00625E94">
        <w:t>article</w:t>
      </w:r>
      <w:r>
        <w:t xml:space="preserve">. Instead, we attributed this belief to her based on public statements she made about her article upon its publication, available here: </w:t>
      </w:r>
      <w:r w:rsidRPr="00D620FF">
        <w:rPr>
          <w:u w:val="single"/>
        </w:rPr>
        <w:t>https://twitter.com/asymmetricinfo/status/984153783449026560</w:t>
      </w:r>
      <w:r>
        <w:t xml:space="preserve">. </w:t>
      </w:r>
      <w:r w:rsidR="00107F44">
        <w:t xml:space="preserve">Below is </w:t>
      </w:r>
      <w:r>
        <w:t xml:space="preserve">a screenshot below of the most relevant section (Figure S1). </w:t>
      </w:r>
    </w:p>
    <w:p w14:paraId="238AB87D" w14:textId="77777777" w:rsidR="00F70544" w:rsidRDefault="00F70544" w:rsidP="00F70544">
      <w:pPr>
        <w:ind w:firstLine="720"/>
      </w:pPr>
    </w:p>
    <w:p w14:paraId="483E80D4" w14:textId="7F8906B9" w:rsidR="00D87F7B" w:rsidRDefault="00D87F7B" w:rsidP="00F70544">
      <w:pPr>
        <w:jc w:val="center"/>
      </w:pPr>
      <w:r w:rsidRPr="00D87F7B">
        <w:rPr>
          <w:noProof/>
        </w:rPr>
        <w:drawing>
          <wp:inline distT="0" distB="0" distL="0" distR="0" wp14:anchorId="386167E4" wp14:editId="68BEB72C">
            <wp:extent cx="4394200" cy="327029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2540" cy="3276506"/>
                    </a:xfrm>
                    <a:prstGeom prst="rect">
                      <a:avLst/>
                    </a:prstGeom>
                  </pic:spPr>
                </pic:pic>
              </a:graphicData>
            </a:graphic>
          </wp:inline>
        </w:drawing>
      </w:r>
    </w:p>
    <w:p w14:paraId="73896D3A" w14:textId="6730956C" w:rsidR="00B522E4" w:rsidRDefault="00D620FF" w:rsidP="00F70544">
      <w:pPr>
        <w:jc w:val="center"/>
      </w:pPr>
      <w:r w:rsidRPr="00D620FF">
        <w:rPr>
          <w:i/>
        </w:rPr>
        <w:t>Figure S1</w:t>
      </w:r>
      <w:r>
        <w:t>. Screen capture of three statements that Megan McArdle posted to twitter accompany the publication of her article “Bias aga</w:t>
      </w:r>
      <w:bookmarkStart w:id="2" w:name="_GoBack"/>
      <w:bookmarkEnd w:id="2"/>
      <w:r>
        <w:t>inst conservatives works like any other prejudice”.</w:t>
      </w:r>
    </w:p>
    <w:sectPr w:rsidR="00B522E4" w:rsidSect="00575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0AAC" w14:textId="77777777" w:rsidR="00D01ADF" w:rsidRDefault="00D01ADF" w:rsidP="00B522E4">
      <w:r>
        <w:separator/>
      </w:r>
    </w:p>
  </w:endnote>
  <w:endnote w:type="continuationSeparator" w:id="0">
    <w:p w14:paraId="4BB17F21" w14:textId="77777777" w:rsidR="00D01ADF" w:rsidRDefault="00D01ADF" w:rsidP="00B5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46AFA" w14:textId="77777777" w:rsidR="00D01ADF" w:rsidRDefault="00D01ADF" w:rsidP="00B522E4">
      <w:r>
        <w:separator/>
      </w:r>
    </w:p>
  </w:footnote>
  <w:footnote w:type="continuationSeparator" w:id="0">
    <w:p w14:paraId="6E2250EB" w14:textId="77777777" w:rsidR="00D01ADF" w:rsidRDefault="00D01ADF" w:rsidP="00B5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9AA"/>
    <w:multiLevelType w:val="hybridMultilevel"/>
    <w:tmpl w:val="973AF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373FF"/>
    <w:multiLevelType w:val="hybridMultilevel"/>
    <w:tmpl w:val="AB5E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E4"/>
    <w:rsid w:val="00107F44"/>
    <w:rsid w:val="005334D5"/>
    <w:rsid w:val="00556BA2"/>
    <w:rsid w:val="00575D77"/>
    <w:rsid w:val="005F0810"/>
    <w:rsid w:val="00610BA8"/>
    <w:rsid w:val="00614DE0"/>
    <w:rsid w:val="00625E94"/>
    <w:rsid w:val="00632A6E"/>
    <w:rsid w:val="006768C5"/>
    <w:rsid w:val="008104AB"/>
    <w:rsid w:val="00AD1B21"/>
    <w:rsid w:val="00B522E4"/>
    <w:rsid w:val="00B70AC5"/>
    <w:rsid w:val="00B94448"/>
    <w:rsid w:val="00CC2E2C"/>
    <w:rsid w:val="00D01ADF"/>
    <w:rsid w:val="00D620FF"/>
    <w:rsid w:val="00D73293"/>
    <w:rsid w:val="00D87F7B"/>
    <w:rsid w:val="00E07A44"/>
    <w:rsid w:val="00EA437A"/>
    <w:rsid w:val="00EC64B4"/>
    <w:rsid w:val="00F7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CA8B"/>
  <w15:chartTrackingRefBased/>
  <w15:docId w15:val="{C2F7B377-062B-C743-A4C4-7E335964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2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22E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B522E4"/>
  </w:style>
  <w:style w:type="character" w:styleId="FootnoteReference">
    <w:name w:val="footnote reference"/>
    <w:basedOn w:val="DefaultParagraphFont"/>
    <w:uiPriority w:val="99"/>
    <w:unhideWhenUsed/>
    <w:rsid w:val="00B522E4"/>
    <w:rPr>
      <w:vertAlign w:val="superscript"/>
    </w:rPr>
  </w:style>
  <w:style w:type="paragraph" w:styleId="ListParagraph">
    <w:name w:val="List Paragraph"/>
    <w:basedOn w:val="Normal"/>
    <w:uiPriority w:val="34"/>
    <w:qFormat/>
    <w:rsid w:val="00F70544"/>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F70544"/>
  </w:style>
  <w:style w:type="paragraph" w:styleId="BalloonText">
    <w:name w:val="Balloon Text"/>
    <w:basedOn w:val="Normal"/>
    <w:link w:val="BalloonTextChar"/>
    <w:uiPriority w:val="99"/>
    <w:semiHidden/>
    <w:unhideWhenUsed/>
    <w:rsid w:val="008104AB"/>
    <w:rPr>
      <w:sz w:val="18"/>
      <w:szCs w:val="18"/>
    </w:rPr>
  </w:style>
  <w:style w:type="character" w:customStyle="1" w:styleId="BalloonTextChar">
    <w:name w:val="Balloon Text Char"/>
    <w:basedOn w:val="DefaultParagraphFont"/>
    <w:link w:val="BalloonText"/>
    <w:uiPriority w:val="99"/>
    <w:semiHidden/>
    <w:rsid w:val="008104A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Cusimano, Corey K</dc:creator>
  <cp:keywords/>
  <dc:description/>
  <cp:lastModifiedBy>Cusimano, Corey K</cp:lastModifiedBy>
  <cp:revision>5</cp:revision>
  <cp:lastPrinted>2019-09-10T21:54:00Z</cp:lastPrinted>
  <dcterms:created xsi:type="dcterms:W3CDTF">2019-09-10T21:54:00Z</dcterms:created>
  <dcterms:modified xsi:type="dcterms:W3CDTF">2020-01-14T13:59:00Z</dcterms:modified>
</cp:coreProperties>
</file>