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09BA" w14:textId="77777777" w:rsidR="00A6726E" w:rsidRPr="00AC561C" w:rsidRDefault="00A6726E" w:rsidP="00A6726E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561C">
        <w:rPr>
          <w:rFonts w:ascii="Times New Roman" w:hAnsi="Times New Roman" w:cs="Times New Roman"/>
          <w:b/>
        </w:rPr>
        <w:t>Supplemental Materials</w:t>
      </w:r>
    </w:p>
    <w:p w14:paraId="0009DFB1" w14:textId="4523E5C6" w:rsidR="00A6726E" w:rsidRPr="00AC561C" w:rsidRDefault="00A6726E" w:rsidP="00B44D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44D6F">
        <w:rPr>
          <w:rFonts w:ascii="Times New Roman" w:hAnsi="Times New Roman" w:cs="Times New Roman"/>
          <w:b/>
        </w:rPr>
        <w:t>Overconfidence Among Beginners: Is a Little Learning a Dangerous Thing?</w:t>
      </w:r>
    </w:p>
    <w:p w14:paraId="15D748D8" w14:textId="40FB7B06" w:rsidR="00A6726E" w:rsidRPr="00AC561C" w:rsidRDefault="00A6726E" w:rsidP="00B44D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561C">
        <w:rPr>
          <w:rFonts w:ascii="Times New Roman" w:hAnsi="Times New Roman" w:cs="Times New Roman"/>
          <w:b/>
        </w:rPr>
        <w:t xml:space="preserve">by </w:t>
      </w:r>
      <w:r>
        <w:rPr>
          <w:rFonts w:ascii="Times New Roman" w:hAnsi="Times New Roman" w:cs="Times New Roman"/>
          <w:b/>
        </w:rPr>
        <w:t>C</w:t>
      </w:r>
      <w:r w:rsidRPr="00AC561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Sanchez &amp;</w:t>
      </w:r>
      <w:r w:rsidRPr="00AC56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D. Dunning</w:t>
      </w:r>
      <w:r w:rsidRPr="00AC561C">
        <w:rPr>
          <w:rFonts w:ascii="Times New Roman" w:hAnsi="Times New Roman" w:cs="Times New Roman"/>
          <w:b/>
        </w:rPr>
        <w:t xml:space="preserve">, 2017, </w:t>
      </w:r>
      <w:r w:rsidRPr="00B44D6F">
        <w:rPr>
          <w:rFonts w:ascii="Times New Roman" w:hAnsi="Times New Roman" w:cs="Times New Roman"/>
          <w:b/>
          <w:i/>
        </w:rPr>
        <w:t>Journal of Personality and Social Psychology</w:t>
      </w:r>
    </w:p>
    <w:p w14:paraId="4131928F" w14:textId="39726699" w:rsidR="00A6726E" w:rsidRDefault="00A6726E" w:rsidP="00B44D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561C">
        <w:rPr>
          <w:rFonts w:ascii="Times New Roman" w:hAnsi="Times New Roman" w:cs="Times New Roman"/>
          <w:b/>
        </w:rPr>
        <w:t>http://dx.doi.org/</w:t>
      </w:r>
      <w:r w:rsidRPr="00B44D6F">
        <w:rPr>
          <w:rFonts w:ascii="Times New Roman" w:hAnsi="Times New Roman" w:cs="Times New Roman"/>
          <w:b/>
        </w:rPr>
        <w:t>10.1037/pspa0000102</w:t>
      </w:r>
    </w:p>
    <w:p w14:paraId="69514A88" w14:textId="77777777" w:rsidR="00A6726E" w:rsidRDefault="00A6726E" w:rsidP="00D11464">
      <w:pPr>
        <w:pStyle w:val="NoSpacing"/>
        <w:spacing w:line="480" w:lineRule="auto"/>
        <w:ind w:left="-360" w:righ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D1EA0" w14:textId="158FAAAA" w:rsidR="00D11464" w:rsidRPr="00D11464" w:rsidRDefault="00D11464" w:rsidP="00D11464">
      <w:pPr>
        <w:spacing w:before="100" w:beforeAutospacing="1" w:after="100" w:afterAutospacing="1" w:line="480" w:lineRule="auto"/>
        <w:ind w:left="-360" w:right="-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Studies 1–4, participants on</w:t>
      </w:r>
      <w:r w:rsidR="00B3661A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 xml:space="preserve"> average displayed a cubic trend in the time course of their confidence.</w:t>
      </w:r>
      <w:r w:rsidRPr="00D11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is unlikely, but possible, </w:t>
      </w:r>
      <w:r w:rsidR="00E03997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this trend </w:t>
      </w:r>
      <w:r w:rsidR="002814AF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appear on average even though few individual participants displayed it.  </w:t>
      </w:r>
      <w:r w:rsidR="0007389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trend </w:t>
      </w:r>
      <w:r w:rsidR="002814AF">
        <w:rPr>
          <w:rFonts w:ascii="Times New Roman" w:hAnsi="Times New Roman" w:cs="Times New Roman"/>
        </w:rPr>
        <w:t xml:space="preserve">could be </w:t>
      </w:r>
      <w:r>
        <w:rPr>
          <w:rFonts w:ascii="Times New Roman" w:hAnsi="Times New Roman" w:cs="Times New Roman"/>
        </w:rPr>
        <w:t>a phenomenon that emerges in the aggregate but not at the individual participant level.  For example, i</w:t>
      </w:r>
      <w:r w:rsidRPr="00D11464">
        <w:rPr>
          <w:rFonts w:ascii="Times New Roman" w:hAnsi="Times New Roman" w:cs="Times New Roman"/>
        </w:rPr>
        <w:t xml:space="preserve">f roughly half our participants showed a strict linear rise in confidence and the other half signs of an inverted-U, that would give rise to a cubic function in the average that </w:t>
      </w:r>
      <w:r>
        <w:rPr>
          <w:rFonts w:ascii="Times New Roman" w:hAnsi="Times New Roman" w:cs="Times New Roman"/>
        </w:rPr>
        <w:t>would never be evident</w:t>
      </w:r>
      <w:r w:rsidRPr="00D11464">
        <w:rPr>
          <w:rFonts w:ascii="Times New Roman" w:hAnsi="Times New Roman" w:cs="Times New Roman"/>
        </w:rPr>
        <w:t xml:space="preserve"> for any individual participant.  </w:t>
      </w:r>
    </w:p>
    <w:p w14:paraId="01DCA763" w14:textId="77777777" w:rsidR="00D11464" w:rsidRDefault="00D11464" w:rsidP="00D11464">
      <w:pPr>
        <w:spacing w:before="100" w:beforeAutospacing="1" w:after="100" w:afterAutospacing="1" w:line="480" w:lineRule="auto"/>
        <w:ind w:left="-360" w:right="-360" w:firstLine="720"/>
        <w:rPr>
          <w:rFonts w:ascii="Times New Roman" w:hAnsi="Times New Roman" w:cs="Times New Roman"/>
        </w:rPr>
      </w:pPr>
      <w:r w:rsidRPr="00D11464">
        <w:rPr>
          <w:rFonts w:ascii="Times New Roman" w:hAnsi="Times New Roman" w:cs="Times New Roman"/>
        </w:rPr>
        <w:t xml:space="preserve">So we decided to classify </w:t>
      </w:r>
      <w:r>
        <w:rPr>
          <w:rFonts w:ascii="Times New Roman" w:hAnsi="Times New Roman" w:cs="Times New Roman"/>
        </w:rPr>
        <w:t xml:space="preserve">individual </w:t>
      </w:r>
      <w:r w:rsidRPr="00D11464">
        <w:rPr>
          <w:rFonts w:ascii="Times New Roman" w:hAnsi="Times New Roman" w:cs="Times New Roman"/>
        </w:rPr>
        <w:t xml:space="preserve">participants according to the apparent trend in their data, classifying participants into those descriptively showing a cubic trend, a quadratic one, or a linear one—noting which direction, positive or negative, that trend took on.  </w:t>
      </w:r>
      <w:r>
        <w:rPr>
          <w:rFonts w:ascii="Times New Roman" w:hAnsi="Times New Roman" w:cs="Times New Roman"/>
        </w:rPr>
        <w:t xml:space="preserve">Note that our general purpose was to see what proportion of participants showed confidence trends consistent </w:t>
      </w:r>
      <w:r>
        <w:rPr>
          <w:rFonts w:ascii="Times New Roman" w:hAnsi="Times New Roman" w:cs="Times New Roman"/>
        </w:rPr>
        <w:lastRenderedPageBreak/>
        <w:t>with a “beginner’s bubble” pattern, which would be produced either by a positive cubic trend or a negative quadratic trend.</w:t>
      </w:r>
    </w:p>
    <w:p w14:paraId="090E2A7B" w14:textId="77777777" w:rsidR="00D11464" w:rsidRDefault="00D11464" w:rsidP="00D11464">
      <w:pPr>
        <w:spacing w:before="100" w:beforeAutospacing="1" w:after="100" w:afterAutospacing="1" w:line="480" w:lineRule="auto"/>
        <w:ind w:left="-360" w:right="-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began the classification procedure </w:t>
      </w:r>
      <w:r w:rsidRPr="00D11464">
        <w:rPr>
          <w:rFonts w:ascii="Times New Roman" w:hAnsi="Times New Roman" w:cs="Times New Roman"/>
        </w:rPr>
        <w:t>by noting that |</w:t>
      </w:r>
      <w:r w:rsidRPr="00D11464">
        <w:rPr>
          <w:rFonts w:ascii="Times New Roman" w:hAnsi="Times New Roman" w:cs="Times New Roman"/>
          <w:i/>
          <w:iCs/>
        </w:rPr>
        <w:t>t</w:t>
      </w:r>
      <w:r w:rsidRPr="00D11464">
        <w:rPr>
          <w:rFonts w:ascii="Times New Roman" w:hAnsi="Times New Roman" w:cs="Times New Roman"/>
        </w:rPr>
        <w:t xml:space="preserve">| = 1.  Thus, we took any trend above that number to indicate a trend was present at the individual participant level.  To begin, if a participants revealed a cubic trend of </w:t>
      </w:r>
      <w:r w:rsidRPr="00D11464">
        <w:rPr>
          <w:rFonts w:ascii="Times New Roman" w:hAnsi="Times New Roman" w:cs="Times New Roman"/>
          <w:i/>
          <w:iCs/>
        </w:rPr>
        <w:t xml:space="preserve">t </w:t>
      </w:r>
      <w:r w:rsidRPr="00D11464">
        <w:rPr>
          <w:rFonts w:ascii="Times New Roman" w:hAnsi="Times New Roman" w:cs="Times New Roman"/>
        </w:rPr>
        <w:t xml:space="preserve">&gt; 1, we classified that </w:t>
      </w:r>
      <w:r>
        <w:rPr>
          <w:rFonts w:ascii="Times New Roman" w:hAnsi="Times New Roman" w:cs="Times New Roman"/>
        </w:rPr>
        <w:t>participant as having a positive</w:t>
      </w:r>
      <w:r w:rsidRPr="00D11464">
        <w:rPr>
          <w:rFonts w:ascii="Times New Roman" w:hAnsi="Times New Roman" w:cs="Times New Roman"/>
        </w:rPr>
        <w:t xml:space="preserve"> </w:t>
      </w:r>
    </w:p>
    <w:p w14:paraId="7F8055EC" w14:textId="77777777" w:rsidR="009C7E3E" w:rsidRDefault="009C7E3E" w:rsidP="009C7E3E">
      <w:pPr>
        <w:spacing w:before="100" w:beforeAutospacing="1" w:after="100" w:afterAutospacing="1" w:line="480" w:lineRule="auto"/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4CBF59" wp14:editId="5E556FBA">
            <wp:extent cx="2630312" cy="1972734"/>
            <wp:effectExtent l="0" t="0" r="1143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31 at 10.33.4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312" cy="197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EAC2DD5" wp14:editId="7E66F022">
            <wp:extent cx="2743782" cy="199813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31 at 10.34.5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82" cy="199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3A21" w14:textId="77777777" w:rsidR="009C7E3E" w:rsidRPr="009C7E3E" w:rsidRDefault="009C7E3E" w:rsidP="00B26CA2">
      <w:pPr>
        <w:spacing w:before="100" w:beforeAutospacing="1" w:after="100" w:afterAutospacing="1" w:line="480" w:lineRule="auto"/>
        <w:ind w:left="-360" w:right="-360"/>
        <w:rPr>
          <w:rFonts w:ascii="Times New Roman" w:hAnsi="Times New Roman" w:cs="Times New Roman"/>
        </w:rPr>
      </w:pPr>
      <w:r w:rsidRPr="00B44D6F">
        <w:rPr>
          <w:rFonts w:ascii="Times New Roman" w:hAnsi="Times New Roman" w:cs="Times New Roman"/>
        </w:rPr>
        <w:t>Figure S1.</w:t>
      </w:r>
      <w:r>
        <w:rPr>
          <w:rFonts w:ascii="Times New Roman" w:hAnsi="Times New Roman" w:cs="Times New Roman"/>
        </w:rPr>
        <w:t xml:space="preserve">  </w:t>
      </w:r>
      <w:r w:rsidRPr="00B44D6F">
        <w:rPr>
          <w:rFonts w:ascii="Times New Roman" w:hAnsi="Times New Roman" w:cs="Times New Roman"/>
          <w:i/>
        </w:rPr>
        <w:t>Two examples of individual confidence trends classified as upward cubic.  T-value associated with the</w:t>
      </w:r>
      <w:r w:rsidR="002919E1" w:rsidRPr="00B44D6F">
        <w:rPr>
          <w:rFonts w:ascii="Times New Roman" w:hAnsi="Times New Roman" w:cs="Times New Roman"/>
          <w:i/>
        </w:rPr>
        <w:t xml:space="preserve"> cubic trend to the</w:t>
      </w:r>
      <w:r w:rsidRPr="00B44D6F">
        <w:rPr>
          <w:rFonts w:ascii="Times New Roman" w:hAnsi="Times New Roman" w:cs="Times New Roman"/>
          <w:i/>
        </w:rPr>
        <w:t xml:space="preserve"> left curve is 1.31, for the right curve it is 1.26.</w:t>
      </w:r>
    </w:p>
    <w:p w14:paraId="6E5BFB32" w14:textId="77777777" w:rsidR="00B26CA2" w:rsidRDefault="00B26CA2" w:rsidP="002814AF">
      <w:pPr>
        <w:spacing w:before="100" w:beforeAutospacing="1" w:after="100" w:afterAutospacing="1" w:line="480" w:lineRule="auto"/>
        <w:ind w:left="-360" w:right="-360"/>
        <w:rPr>
          <w:rFonts w:ascii="Times New Roman" w:hAnsi="Times New Roman" w:cs="Times New Roman"/>
        </w:rPr>
      </w:pPr>
      <w:r w:rsidRPr="00D11464">
        <w:rPr>
          <w:rFonts w:ascii="Times New Roman" w:hAnsi="Times New Roman" w:cs="Times New Roman"/>
        </w:rPr>
        <w:t xml:space="preserve">If </w:t>
      </w:r>
      <w:r w:rsidRPr="00D11464">
        <w:rPr>
          <w:rFonts w:ascii="Times New Roman" w:hAnsi="Times New Roman" w:cs="Times New Roman"/>
          <w:i/>
          <w:iCs/>
        </w:rPr>
        <w:t xml:space="preserve">t </w:t>
      </w:r>
      <w:r w:rsidRPr="00D11464">
        <w:rPr>
          <w:rFonts w:ascii="Times New Roman" w:hAnsi="Times New Roman" w:cs="Times New Roman"/>
        </w:rPr>
        <w:t>&lt; -1, we classified the participant as having a negative cubic trend.</w:t>
      </w:r>
      <w:r>
        <w:rPr>
          <w:rFonts w:ascii="Times New Roman" w:hAnsi="Times New Roman" w:cs="Times New Roman"/>
        </w:rPr>
        <w:t xml:space="preserve">  Figure S</w:t>
      </w:r>
      <w:r w:rsidR="002814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shows </w:t>
      </w:r>
      <w:r w:rsidR="002814AF">
        <w:rPr>
          <w:rFonts w:ascii="Times New Roman" w:hAnsi="Times New Roman" w:cs="Times New Roman"/>
        </w:rPr>
        <w:t xml:space="preserve">two </w:t>
      </w:r>
      <w:r>
        <w:rPr>
          <w:rFonts w:ascii="Times New Roman" w:hAnsi="Times New Roman" w:cs="Times New Roman"/>
        </w:rPr>
        <w:t>example</w:t>
      </w:r>
      <w:r w:rsidR="002919E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participants showing </w:t>
      </w:r>
      <w:r w:rsidR="002814AF">
        <w:rPr>
          <w:rFonts w:ascii="Times New Roman" w:hAnsi="Times New Roman" w:cs="Times New Roman"/>
        </w:rPr>
        <w:t>a positive cubic trend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i/>
        </w:rPr>
        <w:t xml:space="preserve">t </w:t>
      </w:r>
      <w:r w:rsidR="002814AF">
        <w:rPr>
          <w:rFonts w:ascii="Times New Roman" w:hAnsi="Times New Roman" w:cs="Times New Roman"/>
        </w:rPr>
        <w:t xml:space="preserve">above </w:t>
      </w:r>
      <w:r>
        <w:rPr>
          <w:rFonts w:ascii="Times New Roman" w:hAnsi="Times New Roman" w:cs="Times New Roman"/>
        </w:rPr>
        <w:t>1.</w:t>
      </w:r>
    </w:p>
    <w:p w14:paraId="59C0AD11" w14:textId="77777777" w:rsidR="002814AF" w:rsidRPr="00D11464" w:rsidRDefault="002814AF" w:rsidP="002814AF">
      <w:pPr>
        <w:spacing w:before="100" w:beforeAutospacing="1" w:after="100" w:afterAutospacing="1" w:line="480" w:lineRule="auto"/>
        <w:ind w:left="-360" w:right="-360" w:firstLine="720"/>
        <w:rPr>
          <w:rFonts w:ascii="Times New Roman" w:hAnsi="Times New Roman" w:cs="Times New Roman"/>
        </w:rPr>
      </w:pPr>
      <w:r w:rsidRPr="00D11464">
        <w:rPr>
          <w:rFonts w:ascii="Times New Roman" w:hAnsi="Times New Roman" w:cs="Times New Roman"/>
        </w:rPr>
        <w:t xml:space="preserve">Otherwise, we then moved to </w:t>
      </w:r>
      <w:r>
        <w:rPr>
          <w:rFonts w:ascii="Times New Roman" w:hAnsi="Times New Roman" w:cs="Times New Roman"/>
        </w:rPr>
        <w:t xml:space="preserve">the </w:t>
      </w:r>
      <w:r w:rsidRPr="00D11464">
        <w:rPr>
          <w:rFonts w:ascii="Times New Roman" w:hAnsi="Times New Roman" w:cs="Times New Roman"/>
        </w:rPr>
        <w:t xml:space="preserve">quadratic component and asked the same question of it.  Classifying a person as having an upward quadratic trend if </w:t>
      </w:r>
      <w:r w:rsidRPr="00D11464">
        <w:rPr>
          <w:rFonts w:ascii="Times New Roman" w:hAnsi="Times New Roman" w:cs="Times New Roman"/>
          <w:i/>
          <w:iCs/>
        </w:rPr>
        <w:t xml:space="preserve">t </w:t>
      </w:r>
      <w:r w:rsidRPr="00D11464">
        <w:rPr>
          <w:rFonts w:ascii="Times New Roman" w:hAnsi="Times New Roman" w:cs="Times New Roman"/>
        </w:rPr>
        <w:t xml:space="preserve">&gt; 1 and negative if </w:t>
      </w:r>
      <w:r w:rsidRPr="00D11464">
        <w:rPr>
          <w:rFonts w:ascii="Times New Roman" w:hAnsi="Times New Roman" w:cs="Times New Roman"/>
          <w:i/>
          <w:iCs/>
        </w:rPr>
        <w:t xml:space="preserve">t </w:t>
      </w:r>
      <w:r w:rsidRPr="00D11464">
        <w:rPr>
          <w:rFonts w:ascii="Times New Roman" w:hAnsi="Times New Roman" w:cs="Times New Roman"/>
        </w:rPr>
        <w:t xml:space="preserve">&lt; </w:t>
      </w:r>
      <w:r>
        <w:rPr>
          <w:rFonts w:ascii="Times New Roman" w:hAnsi="Times New Roman" w:cs="Times New Roman"/>
        </w:rPr>
        <w:t>-</w:t>
      </w:r>
      <w:r w:rsidRPr="00D11464">
        <w:rPr>
          <w:rFonts w:ascii="Times New Roman" w:hAnsi="Times New Roman" w:cs="Times New Roman"/>
        </w:rPr>
        <w:t xml:space="preserve">1.  </w:t>
      </w:r>
      <w:r>
        <w:rPr>
          <w:rFonts w:ascii="Times New Roman" w:hAnsi="Times New Roman" w:cs="Times New Roman"/>
        </w:rPr>
        <w:t xml:space="preserve">See Figure S2, which shows two examples of participants showing a negative quadratic trend (cubic trend absent) with t &lt; -1. </w:t>
      </w:r>
      <w:r w:rsidRPr="00D11464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a participant did not show a quadratic trend</w:t>
      </w:r>
      <w:r w:rsidRPr="00D11464">
        <w:rPr>
          <w:rFonts w:ascii="Times New Roman" w:hAnsi="Times New Roman" w:cs="Times New Roman"/>
        </w:rPr>
        <w:t xml:space="preserve">, we moved to the linear </w:t>
      </w:r>
      <w:r w:rsidRPr="00D11464">
        <w:rPr>
          <w:rFonts w:ascii="Times New Roman" w:hAnsi="Times New Roman" w:cs="Times New Roman"/>
        </w:rPr>
        <w:lastRenderedPageBreak/>
        <w:t>component and asked the same question of it.  If no component produced any |</w:t>
      </w:r>
      <w:r w:rsidRPr="00D11464">
        <w:rPr>
          <w:rFonts w:ascii="Times New Roman" w:hAnsi="Times New Roman" w:cs="Times New Roman"/>
          <w:i/>
          <w:iCs/>
        </w:rPr>
        <w:t>t</w:t>
      </w:r>
      <w:r w:rsidRPr="00D11464">
        <w:rPr>
          <w:rFonts w:ascii="Times New Roman" w:hAnsi="Times New Roman" w:cs="Times New Roman"/>
        </w:rPr>
        <w:t>| &gt; 1, we labeled the participant as having no trend.</w:t>
      </w:r>
    </w:p>
    <w:p w14:paraId="4FBC4169" w14:textId="77777777" w:rsidR="002814AF" w:rsidRPr="00D11464" w:rsidRDefault="002814AF" w:rsidP="002814AF">
      <w:pPr>
        <w:spacing w:before="100" w:beforeAutospacing="1" w:after="100" w:afterAutospacing="1" w:line="480" w:lineRule="auto"/>
        <w:ind w:left="-360" w:right="-360" w:firstLine="720"/>
        <w:rPr>
          <w:rFonts w:ascii="Times New Roman" w:hAnsi="Times New Roman" w:cs="Times New Roman"/>
        </w:rPr>
      </w:pPr>
      <w:r w:rsidRPr="00D11464">
        <w:rPr>
          <w:rFonts w:ascii="Times New Roman" w:hAnsi="Times New Roman" w:cs="Times New Roman"/>
        </w:rPr>
        <w:t>This system, to our eye, appear</w:t>
      </w:r>
      <w:r>
        <w:rPr>
          <w:rFonts w:ascii="Times New Roman" w:hAnsi="Times New Roman" w:cs="Times New Roman"/>
        </w:rPr>
        <w:t>ed</w:t>
      </w:r>
      <w:r w:rsidRPr="00D11464">
        <w:rPr>
          <w:rFonts w:ascii="Times New Roman" w:hAnsi="Times New Roman" w:cs="Times New Roman"/>
        </w:rPr>
        <w:t xml:space="preserve"> to successfully capture participants who visually are </w:t>
      </w:r>
      <w:r>
        <w:rPr>
          <w:rFonts w:ascii="Times New Roman" w:hAnsi="Times New Roman" w:cs="Times New Roman"/>
        </w:rPr>
        <w:t>displaying</w:t>
      </w:r>
      <w:r w:rsidRPr="00D11464">
        <w:rPr>
          <w:rFonts w:ascii="Times New Roman" w:hAnsi="Times New Roman" w:cs="Times New Roman"/>
        </w:rPr>
        <w:t xml:space="preserve"> cubic, quadratic, and linear trends in their individual data.</w:t>
      </w:r>
      <w:r>
        <w:rPr>
          <w:rFonts w:ascii="Times New Roman" w:hAnsi="Times New Roman" w:cs="Times New Roman"/>
        </w:rPr>
        <w:t xml:space="preserve"> Table S1 shows the number of participants in each study sorted into each category we coded for.</w:t>
      </w:r>
    </w:p>
    <w:p w14:paraId="042649FE" w14:textId="77777777" w:rsidR="002814AF" w:rsidRDefault="002814AF" w:rsidP="002814AF">
      <w:pPr>
        <w:spacing w:before="100" w:beforeAutospacing="1" w:after="100" w:afterAutospacing="1" w:line="480" w:lineRule="auto"/>
        <w:ind w:left="-360" w:right="-360"/>
        <w:rPr>
          <w:rFonts w:ascii="Times New Roman" w:hAnsi="Times New Roman" w:cs="Times New Roman"/>
        </w:rPr>
      </w:pPr>
    </w:p>
    <w:p w14:paraId="4BF13784" w14:textId="77777777" w:rsidR="00B26CA2" w:rsidRDefault="00B26CA2" w:rsidP="00B26CA2">
      <w:pPr>
        <w:spacing w:before="100" w:beforeAutospacing="1" w:after="100" w:afterAutospacing="1" w:line="480" w:lineRule="auto"/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E174B8D" wp14:editId="6EBA3C28">
            <wp:extent cx="2853267" cy="2098011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31 at 10.37.4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33" cy="2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79A2C5DC" wp14:editId="748D8886">
            <wp:extent cx="2861733" cy="2133712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31 at 10.38.4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134" cy="213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B9D2A" w14:textId="77777777" w:rsidR="00B26CA2" w:rsidRDefault="00B26CA2" w:rsidP="00B26CA2">
      <w:pPr>
        <w:spacing w:before="100" w:beforeAutospacing="1" w:after="100" w:afterAutospacing="1" w:line="480" w:lineRule="auto"/>
        <w:ind w:left="-360" w:right="-360"/>
        <w:rPr>
          <w:rFonts w:ascii="Times New Roman" w:hAnsi="Times New Roman" w:cs="Times New Roman"/>
        </w:rPr>
      </w:pPr>
      <w:r w:rsidRPr="00B44D6F">
        <w:rPr>
          <w:rFonts w:ascii="Times New Roman" w:hAnsi="Times New Roman" w:cs="Times New Roman"/>
        </w:rPr>
        <w:t>Figure S2.</w:t>
      </w:r>
      <w:r>
        <w:rPr>
          <w:rFonts w:ascii="Times New Roman" w:hAnsi="Times New Roman" w:cs="Times New Roman"/>
        </w:rPr>
        <w:t xml:space="preserve">  </w:t>
      </w:r>
      <w:r w:rsidRPr="00B44D6F">
        <w:rPr>
          <w:rFonts w:ascii="Times New Roman" w:hAnsi="Times New Roman" w:cs="Times New Roman"/>
          <w:i/>
        </w:rPr>
        <w:t>Two examples of individual confidence trends classified as downward quadratic.  T-value associated with the left curve is -1.29, for the right curve it is -1.21.</w:t>
      </w:r>
    </w:p>
    <w:p w14:paraId="0CF948C6" w14:textId="77777777" w:rsidR="002814AF" w:rsidRPr="009C7E3E" w:rsidRDefault="002814AF" w:rsidP="00B26CA2">
      <w:pPr>
        <w:spacing w:before="100" w:beforeAutospacing="1" w:after="100" w:afterAutospacing="1" w:line="480" w:lineRule="auto"/>
        <w:ind w:left="-360" w:right="-360"/>
        <w:rPr>
          <w:rFonts w:ascii="Times New Roman" w:hAnsi="Times New Roman" w:cs="Times New Roman"/>
        </w:rPr>
      </w:pPr>
    </w:p>
    <w:p w14:paraId="526998CA" w14:textId="77777777" w:rsidR="002814AF" w:rsidRPr="00D11464" w:rsidRDefault="002814AF" w:rsidP="002814AF">
      <w:pPr>
        <w:spacing w:before="100" w:beforeAutospacing="1" w:after="100" w:afterAutospacing="1" w:line="480" w:lineRule="auto"/>
        <w:ind w:left="-360" w:firstLine="720"/>
        <w:rPr>
          <w:rFonts w:ascii="Times New Roman" w:hAnsi="Times New Roman" w:cs="Times New Roman"/>
        </w:rPr>
      </w:pPr>
      <w:r w:rsidRPr="00D11464">
        <w:rPr>
          <w:rFonts w:ascii="Times New Roman" w:hAnsi="Times New Roman" w:cs="Times New Roman"/>
        </w:rPr>
        <w:t xml:space="preserve">According to this system, an upward cubic trend is the most prevalent pattern we see in individual data, with 49% showing it.  The next most prevalent pattern is downward quadratic (23%). Note that both of these patterns (displayed by 72% of participants in total) are consistent with our main prediction of a “beginner’s bubble” in confidence.  There is a </w:t>
      </w:r>
      <w:r w:rsidRPr="00D11464">
        <w:rPr>
          <w:rFonts w:ascii="Times New Roman" w:hAnsi="Times New Roman" w:cs="Times New Roman"/>
        </w:rPr>
        <w:lastRenderedPageBreak/>
        <w:t>positive rise of confidence early on which diminishes or flattens (and, occasionally, deflates) while accuracy incrementally catches up.  </w:t>
      </w:r>
    </w:p>
    <w:p w14:paraId="38175473" w14:textId="4392F8AD" w:rsidR="002814AF" w:rsidRPr="00D11464" w:rsidRDefault="002814AF" w:rsidP="002814AF">
      <w:pPr>
        <w:spacing w:before="100" w:beforeAutospacing="1" w:after="100" w:afterAutospacing="1" w:line="480" w:lineRule="auto"/>
        <w:ind w:left="-360" w:firstLine="720"/>
        <w:rPr>
          <w:rFonts w:ascii="Times New Roman" w:hAnsi="Times New Roman" w:cs="Times New Roman"/>
        </w:rPr>
      </w:pPr>
      <w:r w:rsidRPr="00D11464">
        <w:rPr>
          <w:rFonts w:ascii="Times New Roman" w:hAnsi="Times New Roman" w:cs="Times New Roman"/>
        </w:rPr>
        <w:t>The flip of the cubic tail frequently seen at the end of the experimental session was unpredicted but has been unfailingly replicated from our first pilot study to follow-ups after</w:t>
      </w:r>
      <w:r>
        <w:rPr>
          <w:rFonts w:ascii="Times New Roman" w:hAnsi="Times New Roman" w:cs="Times New Roman"/>
        </w:rPr>
        <w:t xml:space="preserve"> </w:t>
      </w:r>
      <w:r w:rsidRPr="00D11464">
        <w:rPr>
          <w:rFonts w:ascii="Times New Roman" w:hAnsi="Times New Roman" w:cs="Times New Roman"/>
        </w:rPr>
        <w:t>the series reported in this manuscript. (</w:t>
      </w:r>
      <w:r>
        <w:rPr>
          <w:rFonts w:ascii="Times New Roman" w:hAnsi="Times New Roman" w:cs="Times New Roman"/>
        </w:rPr>
        <w:t>And</w:t>
      </w:r>
      <w:r w:rsidRPr="00D11464">
        <w:rPr>
          <w:rFonts w:ascii="Times New Roman" w:hAnsi="Times New Roman" w:cs="Times New Roman"/>
        </w:rPr>
        <w:t xml:space="preserve"> it’s presence is suggested by the percentage of upward linear, upward cubic, and upward quadratic patterns see</w:t>
      </w:r>
      <w:r>
        <w:rPr>
          <w:rFonts w:ascii="Times New Roman" w:hAnsi="Times New Roman" w:cs="Times New Roman"/>
        </w:rPr>
        <w:t>n</w:t>
      </w:r>
      <w:r w:rsidRPr="00D11464">
        <w:rPr>
          <w:rFonts w:ascii="Times New Roman" w:hAnsi="Times New Roman" w:cs="Times New Roman"/>
        </w:rPr>
        <w:t>; 60% of total</w:t>
      </w:r>
      <w:r w:rsidR="00914A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720F9C29" w14:textId="77777777" w:rsidR="00B26CA2" w:rsidRDefault="00B26CA2" w:rsidP="00D11464">
      <w:pPr>
        <w:spacing w:before="100" w:beforeAutospacing="1" w:after="100" w:afterAutospacing="1" w:line="480" w:lineRule="auto"/>
        <w:ind w:left="-360" w:right="-360" w:firstLine="720"/>
        <w:rPr>
          <w:rFonts w:ascii="Times New Roman" w:hAnsi="Times New Roman" w:cs="Times New Roman"/>
        </w:rPr>
      </w:pPr>
    </w:p>
    <w:p w14:paraId="5BE6CFAC" w14:textId="77777777" w:rsidR="00D11464" w:rsidRPr="00D11464" w:rsidRDefault="00D11464" w:rsidP="00D11464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B44D6F">
        <w:rPr>
          <w:rFonts w:ascii="Times New Roman" w:hAnsi="Times New Roman" w:cs="Times New Roman"/>
        </w:rPr>
        <w:t>Table S1.</w:t>
      </w:r>
      <w:r w:rsidRPr="00D11464">
        <w:rPr>
          <w:rFonts w:ascii="Times New Roman" w:hAnsi="Times New Roman" w:cs="Times New Roman"/>
        </w:rPr>
        <w:t xml:space="preserve">  </w:t>
      </w:r>
      <w:r w:rsidRPr="00B44D6F">
        <w:rPr>
          <w:rFonts w:ascii="Times New Roman" w:hAnsi="Times New Roman" w:cs="Times New Roman"/>
          <w:i/>
        </w:rPr>
        <w:t>Classification of individual patterns of confidence into linear, quadratic, and cubic trends.</w:t>
      </w:r>
    </w:p>
    <w:tbl>
      <w:tblPr>
        <w:tblW w:w="9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032"/>
        <w:gridCol w:w="1116"/>
        <w:gridCol w:w="1032"/>
        <w:gridCol w:w="1219"/>
        <w:gridCol w:w="1136"/>
        <w:gridCol w:w="1116"/>
        <w:gridCol w:w="837"/>
        <w:gridCol w:w="693"/>
      </w:tblGrid>
      <w:tr w:rsidR="00D11464" w:rsidRPr="00D11464" w14:paraId="19BC35EC" w14:textId="77777777" w:rsidTr="00D11464"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E036" w14:textId="77777777" w:rsidR="00D11464" w:rsidRPr="00D11464" w:rsidRDefault="00D11464" w:rsidP="00D11464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B5295" w14:textId="77777777" w:rsidR="00D11464" w:rsidRPr="00D11464" w:rsidRDefault="00D11464" w:rsidP="00D11464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BE53D" w14:textId="77777777" w:rsidR="00D11464" w:rsidRPr="00D11464" w:rsidRDefault="00D11464" w:rsidP="00D11464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Quadratic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6171A" w14:textId="77777777" w:rsidR="00D11464" w:rsidRPr="00D11464" w:rsidRDefault="00D11464" w:rsidP="00D11464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Cubic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EDEE" w14:textId="77777777" w:rsidR="00D11464" w:rsidRPr="00D11464" w:rsidRDefault="00D11464" w:rsidP="00D11464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480C1" w14:textId="77777777" w:rsidR="00D11464" w:rsidRPr="00D11464" w:rsidRDefault="00D11464" w:rsidP="00D11464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464" w:rsidRPr="00D11464" w14:paraId="548280E1" w14:textId="77777777" w:rsidTr="00D11464"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4EFC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 xml:space="preserve"> Study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18D9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2DF9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A8DEF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3F9EA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Negative*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77C06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Positive*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A8F3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6A02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No Trend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D8F8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</w:tr>
      <w:tr w:rsidR="00D11464" w:rsidRPr="00D11464" w14:paraId="1C997A7E" w14:textId="77777777" w:rsidTr="00D11464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08F6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9B50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0CA7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2C2D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7518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DCC9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ADF1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6B361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9414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  38</w:t>
            </w:r>
          </w:p>
        </w:tc>
      </w:tr>
      <w:tr w:rsidR="00D11464" w:rsidRPr="00D11464" w14:paraId="344C3B62" w14:textId="77777777" w:rsidTr="00D11464"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E23B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BC96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A773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C26B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3BF8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5C4E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3F38E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528D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9508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  50</w:t>
            </w:r>
          </w:p>
        </w:tc>
      </w:tr>
      <w:tr w:rsidR="00D11464" w:rsidRPr="00D11464" w14:paraId="4E671463" w14:textId="77777777" w:rsidTr="00D11464"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00E8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AA1B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C852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A498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148A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CA3F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C41A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04F9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6AAB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  50</w:t>
            </w:r>
          </w:p>
        </w:tc>
      </w:tr>
      <w:tr w:rsidR="00D11464" w:rsidRPr="00D11464" w14:paraId="37A0CA1B" w14:textId="77777777" w:rsidTr="00D11464"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F3F4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B740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E366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8F08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EA9F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  7</w:t>
            </w:r>
          </w:p>
        </w:tc>
        <w:tc>
          <w:tcPr>
            <w:tcW w:w="11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7887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B7AD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1939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9472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  47</w:t>
            </w:r>
          </w:p>
        </w:tc>
      </w:tr>
      <w:tr w:rsidR="00D11464" w:rsidRPr="00D11464" w14:paraId="5816EE84" w14:textId="77777777" w:rsidTr="00D11464">
        <w:tc>
          <w:tcPr>
            <w:tcW w:w="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4ED8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7091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11B7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654F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5AA4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48B4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F66E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E062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E458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185</w:t>
            </w:r>
          </w:p>
        </w:tc>
      </w:tr>
      <w:tr w:rsidR="00D11464" w:rsidRPr="00D11464" w14:paraId="65CF3259" w14:textId="77777777" w:rsidTr="00D11464"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232F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84C2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F9A5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0064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C0D0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C627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90CB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B8A8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B0B6" w14:textId="77777777" w:rsidR="00D11464" w:rsidRPr="00D11464" w:rsidRDefault="00D11464" w:rsidP="00D114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11464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8CB6077" w14:textId="77777777" w:rsidR="002814AF" w:rsidRPr="00D11464" w:rsidRDefault="00D11464" w:rsidP="00D11464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D11464">
        <w:rPr>
          <w:rFonts w:ascii="Times New Roman" w:hAnsi="Times New Roman" w:cs="Times New Roman"/>
        </w:rPr>
        <w:t>*consistent with "beginner's bubble" hypothesis</w:t>
      </w:r>
    </w:p>
    <w:p w14:paraId="0D4090CC" w14:textId="77777777" w:rsidR="002814AF" w:rsidRDefault="002814AF" w:rsidP="002814AF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</w:p>
    <w:p w14:paraId="00FF943E" w14:textId="77777777" w:rsidR="00D11464" w:rsidRPr="00D11464" w:rsidRDefault="00D11464" w:rsidP="00D11464">
      <w:pPr>
        <w:spacing w:before="100" w:beforeAutospacing="1" w:after="100" w:afterAutospacing="1" w:line="480" w:lineRule="auto"/>
        <w:ind w:left="-360" w:firstLine="720"/>
        <w:rPr>
          <w:rFonts w:ascii="Times New Roman" w:hAnsi="Times New Roman" w:cs="Times New Roman"/>
        </w:rPr>
      </w:pPr>
      <w:r w:rsidRPr="00D11464">
        <w:rPr>
          <w:rFonts w:ascii="Times New Roman" w:hAnsi="Times New Roman" w:cs="Times New Roman"/>
        </w:rPr>
        <w:t>This is important to remember:  The presence of the cubic trend is not essential for our treatment of beginner’s confidence, but the presence of some sort of bubble (non-</w:t>
      </w:r>
      <w:r w:rsidRPr="00D11464">
        <w:rPr>
          <w:rFonts w:ascii="Times New Roman" w:hAnsi="Times New Roman" w:cs="Times New Roman"/>
        </w:rPr>
        <w:lastRenderedPageBreak/>
        <w:t>linearity) is. The rise in confidence seen at the end of our series appears to be an “unanticipated” bonus finding, always there, that is worthy of further research.</w:t>
      </w:r>
    </w:p>
    <w:p w14:paraId="67E6AF7D" w14:textId="77777777" w:rsidR="00D11464" w:rsidRPr="00D11464" w:rsidRDefault="00D11464" w:rsidP="00D1146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11464">
        <w:rPr>
          <w:rFonts w:ascii="Times New Roman" w:hAnsi="Times New Roman" w:cs="Times New Roman"/>
        </w:rPr>
        <w:t> </w:t>
      </w:r>
    </w:p>
    <w:p w14:paraId="17E74B9F" w14:textId="77777777" w:rsidR="0079104C" w:rsidRPr="00D11464" w:rsidRDefault="0079104C">
      <w:pPr>
        <w:rPr>
          <w:rFonts w:ascii="Times New Roman" w:hAnsi="Times New Roman" w:cs="Times New Roman"/>
        </w:rPr>
      </w:pPr>
    </w:p>
    <w:sectPr w:rsidR="0079104C" w:rsidRPr="00D11464" w:rsidSect="0079104C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8E1D7" w14:textId="77777777" w:rsidR="00DD03EE" w:rsidRDefault="00DD03EE" w:rsidP="00B26CA2">
      <w:r>
        <w:separator/>
      </w:r>
    </w:p>
  </w:endnote>
  <w:endnote w:type="continuationSeparator" w:id="0">
    <w:p w14:paraId="387BC014" w14:textId="77777777" w:rsidR="00DD03EE" w:rsidRDefault="00DD03EE" w:rsidP="00B2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6367" w14:textId="77777777" w:rsidR="00DD03EE" w:rsidRDefault="00DD03EE" w:rsidP="00B26CA2">
      <w:r>
        <w:separator/>
      </w:r>
    </w:p>
  </w:footnote>
  <w:footnote w:type="continuationSeparator" w:id="0">
    <w:p w14:paraId="0958B171" w14:textId="77777777" w:rsidR="00DD03EE" w:rsidRDefault="00DD03EE" w:rsidP="00B2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3860" w14:textId="77777777" w:rsidR="00B26CA2" w:rsidRDefault="00B26CA2" w:rsidP="00B26CA2">
    <w:pPr>
      <w:pStyle w:val="Header"/>
      <w:jc w:val="right"/>
    </w:pPr>
    <w:r>
      <w:t>Supplemental:  A Little Learning</w:t>
    </w:r>
  </w:p>
  <w:p w14:paraId="1C878030" w14:textId="617B8A07" w:rsidR="00B26CA2" w:rsidRDefault="00B26CA2" w:rsidP="00B26CA2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6A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4D6597" w14:textId="77777777" w:rsidR="00B26CA2" w:rsidRDefault="00B26CA2" w:rsidP="00B26CA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64"/>
    <w:rsid w:val="0007389D"/>
    <w:rsid w:val="001373CE"/>
    <w:rsid w:val="002814AF"/>
    <w:rsid w:val="002919E1"/>
    <w:rsid w:val="002D6F51"/>
    <w:rsid w:val="003D2519"/>
    <w:rsid w:val="005C33DE"/>
    <w:rsid w:val="0079104C"/>
    <w:rsid w:val="00914AD6"/>
    <w:rsid w:val="009C7E3E"/>
    <w:rsid w:val="00A6726E"/>
    <w:rsid w:val="00B26CA2"/>
    <w:rsid w:val="00B3661A"/>
    <w:rsid w:val="00B44D6F"/>
    <w:rsid w:val="00BD59EF"/>
    <w:rsid w:val="00C5776C"/>
    <w:rsid w:val="00D11464"/>
    <w:rsid w:val="00DD03EE"/>
    <w:rsid w:val="00E03997"/>
    <w:rsid w:val="00E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56A21"/>
  <w14:defaultImageDpi w14:val="300"/>
  <w15:docId w15:val="{122A56CD-6C5A-4889-BBD5-B4787197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464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A2"/>
  </w:style>
  <w:style w:type="paragraph" w:styleId="Footer">
    <w:name w:val="footer"/>
    <w:basedOn w:val="Normal"/>
    <w:link w:val="FooterChar"/>
    <w:uiPriority w:val="99"/>
    <w:unhideWhenUsed/>
    <w:rsid w:val="00B2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A2"/>
  </w:style>
  <w:style w:type="character" w:styleId="PageNumber">
    <w:name w:val="page number"/>
    <w:basedOn w:val="DefaultParagraphFont"/>
    <w:uiPriority w:val="99"/>
    <w:semiHidden/>
    <w:unhideWhenUsed/>
    <w:rsid w:val="00B2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 User</dc:creator>
  <cp:keywords/>
  <dc:description/>
  <cp:lastModifiedBy>bhatt, aditi</cp:lastModifiedBy>
  <cp:revision>2</cp:revision>
  <dcterms:created xsi:type="dcterms:W3CDTF">2017-10-05T05:37:00Z</dcterms:created>
  <dcterms:modified xsi:type="dcterms:W3CDTF">2017-10-05T05:37:00Z</dcterms:modified>
</cp:coreProperties>
</file>