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D440F" w:rsidRDefault="006253F0" w:rsidP="006253F0">
      <w:pPr>
        <w:jc w:val="center"/>
        <w:rPr>
          <w:rFonts w:ascii="Times New Roman" w:hAnsi="Times New Roman" w:cs="Times New Roman"/>
          <w:b/>
          <w:bCs/>
        </w:rPr>
      </w:pPr>
      <w:r w:rsidRPr="006253F0">
        <w:rPr>
          <w:rFonts w:ascii="Times New Roman" w:hAnsi="Times New Roman" w:cs="Times New Roman"/>
          <w:b/>
          <w:bCs/>
        </w:rPr>
        <w:t>Supplemental Materials</w:t>
      </w:r>
    </w:p>
    <w:p w:rsidR="006253F0" w:rsidRDefault="006253F0" w:rsidP="006253F0">
      <w:pPr>
        <w:jc w:val="center"/>
        <w:rPr>
          <w:rFonts w:ascii="Times New Roman" w:hAnsi="Times New Roman" w:cs="Times New Roman"/>
          <w:b/>
          <w:bCs/>
        </w:rPr>
      </w:pPr>
    </w:p>
    <w:p w:rsidR="006253F0" w:rsidRDefault="006253F0" w:rsidP="006253F0">
      <w:pPr>
        <w:rPr>
          <w:b/>
        </w:rPr>
      </w:pPr>
      <w:r>
        <w:rPr>
          <w:b/>
        </w:rPr>
        <w:t xml:space="preserve">Supplemental Table 1. </w:t>
      </w:r>
    </w:p>
    <w:tbl>
      <w:tblPr>
        <w:tblW w:w="78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  <w:gridCol w:w="1800"/>
        <w:gridCol w:w="1620"/>
        <w:gridCol w:w="1530"/>
      </w:tblGrid>
      <w:tr w:rsidR="006253F0" w:rsidRPr="00B649BE" w:rsidTr="00C470A7">
        <w:trPr>
          <w:trHeight w:val="320"/>
        </w:trPr>
        <w:tc>
          <w:tcPr>
            <w:tcW w:w="783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 xml:space="preserve">Supplemental Table 1. </w:t>
            </w:r>
            <w:r w:rsidRPr="006F1C58">
              <w:rPr>
                <w:sz w:val="16"/>
                <w:szCs w:val="16"/>
              </w:rPr>
              <w:t>Participant demographic and baseline substance-use characteristics by cannabis-use frequency group.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Characteristics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Total Sample (N=20)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Infrequent Use (n=6)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Frequent Use (N=14)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Age, years,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33.1 (10.8)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39.3 (11.2)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30.4 (9.8)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BMI, kg/m2,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27.5 (4.6)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28.7 (3.8)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26.9 (4.9)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Sex,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Female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9 (45.0%)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 (33.3%)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7 (50.0%)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Male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9 (45.0%)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(50.0%)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6 (42.9%)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Other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 (10.0%</w:t>
            </w:r>
            <w:r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 (16.7%)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 (7.1%)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Race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Asian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 (10.0%)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0 (0.0%)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 (14.3%)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Black/African American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6 (30.0%)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(50.0%)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(21.4%)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White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12 (60.0%)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(50.0%)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9 (64.3%)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Hispanic Origin,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No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20 (100%)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6 (100.0%)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14 (100%)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Nicotine</w:t>
            </w:r>
            <w:r>
              <w:rPr>
                <w:b/>
                <w:bCs/>
                <w:color w:val="000000"/>
                <w:sz w:val="16"/>
                <w:szCs w:val="16"/>
              </w:rPr>
              <w:t>/</w:t>
            </w:r>
            <w:r w:rsidRPr="00B649BE">
              <w:rPr>
                <w:b/>
                <w:bCs/>
                <w:color w:val="000000"/>
                <w:sz w:val="16"/>
                <w:szCs w:val="16"/>
              </w:rPr>
              <w:t>Tobacco-Use, n (%)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sz w:val="16"/>
                <w:szCs w:val="16"/>
              </w:rPr>
            </w:pP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Cigarette-predominant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7 (35.0%)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(50.0%)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4 (28.6%)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Dual cigarette/e-cigarette use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8 (40.0%)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 (16.7%)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7 (50.0%)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right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E-cigarette-predominant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5 (25.0%)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 (33.3%)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 (21.4%)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Past 30-day cigarette use, mean (SD)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5.5 (6.3)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6.3 (7.1)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5.1 (6.2)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Past 30-day e-cigarette use, mean (SD)</w:t>
            </w:r>
          </w:p>
        </w:tc>
        <w:tc>
          <w:tcPr>
            <w:tcW w:w="1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3.3 (6.0)</w:t>
            </w:r>
          </w:p>
        </w:tc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1.5 (1.6)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4.1 (7.1)</w:t>
            </w:r>
          </w:p>
        </w:tc>
      </w:tr>
      <w:tr w:rsidR="006253F0" w:rsidRPr="00B649BE" w:rsidTr="00C470A7">
        <w:trPr>
          <w:trHeight w:val="320"/>
        </w:trPr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649BE">
              <w:rPr>
                <w:b/>
                <w:bCs/>
                <w:color w:val="000000"/>
                <w:sz w:val="16"/>
                <w:szCs w:val="16"/>
              </w:rPr>
              <w:t>Past 30-day cannabis use, mean (SD)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18.6 (11.9)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3.3 (2.1)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253F0" w:rsidRPr="00B649BE" w:rsidRDefault="006253F0" w:rsidP="00C470A7">
            <w:pPr>
              <w:jc w:val="center"/>
              <w:rPr>
                <w:color w:val="000000"/>
                <w:sz w:val="16"/>
                <w:szCs w:val="16"/>
              </w:rPr>
            </w:pPr>
            <w:r w:rsidRPr="00B649BE">
              <w:rPr>
                <w:color w:val="000000"/>
                <w:sz w:val="16"/>
                <w:szCs w:val="16"/>
              </w:rPr>
              <w:t>25.1 (7.1)</w:t>
            </w:r>
          </w:p>
        </w:tc>
      </w:tr>
      <w:tr w:rsidR="006253F0" w:rsidRPr="00B649BE" w:rsidTr="00C470A7">
        <w:trPr>
          <w:trHeight w:val="320"/>
        </w:trPr>
        <w:tc>
          <w:tcPr>
            <w:tcW w:w="783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6253F0" w:rsidRPr="00B649BE" w:rsidRDefault="006253F0" w:rsidP="00C470A7">
            <w:pPr>
              <w:rPr>
                <w:color w:val="000000"/>
                <w:sz w:val="16"/>
                <w:szCs w:val="16"/>
              </w:rPr>
            </w:pPr>
            <w:r w:rsidRPr="006F1C58">
              <w:rPr>
                <w:b/>
                <w:bCs/>
                <w:sz w:val="16"/>
                <w:szCs w:val="16"/>
              </w:rPr>
              <w:t>Note:</w:t>
            </w:r>
            <w:r w:rsidRPr="006F1C58">
              <w:rPr>
                <w:sz w:val="16"/>
                <w:szCs w:val="16"/>
              </w:rPr>
              <w:t xml:space="preserve"> THC dose was assigned based on cannabis-use frequency. Participants who used cannabis infrequently received 10 mg THC, and participants who used cannabis frequently received 25 mg THC. Past 30-day cigarette use, e-cigarette use, and cannabis use are presented as mean number of use days or use episodes as assessed at screening.</w:t>
            </w:r>
          </w:p>
        </w:tc>
      </w:tr>
    </w:tbl>
    <w:p w:rsidR="006253F0" w:rsidRPr="009159E0" w:rsidRDefault="006253F0" w:rsidP="006253F0">
      <w:pPr>
        <w:rPr>
          <w:b/>
        </w:rPr>
      </w:pPr>
      <w:r>
        <w:rPr>
          <w:b/>
        </w:rPr>
        <w:t xml:space="preserve"> </w:t>
      </w:r>
    </w:p>
    <w:p w:rsidR="006253F0" w:rsidRDefault="006253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:rsidR="006253F0" w:rsidRDefault="006253F0" w:rsidP="006253F0">
      <w:pPr>
        <w:spacing w:before="120" w:line="480" w:lineRule="auto"/>
        <w:jc w:val="both"/>
        <w:rPr>
          <w:b/>
        </w:rPr>
      </w:pPr>
      <w:r>
        <w:rPr>
          <w:b/>
        </w:rPr>
        <w:lastRenderedPageBreak/>
        <w:t>Supplemental Figure 1.</w:t>
      </w:r>
    </w:p>
    <w:p w:rsidR="006253F0" w:rsidRDefault="006253F0" w:rsidP="006253F0">
      <w:pPr>
        <w:rPr>
          <w:b/>
        </w:rPr>
      </w:pPr>
      <w:r>
        <w:rPr>
          <w:rFonts w:eastAsia="Calibri"/>
          <w:b/>
          <w:bCs/>
          <w:iCs/>
          <w:noProof/>
          <w:color w:val="000000" w:themeColor="text1"/>
          <w:shd w:val="clear" w:color="auto" w:fill="FFFFFF"/>
        </w:rPr>
        <w:drawing>
          <wp:inline distT="0" distB="0" distL="0" distR="0" wp14:anchorId="77445366" wp14:editId="13405E0D">
            <wp:extent cx="3009502" cy="4457198"/>
            <wp:effectExtent l="0" t="0" r="635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3" r="28527"/>
                    <a:stretch/>
                  </pic:blipFill>
                  <pic:spPr bwMode="auto">
                    <a:xfrm rot="5400000">
                      <a:off x="0" y="0"/>
                      <a:ext cx="3009841" cy="445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3F0" w:rsidRDefault="006253F0" w:rsidP="006253F0">
      <w:pPr>
        <w:rPr>
          <w:b/>
        </w:rPr>
      </w:pPr>
      <w:r>
        <w:rPr>
          <w:b/>
        </w:rPr>
        <w:br w:type="page"/>
      </w:r>
    </w:p>
    <w:p w:rsidR="006253F0" w:rsidRDefault="006253F0" w:rsidP="006253F0">
      <w:pPr>
        <w:spacing w:before="120" w:line="480" w:lineRule="auto"/>
        <w:jc w:val="both"/>
        <w:rPr>
          <w:b/>
        </w:rPr>
      </w:pPr>
    </w:p>
    <w:p w:rsidR="006253F0" w:rsidRDefault="006253F0" w:rsidP="006253F0">
      <w:pPr>
        <w:spacing w:before="120" w:line="480" w:lineRule="auto"/>
        <w:jc w:val="both"/>
      </w:pPr>
      <w:r>
        <w:rPr>
          <w:b/>
        </w:rPr>
        <w:t xml:space="preserve">Supplemental </w:t>
      </w:r>
      <w:r w:rsidRPr="00BB60B9">
        <w:rPr>
          <w:b/>
        </w:rPr>
        <w:t xml:space="preserve">Figure </w:t>
      </w:r>
      <w:r>
        <w:rPr>
          <w:b/>
        </w:rPr>
        <w:t>2</w:t>
      </w:r>
      <w:r>
        <w:t>.</w:t>
      </w:r>
    </w:p>
    <w:p w:rsidR="006253F0" w:rsidRDefault="006253F0" w:rsidP="006253F0">
      <w:r>
        <w:rPr>
          <w:noProof/>
        </w:rPr>
        <w:drawing>
          <wp:inline distT="0" distB="0" distL="0" distR="0" wp14:anchorId="2764E514" wp14:editId="64B4E743">
            <wp:extent cx="5943600" cy="1468755"/>
            <wp:effectExtent l="0" t="0" r="0" b="4445"/>
            <wp:docPr id="18152734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273408" name="Picture 181527340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6253F0" w:rsidRPr="009C17AE" w:rsidRDefault="006253F0" w:rsidP="006253F0">
      <w:pPr>
        <w:spacing w:before="120" w:line="480" w:lineRule="auto"/>
        <w:jc w:val="both"/>
        <w:rPr>
          <w:b/>
          <w:bCs/>
        </w:rPr>
      </w:pPr>
      <w:r w:rsidRPr="009C17AE">
        <w:rPr>
          <w:b/>
          <w:bCs/>
        </w:rPr>
        <w:lastRenderedPageBreak/>
        <w:t>Supplemental Figure 3.</w:t>
      </w:r>
    </w:p>
    <w:p w:rsidR="006253F0" w:rsidRDefault="006253F0" w:rsidP="006253F0">
      <w:pPr>
        <w:spacing w:before="120" w:line="480" w:lineRule="auto"/>
        <w:jc w:val="both"/>
      </w:pPr>
      <w:r w:rsidRPr="00163B10">
        <w:rPr>
          <w:noProof/>
        </w:rPr>
        <w:drawing>
          <wp:inline distT="0" distB="0" distL="0" distR="0" wp14:anchorId="0B18DB9F" wp14:editId="53AE13EA">
            <wp:extent cx="3270482" cy="3226107"/>
            <wp:effectExtent l="0" t="0" r="0" b="0"/>
            <wp:docPr id="316703574" name="Picture 4">
              <a:extLst xmlns:a="http://schemas.openxmlformats.org/drawingml/2006/main">
                <a:ext uri="{FF2B5EF4-FFF2-40B4-BE49-F238E27FC236}">
                  <a16:creationId xmlns:a16="http://schemas.microsoft.com/office/drawing/2014/main" id="{20DCFB13-36E0-449D-DF33-AEE8D42EB3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>
                      <a:extLst>
                        <a:ext uri="{FF2B5EF4-FFF2-40B4-BE49-F238E27FC236}">
                          <a16:creationId xmlns:a16="http://schemas.microsoft.com/office/drawing/2014/main" id="{20DCFB13-36E0-449D-DF33-AEE8D42EB3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8331" cy="32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53F0" w:rsidRDefault="006253F0" w:rsidP="006253F0">
      <w:pPr>
        <w:spacing w:before="120" w:line="480" w:lineRule="auto"/>
        <w:jc w:val="both"/>
      </w:pPr>
    </w:p>
    <w:p w:rsidR="006253F0" w:rsidRPr="00163B10" w:rsidRDefault="006253F0" w:rsidP="006253F0">
      <w:pPr>
        <w:spacing w:before="120" w:line="480" w:lineRule="auto"/>
        <w:jc w:val="both"/>
      </w:pPr>
    </w:p>
    <w:p w:rsidR="006253F0" w:rsidRDefault="006253F0" w:rsidP="006253F0"/>
    <w:p w:rsidR="006253F0" w:rsidRDefault="006253F0">
      <w:pPr>
        <w:rPr>
          <w:rFonts w:ascii="Times New Roman" w:hAnsi="Times New Roman" w:cs="Times New Roman"/>
          <w:b/>
          <w:bCs/>
        </w:rPr>
      </w:pPr>
    </w:p>
    <w:p w:rsidR="006253F0" w:rsidRPr="006253F0" w:rsidRDefault="006253F0" w:rsidP="006253F0">
      <w:pPr>
        <w:jc w:val="center"/>
        <w:rPr>
          <w:rFonts w:ascii="Times New Roman" w:hAnsi="Times New Roman" w:cs="Times New Roman"/>
          <w:b/>
          <w:bCs/>
        </w:rPr>
      </w:pPr>
    </w:p>
    <w:sectPr w:rsidR="006253F0" w:rsidRPr="006253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F0"/>
    <w:rsid w:val="00005F40"/>
    <w:rsid w:val="0005773A"/>
    <w:rsid w:val="0014021B"/>
    <w:rsid w:val="00173EBF"/>
    <w:rsid w:val="0018184F"/>
    <w:rsid w:val="002214BB"/>
    <w:rsid w:val="00247323"/>
    <w:rsid w:val="002D4406"/>
    <w:rsid w:val="00355F47"/>
    <w:rsid w:val="0038551B"/>
    <w:rsid w:val="00404E9C"/>
    <w:rsid w:val="00414DEA"/>
    <w:rsid w:val="00430CDA"/>
    <w:rsid w:val="004411E8"/>
    <w:rsid w:val="004B4C65"/>
    <w:rsid w:val="00515CFE"/>
    <w:rsid w:val="00530ED7"/>
    <w:rsid w:val="00582348"/>
    <w:rsid w:val="0060029C"/>
    <w:rsid w:val="006253F0"/>
    <w:rsid w:val="00693885"/>
    <w:rsid w:val="006969A1"/>
    <w:rsid w:val="007A7DE6"/>
    <w:rsid w:val="00804B5C"/>
    <w:rsid w:val="00805978"/>
    <w:rsid w:val="0080699E"/>
    <w:rsid w:val="00833408"/>
    <w:rsid w:val="00836BDE"/>
    <w:rsid w:val="008778E7"/>
    <w:rsid w:val="00940AA5"/>
    <w:rsid w:val="00966697"/>
    <w:rsid w:val="009747AC"/>
    <w:rsid w:val="009853B6"/>
    <w:rsid w:val="009C5627"/>
    <w:rsid w:val="009D6BF8"/>
    <w:rsid w:val="00AD440F"/>
    <w:rsid w:val="00B34B69"/>
    <w:rsid w:val="00B94B44"/>
    <w:rsid w:val="00BB1313"/>
    <w:rsid w:val="00C05D7C"/>
    <w:rsid w:val="00C15FC5"/>
    <w:rsid w:val="00C2165E"/>
    <w:rsid w:val="00C96523"/>
    <w:rsid w:val="00CE1CA1"/>
    <w:rsid w:val="00D42740"/>
    <w:rsid w:val="00DB1A72"/>
    <w:rsid w:val="00DC27C0"/>
    <w:rsid w:val="00E568FF"/>
    <w:rsid w:val="00E61741"/>
    <w:rsid w:val="00EE5AB8"/>
    <w:rsid w:val="00EF24CF"/>
    <w:rsid w:val="00EF3E98"/>
    <w:rsid w:val="00EF7252"/>
    <w:rsid w:val="00F62DAE"/>
    <w:rsid w:val="00FE34C7"/>
    <w:rsid w:val="00FE6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7AEA9A"/>
  <w15:chartTrackingRefBased/>
  <w15:docId w15:val="{34CD9ACD-B82E-6E42-9D83-48A2A5160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Austin Zamarripa</dc:creator>
  <cp:keywords/>
  <dc:description/>
  <cp:lastModifiedBy>C. Austin Zamarripa</cp:lastModifiedBy>
  <cp:revision>1</cp:revision>
  <dcterms:created xsi:type="dcterms:W3CDTF">2026-07-31T19:42:00Z</dcterms:created>
  <dcterms:modified xsi:type="dcterms:W3CDTF">2026-07-31T19:43:00Z</dcterms:modified>
</cp:coreProperties>
</file>