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B13D8" w14:textId="56796839" w:rsidR="00E24B5C" w:rsidRPr="00E24B5C" w:rsidRDefault="0084719C" w:rsidP="0084719C">
      <w:pPr>
        <w:spacing w:after="0" w:line="480" w:lineRule="auto"/>
        <w:ind w:firstLine="720"/>
        <w:contextualSpacing/>
        <w:jc w:val="center"/>
        <w:rPr>
          <w:rFonts w:ascii="Times New Roman" w:eastAsia="Calibri" w:hAnsi="Times New Roman" w:cs="Times New Roman"/>
          <w:b/>
          <w:bCs/>
          <w:kern w:val="0"/>
          <w:sz w:val="28"/>
          <w:szCs w:val="28"/>
          <w14:ligatures w14:val="none"/>
        </w:rPr>
      </w:pPr>
      <w:r w:rsidRPr="0084719C">
        <w:rPr>
          <w:rFonts w:ascii="Times New Roman" w:eastAsia="Calibri" w:hAnsi="Times New Roman" w:cs="Times New Roman"/>
          <w:b/>
          <w:bCs/>
          <w:kern w:val="0"/>
          <w:sz w:val="28"/>
          <w:szCs w:val="28"/>
          <w14:ligatures w14:val="none"/>
        </w:rPr>
        <w:t>Supplementary Material</w:t>
      </w:r>
    </w:p>
    <w:p w14:paraId="210504B6" w14:textId="77777777" w:rsidR="00E24B5C" w:rsidRPr="00E24B5C" w:rsidRDefault="00E24B5C" w:rsidP="00E24B5C">
      <w:pPr>
        <w:spacing w:after="0" w:line="480" w:lineRule="auto"/>
        <w:ind w:firstLine="720"/>
        <w:contextualSpacing/>
        <w:jc w:val="center"/>
        <w:rPr>
          <w:rFonts w:ascii="Times New Roman" w:eastAsia="Calibri" w:hAnsi="Times New Roman" w:cs="Times New Roman"/>
          <w:b/>
          <w:kern w:val="0"/>
          <w14:ligatures w14:val="none"/>
        </w:rPr>
      </w:pPr>
      <w:bookmarkStart w:id="0" w:name="_Hlk198581067"/>
      <w:r w:rsidRPr="00E24B5C">
        <w:rPr>
          <w:rFonts w:ascii="Times New Roman" w:eastAsia="Calibri" w:hAnsi="Times New Roman" w:cs="Times New Roman"/>
          <w:b/>
          <w:kern w:val="0"/>
          <w14:ligatures w14:val="none"/>
        </w:rPr>
        <w:t>Specific Responses to Sinclair et al. (2023)</w:t>
      </w:r>
      <w:bookmarkEnd w:id="0"/>
    </w:p>
    <w:p w14:paraId="58927948" w14:textId="77777777" w:rsidR="00E24B5C" w:rsidRPr="00E24B5C" w:rsidRDefault="00E24B5C" w:rsidP="00E24B5C">
      <w:pPr>
        <w:spacing w:after="0" w:line="480" w:lineRule="auto"/>
        <w:contextualSpacing/>
        <w:rPr>
          <w:rFonts w:ascii="Times New Roman" w:eastAsia="Calibri" w:hAnsi="Times New Roman" w:cs="Times New Roman"/>
          <w:b/>
          <w:bCs/>
          <w:kern w:val="0"/>
          <w14:ligatures w14:val="none"/>
        </w:rPr>
      </w:pPr>
      <w:bookmarkStart w:id="1" w:name="_Hlk209969514"/>
      <w:r w:rsidRPr="00E24B5C">
        <w:rPr>
          <w:rFonts w:ascii="Times New Roman" w:eastAsia="Calibri" w:hAnsi="Times New Roman" w:cs="Times New Roman"/>
          <w:b/>
          <w:bCs/>
          <w:kern w:val="0"/>
          <w14:ligatures w14:val="none"/>
        </w:rPr>
        <w:t>A Few Technical Points</w:t>
      </w:r>
      <w:bookmarkEnd w:id="1"/>
    </w:p>
    <w:p w14:paraId="0643A939"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In this section I respond to a scattering of technical questions raised by Sinclair et al. (2023) because I believe lack of answers has been slowing progress in TAT research and clinical work and creating unnecessary confusion.</w:t>
      </w:r>
    </w:p>
    <w:p w14:paraId="6CBF9445"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bookmarkStart w:id="2" w:name="_Hlk209969927"/>
      <w:r w:rsidRPr="00E24B5C">
        <w:rPr>
          <w:rFonts w:ascii="Times New Roman" w:eastAsia="Calibri" w:hAnsi="Times New Roman" w:cs="Times New Roman"/>
          <w:i/>
          <w:iCs/>
          <w:kern w:val="0"/>
          <w14:ligatures w14:val="none"/>
        </w:rPr>
        <w:t>Equivalence to structured self-report formats</w:t>
      </w:r>
      <w:bookmarkEnd w:id="2"/>
      <w:r w:rsidRPr="00E24B5C">
        <w:rPr>
          <w:rFonts w:ascii="Times New Roman" w:eastAsia="Calibri" w:hAnsi="Times New Roman" w:cs="Times New Roman"/>
          <w:i/>
          <w:iCs/>
          <w:kern w:val="0"/>
          <w14:ligatures w14:val="none"/>
        </w:rPr>
        <w:t>.</w:t>
      </w:r>
      <w:r w:rsidRPr="00E24B5C">
        <w:rPr>
          <w:rFonts w:ascii="Times New Roman" w:eastAsia="Calibri" w:hAnsi="Times New Roman" w:cs="Times New Roman"/>
          <w:kern w:val="0"/>
          <w14:ligatures w14:val="none"/>
        </w:rPr>
        <w:t xml:space="preserve"> “the TAT cards in essence operate like single items on a personality inventory” (Sinclair et al., 2023, p. 787). Perhaps for some constructs, but more likely not for all constructs. Murray TAT cards (but not those for the AAP or TCTS) are typically selected to diverge, not converge. Even when the picture selection sampling frame strategy described by Jenkins (2017b) is used, it is typical practice to make the people and background different so as to achieve a broader sampling of situations. Clients would likely find it peculiar to be asked to tell a </w:t>
      </w:r>
      <w:r w:rsidRPr="00E24B5C">
        <w:rPr>
          <w:rFonts w:ascii="Times New Roman" w:eastAsia="Calibri" w:hAnsi="Times New Roman" w:cs="Times New Roman"/>
          <w:i/>
          <w:kern w:val="0"/>
          <w14:ligatures w14:val="none"/>
        </w:rPr>
        <w:t>series of</w:t>
      </w:r>
      <w:r w:rsidRPr="00E24B5C">
        <w:rPr>
          <w:rFonts w:ascii="Times New Roman" w:eastAsia="Calibri" w:hAnsi="Times New Roman" w:cs="Times New Roman"/>
          <w:kern w:val="0"/>
          <w14:ligatures w14:val="none"/>
        </w:rPr>
        <w:t xml:space="preserve"> stories about the same picture. </w:t>
      </w:r>
    </w:p>
    <w:p w14:paraId="0CA80D7C"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i/>
          <w:iCs/>
          <w:kern w:val="0"/>
          <w14:ligatures w14:val="none"/>
        </w:rPr>
        <w:t>Aggregation versus specificity.</w:t>
      </w:r>
      <w:r w:rsidRPr="00E24B5C">
        <w:rPr>
          <w:rFonts w:ascii="Times New Roman" w:eastAsia="Calibri" w:hAnsi="Times New Roman" w:cs="Times New Roman"/>
          <w:kern w:val="0"/>
          <w14:ligatures w14:val="none"/>
        </w:rPr>
        <w:t xml:space="preserve"> “[I]s it appropriate to aggregate all responses across cards into a single score . . . ? Or, if the assumption is that clinicians are “sampling” object relations using different cards, would it not be better to describe SCORS-G dimensions in relation to these specific situations . . .? (Sinclair et al., 2023, p. 788; ellipses mine). Although I defer to the SCORS-G authors here, I feel Sinclair et al. (2023) understood well the range of interpretive uses I suggested in Jenkins (2017b); what they are looking for here is my stimulus sampling frame. Certainly it should be clinically useful to know what kinds of situations are most likely to evoke poorly managed aggressive impulses from one’s client. </w:t>
      </w:r>
      <w:bookmarkStart w:id="3" w:name="_Hlk205731471"/>
      <w:r w:rsidRPr="00E24B5C">
        <w:rPr>
          <w:rFonts w:ascii="Times New Roman" w:eastAsia="Calibri" w:hAnsi="Times New Roman" w:cs="Times New Roman"/>
          <w:kern w:val="0"/>
          <w14:ligatures w14:val="none"/>
        </w:rPr>
        <w:t>As for the state-trait distinction, some people are more variable across situations than others, as anyone who works with Borderline Personality Disorder clients is likely to tell you.</w:t>
      </w:r>
      <w:bookmarkEnd w:id="3"/>
    </w:p>
    <w:p w14:paraId="261A0F9C"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bookmarkStart w:id="4" w:name="_Hlk205732192"/>
      <w:r w:rsidRPr="00E24B5C">
        <w:rPr>
          <w:rFonts w:ascii="Times New Roman" w:eastAsia="Calibri" w:hAnsi="Times New Roman" w:cs="Times New Roman"/>
          <w:i/>
          <w:iCs/>
          <w:kern w:val="0"/>
          <w14:ligatures w14:val="none"/>
        </w:rPr>
        <w:lastRenderedPageBreak/>
        <w:t xml:space="preserve"> Situation sample size</w:t>
      </w:r>
      <w:bookmarkEnd w:id="4"/>
      <w:r w:rsidRPr="00E24B5C">
        <w:rPr>
          <w:rFonts w:ascii="Times New Roman" w:eastAsia="Calibri" w:hAnsi="Times New Roman" w:cs="Times New Roman"/>
          <w:i/>
          <w:iCs/>
          <w:kern w:val="0"/>
          <w14:ligatures w14:val="none"/>
        </w:rPr>
        <w:t>.</w:t>
      </w:r>
      <w:r w:rsidRPr="00E24B5C">
        <w:rPr>
          <w:rFonts w:ascii="Times New Roman" w:eastAsia="Calibri" w:hAnsi="Times New Roman" w:cs="Times New Roman"/>
          <w:kern w:val="0"/>
          <w14:ligatures w14:val="none"/>
        </w:rPr>
        <w:t xml:space="preserve"> “[W]hen do we know we have sampled enough “situations,” and the right situations, to make accurate clinical inferences?” (Sinclair et al., 2023, p. 788). The same question applies to when we know that we have enough items on our self-report scale or administered enough multimethod procedures, and the answer is often arbitrary, based on pragmatic limits of time, money, deadlines, and client fatigue. These external elements may pre-empt our gathering the most scientifically appropriate information that would give us more confidence in our inferences. Clients who are cognitively complex and have intricate life situations generally benefit from more situation samples than those who are less complex on both counts. </w:t>
      </w:r>
      <w:bookmarkStart w:id="5" w:name="_Hlk205731536"/>
      <w:r w:rsidRPr="00E24B5C">
        <w:rPr>
          <w:rFonts w:ascii="Times New Roman" w:eastAsia="Calibri" w:hAnsi="Times New Roman" w:cs="Times New Roman"/>
          <w:kern w:val="0"/>
          <w14:ligatures w14:val="none"/>
        </w:rPr>
        <w:t>Hibbard et al. (2001) found internal consistencies exceeding .70 for the original four SCORS scales using 10-12 cards. A second pragmatic consideration comes from the referral question or clinical interview. A good client history specifies the situations that should be evaluated and the detail of therapeutic exploration, shaping the stimulus sampling frame.</w:t>
      </w:r>
    </w:p>
    <w:bookmarkEnd w:id="5"/>
    <w:p w14:paraId="50D5AB0A"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i/>
          <w:iCs/>
          <w:kern w:val="0"/>
          <w14:ligatures w14:val="none"/>
        </w:rPr>
        <w:t>Explaining poor ‘reliability’.</w:t>
      </w:r>
      <w:r w:rsidRPr="00E24B5C">
        <w:rPr>
          <w:rFonts w:ascii="Times New Roman" w:eastAsia="Calibri" w:hAnsi="Times New Roman" w:cs="Times New Roman"/>
          <w:kern w:val="0"/>
          <w14:ligatures w14:val="none"/>
        </w:rPr>
        <w:t xml:space="preserve"> “Fourth, how do we know when modest or poor score reliability reflect the underlying scale/measurement properties as opposed to the nature of the construct being assessed?” (Sinclair et al., 2023, p. 788). These are not the only two possible sources of unreliability; the client should also be considered! Fischer (1994b) pointed out that some scoring challenges might reflect a client’s psychological dilemma in dealing with some aspect of the stimulus. Though she was writing about the Rorschach, the same principle might apply to aspects of TAT cards such as the role relationships among characters or the activities depicted that might arouse conflicting thoughts and feelings as seen in the storyteller’s use of ambiguous or incoherent language. This evidence of psychological disruption is more likely to reflect construct-related variance due to dysregulation than to random error. In any case, it is unclear which form of reliability is meant here, and how scaling problems might affect it.</w:t>
      </w:r>
    </w:p>
    <w:p w14:paraId="300F7088"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bookmarkStart w:id="6" w:name="_Hlk205731846"/>
      <w:r w:rsidRPr="00E24B5C">
        <w:rPr>
          <w:rFonts w:ascii="Times New Roman" w:eastAsia="Calibri" w:hAnsi="Times New Roman" w:cs="Times New Roman"/>
          <w:i/>
          <w:iCs/>
          <w:kern w:val="0"/>
          <w14:ligatures w14:val="none"/>
        </w:rPr>
        <w:lastRenderedPageBreak/>
        <w:t>Making sense and meaning</w:t>
      </w:r>
      <w:bookmarkEnd w:id="6"/>
      <w:r w:rsidRPr="00E24B5C">
        <w:rPr>
          <w:rFonts w:ascii="Times New Roman" w:eastAsia="Calibri" w:hAnsi="Times New Roman" w:cs="Times New Roman"/>
          <w:i/>
          <w:iCs/>
          <w:kern w:val="0"/>
          <w14:ligatures w14:val="none"/>
        </w:rPr>
        <w:t>.</w:t>
      </w:r>
      <w:r w:rsidRPr="00E24B5C">
        <w:rPr>
          <w:rFonts w:ascii="Times New Roman" w:eastAsia="Calibri" w:hAnsi="Times New Roman" w:cs="Times New Roman"/>
          <w:kern w:val="0"/>
          <w14:ligatures w14:val="none"/>
        </w:rPr>
        <w:t xml:space="preserve"> “but the question remains, how do we make sense of the narrative material, and how can we be confident in its meaning?” (Sinclair et al., 2023, p. 788)</w:t>
      </w:r>
      <w:bookmarkStart w:id="7" w:name="_Hlk176179873"/>
      <w:r w:rsidRPr="00E24B5C">
        <w:rPr>
          <w:rFonts w:ascii="Times New Roman" w:eastAsia="Calibri" w:hAnsi="Times New Roman" w:cs="Times New Roman"/>
          <w:kern w:val="0"/>
          <w14:ligatures w14:val="none"/>
        </w:rPr>
        <w:t>. As with most elements of multimethod batteries, narrative material regardless of scoring should be integrated with other test scores, client history and presenting problem. Hypotheses that result are tested against other data using suitable theory as a jumping off place for understanding the client (Bram &amp; Peebles, 2014; Hopwood &amp; Bornstein, 2014). Then ask the client what they think might be going on (Finn, 2007).</w:t>
      </w:r>
      <w:bookmarkStart w:id="8" w:name="_Hlk205731961"/>
      <w:r w:rsidRPr="00E24B5C">
        <w:rPr>
          <w:rFonts w:ascii="Times New Roman" w:eastAsia="Calibri" w:hAnsi="Times New Roman" w:cs="Times New Roman"/>
          <w:kern w:val="0"/>
          <w14:ligatures w14:val="none"/>
        </w:rPr>
        <w:t xml:space="preserve"> Our confidence is increased by the available nomological network for the scoring system and the empirical evidence supported by clinical application. But our confidence should not exceed the validation of our ideas by the client (Finn, 2007).</w:t>
      </w:r>
    </w:p>
    <w:bookmarkEnd w:id="7"/>
    <w:bookmarkEnd w:id="8"/>
    <w:p w14:paraId="5B5CD956"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i/>
          <w:iCs/>
          <w:kern w:val="0"/>
          <w14:ligatures w14:val="none"/>
        </w:rPr>
        <w:t>Effects of inadequate information.</w:t>
      </w:r>
      <w:r w:rsidRPr="00E24B5C">
        <w:rPr>
          <w:rFonts w:ascii="Times New Roman" w:eastAsia="Calibri" w:hAnsi="Times New Roman" w:cs="Times New Roman"/>
          <w:kern w:val="0"/>
          <w14:ligatures w14:val="none"/>
        </w:rPr>
        <w:t xml:space="preserve"> “what impact does inadequate information have on ratings and clinical decision making? Jenkins (2017b, p. 244) specifically offered the following guidance on this point:  . . .The fact of a story’s brevity and sparseness relative to the storyteller’s others can be a useful datum.” (Sinclair et al., 2023, p. 788; ellipsis mine). I add here that asking the client is a useful way to cross-validate that datum (Finn, 2007; Fischer, 1994a). Sparse responses could indicate the client finds nothing to say, perhaps from lack of familiarity with the situation depicted in the card, or fatigue, or boredom, or because the client is defending against saying too much because the card elicits trauma memories. How the clinician should best discuss this with the client should be shaped by the clinician’s theory, clinical wisdom, and especially other knowledge of the client. Clinical experience, sensitivity to nonverbal communication, and knowledge of the client’s history should be helpful with this discrimination.</w:t>
      </w:r>
    </w:p>
    <w:p w14:paraId="140AA078"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i/>
          <w:iCs/>
          <w:kern w:val="0"/>
          <w14:ligatures w14:val="none"/>
        </w:rPr>
        <w:t xml:space="preserve">Lack of specificity. </w:t>
      </w:r>
      <w:r w:rsidRPr="00E24B5C">
        <w:rPr>
          <w:rFonts w:ascii="Times New Roman" w:eastAsia="Calibri" w:hAnsi="Times New Roman" w:cs="Times New Roman"/>
          <w:kern w:val="0"/>
          <w14:ligatures w14:val="none"/>
        </w:rPr>
        <w:t xml:space="preserve">“Jenkins (2017b) provided a general checklist for evaluating TAT scoring systems like the SCORS-G . . . there continues to be a lack of specificity in terms of the standards that should be employed” (Sinclair et al., 2023, p. 788; ellipses mine). Specificity </w:t>
      </w:r>
      <w:r w:rsidRPr="00E24B5C">
        <w:rPr>
          <w:rFonts w:ascii="Times New Roman" w:eastAsia="Calibri" w:hAnsi="Times New Roman" w:cs="Times New Roman"/>
          <w:kern w:val="0"/>
          <w14:ligatures w14:val="none"/>
        </w:rPr>
        <w:lastRenderedPageBreak/>
        <w:t xml:space="preserve">should come from research on the system (e.g., the effect on validity of dropping scores from stories judged inadequate). Meyer et al.’s (2020) studies of the impact of the number of responses on the Rorschach as they developed the Rorschach Performance Assessment System (R-PAS) provide good research models. </w:t>
      </w:r>
    </w:p>
    <w:p w14:paraId="76BAE878"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i/>
          <w:iCs/>
          <w:kern w:val="0"/>
          <w14:ligatures w14:val="none"/>
        </w:rPr>
        <w:t>Lack of cumulable evidence.</w:t>
      </w:r>
      <w:r w:rsidRPr="00E24B5C">
        <w:rPr>
          <w:rFonts w:ascii="Times New Roman" w:eastAsia="Calibri" w:hAnsi="Times New Roman" w:cs="Times New Roman"/>
          <w:kern w:val="0"/>
          <w14:ligatures w14:val="none"/>
        </w:rPr>
        <w:t xml:space="preserve"> “These confounds in turn affect the . . . generalizability of research findings, and the accumulation of evidence.” (Sinclair et al., 2023, p. 788; ellipses mine.). Many of Lilienfeld et al.’s (2000) concerns about TATs were well answered by Hibbard (2003). The present resurrected concern assumes the logical positivist model of science as cumulation of facts that was challenged persuasively by Kuhn (1970). As the pace of technological and cultural change continues to accelerate, the half-life of accumulated findings in the behavioral sciences appears to be shortening, as suggested by multicultural advances (Sue, 1999; Wright, 2024) and the recent replication crisis. Narratives reflect changes in cultural priorities over time (Veroff et al., 1980). The cumulative model of science is losing main character energy in psychology compared to an adaptive approach to science that focuses on human capacity for change in relation to changes in the environment. Arguably, psychological paradigms should shift more often than they do if we are to produce the psychological science that the world needs from us now. </w:t>
      </w:r>
    </w:p>
    <w:p w14:paraId="7B752B5E"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Furthermore, what range of generalizability do the authors have in mind? The bulk of assessment research testing the psychometric properties of our measures is conducted on college students due to their availability in persuasively large samples, with attendant ritualized limitations statement in the discussion section. Thus, we might have generalizability across studies, but not across age, socioeconomic status, race, or cultural differences (Sue, 1999).</w:t>
      </w:r>
    </w:p>
    <w:p w14:paraId="590DA504" w14:textId="77777777" w:rsidR="00E24B5C" w:rsidRPr="00E24B5C" w:rsidRDefault="00E24B5C" w:rsidP="00E24B5C">
      <w:pPr>
        <w:spacing w:after="0" w:line="480" w:lineRule="auto"/>
        <w:contextualSpacing/>
        <w:rPr>
          <w:rFonts w:ascii="Times New Roman" w:eastAsia="Calibri" w:hAnsi="Times New Roman" w:cs="Times New Roman"/>
          <w:b/>
          <w:bCs/>
          <w:kern w:val="0"/>
          <w14:ligatures w14:val="none"/>
        </w:rPr>
      </w:pPr>
      <w:bookmarkStart w:id="9" w:name="_Hlk209969549"/>
      <w:r w:rsidRPr="00E24B5C">
        <w:rPr>
          <w:rFonts w:ascii="Times New Roman" w:eastAsia="Calibri" w:hAnsi="Times New Roman" w:cs="Times New Roman"/>
          <w:b/>
          <w:bCs/>
          <w:kern w:val="0"/>
          <w14:ligatures w14:val="none"/>
        </w:rPr>
        <w:t>Correcting the Record</w:t>
      </w:r>
      <w:bookmarkEnd w:id="9"/>
    </w:p>
    <w:p w14:paraId="7B806BA2"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lastRenderedPageBreak/>
        <w:t>In the sections that follow, I address instances where Sinclair et al. (2023) have read my work less carefully or misunderstood my intended meaning.</w:t>
      </w:r>
    </w:p>
    <w:p w14:paraId="08AE163F"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bookmarkStart w:id="10" w:name="_Hlk209970356"/>
      <w:r w:rsidRPr="00E24B5C">
        <w:rPr>
          <w:rFonts w:ascii="Times New Roman" w:eastAsia="Calibri" w:hAnsi="Times New Roman" w:cs="Times New Roman"/>
          <w:i/>
          <w:iCs/>
          <w:kern w:val="0"/>
          <w14:ligatures w14:val="none"/>
        </w:rPr>
        <w:t>Inaccurate paraphrasing</w:t>
      </w:r>
      <w:bookmarkEnd w:id="10"/>
      <w:r w:rsidRPr="00E24B5C">
        <w:rPr>
          <w:rFonts w:ascii="Times New Roman" w:eastAsia="Calibri" w:hAnsi="Times New Roman" w:cs="Times New Roman"/>
          <w:i/>
          <w:iCs/>
          <w:kern w:val="0"/>
          <w14:ligatures w14:val="none"/>
        </w:rPr>
        <w:t>.</w:t>
      </w:r>
      <w:r w:rsidRPr="00E24B5C">
        <w:rPr>
          <w:rFonts w:ascii="Times New Roman" w:eastAsia="Calibri" w:hAnsi="Times New Roman" w:cs="Times New Roman"/>
          <w:kern w:val="0"/>
          <w14:ligatures w14:val="none"/>
        </w:rPr>
        <w:t xml:space="preserve"> “Jenkins (2017a) goes on to argue that criticisms surrounding the lack of normative data for the TAT do not make sense for a number of reasons, including the fact that TAT constructs [(a)] may vacillate across time, context, and culture; [(b)] assume right and wrong answers that can be compared against some benchmark; and [(c)] may be applied and interpreted in ways that are not quantitative.” (Sinclair et al., 2023, p. 787; added letters mine). This inaccurate paraphrasing does not resemble what I said. What I said was, first, there are norms for TATs (Dana, 1956; Rosenzweig &amp; Fleming, 1949; and several manualized picture sets with scoring systems for children), but second, such narrow and concrete interpretive framing is not very useful clinically (for adults), in part because stability of the construct across time and situations should not be assumed without empirical support. Thus, cutoff scores in normative tables will likely have large residual random error (Jenkins, 2017a, pp. 246). More relevant for cultural variability, I meant that norms do not apply well to individuals who deviate markedly from the sample’s demographic averages. Content-based interpretation using the scoring manual’s descriptions stays closer to the data and thus to the storyteller’s worldview.</w:t>
      </w:r>
    </w:p>
    <w:p w14:paraId="1998340C"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I address the specific points separately using the letters I have added in brackets.</w:t>
      </w:r>
    </w:p>
    <w:p w14:paraId="7F117CEF"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 xml:space="preserve">(a) “Vacillate” implies random variation. Though inevitably there will be some of that, I believe the effects of immediate situation and life context are in principle identifiable and isolable, and it is useful to do so for both research and clinical purposes. Isolating the effects of stability versus changes in life context, Jenkins (1987, 1994) found reasonable longitudinal stability across 14 years for </w:t>
      </w:r>
      <w:r w:rsidRPr="00E24B5C">
        <w:rPr>
          <w:rFonts w:ascii="Times New Roman" w:eastAsia="Calibri" w:hAnsi="Times New Roman" w:cs="Times New Roman"/>
          <w:i/>
          <w:kern w:val="0"/>
          <w14:ligatures w14:val="none"/>
        </w:rPr>
        <w:t>n</w:t>
      </w:r>
      <w:r w:rsidRPr="00E24B5C">
        <w:rPr>
          <w:rFonts w:ascii="Times New Roman" w:eastAsia="Calibri" w:hAnsi="Times New Roman" w:cs="Times New Roman"/>
          <w:kern w:val="0"/>
          <w14:ligatures w14:val="none"/>
        </w:rPr>
        <w:t xml:space="preserve"> Ach (</w:t>
      </w:r>
      <w:r w:rsidRPr="00E24B5C">
        <w:rPr>
          <w:rFonts w:ascii="Times New Roman" w:eastAsia="Calibri" w:hAnsi="Times New Roman" w:cs="Times New Roman"/>
          <w:i/>
          <w:kern w:val="0"/>
          <w14:ligatures w14:val="none"/>
        </w:rPr>
        <w:t>r</w:t>
      </w:r>
      <w:r w:rsidRPr="00E24B5C">
        <w:rPr>
          <w:rFonts w:ascii="Times New Roman" w:eastAsia="Calibri" w:hAnsi="Times New Roman" w:cs="Times New Roman"/>
          <w:kern w:val="0"/>
          <w14:ligatures w14:val="none"/>
        </w:rPr>
        <w:t xml:space="preserve"> = .57) and </w:t>
      </w:r>
      <w:r w:rsidRPr="00E24B5C">
        <w:rPr>
          <w:rFonts w:ascii="Times New Roman" w:eastAsia="Calibri" w:hAnsi="Times New Roman" w:cs="Times New Roman"/>
          <w:i/>
          <w:kern w:val="0"/>
          <w14:ligatures w14:val="none"/>
        </w:rPr>
        <w:t>n</w:t>
      </w:r>
      <w:r w:rsidRPr="00E24B5C">
        <w:rPr>
          <w:rFonts w:ascii="Times New Roman" w:eastAsia="Calibri" w:hAnsi="Times New Roman" w:cs="Times New Roman"/>
          <w:kern w:val="0"/>
          <w14:ligatures w14:val="none"/>
        </w:rPr>
        <w:t xml:space="preserve"> Power (</w:t>
      </w:r>
      <w:r w:rsidRPr="00E24B5C">
        <w:rPr>
          <w:rFonts w:ascii="Times New Roman" w:eastAsia="Calibri" w:hAnsi="Times New Roman" w:cs="Times New Roman"/>
          <w:i/>
          <w:kern w:val="0"/>
          <w14:ligatures w14:val="none"/>
        </w:rPr>
        <w:t>r</w:t>
      </w:r>
      <w:r w:rsidRPr="00E24B5C">
        <w:rPr>
          <w:rFonts w:ascii="Times New Roman" w:eastAsia="Calibri" w:hAnsi="Times New Roman" w:cs="Times New Roman"/>
          <w:kern w:val="0"/>
          <w14:ligatures w14:val="none"/>
        </w:rPr>
        <w:t xml:space="preserve"> = .47), respectively, among women </w:t>
      </w:r>
      <w:r w:rsidRPr="00E24B5C">
        <w:rPr>
          <w:rFonts w:ascii="Times New Roman" w:eastAsia="Calibri" w:hAnsi="Times New Roman" w:cs="Times New Roman"/>
          <w:kern w:val="0"/>
          <w14:ligatures w14:val="none"/>
        </w:rPr>
        <w:lastRenderedPageBreak/>
        <w:t xml:space="preserve">who had theoretically stable life situations. However, for women in more challenging situations (e.g., frustrated career commitments), stability was near zero, as predicted by motive theory. </w:t>
      </w:r>
    </w:p>
    <w:p w14:paraId="5CF2CF17"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 xml:space="preserve">(b) TAT constructs have no right or wrong answers; this is a misquote. Perhaps the authors misunderstood my mention of standardized cognitive ability tests (which do have right and wrong answers). Because ability tests reduce behavior variability considerably to a one-dimensional pass-fail item score that cumulates on a presumed ratio scale, such scores can easily be reduced to cutoff scores. Furthermore, the search for cutoff scores is conceptually outdated given the move in clinical research favoring dimensional rather than categorical measurement. </w:t>
      </w:r>
    </w:p>
    <w:p w14:paraId="69FF7F58"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(c) The authors’ intentions are unclear to me here as well. What they say is a truism that does not by itself rule out the use of normative data. Certainly the same is also true of, for example, MMPI critical items.</w:t>
      </w:r>
    </w:p>
    <w:p w14:paraId="09C53295"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i/>
          <w:iCs/>
          <w:kern w:val="0"/>
          <w14:ligatures w14:val="none"/>
        </w:rPr>
        <w:t>Oxymoron?</w:t>
      </w:r>
      <w:r w:rsidRPr="00E24B5C">
        <w:rPr>
          <w:rFonts w:ascii="Times New Roman" w:eastAsia="Calibri" w:hAnsi="Times New Roman" w:cs="Times New Roman"/>
          <w:kern w:val="0"/>
          <w14:ligatures w14:val="none"/>
        </w:rPr>
        <w:t xml:space="preserve"> “[T]his potential for variability is one major reason why normative data would be so important—that is, to track levels of adaptation (or severity) within these dimensions across time.”  (Sinclair et al., 2023, p. 787). To me this sentence reads as a oxymoron. What would be the use of ‘normative data’ that are so distant in time, place, culture, and life situation from my client when I have at hand the client’s stories, which are so much more informative in the context of other information about the client? If change in severity is the question, the most important tracking process is ipsative, not normative, especially for clinical purposes: is my client improving or deteriorating? If the question is treatment justification for insurance purposes, surely the most important data are subjective symptom ratings. Of course, symptom scales require both willingness and ability for the client to self-report with precision, which raises the problem of illusory mental health (Shedler et al., 1993). But anecdotal reports </w:t>
      </w:r>
      <w:r w:rsidRPr="00E24B5C">
        <w:rPr>
          <w:rFonts w:ascii="Times New Roman" w:eastAsia="Calibri" w:hAnsi="Times New Roman" w:cs="Times New Roman"/>
          <w:kern w:val="0"/>
          <w14:ligatures w14:val="none"/>
        </w:rPr>
        <w:lastRenderedPageBreak/>
        <w:t>suggest that insurance companies are little concerned with social desirability response biases and other technical matters.</w:t>
      </w:r>
    </w:p>
    <w:p w14:paraId="6D3228E9" w14:textId="77777777" w:rsidR="00E24B5C" w:rsidRPr="00E24B5C" w:rsidRDefault="00E24B5C" w:rsidP="00E24B5C">
      <w:pPr>
        <w:spacing w:after="0" w:line="480" w:lineRule="auto"/>
        <w:ind w:firstLine="720"/>
        <w:contextualSpacing/>
        <w:rPr>
          <w:rFonts w:ascii="Times New Roman" w:eastAsia="Calibri" w:hAnsi="Times New Roman" w:cs="Times New Roman"/>
          <w:kern w:val="0"/>
          <w14:ligatures w14:val="none"/>
        </w:rPr>
      </w:pPr>
      <w:r w:rsidRPr="00E24B5C">
        <w:rPr>
          <w:rFonts w:ascii="Times New Roman" w:eastAsia="Calibri" w:hAnsi="Times New Roman" w:cs="Times New Roman"/>
          <w:i/>
          <w:iCs/>
          <w:kern w:val="0"/>
          <w14:ligatures w14:val="none"/>
        </w:rPr>
        <w:t>Decontextualization.</w:t>
      </w:r>
      <w:r w:rsidRPr="00E24B5C">
        <w:rPr>
          <w:rFonts w:ascii="Times New Roman" w:eastAsia="Calibri" w:hAnsi="Times New Roman" w:cs="Times New Roman"/>
          <w:kern w:val="0"/>
          <w14:ligatures w14:val="none"/>
        </w:rPr>
        <w:t xml:space="preserve"> “Finally, Jenkins (2017b) made a strong argument for why classical tests of scaling assumptions . . . are less applicable to the TAT . . . Specifically, she distinguishes between states and traits, and notes that “psychological constructs are not situations” (p. 239).” (Sinclair et al., 2023, p. 787; ellipses mine). The importance of the state-trait distinction is obvious; a ‘state’ measure with high test-retest reliability lacks validity because it is insensitive to changes in the person. “Psychological constructs are not situations” makes no sense taken out of its rhetorical context, where I listed (admittedly with provocative intentions) distinctions needed for evaluating TAT reliability and validity: “Beginning with construct conceptualization, I explain why traits are not states, and psychological constructs are not situations. . . . A central assumption of what follows is that TAT stories are samples of imaginative responses to social situations, which differ in their demand characteristics” (Jenkins, 2017b, p. 239; ellipses mine). What I intended to mean is that some psychological constructs, such as parent-child attachment, are situation-specific and not expected to manifest in situations involving other social roles (e.g., buyer-seller) having no similarities such as authority relations or affective bonds. That raises the question of who defines the situation, the storyteller or the clinician using normative responses to picture features (card pull)? The answer and its implications for findings can be complex, as shown by Jenkins et al. (2022). </w:t>
      </w:r>
    </w:p>
    <w:p w14:paraId="3B4D9501" w14:textId="79D01B29" w:rsidR="00E24B5C" w:rsidRDefault="00E24B5C">
      <w:r>
        <w:br w:type="page"/>
      </w:r>
    </w:p>
    <w:p w14:paraId="36B1AB00" w14:textId="77777777" w:rsidR="00E24B5C" w:rsidRPr="00E24B5C" w:rsidRDefault="00E24B5C" w:rsidP="00E24B5C">
      <w:pPr>
        <w:spacing w:after="0" w:line="480" w:lineRule="auto"/>
        <w:contextualSpacing/>
        <w:jc w:val="center"/>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lastRenderedPageBreak/>
        <w:t>Footnotes</w:t>
      </w:r>
    </w:p>
    <w:p w14:paraId="58F9F910" w14:textId="77777777" w:rsidR="00E24B5C" w:rsidRPr="00E24B5C" w:rsidRDefault="00E24B5C" w:rsidP="00E24B5C">
      <w:pPr>
        <w:spacing w:after="0" w:line="480" w:lineRule="auto"/>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vertAlign w:val="superscript"/>
          <w14:ligatures w14:val="none"/>
        </w:rPr>
        <w:t>1</w:t>
      </w:r>
      <w:r w:rsidRPr="00E24B5C">
        <w:rPr>
          <w:rFonts w:ascii="Times New Roman" w:eastAsia="Calibri" w:hAnsi="Times New Roman" w:cs="Times New Roman"/>
          <w:kern w:val="0"/>
          <w14:ligatures w14:val="none"/>
        </w:rPr>
        <w:t xml:space="preserve"> Recognizing that there are now several picture sets for eliciting stories, some with their own scoring manuals, and given that a more precise assessment vocabulary is needed (Meyer &amp; Kurtz, 2006), I have adopted the practice of referring to them collectively as thematic apperceptive techniques (TATs), and spelling out Thematic Apperception Test when referring to the Morgan-Murray set (Murray, 1943). I hope to encourage this practice by doing so throughout this article.</w:t>
      </w:r>
    </w:p>
    <w:p w14:paraId="08D4C165" w14:textId="77777777" w:rsidR="00E24B5C" w:rsidRPr="00E24B5C" w:rsidRDefault="00E24B5C" w:rsidP="00E24B5C">
      <w:pPr>
        <w:spacing w:after="0" w:line="480" w:lineRule="auto"/>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vertAlign w:val="superscript"/>
          <w14:ligatures w14:val="none"/>
        </w:rPr>
        <w:t>2</w:t>
      </w:r>
      <w:r w:rsidRPr="00E24B5C">
        <w:rPr>
          <w:rFonts w:ascii="Times New Roman" w:eastAsia="Calibri" w:hAnsi="Times New Roman" w:cs="Times New Roman"/>
          <w:kern w:val="0"/>
          <w14:ligatures w14:val="none"/>
        </w:rPr>
        <w:t xml:space="preserve"> A possible exception for the SCORS-G is the two cognitive scales, COM and SC, which theory predicts—and Hibbard et al. (2001) found—are more stable across time and situations; and show more variance due to persons than to person x card interaction. The prominence of the interaction term still complicates a consistent ranking generalizable across all card combinations.</w:t>
      </w:r>
    </w:p>
    <w:p w14:paraId="650BE65A" w14:textId="77777777" w:rsidR="00E24B5C" w:rsidRPr="00E24B5C" w:rsidRDefault="00E24B5C" w:rsidP="00E24B5C">
      <w:pPr>
        <w:spacing w:after="0" w:line="480" w:lineRule="auto"/>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vertAlign w:val="superscript"/>
          <w14:ligatures w14:val="none"/>
        </w:rPr>
        <w:t xml:space="preserve">3 </w:t>
      </w:r>
      <w:r w:rsidRPr="00E24B5C">
        <w:rPr>
          <w:rFonts w:ascii="Times New Roman" w:eastAsia="Calibri" w:hAnsi="Times New Roman" w:cs="Times New Roman"/>
          <w:kern w:val="0"/>
          <w14:ligatures w14:val="none"/>
        </w:rPr>
        <w:t xml:space="preserve"> Theoretically, this can be accounted for by the psychological continuity provided by having attained a life situation consistent with one’s predominant motive dispositions. Motive-related satisfactions then mediate the association between early motives and later-life motives, explaining longitudinal autocorrelations (Jenkins, 1987, 1994). Congruence between people’s motive patterns, the incentives offered by the situation, and the accessibility of motive-satisfying outcomes can all affect the association between motives and behavioral outcomes.</w:t>
      </w:r>
    </w:p>
    <w:p w14:paraId="14910069" w14:textId="77777777" w:rsidR="00E24B5C" w:rsidRPr="00E24B5C" w:rsidRDefault="00E24B5C" w:rsidP="00E24B5C">
      <w:pPr>
        <w:spacing w:after="0" w:line="480" w:lineRule="auto"/>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vertAlign w:val="superscript"/>
          <w14:ligatures w14:val="none"/>
        </w:rPr>
        <w:t>4</w:t>
      </w:r>
      <w:r w:rsidRPr="00E24B5C">
        <w:rPr>
          <w:rFonts w:ascii="Times New Roman" w:eastAsia="Calibri" w:hAnsi="Times New Roman" w:cs="Times New Roman"/>
          <w:kern w:val="0"/>
          <w14:ligatures w14:val="none"/>
        </w:rPr>
        <w:t xml:space="preserve"> Bornstein (2011) also specifies that there should be “no test stimulus physically present”. Historically, TAT literature diverges on this point. Clinical administration (Murray, 1943) allows for the picture to remain as the storyteller dictates the story to the examiner. In group administration for measuring human motives, the picture is projected on a screen for 20 seconds, then removed while the storyteller writes the story. The latter approach is considered to reduce </w:t>
      </w:r>
      <w:r w:rsidRPr="00E24B5C">
        <w:rPr>
          <w:rFonts w:ascii="Times New Roman" w:eastAsia="Calibri" w:hAnsi="Times New Roman" w:cs="Times New Roman"/>
          <w:kern w:val="0"/>
          <w14:ligatures w14:val="none"/>
        </w:rPr>
        <w:lastRenderedPageBreak/>
        <w:t xml:space="preserve">the tendency of anxious or stimulus-bound storytellers to merely describe the picture rather than launching an imaginative process. </w:t>
      </w:r>
    </w:p>
    <w:p w14:paraId="19C97D56" w14:textId="77777777" w:rsidR="00E24B5C" w:rsidRPr="00E24B5C" w:rsidRDefault="00E24B5C" w:rsidP="00E24B5C">
      <w:pPr>
        <w:spacing w:after="0" w:line="480" w:lineRule="auto"/>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vertAlign w:val="superscript"/>
          <w14:ligatures w14:val="none"/>
        </w:rPr>
        <w:t>5</w:t>
      </w:r>
      <w:r w:rsidRPr="00E24B5C">
        <w:rPr>
          <w:rFonts w:ascii="Times New Roman" w:eastAsia="Calibri" w:hAnsi="Times New Roman" w:cs="Times New Roman"/>
          <w:kern w:val="0"/>
          <w14:ligatures w14:val="none"/>
        </w:rPr>
        <w:t xml:space="preserve"> For example, Jenkins et al. (2020) compared the relative impact on undergraduates’ interpersonal decentering scores of picture content versus story content, finding that more mature decentering scores appeared in stories told about heterosexual couple pictures than other pictures, whereas romantic versus nonromantic story content made no significant difference. Apparently undergraduates’ decentering scores are more strongly affected by American cultural gender schemas than by specific social roles such as lover, spouse, parent, or employer, which did not explain significant variance. </w:t>
      </w:r>
    </w:p>
    <w:p w14:paraId="61DA00C4" w14:textId="77777777" w:rsidR="00E24B5C" w:rsidRPr="00E24B5C" w:rsidRDefault="00E24B5C" w:rsidP="00E24B5C">
      <w:pPr>
        <w:spacing w:after="0" w:line="480" w:lineRule="auto"/>
        <w:contextualSpacing/>
        <w:rPr>
          <w:rFonts w:ascii="Times New Roman" w:eastAsia="Calibri" w:hAnsi="Times New Roman" w:cs="Times New Roman"/>
          <w:color w:val="00B050"/>
          <w:kern w:val="0"/>
          <w14:ligatures w14:val="none"/>
        </w:rPr>
      </w:pPr>
      <w:r w:rsidRPr="00E24B5C">
        <w:rPr>
          <w:rFonts w:ascii="Times New Roman" w:eastAsia="Calibri" w:hAnsi="Times New Roman" w:cs="Times New Roman"/>
          <w:kern w:val="0"/>
          <w:vertAlign w:val="superscript"/>
          <w14:ligatures w14:val="none"/>
        </w:rPr>
        <w:t>6</w:t>
      </w:r>
      <w:r w:rsidRPr="00E24B5C">
        <w:rPr>
          <w:rFonts w:ascii="Times New Roman" w:eastAsia="Calibri" w:hAnsi="Times New Roman" w:cs="Times New Roman"/>
          <w:kern w:val="0"/>
          <w14:ligatures w14:val="none"/>
        </w:rPr>
        <w:t xml:space="preserve">  For example, to avoid the challenges of culturally differing pictures, LeVine et al. (1966) collected and scored the dreams of Nigerian schoolboys for n Achievement, considering dreams as analogues to the blank Card 16 of the Murray (1943) TAT. They compared scores from Ibo, Yoruba, and Hausa ethnic groups and found associations with the different ethnicies' pre-colonial systems of social status mobility.</w:t>
      </w:r>
    </w:p>
    <w:p w14:paraId="3FAEF9CB" w14:textId="08A07B0B" w:rsidR="00E24B5C" w:rsidRDefault="00E24B5C">
      <w:r>
        <w:br w:type="page"/>
      </w:r>
    </w:p>
    <w:p w14:paraId="0F9D0361" w14:textId="73E3C9A5" w:rsidR="003C2FD7" w:rsidRDefault="00E24B5C" w:rsidP="00E24B5C">
      <w:pPr>
        <w:spacing w:after="0" w:line="480" w:lineRule="auto"/>
        <w:jc w:val="center"/>
      </w:pPr>
      <w:r w:rsidRPr="00E24B5C">
        <w:lastRenderedPageBreak/>
        <w:t>References</w:t>
      </w:r>
    </w:p>
    <w:p w14:paraId="7987B043" w14:textId="3666B041" w:rsidR="00E24B5C" w:rsidRDefault="00E24B5C" w:rsidP="00E24B5C">
      <w:pPr>
        <w:spacing w:after="0" w:line="480" w:lineRule="auto"/>
        <w:ind w:left="720" w:hanging="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 xml:space="preserve">Bornstein, R. F. (2011). Toward a process-focused model of test score validity: Improving psychological assessment in science and practice. </w:t>
      </w:r>
      <w:r w:rsidRPr="00E24B5C">
        <w:rPr>
          <w:rFonts w:ascii="Times New Roman" w:eastAsia="Calibri" w:hAnsi="Times New Roman" w:cs="Times New Roman"/>
          <w:i/>
          <w:iCs/>
          <w:kern w:val="0"/>
          <w14:ligatures w14:val="none"/>
        </w:rPr>
        <w:t>Psychological Assessment</w:t>
      </w:r>
      <w:r w:rsidRPr="00E24B5C">
        <w:rPr>
          <w:rFonts w:ascii="Times New Roman" w:eastAsia="Calibri" w:hAnsi="Times New Roman" w:cs="Times New Roman"/>
          <w:kern w:val="0"/>
          <w14:ligatures w14:val="none"/>
        </w:rPr>
        <w:t xml:space="preserve">, </w:t>
      </w:r>
      <w:r w:rsidRPr="00E24B5C">
        <w:rPr>
          <w:rFonts w:ascii="Times New Roman" w:eastAsia="Calibri" w:hAnsi="Times New Roman" w:cs="Times New Roman"/>
          <w:i/>
          <w:iCs/>
          <w:kern w:val="0"/>
          <w14:ligatures w14:val="none"/>
        </w:rPr>
        <w:t>23</w:t>
      </w:r>
      <w:r w:rsidRPr="00E24B5C">
        <w:rPr>
          <w:rFonts w:ascii="Times New Roman" w:eastAsia="Calibri" w:hAnsi="Times New Roman" w:cs="Times New Roman"/>
          <w:kern w:val="0"/>
          <w14:ligatures w14:val="none"/>
        </w:rPr>
        <w:t>(2), 532-544. doi:10.1037/a0022402</w:t>
      </w:r>
    </w:p>
    <w:p w14:paraId="4F1B6390" w14:textId="68C77AF4" w:rsidR="00BE2FB3" w:rsidRDefault="00BE2FB3" w:rsidP="00E24B5C">
      <w:pPr>
        <w:spacing w:after="0" w:line="480" w:lineRule="auto"/>
        <w:ind w:left="720" w:hanging="720"/>
        <w:contextualSpacing/>
        <w:rPr>
          <w:rFonts w:ascii="Times New Roman" w:eastAsia="Calibri" w:hAnsi="Times New Roman" w:cs="Times New Roman"/>
          <w:kern w:val="0"/>
          <w14:ligatures w14:val="none"/>
        </w:rPr>
      </w:pPr>
      <w:r w:rsidRPr="00BE2FB3">
        <w:rPr>
          <w:rFonts w:ascii="Times New Roman" w:eastAsia="Calibri" w:hAnsi="Times New Roman" w:cs="Times New Roman"/>
          <w:kern w:val="0"/>
          <w14:ligatures w14:val="none"/>
        </w:rPr>
        <w:t xml:space="preserve">Bram, A. D., &amp; Peebles, M. J. (2014). </w:t>
      </w:r>
      <w:r w:rsidRPr="00BE2FB3">
        <w:rPr>
          <w:rFonts w:ascii="Times New Roman" w:eastAsia="Calibri" w:hAnsi="Times New Roman" w:cs="Times New Roman"/>
          <w:i/>
          <w:iCs/>
          <w:kern w:val="0"/>
          <w14:ligatures w14:val="none"/>
        </w:rPr>
        <w:t>Psychological testing that matters: Creating a road map for effective treatment</w:t>
      </w:r>
      <w:r w:rsidRPr="00BE2FB3">
        <w:rPr>
          <w:rFonts w:ascii="Times New Roman" w:eastAsia="Calibri" w:hAnsi="Times New Roman" w:cs="Times New Roman"/>
          <w:kern w:val="0"/>
          <w14:ligatures w14:val="none"/>
        </w:rPr>
        <w:t xml:space="preserve">. Washington, DC, US: American Psychological Association. doi:10.1037/14340-001 </w:t>
      </w:r>
    </w:p>
    <w:p w14:paraId="24932FEC" w14:textId="3DA22782" w:rsidR="006729DF" w:rsidRDefault="006729DF" w:rsidP="00E24B5C">
      <w:pPr>
        <w:spacing w:after="0" w:line="480" w:lineRule="auto"/>
        <w:ind w:left="720" w:hanging="720"/>
        <w:contextualSpacing/>
        <w:rPr>
          <w:rFonts w:ascii="Times New Roman" w:eastAsia="Calibri" w:hAnsi="Times New Roman" w:cs="Times New Roman"/>
          <w:kern w:val="0"/>
          <w14:ligatures w14:val="none"/>
        </w:rPr>
      </w:pPr>
      <w:r w:rsidRPr="006729DF">
        <w:rPr>
          <w:rFonts w:ascii="Times New Roman" w:eastAsia="Calibri" w:hAnsi="Times New Roman" w:cs="Times New Roman"/>
          <w:kern w:val="0"/>
          <w14:ligatures w14:val="none"/>
        </w:rPr>
        <w:t xml:space="preserve">Dana, R. H. (1956). An application of objective TAT scoring. </w:t>
      </w:r>
      <w:r w:rsidRPr="006729DF">
        <w:rPr>
          <w:rFonts w:ascii="Times New Roman" w:eastAsia="Calibri" w:hAnsi="Times New Roman" w:cs="Times New Roman"/>
          <w:i/>
          <w:iCs/>
          <w:kern w:val="0"/>
          <w14:ligatures w14:val="none"/>
        </w:rPr>
        <w:t>Journal of Projective Techniques</w:t>
      </w:r>
      <w:r w:rsidRPr="006729DF">
        <w:rPr>
          <w:rFonts w:ascii="Times New Roman" w:eastAsia="Calibri" w:hAnsi="Times New Roman" w:cs="Times New Roman"/>
          <w:kern w:val="0"/>
          <w14:ligatures w14:val="none"/>
        </w:rPr>
        <w:t xml:space="preserve">, </w:t>
      </w:r>
      <w:r w:rsidRPr="006729DF">
        <w:rPr>
          <w:rFonts w:ascii="Times New Roman" w:eastAsia="Calibri" w:hAnsi="Times New Roman" w:cs="Times New Roman"/>
          <w:i/>
          <w:iCs/>
          <w:kern w:val="0"/>
          <w14:ligatures w14:val="none"/>
        </w:rPr>
        <w:t xml:space="preserve">20, </w:t>
      </w:r>
      <w:r w:rsidRPr="006729DF">
        <w:rPr>
          <w:rFonts w:ascii="Times New Roman" w:eastAsia="Calibri" w:hAnsi="Times New Roman" w:cs="Times New Roman"/>
          <w:kern w:val="0"/>
          <w14:ligatures w14:val="none"/>
        </w:rPr>
        <w:t>159-163.</w:t>
      </w:r>
    </w:p>
    <w:p w14:paraId="32F1D9A1" w14:textId="0336C990" w:rsidR="00F26FB5" w:rsidRDefault="00F26FB5" w:rsidP="00E24B5C">
      <w:pPr>
        <w:spacing w:after="0" w:line="480" w:lineRule="auto"/>
        <w:ind w:left="720" w:hanging="720"/>
        <w:contextualSpacing/>
        <w:rPr>
          <w:rFonts w:ascii="Times New Roman" w:eastAsia="Calibri" w:hAnsi="Times New Roman" w:cs="Times New Roman"/>
          <w:kern w:val="0"/>
          <w14:ligatures w14:val="none"/>
        </w:rPr>
      </w:pPr>
      <w:r w:rsidRPr="00F26FB5">
        <w:rPr>
          <w:rFonts w:ascii="Times New Roman" w:eastAsia="Calibri" w:hAnsi="Times New Roman" w:cs="Times New Roman"/>
          <w:kern w:val="0"/>
          <w14:ligatures w14:val="none"/>
        </w:rPr>
        <w:t xml:space="preserve">Finn, S. E. (2007). </w:t>
      </w:r>
      <w:r w:rsidRPr="00F26FB5">
        <w:rPr>
          <w:rFonts w:ascii="Times New Roman" w:eastAsia="Calibri" w:hAnsi="Times New Roman" w:cs="Times New Roman"/>
          <w:i/>
          <w:kern w:val="0"/>
          <w14:ligatures w14:val="none"/>
        </w:rPr>
        <w:t>In our clients’ shoes: Theory and techniques of therapeutic assessment.</w:t>
      </w:r>
      <w:r w:rsidRPr="00F26FB5">
        <w:rPr>
          <w:rFonts w:ascii="Times New Roman" w:eastAsia="Calibri" w:hAnsi="Times New Roman" w:cs="Times New Roman"/>
          <w:kern w:val="0"/>
          <w14:ligatures w14:val="none"/>
        </w:rPr>
        <w:t xml:space="preserve"> Mahwah, NJ:  Erlbaum.</w:t>
      </w:r>
    </w:p>
    <w:p w14:paraId="047144F8" w14:textId="0AABCCDC" w:rsidR="00BE2FB3" w:rsidRDefault="00BE2FB3" w:rsidP="00E24B5C">
      <w:pPr>
        <w:spacing w:after="0" w:line="480" w:lineRule="auto"/>
        <w:ind w:left="720" w:hanging="720"/>
        <w:contextualSpacing/>
        <w:rPr>
          <w:rFonts w:ascii="Times New Roman" w:eastAsia="Calibri" w:hAnsi="Times New Roman" w:cs="Times New Roman"/>
          <w:kern w:val="0"/>
          <w14:ligatures w14:val="none"/>
        </w:rPr>
      </w:pPr>
      <w:r w:rsidRPr="00BE2FB3">
        <w:rPr>
          <w:rFonts w:ascii="Times New Roman" w:eastAsia="Calibri" w:hAnsi="Times New Roman" w:cs="Times New Roman"/>
          <w:kern w:val="0"/>
          <w14:ligatures w14:val="none"/>
        </w:rPr>
        <w:t>Fischer, C. T. (1994</w:t>
      </w:r>
      <w:r>
        <w:rPr>
          <w:rFonts w:ascii="Times New Roman" w:eastAsia="Calibri" w:hAnsi="Times New Roman" w:cs="Times New Roman"/>
          <w:kern w:val="0"/>
          <w14:ligatures w14:val="none"/>
        </w:rPr>
        <w:t>a</w:t>
      </w:r>
      <w:r w:rsidRPr="00BE2FB3">
        <w:rPr>
          <w:rFonts w:ascii="Times New Roman" w:eastAsia="Calibri" w:hAnsi="Times New Roman" w:cs="Times New Roman"/>
          <w:kern w:val="0"/>
          <w14:ligatures w14:val="none"/>
        </w:rPr>
        <w:t>). Individualizing psychological assessment. Hillsdale, New Jersey: Lawrence Erlbaum.</w:t>
      </w:r>
    </w:p>
    <w:p w14:paraId="7204452F" w14:textId="7BDEBD21" w:rsidR="00BE2FB3" w:rsidRDefault="00BE2FB3" w:rsidP="00E24B5C">
      <w:pPr>
        <w:spacing w:after="0" w:line="480" w:lineRule="auto"/>
        <w:ind w:left="720" w:hanging="720"/>
        <w:contextualSpacing/>
        <w:rPr>
          <w:rFonts w:ascii="Times New Roman" w:eastAsia="Calibri" w:hAnsi="Times New Roman" w:cs="Times New Roman"/>
          <w:kern w:val="0"/>
          <w14:ligatures w14:val="none"/>
        </w:rPr>
      </w:pPr>
      <w:r w:rsidRPr="00BE2FB3">
        <w:rPr>
          <w:rFonts w:ascii="Times New Roman" w:eastAsia="Calibri" w:hAnsi="Times New Roman" w:cs="Times New Roman"/>
          <w:kern w:val="0"/>
          <w14:ligatures w14:val="none"/>
        </w:rPr>
        <w:t>Fischer, C. T. (1994</w:t>
      </w:r>
      <w:r>
        <w:rPr>
          <w:rFonts w:ascii="Times New Roman" w:eastAsia="Calibri" w:hAnsi="Times New Roman" w:cs="Times New Roman"/>
          <w:kern w:val="0"/>
          <w14:ligatures w14:val="none"/>
        </w:rPr>
        <w:t>b</w:t>
      </w:r>
      <w:r w:rsidRPr="00BE2FB3">
        <w:rPr>
          <w:rFonts w:ascii="Times New Roman" w:eastAsia="Calibri" w:hAnsi="Times New Roman" w:cs="Times New Roman"/>
          <w:kern w:val="0"/>
          <w14:ligatures w14:val="none"/>
        </w:rPr>
        <w:t xml:space="preserve">). Rorschach scoring questions as access to dynamics. Journal of Personality Assessment, 62(3), 515–524. </w:t>
      </w:r>
    </w:p>
    <w:p w14:paraId="56F6F4B0" w14:textId="468A4D3F" w:rsidR="00A20121" w:rsidRDefault="00A20121" w:rsidP="00E24B5C">
      <w:pPr>
        <w:spacing w:after="0" w:line="480" w:lineRule="auto"/>
        <w:ind w:left="720" w:hanging="720"/>
        <w:contextualSpacing/>
        <w:rPr>
          <w:rFonts w:ascii="Times New Roman" w:eastAsia="Calibri" w:hAnsi="Times New Roman" w:cs="Times New Roman"/>
          <w:kern w:val="0"/>
          <w14:ligatures w14:val="none"/>
        </w:rPr>
      </w:pPr>
      <w:r w:rsidRPr="00A20121">
        <w:rPr>
          <w:rFonts w:ascii="Times New Roman" w:eastAsia="Calibri" w:hAnsi="Times New Roman" w:cs="Times New Roman"/>
          <w:kern w:val="0"/>
          <w14:ligatures w14:val="none"/>
        </w:rPr>
        <w:t xml:space="preserve">Hibbard, S., Mitchell, D., &amp; Porcerelli, J. (2001). Internal consistency of the Object Relations and Social Cognition Scales for the Thematic Apperception Test. </w:t>
      </w:r>
      <w:r w:rsidRPr="00A20121">
        <w:rPr>
          <w:rFonts w:ascii="Times New Roman" w:eastAsia="Calibri" w:hAnsi="Times New Roman" w:cs="Times New Roman"/>
          <w:i/>
          <w:kern w:val="0"/>
          <w14:ligatures w14:val="none"/>
        </w:rPr>
        <w:t>Journal of Personality Assessment, 77(3),</w:t>
      </w:r>
      <w:r w:rsidRPr="00A20121">
        <w:rPr>
          <w:rFonts w:ascii="Times New Roman" w:eastAsia="Calibri" w:hAnsi="Times New Roman" w:cs="Times New Roman"/>
          <w:kern w:val="0"/>
          <w14:ligatures w14:val="none"/>
        </w:rPr>
        <w:t xml:space="preserve"> 408-419.</w:t>
      </w:r>
    </w:p>
    <w:p w14:paraId="5D81ED99" w14:textId="5C84FC11" w:rsidR="00F26FB5" w:rsidRDefault="00F26FB5" w:rsidP="00E24B5C">
      <w:pPr>
        <w:spacing w:after="0" w:line="480" w:lineRule="auto"/>
        <w:ind w:left="720" w:hanging="720"/>
        <w:contextualSpacing/>
        <w:rPr>
          <w:rFonts w:ascii="Times New Roman" w:eastAsia="Calibri" w:hAnsi="Times New Roman" w:cs="Times New Roman"/>
          <w:kern w:val="0"/>
          <w14:ligatures w14:val="none"/>
        </w:rPr>
      </w:pPr>
      <w:r w:rsidRPr="00F26FB5">
        <w:rPr>
          <w:rFonts w:ascii="Times New Roman" w:eastAsia="Calibri" w:hAnsi="Times New Roman" w:cs="Times New Roman"/>
          <w:kern w:val="0"/>
          <w14:ligatures w14:val="none"/>
        </w:rPr>
        <w:t xml:space="preserve">Hopwood, C. J., &amp; Bornstein, R. F. (Eds.) (2014). </w:t>
      </w:r>
      <w:r w:rsidRPr="00F26FB5">
        <w:rPr>
          <w:rFonts w:ascii="Times New Roman" w:eastAsia="Calibri" w:hAnsi="Times New Roman" w:cs="Times New Roman"/>
          <w:i/>
          <w:iCs/>
          <w:kern w:val="0"/>
          <w14:ligatures w14:val="none"/>
        </w:rPr>
        <w:t>Multimethod clinical assessment</w:t>
      </w:r>
      <w:r w:rsidRPr="00F26FB5">
        <w:rPr>
          <w:rFonts w:ascii="Times New Roman" w:eastAsia="Calibri" w:hAnsi="Times New Roman" w:cs="Times New Roman"/>
          <w:kern w:val="0"/>
          <w14:ligatures w14:val="none"/>
        </w:rPr>
        <w:t>. New York, NY, US: Guilford Press.</w:t>
      </w:r>
    </w:p>
    <w:p w14:paraId="0F42D2C8" w14:textId="77777777" w:rsidR="00A20121" w:rsidRPr="00A20121" w:rsidRDefault="00A20121" w:rsidP="00A20121">
      <w:pPr>
        <w:spacing w:after="0" w:line="480" w:lineRule="auto"/>
        <w:ind w:left="720" w:hanging="720"/>
        <w:contextualSpacing/>
        <w:rPr>
          <w:rFonts w:ascii="Times New Roman" w:eastAsia="Calibri" w:hAnsi="Times New Roman" w:cs="Times New Roman"/>
          <w:kern w:val="0"/>
          <w14:ligatures w14:val="none"/>
        </w:rPr>
      </w:pPr>
      <w:r w:rsidRPr="00A20121">
        <w:rPr>
          <w:rFonts w:ascii="Times New Roman" w:eastAsia="Calibri" w:hAnsi="Times New Roman" w:cs="Times New Roman"/>
          <w:kern w:val="0"/>
          <w14:ligatures w14:val="none"/>
        </w:rPr>
        <w:t xml:space="preserve">Jenkins, S. R. (2017a). The narrative arc of TATs: Introduction to the JPA special section on thematic apperceptive techniques. </w:t>
      </w:r>
      <w:r w:rsidRPr="00A20121">
        <w:rPr>
          <w:rFonts w:ascii="Times New Roman" w:eastAsia="Calibri" w:hAnsi="Times New Roman" w:cs="Times New Roman"/>
          <w:i/>
          <w:kern w:val="0"/>
          <w14:ligatures w14:val="none"/>
        </w:rPr>
        <w:t>Journal of Personality Assessment</w:t>
      </w:r>
      <w:r w:rsidRPr="00A20121">
        <w:rPr>
          <w:rFonts w:ascii="Times New Roman" w:eastAsia="Calibri" w:hAnsi="Times New Roman" w:cs="Times New Roman"/>
          <w:i/>
          <w:iCs/>
          <w:kern w:val="0"/>
          <w14:ligatures w14:val="none"/>
        </w:rPr>
        <w:t>, 99</w:t>
      </w:r>
      <w:r w:rsidRPr="00A20121">
        <w:rPr>
          <w:rFonts w:ascii="Times New Roman" w:eastAsia="Calibri" w:hAnsi="Times New Roman" w:cs="Times New Roman"/>
          <w:i/>
          <w:kern w:val="0"/>
          <w14:ligatures w14:val="none"/>
        </w:rPr>
        <w:t xml:space="preserve">, </w:t>
      </w:r>
      <w:r w:rsidRPr="00A20121">
        <w:rPr>
          <w:rFonts w:ascii="Times New Roman" w:eastAsia="Calibri" w:hAnsi="Times New Roman" w:cs="Times New Roman"/>
          <w:kern w:val="0"/>
          <w14:ligatures w14:val="none"/>
        </w:rPr>
        <w:t>225-237. DOI: 10.1080/00223891.2016.1244066</w:t>
      </w:r>
    </w:p>
    <w:p w14:paraId="525B2FBA" w14:textId="119CFED4" w:rsidR="00A20121" w:rsidRDefault="00A20121" w:rsidP="00A20121">
      <w:pPr>
        <w:spacing w:after="0" w:line="480" w:lineRule="auto"/>
        <w:ind w:left="720" w:hanging="720"/>
        <w:contextualSpacing/>
        <w:rPr>
          <w:rFonts w:ascii="Times New Roman" w:eastAsia="Calibri" w:hAnsi="Times New Roman" w:cs="Times New Roman"/>
          <w:kern w:val="0"/>
          <w14:ligatures w14:val="none"/>
        </w:rPr>
      </w:pPr>
      <w:r w:rsidRPr="00A20121">
        <w:rPr>
          <w:rFonts w:ascii="Times New Roman" w:eastAsia="Calibri" w:hAnsi="Times New Roman" w:cs="Times New Roman"/>
          <w:kern w:val="0"/>
          <w14:ligatures w14:val="none"/>
        </w:rPr>
        <w:lastRenderedPageBreak/>
        <w:t xml:space="preserve">Jenkins, S. R. (2017b). Not your same old story: New rules for thematic apperceptive techniques (TATs). </w:t>
      </w:r>
      <w:r w:rsidRPr="00A20121">
        <w:rPr>
          <w:rFonts w:ascii="Times New Roman" w:eastAsia="Calibri" w:hAnsi="Times New Roman" w:cs="Times New Roman"/>
          <w:i/>
          <w:kern w:val="0"/>
          <w14:ligatures w14:val="none"/>
        </w:rPr>
        <w:t xml:space="preserve">Journal of Personality Assessment, 99, </w:t>
      </w:r>
      <w:r w:rsidRPr="00A20121">
        <w:rPr>
          <w:rFonts w:ascii="Times New Roman" w:eastAsia="Calibri" w:hAnsi="Times New Roman" w:cs="Times New Roman"/>
          <w:kern w:val="0"/>
          <w14:ligatures w14:val="none"/>
        </w:rPr>
        <w:t>238-253.  DOI: 10.1080/00223891.2016.1248972</w:t>
      </w:r>
    </w:p>
    <w:p w14:paraId="0291E5EE" w14:textId="77777777" w:rsidR="00E24B5C" w:rsidRPr="00E24B5C" w:rsidRDefault="00E24B5C" w:rsidP="00E24B5C">
      <w:pPr>
        <w:spacing w:after="0" w:line="480" w:lineRule="auto"/>
        <w:ind w:left="720" w:hanging="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 xml:space="preserve">Jenkins, S. R.  (1994).  Need for power and women's careers over 14 years: Structural power, job satisfaction, and motive change. </w:t>
      </w:r>
      <w:r w:rsidRPr="00E24B5C">
        <w:rPr>
          <w:rFonts w:ascii="Times New Roman" w:eastAsia="Calibri" w:hAnsi="Times New Roman" w:cs="Times New Roman"/>
          <w:i/>
          <w:kern w:val="0"/>
          <w14:ligatures w14:val="none"/>
        </w:rPr>
        <w:t>Journal of Person</w:t>
      </w:r>
      <w:r w:rsidRPr="00E24B5C">
        <w:rPr>
          <w:rFonts w:ascii="Times New Roman" w:eastAsia="Calibri" w:hAnsi="Times New Roman" w:cs="Times New Roman"/>
          <w:i/>
          <w:kern w:val="0"/>
          <w14:ligatures w14:val="none"/>
        </w:rPr>
        <w:softHyphen/>
        <w:t>ality and Social Psychology, 66,</w:t>
      </w:r>
      <w:r w:rsidRPr="00E24B5C">
        <w:rPr>
          <w:rFonts w:ascii="Times New Roman" w:eastAsia="Calibri" w:hAnsi="Times New Roman" w:cs="Times New Roman"/>
          <w:kern w:val="0"/>
          <w14:ligatures w14:val="none"/>
        </w:rPr>
        <w:t xml:space="preserve"> 155-165.</w:t>
      </w:r>
    </w:p>
    <w:p w14:paraId="322E863F" w14:textId="77777777" w:rsidR="00E24B5C" w:rsidRPr="00E24B5C" w:rsidRDefault="00E24B5C" w:rsidP="00E24B5C">
      <w:pPr>
        <w:spacing w:after="0" w:line="480" w:lineRule="auto"/>
        <w:ind w:left="720" w:hanging="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 xml:space="preserve">Jenkins, S. R.  (1987).  Need for achievement and women's careers over 14 years:  Evidence for occupational structure effects. </w:t>
      </w:r>
      <w:r w:rsidRPr="00E24B5C">
        <w:rPr>
          <w:rFonts w:ascii="Times New Roman" w:eastAsia="Calibri" w:hAnsi="Times New Roman" w:cs="Times New Roman"/>
          <w:i/>
          <w:kern w:val="0"/>
          <w14:ligatures w14:val="none"/>
        </w:rPr>
        <w:t>Journal of Personality and Social Psychology, 53</w:t>
      </w:r>
      <w:r w:rsidRPr="00E24B5C">
        <w:rPr>
          <w:rFonts w:ascii="Times New Roman" w:eastAsia="Calibri" w:hAnsi="Times New Roman" w:cs="Times New Roman"/>
          <w:kern w:val="0"/>
          <w14:ligatures w14:val="none"/>
        </w:rPr>
        <w:t>, 922-932.</w:t>
      </w:r>
    </w:p>
    <w:p w14:paraId="3F2C24A2" w14:textId="77777777" w:rsidR="00E24B5C" w:rsidRPr="00E24B5C" w:rsidRDefault="00E24B5C" w:rsidP="00E24B5C">
      <w:pPr>
        <w:spacing w:after="0" w:line="480" w:lineRule="auto"/>
        <w:ind w:left="720" w:hanging="720"/>
        <w:contextualSpacing/>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 xml:space="preserve">Jenkins, S. R., Siefert, C. J., &amp; Weber, K. (2020). Interpersonal decentering and person–situation interaction in the Thematic Apperception Test: Is it all in the cards? What’s the story?. </w:t>
      </w:r>
      <w:r w:rsidRPr="00E24B5C">
        <w:rPr>
          <w:rFonts w:ascii="Times New Roman" w:eastAsia="Calibri" w:hAnsi="Times New Roman" w:cs="Times New Roman"/>
          <w:i/>
          <w:kern w:val="0"/>
          <w14:ligatures w14:val="none"/>
        </w:rPr>
        <w:t>Journal of Personality Assessmen</w:t>
      </w:r>
      <w:r w:rsidRPr="00E24B5C">
        <w:rPr>
          <w:rFonts w:ascii="Times New Roman" w:eastAsia="Calibri" w:hAnsi="Times New Roman" w:cs="Times New Roman"/>
          <w:i/>
          <w:iCs/>
          <w:kern w:val="0"/>
          <w14:ligatures w14:val="none"/>
        </w:rPr>
        <w:t xml:space="preserve">t, 102, </w:t>
      </w:r>
      <w:r w:rsidRPr="00E24B5C">
        <w:rPr>
          <w:rFonts w:ascii="Times New Roman" w:eastAsia="Calibri" w:hAnsi="Times New Roman" w:cs="Times New Roman"/>
          <w:kern w:val="0"/>
          <w14:ligatures w14:val="none"/>
        </w:rPr>
        <w:t>551-562. doi: 10.1080/00223891.2018.1557668</w:t>
      </w:r>
    </w:p>
    <w:p w14:paraId="491A6476" w14:textId="77777777" w:rsidR="006729DF" w:rsidRPr="006729DF" w:rsidRDefault="006729DF" w:rsidP="006729DF">
      <w:pPr>
        <w:spacing w:after="0" w:line="480" w:lineRule="auto"/>
        <w:ind w:left="720" w:hanging="720"/>
        <w:contextualSpacing/>
        <w:rPr>
          <w:rFonts w:ascii="Times New Roman" w:eastAsia="Calibri" w:hAnsi="Times New Roman" w:cs="Times New Roman"/>
          <w:kern w:val="0"/>
          <w14:ligatures w14:val="none"/>
        </w:rPr>
      </w:pPr>
      <w:r w:rsidRPr="006729DF">
        <w:rPr>
          <w:rFonts w:ascii="Times New Roman" w:eastAsia="Calibri" w:hAnsi="Times New Roman" w:cs="Times New Roman"/>
          <w:kern w:val="0"/>
          <w14:ligatures w14:val="none"/>
        </w:rPr>
        <w:t xml:space="preserve">Kuhn, T. S. (1970). </w:t>
      </w:r>
      <w:r w:rsidRPr="006729DF">
        <w:rPr>
          <w:rFonts w:ascii="Times New Roman" w:eastAsia="Calibri" w:hAnsi="Times New Roman" w:cs="Times New Roman"/>
          <w:i/>
          <w:kern w:val="0"/>
          <w14:ligatures w14:val="none"/>
        </w:rPr>
        <w:t>The structure of scientific revolutions</w:t>
      </w:r>
      <w:r w:rsidRPr="006729DF">
        <w:rPr>
          <w:rFonts w:ascii="Times New Roman" w:eastAsia="Calibri" w:hAnsi="Times New Roman" w:cs="Times New Roman"/>
          <w:kern w:val="0"/>
          <w14:ligatures w14:val="none"/>
        </w:rPr>
        <w:t>. Chicago: University of Chicago Press.</w:t>
      </w:r>
    </w:p>
    <w:p w14:paraId="774685C2" w14:textId="6581F957" w:rsidR="00E24B5C" w:rsidRDefault="00E24B5C" w:rsidP="00E24B5C">
      <w:pPr>
        <w:spacing w:after="0" w:line="480" w:lineRule="auto"/>
        <w:ind w:left="720" w:hanging="720"/>
        <w:contextualSpacing/>
        <w:rPr>
          <w:rFonts w:ascii="Times New Roman" w:eastAsia="Century Schoolbook" w:hAnsi="Times New Roman" w:cs="Times New Roman"/>
        </w:rPr>
      </w:pPr>
      <w:r w:rsidRPr="00E24B5C">
        <w:rPr>
          <w:rFonts w:ascii="Times New Roman" w:eastAsia="Century Schoolbook" w:hAnsi="Times New Roman" w:cs="Times New Roman"/>
        </w:rPr>
        <w:t xml:space="preserve">LeVine, R. A.; Strangman, E., &amp; Unterberger, L. (1966). </w:t>
      </w:r>
      <w:r w:rsidRPr="00E24B5C">
        <w:rPr>
          <w:rFonts w:ascii="Times New Roman" w:eastAsia="Century Schoolbook" w:hAnsi="Times New Roman" w:cs="Times New Roman"/>
          <w:i/>
          <w:iCs/>
        </w:rPr>
        <w:t>Dreams and deeds: Achievement motivation in Nigeria.</w:t>
      </w:r>
      <w:r w:rsidRPr="00E24B5C">
        <w:rPr>
          <w:rFonts w:ascii="Times New Roman" w:eastAsia="Century Schoolbook" w:hAnsi="Times New Roman" w:cs="Times New Roman"/>
        </w:rPr>
        <w:t xml:space="preserve"> University of Chicago Press: Chicago.</w:t>
      </w:r>
    </w:p>
    <w:p w14:paraId="0808CF2D" w14:textId="77777777" w:rsidR="00F26FB5" w:rsidRPr="00F26FB5" w:rsidRDefault="00F26FB5" w:rsidP="00F26FB5">
      <w:pPr>
        <w:spacing w:after="0" w:line="480" w:lineRule="auto"/>
        <w:ind w:left="720" w:hanging="720"/>
        <w:contextualSpacing/>
        <w:rPr>
          <w:rFonts w:ascii="Times New Roman" w:eastAsia="Calibri" w:hAnsi="Times New Roman" w:cs="Times New Roman"/>
          <w:kern w:val="0"/>
          <w14:ligatures w14:val="none"/>
        </w:rPr>
      </w:pPr>
      <w:r w:rsidRPr="00F26FB5">
        <w:rPr>
          <w:rFonts w:ascii="Times New Roman" w:eastAsia="Calibri" w:hAnsi="Times New Roman" w:cs="Times New Roman"/>
          <w:kern w:val="0"/>
          <w14:ligatures w14:val="none"/>
        </w:rPr>
        <w:t xml:space="preserve">Lilienfeld, S. O., Wood, J. M., &amp; Garb, H. N. (2000). The scientific status of projective techniques. </w:t>
      </w:r>
      <w:r w:rsidRPr="00F26FB5">
        <w:rPr>
          <w:rFonts w:ascii="Times New Roman" w:eastAsia="Calibri" w:hAnsi="Times New Roman" w:cs="Times New Roman"/>
          <w:i/>
          <w:iCs/>
          <w:kern w:val="0"/>
          <w14:ligatures w14:val="none"/>
        </w:rPr>
        <w:t>Psychological Science in the Public Interest</w:t>
      </w:r>
      <w:r w:rsidRPr="00F26FB5">
        <w:rPr>
          <w:rFonts w:ascii="Times New Roman" w:eastAsia="Calibri" w:hAnsi="Times New Roman" w:cs="Times New Roman"/>
          <w:kern w:val="0"/>
          <w14:ligatures w14:val="none"/>
        </w:rPr>
        <w:t xml:space="preserve">, </w:t>
      </w:r>
      <w:r w:rsidRPr="00F26FB5">
        <w:rPr>
          <w:rFonts w:ascii="Times New Roman" w:eastAsia="Calibri" w:hAnsi="Times New Roman" w:cs="Times New Roman"/>
          <w:i/>
          <w:iCs/>
          <w:kern w:val="0"/>
          <w14:ligatures w14:val="none"/>
        </w:rPr>
        <w:t>1</w:t>
      </w:r>
      <w:r w:rsidRPr="00F26FB5">
        <w:rPr>
          <w:rFonts w:ascii="Times New Roman" w:eastAsia="Calibri" w:hAnsi="Times New Roman" w:cs="Times New Roman"/>
          <w:kern w:val="0"/>
          <w14:ligatures w14:val="none"/>
        </w:rPr>
        <w:t>(2), 27–66.</w:t>
      </w:r>
    </w:p>
    <w:p w14:paraId="20823968" w14:textId="77777777" w:rsidR="00A20121" w:rsidRPr="00A20121" w:rsidRDefault="00A20121" w:rsidP="00A20121">
      <w:pPr>
        <w:spacing w:after="0" w:line="480" w:lineRule="auto"/>
        <w:ind w:left="720" w:hanging="720"/>
        <w:contextualSpacing/>
        <w:rPr>
          <w:rFonts w:ascii="Times New Roman" w:eastAsia="Calibri" w:hAnsi="Times New Roman" w:cs="Times New Roman"/>
          <w:kern w:val="0"/>
          <w14:ligatures w14:val="none"/>
        </w:rPr>
      </w:pPr>
      <w:r w:rsidRPr="00A20121">
        <w:rPr>
          <w:rFonts w:ascii="Times New Roman" w:eastAsia="Calibri" w:hAnsi="Times New Roman" w:cs="Times New Roman"/>
          <w:kern w:val="0"/>
          <w14:ligatures w14:val="none"/>
        </w:rPr>
        <w:t xml:space="preserve">Meyer, G. J., Hosseininasab, A., Viglione, D. J., Mihura, J. L., Berant, E., Resende, A. C., &amp; Reese, J. (2020). The effect of CS administration or an R-optimized alternative on potential projective material in Rorschach responses from six studies and a meta-analysis of their findings. </w:t>
      </w:r>
      <w:r w:rsidRPr="00A20121">
        <w:rPr>
          <w:rFonts w:ascii="Times New Roman" w:eastAsia="Calibri" w:hAnsi="Times New Roman" w:cs="Times New Roman"/>
          <w:i/>
          <w:iCs/>
          <w:kern w:val="0"/>
          <w14:ligatures w14:val="none"/>
        </w:rPr>
        <w:t>Journal of Personality Assessment</w:t>
      </w:r>
      <w:r w:rsidRPr="00A20121">
        <w:rPr>
          <w:rFonts w:ascii="Times New Roman" w:eastAsia="Calibri" w:hAnsi="Times New Roman" w:cs="Times New Roman"/>
          <w:kern w:val="0"/>
          <w14:ligatures w14:val="none"/>
        </w:rPr>
        <w:t xml:space="preserve">, </w:t>
      </w:r>
      <w:r w:rsidRPr="00A20121">
        <w:rPr>
          <w:rFonts w:ascii="Times New Roman" w:eastAsia="Calibri" w:hAnsi="Times New Roman" w:cs="Times New Roman"/>
          <w:i/>
          <w:iCs/>
          <w:kern w:val="0"/>
          <w14:ligatures w14:val="none"/>
        </w:rPr>
        <w:t>102</w:t>
      </w:r>
      <w:r w:rsidRPr="00A20121">
        <w:rPr>
          <w:rFonts w:ascii="Times New Roman" w:eastAsia="Calibri" w:hAnsi="Times New Roman" w:cs="Times New Roman"/>
          <w:kern w:val="0"/>
          <w14:ligatures w14:val="none"/>
        </w:rPr>
        <w:t>(1), 135–146.</w:t>
      </w:r>
    </w:p>
    <w:p w14:paraId="1A24BE96" w14:textId="77777777" w:rsidR="00F26FB5" w:rsidRPr="00F26FB5" w:rsidRDefault="00F26FB5" w:rsidP="00F26FB5">
      <w:pPr>
        <w:spacing w:after="0" w:line="480" w:lineRule="auto"/>
        <w:ind w:left="720" w:hanging="720"/>
        <w:contextualSpacing/>
        <w:rPr>
          <w:rFonts w:ascii="Times New Roman" w:eastAsia="Calibri" w:hAnsi="Times New Roman" w:cs="Times New Roman"/>
          <w:kern w:val="0"/>
          <w14:ligatures w14:val="none"/>
        </w:rPr>
      </w:pPr>
      <w:r w:rsidRPr="00F26FB5">
        <w:rPr>
          <w:rFonts w:ascii="Times New Roman" w:eastAsia="Calibri" w:hAnsi="Times New Roman" w:cs="Times New Roman"/>
          <w:kern w:val="0"/>
          <w14:ligatures w14:val="none"/>
        </w:rPr>
        <w:lastRenderedPageBreak/>
        <w:t xml:space="preserve">Meyer, G. J., &amp; Kurtz, J. E. (2006). Advancing personality assessment terminology: Time to retire 'objective' and 'projective' as personality test descriptors. </w:t>
      </w:r>
      <w:r w:rsidRPr="00F26FB5">
        <w:rPr>
          <w:rFonts w:ascii="Times New Roman" w:eastAsia="Calibri" w:hAnsi="Times New Roman" w:cs="Times New Roman"/>
          <w:i/>
          <w:iCs/>
          <w:kern w:val="0"/>
          <w14:ligatures w14:val="none"/>
        </w:rPr>
        <w:t>Journal of Personality Assessment</w:t>
      </w:r>
      <w:r w:rsidRPr="00F26FB5">
        <w:rPr>
          <w:rFonts w:ascii="Times New Roman" w:eastAsia="Calibri" w:hAnsi="Times New Roman" w:cs="Times New Roman"/>
          <w:kern w:val="0"/>
          <w14:ligatures w14:val="none"/>
        </w:rPr>
        <w:t xml:space="preserve">, </w:t>
      </w:r>
      <w:r w:rsidRPr="00F26FB5">
        <w:rPr>
          <w:rFonts w:ascii="Times New Roman" w:eastAsia="Calibri" w:hAnsi="Times New Roman" w:cs="Times New Roman"/>
          <w:i/>
          <w:iCs/>
          <w:kern w:val="0"/>
          <w14:ligatures w14:val="none"/>
        </w:rPr>
        <w:t>87</w:t>
      </w:r>
      <w:r w:rsidRPr="00F26FB5">
        <w:rPr>
          <w:rFonts w:ascii="Times New Roman" w:eastAsia="Calibri" w:hAnsi="Times New Roman" w:cs="Times New Roman"/>
          <w:kern w:val="0"/>
          <w14:ligatures w14:val="none"/>
        </w:rPr>
        <w:t>(3), 223-225. doi:10.1207/s15327752jpa8703_01</w:t>
      </w:r>
    </w:p>
    <w:p w14:paraId="328F5588" w14:textId="72EE0E80" w:rsidR="00E24B5C" w:rsidRDefault="00E24B5C" w:rsidP="00E24B5C">
      <w:pPr>
        <w:spacing w:after="0" w:line="480" w:lineRule="auto"/>
        <w:ind w:left="720" w:hanging="720"/>
        <w:rPr>
          <w:rFonts w:ascii="Times New Roman" w:eastAsia="Calibri" w:hAnsi="Times New Roman" w:cs="Times New Roman"/>
          <w:kern w:val="0"/>
          <w14:ligatures w14:val="none"/>
        </w:rPr>
      </w:pPr>
      <w:r w:rsidRPr="00E24B5C">
        <w:rPr>
          <w:rFonts w:ascii="Times New Roman" w:eastAsia="Calibri" w:hAnsi="Times New Roman" w:cs="Times New Roman"/>
          <w:kern w:val="0"/>
          <w14:ligatures w14:val="none"/>
        </w:rPr>
        <w:t xml:space="preserve">Murray, H. A. (1943). </w:t>
      </w:r>
      <w:r w:rsidRPr="00E24B5C">
        <w:rPr>
          <w:rFonts w:ascii="Times New Roman" w:eastAsia="Calibri" w:hAnsi="Times New Roman" w:cs="Times New Roman"/>
          <w:i/>
          <w:kern w:val="0"/>
          <w14:ligatures w14:val="none"/>
        </w:rPr>
        <w:t>Thematic Apperception Test manual.</w:t>
      </w:r>
      <w:r w:rsidRPr="00E24B5C">
        <w:rPr>
          <w:rFonts w:ascii="Times New Roman" w:eastAsia="Calibri" w:hAnsi="Times New Roman" w:cs="Times New Roman"/>
          <w:kern w:val="0"/>
          <w14:ligatures w14:val="none"/>
        </w:rPr>
        <w:t xml:space="preserve"> Cambridge, MA: Harvard University Press.</w:t>
      </w:r>
    </w:p>
    <w:p w14:paraId="726337F5" w14:textId="6366B341" w:rsidR="006729DF" w:rsidRDefault="006729DF" w:rsidP="00E24B5C">
      <w:pPr>
        <w:spacing w:after="0" w:line="480" w:lineRule="auto"/>
        <w:ind w:left="720" w:hanging="720"/>
        <w:rPr>
          <w:rFonts w:ascii="Times New Roman" w:eastAsia="Calibri" w:hAnsi="Times New Roman" w:cs="Times New Roman"/>
          <w:kern w:val="0"/>
          <w14:ligatures w14:val="none"/>
        </w:rPr>
      </w:pPr>
      <w:r w:rsidRPr="006729DF">
        <w:rPr>
          <w:rFonts w:ascii="Times New Roman" w:eastAsia="Calibri" w:hAnsi="Times New Roman" w:cs="Times New Roman"/>
          <w:kern w:val="0"/>
          <w14:ligatures w14:val="none"/>
        </w:rPr>
        <w:t xml:space="preserve">Rosenzweig, S., &amp; Fleming, E. E. (1949). Apperceptive norms for the Thematic Apperception Test II. An empirical investigation. </w:t>
      </w:r>
      <w:r w:rsidRPr="006729DF">
        <w:rPr>
          <w:rFonts w:ascii="Times New Roman" w:eastAsia="Calibri" w:hAnsi="Times New Roman" w:cs="Times New Roman"/>
          <w:i/>
          <w:iCs/>
          <w:kern w:val="0"/>
          <w14:ligatures w14:val="none"/>
        </w:rPr>
        <w:t>Journal of Personality</w:t>
      </w:r>
      <w:r w:rsidRPr="006729DF">
        <w:rPr>
          <w:rFonts w:ascii="Times New Roman" w:eastAsia="Calibri" w:hAnsi="Times New Roman" w:cs="Times New Roman"/>
          <w:kern w:val="0"/>
          <w14:ligatures w14:val="none"/>
        </w:rPr>
        <w:t xml:space="preserve">, </w:t>
      </w:r>
      <w:r w:rsidRPr="006729DF">
        <w:rPr>
          <w:rFonts w:ascii="Times New Roman" w:eastAsia="Calibri" w:hAnsi="Times New Roman" w:cs="Times New Roman"/>
          <w:i/>
          <w:iCs/>
          <w:kern w:val="0"/>
          <w14:ligatures w14:val="none"/>
        </w:rPr>
        <w:t xml:space="preserve">17, </w:t>
      </w:r>
      <w:r w:rsidRPr="006729DF">
        <w:rPr>
          <w:rFonts w:ascii="Times New Roman" w:eastAsia="Calibri" w:hAnsi="Times New Roman" w:cs="Times New Roman"/>
          <w:kern w:val="0"/>
          <w14:ligatures w14:val="none"/>
        </w:rPr>
        <w:t>483-503. doi:10.1111/j.1467-6494.1949.tb01226.x</w:t>
      </w:r>
    </w:p>
    <w:p w14:paraId="4EAE59D6" w14:textId="11B94D2C" w:rsidR="00BE2FB3" w:rsidRDefault="00BE2FB3" w:rsidP="00E24B5C">
      <w:pPr>
        <w:spacing w:after="0" w:line="480" w:lineRule="auto"/>
        <w:ind w:left="720" w:hanging="720"/>
        <w:rPr>
          <w:rFonts w:ascii="Times New Roman" w:eastAsia="Calibri" w:hAnsi="Times New Roman" w:cs="Times New Roman"/>
          <w:kern w:val="0"/>
          <w14:ligatures w14:val="none"/>
        </w:rPr>
      </w:pPr>
      <w:r w:rsidRPr="00BE2FB3">
        <w:rPr>
          <w:rFonts w:ascii="Times New Roman" w:eastAsia="Calibri" w:hAnsi="Times New Roman" w:cs="Times New Roman"/>
          <w:kern w:val="0"/>
          <w14:ligatures w14:val="none"/>
        </w:rPr>
        <w:t xml:space="preserve">Shedler, J., Mayman, M., &amp; Manis, M. (1993). The illusion of mental health. </w:t>
      </w:r>
      <w:r w:rsidRPr="00BE2FB3">
        <w:rPr>
          <w:rFonts w:ascii="Times New Roman" w:eastAsia="Calibri" w:hAnsi="Times New Roman" w:cs="Times New Roman"/>
          <w:i/>
          <w:iCs/>
          <w:kern w:val="0"/>
          <w14:ligatures w14:val="none"/>
        </w:rPr>
        <w:t>American Psychologist</w:t>
      </w:r>
      <w:r w:rsidRPr="00BE2FB3">
        <w:rPr>
          <w:rFonts w:ascii="Times New Roman" w:eastAsia="Calibri" w:hAnsi="Times New Roman" w:cs="Times New Roman"/>
          <w:kern w:val="0"/>
          <w14:ligatures w14:val="none"/>
        </w:rPr>
        <w:t xml:space="preserve">, </w:t>
      </w:r>
      <w:r w:rsidRPr="00BE2FB3">
        <w:rPr>
          <w:rFonts w:ascii="Times New Roman" w:eastAsia="Calibri" w:hAnsi="Times New Roman" w:cs="Times New Roman"/>
          <w:i/>
          <w:iCs/>
          <w:kern w:val="0"/>
          <w14:ligatures w14:val="none"/>
        </w:rPr>
        <w:t>48</w:t>
      </w:r>
      <w:r w:rsidRPr="00BE2FB3">
        <w:rPr>
          <w:rFonts w:ascii="Times New Roman" w:eastAsia="Calibri" w:hAnsi="Times New Roman" w:cs="Times New Roman"/>
          <w:kern w:val="0"/>
          <w14:ligatures w14:val="none"/>
        </w:rPr>
        <w:t>(11), 1117–1131.</w:t>
      </w:r>
    </w:p>
    <w:p w14:paraId="2933C37C" w14:textId="41DF3746" w:rsidR="00A20121" w:rsidRDefault="00A20121" w:rsidP="00E24B5C">
      <w:pPr>
        <w:spacing w:after="0" w:line="480" w:lineRule="auto"/>
        <w:ind w:left="720" w:hanging="720"/>
        <w:rPr>
          <w:rFonts w:ascii="Times New Roman" w:eastAsia="Calibri" w:hAnsi="Times New Roman" w:cs="Times New Roman"/>
          <w:kern w:val="0"/>
          <w14:ligatures w14:val="none"/>
        </w:rPr>
      </w:pPr>
      <w:r w:rsidRPr="00A20121">
        <w:rPr>
          <w:rFonts w:ascii="Times New Roman" w:eastAsia="Calibri" w:hAnsi="Times New Roman" w:cs="Times New Roman"/>
          <w:kern w:val="0"/>
          <w14:ligatures w14:val="none"/>
        </w:rPr>
        <w:t xml:space="preserve">Sinclair, S. J., Carpenter, K. E., Cowie, K. D., AhnAllen, C. G., &amp; Haggerty, G. (2023). A critical review of the Social Cognition and Object Relations Scale–Global and Thematic Apperception Test in clinical practice and research: Psychometric limitations and ethical implications. </w:t>
      </w:r>
      <w:r w:rsidRPr="00A20121">
        <w:rPr>
          <w:rFonts w:ascii="Times New Roman" w:eastAsia="Calibri" w:hAnsi="Times New Roman" w:cs="Times New Roman"/>
          <w:i/>
          <w:iCs/>
          <w:kern w:val="0"/>
          <w14:ligatures w14:val="none"/>
        </w:rPr>
        <w:t>Psychological Assessment</w:t>
      </w:r>
      <w:r w:rsidRPr="00A20121">
        <w:rPr>
          <w:rFonts w:ascii="Times New Roman" w:eastAsia="Calibri" w:hAnsi="Times New Roman" w:cs="Times New Roman"/>
          <w:kern w:val="0"/>
          <w14:ligatures w14:val="none"/>
        </w:rPr>
        <w:t xml:space="preserve">, </w:t>
      </w:r>
      <w:r w:rsidRPr="00A20121">
        <w:rPr>
          <w:rFonts w:ascii="Times New Roman" w:eastAsia="Calibri" w:hAnsi="Times New Roman" w:cs="Times New Roman"/>
          <w:i/>
          <w:iCs/>
          <w:kern w:val="0"/>
          <w14:ligatures w14:val="none"/>
        </w:rPr>
        <w:t>35</w:t>
      </w:r>
      <w:r w:rsidRPr="00A20121">
        <w:rPr>
          <w:rFonts w:ascii="Times New Roman" w:eastAsia="Calibri" w:hAnsi="Times New Roman" w:cs="Times New Roman"/>
          <w:kern w:val="0"/>
          <w14:ligatures w14:val="none"/>
        </w:rPr>
        <w:t>(9), 778–790.</w:t>
      </w:r>
    </w:p>
    <w:p w14:paraId="4805BAF1" w14:textId="1EE199BA" w:rsidR="006729DF" w:rsidRDefault="006729DF" w:rsidP="00E24B5C">
      <w:pPr>
        <w:spacing w:after="0" w:line="480" w:lineRule="auto"/>
        <w:ind w:left="720" w:hanging="720"/>
        <w:rPr>
          <w:rFonts w:ascii="Times New Roman" w:eastAsia="Calibri" w:hAnsi="Times New Roman" w:cs="Times New Roman"/>
          <w:kern w:val="0"/>
          <w14:ligatures w14:val="none"/>
        </w:rPr>
      </w:pPr>
      <w:r w:rsidRPr="006729DF">
        <w:rPr>
          <w:rFonts w:ascii="Times New Roman" w:eastAsia="Calibri" w:hAnsi="Times New Roman" w:cs="Times New Roman"/>
          <w:kern w:val="0"/>
          <w14:ligatures w14:val="none"/>
        </w:rPr>
        <w:t xml:space="preserve">Sue, S. (1999). Science, ethnicity, and bias: Where have we gone wrong? </w:t>
      </w:r>
      <w:r w:rsidRPr="006729DF">
        <w:rPr>
          <w:rFonts w:ascii="Times New Roman" w:eastAsia="Calibri" w:hAnsi="Times New Roman" w:cs="Times New Roman"/>
          <w:i/>
          <w:kern w:val="0"/>
          <w14:ligatures w14:val="none"/>
        </w:rPr>
        <w:t>American Psychologist, 54,</w:t>
      </w:r>
      <w:r w:rsidRPr="006729DF">
        <w:rPr>
          <w:rFonts w:ascii="Times New Roman" w:eastAsia="Calibri" w:hAnsi="Times New Roman" w:cs="Times New Roman"/>
          <w:kern w:val="0"/>
          <w14:ligatures w14:val="none"/>
        </w:rPr>
        <w:t xml:space="preserve"> 1070-1077.</w:t>
      </w:r>
    </w:p>
    <w:p w14:paraId="7B8C3EE3" w14:textId="77777777" w:rsidR="006729DF" w:rsidRPr="006729DF" w:rsidRDefault="006729DF" w:rsidP="006729DF">
      <w:pPr>
        <w:spacing w:after="0" w:line="480" w:lineRule="auto"/>
        <w:ind w:left="720" w:hanging="720"/>
        <w:contextualSpacing/>
        <w:rPr>
          <w:rFonts w:ascii="Times New Roman" w:eastAsia="Calibri" w:hAnsi="Times New Roman" w:cs="Times New Roman"/>
          <w:kern w:val="0"/>
          <w14:ligatures w14:val="none"/>
        </w:rPr>
      </w:pPr>
      <w:r w:rsidRPr="006729DF">
        <w:rPr>
          <w:rFonts w:ascii="Times New Roman" w:eastAsia="Calibri" w:hAnsi="Times New Roman" w:cs="Times New Roman"/>
          <w:kern w:val="0"/>
          <w14:ligatures w14:val="none"/>
        </w:rPr>
        <w:t xml:space="preserve">Veroff, J., Depner, C., Kulka, R., &amp; Douvan, E. (1980). Comparison of American motives: 1957 versus 1976. </w:t>
      </w:r>
      <w:r w:rsidRPr="006729DF">
        <w:rPr>
          <w:rFonts w:ascii="Times New Roman" w:eastAsia="Calibri" w:hAnsi="Times New Roman" w:cs="Times New Roman"/>
          <w:i/>
          <w:iCs/>
          <w:kern w:val="0"/>
          <w14:ligatures w14:val="none"/>
        </w:rPr>
        <w:t>Journal of Personality and Social Psychology</w:t>
      </w:r>
      <w:r w:rsidRPr="006729DF">
        <w:rPr>
          <w:rFonts w:ascii="Times New Roman" w:eastAsia="Calibri" w:hAnsi="Times New Roman" w:cs="Times New Roman"/>
          <w:kern w:val="0"/>
          <w14:ligatures w14:val="none"/>
        </w:rPr>
        <w:t xml:space="preserve">, </w:t>
      </w:r>
      <w:r w:rsidRPr="006729DF">
        <w:rPr>
          <w:rFonts w:ascii="Times New Roman" w:eastAsia="Calibri" w:hAnsi="Times New Roman" w:cs="Times New Roman"/>
          <w:i/>
          <w:iCs/>
          <w:kern w:val="0"/>
          <w14:ligatures w14:val="none"/>
        </w:rPr>
        <w:t>39</w:t>
      </w:r>
      <w:r w:rsidRPr="006729DF">
        <w:rPr>
          <w:rFonts w:ascii="Times New Roman" w:eastAsia="Calibri" w:hAnsi="Times New Roman" w:cs="Times New Roman"/>
          <w:kern w:val="0"/>
          <w14:ligatures w14:val="none"/>
        </w:rPr>
        <w:t>(6), 1249–1262.</w:t>
      </w:r>
    </w:p>
    <w:p w14:paraId="78341BED" w14:textId="062188AA" w:rsidR="006729DF" w:rsidRDefault="006729DF" w:rsidP="00E24B5C">
      <w:pPr>
        <w:spacing w:after="0" w:line="480" w:lineRule="auto"/>
        <w:ind w:left="720" w:hanging="720"/>
      </w:pPr>
      <w:r w:rsidRPr="006729DF">
        <w:rPr>
          <w:rFonts w:ascii="Times New Roman" w:eastAsia="Calibri" w:hAnsi="Times New Roman" w:cs="Times New Roman"/>
          <w:kern w:val="0"/>
          <w14:ligatures w14:val="none"/>
        </w:rPr>
        <w:t xml:space="preserve">Wright, A. J. (2024). Queering psychological assessment. </w:t>
      </w:r>
      <w:r w:rsidRPr="006729DF">
        <w:rPr>
          <w:rFonts w:ascii="Times New Roman" w:eastAsia="Calibri" w:hAnsi="Times New Roman" w:cs="Times New Roman"/>
          <w:i/>
          <w:iCs/>
          <w:kern w:val="0"/>
          <w14:ligatures w14:val="none"/>
        </w:rPr>
        <w:t>Professional Psychology: Research and Practice</w:t>
      </w:r>
      <w:r w:rsidRPr="006729DF">
        <w:rPr>
          <w:rFonts w:ascii="Times New Roman" w:eastAsia="Calibri" w:hAnsi="Times New Roman" w:cs="Times New Roman"/>
          <w:kern w:val="0"/>
          <w14:ligatures w14:val="none"/>
        </w:rPr>
        <w:t xml:space="preserve">, </w:t>
      </w:r>
      <w:r w:rsidRPr="006729DF">
        <w:rPr>
          <w:rFonts w:ascii="Times New Roman" w:eastAsia="Calibri" w:hAnsi="Times New Roman" w:cs="Times New Roman"/>
          <w:i/>
          <w:iCs/>
          <w:kern w:val="0"/>
          <w14:ligatures w14:val="none"/>
        </w:rPr>
        <w:t>55</w:t>
      </w:r>
      <w:r w:rsidRPr="006729DF">
        <w:rPr>
          <w:rFonts w:ascii="Times New Roman" w:eastAsia="Calibri" w:hAnsi="Times New Roman" w:cs="Times New Roman"/>
          <w:kern w:val="0"/>
          <w14:ligatures w14:val="none"/>
        </w:rPr>
        <w:t>(6), 529–536. doi: 10.1037/pro0000594</w:t>
      </w:r>
    </w:p>
    <w:sectPr w:rsidR="006729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B5C"/>
    <w:rsid w:val="00096D52"/>
    <w:rsid w:val="003C2FD7"/>
    <w:rsid w:val="006729DF"/>
    <w:rsid w:val="0084719C"/>
    <w:rsid w:val="009D6A0C"/>
    <w:rsid w:val="00A20121"/>
    <w:rsid w:val="00AA0007"/>
    <w:rsid w:val="00BE2FB3"/>
    <w:rsid w:val="00C52B9D"/>
    <w:rsid w:val="00E24B5C"/>
    <w:rsid w:val="00F26FB5"/>
    <w:rsid w:val="00F75D26"/>
    <w:rsid w:val="00FC7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D3157"/>
  <w15:chartTrackingRefBased/>
  <w15:docId w15:val="{917E97E8-F627-405C-879E-989B6D869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007"/>
  </w:style>
  <w:style w:type="paragraph" w:styleId="Heading1">
    <w:name w:val="heading 1"/>
    <w:basedOn w:val="Normal"/>
    <w:next w:val="Normal"/>
    <w:link w:val="Heading1Char"/>
    <w:uiPriority w:val="9"/>
    <w:qFormat/>
    <w:rsid w:val="00AA0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0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00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00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00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00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0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0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0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0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00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00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00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00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0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0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0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0007"/>
    <w:rPr>
      <w:rFonts w:eastAsiaTheme="majorEastAsia" w:cstheme="majorBidi"/>
      <w:color w:val="272727" w:themeColor="text1" w:themeTint="D8"/>
    </w:rPr>
  </w:style>
  <w:style w:type="paragraph" w:styleId="Title">
    <w:name w:val="Title"/>
    <w:basedOn w:val="Normal"/>
    <w:next w:val="Normal"/>
    <w:link w:val="TitleChar"/>
    <w:uiPriority w:val="10"/>
    <w:qFormat/>
    <w:rsid w:val="00AA0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0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0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0007"/>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AA0007"/>
    <w:pPr>
      <w:ind w:left="720"/>
      <w:contextualSpacing/>
    </w:pPr>
  </w:style>
  <w:style w:type="paragraph" w:styleId="Quote">
    <w:name w:val="Quote"/>
    <w:basedOn w:val="Normal"/>
    <w:next w:val="Normal"/>
    <w:link w:val="QuoteChar"/>
    <w:uiPriority w:val="29"/>
    <w:qFormat/>
    <w:rsid w:val="00AA0007"/>
    <w:pPr>
      <w:spacing w:before="160"/>
      <w:jc w:val="center"/>
    </w:pPr>
    <w:rPr>
      <w:i/>
      <w:iCs/>
      <w:color w:val="404040" w:themeColor="text1" w:themeTint="BF"/>
    </w:rPr>
  </w:style>
  <w:style w:type="character" w:customStyle="1" w:styleId="QuoteChar">
    <w:name w:val="Quote Char"/>
    <w:basedOn w:val="DefaultParagraphFont"/>
    <w:link w:val="Quote"/>
    <w:uiPriority w:val="29"/>
    <w:rsid w:val="00AA0007"/>
    <w:rPr>
      <w:i/>
      <w:iCs/>
      <w:color w:val="404040" w:themeColor="text1" w:themeTint="BF"/>
    </w:rPr>
  </w:style>
  <w:style w:type="paragraph" w:styleId="IntenseQuote">
    <w:name w:val="Intense Quote"/>
    <w:basedOn w:val="Normal"/>
    <w:next w:val="Normal"/>
    <w:link w:val="IntenseQuoteChar"/>
    <w:uiPriority w:val="30"/>
    <w:qFormat/>
    <w:rsid w:val="00AA0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0007"/>
    <w:rPr>
      <w:i/>
      <w:iCs/>
      <w:color w:val="0F4761" w:themeColor="accent1" w:themeShade="BF"/>
    </w:rPr>
  </w:style>
  <w:style w:type="character" w:styleId="IntenseEmphasis">
    <w:name w:val="Intense Emphasis"/>
    <w:basedOn w:val="DefaultParagraphFont"/>
    <w:uiPriority w:val="21"/>
    <w:qFormat/>
    <w:rsid w:val="00AA0007"/>
    <w:rPr>
      <w:i/>
      <w:iCs/>
      <w:color w:val="0F4761" w:themeColor="accent1" w:themeShade="BF"/>
    </w:rPr>
  </w:style>
  <w:style w:type="character" w:styleId="IntenseReference">
    <w:name w:val="Intense Reference"/>
    <w:basedOn w:val="DefaultParagraphFont"/>
    <w:uiPriority w:val="32"/>
    <w:qFormat/>
    <w:rsid w:val="00AA00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entury Schoolbook">
      <a:majorFont>
        <a:latin typeface="Century Schoolbook" panose="02040604050505020304"/>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Schoolbook" panose="02040604050505020304"/>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3259</Words>
  <Characters>18059</Characters>
  <Application>Microsoft Office Word</Application>
  <DocSecurity>0</DocSecurity>
  <Lines>334</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Jenkins, Sharon Rae</dc:creator>
  <cp:keywords/>
  <dc:description/>
  <cp:lastModifiedBy>Jenkins, Sharon Rae</cp:lastModifiedBy>
  <cp:revision>2</cp:revision>
  <dcterms:created xsi:type="dcterms:W3CDTF">2025-09-28T21:53:00Z</dcterms:created>
  <dcterms:modified xsi:type="dcterms:W3CDTF">2025-09-28T21:53:00Z</dcterms:modified>
</cp:coreProperties>
</file>