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1AA74" w14:textId="77777777" w:rsidR="00BE14B0" w:rsidRPr="002E5938" w:rsidRDefault="00BE14B0" w:rsidP="00BE14B0">
      <w:pPr>
        <w:snapToGrid w:val="0"/>
        <w:spacing w:after="0" w:line="480" w:lineRule="auto"/>
        <w:jc w:val="center"/>
        <w:rPr>
          <w:rFonts w:eastAsia="Times New Roman"/>
          <w:color w:val="212121"/>
          <w:lang w:val="en-AU"/>
        </w:rPr>
      </w:pPr>
      <w:bookmarkStart w:id="0" w:name="_GoBack"/>
      <w:bookmarkEnd w:id="0"/>
      <w:r w:rsidRPr="002E5938">
        <w:rPr>
          <w:rFonts w:eastAsia="Times New Roman"/>
          <w:color w:val="212121"/>
          <w:lang w:val="en-AU"/>
        </w:rPr>
        <w:t xml:space="preserve">Methodological and Statistical Advances </w:t>
      </w:r>
      <w:r>
        <w:rPr>
          <w:rFonts w:eastAsia="Times New Roman"/>
          <w:color w:val="212121"/>
          <w:lang w:val="en-AU"/>
        </w:rPr>
        <w:t>in</w:t>
      </w:r>
      <w:r w:rsidRPr="002E5938">
        <w:rPr>
          <w:rFonts w:eastAsia="Times New Roman"/>
          <w:color w:val="212121"/>
          <w:lang w:val="en-AU"/>
        </w:rPr>
        <w:t xml:space="preserve"> the Consideration of </w:t>
      </w:r>
    </w:p>
    <w:p w14:paraId="271F5A51" w14:textId="3000B33E" w:rsidR="006F48B1" w:rsidRDefault="00BE14B0" w:rsidP="00BE14B0">
      <w:pPr>
        <w:spacing w:line="480" w:lineRule="auto"/>
        <w:jc w:val="center"/>
        <w:rPr>
          <w:rFonts w:eastAsia="Times New Roman"/>
          <w:color w:val="212121"/>
          <w:lang w:val="en-AU"/>
        </w:rPr>
      </w:pPr>
      <w:r w:rsidRPr="002E5938">
        <w:rPr>
          <w:rFonts w:eastAsia="Times New Roman"/>
          <w:color w:val="212121"/>
          <w:lang w:val="en-AU"/>
        </w:rPr>
        <w:t xml:space="preserve">Cultural Diversity in </w:t>
      </w:r>
      <w:r>
        <w:rPr>
          <w:rFonts w:eastAsia="Times New Roman"/>
          <w:color w:val="212121"/>
          <w:lang w:val="en-AU"/>
        </w:rPr>
        <w:t>A</w:t>
      </w:r>
      <w:r w:rsidRPr="002E5938">
        <w:rPr>
          <w:rFonts w:eastAsia="Times New Roman"/>
          <w:color w:val="212121"/>
          <w:lang w:val="en-AU"/>
        </w:rPr>
        <w:t xml:space="preserve">ssessment: </w:t>
      </w:r>
      <w:r>
        <w:rPr>
          <w:rFonts w:eastAsia="Times New Roman"/>
          <w:color w:val="212121"/>
          <w:lang w:val="en-AU"/>
        </w:rPr>
        <w:br/>
        <w:t xml:space="preserve">A Critical Review of Group Classification and </w:t>
      </w:r>
      <w:r w:rsidRPr="002E5938">
        <w:rPr>
          <w:rFonts w:eastAsia="Times New Roman"/>
          <w:color w:val="212121"/>
          <w:lang w:val="en-AU"/>
        </w:rPr>
        <w:t>Measurement Invariance Test</w:t>
      </w:r>
      <w:r>
        <w:rPr>
          <w:rFonts w:eastAsia="Times New Roman"/>
          <w:color w:val="212121"/>
          <w:lang w:val="en-AU"/>
        </w:rPr>
        <w:t>ing</w:t>
      </w:r>
    </w:p>
    <w:p w14:paraId="5EF7F3FA" w14:textId="2330EDCB" w:rsidR="005D7128" w:rsidRPr="00DE58CF" w:rsidRDefault="005D7128" w:rsidP="005D7128">
      <w:pPr>
        <w:jc w:val="center"/>
        <w:rPr>
          <w:b/>
        </w:rPr>
      </w:pPr>
      <w:r w:rsidRPr="00DE58CF">
        <w:rPr>
          <w:b/>
        </w:rPr>
        <w:t>Online Supplements</w:t>
      </w:r>
    </w:p>
    <w:p w14:paraId="3A58B266" w14:textId="76CAAB44" w:rsidR="005D7128" w:rsidRDefault="005D7128" w:rsidP="005D7128">
      <w:pPr>
        <w:jc w:val="center"/>
        <w:rPr>
          <w:b/>
        </w:rPr>
      </w:pPr>
    </w:p>
    <w:p w14:paraId="125DB7A1" w14:textId="305A48F9" w:rsidR="00225DF4" w:rsidRPr="00225DF4" w:rsidRDefault="008F27B8" w:rsidP="00EC6CFE">
      <w:pPr>
        <w:pStyle w:val="NormalWeb"/>
        <w:adjustRightInd w:val="0"/>
        <w:snapToGrid w:val="0"/>
        <w:spacing w:before="0" w:beforeAutospacing="0" w:after="0" w:afterAutospacing="0" w:line="480" w:lineRule="auto"/>
        <w:rPr>
          <w:b/>
          <w:color w:val="000000" w:themeColor="text1"/>
        </w:rPr>
      </w:pPr>
      <w:bookmarkStart w:id="1" w:name="_Hlk5544626"/>
      <w:r w:rsidRPr="00225DF4">
        <w:rPr>
          <w:b/>
          <w:color w:val="000000" w:themeColor="text1"/>
        </w:rPr>
        <w:t xml:space="preserve">S1: </w:t>
      </w:r>
      <w:r w:rsidR="00225DF4" w:rsidRPr="00225DF4">
        <w:rPr>
          <w:b/>
          <w:color w:val="000000" w:themeColor="text1"/>
        </w:rPr>
        <w:t>True score</w:t>
      </w:r>
    </w:p>
    <w:p w14:paraId="0B1662D7" w14:textId="711A2080" w:rsidR="00722296" w:rsidRDefault="00CB2D0C" w:rsidP="00EC6CFE">
      <w:pPr>
        <w:pStyle w:val="NormalWeb"/>
        <w:adjustRightInd w:val="0"/>
        <w:snapToGrid w:val="0"/>
        <w:spacing w:before="0" w:beforeAutospacing="0" w:after="0" w:afterAutospacing="0" w:line="480" w:lineRule="auto"/>
        <w:rPr>
          <w:color w:val="000000" w:themeColor="text1"/>
        </w:rPr>
      </w:pPr>
      <w:r w:rsidRPr="002F7D77">
        <w:rPr>
          <w:color w:val="000000" w:themeColor="text1"/>
        </w:rPr>
        <w:t xml:space="preserve">A psychological construct is an unobservable theoretical </w:t>
      </w:r>
      <w:r w:rsidR="000D032F">
        <w:rPr>
          <w:color w:val="000000" w:themeColor="text1"/>
        </w:rPr>
        <w:t>variable</w:t>
      </w:r>
      <w:r w:rsidRPr="002F7D77">
        <w:rPr>
          <w:color w:val="000000" w:themeColor="text1"/>
        </w:rPr>
        <w:t xml:space="preserve"> that must be inferred </w:t>
      </w:r>
      <w:r>
        <w:rPr>
          <w:color w:val="000000" w:themeColor="text1"/>
        </w:rPr>
        <w:t>from observable behaviors;</w:t>
      </w:r>
      <w:r w:rsidRPr="002F7D77">
        <w:rPr>
          <w:color w:val="000000" w:themeColor="text1"/>
        </w:rPr>
        <w:t xml:space="preserve"> </w:t>
      </w:r>
      <w:r>
        <w:rPr>
          <w:color w:val="000000" w:themeColor="text1"/>
        </w:rPr>
        <w:t xml:space="preserve">an individual’s standing on a psychological construct is often </w:t>
      </w:r>
      <w:r w:rsidRPr="002F7D77">
        <w:rPr>
          <w:color w:val="000000" w:themeColor="text1"/>
        </w:rPr>
        <w:t xml:space="preserve">estimated from responses to </w:t>
      </w:r>
      <w:r>
        <w:rPr>
          <w:color w:val="000000" w:themeColor="text1"/>
        </w:rPr>
        <w:t xml:space="preserve">test </w:t>
      </w:r>
      <w:r w:rsidRPr="002F7D77">
        <w:rPr>
          <w:color w:val="000000" w:themeColor="text1"/>
        </w:rPr>
        <w:t>items that assess specific thoughts, feelings, behaviors, or symptoms (Hopwood &amp; Donnellan, 2010)</w:t>
      </w:r>
      <w:r>
        <w:rPr>
          <w:color w:val="000000" w:themeColor="text1"/>
        </w:rPr>
        <w:t xml:space="preserve">. </w:t>
      </w:r>
      <w:r w:rsidR="000A227E">
        <w:rPr>
          <w:color w:val="000000" w:themeColor="text1"/>
        </w:rPr>
        <w:t>An</w:t>
      </w:r>
      <w:r w:rsidR="00BE6E4A">
        <w:rPr>
          <w:color w:val="000000" w:themeColor="text1"/>
        </w:rPr>
        <w:t xml:space="preserve"> </w:t>
      </w:r>
      <w:r w:rsidR="008F27B8" w:rsidRPr="00DE58CF">
        <w:rPr>
          <w:color w:val="000000" w:themeColor="text1"/>
        </w:rPr>
        <w:t>observed score</w:t>
      </w:r>
      <w:r w:rsidR="00BE6E4A">
        <w:rPr>
          <w:color w:val="000000" w:themeColor="text1"/>
        </w:rPr>
        <w:t xml:space="preserve"> </w:t>
      </w:r>
      <w:r w:rsidR="008F27B8" w:rsidRPr="00DE58CF">
        <w:rPr>
          <w:color w:val="000000" w:themeColor="text1"/>
        </w:rPr>
        <w:t>comprise</w:t>
      </w:r>
      <w:r w:rsidR="00BE6E4A">
        <w:rPr>
          <w:color w:val="000000" w:themeColor="text1"/>
        </w:rPr>
        <w:t xml:space="preserve">s </w:t>
      </w:r>
      <w:r w:rsidR="008F27B8" w:rsidRPr="00DE58CF">
        <w:rPr>
          <w:color w:val="000000" w:themeColor="text1"/>
        </w:rPr>
        <w:t xml:space="preserve">a true score and an error score. The true score reflects an individual’s true </w:t>
      </w:r>
      <w:r w:rsidR="000A227E">
        <w:rPr>
          <w:color w:val="000000" w:themeColor="text1"/>
        </w:rPr>
        <w:t>standing on the</w:t>
      </w:r>
      <w:r w:rsidR="008F27B8" w:rsidRPr="00DE58CF">
        <w:rPr>
          <w:color w:val="000000" w:themeColor="text1"/>
        </w:rPr>
        <w:t xml:space="preserve"> attribute that the test is intended to assess; it is an unobserved score </w:t>
      </w:r>
      <w:r w:rsidR="000A227E">
        <w:rPr>
          <w:color w:val="000000" w:themeColor="text1"/>
        </w:rPr>
        <w:t>that</w:t>
      </w:r>
      <w:r w:rsidR="008F27B8" w:rsidRPr="00DE58CF">
        <w:rPr>
          <w:color w:val="000000" w:themeColor="text1"/>
        </w:rPr>
        <w:t xml:space="preserve"> c</w:t>
      </w:r>
      <w:r w:rsidR="000A227E">
        <w:rPr>
          <w:color w:val="000000" w:themeColor="text1"/>
        </w:rPr>
        <w:t>an</w:t>
      </w:r>
      <w:r w:rsidR="008F27B8" w:rsidRPr="00DE58CF">
        <w:rPr>
          <w:color w:val="000000" w:themeColor="text1"/>
        </w:rPr>
        <w:t xml:space="preserve"> only be estimated. The error score can </w:t>
      </w:r>
      <w:r w:rsidR="000A227E">
        <w:rPr>
          <w:color w:val="000000" w:themeColor="text1"/>
        </w:rPr>
        <w:t xml:space="preserve">reflect </w:t>
      </w:r>
      <w:r w:rsidR="008F27B8" w:rsidRPr="00DE58CF">
        <w:rPr>
          <w:color w:val="000000" w:themeColor="text1"/>
        </w:rPr>
        <w:t>random or systematic</w:t>
      </w:r>
      <w:r w:rsidR="000A227E">
        <w:rPr>
          <w:color w:val="000000" w:themeColor="text1"/>
        </w:rPr>
        <w:t xml:space="preserve"> error:</w:t>
      </w:r>
      <w:r w:rsidR="008F27B8" w:rsidRPr="00DE58CF">
        <w:rPr>
          <w:color w:val="000000" w:themeColor="text1"/>
        </w:rPr>
        <w:t xml:space="preserve"> random error </w:t>
      </w:r>
      <w:r w:rsidR="000A227E">
        <w:rPr>
          <w:color w:val="000000" w:themeColor="text1"/>
        </w:rPr>
        <w:t>is usually the product of</w:t>
      </w:r>
      <w:r w:rsidR="008F27B8" w:rsidRPr="00DE58CF">
        <w:rPr>
          <w:color w:val="000000" w:themeColor="text1"/>
        </w:rPr>
        <w:t xml:space="preserve"> </w:t>
      </w:r>
      <w:r w:rsidR="000A227E">
        <w:rPr>
          <w:color w:val="000000" w:themeColor="text1"/>
        </w:rPr>
        <w:t>a single</w:t>
      </w:r>
      <w:r w:rsidR="008F27B8" w:rsidRPr="00DE58CF">
        <w:rPr>
          <w:color w:val="000000" w:themeColor="text1"/>
        </w:rPr>
        <w:t xml:space="preserve"> testing situation (e.g., sickness, guessing, lack of sleep), whereas systematic error</w:t>
      </w:r>
      <w:r w:rsidR="000A227E">
        <w:rPr>
          <w:color w:val="000000" w:themeColor="text1"/>
        </w:rPr>
        <w:t xml:space="preserve"> can reflect </w:t>
      </w:r>
      <w:r w:rsidR="008F27B8" w:rsidRPr="00DE58CF">
        <w:rPr>
          <w:color w:val="000000" w:themeColor="text1"/>
        </w:rPr>
        <w:t xml:space="preserve">attributes of the person (e.g., test anxiety, reading speed, acquiescence, social desirability) </w:t>
      </w:r>
      <w:r w:rsidR="000A227E">
        <w:rPr>
          <w:color w:val="000000" w:themeColor="text1"/>
        </w:rPr>
        <w:t>or</w:t>
      </w:r>
      <w:r w:rsidR="008F27B8" w:rsidRPr="00DE58CF">
        <w:rPr>
          <w:color w:val="000000" w:themeColor="text1"/>
        </w:rPr>
        <w:t xml:space="preserve"> the test (e.g., </w:t>
      </w:r>
      <w:r w:rsidR="000A227E">
        <w:rPr>
          <w:color w:val="000000" w:themeColor="text1"/>
        </w:rPr>
        <w:t>poorly worded questions</w:t>
      </w:r>
      <w:r w:rsidR="008F27B8" w:rsidRPr="00DE58CF">
        <w:rPr>
          <w:color w:val="000000" w:themeColor="text1"/>
        </w:rPr>
        <w:t xml:space="preserve">) that </w:t>
      </w:r>
      <w:r w:rsidR="000A227E">
        <w:rPr>
          <w:color w:val="000000" w:themeColor="text1"/>
        </w:rPr>
        <w:t>are present</w:t>
      </w:r>
      <w:r w:rsidR="008F27B8" w:rsidRPr="00DE58CF">
        <w:rPr>
          <w:color w:val="000000" w:themeColor="text1"/>
        </w:rPr>
        <w:t xml:space="preserve"> across administrations. </w:t>
      </w:r>
    </w:p>
    <w:p w14:paraId="533A903F" w14:textId="71768E0B" w:rsidR="00EC6CFE" w:rsidRDefault="008F27B8" w:rsidP="00225DF4">
      <w:pPr>
        <w:pStyle w:val="NormalWeb"/>
        <w:adjustRightInd w:val="0"/>
        <w:snapToGrid w:val="0"/>
        <w:spacing w:before="0" w:beforeAutospacing="0" w:after="0" w:afterAutospacing="0" w:line="480" w:lineRule="auto"/>
        <w:ind w:firstLine="720"/>
        <w:rPr>
          <w:color w:val="000000" w:themeColor="text1"/>
        </w:rPr>
      </w:pPr>
      <w:r w:rsidRPr="00DE58CF">
        <w:rPr>
          <w:color w:val="000000" w:themeColor="text1"/>
        </w:rPr>
        <w:t xml:space="preserve">There are several ways to estimate the true score. </w:t>
      </w:r>
      <w:r w:rsidR="004F067C">
        <w:rPr>
          <w:color w:val="000000" w:themeColor="text1"/>
        </w:rPr>
        <w:t>Use of s</w:t>
      </w:r>
      <w:r w:rsidR="004F067C" w:rsidRPr="002F7D77">
        <w:rPr>
          <w:color w:val="000000" w:themeColor="text1"/>
        </w:rPr>
        <w:t xml:space="preserve">ome advanced </w:t>
      </w:r>
      <w:r w:rsidR="004F067C">
        <w:rPr>
          <w:color w:val="000000" w:themeColor="text1"/>
        </w:rPr>
        <w:t>psychometric</w:t>
      </w:r>
      <w:r w:rsidR="004F067C" w:rsidRPr="002F7D77">
        <w:rPr>
          <w:color w:val="000000" w:themeColor="text1"/>
        </w:rPr>
        <w:t xml:space="preserve"> techniques, such as confirmatory factor analysis (CFA) </w:t>
      </w:r>
      <w:r w:rsidR="004F067C">
        <w:rPr>
          <w:color w:val="000000" w:themeColor="text1"/>
        </w:rPr>
        <w:t>is premised</w:t>
      </w:r>
      <w:r w:rsidR="004F067C" w:rsidRPr="002F7D77">
        <w:rPr>
          <w:color w:val="000000" w:themeColor="text1"/>
        </w:rPr>
        <w:t xml:space="preserve"> on the idea that a</w:t>
      </w:r>
      <w:r w:rsidR="004F067C">
        <w:rPr>
          <w:color w:val="000000" w:themeColor="text1"/>
        </w:rPr>
        <w:t>n individual’s standing on a</w:t>
      </w:r>
      <w:r w:rsidR="004F067C" w:rsidRPr="002F7D77">
        <w:rPr>
          <w:color w:val="000000" w:themeColor="text1"/>
        </w:rPr>
        <w:t xml:space="preserve"> latent construct can be estimated from multiple indicators (</w:t>
      </w:r>
      <w:r w:rsidR="004F067C">
        <w:rPr>
          <w:color w:val="000000" w:themeColor="text1"/>
        </w:rPr>
        <w:t xml:space="preserve">sometimes called </w:t>
      </w:r>
      <w:r w:rsidR="004F067C" w:rsidRPr="002F7D77">
        <w:rPr>
          <w:color w:val="000000" w:themeColor="text1"/>
        </w:rPr>
        <w:t>manifest variables) of the construct</w:t>
      </w:r>
      <w:r w:rsidR="004F067C">
        <w:rPr>
          <w:color w:val="000000" w:themeColor="text1"/>
        </w:rPr>
        <w:t xml:space="preserve">. </w:t>
      </w:r>
      <w:r w:rsidR="004F067C" w:rsidRPr="002F7D77">
        <w:rPr>
          <w:color w:val="000000" w:themeColor="text1"/>
        </w:rPr>
        <w:t>Although each indicator</w:t>
      </w:r>
      <w:r w:rsidR="004F067C">
        <w:rPr>
          <w:color w:val="000000" w:themeColor="text1"/>
        </w:rPr>
        <w:t xml:space="preserve"> may alone</w:t>
      </w:r>
      <w:r w:rsidR="004F067C" w:rsidRPr="002F7D77">
        <w:rPr>
          <w:color w:val="000000" w:themeColor="text1"/>
        </w:rPr>
        <w:t xml:space="preserve"> </w:t>
      </w:r>
      <w:r w:rsidR="004F067C">
        <w:rPr>
          <w:color w:val="000000" w:themeColor="text1"/>
        </w:rPr>
        <w:t xml:space="preserve">be a flawed </w:t>
      </w:r>
      <w:r w:rsidR="004F067C" w:rsidRPr="002F7D77">
        <w:rPr>
          <w:color w:val="000000" w:themeColor="text1"/>
        </w:rPr>
        <w:t xml:space="preserve">measure of the construct, </w:t>
      </w:r>
      <w:r w:rsidR="004F067C">
        <w:rPr>
          <w:color w:val="000000" w:themeColor="text1"/>
        </w:rPr>
        <w:t>an aggregated</w:t>
      </w:r>
      <w:r w:rsidR="004F067C" w:rsidRPr="002F7D77">
        <w:rPr>
          <w:color w:val="000000" w:themeColor="text1"/>
        </w:rPr>
        <w:t xml:space="preserve"> set of </w:t>
      </w:r>
      <w:r w:rsidR="004F067C">
        <w:rPr>
          <w:color w:val="000000" w:themeColor="text1"/>
        </w:rPr>
        <w:t xml:space="preserve">such </w:t>
      </w:r>
      <w:r w:rsidR="004F067C" w:rsidRPr="002F7D77">
        <w:rPr>
          <w:color w:val="000000" w:themeColor="text1"/>
        </w:rPr>
        <w:t xml:space="preserve">indicators </w:t>
      </w:r>
      <w:r w:rsidR="004F067C">
        <w:rPr>
          <w:color w:val="000000" w:themeColor="text1"/>
        </w:rPr>
        <w:t>can</w:t>
      </w:r>
      <w:r w:rsidR="004F067C" w:rsidRPr="002F7D77">
        <w:rPr>
          <w:color w:val="000000" w:themeColor="text1"/>
        </w:rPr>
        <w:t xml:space="preserve"> </w:t>
      </w:r>
      <w:r w:rsidR="004F067C">
        <w:rPr>
          <w:color w:val="000000" w:themeColor="text1"/>
        </w:rPr>
        <w:t>produce a useful</w:t>
      </w:r>
      <w:r w:rsidR="004F067C" w:rsidRPr="002F7D77">
        <w:rPr>
          <w:color w:val="000000" w:themeColor="text1"/>
        </w:rPr>
        <w:t xml:space="preserve"> assessment of the latent construct (Davidov et al., 2014)</w:t>
      </w:r>
      <w:r w:rsidR="004F067C">
        <w:rPr>
          <w:color w:val="000000" w:themeColor="text1"/>
        </w:rPr>
        <w:t xml:space="preserve">. </w:t>
      </w:r>
      <w:r w:rsidR="00EE47CA" w:rsidRPr="00EE47CA">
        <w:rPr>
          <w:color w:val="000000" w:themeColor="text1"/>
        </w:rPr>
        <w:t xml:space="preserve">In </w:t>
      </w:r>
      <w:r w:rsidR="000A227E">
        <w:rPr>
          <w:color w:val="000000" w:themeColor="text1"/>
        </w:rPr>
        <w:t xml:space="preserve">a </w:t>
      </w:r>
      <w:r w:rsidR="00EE47CA" w:rsidRPr="00EE47CA">
        <w:rPr>
          <w:color w:val="000000" w:themeColor="text1"/>
        </w:rPr>
        <w:t xml:space="preserve">confirmatory factor analysis framework, </w:t>
      </w:r>
      <w:r w:rsidR="000A227E">
        <w:rPr>
          <w:color w:val="000000" w:themeColor="text1"/>
        </w:rPr>
        <w:t xml:space="preserve">an </w:t>
      </w:r>
      <w:r w:rsidR="00EE47CA" w:rsidRPr="00EE47CA">
        <w:rPr>
          <w:color w:val="000000" w:themeColor="text1"/>
        </w:rPr>
        <w:t xml:space="preserve">individual’s score on each indicator (“observed score”) is assumed to </w:t>
      </w:r>
      <w:r w:rsidR="000A227E">
        <w:rPr>
          <w:color w:val="000000" w:themeColor="text1"/>
        </w:rPr>
        <w:t>be a combination of</w:t>
      </w:r>
      <w:r w:rsidR="00EE47CA" w:rsidRPr="00EE47CA">
        <w:rPr>
          <w:color w:val="000000" w:themeColor="text1"/>
        </w:rPr>
        <w:t xml:space="preserve"> a </w:t>
      </w:r>
      <w:r w:rsidR="00EE47CA" w:rsidRPr="00EE47CA">
        <w:rPr>
          <w:color w:val="000000" w:themeColor="text1"/>
        </w:rPr>
        <w:lastRenderedPageBreak/>
        <w:t xml:space="preserve">latent factor score (“true score”) and </w:t>
      </w:r>
      <w:r w:rsidR="000A227E">
        <w:rPr>
          <w:color w:val="000000" w:themeColor="text1"/>
        </w:rPr>
        <w:t xml:space="preserve">a </w:t>
      </w:r>
      <w:r w:rsidR="00EE47CA" w:rsidRPr="00EE47CA">
        <w:rPr>
          <w:color w:val="000000" w:themeColor="text1"/>
        </w:rPr>
        <w:t xml:space="preserve">measurement error score. The true score is estimated based on </w:t>
      </w:r>
      <w:r w:rsidR="00EE47CA" w:rsidRPr="00EE47CA">
        <w:rPr>
          <w:color w:val="000000" w:themeColor="text1"/>
          <w:shd w:val="clear" w:color="auto" w:fill="FFFFFF"/>
        </w:rPr>
        <w:t>the relationships among the indicators.</w:t>
      </w:r>
      <w:r w:rsidR="00EE47CA" w:rsidRPr="00EE47CA">
        <w:rPr>
          <w:color w:val="000000" w:themeColor="text1"/>
        </w:rPr>
        <w:t xml:space="preserve"> </w:t>
      </w:r>
      <w:bookmarkEnd w:id="1"/>
    </w:p>
    <w:p w14:paraId="6C341D07" w14:textId="77777777" w:rsidR="00225DF4" w:rsidRDefault="00225DF4" w:rsidP="00225DF4">
      <w:pPr>
        <w:pStyle w:val="NormalWeb"/>
        <w:adjustRightInd w:val="0"/>
        <w:snapToGrid w:val="0"/>
        <w:spacing w:before="0" w:beforeAutospacing="0" w:after="0" w:afterAutospacing="0" w:line="480" w:lineRule="auto"/>
        <w:ind w:firstLine="720"/>
        <w:rPr>
          <w:b/>
        </w:rPr>
      </w:pPr>
    </w:p>
    <w:p w14:paraId="5FF0D9D4" w14:textId="35E18B3C" w:rsidR="00225DF4" w:rsidRDefault="005D7128" w:rsidP="00462BF8">
      <w:pPr>
        <w:autoSpaceDE w:val="0"/>
        <w:autoSpaceDN w:val="0"/>
        <w:adjustRightInd w:val="0"/>
        <w:snapToGrid w:val="0"/>
        <w:spacing w:after="0" w:line="480" w:lineRule="auto"/>
        <w:rPr>
          <w:b/>
        </w:rPr>
      </w:pPr>
      <w:r w:rsidRPr="00DE58CF">
        <w:rPr>
          <w:b/>
        </w:rPr>
        <w:t>S</w:t>
      </w:r>
      <w:r w:rsidR="008F27B8">
        <w:rPr>
          <w:b/>
        </w:rPr>
        <w:t>2</w:t>
      </w:r>
      <w:r w:rsidRPr="00DE58CF">
        <w:rPr>
          <w:b/>
        </w:rPr>
        <w:t xml:space="preserve">: </w:t>
      </w:r>
      <w:r w:rsidR="00225DF4" w:rsidRPr="006B3F46">
        <w:rPr>
          <w:rFonts w:eastAsia="Times New Roman"/>
          <w:b/>
          <w:color w:val="000000" w:themeColor="text1"/>
          <w:sz w:val="22"/>
          <w:szCs w:val="22"/>
          <w:shd w:val="clear" w:color="auto" w:fill="FFFFFF"/>
        </w:rPr>
        <w:t>Definition of test fairness</w:t>
      </w:r>
    </w:p>
    <w:p w14:paraId="3650F82A" w14:textId="775DAE33" w:rsidR="005D7128" w:rsidRPr="00DE58CF" w:rsidRDefault="00982217" w:rsidP="00462BF8">
      <w:pPr>
        <w:autoSpaceDE w:val="0"/>
        <w:autoSpaceDN w:val="0"/>
        <w:adjustRightInd w:val="0"/>
        <w:snapToGrid w:val="0"/>
        <w:spacing w:after="0" w:line="480" w:lineRule="auto"/>
      </w:pPr>
      <w:r w:rsidRPr="00136A2F">
        <w:rPr>
          <w:bCs/>
          <w:color w:val="000000"/>
        </w:rPr>
        <w:t xml:space="preserve">According to the </w:t>
      </w:r>
      <w:r w:rsidR="00462BF8">
        <w:rPr>
          <w:bCs/>
          <w:i/>
          <w:color w:val="000000"/>
        </w:rPr>
        <w:t>S</w:t>
      </w:r>
      <w:r w:rsidRPr="00462BF8">
        <w:rPr>
          <w:bCs/>
          <w:i/>
          <w:color w:val="000000"/>
        </w:rPr>
        <w:t>tandards</w:t>
      </w:r>
      <w:r w:rsidRPr="00136A2F">
        <w:rPr>
          <w:bCs/>
          <w:color w:val="000000"/>
        </w:rPr>
        <w:t xml:space="preserve"> </w:t>
      </w:r>
      <w:r w:rsidR="00462BF8">
        <w:rPr>
          <w:bCs/>
          <w:color w:val="000000"/>
        </w:rPr>
        <w:t xml:space="preserve">(2014) </w:t>
      </w:r>
      <w:r w:rsidRPr="00136A2F">
        <w:rPr>
          <w:bCs/>
          <w:color w:val="000000"/>
        </w:rPr>
        <w:t>set by the American Educational</w:t>
      </w:r>
      <w:r w:rsidR="00462BF8">
        <w:rPr>
          <w:bCs/>
          <w:color w:val="000000"/>
        </w:rPr>
        <w:t xml:space="preserve"> </w:t>
      </w:r>
      <w:r w:rsidRPr="00136A2F">
        <w:rPr>
          <w:bCs/>
          <w:color w:val="000000"/>
        </w:rPr>
        <w:t>Research Association (AERA), the American Psychological Association</w:t>
      </w:r>
      <w:r w:rsidR="00462BF8">
        <w:rPr>
          <w:bCs/>
          <w:color w:val="000000"/>
        </w:rPr>
        <w:t xml:space="preserve"> </w:t>
      </w:r>
      <w:r w:rsidRPr="00136A2F">
        <w:rPr>
          <w:bCs/>
          <w:color w:val="000000"/>
        </w:rPr>
        <w:t>(APA), and the National Council on Measurement in</w:t>
      </w:r>
      <w:r w:rsidR="00462BF8">
        <w:rPr>
          <w:bCs/>
          <w:color w:val="000000"/>
        </w:rPr>
        <w:t xml:space="preserve"> </w:t>
      </w:r>
      <w:r w:rsidRPr="00136A2F">
        <w:rPr>
          <w:bCs/>
          <w:color w:val="000000"/>
        </w:rPr>
        <w:t xml:space="preserve">Education (NCME), </w:t>
      </w:r>
    </w:p>
    <w:p w14:paraId="5B4D2B56" w14:textId="6E53C90D" w:rsidR="005D7128" w:rsidRDefault="000A227E" w:rsidP="00722296">
      <w:pPr>
        <w:autoSpaceDE w:val="0"/>
        <w:autoSpaceDN w:val="0"/>
        <w:adjustRightInd w:val="0"/>
        <w:spacing w:after="0" w:line="480" w:lineRule="auto"/>
        <w:ind w:left="720"/>
        <w:rPr>
          <w:bCs/>
          <w:color w:val="000000"/>
        </w:rPr>
      </w:pPr>
      <w:r>
        <w:rPr>
          <w:bCs/>
          <w:color w:val="000000"/>
        </w:rPr>
        <w:t>“</w:t>
      </w:r>
      <w:r w:rsidR="005D7128" w:rsidRPr="00DE58CF">
        <w:rPr>
          <w:bCs/>
          <w:color w:val="000000"/>
        </w:rPr>
        <w:t xml:space="preserve">A test that is fair within the meaning of the </w:t>
      </w:r>
      <w:r w:rsidR="005D7128" w:rsidRPr="00DE58CF">
        <w:rPr>
          <w:bCs/>
          <w:i/>
          <w:color w:val="000000"/>
        </w:rPr>
        <w:t>Standards</w:t>
      </w:r>
      <w:r w:rsidR="005D7128" w:rsidRPr="00DE58CF">
        <w:rPr>
          <w:bCs/>
          <w:color w:val="000000"/>
        </w:rPr>
        <w:t xml:space="preserve"> reflects the same construct(s) for all test takers, and scores from it have the same meaning for all individuals in the intended population; a fair test does not advantage or disadvantage some individuals because of characteristics irrelevant to the intended construct. To the degree possible, characteristics of all individuals in the intended test population, including those associated with race, ethnicity, gender, age, socioeconomic status, or linguistic or cultural background, must be considered throughout all stages of development, administration, scoring, interpretation, and use so that barriers to fair assessment can be reduced. At the same time, test scores must yield valid interpretations for intended uses, and different test contexts and uses may call for different approaches to fairness. (p. 50).</w:t>
      </w:r>
      <w:r>
        <w:rPr>
          <w:bCs/>
          <w:color w:val="000000"/>
        </w:rPr>
        <w:t>”</w:t>
      </w:r>
      <w:r w:rsidR="005D7128" w:rsidRPr="00DE58CF">
        <w:rPr>
          <w:bCs/>
          <w:color w:val="000000"/>
        </w:rPr>
        <w:t xml:space="preserve"> </w:t>
      </w:r>
    </w:p>
    <w:p w14:paraId="06B5EAC0" w14:textId="77777777" w:rsidR="000E5F60" w:rsidRDefault="000E5F60" w:rsidP="00E71AA6">
      <w:pPr>
        <w:autoSpaceDE w:val="0"/>
        <w:autoSpaceDN w:val="0"/>
        <w:adjustRightInd w:val="0"/>
        <w:snapToGrid w:val="0"/>
        <w:spacing w:after="0" w:line="480" w:lineRule="auto"/>
        <w:rPr>
          <w:bCs/>
          <w:color w:val="000000" w:themeColor="text1"/>
        </w:rPr>
      </w:pPr>
    </w:p>
    <w:p w14:paraId="530A78D2" w14:textId="53CA0361" w:rsidR="00225DF4" w:rsidRDefault="006739C9" w:rsidP="006739C9">
      <w:pPr>
        <w:autoSpaceDE w:val="0"/>
        <w:autoSpaceDN w:val="0"/>
        <w:adjustRightInd w:val="0"/>
        <w:spacing w:after="0" w:line="480" w:lineRule="auto"/>
        <w:rPr>
          <w:bCs/>
          <w:color w:val="000000"/>
        </w:rPr>
      </w:pPr>
      <w:r w:rsidRPr="006739C9">
        <w:rPr>
          <w:b/>
          <w:bCs/>
          <w:color w:val="000000"/>
        </w:rPr>
        <w:t>S</w:t>
      </w:r>
      <w:r w:rsidR="003936BA">
        <w:rPr>
          <w:b/>
          <w:bCs/>
          <w:color w:val="000000"/>
        </w:rPr>
        <w:t>3</w:t>
      </w:r>
      <w:r>
        <w:rPr>
          <w:bCs/>
          <w:color w:val="000000"/>
        </w:rPr>
        <w:t xml:space="preserve">: </w:t>
      </w:r>
      <w:r w:rsidR="00225DF4" w:rsidRPr="006B3F46">
        <w:rPr>
          <w:rFonts w:eastAsia="Times New Roman"/>
          <w:b/>
          <w:color w:val="000000" w:themeColor="text1"/>
          <w:sz w:val="22"/>
          <w:szCs w:val="22"/>
          <w:shd w:val="clear" w:color="auto" w:fill="FFFFFF"/>
        </w:rPr>
        <w:t>Definition of race and ethnicity</w:t>
      </w:r>
    </w:p>
    <w:p w14:paraId="47074B6D" w14:textId="66A4958F" w:rsidR="00874F18" w:rsidRDefault="006739C9" w:rsidP="006739C9">
      <w:pPr>
        <w:autoSpaceDE w:val="0"/>
        <w:autoSpaceDN w:val="0"/>
        <w:adjustRightInd w:val="0"/>
        <w:spacing w:after="0" w:line="480" w:lineRule="auto"/>
        <w:rPr>
          <w:bCs/>
          <w:color w:val="000000"/>
        </w:rPr>
      </w:pPr>
      <w:r>
        <w:rPr>
          <w:bCs/>
          <w:color w:val="000000"/>
        </w:rPr>
        <w:t xml:space="preserve">There are numerous definitions of race and ethnicity. We present the definitions by </w:t>
      </w:r>
      <w:proofErr w:type="gramStart"/>
      <w:r w:rsidRPr="00DE58CF">
        <w:rPr>
          <w:rFonts w:ascii="Times-Roman" w:hAnsi="Times-Roman" w:cs="Times-Roman"/>
        </w:rPr>
        <w:t>Markus</w:t>
      </w:r>
      <w:r>
        <w:rPr>
          <w:rFonts w:ascii="Times-Roman" w:hAnsi="Times-Roman" w:cs="Times-Roman"/>
        </w:rPr>
        <w:t xml:space="preserve"> </w:t>
      </w:r>
      <w:r w:rsidRPr="00DE58CF">
        <w:rPr>
          <w:rFonts w:ascii="Times-Roman" w:hAnsi="Times-Roman" w:cs="Times-Roman"/>
        </w:rPr>
        <w:t xml:space="preserve"> </w:t>
      </w:r>
      <w:r>
        <w:rPr>
          <w:rFonts w:ascii="Times-Roman" w:hAnsi="Times-Roman" w:cs="Times-Roman"/>
        </w:rPr>
        <w:t>(</w:t>
      </w:r>
      <w:proofErr w:type="gramEnd"/>
      <w:r w:rsidRPr="00DE58CF">
        <w:rPr>
          <w:rFonts w:ascii="Times-Roman" w:hAnsi="Times-Roman" w:cs="Times-Roman"/>
        </w:rPr>
        <w:t>2008)</w:t>
      </w:r>
      <w:r w:rsidR="00874F18">
        <w:rPr>
          <w:rFonts w:ascii="Times-Roman" w:hAnsi="Times-Roman" w:cs="Times-Roman"/>
        </w:rPr>
        <w:t xml:space="preserve">, which </w:t>
      </w:r>
      <w:r w:rsidR="0096741D">
        <w:rPr>
          <w:rFonts w:ascii="Times-Roman" w:hAnsi="Times-Roman" w:cs="Times-Roman"/>
        </w:rPr>
        <w:t>are</w:t>
      </w:r>
      <w:r w:rsidR="00874F18">
        <w:rPr>
          <w:rFonts w:ascii="Times-Roman" w:hAnsi="Times-Roman" w:cs="Times-Roman"/>
        </w:rPr>
        <w:t xml:space="preserve"> based on </w:t>
      </w:r>
      <w:r w:rsidR="00874F18" w:rsidRPr="00874F18">
        <w:rPr>
          <w:rFonts w:ascii="Times-Roman" w:hAnsi="Times-Roman" w:cs="Times-Roman"/>
        </w:rPr>
        <w:t>theoretical</w:t>
      </w:r>
      <w:r w:rsidR="00874F18">
        <w:rPr>
          <w:rFonts w:ascii="Times-Roman" w:hAnsi="Times-Roman" w:cs="Times-Roman"/>
        </w:rPr>
        <w:t xml:space="preserve"> </w:t>
      </w:r>
      <w:r w:rsidR="00874F18" w:rsidRPr="00874F18">
        <w:rPr>
          <w:rFonts w:ascii="Times-Roman" w:hAnsi="Times-Roman" w:cs="Times-Roman"/>
        </w:rPr>
        <w:t>and empirical integration</w:t>
      </w:r>
      <w:r w:rsidR="00874F18">
        <w:rPr>
          <w:rFonts w:ascii="Times-Roman" w:hAnsi="Times-Roman" w:cs="Times-Roman"/>
        </w:rPr>
        <w:t xml:space="preserve">. </w:t>
      </w:r>
    </w:p>
    <w:p w14:paraId="559ED0D1" w14:textId="5E02FFFF" w:rsidR="00DE58CF" w:rsidRDefault="000A227E" w:rsidP="006739C9">
      <w:pPr>
        <w:autoSpaceDE w:val="0"/>
        <w:autoSpaceDN w:val="0"/>
        <w:adjustRightInd w:val="0"/>
        <w:spacing w:after="0" w:line="480" w:lineRule="auto"/>
        <w:ind w:left="720"/>
        <w:rPr>
          <w:rFonts w:ascii="Times-Roman" w:hAnsi="Times-Roman" w:cs="Times-Roman"/>
        </w:rPr>
      </w:pPr>
      <w:r>
        <w:rPr>
          <w:rFonts w:ascii="Times-Italic" w:hAnsi="Times-Italic" w:cs="Times-Italic"/>
          <w:i/>
          <w:iCs/>
        </w:rPr>
        <w:t>“</w:t>
      </w:r>
      <w:r w:rsidR="00DE58CF" w:rsidRPr="00DE58CF">
        <w:rPr>
          <w:rFonts w:ascii="Times-Italic" w:hAnsi="Times-Italic" w:cs="Times-Italic"/>
          <w:i/>
          <w:iCs/>
        </w:rPr>
        <w:t xml:space="preserve">Race </w:t>
      </w:r>
      <w:r w:rsidR="00DE58CF" w:rsidRPr="00DE58CF">
        <w:rPr>
          <w:rFonts w:ascii="Times-Roman" w:hAnsi="Times-Roman" w:cs="Times-Roman"/>
        </w:rPr>
        <w:t xml:space="preserve">is a dynamic set of historically derived and institutionalized ideas and practices that (1) sorts people into ethnic groups according to perceived physical and behavioral </w:t>
      </w:r>
      <w:r w:rsidR="00DE58CF" w:rsidRPr="00DE58CF">
        <w:rPr>
          <w:rFonts w:ascii="Times-Roman" w:hAnsi="Times-Roman" w:cs="Times-Roman"/>
        </w:rPr>
        <w:lastRenderedPageBreak/>
        <w:t xml:space="preserve">human characteristics; (2) associates differential value, power, and privilege with these characteristics and establishes a social status ranking among the different groups; and (3) emerges (a) when groups are perceived to pose a threat (political, economic, or cultural) to each other’s world view or way of life; and/or (b) to justify the denigration and exploitation (past, current, or future) of, and prejudice toward, other groups. </w:t>
      </w:r>
      <w:r w:rsidR="00DE58CF" w:rsidRPr="00DE58CF">
        <w:rPr>
          <w:rFonts w:ascii="Times-Italic" w:hAnsi="Times-Italic" w:cs="Times-Italic"/>
          <w:i/>
          <w:iCs/>
        </w:rPr>
        <w:t xml:space="preserve">Ethnicity </w:t>
      </w:r>
      <w:r w:rsidR="00DE58CF" w:rsidRPr="00DE58CF">
        <w:rPr>
          <w:rFonts w:ascii="Times-Roman" w:hAnsi="Times-Roman" w:cs="Times-Roman"/>
        </w:rPr>
        <w:t>is a dynamic set of historically derived and institutionalized ideas and practices that (1) allows people to identify or to be identified with groupings of people on the basis of presumed (and usually claimed) commonalities including language, history, nation or region of origin, customs, ways of being, religion, names, physical appearance, and/or genealogy or ancestry; (2) can be a source of meaning, action, and identity; and (3) confers a sense of belonging, pride, and motivation. (p. 654).</w:t>
      </w:r>
      <w:r>
        <w:rPr>
          <w:rFonts w:ascii="Times-Roman" w:hAnsi="Times-Roman" w:cs="Times-Roman"/>
        </w:rPr>
        <w:t>”</w:t>
      </w:r>
    </w:p>
    <w:p w14:paraId="09890CB4" w14:textId="77777777" w:rsidR="006739C9" w:rsidRPr="006739C9" w:rsidRDefault="006739C9" w:rsidP="006739C9">
      <w:pPr>
        <w:autoSpaceDE w:val="0"/>
        <w:autoSpaceDN w:val="0"/>
        <w:adjustRightInd w:val="0"/>
        <w:spacing w:after="0" w:line="480" w:lineRule="auto"/>
        <w:ind w:left="720"/>
        <w:rPr>
          <w:bCs/>
          <w:color w:val="000000"/>
        </w:rPr>
      </w:pPr>
    </w:p>
    <w:p w14:paraId="3388BB35" w14:textId="77777777" w:rsidR="00225DF4" w:rsidRDefault="006739C9" w:rsidP="00DE58CF">
      <w:pPr>
        <w:autoSpaceDE w:val="0"/>
        <w:autoSpaceDN w:val="0"/>
        <w:adjustRightInd w:val="0"/>
        <w:spacing w:after="0" w:line="480" w:lineRule="auto"/>
        <w:rPr>
          <w:rFonts w:eastAsia="Times New Roman"/>
          <w:b/>
          <w:color w:val="000000" w:themeColor="text1"/>
          <w:sz w:val="22"/>
          <w:szCs w:val="22"/>
          <w:shd w:val="clear" w:color="auto" w:fill="FFFFFF"/>
        </w:rPr>
      </w:pPr>
      <w:r w:rsidRPr="006739C9">
        <w:rPr>
          <w:b/>
        </w:rPr>
        <w:t>S</w:t>
      </w:r>
      <w:r w:rsidR="003936BA">
        <w:rPr>
          <w:b/>
        </w:rPr>
        <w:t>4</w:t>
      </w:r>
      <w:r>
        <w:t xml:space="preserve">: </w:t>
      </w:r>
      <w:r w:rsidR="00225DF4" w:rsidRPr="006B3F46">
        <w:rPr>
          <w:rFonts w:eastAsia="Times New Roman"/>
          <w:b/>
          <w:color w:val="000000" w:themeColor="text1"/>
          <w:sz w:val="22"/>
          <w:szCs w:val="22"/>
          <w:shd w:val="clear" w:color="auto" w:fill="FFFFFF"/>
        </w:rPr>
        <w:t xml:space="preserve">Definition of sex and gender </w:t>
      </w:r>
    </w:p>
    <w:p w14:paraId="48BDC5CE" w14:textId="629CC6EF" w:rsidR="00DE58CF" w:rsidRPr="006739C9" w:rsidRDefault="006739C9" w:rsidP="00DE58CF">
      <w:pPr>
        <w:autoSpaceDE w:val="0"/>
        <w:autoSpaceDN w:val="0"/>
        <w:adjustRightInd w:val="0"/>
        <w:spacing w:after="0" w:line="480" w:lineRule="auto"/>
      </w:pPr>
      <w:r>
        <w:t>“</w:t>
      </w:r>
      <w:r w:rsidR="00DE58CF" w:rsidRPr="00DE58CF">
        <w:rPr>
          <w:i/>
          <w:iCs/>
          <w:color w:val="000000" w:themeColor="text1"/>
        </w:rPr>
        <w:t xml:space="preserve">Sex </w:t>
      </w:r>
      <w:r w:rsidR="00DE58CF" w:rsidRPr="00DE58CF">
        <w:rPr>
          <w:color w:val="000000" w:themeColor="text1"/>
        </w:rPr>
        <w:t xml:space="preserve">refers to a person’s biological status and is typically categorized as male, female, or intersex (i.e., atypical combinations of features that usually distinguish male from female). There are a number of indicators of biological sex, including sex chromosomes, gonads, internal reproductive organs, and external genitalia. </w:t>
      </w:r>
      <w:r w:rsidR="00DE58CF" w:rsidRPr="00DE58CF">
        <w:rPr>
          <w:i/>
          <w:iCs/>
          <w:color w:val="000000" w:themeColor="text1"/>
        </w:rPr>
        <w:t xml:space="preserve">Gender </w:t>
      </w:r>
      <w:r w:rsidR="00DE58CF" w:rsidRPr="00DE58CF">
        <w:rPr>
          <w:color w:val="000000" w:themeColor="text1"/>
        </w:rPr>
        <w:t>refers to the attitudes, feelings, and behaviors that a given culture associates with a person’s biological sex. Behavior that is compatible with cultural expectations is referred to as gender normative; behaviors that are viewed as incompatible with these expectations constitute gender nonconformity</w:t>
      </w:r>
      <w:r>
        <w:rPr>
          <w:color w:val="000000" w:themeColor="text1"/>
        </w:rPr>
        <w:t>.</w:t>
      </w:r>
      <w:r w:rsidR="000A227E">
        <w:rPr>
          <w:color w:val="000000" w:themeColor="text1"/>
        </w:rPr>
        <w:t>”</w:t>
      </w:r>
      <w:r>
        <w:rPr>
          <w:color w:val="000000" w:themeColor="text1"/>
        </w:rPr>
        <w:t xml:space="preserve"> </w:t>
      </w:r>
      <w:r w:rsidR="00DE58CF" w:rsidRPr="00DE58CF">
        <w:rPr>
          <w:color w:val="000000" w:themeColor="text1"/>
        </w:rPr>
        <w:t>(</w:t>
      </w:r>
      <w:r w:rsidR="00D2369B">
        <w:rPr>
          <w:color w:val="000000" w:themeColor="text1"/>
        </w:rPr>
        <w:t>APA</w:t>
      </w:r>
      <w:r w:rsidR="00DE58CF" w:rsidRPr="00DE58CF">
        <w:rPr>
          <w:color w:val="000000" w:themeColor="text1"/>
        </w:rPr>
        <w:t xml:space="preserve">, 2012, p. </w:t>
      </w:r>
      <w:r w:rsidR="00194232">
        <w:rPr>
          <w:color w:val="000000" w:themeColor="text1"/>
        </w:rPr>
        <w:t>11</w:t>
      </w:r>
      <w:r w:rsidR="00DE58CF" w:rsidRPr="00DE58CF">
        <w:rPr>
          <w:color w:val="000000" w:themeColor="text1"/>
        </w:rPr>
        <w:t>).</w:t>
      </w:r>
    </w:p>
    <w:p w14:paraId="30F60714" w14:textId="30A37E21" w:rsidR="003936BA" w:rsidRDefault="003936BA" w:rsidP="003936BA">
      <w:pPr>
        <w:autoSpaceDE w:val="0"/>
        <w:autoSpaceDN w:val="0"/>
        <w:adjustRightInd w:val="0"/>
        <w:spacing w:after="0" w:line="480" w:lineRule="auto"/>
        <w:ind w:left="720"/>
        <w:jc w:val="both"/>
        <w:rPr>
          <w:bCs/>
          <w:color w:val="000000"/>
        </w:rPr>
      </w:pPr>
    </w:p>
    <w:p w14:paraId="0B2A81F2" w14:textId="78C7DF1A" w:rsidR="00225DF4" w:rsidRDefault="00225DF4" w:rsidP="003936BA">
      <w:pPr>
        <w:autoSpaceDE w:val="0"/>
        <w:autoSpaceDN w:val="0"/>
        <w:adjustRightInd w:val="0"/>
        <w:spacing w:after="0" w:line="480" w:lineRule="auto"/>
        <w:ind w:left="720"/>
        <w:jc w:val="both"/>
        <w:rPr>
          <w:bCs/>
          <w:color w:val="000000"/>
        </w:rPr>
      </w:pPr>
    </w:p>
    <w:p w14:paraId="26C6DF82" w14:textId="77777777" w:rsidR="00225DF4" w:rsidRDefault="00225DF4" w:rsidP="003936BA">
      <w:pPr>
        <w:autoSpaceDE w:val="0"/>
        <w:autoSpaceDN w:val="0"/>
        <w:adjustRightInd w:val="0"/>
        <w:spacing w:after="0" w:line="480" w:lineRule="auto"/>
        <w:ind w:left="720"/>
        <w:jc w:val="both"/>
        <w:rPr>
          <w:bCs/>
          <w:color w:val="000000"/>
        </w:rPr>
      </w:pPr>
    </w:p>
    <w:p w14:paraId="72292CAB" w14:textId="628BA7FE" w:rsidR="00225DF4" w:rsidRDefault="003936BA" w:rsidP="003936BA">
      <w:pPr>
        <w:autoSpaceDE w:val="0"/>
        <w:autoSpaceDN w:val="0"/>
        <w:adjustRightInd w:val="0"/>
        <w:spacing w:after="0" w:line="480" w:lineRule="auto"/>
        <w:rPr>
          <w:b/>
        </w:rPr>
      </w:pPr>
      <w:bookmarkStart w:id="2" w:name="_Hlk5544462"/>
      <w:r w:rsidRPr="00941957">
        <w:rPr>
          <w:b/>
        </w:rPr>
        <w:lastRenderedPageBreak/>
        <w:t>S</w:t>
      </w:r>
      <w:r>
        <w:rPr>
          <w:b/>
        </w:rPr>
        <w:t xml:space="preserve">5: </w:t>
      </w:r>
      <w:r w:rsidR="00225DF4" w:rsidRPr="006B3F46">
        <w:rPr>
          <w:rFonts w:eastAsia="Times New Roman"/>
          <w:b/>
          <w:color w:val="000000" w:themeColor="text1"/>
          <w:sz w:val="22"/>
          <w:szCs w:val="22"/>
          <w:shd w:val="clear" w:color="auto" w:fill="FFFFFF"/>
        </w:rPr>
        <w:t>Mean difference and test bias issue</w:t>
      </w:r>
    </w:p>
    <w:p w14:paraId="1F5A6BF4" w14:textId="4BA77465" w:rsidR="003936BA" w:rsidRDefault="003936BA" w:rsidP="003936BA">
      <w:pPr>
        <w:autoSpaceDE w:val="0"/>
        <w:autoSpaceDN w:val="0"/>
        <w:adjustRightInd w:val="0"/>
        <w:spacing w:after="0" w:line="480" w:lineRule="auto"/>
        <w:rPr>
          <w:color w:val="333333"/>
          <w:shd w:val="clear" w:color="auto" w:fill="FFFFFF"/>
        </w:rPr>
      </w:pPr>
      <w:r w:rsidRPr="00DE58CF">
        <w:t xml:space="preserve">Laypeople and some researchers </w:t>
      </w:r>
      <w:r w:rsidR="000A227E">
        <w:t>have</w:t>
      </w:r>
      <w:r w:rsidR="00AA5FAF">
        <w:t xml:space="preserve"> sometimes</w:t>
      </w:r>
      <w:r w:rsidR="000A227E">
        <w:t xml:space="preserve"> </w:t>
      </w:r>
      <w:r w:rsidRPr="00DE58CF">
        <w:t xml:space="preserve">viewed mean score differences as evidence of test bias (e.g., </w:t>
      </w:r>
      <w:r w:rsidRPr="00DE58CF">
        <w:rPr>
          <w:bCs/>
          <w:color w:val="000000" w:themeColor="text1"/>
        </w:rPr>
        <w:t>Warne et al., 2014</w:t>
      </w:r>
      <w:r w:rsidRPr="00DE58CF">
        <w:t>). Th</w:t>
      </w:r>
      <w:r w:rsidR="00AA5FAF">
        <w:t>is erroneous view is sometimes termed</w:t>
      </w:r>
      <w:r w:rsidRPr="00DE58CF">
        <w:t xml:space="preserve"> the </w:t>
      </w:r>
      <w:r w:rsidRPr="00DE58CF">
        <w:rPr>
          <w:i/>
          <w:iCs/>
          <w:color w:val="1C1D1E"/>
        </w:rPr>
        <w:t>egalitarian fallacy</w:t>
      </w:r>
      <w:r w:rsidRPr="00DE58CF">
        <w:rPr>
          <w:color w:val="1C1D1E"/>
        </w:rPr>
        <w:t xml:space="preserve">, which </w:t>
      </w:r>
      <w:r w:rsidR="00AA5FAF">
        <w:rPr>
          <w:color w:val="1C1D1E"/>
        </w:rPr>
        <w:t>entails the assumption</w:t>
      </w:r>
      <w:r w:rsidRPr="00DE58CF">
        <w:rPr>
          <w:color w:val="1C1D1E"/>
        </w:rPr>
        <w:t xml:space="preserve"> that all groups </w:t>
      </w:r>
      <w:r w:rsidR="00AA5FAF">
        <w:rPr>
          <w:color w:val="1C1D1E"/>
        </w:rPr>
        <w:t>are</w:t>
      </w:r>
      <w:r w:rsidRPr="00DE58CF">
        <w:rPr>
          <w:color w:val="1C1D1E"/>
        </w:rPr>
        <w:t xml:space="preserve"> equal in the characteristics measured by a test, </w:t>
      </w:r>
      <w:r w:rsidR="00AA5FAF">
        <w:rPr>
          <w:color w:val="1C1D1E"/>
        </w:rPr>
        <w:t>and measured group differences</w:t>
      </w:r>
      <w:r w:rsidRPr="00DE58CF">
        <w:rPr>
          <w:color w:val="1C1D1E"/>
        </w:rPr>
        <w:t xml:space="preserve"> must </w:t>
      </w:r>
      <w:r w:rsidR="00AA5FAF">
        <w:rPr>
          <w:color w:val="1C1D1E"/>
        </w:rPr>
        <w:t xml:space="preserve">therefore </w:t>
      </w:r>
      <w:r w:rsidRPr="00DE58CF">
        <w:rPr>
          <w:color w:val="1C1D1E"/>
        </w:rPr>
        <w:t xml:space="preserve">result from bias. </w:t>
      </w:r>
      <w:r w:rsidRPr="00DE58CF">
        <w:t xml:space="preserve">This interpretation of test bias is unanimously rejected by experts on testing (e.g., </w:t>
      </w:r>
      <w:r w:rsidRPr="00DE58CF">
        <w:rPr>
          <w:rFonts w:ascii="Times-Roman" w:hAnsi="Times-Roman" w:cs="Times-Roman"/>
        </w:rPr>
        <w:t>AERA, APA, &amp; NCME, 2014</w:t>
      </w:r>
      <w:r w:rsidRPr="00DE58CF">
        <w:t>; SIOP, 2018</w:t>
      </w:r>
      <w:r w:rsidRPr="00DE58CF">
        <w:rPr>
          <w:rFonts w:ascii="Times-Roman" w:hAnsi="Times-Roman" w:cs="Times-Roman"/>
        </w:rPr>
        <w:t xml:space="preserve">) because </w:t>
      </w:r>
      <w:r w:rsidR="00AA5FAF">
        <w:t>score differences between groups</w:t>
      </w:r>
      <w:r w:rsidRPr="00644EC1">
        <w:t xml:space="preserve"> may </w:t>
      </w:r>
      <w:r w:rsidR="00AA5FAF">
        <w:t>reflect</w:t>
      </w:r>
      <w:r w:rsidRPr="00644EC1">
        <w:t xml:space="preserve"> true differences (e.g., </w:t>
      </w:r>
      <w:proofErr w:type="spellStart"/>
      <w:r w:rsidRPr="00644EC1">
        <w:t>Clarizio</w:t>
      </w:r>
      <w:proofErr w:type="spellEnd"/>
      <w:r w:rsidRPr="00644EC1">
        <w:t>, 1979).</w:t>
      </w:r>
      <w:r w:rsidRPr="00644EC1">
        <w:rPr>
          <w:color w:val="333333"/>
          <w:shd w:val="clear" w:color="auto" w:fill="FFFFFF"/>
        </w:rPr>
        <w:t xml:space="preserve">  </w:t>
      </w:r>
    </w:p>
    <w:bookmarkEnd w:id="2"/>
    <w:p w14:paraId="12CD68A3" w14:textId="77777777" w:rsidR="006135D6" w:rsidRDefault="006135D6" w:rsidP="003936BA">
      <w:pPr>
        <w:autoSpaceDE w:val="0"/>
        <w:autoSpaceDN w:val="0"/>
        <w:adjustRightInd w:val="0"/>
        <w:spacing w:after="0" w:line="480" w:lineRule="auto"/>
      </w:pPr>
    </w:p>
    <w:p w14:paraId="606CE686" w14:textId="77777777" w:rsidR="00225DF4" w:rsidRDefault="003936BA" w:rsidP="003936BA">
      <w:pPr>
        <w:autoSpaceDE w:val="0"/>
        <w:autoSpaceDN w:val="0"/>
        <w:adjustRightInd w:val="0"/>
        <w:snapToGrid w:val="0"/>
        <w:spacing w:after="0" w:line="480" w:lineRule="auto"/>
        <w:rPr>
          <w:rFonts w:eastAsia="Times New Roman"/>
          <w:b/>
          <w:color w:val="000000" w:themeColor="text1"/>
          <w:sz w:val="22"/>
          <w:szCs w:val="22"/>
          <w:shd w:val="clear" w:color="auto" w:fill="FFFFFF"/>
        </w:rPr>
      </w:pPr>
      <w:r w:rsidRPr="00E71AA6">
        <w:rPr>
          <w:b/>
          <w:bCs/>
          <w:color w:val="000000" w:themeColor="text1"/>
        </w:rPr>
        <w:t>S</w:t>
      </w:r>
      <w:r>
        <w:rPr>
          <w:b/>
          <w:bCs/>
          <w:color w:val="000000" w:themeColor="text1"/>
        </w:rPr>
        <w:t>6</w:t>
      </w:r>
      <w:r w:rsidRPr="00E71AA6">
        <w:rPr>
          <w:b/>
          <w:bCs/>
          <w:color w:val="000000" w:themeColor="text1"/>
        </w:rPr>
        <w:t>:</w:t>
      </w:r>
      <w:r>
        <w:rPr>
          <w:bCs/>
          <w:color w:val="000000" w:themeColor="text1"/>
        </w:rPr>
        <w:t xml:space="preserve"> </w:t>
      </w:r>
      <w:r w:rsidR="00225DF4" w:rsidRPr="006B3F46">
        <w:rPr>
          <w:rFonts w:eastAsia="Times New Roman"/>
          <w:b/>
          <w:color w:val="000000" w:themeColor="text1"/>
          <w:sz w:val="22"/>
          <w:szCs w:val="22"/>
          <w:shd w:val="clear" w:color="auto" w:fill="FFFFFF"/>
        </w:rPr>
        <w:t xml:space="preserve">Predictive invariance issues   </w:t>
      </w:r>
    </w:p>
    <w:p w14:paraId="6AEC334C" w14:textId="3BFC7DA5" w:rsidR="003936BA" w:rsidRPr="00B80F1D" w:rsidRDefault="00AA5FAF" w:rsidP="003936BA">
      <w:pPr>
        <w:autoSpaceDE w:val="0"/>
        <w:autoSpaceDN w:val="0"/>
        <w:adjustRightInd w:val="0"/>
        <w:snapToGrid w:val="0"/>
        <w:spacing w:after="0" w:line="480" w:lineRule="auto"/>
        <w:rPr>
          <w:rFonts w:ascii="Times-Roman" w:hAnsi="Times-Roman" w:cs="Times-Roman"/>
          <w:color w:val="000000" w:themeColor="text1"/>
        </w:rPr>
      </w:pPr>
      <w:r>
        <w:rPr>
          <w:bCs/>
          <w:color w:val="000000" w:themeColor="text1"/>
        </w:rPr>
        <w:t>Much of the</w:t>
      </w:r>
      <w:r w:rsidR="003936BA" w:rsidRPr="002C0D74">
        <w:rPr>
          <w:bCs/>
          <w:color w:val="000000" w:themeColor="text1"/>
        </w:rPr>
        <w:t xml:space="preserve"> research examining predictive </w:t>
      </w:r>
      <w:r w:rsidR="003936BA">
        <w:rPr>
          <w:bCs/>
          <w:color w:val="000000" w:themeColor="text1"/>
        </w:rPr>
        <w:t>bias</w:t>
      </w:r>
      <w:r w:rsidR="003936BA" w:rsidRPr="002C0D74">
        <w:rPr>
          <w:bCs/>
          <w:color w:val="000000" w:themeColor="text1"/>
        </w:rPr>
        <w:t xml:space="preserve"> has employed </w:t>
      </w:r>
      <w:r>
        <w:rPr>
          <w:bCs/>
          <w:color w:val="000000" w:themeColor="text1"/>
        </w:rPr>
        <w:t xml:space="preserve">the technique of </w:t>
      </w:r>
      <w:r w:rsidR="003936BA" w:rsidRPr="002C0D74">
        <w:rPr>
          <w:bCs/>
          <w:color w:val="000000" w:themeColor="text1"/>
        </w:rPr>
        <w:t>moderated multiple regression</w:t>
      </w:r>
      <w:r w:rsidR="003936BA">
        <w:rPr>
          <w:bCs/>
          <w:color w:val="000000" w:themeColor="text1"/>
        </w:rPr>
        <w:t xml:space="preserve"> </w:t>
      </w:r>
      <w:r w:rsidR="003936BA" w:rsidRPr="002C0D74">
        <w:rPr>
          <w:bCs/>
          <w:color w:val="000000" w:themeColor="text1"/>
        </w:rPr>
        <w:t>(</w:t>
      </w:r>
      <w:proofErr w:type="spellStart"/>
      <w:r w:rsidR="003936BA" w:rsidRPr="002C0D74">
        <w:rPr>
          <w:rFonts w:ascii="Times-Roman" w:hAnsi="Times-Roman" w:cs="Times-Roman"/>
          <w:color w:val="000000" w:themeColor="text1"/>
        </w:rPr>
        <w:t>Mattern</w:t>
      </w:r>
      <w:proofErr w:type="spellEnd"/>
      <w:r w:rsidR="003936BA" w:rsidRPr="002C0D74">
        <w:rPr>
          <w:rFonts w:ascii="Times-Roman" w:hAnsi="Times-Roman" w:cs="Times-Roman"/>
          <w:color w:val="000000" w:themeColor="text1"/>
        </w:rPr>
        <w:t xml:space="preserve"> &amp; Patterson, 2013)</w:t>
      </w:r>
      <w:r w:rsidR="003936BA">
        <w:rPr>
          <w:rFonts w:ascii="Times-Roman" w:hAnsi="Times-Roman" w:cs="Times-Roman"/>
          <w:color w:val="000000" w:themeColor="text1"/>
        </w:rPr>
        <w:t>, in</w:t>
      </w:r>
      <w:r w:rsidR="003936BA" w:rsidRPr="002C0D74">
        <w:rPr>
          <w:rFonts w:ascii="Times-Roman" w:hAnsi="Times-Roman" w:cs="Times-Roman"/>
          <w:color w:val="000000" w:themeColor="text1"/>
        </w:rPr>
        <w:t xml:space="preserve"> which predictor variables and their interaction term are entered in</w:t>
      </w:r>
      <w:r w:rsidR="003936BA">
        <w:rPr>
          <w:rFonts w:ascii="Times-Roman" w:hAnsi="Times-Roman" w:cs="Times-Roman"/>
          <w:color w:val="000000" w:themeColor="text1"/>
        </w:rPr>
        <w:t>to</w:t>
      </w:r>
      <w:r w:rsidR="003936BA" w:rsidRPr="002C0D74">
        <w:rPr>
          <w:rFonts w:ascii="Times-Roman" w:hAnsi="Times-Roman" w:cs="Times-Roman"/>
          <w:color w:val="000000" w:themeColor="text1"/>
        </w:rPr>
        <w:t xml:space="preserve"> the </w:t>
      </w:r>
      <w:r w:rsidR="003936BA">
        <w:rPr>
          <w:rFonts w:ascii="Times-Roman" w:hAnsi="Times-Roman" w:cs="Times-Roman"/>
          <w:color w:val="000000" w:themeColor="text1"/>
        </w:rPr>
        <w:t xml:space="preserve">prediction </w:t>
      </w:r>
      <w:r w:rsidR="003936BA" w:rsidRPr="002C0D74">
        <w:rPr>
          <w:rFonts w:ascii="Times-Roman" w:hAnsi="Times-Roman" w:cs="Times-Roman"/>
          <w:color w:val="000000" w:themeColor="text1"/>
        </w:rPr>
        <w:t xml:space="preserve">model sequentially. </w:t>
      </w:r>
      <w:r w:rsidR="003936BA">
        <w:rPr>
          <w:rFonts w:ascii="Times-Roman" w:hAnsi="Times-Roman" w:cs="Times-Roman"/>
          <w:color w:val="000000" w:themeColor="text1"/>
        </w:rPr>
        <w:t>At</w:t>
      </w:r>
      <w:r w:rsidR="003936BA" w:rsidRPr="002C0D74">
        <w:rPr>
          <w:rFonts w:ascii="Times-Roman" w:hAnsi="Times-Roman" w:cs="Times-Roman"/>
          <w:color w:val="000000" w:themeColor="text1"/>
        </w:rPr>
        <w:t xml:space="preserve"> each step</w:t>
      </w:r>
      <w:r w:rsidR="003936BA">
        <w:rPr>
          <w:rFonts w:ascii="Times-Roman" w:hAnsi="Times-Roman" w:cs="Times-Roman"/>
          <w:color w:val="000000" w:themeColor="text1"/>
        </w:rPr>
        <w:t>,</w:t>
      </w:r>
      <w:r w:rsidR="003936BA" w:rsidRPr="002C0D74">
        <w:rPr>
          <w:rFonts w:ascii="Times-Roman" w:hAnsi="Times-Roman" w:cs="Times-Roman"/>
          <w:color w:val="000000" w:themeColor="text1"/>
        </w:rPr>
        <w:t xml:space="preserve"> change in </w:t>
      </w:r>
      <w:r w:rsidR="003936BA" w:rsidRPr="002C0D74">
        <w:rPr>
          <w:rFonts w:ascii="Times-Roman" w:hAnsi="Times-Roman" w:cs="Times-Roman"/>
          <w:i/>
          <w:color w:val="000000" w:themeColor="text1"/>
        </w:rPr>
        <w:t>R</w:t>
      </w:r>
      <w:r w:rsidR="003936BA" w:rsidRPr="002C0D74">
        <w:rPr>
          <w:rFonts w:ascii="Times-Roman" w:hAnsi="Times-Roman" w:cs="Times-Roman"/>
          <w:i/>
          <w:color w:val="000000" w:themeColor="text1"/>
          <w:vertAlign w:val="superscript"/>
        </w:rPr>
        <w:t>2</w:t>
      </w:r>
      <w:r w:rsidR="003936BA" w:rsidRPr="002C0D74">
        <w:rPr>
          <w:rFonts w:ascii="Times-Roman" w:hAnsi="Times-Roman" w:cs="Times-Roman"/>
          <w:i/>
          <w:color w:val="000000" w:themeColor="text1"/>
        </w:rPr>
        <w:t xml:space="preserve"> </w:t>
      </w:r>
      <w:r w:rsidR="003936BA" w:rsidRPr="002C0D74">
        <w:rPr>
          <w:rFonts w:ascii="Times-Roman" w:hAnsi="Times-Roman" w:cs="Times-Roman"/>
          <w:color w:val="000000" w:themeColor="text1"/>
        </w:rPr>
        <w:t>(</w:t>
      </w:r>
      <w:r w:rsidR="003936BA" w:rsidRPr="002C0D74">
        <w:rPr>
          <w:i/>
          <w:color w:val="000000" w:themeColor="text1"/>
        </w:rPr>
        <w:t>Δ</w:t>
      </w:r>
      <w:r w:rsidR="003936BA" w:rsidRPr="002C0D74">
        <w:rPr>
          <w:rFonts w:ascii="Times-Roman" w:hAnsi="Times-Roman" w:cs="Times-Roman"/>
          <w:i/>
          <w:color w:val="000000" w:themeColor="text1"/>
        </w:rPr>
        <w:t>R</w:t>
      </w:r>
      <w:r w:rsidR="003936BA" w:rsidRPr="002C0D74">
        <w:rPr>
          <w:rFonts w:ascii="Times-Roman" w:hAnsi="Times-Roman" w:cs="Times-Roman"/>
          <w:i/>
          <w:color w:val="000000" w:themeColor="text1"/>
          <w:vertAlign w:val="superscript"/>
        </w:rPr>
        <w:t>2</w:t>
      </w:r>
      <w:r w:rsidR="003936BA" w:rsidRPr="002C0D74">
        <w:rPr>
          <w:rFonts w:ascii="Times-Roman" w:hAnsi="Times-Roman" w:cs="Times-Roman"/>
          <w:color w:val="000000" w:themeColor="text1"/>
        </w:rPr>
        <w:t>) is examined to make decision</w:t>
      </w:r>
      <w:r w:rsidR="003936BA">
        <w:rPr>
          <w:rFonts w:ascii="Times-Roman" w:hAnsi="Times-Roman" w:cs="Times-Roman"/>
          <w:color w:val="000000" w:themeColor="text1"/>
        </w:rPr>
        <w:t>s about</w:t>
      </w:r>
      <w:r w:rsidR="003936BA" w:rsidRPr="002C0D74">
        <w:rPr>
          <w:rFonts w:ascii="Times-Roman" w:hAnsi="Times-Roman" w:cs="Times-Roman"/>
          <w:color w:val="000000" w:themeColor="text1"/>
        </w:rPr>
        <w:t xml:space="preserve"> the </w:t>
      </w:r>
      <w:r w:rsidR="003936BA">
        <w:rPr>
          <w:rFonts w:ascii="Times-Roman" w:hAnsi="Times-Roman" w:cs="Times-Roman"/>
          <w:color w:val="000000" w:themeColor="text1"/>
        </w:rPr>
        <w:t xml:space="preserve">presence and magnitude of the </w:t>
      </w:r>
      <w:r w:rsidR="003936BA" w:rsidRPr="002C0D74">
        <w:rPr>
          <w:rFonts w:ascii="Times-Roman" w:hAnsi="Times-Roman" w:cs="Times-Roman"/>
          <w:color w:val="000000" w:themeColor="text1"/>
        </w:rPr>
        <w:t>two types of predictive bias</w:t>
      </w:r>
      <w:r w:rsidR="003936BA">
        <w:rPr>
          <w:rFonts w:ascii="Times-Roman" w:hAnsi="Times-Roman" w:cs="Times-Roman"/>
          <w:color w:val="000000" w:themeColor="text1"/>
        </w:rPr>
        <w:t xml:space="preserve"> (i.e., </w:t>
      </w:r>
      <w:r w:rsidR="003936BA" w:rsidRPr="002C0D74">
        <w:rPr>
          <w:rFonts w:ascii="Times-Roman" w:hAnsi="Times-Roman" w:cs="Times-Roman"/>
          <w:color w:val="000000" w:themeColor="text1"/>
        </w:rPr>
        <w:t xml:space="preserve">intercept </w:t>
      </w:r>
      <w:r w:rsidR="003936BA">
        <w:rPr>
          <w:rFonts w:ascii="Times-Roman" w:hAnsi="Times-Roman" w:cs="Times-Roman"/>
          <w:color w:val="000000" w:themeColor="text1"/>
        </w:rPr>
        <w:t>and</w:t>
      </w:r>
      <w:r w:rsidR="003936BA" w:rsidRPr="002C0D74">
        <w:rPr>
          <w:rFonts w:ascii="Times-Roman" w:hAnsi="Times-Roman" w:cs="Times-Roman"/>
          <w:color w:val="000000" w:themeColor="text1"/>
        </w:rPr>
        <w:t xml:space="preserve"> slope bias</w:t>
      </w:r>
      <w:r w:rsidR="003936BA">
        <w:rPr>
          <w:rFonts w:ascii="Times-Roman" w:hAnsi="Times-Roman" w:cs="Times-Roman"/>
          <w:color w:val="000000" w:themeColor="text1"/>
        </w:rPr>
        <w:t xml:space="preserve">; </w:t>
      </w:r>
      <w:r w:rsidR="003936BA" w:rsidRPr="002C0D74">
        <w:rPr>
          <w:rFonts w:ascii="Times-Roman" w:hAnsi="Times-Roman" w:cs="Times-Roman"/>
          <w:color w:val="000000" w:themeColor="text1"/>
        </w:rPr>
        <w:t xml:space="preserve">Clearly, 1968). For example, </w:t>
      </w:r>
      <w:r w:rsidR="003936BA">
        <w:rPr>
          <w:rFonts w:ascii="Times-Roman" w:hAnsi="Times-Roman" w:cs="Times-Roman"/>
          <w:color w:val="000000" w:themeColor="text1"/>
        </w:rPr>
        <w:t>an</w:t>
      </w:r>
      <w:r w:rsidR="003936BA" w:rsidRPr="002C0D74">
        <w:rPr>
          <w:rFonts w:ascii="Times-Roman" w:hAnsi="Times-Roman" w:cs="Times-Roman"/>
          <w:color w:val="000000" w:themeColor="text1"/>
        </w:rPr>
        <w:t xml:space="preserve"> outcome measure (e.g., supervisor rating</w:t>
      </w:r>
      <w:r w:rsidR="003936BA">
        <w:rPr>
          <w:rFonts w:ascii="Times-Roman" w:hAnsi="Times-Roman" w:cs="Times-Roman"/>
          <w:color w:val="000000" w:themeColor="text1"/>
        </w:rPr>
        <w:t>s</w:t>
      </w:r>
      <w:r w:rsidR="003936BA" w:rsidRPr="002C0D74">
        <w:rPr>
          <w:rFonts w:ascii="Times-Roman" w:hAnsi="Times-Roman" w:cs="Times-Roman"/>
          <w:color w:val="000000" w:themeColor="text1"/>
        </w:rPr>
        <w:t xml:space="preserve"> o</w:t>
      </w:r>
      <w:r w:rsidR="003936BA">
        <w:rPr>
          <w:rFonts w:ascii="Times-Roman" w:hAnsi="Times-Roman" w:cs="Times-Roman"/>
          <w:color w:val="000000" w:themeColor="text1"/>
        </w:rPr>
        <w:t>f</w:t>
      </w:r>
      <w:r w:rsidR="003936BA" w:rsidRPr="002C0D74">
        <w:rPr>
          <w:rFonts w:ascii="Times-Roman" w:hAnsi="Times-Roman" w:cs="Times-Roman"/>
          <w:color w:val="000000" w:themeColor="text1"/>
        </w:rPr>
        <w:t xml:space="preserve"> employee risk-taking behavior</w:t>
      </w:r>
      <w:r w:rsidR="003936BA">
        <w:rPr>
          <w:rFonts w:ascii="Times-Roman" w:hAnsi="Times-Roman" w:cs="Times-Roman"/>
          <w:color w:val="000000" w:themeColor="text1"/>
        </w:rPr>
        <w:t>s</w:t>
      </w:r>
      <w:r w:rsidR="003936BA" w:rsidRPr="002C0D74">
        <w:rPr>
          <w:rFonts w:ascii="Times-Roman" w:hAnsi="Times-Roman" w:cs="Times-Roman"/>
          <w:color w:val="000000" w:themeColor="text1"/>
        </w:rPr>
        <w:t xml:space="preserve"> at work) is regressed on</w:t>
      </w:r>
      <w:r w:rsidR="003936BA">
        <w:rPr>
          <w:rFonts w:ascii="Times-Roman" w:hAnsi="Times-Roman" w:cs="Times-Roman"/>
          <w:color w:val="000000" w:themeColor="text1"/>
        </w:rPr>
        <w:t>to</w:t>
      </w:r>
      <w:r w:rsidR="003936BA" w:rsidRPr="002C0D74">
        <w:rPr>
          <w:rFonts w:ascii="Times-Roman" w:hAnsi="Times-Roman" w:cs="Times-Roman"/>
          <w:color w:val="000000" w:themeColor="text1"/>
        </w:rPr>
        <w:t xml:space="preserve"> </w:t>
      </w:r>
      <w:r w:rsidR="003936BA">
        <w:rPr>
          <w:rFonts w:ascii="Times-Roman" w:hAnsi="Times-Roman" w:cs="Times-Roman"/>
          <w:color w:val="000000" w:themeColor="text1"/>
        </w:rPr>
        <w:t>a</w:t>
      </w:r>
      <w:r w:rsidR="003936BA" w:rsidRPr="002C0D74">
        <w:rPr>
          <w:rFonts w:ascii="Times-Roman" w:hAnsi="Times-Roman" w:cs="Times-Roman"/>
          <w:color w:val="000000" w:themeColor="text1"/>
        </w:rPr>
        <w:t xml:space="preserve"> predictor measure (e.g., </w:t>
      </w:r>
      <w:r w:rsidR="003936BA">
        <w:rPr>
          <w:rFonts w:ascii="Times-Roman" w:hAnsi="Times-Roman" w:cs="Times-Roman"/>
          <w:color w:val="000000" w:themeColor="text1"/>
        </w:rPr>
        <w:t xml:space="preserve">scores on </w:t>
      </w:r>
      <w:r w:rsidR="003936BA" w:rsidRPr="002C0D74">
        <w:rPr>
          <w:rFonts w:ascii="Times-Roman" w:hAnsi="Times-Roman" w:cs="Times-Roman"/>
          <w:color w:val="000000" w:themeColor="text1"/>
        </w:rPr>
        <w:t>a self-report measure of antisocial behavior) in step 1</w:t>
      </w:r>
      <w:r w:rsidR="003936BA">
        <w:rPr>
          <w:rFonts w:ascii="Times-Roman" w:hAnsi="Times-Roman" w:cs="Times-Roman"/>
          <w:color w:val="000000" w:themeColor="text1"/>
        </w:rPr>
        <w:t>, and</w:t>
      </w:r>
      <w:r w:rsidR="003936BA" w:rsidRPr="002C0D74">
        <w:rPr>
          <w:rFonts w:ascii="Times-Roman" w:hAnsi="Times-Roman" w:cs="Times-Roman"/>
          <w:color w:val="000000" w:themeColor="text1"/>
        </w:rPr>
        <w:t xml:space="preserve"> on</w:t>
      </w:r>
      <w:r w:rsidR="003936BA">
        <w:rPr>
          <w:rFonts w:ascii="Times-Roman" w:hAnsi="Times-Roman" w:cs="Times-Roman"/>
          <w:color w:val="000000" w:themeColor="text1"/>
        </w:rPr>
        <w:t>to</w:t>
      </w:r>
      <w:r w:rsidR="003936BA" w:rsidRPr="002C0D74">
        <w:rPr>
          <w:rFonts w:ascii="Times-Roman" w:hAnsi="Times-Roman" w:cs="Times-Roman"/>
          <w:color w:val="000000" w:themeColor="text1"/>
        </w:rPr>
        <w:t xml:space="preserve"> a group membership variable (e.g., gender or ethnicity) in step 2. If group membership </w:t>
      </w:r>
      <w:r w:rsidR="003936BA">
        <w:rPr>
          <w:rFonts w:ascii="Times-Roman" w:hAnsi="Times-Roman" w:cs="Times-Roman"/>
          <w:color w:val="000000" w:themeColor="text1"/>
        </w:rPr>
        <w:t>accounts for</w:t>
      </w:r>
      <w:r w:rsidR="003936BA" w:rsidRPr="002C0D74">
        <w:rPr>
          <w:rFonts w:ascii="Times-Roman" w:hAnsi="Times-Roman" w:cs="Times-Roman"/>
          <w:color w:val="000000" w:themeColor="text1"/>
        </w:rPr>
        <w:t xml:space="preserve"> significant </w:t>
      </w:r>
      <w:r w:rsidR="003936BA">
        <w:rPr>
          <w:rFonts w:ascii="Times-Roman" w:hAnsi="Times-Roman" w:cs="Times-Roman"/>
          <w:color w:val="000000" w:themeColor="text1"/>
        </w:rPr>
        <w:t xml:space="preserve">predictive </w:t>
      </w:r>
      <w:r w:rsidR="003936BA" w:rsidRPr="002C0D74">
        <w:rPr>
          <w:rFonts w:ascii="Times-Roman" w:hAnsi="Times-Roman" w:cs="Times-Roman"/>
          <w:color w:val="000000" w:themeColor="text1"/>
        </w:rPr>
        <w:t>variance over and above the predictor measure (</w:t>
      </w:r>
      <w:r w:rsidR="003936BA" w:rsidRPr="002C0D74">
        <w:rPr>
          <w:i/>
          <w:color w:val="000000" w:themeColor="text1"/>
        </w:rPr>
        <w:t>Δ</w:t>
      </w:r>
      <w:r w:rsidR="003936BA" w:rsidRPr="002C0D74">
        <w:rPr>
          <w:rFonts w:ascii="Times-Roman" w:hAnsi="Times-Roman" w:cs="Times-Roman"/>
          <w:i/>
          <w:color w:val="000000" w:themeColor="text1"/>
        </w:rPr>
        <w:t>R</w:t>
      </w:r>
      <w:r w:rsidR="003936BA" w:rsidRPr="002C0D74">
        <w:rPr>
          <w:rFonts w:ascii="Times-Roman" w:hAnsi="Times-Roman" w:cs="Times-Roman"/>
          <w:i/>
          <w:color w:val="000000" w:themeColor="text1"/>
          <w:vertAlign w:val="superscript"/>
        </w:rPr>
        <w:t>2</w:t>
      </w:r>
      <w:r w:rsidR="003936BA" w:rsidRPr="002C0D74">
        <w:rPr>
          <w:rFonts w:ascii="Times-Roman" w:hAnsi="Times-Roman" w:cs="Times-Roman"/>
          <w:color w:val="000000" w:themeColor="text1"/>
        </w:rPr>
        <w:t xml:space="preserve">), </w:t>
      </w:r>
      <w:r w:rsidR="003936BA" w:rsidRPr="002C0D74">
        <w:rPr>
          <w:bCs/>
          <w:color w:val="000000" w:themeColor="text1"/>
        </w:rPr>
        <w:t xml:space="preserve">test </w:t>
      </w:r>
      <w:r w:rsidR="003936BA">
        <w:rPr>
          <w:bCs/>
          <w:color w:val="000000" w:themeColor="text1"/>
        </w:rPr>
        <w:t>scores are</w:t>
      </w:r>
      <w:r w:rsidR="003936BA" w:rsidRPr="002C0D74">
        <w:rPr>
          <w:bCs/>
          <w:color w:val="000000" w:themeColor="text1"/>
        </w:rPr>
        <w:t xml:space="preserve"> said to exhibit intercept bias. </w:t>
      </w:r>
      <w:r w:rsidR="003936BA">
        <w:rPr>
          <w:bCs/>
          <w:color w:val="000000" w:themeColor="text1"/>
        </w:rPr>
        <w:t>T</w:t>
      </w:r>
      <w:r w:rsidR="003936BA" w:rsidRPr="002C0D74">
        <w:rPr>
          <w:bCs/>
          <w:color w:val="000000" w:themeColor="text1"/>
        </w:rPr>
        <w:t>he</w:t>
      </w:r>
      <w:r w:rsidR="003936BA">
        <w:rPr>
          <w:bCs/>
          <w:color w:val="000000" w:themeColor="text1"/>
        </w:rPr>
        <w:t xml:space="preserve"> product of</w:t>
      </w:r>
      <w:r w:rsidR="003936BA" w:rsidRPr="002C0D74">
        <w:rPr>
          <w:bCs/>
          <w:color w:val="000000" w:themeColor="text1"/>
        </w:rPr>
        <w:t xml:space="preserve"> the group membership variable and the predictor</w:t>
      </w:r>
      <w:r w:rsidR="003936BA">
        <w:rPr>
          <w:bCs/>
          <w:color w:val="000000" w:themeColor="text1"/>
        </w:rPr>
        <w:t xml:space="preserve"> variable</w:t>
      </w:r>
      <w:r w:rsidR="003936BA" w:rsidRPr="002C0D74">
        <w:rPr>
          <w:bCs/>
          <w:color w:val="000000" w:themeColor="text1"/>
        </w:rPr>
        <w:t xml:space="preserve"> (</w:t>
      </w:r>
      <w:r w:rsidR="003936BA">
        <w:rPr>
          <w:bCs/>
          <w:color w:val="000000" w:themeColor="text1"/>
        </w:rPr>
        <w:t>which carries the effect of their interaction</w:t>
      </w:r>
      <w:r w:rsidR="003936BA" w:rsidRPr="002C0D74">
        <w:rPr>
          <w:bCs/>
          <w:color w:val="000000" w:themeColor="text1"/>
        </w:rPr>
        <w:t xml:space="preserve">) is </w:t>
      </w:r>
      <w:r w:rsidR="003936BA">
        <w:rPr>
          <w:bCs/>
          <w:color w:val="000000" w:themeColor="text1"/>
        </w:rPr>
        <w:t xml:space="preserve">then </w:t>
      </w:r>
      <w:r w:rsidR="003936BA" w:rsidRPr="002C0D74">
        <w:rPr>
          <w:bCs/>
          <w:color w:val="000000" w:themeColor="text1"/>
        </w:rPr>
        <w:t>entered</w:t>
      </w:r>
      <w:r w:rsidR="003936BA">
        <w:rPr>
          <w:bCs/>
          <w:color w:val="000000" w:themeColor="text1"/>
        </w:rPr>
        <w:t xml:space="preserve"> into the regression equation in step 3. If this new term </w:t>
      </w:r>
      <w:r w:rsidR="003936BA" w:rsidRPr="002C0D74">
        <w:rPr>
          <w:bCs/>
          <w:color w:val="000000" w:themeColor="text1"/>
        </w:rPr>
        <w:t>explains a significant amount of increment</w:t>
      </w:r>
      <w:r w:rsidR="003936BA">
        <w:rPr>
          <w:bCs/>
          <w:color w:val="000000" w:themeColor="text1"/>
        </w:rPr>
        <w:t>al</w:t>
      </w:r>
      <w:r w:rsidR="003936BA" w:rsidRPr="002C0D74">
        <w:rPr>
          <w:bCs/>
          <w:color w:val="000000" w:themeColor="text1"/>
        </w:rPr>
        <w:t xml:space="preserve"> variance</w:t>
      </w:r>
      <w:r w:rsidR="003936BA">
        <w:rPr>
          <w:bCs/>
          <w:color w:val="000000" w:themeColor="text1"/>
        </w:rPr>
        <w:t xml:space="preserve"> in the criterion variable</w:t>
      </w:r>
      <w:r w:rsidR="003936BA" w:rsidRPr="002C0D74">
        <w:rPr>
          <w:bCs/>
          <w:color w:val="000000" w:themeColor="text1"/>
        </w:rPr>
        <w:t xml:space="preserve">, </w:t>
      </w:r>
      <w:r w:rsidR="003936BA">
        <w:rPr>
          <w:bCs/>
          <w:color w:val="000000" w:themeColor="text1"/>
        </w:rPr>
        <w:t>the</w:t>
      </w:r>
      <w:r w:rsidR="003936BA" w:rsidRPr="002C0D74">
        <w:rPr>
          <w:bCs/>
          <w:color w:val="000000" w:themeColor="text1"/>
        </w:rPr>
        <w:t xml:space="preserve"> test </w:t>
      </w:r>
      <w:r w:rsidR="003936BA">
        <w:rPr>
          <w:bCs/>
          <w:color w:val="000000" w:themeColor="text1"/>
        </w:rPr>
        <w:t>scores are</w:t>
      </w:r>
      <w:r w:rsidR="003936BA" w:rsidRPr="002C0D74">
        <w:rPr>
          <w:bCs/>
          <w:color w:val="000000" w:themeColor="text1"/>
        </w:rPr>
        <w:t xml:space="preserve"> said to exhibit slope bias (</w:t>
      </w:r>
      <w:r w:rsidR="003936BA" w:rsidRPr="002C0D74">
        <w:rPr>
          <w:rFonts w:ascii="Times-Roman" w:hAnsi="Times-Roman" w:cs="Times-Roman"/>
          <w:color w:val="000000" w:themeColor="text1"/>
        </w:rPr>
        <w:t>Clearly, 1968)</w:t>
      </w:r>
      <w:r w:rsidR="003936BA" w:rsidRPr="002C0D74">
        <w:rPr>
          <w:bCs/>
          <w:color w:val="000000" w:themeColor="text1"/>
        </w:rPr>
        <w:t xml:space="preserve">. </w:t>
      </w:r>
    </w:p>
    <w:p w14:paraId="0278EBA4" w14:textId="255A18B0" w:rsidR="003936BA" w:rsidRPr="0003649A" w:rsidRDefault="003936BA" w:rsidP="003936BA">
      <w:pPr>
        <w:autoSpaceDE w:val="0"/>
        <w:autoSpaceDN w:val="0"/>
        <w:adjustRightInd w:val="0"/>
        <w:snapToGrid w:val="0"/>
        <w:spacing w:after="0" w:line="480" w:lineRule="auto"/>
        <w:ind w:firstLine="720"/>
        <w:rPr>
          <w:bCs/>
          <w:color w:val="000000" w:themeColor="text1"/>
        </w:rPr>
      </w:pPr>
      <w:r>
        <w:rPr>
          <w:bCs/>
          <w:color w:val="000000" w:themeColor="text1"/>
        </w:rPr>
        <w:lastRenderedPageBreak/>
        <w:t>The p</w:t>
      </w:r>
      <w:r w:rsidRPr="002C0D74">
        <w:rPr>
          <w:bCs/>
          <w:color w:val="000000" w:themeColor="text1"/>
        </w:rPr>
        <w:t xml:space="preserve">rediction bias of </w:t>
      </w:r>
      <w:r>
        <w:rPr>
          <w:bCs/>
          <w:color w:val="000000" w:themeColor="text1"/>
        </w:rPr>
        <w:t xml:space="preserve">scores on </w:t>
      </w:r>
      <w:r w:rsidRPr="002C0D74">
        <w:rPr>
          <w:bCs/>
          <w:color w:val="000000" w:themeColor="text1"/>
        </w:rPr>
        <w:t>cognitive ability tests has been widely investigated in education</w:t>
      </w:r>
      <w:r>
        <w:rPr>
          <w:bCs/>
          <w:color w:val="000000" w:themeColor="text1"/>
        </w:rPr>
        <w:t>al and clinical assessment contexts</w:t>
      </w:r>
      <w:r w:rsidRPr="002C0D74">
        <w:rPr>
          <w:bCs/>
          <w:color w:val="000000" w:themeColor="text1"/>
        </w:rPr>
        <w:t xml:space="preserve"> (e.g</w:t>
      </w:r>
      <w:r w:rsidRPr="0050031D">
        <w:rPr>
          <w:bCs/>
          <w:color w:val="000000" w:themeColor="text1"/>
        </w:rPr>
        <w:t xml:space="preserve">., Berry, Clark, &amp; McClure, 2011; Roth, Bevier, </w:t>
      </w:r>
      <w:proofErr w:type="spellStart"/>
      <w:r w:rsidRPr="0050031D">
        <w:rPr>
          <w:bCs/>
          <w:color w:val="000000" w:themeColor="text1"/>
        </w:rPr>
        <w:t>Bobko</w:t>
      </w:r>
      <w:proofErr w:type="spellEnd"/>
      <w:r w:rsidRPr="0050031D">
        <w:rPr>
          <w:bCs/>
          <w:color w:val="000000" w:themeColor="text1"/>
        </w:rPr>
        <w:t>, Switzer, &amp; Tyler, 2001). For</w:t>
      </w:r>
      <w:r>
        <w:rPr>
          <w:bCs/>
          <w:color w:val="000000" w:themeColor="text1"/>
        </w:rPr>
        <w:t xml:space="preserve"> example, a</w:t>
      </w:r>
      <w:r w:rsidRPr="002C0D74">
        <w:rPr>
          <w:bCs/>
          <w:color w:val="000000" w:themeColor="text1"/>
        </w:rPr>
        <w:t xml:space="preserve"> </w:t>
      </w:r>
      <w:r>
        <w:rPr>
          <w:bCs/>
          <w:color w:val="000000" w:themeColor="text1"/>
        </w:rPr>
        <w:t>representative</w:t>
      </w:r>
      <w:r w:rsidRPr="002C0D74">
        <w:rPr>
          <w:bCs/>
          <w:color w:val="000000" w:themeColor="text1"/>
        </w:rPr>
        <w:t xml:space="preserve"> finding </w:t>
      </w:r>
      <w:r>
        <w:rPr>
          <w:bCs/>
          <w:color w:val="000000" w:themeColor="text1"/>
        </w:rPr>
        <w:t xml:space="preserve">in the educational research literature </w:t>
      </w:r>
      <w:r w:rsidRPr="002C0D74">
        <w:rPr>
          <w:bCs/>
          <w:color w:val="000000" w:themeColor="text1"/>
        </w:rPr>
        <w:t xml:space="preserve">is that the </w:t>
      </w:r>
      <w:r>
        <w:rPr>
          <w:bCs/>
          <w:color w:val="000000" w:themeColor="text1"/>
        </w:rPr>
        <w:t xml:space="preserve">regression line derived on a combined sample or on a </w:t>
      </w:r>
      <w:r w:rsidRPr="002C0D74">
        <w:rPr>
          <w:bCs/>
          <w:color w:val="000000" w:themeColor="text1"/>
        </w:rPr>
        <w:t xml:space="preserve">White </w:t>
      </w:r>
      <w:r>
        <w:rPr>
          <w:bCs/>
          <w:color w:val="000000" w:themeColor="text1"/>
        </w:rPr>
        <w:t>subsample generally</w:t>
      </w:r>
      <w:r w:rsidRPr="002C0D74">
        <w:rPr>
          <w:bCs/>
          <w:color w:val="000000" w:themeColor="text1"/>
        </w:rPr>
        <w:t xml:space="preserve"> over-predict</w:t>
      </w:r>
      <w:r>
        <w:rPr>
          <w:bCs/>
          <w:color w:val="000000" w:themeColor="text1"/>
        </w:rPr>
        <w:t>s</w:t>
      </w:r>
      <w:r w:rsidRPr="002C0D74">
        <w:rPr>
          <w:bCs/>
          <w:color w:val="000000" w:themeColor="text1"/>
        </w:rPr>
        <w:t xml:space="preserve"> college GPA </w:t>
      </w:r>
      <w:r>
        <w:rPr>
          <w:bCs/>
          <w:color w:val="000000" w:themeColor="text1"/>
        </w:rPr>
        <w:t xml:space="preserve">somewhat </w:t>
      </w:r>
      <w:r w:rsidRPr="002C0D74">
        <w:rPr>
          <w:bCs/>
          <w:color w:val="000000" w:themeColor="text1"/>
        </w:rPr>
        <w:t>for African American SAT</w:t>
      </w:r>
      <w:r>
        <w:rPr>
          <w:bCs/>
          <w:color w:val="000000" w:themeColor="text1"/>
        </w:rPr>
        <w:t xml:space="preserve"> examinees</w:t>
      </w:r>
      <w:r w:rsidRPr="002C0D74">
        <w:rPr>
          <w:bCs/>
          <w:color w:val="000000" w:themeColor="text1"/>
        </w:rPr>
        <w:t xml:space="preserve">. As over-prediction is associated with </w:t>
      </w:r>
      <w:r w:rsidRPr="002C0D74">
        <w:rPr>
          <w:bCs/>
          <w:i/>
          <w:iCs/>
          <w:color w:val="000000" w:themeColor="text1"/>
        </w:rPr>
        <w:t>more favorable</w:t>
      </w:r>
      <w:r w:rsidRPr="002C0D74">
        <w:rPr>
          <w:bCs/>
          <w:color w:val="000000" w:themeColor="text1"/>
        </w:rPr>
        <w:t xml:space="preserve"> outcomes</w:t>
      </w:r>
      <w:r>
        <w:rPr>
          <w:bCs/>
          <w:color w:val="000000" w:themeColor="text1"/>
        </w:rPr>
        <w:t xml:space="preserve"> for the relatively disadvantaged group</w:t>
      </w:r>
      <w:r w:rsidRPr="002C0D74">
        <w:rPr>
          <w:bCs/>
          <w:color w:val="000000" w:themeColor="text1"/>
        </w:rPr>
        <w:t xml:space="preserve"> (</w:t>
      </w:r>
      <w:r>
        <w:rPr>
          <w:bCs/>
          <w:color w:val="000000" w:themeColor="text1"/>
        </w:rPr>
        <w:t>i.e</w:t>
      </w:r>
      <w:r w:rsidRPr="002C0D74">
        <w:rPr>
          <w:bCs/>
          <w:color w:val="000000" w:themeColor="text1"/>
        </w:rPr>
        <w:t xml:space="preserve">., </w:t>
      </w:r>
      <w:r>
        <w:rPr>
          <w:bCs/>
          <w:color w:val="000000" w:themeColor="text1"/>
        </w:rPr>
        <w:t>higher likelihood of c</w:t>
      </w:r>
      <w:r w:rsidRPr="002C0D74">
        <w:rPr>
          <w:bCs/>
          <w:color w:val="000000" w:themeColor="text1"/>
        </w:rPr>
        <w:t>ollege</w:t>
      </w:r>
      <w:r>
        <w:rPr>
          <w:bCs/>
          <w:color w:val="000000" w:themeColor="text1"/>
        </w:rPr>
        <w:t xml:space="preserve"> admission for African Americans compared to their White counterparts producing the same SAT score</w:t>
      </w:r>
      <w:r w:rsidRPr="002C0D74">
        <w:rPr>
          <w:bCs/>
          <w:color w:val="000000" w:themeColor="text1"/>
        </w:rPr>
        <w:t>)</w:t>
      </w:r>
      <w:r>
        <w:rPr>
          <w:bCs/>
          <w:color w:val="000000" w:themeColor="text1"/>
        </w:rPr>
        <w:t>,</w:t>
      </w:r>
      <w:r w:rsidRPr="002C0D74">
        <w:rPr>
          <w:bCs/>
          <w:color w:val="000000" w:themeColor="text1"/>
        </w:rPr>
        <w:t xml:space="preserve"> researchers </w:t>
      </w:r>
      <w:r>
        <w:rPr>
          <w:bCs/>
          <w:color w:val="000000" w:themeColor="text1"/>
        </w:rPr>
        <w:t xml:space="preserve">generally </w:t>
      </w:r>
      <w:r w:rsidRPr="002C0D74">
        <w:rPr>
          <w:bCs/>
          <w:color w:val="000000" w:themeColor="text1"/>
        </w:rPr>
        <w:t xml:space="preserve">do not express much concern about </w:t>
      </w:r>
      <w:r>
        <w:rPr>
          <w:bCs/>
          <w:color w:val="000000" w:themeColor="text1"/>
        </w:rPr>
        <w:t xml:space="preserve">the observed (modest) </w:t>
      </w:r>
      <w:r w:rsidRPr="002C0D74">
        <w:rPr>
          <w:bCs/>
          <w:color w:val="000000" w:themeColor="text1"/>
        </w:rPr>
        <w:t>intercept bias (</w:t>
      </w:r>
      <w:proofErr w:type="spellStart"/>
      <w:r w:rsidRPr="002C0D74">
        <w:rPr>
          <w:bCs/>
          <w:color w:val="000000" w:themeColor="text1"/>
        </w:rPr>
        <w:t>Clarizio</w:t>
      </w:r>
      <w:proofErr w:type="spellEnd"/>
      <w:r w:rsidRPr="002C0D74">
        <w:rPr>
          <w:bCs/>
          <w:color w:val="000000" w:themeColor="text1"/>
        </w:rPr>
        <w:t xml:space="preserve">, 1979; Kaplan &amp; </w:t>
      </w:r>
      <w:proofErr w:type="spellStart"/>
      <w:r w:rsidRPr="002C0D74">
        <w:rPr>
          <w:bCs/>
          <w:color w:val="000000" w:themeColor="text1"/>
        </w:rPr>
        <w:t>Saccuzzo</w:t>
      </w:r>
      <w:proofErr w:type="spellEnd"/>
      <w:r w:rsidRPr="002C0D74">
        <w:rPr>
          <w:bCs/>
          <w:color w:val="000000" w:themeColor="text1"/>
        </w:rPr>
        <w:t xml:space="preserve">, 2009). </w:t>
      </w:r>
      <w:r>
        <w:rPr>
          <w:bCs/>
          <w:color w:val="000000" w:themeColor="text1"/>
        </w:rPr>
        <w:t xml:space="preserve">In a classic study of prediction bias in the clinical assessment literature, </w:t>
      </w:r>
      <w:proofErr w:type="spellStart"/>
      <w:r>
        <w:rPr>
          <w:bCs/>
          <w:color w:val="000000" w:themeColor="text1"/>
        </w:rPr>
        <w:t>Arbisi</w:t>
      </w:r>
      <w:proofErr w:type="spellEnd"/>
      <w:r>
        <w:rPr>
          <w:bCs/>
          <w:color w:val="000000" w:themeColor="text1"/>
        </w:rPr>
        <w:t>, Ben-Porath, and McNulty (2002) used a modified moderated multiple regression with scores on</w:t>
      </w:r>
      <w:r>
        <w:t xml:space="preserve"> the MMPI-2 (</w:t>
      </w:r>
      <w:r w:rsidRPr="0003649A">
        <w:t>the Minnesota Multiphasic Personality Inventory–2</w:t>
      </w:r>
      <w:r>
        <w:t xml:space="preserve">, Butcher et al., 1989) from </w:t>
      </w:r>
      <w:r w:rsidRPr="0003649A">
        <w:t xml:space="preserve">African American </w:t>
      </w:r>
      <w:r>
        <w:t xml:space="preserve">and </w:t>
      </w:r>
      <w:r w:rsidRPr="0003649A">
        <w:t>Caucasian psychiatric inpatients</w:t>
      </w:r>
      <w:r>
        <w:t xml:space="preserve"> predicting </w:t>
      </w:r>
      <w:r w:rsidRPr="0003649A">
        <w:t>conceptually</w:t>
      </w:r>
      <w:r>
        <w:t xml:space="preserve"> </w:t>
      </w:r>
      <w:r w:rsidRPr="0003649A">
        <w:t xml:space="preserve">relevant </w:t>
      </w:r>
      <w:r>
        <w:t>clinical criteria</w:t>
      </w:r>
      <w:r w:rsidRPr="0003649A">
        <w:t>.</w:t>
      </w:r>
      <w:r>
        <w:t xml:space="preserve"> Results provided evidence of bias for scores on some scales that slightly under-predicted psychopathology in African Americans, but the authors interpreted the magnitude of this prediction bias as not clinically significant.</w:t>
      </w:r>
      <w:r w:rsidRPr="002C0D74">
        <w:rPr>
          <w:bCs/>
          <w:color w:val="000000" w:themeColor="text1"/>
        </w:rPr>
        <w:t xml:space="preserve"> </w:t>
      </w:r>
    </w:p>
    <w:p w14:paraId="3A4CD78D" w14:textId="77777777" w:rsidR="003936BA" w:rsidRDefault="003936BA" w:rsidP="00DE58CF">
      <w:pPr>
        <w:adjustRightInd w:val="0"/>
        <w:snapToGrid w:val="0"/>
        <w:spacing w:after="0" w:line="480" w:lineRule="auto"/>
        <w:rPr>
          <w:vertAlign w:val="superscript"/>
        </w:rPr>
      </w:pPr>
    </w:p>
    <w:p w14:paraId="335A4E8C" w14:textId="3A925578" w:rsidR="00DE58CF" w:rsidRDefault="003936BA" w:rsidP="00DE58CF">
      <w:pPr>
        <w:adjustRightInd w:val="0"/>
        <w:snapToGrid w:val="0"/>
        <w:spacing w:after="0" w:line="480" w:lineRule="auto"/>
      </w:pPr>
      <w:r w:rsidRPr="00E71AA6">
        <w:rPr>
          <w:b/>
          <w:bCs/>
          <w:color w:val="000000" w:themeColor="text1"/>
        </w:rPr>
        <w:t>S</w:t>
      </w:r>
      <w:r>
        <w:rPr>
          <w:b/>
          <w:bCs/>
          <w:color w:val="000000" w:themeColor="text1"/>
        </w:rPr>
        <w:t xml:space="preserve">7: </w:t>
      </w:r>
      <w:r w:rsidR="00AA5FAF">
        <w:t>See</w:t>
      </w:r>
      <w:r w:rsidR="00DE58CF" w:rsidRPr="00DE58CF">
        <w:t xml:space="preserve"> Chun, Stark, Kim, and </w:t>
      </w:r>
      <w:proofErr w:type="spellStart"/>
      <w:r w:rsidR="00DE58CF" w:rsidRPr="00DE58CF">
        <w:t>Chernyshenko</w:t>
      </w:r>
      <w:proofErr w:type="spellEnd"/>
      <w:r w:rsidR="00DE58CF" w:rsidRPr="00DE58CF">
        <w:t xml:space="preserve"> (2016) for </w:t>
      </w:r>
      <w:r w:rsidR="00AA5FAF">
        <w:t>a</w:t>
      </w:r>
      <w:r w:rsidR="00DE58CF" w:rsidRPr="00DE58CF">
        <w:t xml:space="preserve"> </w:t>
      </w:r>
      <w:bookmarkStart w:id="3" w:name="_Hlk5546839"/>
      <w:r w:rsidR="00DE58CF" w:rsidRPr="00DE58CF">
        <w:t>comparison between MGCFA and MIMIC methods.</w:t>
      </w:r>
      <w:bookmarkEnd w:id="3"/>
      <w:r w:rsidR="00DE58CF" w:rsidRPr="00DE58CF">
        <w:t xml:space="preserve"> </w:t>
      </w:r>
    </w:p>
    <w:p w14:paraId="1AE5A487" w14:textId="77777777" w:rsidR="00AA5FAF" w:rsidRDefault="00AA5FAF" w:rsidP="00DE58CF">
      <w:pPr>
        <w:adjustRightInd w:val="0"/>
        <w:snapToGrid w:val="0"/>
        <w:spacing w:after="0" w:line="480" w:lineRule="auto"/>
      </w:pPr>
    </w:p>
    <w:p w14:paraId="5D9FE440" w14:textId="77777777" w:rsidR="00225DF4" w:rsidRDefault="002026CD" w:rsidP="00DE58CF">
      <w:pPr>
        <w:adjustRightInd w:val="0"/>
        <w:snapToGrid w:val="0"/>
        <w:spacing w:after="0" w:line="480" w:lineRule="auto"/>
        <w:rPr>
          <w:color w:val="000000" w:themeColor="text1"/>
        </w:rPr>
      </w:pPr>
      <w:r w:rsidRPr="002026CD">
        <w:rPr>
          <w:b/>
        </w:rPr>
        <w:t>S8</w:t>
      </w:r>
      <w:r>
        <w:t xml:space="preserve">: </w:t>
      </w:r>
      <w:r w:rsidR="00225DF4" w:rsidRPr="006B3F46">
        <w:rPr>
          <w:b/>
          <w:color w:val="000000" w:themeColor="text1"/>
          <w:sz w:val="22"/>
          <w:szCs w:val="22"/>
        </w:rPr>
        <w:t>Brief summary of Chen (2008)’s results</w:t>
      </w:r>
      <w:r w:rsidR="00225DF4" w:rsidRPr="00A64525">
        <w:rPr>
          <w:color w:val="000000" w:themeColor="text1"/>
        </w:rPr>
        <w:t xml:space="preserve"> </w:t>
      </w:r>
    </w:p>
    <w:p w14:paraId="51B448E7" w14:textId="3BB303A7" w:rsidR="002026CD" w:rsidRDefault="002026CD" w:rsidP="00DE58CF">
      <w:pPr>
        <w:adjustRightInd w:val="0"/>
        <w:snapToGrid w:val="0"/>
        <w:spacing w:after="0" w:line="480" w:lineRule="auto"/>
      </w:pPr>
      <w:r w:rsidRPr="00A64525">
        <w:rPr>
          <w:color w:val="000000" w:themeColor="text1"/>
        </w:rPr>
        <w:t xml:space="preserve">When factor loadings for the predictor measure were higher for the reference group (culture where the measure was developed, </w:t>
      </w:r>
      <w:r w:rsidR="00865742">
        <w:rPr>
          <w:color w:val="000000" w:themeColor="text1"/>
        </w:rPr>
        <w:t>e</w:t>
      </w:r>
      <w:r w:rsidRPr="00A64525">
        <w:rPr>
          <w:color w:val="000000" w:themeColor="text1"/>
        </w:rPr>
        <w:t>.</w:t>
      </w:r>
      <w:r w:rsidR="00865742">
        <w:rPr>
          <w:color w:val="000000" w:themeColor="text1"/>
        </w:rPr>
        <w:t>g.</w:t>
      </w:r>
      <w:r w:rsidRPr="00A64525">
        <w:rPr>
          <w:color w:val="000000" w:themeColor="text1"/>
        </w:rPr>
        <w:t xml:space="preserve">, U.S.) than in the focal group (culture where the measure </w:t>
      </w:r>
      <w:r w:rsidRPr="00A64525">
        <w:rPr>
          <w:color w:val="000000" w:themeColor="text1"/>
        </w:rPr>
        <w:lastRenderedPageBreak/>
        <w:t xml:space="preserve">was imported, </w:t>
      </w:r>
      <w:r w:rsidR="00865742">
        <w:rPr>
          <w:color w:val="000000" w:themeColor="text1"/>
        </w:rPr>
        <w:t>e.g</w:t>
      </w:r>
      <w:r w:rsidRPr="00A64525">
        <w:rPr>
          <w:color w:val="000000" w:themeColor="text1"/>
        </w:rPr>
        <w:t>., China), the predictive relationship (e.g., stress predicting depression) was artificially stronger in the focal group but weaker in the reference group, creating a bogus interaction effect of predictor by group (e.g., stress by culture). This result would imply that although the stress measure is better for the U.S. group than for the Chinese group (</w:t>
      </w:r>
      <w:proofErr w:type="gramStart"/>
      <w:r w:rsidRPr="00A64525">
        <w:rPr>
          <w:color w:val="000000" w:themeColor="text1"/>
        </w:rPr>
        <w:t xml:space="preserve">factor </w:t>
      </w:r>
      <w:r>
        <w:rPr>
          <w:color w:val="000000" w:themeColor="text1"/>
        </w:rPr>
        <w:t xml:space="preserve"> </w:t>
      </w:r>
      <w:r w:rsidRPr="00A64525">
        <w:rPr>
          <w:color w:val="000000" w:themeColor="text1"/>
        </w:rPr>
        <w:t>loadings</w:t>
      </w:r>
      <w:proofErr w:type="gramEnd"/>
      <w:r w:rsidRPr="00A64525">
        <w:rPr>
          <w:color w:val="000000" w:themeColor="text1"/>
        </w:rPr>
        <w:t xml:space="preserve"> being higher for the U.S. group), the relationship between stress and depression is weaker for the U.S. group than for the Chinese group. When the reference group had higher loadings on a criterion measure, however, the opposite pattern was </w:t>
      </w:r>
      <w:proofErr w:type="gramStart"/>
      <w:r w:rsidRPr="00A64525">
        <w:rPr>
          <w:color w:val="000000" w:themeColor="text1"/>
        </w:rPr>
        <w:t>found:</w:t>
      </w:r>
      <w:proofErr w:type="gramEnd"/>
      <w:r w:rsidRPr="00A64525">
        <w:rPr>
          <w:color w:val="000000" w:themeColor="text1"/>
        </w:rPr>
        <w:t xml:space="preserve"> predictive validity </w:t>
      </w:r>
      <w:r w:rsidR="008B0C4B">
        <w:rPr>
          <w:color w:val="000000" w:themeColor="text1"/>
        </w:rPr>
        <w:t xml:space="preserve">was </w:t>
      </w:r>
      <w:r w:rsidRPr="00A64525">
        <w:rPr>
          <w:color w:val="000000" w:themeColor="text1"/>
        </w:rPr>
        <w:t xml:space="preserve">weaker for the Chinese group than for the U.S. group.  </w:t>
      </w:r>
    </w:p>
    <w:p w14:paraId="5F746580" w14:textId="0F66D5E4" w:rsidR="003C1C4D" w:rsidRDefault="003C1C4D" w:rsidP="00DE58CF">
      <w:pPr>
        <w:adjustRightInd w:val="0"/>
        <w:snapToGrid w:val="0"/>
        <w:spacing w:after="0" w:line="480" w:lineRule="auto"/>
      </w:pPr>
    </w:p>
    <w:p w14:paraId="77283F00" w14:textId="5E05E586" w:rsidR="003C1C4D" w:rsidRDefault="003C1C4D" w:rsidP="00DE58CF">
      <w:pPr>
        <w:adjustRightInd w:val="0"/>
        <w:snapToGrid w:val="0"/>
        <w:spacing w:after="0" w:line="480" w:lineRule="auto"/>
      </w:pPr>
    </w:p>
    <w:p w14:paraId="506EA375" w14:textId="77777777" w:rsidR="00AA5FAF" w:rsidRDefault="00AA5FAF">
      <w:pPr>
        <w:rPr>
          <w:sz w:val="22"/>
          <w:szCs w:val="22"/>
        </w:rPr>
      </w:pPr>
      <w:r>
        <w:rPr>
          <w:sz w:val="22"/>
          <w:szCs w:val="22"/>
        </w:rPr>
        <w:br w:type="page"/>
      </w:r>
    </w:p>
    <w:p w14:paraId="38D5DEC8" w14:textId="5FF4E128" w:rsidR="003C1C4D" w:rsidRPr="009562B2" w:rsidRDefault="003C1C4D" w:rsidP="003C1C4D">
      <w:pPr>
        <w:adjustRightInd w:val="0"/>
        <w:snapToGrid w:val="0"/>
        <w:spacing w:after="0" w:line="240" w:lineRule="auto"/>
        <w:rPr>
          <w:sz w:val="22"/>
          <w:szCs w:val="22"/>
        </w:rPr>
      </w:pPr>
      <w:r w:rsidRPr="009562B2">
        <w:rPr>
          <w:sz w:val="22"/>
          <w:szCs w:val="22"/>
        </w:rPr>
        <w:lastRenderedPageBreak/>
        <w:t xml:space="preserve">Table </w:t>
      </w:r>
      <w:r>
        <w:rPr>
          <w:sz w:val="22"/>
          <w:szCs w:val="22"/>
        </w:rPr>
        <w:t>S1</w:t>
      </w:r>
    </w:p>
    <w:p w14:paraId="7FD061A3" w14:textId="77777777" w:rsidR="003C1C4D" w:rsidRPr="009562B2" w:rsidRDefault="003C1C4D" w:rsidP="003C1C4D">
      <w:pPr>
        <w:adjustRightInd w:val="0"/>
        <w:snapToGrid w:val="0"/>
        <w:spacing w:after="0" w:line="240" w:lineRule="auto"/>
        <w:rPr>
          <w:sz w:val="22"/>
          <w:szCs w:val="22"/>
        </w:rPr>
      </w:pPr>
      <w:r w:rsidRPr="009562B2">
        <w:rPr>
          <w:i/>
          <w:sz w:val="22"/>
          <w:szCs w:val="22"/>
        </w:rPr>
        <w:t>Key Publications on Practices and Guidelines and involving the Evaluation of Measurement Invariance (MI) via Multi-group Confirmatory Factor Analysis and Related Statistical Methods</w:t>
      </w:r>
    </w:p>
    <w:tbl>
      <w:tblPr>
        <w:tblStyle w:val="TableGrid"/>
        <w:tblW w:w="0" w:type="auto"/>
        <w:tblLook w:val="04A0" w:firstRow="1" w:lastRow="0" w:firstColumn="1" w:lastColumn="0" w:noHBand="0" w:noVBand="1"/>
      </w:tblPr>
      <w:tblGrid>
        <w:gridCol w:w="3685"/>
        <w:gridCol w:w="5665"/>
      </w:tblGrid>
      <w:tr w:rsidR="003C1C4D" w:rsidRPr="009562B2" w14:paraId="0A272030" w14:textId="77777777" w:rsidTr="00DE635A">
        <w:tc>
          <w:tcPr>
            <w:tcW w:w="3685" w:type="dxa"/>
          </w:tcPr>
          <w:p w14:paraId="783EB940" w14:textId="77777777" w:rsidR="003C1C4D" w:rsidRPr="009562B2" w:rsidRDefault="003C1C4D" w:rsidP="00DE635A">
            <w:pPr>
              <w:adjustRightInd w:val="0"/>
              <w:snapToGrid w:val="0"/>
              <w:jc w:val="center"/>
              <w:rPr>
                <w:color w:val="000000" w:themeColor="text1"/>
                <w:sz w:val="22"/>
                <w:szCs w:val="22"/>
              </w:rPr>
            </w:pPr>
            <w:r w:rsidRPr="009562B2">
              <w:rPr>
                <w:color w:val="000000" w:themeColor="text1"/>
                <w:sz w:val="22"/>
                <w:szCs w:val="22"/>
              </w:rPr>
              <w:t>Publication</w:t>
            </w:r>
          </w:p>
        </w:tc>
        <w:tc>
          <w:tcPr>
            <w:tcW w:w="5665" w:type="dxa"/>
          </w:tcPr>
          <w:p w14:paraId="1955C304" w14:textId="77777777" w:rsidR="003C1C4D" w:rsidRPr="009562B2" w:rsidRDefault="003C1C4D" w:rsidP="00DE635A">
            <w:pPr>
              <w:adjustRightInd w:val="0"/>
              <w:snapToGrid w:val="0"/>
              <w:jc w:val="center"/>
              <w:rPr>
                <w:color w:val="000000" w:themeColor="text1"/>
                <w:sz w:val="22"/>
                <w:szCs w:val="22"/>
              </w:rPr>
            </w:pPr>
            <w:r w:rsidRPr="009562B2">
              <w:rPr>
                <w:color w:val="000000" w:themeColor="text1"/>
                <w:sz w:val="22"/>
                <w:szCs w:val="22"/>
              </w:rPr>
              <w:t>Brief Description</w:t>
            </w:r>
          </w:p>
        </w:tc>
      </w:tr>
      <w:tr w:rsidR="003C1C4D" w:rsidRPr="009562B2" w14:paraId="3D45351C" w14:textId="77777777" w:rsidTr="00DE635A">
        <w:tc>
          <w:tcPr>
            <w:tcW w:w="3685" w:type="dxa"/>
          </w:tcPr>
          <w:p w14:paraId="1A0A799A" w14:textId="77777777" w:rsidR="003C1C4D" w:rsidRPr="009562B2" w:rsidRDefault="003C1C4D" w:rsidP="00DE635A">
            <w:pPr>
              <w:adjustRightInd w:val="0"/>
              <w:snapToGrid w:val="0"/>
              <w:rPr>
                <w:color w:val="000000" w:themeColor="text1"/>
                <w:sz w:val="22"/>
                <w:szCs w:val="22"/>
              </w:rPr>
            </w:pPr>
            <w:proofErr w:type="spellStart"/>
            <w:r w:rsidRPr="009562B2">
              <w:rPr>
                <w:color w:val="000000" w:themeColor="text1"/>
                <w:sz w:val="22"/>
                <w:szCs w:val="22"/>
              </w:rPr>
              <w:t>Asparouhov</w:t>
            </w:r>
            <w:proofErr w:type="spellEnd"/>
            <w:r w:rsidRPr="009562B2">
              <w:rPr>
                <w:color w:val="000000" w:themeColor="text1"/>
                <w:sz w:val="22"/>
                <w:szCs w:val="22"/>
              </w:rPr>
              <w:t xml:space="preserve"> &amp; </w:t>
            </w:r>
            <w:proofErr w:type="spellStart"/>
            <w:r w:rsidRPr="009562B2">
              <w:rPr>
                <w:color w:val="000000" w:themeColor="text1"/>
                <w:sz w:val="22"/>
                <w:szCs w:val="22"/>
              </w:rPr>
              <w:t>Muthén</w:t>
            </w:r>
            <w:proofErr w:type="spellEnd"/>
            <w:r w:rsidRPr="009562B2">
              <w:rPr>
                <w:color w:val="000000" w:themeColor="text1"/>
                <w:sz w:val="22"/>
                <w:szCs w:val="22"/>
              </w:rPr>
              <w:t xml:space="preserve"> (2009)</w:t>
            </w:r>
          </w:p>
        </w:tc>
        <w:tc>
          <w:tcPr>
            <w:tcW w:w="5665" w:type="dxa"/>
          </w:tcPr>
          <w:p w14:paraId="1EE7CA36"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Introduction to exploratory structural equation modeling (ESEM), a method that allows complex factor model (e.g., cross-loadings)</w:t>
            </w:r>
          </w:p>
        </w:tc>
      </w:tr>
      <w:tr w:rsidR="003C1C4D" w:rsidRPr="009562B2" w14:paraId="3F6F62C4" w14:textId="77777777" w:rsidTr="00DE635A">
        <w:tc>
          <w:tcPr>
            <w:tcW w:w="3685" w:type="dxa"/>
          </w:tcPr>
          <w:p w14:paraId="2313558E" w14:textId="77777777" w:rsidR="003C1C4D" w:rsidRPr="009562B2" w:rsidRDefault="003C1C4D" w:rsidP="00DE635A">
            <w:pPr>
              <w:adjustRightInd w:val="0"/>
              <w:snapToGrid w:val="0"/>
              <w:rPr>
                <w:color w:val="000000" w:themeColor="text1"/>
                <w:sz w:val="22"/>
                <w:szCs w:val="22"/>
              </w:rPr>
            </w:pPr>
            <w:proofErr w:type="spellStart"/>
            <w:r w:rsidRPr="009562B2">
              <w:rPr>
                <w:color w:val="000000" w:themeColor="text1"/>
                <w:sz w:val="22"/>
                <w:szCs w:val="22"/>
              </w:rPr>
              <w:t>Asparouhov</w:t>
            </w:r>
            <w:proofErr w:type="spellEnd"/>
            <w:r w:rsidRPr="009562B2">
              <w:rPr>
                <w:color w:val="000000" w:themeColor="text1"/>
                <w:sz w:val="22"/>
                <w:szCs w:val="22"/>
              </w:rPr>
              <w:t xml:space="preserve"> &amp; </w:t>
            </w:r>
            <w:proofErr w:type="spellStart"/>
            <w:r w:rsidRPr="009562B2">
              <w:rPr>
                <w:color w:val="000000" w:themeColor="text1"/>
                <w:sz w:val="22"/>
                <w:szCs w:val="22"/>
              </w:rPr>
              <w:t>Muthén</w:t>
            </w:r>
            <w:proofErr w:type="spellEnd"/>
            <w:r w:rsidRPr="009562B2">
              <w:rPr>
                <w:color w:val="000000" w:themeColor="text1"/>
                <w:sz w:val="22"/>
                <w:szCs w:val="22"/>
              </w:rPr>
              <w:t xml:space="preserve"> (2014) </w:t>
            </w:r>
          </w:p>
        </w:tc>
        <w:tc>
          <w:tcPr>
            <w:tcW w:w="5665" w:type="dxa"/>
          </w:tcPr>
          <w:p w14:paraId="37C5EF05"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Introduction to alignment optimization, a method that is useful for testing MI with a large number of groups</w:t>
            </w:r>
          </w:p>
        </w:tc>
      </w:tr>
      <w:tr w:rsidR="003C1C4D" w:rsidRPr="009562B2" w14:paraId="5B5C401D" w14:textId="77777777" w:rsidTr="00DE635A">
        <w:tc>
          <w:tcPr>
            <w:tcW w:w="3685" w:type="dxa"/>
          </w:tcPr>
          <w:p w14:paraId="2F2CCBC7" w14:textId="1D83C4ED" w:rsidR="003C1C4D" w:rsidRPr="005214C8" w:rsidRDefault="003C1C4D" w:rsidP="00DE635A">
            <w:pPr>
              <w:adjustRightInd w:val="0"/>
              <w:snapToGrid w:val="0"/>
              <w:rPr>
                <w:color w:val="000000" w:themeColor="text1"/>
                <w:sz w:val="22"/>
                <w:szCs w:val="22"/>
              </w:rPr>
            </w:pPr>
            <w:r w:rsidRPr="005214C8">
              <w:rPr>
                <w:color w:val="000000" w:themeColor="text1"/>
                <w:sz w:val="22"/>
                <w:szCs w:val="22"/>
              </w:rPr>
              <w:t>Bauer (201</w:t>
            </w:r>
            <w:r w:rsidR="00D2369B">
              <w:rPr>
                <w:color w:val="000000" w:themeColor="text1"/>
                <w:sz w:val="22"/>
                <w:szCs w:val="22"/>
              </w:rPr>
              <w:t>7</w:t>
            </w:r>
            <w:r w:rsidRPr="005214C8">
              <w:rPr>
                <w:color w:val="000000" w:themeColor="text1"/>
                <w:sz w:val="22"/>
                <w:szCs w:val="22"/>
              </w:rPr>
              <w:t xml:space="preserve">) </w:t>
            </w:r>
          </w:p>
        </w:tc>
        <w:tc>
          <w:tcPr>
            <w:tcW w:w="5665" w:type="dxa"/>
          </w:tcPr>
          <w:p w14:paraId="64924B36" w14:textId="77777777" w:rsidR="003C1C4D" w:rsidRPr="005214C8" w:rsidRDefault="003C1C4D" w:rsidP="00DE635A">
            <w:pPr>
              <w:adjustRightInd w:val="0"/>
              <w:snapToGrid w:val="0"/>
              <w:rPr>
                <w:color w:val="000000" w:themeColor="text1"/>
                <w:sz w:val="22"/>
                <w:szCs w:val="22"/>
              </w:rPr>
            </w:pPr>
            <w:r w:rsidRPr="005214C8">
              <w:rPr>
                <w:color w:val="000000" w:themeColor="text1"/>
                <w:sz w:val="22"/>
                <w:szCs w:val="22"/>
              </w:rPr>
              <w:t>Introduction to moderated nonlinear factor analysis, a flexible method for evaluating MI and differential item functioning with categorical (e.g., sex) and/or continuous (e.g., age) group variables</w:t>
            </w:r>
          </w:p>
        </w:tc>
      </w:tr>
      <w:tr w:rsidR="003C1C4D" w:rsidRPr="009562B2" w14:paraId="6A85546E" w14:textId="77777777" w:rsidTr="00DE635A">
        <w:tc>
          <w:tcPr>
            <w:tcW w:w="3685" w:type="dxa"/>
          </w:tcPr>
          <w:p w14:paraId="788C8513" w14:textId="272B99B3"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 xml:space="preserve">Byrne, Shavelson, &amp; </w:t>
            </w:r>
            <w:proofErr w:type="spellStart"/>
            <w:r w:rsidRPr="009562B2">
              <w:rPr>
                <w:color w:val="000000" w:themeColor="text1"/>
                <w:sz w:val="22"/>
                <w:szCs w:val="22"/>
              </w:rPr>
              <w:t>Muthén</w:t>
            </w:r>
            <w:proofErr w:type="spellEnd"/>
            <w:r w:rsidRPr="009562B2">
              <w:rPr>
                <w:color w:val="000000" w:themeColor="text1"/>
                <w:sz w:val="22"/>
                <w:szCs w:val="22"/>
              </w:rPr>
              <w:t xml:space="preserve"> (1989)</w:t>
            </w:r>
          </w:p>
        </w:tc>
        <w:tc>
          <w:tcPr>
            <w:tcW w:w="5665" w:type="dxa"/>
          </w:tcPr>
          <w:p w14:paraId="41DA308C"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Introduction to partial measurement invariance</w:t>
            </w:r>
          </w:p>
        </w:tc>
      </w:tr>
      <w:tr w:rsidR="003C1C4D" w:rsidRPr="009562B2" w14:paraId="26ACCE2A" w14:textId="77777777" w:rsidTr="00DE635A">
        <w:tc>
          <w:tcPr>
            <w:tcW w:w="3685" w:type="dxa"/>
          </w:tcPr>
          <w:p w14:paraId="1804FD8B"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 xml:space="preserve">Byrne &amp; Stewart (2006) </w:t>
            </w:r>
          </w:p>
          <w:p w14:paraId="127F8176"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Chen, Sousa, &amp; West (2005)</w:t>
            </w:r>
          </w:p>
          <w:p w14:paraId="409635AD"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Cheung (2008)</w:t>
            </w:r>
          </w:p>
        </w:tc>
        <w:tc>
          <w:tcPr>
            <w:tcW w:w="5665" w:type="dxa"/>
          </w:tcPr>
          <w:p w14:paraId="5D961552" w14:textId="6825A452"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Overview of MI testing of second-order factor models</w:t>
            </w:r>
          </w:p>
          <w:p w14:paraId="61BCE512" w14:textId="77777777" w:rsidR="003C1C4D" w:rsidRPr="009562B2" w:rsidRDefault="003C1C4D" w:rsidP="00DE635A">
            <w:pPr>
              <w:adjustRightInd w:val="0"/>
              <w:snapToGrid w:val="0"/>
              <w:rPr>
                <w:color w:val="000000" w:themeColor="text1"/>
                <w:sz w:val="22"/>
                <w:szCs w:val="22"/>
              </w:rPr>
            </w:pPr>
          </w:p>
        </w:tc>
      </w:tr>
      <w:tr w:rsidR="003C1C4D" w:rsidRPr="009562B2" w14:paraId="74E9648B" w14:textId="77777777" w:rsidTr="00DE635A">
        <w:tc>
          <w:tcPr>
            <w:tcW w:w="3685" w:type="dxa"/>
          </w:tcPr>
          <w:p w14:paraId="4E6DE6F1" w14:textId="77777777"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Chen (2007, 2008)</w:t>
            </w:r>
          </w:p>
          <w:p w14:paraId="6941828A" w14:textId="77777777" w:rsidR="003C1C4D" w:rsidRPr="009562B2" w:rsidRDefault="003C1C4D" w:rsidP="00DE635A">
            <w:pPr>
              <w:adjustRightInd w:val="0"/>
              <w:snapToGrid w:val="0"/>
              <w:rPr>
                <w:color w:val="000000" w:themeColor="text1"/>
                <w:sz w:val="22"/>
                <w:szCs w:val="22"/>
              </w:rPr>
            </w:pPr>
          </w:p>
        </w:tc>
        <w:tc>
          <w:tcPr>
            <w:tcW w:w="5665" w:type="dxa"/>
          </w:tcPr>
          <w:p w14:paraId="1139E3EB" w14:textId="071DD082"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Demonstration of the impact of degrees and patterns of invariance on fit indices, slopes, and means</w:t>
            </w:r>
          </w:p>
        </w:tc>
      </w:tr>
      <w:tr w:rsidR="003C1C4D" w:rsidRPr="009562B2" w14:paraId="3BC9B3E1" w14:textId="77777777" w:rsidTr="00DE635A">
        <w:tc>
          <w:tcPr>
            <w:tcW w:w="3685" w:type="dxa"/>
          </w:tcPr>
          <w:p w14:paraId="38C30ED9" w14:textId="77777777" w:rsidR="003C1C4D" w:rsidRPr="00225DF4" w:rsidRDefault="003C1C4D" w:rsidP="00DE635A">
            <w:pPr>
              <w:adjustRightInd w:val="0"/>
              <w:snapToGrid w:val="0"/>
              <w:rPr>
                <w:color w:val="000000" w:themeColor="text1"/>
                <w:sz w:val="22"/>
                <w:szCs w:val="22"/>
              </w:rPr>
            </w:pPr>
            <w:r w:rsidRPr="00225DF4">
              <w:rPr>
                <w:color w:val="000000" w:themeColor="text1"/>
                <w:sz w:val="22"/>
                <w:szCs w:val="22"/>
              </w:rPr>
              <w:t>Cheung &amp; Lau (2012)</w:t>
            </w:r>
          </w:p>
        </w:tc>
        <w:tc>
          <w:tcPr>
            <w:tcW w:w="5665" w:type="dxa"/>
          </w:tcPr>
          <w:p w14:paraId="2E1D7978" w14:textId="59B04EA5" w:rsidR="003C1C4D" w:rsidRPr="009562B2" w:rsidRDefault="003C1C4D" w:rsidP="00DE635A">
            <w:pPr>
              <w:adjustRightInd w:val="0"/>
              <w:snapToGrid w:val="0"/>
              <w:rPr>
                <w:color w:val="000000" w:themeColor="text1"/>
                <w:sz w:val="22"/>
                <w:szCs w:val="22"/>
              </w:rPr>
            </w:pPr>
            <w:r w:rsidRPr="009562B2">
              <w:rPr>
                <w:color w:val="000000" w:themeColor="text1"/>
                <w:sz w:val="22"/>
                <w:szCs w:val="22"/>
              </w:rPr>
              <w:t xml:space="preserve">Introduction to “Bias-corrected bootstrap confidence intervals,” </w:t>
            </w:r>
            <w:r w:rsidR="00865742" w:rsidRPr="005214C8">
              <w:rPr>
                <w:color w:val="000000" w:themeColor="text1"/>
                <w:sz w:val="22"/>
                <w:szCs w:val="22"/>
              </w:rPr>
              <w:t>an</w:t>
            </w:r>
            <w:r w:rsidRPr="005214C8">
              <w:rPr>
                <w:color w:val="000000" w:themeColor="text1"/>
                <w:sz w:val="22"/>
                <w:szCs w:val="22"/>
              </w:rPr>
              <w:t xml:space="preserve"> efficient way to identify referent items and noninvariance using bootstrap confidence intervals </w:t>
            </w:r>
          </w:p>
        </w:tc>
      </w:tr>
      <w:tr w:rsidR="003C1C4D" w:rsidRPr="009562B2" w14:paraId="5F470E98" w14:textId="77777777" w:rsidTr="00DE635A">
        <w:tc>
          <w:tcPr>
            <w:tcW w:w="3685" w:type="dxa"/>
          </w:tcPr>
          <w:p w14:paraId="42C80240" w14:textId="77777777" w:rsidR="003C1C4D" w:rsidRPr="00225DF4" w:rsidRDefault="003C1C4D" w:rsidP="00DE635A">
            <w:pPr>
              <w:adjustRightInd w:val="0"/>
              <w:snapToGrid w:val="0"/>
              <w:rPr>
                <w:color w:val="000000" w:themeColor="text1"/>
                <w:sz w:val="22"/>
                <w:szCs w:val="22"/>
              </w:rPr>
            </w:pPr>
            <w:r w:rsidRPr="00225DF4">
              <w:rPr>
                <w:color w:val="000000" w:themeColor="text1"/>
                <w:sz w:val="22"/>
                <w:szCs w:val="22"/>
              </w:rPr>
              <w:t xml:space="preserve">Cheung &amp; </w:t>
            </w:r>
            <w:proofErr w:type="spellStart"/>
            <w:r w:rsidRPr="00225DF4">
              <w:rPr>
                <w:color w:val="000000" w:themeColor="text1"/>
                <w:sz w:val="22"/>
                <w:szCs w:val="22"/>
              </w:rPr>
              <w:t>Rensvold</w:t>
            </w:r>
            <w:proofErr w:type="spellEnd"/>
            <w:r w:rsidRPr="00225DF4">
              <w:rPr>
                <w:color w:val="000000" w:themeColor="text1"/>
                <w:sz w:val="22"/>
                <w:szCs w:val="22"/>
              </w:rPr>
              <w:t xml:space="preserve"> (1999)</w:t>
            </w:r>
          </w:p>
        </w:tc>
        <w:tc>
          <w:tcPr>
            <w:tcW w:w="5665" w:type="dxa"/>
          </w:tcPr>
          <w:p w14:paraId="0E0B36EE" w14:textId="71949B0A" w:rsidR="003C1C4D" w:rsidRPr="009562B2" w:rsidRDefault="00865742" w:rsidP="00DE635A">
            <w:pPr>
              <w:adjustRightInd w:val="0"/>
              <w:snapToGrid w:val="0"/>
              <w:rPr>
                <w:color w:val="000000" w:themeColor="text1"/>
                <w:sz w:val="22"/>
                <w:szCs w:val="22"/>
              </w:rPr>
            </w:pPr>
            <w:r>
              <w:rPr>
                <w:color w:val="212121"/>
                <w:sz w:val="22"/>
                <w:szCs w:val="22"/>
                <w:shd w:val="clear" w:color="auto" w:fill="FFFFFF"/>
              </w:rPr>
              <w:t>Discussion of the i</w:t>
            </w:r>
            <w:r w:rsidR="003C1C4D" w:rsidRPr="009562B2">
              <w:rPr>
                <w:color w:val="212121"/>
                <w:sz w:val="22"/>
                <w:szCs w:val="22"/>
                <w:shd w:val="clear" w:color="auto" w:fill="FFFFFF"/>
              </w:rPr>
              <w:t xml:space="preserve">mportance of referent items in testing MI and </w:t>
            </w:r>
            <w:r>
              <w:rPr>
                <w:color w:val="212121"/>
                <w:sz w:val="22"/>
                <w:szCs w:val="22"/>
                <w:shd w:val="clear" w:color="auto" w:fill="FFFFFF"/>
              </w:rPr>
              <w:t xml:space="preserve">introduction of the </w:t>
            </w:r>
            <w:r w:rsidR="003C1C4D" w:rsidRPr="009562B2">
              <w:rPr>
                <w:color w:val="212121"/>
                <w:sz w:val="22"/>
                <w:szCs w:val="22"/>
                <w:shd w:val="clear" w:color="auto" w:fill="FFFFFF"/>
              </w:rPr>
              <w:t>factor-ratio test to identify referent items</w:t>
            </w:r>
          </w:p>
        </w:tc>
      </w:tr>
      <w:tr w:rsidR="00225DF4" w:rsidRPr="009562B2" w14:paraId="275792B7" w14:textId="77777777" w:rsidTr="00DE635A">
        <w:tc>
          <w:tcPr>
            <w:tcW w:w="3685" w:type="dxa"/>
          </w:tcPr>
          <w:p w14:paraId="568A3601" w14:textId="50A86FF0" w:rsidR="00225DF4" w:rsidRPr="00225DF4" w:rsidRDefault="00225DF4" w:rsidP="00225DF4">
            <w:pPr>
              <w:adjustRightInd w:val="0"/>
              <w:snapToGrid w:val="0"/>
              <w:rPr>
                <w:color w:val="000000" w:themeColor="text1"/>
                <w:sz w:val="22"/>
                <w:szCs w:val="22"/>
              </w:rPr>
            </w:pPr>
            <w:r w:rsidRPr="00225DF4">
              <w:rPr>
                <w:color w:val="000000" w:themeColor="text1"/>
                <w:sz w:val="22"/>
                <w:szCs w:val="22"/>
              </w:rPr>
              <w:t xml:space="preserve">Cheung &amp; </w:t>
            </w:r>
            <w:proofErr w:type="spellStart"/>
            <w:r w:rsidRPr="00225DF4">
              <w:rPr>
                <w:color w:val="000000" w:themeColor="text1"/>
                <w:sz w:val="22"/>
                <w:szCs w:val="22"/>
              </w:rPr>
              <w:t>Rensvold</w:t>
            </w:r>
            <w:proofErr w:type="spellEnd"/>
            <w:r w:rsidRPr="00225DF4">
              <w:rPr>
                <w:color w:val="000000" w:themeColor="text1"/>
                <w:sz w:val="22"/>
                <w:szCs w:val="22"/>
              </w:rPr>
              <w:t xml:space="preserve"> (2002) </w:t>
            </w:r>
          </w:p>
        </w:tc>
        <w:tc>
          <w:tcPr>
            <w:tcW w:w="5665" w:type="dxa"/>
          </w:tcPr>
          <w:p w14:paraId="0F46B9EE" w14:textId="68DB2CA4" w:rsidR="00225DF4" w:rsidRDefault="00225DF4" w:rsidP="00225DF4">
            <w:pPr>
              <w:adjustRightInd w:val="0"/>
              <w:snapToGrid w:val="0"/>
              <w:rPr>
                <w:color w:val="212121"/>
                <w:sz w:val="22"/>
                <w:szCs w:val="22"/>
                <w:shd w:val="clear" w:color="auto" w:fill="FFFFFF"/>
              </w:rPr>
            </w:pPr>
            <w:r w:rsidRPr="009562B2">
              <w:rPr>
                <w:color w:val="000000" w:themeColor="text1"/>
                <w:sz w:val="22"/>
                <w:szCs w:val="22"/>
              </w:rPr>
              <w:t>Proposal for the use of change in fit indices (e.g., ΔCFA ≤ -.01) in MI testing as an alternative to Δχ</w:t>
            </w:r>
            <w:r w:rsidRPr="009562B2">
              <w:rPr>
                <w:color w:val="000000" w:themeColor="text1"/>
                <w:sz w:val="22"/>
                <w:szCs w:val="22"/>
                <w:vertAlign w:val="superscript"/>
              </w:rPr>
              <w:t>2</w:t>
            </w:r>
            <w:r w:rsidRPr="009562B2">
              <w:rPr>
                <w:color w:val="000000" w:themeColor="text1"/>
                <w:sz w:val="22"/>
                <w:szCs w:val="22"/>
              </w:rPr>
              <w:t xml:space="preserve"> (continuous indicators, maximum likelihood estimator)</w:t>
            </w:r>
          </w:p>
        </w:tc>
      </w:tr>
      <w:tr w:rsidR="00225DF4" w:rsidRPr="009562B2" w14:paraId="3280CECC" w14:textId="77777777" w:rsidTr="00DE635A">
        <w:tc>
          <w:tcPr>
            <w:tcW w:w="3685" w:type="dxa"/>
          </w:tcPr>
          <w:p w14:paraId="6C8CE216" w14:textId="6FFD0304" w:rsidR="00225DF4" w:rsidRPr="00803F4F" w:rsidRDefault="00225DF4" w:rsidP="00225DF4">
            <w:pPr>
              <w:adjustRightInd w:val="0"/>
              <w:snapToGrid w:val="0"/>
              <w:rPr>
                <w:color w:val="000000" w:themeColor="text1"/>
                <w:sz w:val="22"/>
                <w:szCs w:val="22"/>
              </w:rPr>
            </w:pPr>
            <w:proofErr w:type="spellStart"/>
            <w:r w:rsidRPr="00803F4F">
              <w:rPr>
                <w:color w:val="000000" w:themeColor="text1"/>
                <w:sz w:val="22"/>
                <w:szCs w:val="22"/>
              </w:rPr>
              <w:t>Greiff</w:t>
            </w:r>
            <w:proofErr w:type="spellEnd"/>
            <w:r w:rsidRPr="00803F4F">
              <w:rPr>
                <w:color w:val="000000" w:themeColor="text1"/>
                <w:sz w:val="22"/>
                <w:szCs w:val="22"/>
              </w:rPr>
              <w:t xml:space="preserve"> &amp; Scherer (2018)</w:t>
            </w:r>
          </w:p>
        </w:tc>
        <w:tc>
          <w:tcPr>
            <w:tcW w:w="5665" w:type="dxa"/>
          </w:tcPr>
          <w:p w14:paraId="73CA49DE" w14:textId="08954712" w:rsidR="00225DF4" w:rsidRPr="00803F4F" w:rsidRDefault="00225DF4" w:rsidP="00225DF4">
            <w:pPr>
              <w:adjustRightInd w:val="0"/>
              <w:snapToGrid w:val="0"/>
              <w:rPr>
                <w:color w:val="000000" w:themeColor="text1"/>
                <w:sz w:val="22"/>
                <w:szCs w:val="22"/>
                <w:shd w:val="clear" w:color="auto" w:fill="FFFFFF"/>
              </w:rPr>
            </w:pPr>
            <w:r w:rsidRPr="00803F4F">
              <w:rPr>
                <w:color w:val="000000" w:themeColor="text1"/>
                <w:sz w:val="22"/>
                <w:szCs w:val="22"/>
              </w:rPr>
              <w:t xml:space="preserve">Accessible and brief summary of MI testing by the editor of </w:t>
            </w:r>
            <w:r w:rsidRPr="00803F4F">
              <w:rPr>
                <w:i/>
                <w:color w:val="000000" w:themeColor="text1"/>
                <w:sz w:val="22"/>
                <w:szCs w:val="22"/>
              </w:rPr>
              <w:t>European Journal of Psychological Assessment</w:t>
            </w:r>
          </w:p>
        </w:tc>
      </w:tr>
      <w:tr w:rsidR="00225DF4" w:rsidRPr="009562B2" w14:paraId="436DA9C7" w14:textId="77777777" w:rsidTr="00DE635A">
        <w:tc>
          <w:tcPr>
            <w:tcW w:w="3685" w:type="dxa"/>
          </w:tcPr>
          <w:p w14:paraId="4407B7A8" w14:textId="77777777" w:rsidR="00225DF4" w:rsidRPr="00803F4F" w:rsidRDefault="00225DF4" w:rsidP="00225DF4">
            <w:pPr>
              <w:adjustRightInd w:val="0"/>
              <w:snapToGrid w:val="0"/>
              <w:rPr>
                <w:color w:val="000000" w:themeColor="text1"/>
                <w:sz w:val="22"/>
                <w:szCs w:val="22"/>
              </w:rPr>
            </w:pPr>
            <w:r w:rsidRPr="00803F4F">
              <w:rPr>
                <w:color w:val="000000" w:themeColor="text1"/>
                <w:sz w:val="22"/>
                <w:szCs w:val="22"/>
              </w:rPr>
              <w:t xml:space="preserve">Hildebrandt, </w:t>
            </w:r>
            <w:proofErr w:type="spellStart"/>
            <w:r w:rsidRPr="00803F4F">
              <w:rPr>
                <w:color w:val="000000" w:themeColor="text1"/>
                <w:sz w:val="22"/>
                <w:szCs w:val="22"/>
              </w:rPr>
              <w:t>Lüdtke</w:t>
            </w:r>
            <w:proofErr w:type="spellEnd"/>
            <w:r w:rsidRPr="00803F4F">
              <w:rPr>
                <w:color w:val="000000" w:themeColor="text1"/>
                <w:sz w:val="22"/>
                <w:szCs w:val="22"/>
              </w:rPr>
              <w:t xml:space="preserve">, </w:t>
            </w:r>
            <w:proofErr w:type="spellStart"/>
            <w:r w:rsidRPr="00803F4F">
              <w:rPr>
                <w:color w:val="000000" w:themeColor="text1"/>
                <w:sz w:val="22"/>
                <w:szCs w:val="22"/>
              </w:rPr>
              <w:t>Robitzsch</w:t>
            </w:r>
            <w:proofErr w:type="spellEnd"/>
            <w:r w:rsidRPr="00803F4F">
              <w:rPr>
                <w:color w:val="000000" w:themeColor="text1"/>
                <w:sz w:val="22"/>
                <w:szCs w:val="22"/>
              </w:rPr>
              <w:t>, Sommer, &amp; Wilhelm, (2016)</w:t>
            </w:r>
          </w:p>
        </w:tc>
        <w:tc>
          <w:tcPr>
            <w:tcW w:w="5665" w:type="dxa"/>
          </w:tcPr>
          <w:p w14:paraId="771D8B15" w14:textId="77777777" w:rsidR="00225DF4" w:rsidRPr="00803F4F" w:rsidRDefault="00225DF4" w:rsidP="00225DF4">
            <w:pPr>
              <w:adjustRightInd w:val="0"/>
              <w:snapToGrid w:val="0"/>
              <w:rPr>
                <w:color w:val="000000" w:themeColor="text1"/>
                <w:sz w:val="22"/>
                <w:szCs w:val="22"/>
                <w:shd w:val="clear" w:color="auto" w:fill="FFFFFF"/>
              </w:rPr>
            </w:pPr>
            <w:r w:rsidRPr="00803F4F">
              <w:rPr>
                <w:color w:val="000000" w:themeColor="text1"/>
                <w:sz w:val="22"/>
                <w:szCs w:val="22"/>
              </w:rPr>
              <w:t xml:space="preserve">Introduction to local structural equation, a method to examine MI across continuous variables </w:t>
            </w:r>
          </w:p>
        </w:tc>
      </w:tr>
      <w:tr w:rsidR="00225DF4" w:rsidRPr="009562B2" w14:paraId="1DAE118B" w14:textId="77777777" w:rsidTr="00DE635A">
        <w:tc>
          <w:tcPr>
            <w:tcW w:w="3685" w:type="dxa"/>
          </w:tcPr>
          <w:p w14:paraId="61170897" w14:textId="77777777" w:rsidR="00225DF4" w:rsidRPr="00803F4F" w:rsidRDefault="00225DF4" w:rsidP="00225DF4">
            <w:pPr>
              <w:adjustRightInd w:val="0"/>
              <w:snapToGrid w:val="0"/>
              <w:rPr>
                <w:color w:val="000000" w:themeColor="text1"/>
                <w:sz w:val="22"/>
                <w:szCs w:val="22"/>
              </w:rPr>
            </w:pPr>
            <w:r w:rsidRPr="00803F4F">
              <w:rPr>
                <w:color w:val="000000" w:themeColor="text1"/>
                <w:sz w:val="22"/>
                <w:szCs w:val="22"/>
              </w:rPr>
              <w:t xml:space="preserve">Hirschfeld &amp; von </w:t>
            </w:r>
            <w:proofErr w:type="spellStart"/>
            <w:r w:rsidRPr="00803F4F">
              <w:rPr>
                <w:color w:val="000000" w:themeColor="text1"/>
                <w:sz w:val="22"/>
                <w:szCs w:val="22"/>
              </w:rPr>
              <w:t>Brachel</w:t>
            </w:r>
            <w:proofErr w:type="spellEnd"/>
            <w:r w:rsidRPr="00803F4F">
              <w:rPr>
                <w:color w:val="000000" w:themeColor="text1"/>
                <w:sz w:val="22"/>
                <w:szCs w:val="22"/>
              </w:rPr>
              <w:t xml:space="preserve"> (2014)</w:t>
            </w:r>
          </w:p>
        </w:tc>
        <w:tc>
          <w:tcPr>
            <w:tcW w:w="5665" w:type="dxa"/>
          </w:tcPr>
          <w:p w14:paraId="000D6A27" w14:textId="208F7ECB" w:rsidR="00225DF4" w:rsidRPr="00803F4F" w:rsidRDefault="00225DF4" w:rsidP="00225DF4">
            <w:pPr>
              <w:adjustRightInd w:val="0"/>
              <w:snapToGrid w:val="0"/>
              <w:rPr>
                <w:color w:val="000000" w:themeColor="text1"/>
                <w:sz w:val="22"/>
                <w:szCs w:val="22"/>
              </w:rPr>
            </w:pPr>
            <w:r w:rsidRPr="00803F4F">
              <w:rPr>
                <w:color w:val="000000" w:themeColor="text1"/>
                <w:sz w:val="22"/>
                <w:szCs w:val="22"/>
              </w:rPr>
              <w:t xml:space="preserve">Tutorial for conducting MGCFA using the R packages </w:t>
            </w:r>
            <w:proofErr w:type="spellStart"/>
            <w:r w:rsidRPr="00803F4F">
              <w:rPr>
                <w:color w:val="000000" w:themeColor="text1"/>
                <w:sz w:val="22"/>
                <w:szCs w:val="22"/>
              </w:rPr>
              <w:t>lavaan</w:t>
            </w:r>
            <w:proofErr w:type="spellEnd"/>
            <w:r w:rsidRPr="00803F4F">
              <w:rPr>
                <w:color w:val="000000" w:themeColor="text1"/>
                <w:sz w:val="22"/>
                <w:szCs w:val="22"/>
              </w:rPr>
              <w:t xml:space="preserve">, </w:t>
            </w:r>
            <w:proofErr w:type="spellStart"/>
            <w:r w:rsidRPr="00803F4F">
              <w:rPr>
                <w:color w:val="000000" w:themeColor="text1"/>
                <w:sz w:val="22"/>
                <w:szCs w:val="22"/>
              </w:rPr>
              <w:t>semTools</w:t>
            </w:r>
            <w:proofErr w:type="spellEnd"/>
            <w:r w:rsidRPr="00803F4F">
              <w:rPr>
                <w:color w:val="000000" w:themeColor="text1"/>
                <w:sz w:val="22"/>
                <w:szCs w:val="22"/>
              </w:rPr>
              <w:t xml:space="preserve">, and </w:t>
            </w:r>
            <w:proofErr w:type="spellStart"/>
            <w:r w:rsidRPr="00803F4F">
              <w:rPr>
                <w:color w:val="000000" w:themeColor="text1"/>
                <w:sz w:val="22"/>
                <w:szCs w:val="22"/>
              </w:rPr>
              <w:t>semPlot</w:t>
            </w:r>
            <w:proofErr w:type="spellEnd"/>
          </w:p>
        </w:tc>
      </w:tr>
      <w:tr w:rsidR="00225DF4" w:rsidRPr="009562B2" w14:paraId="0DC6DAD5" w14:textId="77777777" w:rsidTr="00DE635A">
        <w:tc>
          <w:tcPr>
            <w:tcW w:w="3685" w:type="dxa"/>
          </w:tcPr>
          <w:p w14:paraId="39E3BDE4"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 xml:space="preserve">Jung &amp; Yoon (2017) </w:t>
            </w:r>
          </w:p>
        </w:tc>
        <w:tc>
          <w:tcPr>
            <w:tcW w:w="5665" w:type="dxa"/>
          </w:tcPr>
          <w:p w14:paraId="70F8A460" w14:textId="1D1F2AE2" w:rsidR="00225DF4" w:rsidRPr="009562B2" w:rsidRDefault="00225DF4" w:rsidP="00225DF4">
            <w:pPr>
              <w:adjustRightInd w:val="0"/>
              <w:snapToGrid w:val="0"/>
              <w:rPr>
                <w:color w:val="000000" w:themeColor="text1"/>
                <w:sz w:val="22"/>
                <w:szCs w:val="22"/>
              </w:rPr>
            </w:pPr>
            <w:r w:rsidRPr="009562B2">
              <w:rPr>
                <w:color w:val="000000"/>
                <w:sz w:val="22"/>
                <w:szCs w:val="22"/>
              </w:rPr>
              <w:t>Proposal of alternat</w:t>
            </w:r>
            <w:r>
              <w:rPr>
                <w:color w:val="000000"/>
                <w:sz w:val="22"/>
                <w:szCs w:val="22"/>
              </w:rPr>
              <w:t>e</w:t>
            </w:r>
            <w:r w:rsidRPr="009562B2">
              <w:rPr>
                <w:color w:val="000000"/>
                <w:sz w:val="22"/>
                <w:szCs w:val="22"/>
              </w:rPr>
              <w:t xml:space="preserve"> methods for identifying referent items</w:t>
            </w:r>
          </w:p>
        </w:tc>
      </w:tr>
      <w:tr w:rsidR="00225DF4" w:rsidRPr="009562B2" w14:paraId="22BE6655" w14:textId="77777777" w:rsidTr="00DE635A">
        <w:tc>
          <w:tcPr>
            <w:tcW w:w="3685" w:type="dxa"/>
          </w:tcPr>
          <w:p w14:paraId="20C5DCD8" w14:textId="77777777" w:rsidR="00225DF4" w:rsidRPr="009562B2" w:rsidRDefault="00225DF4" w:rsidP="00225DF4">
            <w:pPr>
              <w:adjustRightInd w:val="0"/>
              <w:snapToGrid w:val="0"/>
              <w:rPr>
                <w:color w:val="000000" w:themeColor="text1"/>
                <w:sz w:val="22"/>
                <w:szCs w:val="22"/>
              </w:rPr>
            </w:pPr>
            <w:proofErr w:type="spellStart"/>
            <w:r w:rsidRPr="009562B2">
              <w:rPr>
                <w:color w:val="000000" w:themeColor="text1"/>
                <w:sz w:val="22"/>
                <w:szCs w:val="22"/>
              </w:rPr>
              <w:t>Khojasteh</w:t>
            </w:r>
            <w:proofErr w:type="spellEnd"/>
            <w:r w:rsidRPr="009562B2">
              <w:rPr>
                <w:color w:val="000000" w:themeColor="text1"/>
                <w:sz w:val="22"/>
                <w:szCs w:val="22"/>
              </w:rPr>
              <w:t xml:space="preserve"> &amp; Lo (2015)</w:t>
            </w:r>
          </w:p>
        </w:tc>
        <w:tc>
          <w:tcPr>
            <w:tcW w:w="5665" w:type="dxa"/>
          </w:tcPr>
          <w:p w14:paraId="61B61E89" w14:textId="4FBCD41A"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Discussion of cut-off criteria for noninvariance in bifactor models</w:t>
            </w:r>
          </w:p>
        </w:tc>
      </w:tr>
      <w:tr w:rsidR="00225DF4" w:rsidRPr="009562B2" w14:paraId="49A2F4DB" w14:textId="77777777" w:rsidTr="00DE635A">
        <w:tc>
          <w:tcPr>
            <w:tcW w:w="3685" w:type="dxa"/>
          </w:tcPr>
          <w:p w14:paraId="7D688851"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Kim, Cao, Wang, &amp; Nguyen (2017)</w:t>
            </w:r>
          </w:p>
        </w:tc>
        <w:tc>
          <w:tcPr>
            <w:tcW w:w="5665" w:type="dxa"/>
          </w:tcPr>
          <w:p w14:paraId="2E428988" w14:textId="08B955D8" w:rsidR="00225DF4" w:rsidRPr="009562B2" w:rsidRDefault="00225DF4" w:rsidP="00225DF4">
            <w:pPr>
              <w:adjustRightInd w:val="0"/>
              <w:snapToGrid w:val="0"/>
              <w:rPr>
                <w:color w:val="000000" w:themeColor="text1"/>
                <w:sz w:val="22"/>
                <w:szCs w:val="22"/>
              </w:rPr>
            </w:pPr>
            <w:r w:rsidRPr="00803F4F">
              <w:rPr>
                <w:color w:val="000000" w:themeColor="text1"/>
                <w:sz w:val="22"/>
                <w:szCs w:val="22"/>
              </w:rPr>
              <w:t xml:space="preserve">Overview of five approaches to evaluation of MI when comparing many groups (see Table 1s in their supplementary materials) </w:t>
            </w:r>
          </w:p>
        </w:tc>
      </w:tr>
      <w:tr w:rsidR="00225DF4" w:rsidRPr="009562B2" w14:paraId="512AD602" w14:textId="77777777" w:rsidTr="00DE635A">
        <w:tc>
          <w:tcPr>
            <w:tcW w:w="3685" w:type="dxa"/>
          </w:tcPr>
          <w:p w14:paraId="0B985638"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Lai &amp; Yoon (2015)</w:t>
            </w:r>
          </w:p>
        </w:tc>
        <w:tc>
          <w:tcPr>
            <w:tcW w:w="5665" w:type="dxa"/>
          </w:tcPr>
          <w:p w14:paraId="6E3061F5"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Proposal of a modified CFI index</w:t>
            </w:r>
          </w:p>
        </w:tc>
      </w:tr>
      <w:tr w:rsidR="00225DF4" w:rsidRPr="009562B2" w14:paraId="0D5A2713" w14:textId="77777777" w:rsidTr="00DE635A">
        <w:tc>
          <w:tcPr>
            <w:tcW w:w="3685" w:type="dxa"/>
          </w:tcPr>
          <w:p w14:paraId="7360FB0B"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 xml:space="preserve">Marsh, Guo, Parker, </w:t>
            </w:r>
            <w:proofErr w:type="spellStart"/>
            <w:r w:rsidRPr="009562B2">
              <w:rPr>
                <w:color w:val="000000" w:themeColor="text1"/>
                <w:sz w:val="22"/>
                <w:szCs w:val="22"/>
              </w:rPr>
              <w:t>Nagengast</w:t>
            </w:r>
            <w:proofErr w:type="spellEnd"/>
            <w:r w:rsidRPr="009562B2">
              <w:rPr>
                <w:color w:val="000000" w:themeColor="text1"/>
                <w:sz w:val="22"/>
                <w:szCs w:val="22"/>
              </w:rPr>
              <w:t xml:space="preserve">, </w:t>
            </w:r>
            <w:proofErr w:type="spellStart"/>
            <w:r w:rsidRPr="009562B2">
              <w:rPr>
                <w:color w:val="000000" w:themeColor="text1"/>
                <w:sz w:val="22"/>
                <w:szCs w:val="22"/>
              </w:rPr>
              <w:t>Asparouhov</w:t>
            </w:r>
            <w:proofErr w:type="spellEnd"/>
            <w:r w:rsidRPr="009562B2">
              <w:rPr>
                <w:color w:val="000000" w:themeColor="text1"/>
                <w:sz w:val="22"/>
                <w:szCs w:val="22"/>
              </w:rPr>
              <w:t xml:space="preserve">, </w:t>
            </w:r>
            <w:proofErr w:type="spellStart"/>
            <w:r w:rsidRPr="009562B2">
              <w:rPr>
                <w:color w:val="000000" w:themeColor="text1"/>
                <w:sz w:val="22"/>
                <w:szCs w:val="22"/>
              </w:rPr>
              <w:t>Muthén</w:t>
            </w:r>
            <w:proofErr w:type="spellEnd"/>
            <w:r w:rsidRPr="009562B2">
              <w:rPr>
                <w:color w:val="000000" w:themeColor="text1"/>
                <w:sz w:val="22"/>
                <w:szCs w:val="22"/>
              </w:rPr>
              <w:t xml:space="preserve">, &amp; </w:t>
            </w:r>
            <w:proofErr w:type="spellStart"/>
            <w:r w:rsidRPr="009562B2">
              <w:rPr>
                <w:color w:val="000000" w:themeColor="text1"/>
                <w:sz w:val="22"/>
                <w:szCs w:val="22"/>
              </w:rPr>
              <w:t>Dicke</w:t>
            </w:r>
            <w:proofErr w:type="spellEnd"/>
            <w:r w:rsidRPr="009562B2">
              <w:rPr>
                <w:color w:val="000000" w:themeColor="text1"/>
                <w:sz w:val="22"/>
                <w:szCs w:val="22"/>
              </w:rPr>
              <w:t xml:space="preserve"> (2017)</w:t>
            </w:r>
          </w:p>
        </w:tc>
        <w:tc>
          <w:tcPr>
            <w:tcW w:w="5665" w:type="dxa"/>
          </w:tcPr>
          <w:p w14:paraId="6A8BB98C" w14:textId="43E79AD4" w:rsidR="00225DF4" w:rsidRPr="009562B2" w:rsidRDefault="00225DF4" w:rsidP="00225DF4">
            <w:pPr>
              <w:autoSpaceDE w:val="0"/>
              <w:autoSpaceDN w:val="0"/>
              <w:adjustRightInd w:val="0"/>
              <w:rPr>
                <w:color w:val="000000" w:themeColor="text1"/>
                <w:sz w:val="22"/>
                <w:szCs w:val="22"/>
              </w:rPr>
            </w:pPr>
            <w:r w:rsidRPr="009562B2">
              <w:rPr>
                <w:color w:val="000000" w:themeColor="text1"/>
                <w:sz w:val="22"/>
                <w:szCs w:val="22"/>
              </w:rPr>
              <w:t>Introduction to the extended align</w:t>
            </w:r>
            <w:r>
              <w:rPr>
                <w:color w:val="000000" w:themeColor="text1"/>
                <w:sz w:val="22"/>
                <w:szCs w:val="22"/>
              </w:rPr>
              <w:t>ment</w:t>
            </w:r>
            <w:r w:rsidRPr="009562B2">
              <w:rPr>
                <w:color w:val="000000" w:themeColor="text1"/>
                <w:sz w:val="22"/>
                <w:szCs w:val="22"/>
              </w:rPr>
              <w:t xml:space="preserve"> method, “Alignment within CFA” (</w:t>
            </w:r>
            <w:proofErr w:type="spellStart"/>
            <w:r w:rsidRPr="009562B2">
              <w:rPr>
                <w:color w:val="000000" w:themeColor="text1"/>
                <w:sz w:val="22"/>
                <w:szCs w:val="22"/>
              </w:rPr>
              <w:t>AwC</w:t>
            </w:r>
            <w:proofErr w:type="spellEnd"/>
            <w:r w:rsidRPr="009562B2">
              <w:rPr>
                <w:color w:val="000000" w:themeColor="text1"/>
                <w:sz w:val="22"/>
                <w:szCs w:val="22"/>
              </w:rPr>
              <w:t xml:space="preserve">) </w:t>
            </w:r>
          </w:p>
        </w:tc>
      </w:tr>
      <w:tr w:rsidR="00225DF4" w:rsidRPr="009562B2" w14:paraId="5FE71394" w14:textId="77777777" w:rsidTr="00DE635A">
        <w:tc>
          <w:tcPr>
            <w:tcW w:w="3685" w:type="dxa"/>
          </w:tcPr>
          <w:p w14:paraId="5699B701" w14:textId="77777777" w:rsidR="00225DF4" w:rsidRPr="009562B2" w:rsidRDefault="00225DF4" w:rsidP="00225DF4">
            <w:pPr>
              <w:autoSpaceDE w:val="0"/>
              <w:autoSpaceDN w:val="0"/>
              <w:adjustRightInd w:val="0"/>
              <w:rPr>
                <w:color w:val="000000" w:themeColor="text1"/>
                <w:sz w:val="22"/>
                <w:szCs w:val="22"/>
              </w:rPr>
            </w:pPr>
            <w:r w:rsidRPr="009562B2">
              <w:rPr>
                <w:color w:val="000000" w:themeColor="text1"/>
                <w:sz w:val="22"/>
                <w:szCs w:val="22"/>
              </w:rPr>
              <w:t>Marsh, Morin, Parker, &amp; Kaur (2014)</w:t>
            </w:r>
          </w:p>
        </w:tc>
        <w:tc>
          <w:tcPr>
            <w:tcW w:w="5665" w:type="dxa"/>
          </w:tcPr>
          <w:p w14:paraId="620E768E" w14:textId="77777777" w:rsidR="00225DF4" w:rsidRPr="009562B2" w:rsidRDefault="00225DF4" w:rsidP="00225DF4">
            <w:pPr>
              <w:autoSpaceDE w:val="0"/>
              <w:autoSpaceDN w:val="0"/>
              <w:adjustRightInd w:val="0"/>
              <w:rPr>
                <w:color w:val="000000" w:themeColor="text1"/>
                <w:sz w:val="22"/>
                <w:szCs w:val="22"/>
              </w:rPr>
            </w:pPr>
            <w:r w:rsidRPr="009562B2">
              <w:rPr>
                <w:color w:val="000000" w:themeColor="text1"/>
                <w:sz w:val="22"/>
                <w:szCs w:val="22"/>
              </w:rPr>
              <w:t>Introduction to the exploratory structural equation model within CFA (</w:t>
            </w:r>
            <w:proofErr w:type="spellStart"/>
            <w:r w:rsidRPr="009562B2">
              <w:rPr>
                <w:color w:val="000000" w:themeColor="text1"/>
                <w:sz w:val="22"/>
                <w:szCs w:val="22"/>
              </w:rPr>
              <w:t>EwC</w:t>
            </w:r>
            <w:proofErr w:type="spellEnd"/>
            <w:r w:rsidRPr="009562B2">
              <w:rPr>
                <w:color w:val="000000" w:themeColor="text1"/>
                <w:sz w:val="22"/>
                <w:szCs w:val="22"/>
              </w:rPr>
              <w:t>)</w:t>
            </w:r>
          </w:p>
        </w:tc>
      </w:tr>
      <w:tr w:rsidR="00225DF4" w:rsidRPr="009562B2" w14:paraId="2FD1FFF2" w14:textId="77777777" w:rsidTr="00DE635A">
        <w:tc>
          <w:tcPr>
            <w:tcW w:w="3685" w:type="dxa"/>
          </w:tcPr>
          <w:p w14:paraId="4016D70B" w14:textId="2E122977" w:rsidR="00225DF4" w:rsidRPr="009562B2" w:rsidRDefault="00225DF4" w:rsidP="000829C9">
            <w:pPr>
              <w:autoSpaceDE w:val="0"/>
              <w:autoSpaceDN w:val="0"/>
              <w:adjustRightInd w:val="0"/>
              <w:snapToGrid w:val="0"/>
              <w:rPr>
                <w:color w:val="000000" w:themeColor="text1"/>
                <w:sz w:val="22"/>
                <w:szCs w:val="22"/>
              </w:rPr>
            </w:pPr>
            <w:r w:rsidRPr="009562B2">
              <w:rPr>
                <w:color w:val="000000" w:themeColor="text1"/>
                <w:sz w:val="22"/>
                <w:szCs w:val="22"/>
              </w:rPr>
              <w:t xml:space="preserve">Marsh, </w:t>
            </w:r>
            <w:proofErr w:type="spellStart"/>
            <w:r w:rsidRPr="009562B2">
              <w:rPr>
                <w:color w:val="000000" w:themeColor="text1"/>
                <w:sz w:val="22"/>
                <w:szCs w:val="22"/>
              </w:rPr>
              <w:t>Muthén</w:t>
            </w:r>
            <w:proofErr w:type="spellEnd"/>
            <w:r w:rsidRPr="009562B2">
              <w:rPr>
                <w:color w:val="000000" w:themeColor="text1"/>
                <w:sz w:val="22"/>
                <w:szCs w:val="22"/>
              </w:rPr>
              <w:t xml:space="preserve">, </w:t>
            </w:r>
            <w:proofErr w:type="spellStart"/>
            <w:r w:rsidRPr="009562B2">
              <w:rPr>
                <w:color w:val="000000" w:themeColor="text1"/>
                <w:sz w:val="22"/>
                <w:szCs w:val="22"/>
              </w:rPr>
              <w:t>Asparouhov</w:t>
            </w:r>
            <w:proofErr w:type="spellEnd"/>
            <w:r w:rsidRPr="009562B2">
              <w:rPr>
                <w:color w:val="000000" w:themeColor="text1"/>
                <w:sz w:val="22"/>
                <w:szCs w:val="22"/>
              </w:rPr>
              <w:t xml:space="preserve">, </w:t>
            </w:r>
            <w:proofErr w:type="spellStart"/>
            <w:r w:rsidRPr="009562B2">
              <w:rPr>
                <w:color w:val="000000" w:themeColor="text1"/>
                <w:sz w:val="22"/>
                <w:szCs w:val="22"/>
              </w:rPr>
              <w:t>Lüdtke</w:t>
            </w:r>
            <w:proofErr w:type="spellEnd"/>
            <w:r w:rsidRPr="009562B2">
              <w:rPr>
                <w:color w:val="000000" w:themeColor="text1"/>
                <w:sz w:val="22"/>
                <w:szCs w:val="22"/>
              </w:rPr>
              <w:t xml:space="preserve">, </w:t>
            </w:r>
            <w:proofErr w:type="spellStart"/>
            <w:r w:rsidRPr="009562B2">
              <w:rPr>
                <w:color w:val="000000" w:themeColor="text1"/>
                <w:sz w:val="22"/>
                <w:szCs w:val="22"/>
              </w:rPr>
              <w:t>Robitzsch</w:t>
            </w:r>
            <w:proofErr w:type="spellEnd"/>
            <w:r w:rsidRPr="009562B2">
              <w:rPr>
                <w:color w:val="000000" w:themeColor="text1"/>
                <w:sz w:val="22"/>
                <w:szCs w:val="22"/>
              </w:rPr>
              <w:t xml:space="preserve">, Morin, &amp; </w:t>
            </w:r>
            <w:proofErr w:type="spellStart"/>
            <w:r w:rsidRPr="009562B2">
              <w:rPr>
                <w:color w:val="000000" w:themeColor="text1"/>
                <w:sz w:val="22"/>
                <w:szCs w:val="22"/>
              </w:rPr>
              <w:t>Trautwein</w:t>
            </w:r>
            <w:proofErr w:type="spellEnd"/>
            <w:r w:rsidRPr="009562B2">
              <w:rPr>
                <w:color w:val="000000" w:themeColor="text1"/>
                <w:sz w:val="22"/>
                <w:szCs w:val="22"/>
              </w:rPr>
              <w:t xml:space="preserve"> (2009) </w:t>
            </w:r>
          </w:p>
        </w:tc>
        <w:tc>
          <w:tcPr>
            <w:tcW w:w="5665" w:type="dxa"/>
          </w:tcPr>
          <w:p w14:paraId="4744A746"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 xml:space="preserve">Introduction of a </w:t>
            </w:r>
            <w:proofErr w:type="gramStart"/>
            <w:r w:rsidRPr="009562B2">
              <w:rPr>
                <w:color w:val="000000" w:themeColor="text1"/>
                <w:sz w:val="22"/>
                <w:szCs w:val="22"/>
              </w:rPr>
              <w:t>13 category</w:t>
            </w:r>
            <w:proofErr w:type="gramEnd"/>
            <w:r w:rsidRPr="009562B2">
              <w:rPr>
                <w:color w:val="000000" w:themeColor="text1"/>
                <w:sz w:val="22"/>
                <w:szCs w:val="22"/>
              </w:rPr>
              <w:t xml:space="preserve"> taxonomy for evaluating measurement invariance using exploratory structural equation modeling (ESEM) </w:t>
            </w:r>
          </w:p>
        </w:tc>
      </w:tr>
      <w:tr w:rsidR="00225DF4" w:rsidRPr="009562B2" w14:paraId="0BAE78AA" w14:textId="77777777" w:rsidTr="00DE635A">
        <w:tc>
          <w:tcPr>
            <w:tcW w:w="3685" w:type="dxa"/>
          </w:tcPr>
          <w:p w14:paraId="2654C6C0"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Mead &amp; Bauer (2007)</w:t>
            </w:r>
          </w:p>
        </w:tc>
        <w:tc>
          <w:tcPr>
            <w:tcW w:w="5665" w:type="dxa"/>
          </w:tcPr>
          <w:p w14:paraId="1D597371"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Examination of factors that affect precision of factor loadings and power</w:t>
            </w:r>
          </w:p>
        </w:tc>
      </w:tr>
      <w:tr w:rsidR="00225DF4" w:rsidRPr="009562B2" w14:paraId="3B830C32" w14:textId="77777777" w:rsidTr="00DE635A">
        <w:tc>
          <w:tcPr>
            <w:tcW w:w="3685" w:type="dxa"/>
          </w:tcPr>
          <w:p w14:paraId="3F57D797"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lastRenderedPageBreak/>
              <w:t>Meredith (1993)</w:t>
            </w:r>
          </w:p>
        </w:tc>
        <w:tc>
          <w:tcPr>
            <w:tcW w:w="5665" w:type="dxa"/>
          </w:tcPr>
          <w:p w14:paraId="27F6A0C9"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 xml:space="preserve">Discussion of magnitudes of invariance: weak, strong, and strict </w:t>
            </w:r>
          </w:p>
        </w:tc>
      </w:tr>
      <w:tr w:rsidR="00225DF4" w:rsidRPr="009562B2" w14:paraId="0B1BA5A2" w14:textId="77777777" w:rsidTr="00DE635A">
        <w:tc>
          <w:tcPr>
            <w:tcW w:w="3685" w:type="dxa"/>
          </w:tcPr>
          <w:p w14:paraId="2D77B774" w14:textId="5878428C" w:rsidR="00225DF4" w:rsidRPr="009562B2" w:rsidRDefault="00225DF4" w:rsidP="00225DF4">
            <w:pPr>
              <w:adjustRightInd w:val="0"/>
              <w:snapToGrid w:val="0"/>
              <w:jc w:val="both"/>
              <w:rPr>
                <w:color w:val="000000" w:themeColor="text1"/>
                <w:sz w:val="22"/>
                <w:szCs w:val="22"/>
              </w:rPr>
            </w:pPr>
            <w:r w:rsidRPr="009562B2">
              <w:rPr>
                <w:color w:val="000000" w:themeColor="text1"/>
                <w:sz w:val="22"/>
                <w:szCs w:val="22"/>
              </w:rPr>
              <w:t>Millsap (20</w:t>
            </w:r>
            <w:r>
              <w:rPr>
                <w:color w:val="000000" w:themeColor="text1"/>
                <w:sz w:val="22"/>
                <w:szCs w:val="22"/>
              </w:rPr>
              <w:t>1</w:t>
            </w:r>
            <w:r w:rsidRPr="009562B2">
              <w:rPr>
                <w:color w:val="000000" w:themeColor="text1"/>
                <w:sz w:val="22"/>
                <w:szCs w:val="22"/>
              </w:rPr>
              <w:t>1)</w:t>
            </w:r>
          </w:p>
        </w:tc>
        <w:tc>
          <w:tcPr>
            <w:tcW w:w="5665" w:type="dxa"/>
          </w:tcPr>
          <w:p w14:paraId="64C59616"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Heavily quantitative reference book summarizing and integrating various approaches to testing MI</w:t>
            </w:r>
          </w:p>
        </w:tc>
      </w:tr>
      <w:tr w:rsidR="00225DF4" w:rsidRPr="009562B2" w14:paraId="4D03F373" w14:textId="77777777" w:rsidTr="00DE635A">
        <w:tc>
          <w:tcPr>
            <w:tcW w:w="3685" w:type="dxa"/>
          </w:tcPr>
          <w:p w14:paraId="3EADF0F3" w14:textId="77777777" w:rsidR="00225DF4" w:rsidRPr="009562B2" w:rsidRDefault="00225DF4" w:rsidP="00225DF4">
            <w:pPr>
              <w:autoSpaceDE w:val="0"/>
              <w:autoSpaceDN w:val="0"/>
              <w:adjustRightInd w:val="0"/>
              <w:rPr>
                <w:color w:val="000000" w:themeColor="text1"/>
                <w:sz w:val="22"/>
                <w:szCs w:val="22"/>
              </w:rPr>
            </w:pPr>
            <w:proofErr w:type="spellStart"/>
            <w:r w:rsidRPr="009562B2">
              <w:rPr>
                <w:color w:val="000000" w:themeColor="text1"/>
                <w:sz w:val="22"/>
                <w:szCs w:val="22"/>
              </w:rPr>
              <w:t>Muthén</w:t>
            </w:r>
            <w:proofErr w:type="spellEnd"/>
            <w:r w:rsidRPr="009562B2">
              <w:rPr>
                <w:color w:val="000000" w:themeColor="text1"/>
                <w:sz w:val="22"/>
                <w:szCs w:val="22"/>
              </w:rPr>
              <w:t xml:space="preserve"> &amp; </w:t>
            </w:r>
            <w:proofErr w:type="spellStart"/>
            <w:r w:rsidRPr="009562B2">
              <w:rPr>
                <w:color w:val="000000" w:themeColor="text1"/>
                <w:sz w:val="22"/>
                <w:szCs w:val="22"/>
              </w:rPr>
              <w:t>Asparouhov</w:t>
            </w:r>
            <w:proofErr w:type="spellEnd"/>
            <w:r w:rsidRPr="009562B2">
              <w:rPr>
                <w:color w:val="000000" w:themeColor="text1"/>
                <w:sz w:val="22"/>
                <w:szCs w:val="22"/>
              </w:rPr>
              <w:t xml:space="preserve"> (2013)</w:t>
            </w:r>
          </w:p>
          <w:p w14:paraId="32015D7D" w14:textId="77777777" w:rsidR="00225DF4" w:rsidRPr="009562B2" w:rsidRDefault="00225DF4" w:rsidP="00225DF4">
            <w:pPr>
              <w:adjustRightInd w:val="0"/>
              <w:snapToGrid w:val="0"/>
              <w:jc w:val="both"/>
              <w:rPr>
                <w:color w:val="000000" w:themeColor="text1"/>
                <w:sz w:val="22"/>
                <w:szCs w:val="22"/>
              </w:rPr>
            </w:pPr>
          </w:p>
        </w:tc>
        <w:tc>
          <w:tcPr>
            <w:tcW w:w="5665" w:type="dxa"/>
          </w:tcPr>
          <w:p w14:paraId="796C5BA0" w14:textId="77777777" w:rsidR="00225DF4" w:rsidRPr="009562B2" w:rsidRDefault="00225DF4" w:rsidP="00225DF4">
            <w:pPr>
              <w:autoSpaceDE w:val="0"/>
              <w:autoSpaceDN w:val="0"/>
              <w:adjustRightInd w:val="0"/>
              <w:rPr>
                <w:color w:val="000000" w:themeColor="text1"/>
                <w:sz w:val="22"/>
                <w:szCs w:val="22"/>
              </w:rPr>
            </w:pPr>
            <w:r w:rsidRPr="009562B2">
              <w:rPr>
                <w:color w:val="000000" w:themeColor="text1"/>
                <w:sz w:val="22"/>
                <w:szCs w:val="22"/>
              </w:rPr>
              <w:t xml:space="preserve">Introduction to Bayesian structure equation modeling (BSEM), a method that allows researchers to </w:t>
            </w:r>
            <w:r w:rsidRPr="009562B2">
              <w:rPr>
                <w:color w:val="000000"/>
                <w:sz w:val="22"/>
                <w:szCs w:val="22"/>
              </w:rPr>
              <w:t>incorporate prior knowledge of parameters</w:t>
            </w:r>
          </w:p>
        </w:tc>
      </w:tr>
      <w:tr w:rsidR="00225DF4" w:rsidRPr="009562B2" w14:paraId="48B760BB" w14:textId="77777777" w:rsidTr="00DE635A">
        <w:tc>
          <w:tcPr>
            <w:tcW w:w="3685" w:type="dxa"/>
          </w:tcPr>
          <w:p w14:paraId="2B9F5307" w14:textId="77777777" w:rsidR="00225DF4" w:rsidRPr="00225DF4" w:rsidRDefault="00225DF4" w:rsidP="00225DF4">
            <w:pPr>
              <w:autoSpaceDE w:val="0"/>
              <w:autoSpaceDN w:val="0"/>
              <w:adjustRightInd w:val="0"/>
              <w:rPr>
                <w:color w:val="000000" w:themeColor="text1"/>
                <w:sz w:val="22"/>
                <w:szCs w:val="22"/>
              </w:rPr>
            </w:pPr>
            <w:proofErr w:type="spellStart"/>
            <w:r w:rsidRPr="00225DF4">
              <w:rPr>
                <w:color w:val="000000" w:themeColor="text1"/>
                <w:sz w:val="22"/>
                <w:szCs w:val="22"/>
              </w:rPr>
              <w:t>Muthén</w:t>
            </w:r>
            <w:proofErr w:type="spellEnd"/>
            <w:r w:rsidRPr="00225DF4">
              <w:rPr>
                <w:color w:val="000000" w:themeColor="text1"/>
                <w:sz w:val="22"/>
                <w:szCs w:val="22"/>
              </w:rPr>
              <w:t xml:space="preserve"> &amp; </w:t>
            </w:r>
            <w:proofErr w:type="spellStart"/>
            <w:r w:rsidRPr="00225DF4">
              <w:rPr>
                <w:color w:val="000000" w:themeColor="text1"/>
                <w:sz w:val="22"/>
                <w:szCs w:val="22"/>
              </w:rPr>
              <w:t>Asparouhov</w:t>
            </w:r>
            <w:proofErr w:type="spellEnd"/>
            <w:r w:rsidRPr="00225DF4">
              <w:rPr>
                <w:color w:val="000000" w:themeColor="text1"/>
                <w:sz w:val="22"/>
                <w:szCs w:val="22"/>
              </w:rPr>
              <w:t xml:space="preserve"> (2017)</w:t>
            </w:r>
          </w:p>
          <w:p w14:paraId="1A40FBA0" w14:textId="77777777" w:rsidR="00225DF4" w:rsidRPr="00225DF4" w:rsidRDefault="00225DF4" w:rsidP="00225DF4">
            <w:pPr>
              <w:autoSpaceDE w:val="0"/>
              <w:autoSpaceDN w:val="0"/>
              <w:adjustRightInd w:val="0"/>
              <w:rPr>
                <w:color w:val="000000" w:themeColor="text1"/>
                <w:sz w:val="22"/>
                <w:szCs w:val="22"/>
              </w:rPr>
            </w:pPr>
          </w:p>
        </w:tc>
        <w:tc>
          <w:tcPr>
            <w:tcW w:w="5665" w:type="dxa"/>
          </w:tcPr>
          <w:p w14:paraId="4A01F8EC" w14:textId="5FD74D7D" w:rsidR="00225DF4" w:rsidRPr="00225DF4" w:rsidRDefault="00225DF4" w:rsidP="00225DF4">
            <w:pPr>
              <w:autoSpaceDE w:val="0"/>
              <w:autoSpaceDN w:val="0"/>
              <w:adjustRightInd w:val="0"/>
              <w:rPr>
                <w:color w:val="000000" w:themeColor="text1"/>
                <w:sz w:val="22"/>
                <w:szCs w:val="22"/>
                <w:highlight w:val="yellow"/>
              </w:rPr>
            </w:pPr>
            <w:r w:rsidRPr="00225DF4">
              <w:rPr>
                <w:color w:val="000000" w:themeColor="text1"/>
                <w:sz w:val="22"/>
                <w:szCs w:val="22"/>
              </w:rPr>
              <w:t xml:space="preserve">Introduction to multilevel factor analysis, allowing MI </w:t>
            </w:r>
            <w:proofErr w:type="gramStart"/>
            <w:r w:rsidRPr="00225DF4">
              <w:rPr>
                <w:color w:val="000000" w:themeColor="text1"/>
                <w:sz w:val="22"/>
                <w:szCs w:val="22"/>
              </w:rPr>
              <w:t>testing  with</w:t>
            </w:r>
            <w:proofErr w:type="gramEnd"/>
            <w:r w:rsidRPr="00225DF4">
              <w:rPr>
                <w:color w:val="000000" w:themeColor="text1"/>
                <w:sz w:val="22"/>
                <w:szCs w:val="22"/>
              </w:rPr>
              <w:t xml:space="preserve"> many groups</w:t>
            </w:r>
            <w:r>
              <w:rPr>
                <w:color w:val="000000" w:themeColor="text1"/>
                <w:sz w:val="22"/>
                <w:szCs w:val="22"/>
              </w:rPr>
              <w:t>; groups considered as random</w:t>
            </w:r>
          </w:p>
        </w:tc>
      </w:tr>
      <w:tr w:rsidR="00225DF4" w:rsidRPr="009562B2" w14:paraId="65595FE7" w14:textId="77777777" w:rsidTr="00DE635A">
        <w:tc>
          <w:tcPr>
            <w:tcW w:w="3685" w:type="dxa"/>
          </w:tcPr>
          <w:p w14:paraId="3E06CE76"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 xml:space="preserve">Nye &amp; </w:t>
            </w:r>
            <w:proofErr w:type="spellStart"/>
            <w:r w:rsidRPr="009562B2">
              <w:rPr>
                <w:color w:val="000000" w:themeColor="text1"/>
                <w:sz w:val="22"/>
                <w:szCs w:val="22"/>
              </w:rPr>
              <w:t>Drasgow</w:t>
            </w:r>
            <w:proofErr w:type="spellEnd"/>
            <w:r w:rsidRPr="009562B2">
              <w:rPr>
                <w:color w:val="000000" w:themeColor="text1"/>
                <w:sz w:val="22"/>
                <w:szCs w:val="22"/>
              </w:rPr>
              <w:t xml:space="preserve"> (2011) </w:t>
            </w:r>
          </w:p>
        </w:tc>
        <w:tc>
          <w:tcPr>
            <w:tcW w:w="5665" w:type="dxa"/>
          </w:tcPr>
          <w:p w14:paraId="262B4741" w14:textId="77777777" w:rsidR="00225DF4" w:rsidRPr="009562B2" w:rsidRDefault="00225DF4" w:rsidP="00225DF4">
            <w:pPr>
              <w:adjustRightInd w:val="0"/>
              <w:snapToGrid w:val="0"/>
              <w:rPr>
                <w:color w:val="000000" w:themeColor="text1"/>
                <w:sz w:val="22"/>
                <w:szCs w:val="22"/>
              </w:rPr>
            </w:pPr>
            <w:r w:rsidRPr="009562B2">
              <w:rPr>
                <w:color w:val="000000" w:themeColor="text1"/>
                <w:sz w:val="22"/>
                <w:szCs w:val="22"/>
              </w:rPr>
              <w:t>Discussion of effect size indices in MI testing</w:t>
            </w:r>
          </w:p>
        </w:tc>
      </w:tr>
      <w:tr w:rsidR="00225DF4" w:rsidRPr="009562B2" w14:paraId="4B5020F9" w14:textId="77777777" w:rsidTr="00DE635A">
        <w:tc>
          <w:tcPr>
            <w:tcW w:w="3685" w:type="dxa"/>
          </w:tcPr>
          <w:p w14:paraId="30C11236" w14:textId="77777777" w:rsidR="00225DF4" w:rsidRPr="009562B2" w:rsidRDefault="00225DF4" w:rsidP="00225DF4">
            <w:pPr>
              <w:adjustRightInd w:val="0"/>
              <w:snapToGrid w:val="0"/>
              <w:rPr>
                <w:sz w:val="22"/>
                <w:szCs w:val="22"/>
              </w:rPr>
            </w:pPr>
            <w:proofErr w:type="spellStart"/>
            <w:r w:rsidRPr="009562B2">
              <w:rPr>
                <w:sz w:val="22"/>
                <w:szCs w:val="22"/>
              </w:rPr>
              <w:t>Pendergast</w:t>
            </w:r>
            <w:proofErr w:type="spellEnd"/>
            <w:r w:rsidRPr="009562B2">
              <w:rPr>
                <w:sz w:val="22"/>
                <w:szCs w:val="22"/>
              </w:rPr>
              <w:t xml:space="preserve">, von der </w:t>
            </w:r>
            <w:proofErr w:type="spellStart"/>
            <w:r w:rsidRPr="009562B2">
              <w:rPr>
                <w:sz w:val="22"/>
                <w:szCs w:val="22"/>
              </w:rPr>
              <w:t>Embse</w:t>
            </w:r>
            <w:proofErr w:type="spellEnd"/>
            <w:r w:rsidRPr="009562B2">
              <w:rPr>
                <w:sz w:val="22"/>
                <w:szCs w:val="22"/>
              </w:rPr>
              <w:t xml:space="preserve">, </w:t>
            </w:r>
            <w:proofErr w:type="spellStart"/>
            <w:r w:rsidRPr="009562B2">
              <w:rPr>
                <w:sz w:val="22"/>
                <w:szCs w:val="22"/>
              </w:rPr>
              <w:t>Kilgus</w:t>
            </w:r>
            <w:proofErr w:type="spellEnd"/>
            <w:r w:rsidRPr="009562B2">
              <w:rPr>
                <w:sz w:val="22"/>
                <w:szCs w:val="22"/>
              </w:rPr>
              <w:t xml:space="preserve">, &amp; </w:t>
            </w:r>
            <w:proofErr w:type="spellStart"/>
            <w:r w:rsidRPr="009562B2">
              <w:rPr>
                <w:sz w:val="22"/>
                <w:szCs w:val="22"/>
              </w:rPr>
              <w:t>Erlund</w:t>
            </w:r>
            <w:proofErr w:type="spellEnd"/>
            <w:r w:rsidRPr="009562B2">
              <w:rPr>
                <w:sz w:val="22"/>
                <w:szCs w:val="22"/>
              </w:rPr>
              <w:t xml:space="preserve"> (2017) </w:t>
            </w:r>
          </w:p>
        </w:tc>
        <w:tc>
          <w:tcPr>
            <w:tcW w:w="5665" w:type="dxa"/>
          </w:tcPr>
          <w:p w14:paraId="79E46DAB" w14:textId="77777777" w:rsidR="00225DF4" w:rsidRPr="009562B2" w:rsidRDefault="00225DF4" w:rsidP="00225DF4">
            <w:pPr>
              <w:adjustRightInd w:val="0"/>
              <w:snapToGrid w:val="0"/>
              <w:rPr>
                <w:sz w:val="22"/>
                <w:szCs w:val="22"/>
              </w:rPr>
            </w:pPr>
            <w:r w:rsidRPr="009562B2">
              <w:rPr>
                <w:sz w:val="22"/>
                <w:szCs w:val="22"/>
              </w:rPr>
              <w:t>Demonstration of MI testing of ordered categorical indicators in a school psychology context</w:t>
            </w:r>
          </w:p>
        </w:tc>
      </w:tr>
      <w:tr w:rsidR="00225DF4" w:rsidRPr="009562B2" w14:paraId="4B9B341A" w14:textId="77777777" w:rsidTr="00DE635A">
        <w:tc>
          <w:tcPr>
            <w:tcW w:w="3685" w:type="dxa"/>
          </w:tcPr>
          <w:p w14:paraId="5C0DC101" w14:textId="77777777" w:rsidR="00225DF4" w:rsidRPr="00803F4F" w:rsidRDefault="00225DF4" w:rsidP="00225DF4">
            <w:pPr>
              <w:adjustRightInd w:val="0"/>
              <w:snapToGrid w:val="0"/>
              <w:rPr>
                <w:color w:val="000000" w:themeColor="text1"/>
                <w:sz w:val="22"/>
                <w:szCs w:val="22"/>
              </w:rPr>
            </w:pPr>
            <w:proofErr w:type="spellStart"/>
            <w:r w:rsidRPr="00803F4F">
              <w:rPr>
                <w:color w:val="000000" w:themeColor="text1"/>
                <w:sz w:val="22"/>
                <w:szCs w:val="22"/>
              </w:rPr>
              <w:t>Putnick</w:t>
            </w:r>
            <w:proofErr w:type="spellEnd"/>
            <w:r w:rsidRPr="00803F4F">
              <w:rPr>
                <w:color w:val="000000" w:themeColor="text1"/>
                <w:sz w:val="22"/>
                <w:szCs w:val="22"/>
              </w:rPr>
              <w:t xml:space="preserve"> &amp; Bornstein (2016)</w:t>
            </w:r>
          </w:p>
        </w:tc>
        <w:tc>
          <w:tcPr>
            <w:tcW w:w="5665" w:type="dxa"/>
          </w:tcPr>
          <w:p w14:paraId="16B22752" w14:textId="2CC5A3C7" w:rsidR="00225DF4" w:rsidRPr="00803F4F" w:rsidRDefault="00225DF4" w:rsidP="00225DF4">
            <w:pPr>
              <w:adjustRightInd w:val="0"/>
              <w:snapToGrid w:val="0"/>
              <w:rPr>
                <w:color w:val="000000" w:themeColor="text1"/>
                <w:sz w:val="22"/>
                <w:szCs w:val="22"/>
              </w:rPr>
            </w:pPr>
            <w:r w:rsidRPr="00803F4F">
              <w:rPr>
                <w:color w:val="000000" w:themeColor="text1"/>
                <w:sz w:val="22"/>
                <w:szCs w:val="22"/>
              </w:rPr>
              <w:t>Step by step description of MGCFA procedures in nontechnical language, with helpful suggestions for various issues involving MGCFA</w:t>
            </w:r>
          </w:p>
        </w:tc>
      </w:tr>
      <w:tr w:rsidR="00225DF4" w:rsidRPr="009562B2" w14:paraId="70CFA4F6" w14:textId="77777777" w:rsidTr="00DE635A">
        <w:tc>
          <w:tcPr>
            <w:tcW w:w="3685" w:type="dxa"/>
          </w:tcPr>
          <w:p w14:paraId="1C2AB5F2" w14:textId="77777777" w:rsidR="00225DF4" w:rsidRPr="009562B2" w:rsidRDefault="00225DF4" w:rsidP="00225DF4">
            <w:pPr>
              <w:adjustRightInd w:val="0"/>
              <w:snapToGrid w:val="0"/>
              <w:rPr>
                <w:sz w:val="22"/>
                <w:szCs w:val="22"/>
              </w:rPr>
            </w:pPr>
            <w:r w:rsidRPr="009562B2">
              <w:rPr>
                <w:sz w:val="22"/>
                <w:szCs w:val="22"/>
              </w:rPr>
              <w:t>Sass, Schmitt, &amp; Marsh (2014)</w:t>
            </w:r>
          </w:p>
        </w:tc>
        <w:tc>
          <w:tcPr>
            <w:tcW w:w="5665" w:type="dxa"/>
          </w:tcPr>
          <w:p w14:paraId="2D92B8FE" w14:textId="77777777" w:rsidR="00225DF4" w:rsidRPr="009562B2" w:rsidRDefault="00225DF4" w:rsidP="00225DF4">
            <w:pPr>
              <w:adjustRightInd w:val="0"/>
              <w:snapToGrid w:val="0"/>
              <w:rPr>
                <w:sz w:val="22"/>
                <w:szCs w:val="22"/>
              </w:rPr>
            </w:pPr>
            <w:r w:rsidRPr="009562B2">
              <w:rPr>
                <w:sz w:val="22"/>
                <w:szCs w:val="22"/>
              </w:rPr>
              <w:t xml:space="preserve">Proposal of guidelines for invariance criteria for ordered categorical indicators </w:t>
            </w:r>
          </w:p>
        </w:tc>
      </w:tr>
      <w:tr w:rsidR="00225DF4" w:rsidRPr="009562B2" w14:paraId="370A9ABA" w14:textId="77777777" w:rsidTr="00DE635A">
        <w:tc>
          <w:tcPr>
            <w:tcW w:w="3685" w:type="dxa"/>
          </w:tcPr>
          <w:p w14:paraId="68F87683" w14:textId="77777777" w:rsidR="00225DF4" w:rsidRPr="009562B2" w:rsidRDefault="00225DF4" w:rsidP="00225DF4">
            <w:pPr>
              <w:adjustRightInd w:val="0"/>
              <w:snapToGrid w:val="0"/>
              <w:rPr>
                <w:sz w:val="22"/>
                <w:szCs w:val="22"/>
              </w:rPr>
            </w:pPr>
            <w:r w:rsidRPr="009562B2">
              <w:rPr>
                <w:sz w:val="22"/>
                <w:szCs w:val="22"/>
              </w:rPr>
              <w:t>Vandenberg &amp; Lance (2000)</w:t>
            </w:r>
          </w:p>
          <w:p w14:paraId="1EE77741" w14:textId="77777777" w:rsidR="00225DF4" w:rsidRPr="009562B2" w:rsidRDefault="00225DF4" w:rsidP="00225DF4">
            <w:pPr>
              <w:adjustRightInd w:val="0"/>
              <w:snapToGrid w:val="0"/>
              <w:rPr>
                <w:sz w:val="22"/>
                <w:szCs w:val="22"/>
              </w:rPr>
            </w:pPr>
            <w:r w:rsidRPr="009562B2">
              <w:rPr>
                <w:sz w:val="22"/>
                <w:szCs w:val="22"/>
              </w:rPr>
              <w:t xml:space="preserve">Vandenberg (2002) </w:t>
            </w:r>
          </w:p>
        </w:tc>
        <w:tc>
          <w:tcPr>
            <w:tcW w:w="5665" w:type="dxa"/>
          </w:tcPr>
          <w:p w14:paraId="30D6AF2A" w14:textId="77777777" w:rsidR="00225DF4" w:rsidRPr="009562B2" w:rsidRDefault="00225DF4" w:rsidP="00225DF4">
            <w:pPr>
              <w:adjustRightInd w:val="0"/>
              <w:snapToGrid w:val="0"/>
              <w:rPr>
                <w:sz w:val="22"/>
                <w:szCs w:val="22"/>
              </w:rPr>
            </w:pPr>
            <w:r w:rsidRPr="009562B2">
              <w:rPr>
                <w:sz w:val="22"/>
                <w:szCs w:val="22"/>
              </w:rPr>
              <w:t>First major studies providing a comprehensive and integrative paradigm for conducting sequences of MI tests</w:t>
            </w:r>
          </w:p>
        </w:tc>
      </w:tr>
      <w:tr w:rsidR="00225DF4" w:rsidRPr="009562B2" w14:paraId="24F68C9B" w14:textId="77777777" w:rsidTr="00DE635A">
        <w:tc>
          <w:tcPr>
            <w:tcW w:w="3685" w:type="dxa"/>
          </w:tcPr>
          <w:p w14:paraId="2CDE9B73" w14:textId="77777777" w:rsidR="00225DF4" w:rsidRPr="009562B2" w:rsidRDefault="00225DF4" w:rsidP="00225DF4">
            <w:pPr>
              <w:adjustRightInd w:val="0"/>
              <w:snapToGrid w:val="0"/>
              <w:rPr>
                <w:sz w:val="22"/>
                <w:szCs w:val="22"/>
              </w:rPr>
            </w:pPr>
            <w:r w:rsidRPr="009562B2">
              <w:rPr>
                <w:sz w:val="22"/>
                <w:szCs w:val="22"/>
              </w:rPr>
              <w:t xml:space="preserve">Yuan &amp; Chan (2016) </w:t>
            </w:r>
          </w:p>
        </w:tc>
        <w:tc>
          <w:tcPr>
            <w:tcW w:w="5665" w:type="dxa"/>
          </w:tcPr>
          <w:p w14:paraId="72FE685C" w14:textId="77777777" w:rsidR="00225DF4" w:rsidRPr="009562B2" w:rsidRDefault="00225DF4" w:rsidP="00225DF4">
            <w:pPr>
              <w:adjustRightInd w:val="0"/>
              <w:snapToGrid w:val="0"/>
              <w:rPr>
                <w:sz w:val="22"/>
                <w:szCs w:val="22"/>
              </w:rPr>
            </w:pPr>
            <w:r w:rsidRPr="009562B2">
              <w:rPr>
                <w:sz w:val="22"/>
                <w:szCs w:val="22"/>
              </w:rPr>
              <w:t xml:space="preserve">Discussion of misuse of chi-square difference tests </w:t>
            </w:r>
          </w:p>
        </w:tc>
      </w:tr>
    </w:tbl>
    <w:p w14:paraId="615934F1" w14:textId="3528CEE1" w:rsidR="005D7128" w:rsidRPr="00DE58CF" w:rsidRDefault="005D7128" w:rsidP="00865742">
      <w:pPr>
        <w:adjustRightInd w:val="0"/>
        <w:snapToGrid w:val="0"/>
        <w:spacing w:after="0" w:line="240" w:lineRule="auto"/>
      </w:pPr>
    </w:p>
    <w:sectPr w:rsidR="005D7128" w:rsidRPr="00DE58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9B9A" w14:textId="77777777" w:rsidR="009A4647" w:rsidRDefault="009A4647" w:rsidP="006F48B1">
      <w:pPr>
        <w:spacing w:after="0" w:line="240" w:lineRule="auto"/>
      </w:pPr>
      <w:r>
        <w:separator/>
      </w:r>
    </w:p>
  </w:endnote>
  <w:endnote w:type="continuationSeparator" w:id="0">
    <w:p w14:paraId="3B8F87D0" w14:textId="77777777" w:rsidR="009A4647" w:rsidRDefault="009A4647" w:rsidP="006F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NewRomanPSMT">
    <w:altName w:val="Malgun Gothic Semilight"/>
    <w:panose1 w:val="00000000000000000000"/>
    <w:charset w:val="80"/>
    <w:family w:val="roman"/>
    <w:notTrueType/>
    <w:pitch w:val="default"/>
    <w:sig w:usb0="00000003" w:usb1="080F0000" w:usb2="00000010" w:usb3="00000000" w:csb0="0012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00000003" w:usb1="00000000" w:usb2="00000000" w:usb3="00000000" w:csb0="00000001" w:csb1="00000000"/>
  </w:font>
  <w:font w:name="Times-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EF369" w14:textId="77777777" w:rsidR="009A4647" w:rsidRDefault="009A4647" w:rsidP="006F48B1">
      <w:pPr>
        <w:spacing w:after="0" w:line="240" w:lineRule="auto"/>
      </w:pPr>
      <w:r>
        <w:separator/>
      </w:r>
    </w:p>
  </w:footnote>
  <w:footnote w:type="continuationSeparator" w:id="0">
    <w:p w14:paraId="4ED78EC8" w14:textId="77777777" w:rsidR="009A4647" w:rsidRDefault="009A4647" w:rsidP="006F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475799"/>
      <w:docPartObj>
        <w:docPartGallery w:val="Page Numbers (Top of Page)"/>
        <w:docPartUnique/>
      </w:docPartObj>
    </w:sdtPr>
    <w:sdtEndPr>
      <w:rPr>
        <w:noProof/>
        <w:sz w:val="20"/>
        <w:szCs w:val="20"/>
      </w:rPr>
    </w:sdtEndPr>
    <w:sdtContent>
      <w:p w14:paraId="12192EB9" w14:textId="322761BE" w:rsidR="006F48B1" w:rsidRPr="006F48B1" w:rsidRDefault="006F48B1">
        <w:pPr>
          <w:pStyle w:val="Header"/>
          <w:jc w:val="right"/>
          <w:rPr>
            <w:sz w:val="20"/>
            <w:szCs w:val="20"/>
          </w:rPr>
        </w:pPr>
        <w:r w:rsidRPr="006F48B1">
          <w:rPr>
            <w:sz w:val="20"/>
            <w:szCs w:val="20"/>
          </w:rPr>
          <w:fldChar w:fldCharType="begin"/>
        </w:r>
        <w:r w:rsidRPr="006F48B1">
          <w:rPr>
            <w:sz w:val="20"/>
            <w:szCs w:val="20"/>
          </w:rPr>
          <w:instrText xml:space="preserve"> PAGE   \* MERGEFORMAT </w:instrText>
        </w:r>
        <w:r w:rsidRPr="006F48B1">
          <w:rPr>
            <w:sz w:val="20"/>
            <w:szCs w:val="20"/>
          </w:rPr>
          <w:fldChar w:fldCharType="separate"/>
        </w:r>
        <w:r w:rsidR="002026CD">
          <w:rPr>
            <w:noProof/>
            <w:sz w:val="20"/>
            <w:szCs w:val="20"/>
          </w:rPr>
          <w:t>9</w:t>
        </w:r>
        <w:r w:rsidRPr="006F48B1">
          <w:rPr>
            <w:noProof/>
            <w:sz w:val="20"/>
            <w:szCs w:val="20"/>
          </w:rPr>
          <w:fldChar w:fldCharType="end"/>
        </w:r>
      </w:p>
    </w:sdtContent>
  </w:sdt>
  <w:p w14:paraId="1A5EC329" w14:textId="77777777" w:rsidR="006F48B1" w:rsidRDefault="006F4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28"/>
    <w:rsid w:val="000765EA"/>
    <w:rsid w:val="000829C9"/>
    <w:rsid w:val="0009341A"/>
    <w:rsid w:val="000A227E"/>
    <w:rsid w:val="000D032F"/>
    <w:rsid w:val="000E5F60"/>
    <w:rsid w:val="00101EDF"/>
    <w:rsid w:val="00194232"/>
    <w:rsid w:val="001C4299"/>
    <w:rsid w:val="002026CD"/>
    <w:rsid w:val="00204892"/>
    <w:rsid w:val="00225DF4"/>
    <w:rsid w:val="00374421"/>
    <w:rsid w:val="003936BA"/>
    <w:rsid w:val="003C1C4D"/>
    <w:rsid w:val="003F0A1B"/>
    <w:rsid w:val="00462BF8"/>
    <w:rsid w:val="004F067C"/>
    <w:rsid w:val="005214C8"/>
    <w:rsid w:val="005D7128"/>
    <w:rsid w:val="006135D6"/>
    <w:rsid w:val="00623522"/>
    <w:rsid w:val="00644EC1"/>
    <w:rsid w:val="00655048"/>
    <w:rsid w:val="006739C9"/>
    <w:rsid w:val="0067668E"/>
    <w:rsid w:val="006A0156"/>
    <w:rsid w:val="006B3F4E"/>
    <w:rsid w:val="006F48B1"/>
    <w:rsid w:val="00722296"/>
    <w:rsid w:val="007D2E23"/>
    <w:rsid w:val="00803F4F"/>
    <w:rsid w:val="00833C71"/>
    <w:rsid w:val="00865742"/>
    <w:rsid w:val="00874F18"/>
    <w:rsid w:val="0089350B"/>
    <w:rsid w:val="008B0C4B"/>
    <w:rsid w:val="008F27B8"/>
    <w:rsid w:val="00941957"/>
    <w:rsid w:val="0096741D"/>
    <w:rsid w:val="00982217"/>
    <w:rsid w:val="0098534B"/>
    <w:rsid w:val="009A4647"/>
    <w:rsid w:val="00A3146F"/>
    <w:rsid w:val="00A630DD"/>
    <w:rsid w:val="00A90E07"/>
    <w:rsid w:val="00AA5FAF"/>
    <w:rsid w:val="00B0600E"/>
    <w:rsid w:val="00B711FC"/>
    <w:rsid w:val="00B80F1D"/>
    <w:rsid w:val="00BE14B0"/>
    <w:rsid w:val="00BE6E4A"/>
    <w:rsid w:val="00C25A49"/>
    <w:rsid w:val="00C40DDF"/>
    <w:rsid w:val="00C92B91"/>
    <w:rsid w:val="00CA1970"/>
    <w:rsid w:val="00CB2D0C"/>
    <w:rsid w:val="00CB5BEA"/>
    <w:rsid w:val="00D2369B"/>
    <w:rsid w:val="00DD2479"/>
    <w:rsid w:val="00DE58CF"/>
    <w:rsid w:val="00DF6305"/>
    <w:rsid w:val="00E71AA6"/>
    <w:rsid w:val="00EC6CFE"/>
    <w:rsid w:val="00ED1DD9"/>
    <w:rsid w:val="00EE47CA"/>
    <w:rsid w:val="00F567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5B10"/>
  <w15:chartTrackingRefBased/>
  <w15:docId w15:val="{C3183437-1A40-4FBE-BDC3-FFB08ED5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7128"/>
    <w:rPr>
      <w:rFonts w:ascii="Times New Roman" w:eastAsia="TimesNewRomanPSMT"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58CF"/>
    <w:pPr>
      <w:spacing w:before="100" w:beforeAutospacing="1" w:after="100" w:afterAutospacing="1" w:line="240" w:lineRule="auto"/>
    </w:pPr>
    <w:rPr>
      <w:rFonts w:eastAsia="Batang"/>
      <w:color w:val="000000"/>
    </w:rPr>
  </w:style>
  <w:style w:type="table" w:styleId="TableGrid">
    <w:name w:val="Table Grid"/>
    <w:basedOn w:val="TableNormal"/>
    <w:uiPriority w:val="39"/>
    <w:rsid w:val="003C1C4D"/>
    <w:pPr>
      <w:spacing w:after="0" w:line="240" w:lineRule="auto"/>
    </w:pPr>
    <w:rPr>
      <w:rFonts w:ascii="Times New Roman" w:eastAsia="TimesNewRomanPSMT"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B1"/>
    <w:rPr>
      <w:rFonts w:ascii="Times New Roman" w:eastAsia="TimesNewRomanPSMT" w:hAnsi="Times New Roman" w:cs="Times New Roman"/>
      <w:sz w:val="24"/>
      <w:szCs w:val="24"/>
    </w:rPr>
  </w:style>
  <w:style w:type="paragraph" w:styleId="Footer">
    <w:name w:val="footer"/>
    <w:basedOn w:val="Normal"/>
    <w:link w:val="FooterChar"/>
    <w:uiPriority w:val="99"/>
    <w:unhideWhenUsed/>
    <w:rsid w:val="006F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B1"/>
    <w:rPr>
      <w:rFonts w:ascii="Times New Roman" w:eastAsia="TimesNewRomanPSMT" w:hAnsi="Times New Roman" w:cs="Times New Roman"/>
      <w:sz w:val="24"/>
      <w:szCs w:val="24"/>
    </w:rPr>
  </w:style>
  <w:style w:type="character" w:styleId="CommentReference">
    <w:name w:val="annotation reference"/>
    <w:basedOn w:val="DefaultParagraphFont"/>
    <w:uiPriority w:val="99"/>
    <w:semiHidden/>
    <w:unhideWhenUsed/>
    <w:rsid w:val="00AA5FAF"/>
    <w:rPr>
      <w:sz w:val="16"/>
      <w:szCs w:val="16"/>
    </w:rPr>
  </w:style>
  <w:style w:type="paragraph" w:styleId="CommentText">
    <w:name w:val="annotation text"/>
    <w:basedOn w:val="Normal"/>
    <w:link w:val="CommentTextChar"/>
    <w:uiPriority w:val="99"/>
    <w:semiHidden/>
    <w:unhideWhenUsed/>
    <w:rsid w:val="00AA5FAF"/>
    <w:pPr>
      <w:spacing w:line="240" w:lineRule="auto"/>
    </w:pPr>
    <w:rPr>
      <w:sz w:val="20"/>
      <w:szCs w:val="20"/>
    </w:rPr>
  </w:style>
  <w:style w:type="character" w:customStyle="1" w:styleId="CommentTextChar">
    <w:name w:val="Comment Text Char"/>
    <w:basedOn w:val="DefaultParagraphFont"/>
    <w:link w:val="CommentText"/>
    <w:uiPriority w:val="99"/>
    <w:semiHidden/>
    <w:rsid w:val="00AA5FAF"/>
    <w:rPr>
      <w:rFonts w:ascii="Times New Roman" w:eastAsia="TimesNewRomanPSMT"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FAF"/>
    <w:rPr>
      <w:b/>
      <w:bCs/>
    </w:rPr>
  </w:style>
  <w:style w:type="character" w:customStyle="1" w:styleId="CommentSubjectChar">
    <w:name w:val="Comment Subject Char"/>
    <w:basedOn w:val="CommentTextChar"/>
    <w:link w:val="CommentSubject"/>
    <w:uiPriority w:val="99"/>
    <w:semiHidden/>
    <w:rsid w:val="00AA5FAF"/>
    <w:rPr>
      <w:rFonts w:ascii="Times New Roman" w:eastAsia="TimesNewRomanPSMT" w:hAnsi="Times New Roman" w:cs="Times New Roman"/>
      <w:b/>
      <w:bCs/>
      <w:sz w:val="20"/>
      <w:szCs w:val="20"/>
    </w:rPr>
  </w:style>
  <w:style w:type="paragraph" w:styleId="BalloonText">
    <w:name w:val="Balloon Text"/>
    <w:basedOn w:val="Normal"/>
    <w:link w:val="BalloonTextChar"/>
    <w:uiPriority w:val="99"/>
    <w:semiHidden/>
    <w:unhideWhenUsed/>
    <w:rsid w:val="00AA5FA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A5FAF"/>
    <w:rPr>
      <w:rFonts w:ascii="Times New Roman" w:eastAsia="TimesNewRomanPSM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Kyunghee</dc:creator>
  <cp:keywords/>
  <dc:description/>
  <cp:lastModifiedBy>Ouellette, Anthony</cp:lastModifiedBy>
  <cp:revision>2</cp:revision>
  <dcterms:created xsi:type="dcterms:W3CDTF">2019-11-19T16:11:00Z</dcterms:created>
  <dcterms:modified xsi:type="dcterms:W3CDTF">2019-11-19T16:11:00Z</dcterms:modified>
</cp:coreProperties>
</file>