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6CC" w:rsidRPr="0025389D" w:rsidRDefault="006A76CC" w:rsidP="006A76CC">
      <w:pPr>
        <w:pStyle w:val="paragraph"/>
        <w:spacing w:before="0" w:beforeAutospacing="0" w:after="0" w:afterAutospacing="0"/>
        <w:textAlignment w:val="baseline"/>
        <w:rPr>
          <w:rFonts w:asciiTheme="minorHAnsi" w:hAnsiTheme="minorHAnsi" w:cstheme="minorHAnsi"/>
          <w:sz w:val="22"/>
          <w:szCs w:val="22"/>
        </w:rPr>
      </w:pPr>
      <w:bookmarkStart w:id="0" w:name="_GoBack"/>
      <w:bookmarkEnd w:id="0"/>
      <w:r w:rsidRPr="0025389D">
        <w:rPr>
          <w:rStyle w:val="normaltextrun"/>
          <w:rFonts w:asciiTheme="minorHAnsi" w:hAnsiTheme="minorHAnsi" w:cstheme="minorHAnsi"/>
          <w:sz w:val="22"/>
          <w:szCs w:val="22"/>
        </w:rPr>
        <w:t>Supplement</w:t>
      </w:r>
      <w:r w:rsidR="00266BCF" w:rsidRPr="0025389D">
        <w:rPr>
          <w:rStyle w:val="normaltextrun"/>
          <w:rFonts w:asciiTheme="minorHAnsi" w:hAnsiTheme="minorHAnsi" w:cstheme="minorHAnsi"/>
          <w:sz w:val="22"/>
          <w:szCs w:val="22"/>
        </w:rPr>
        <w:t xml:space="preserve"> 1</w:t>
      </w:r>
    </w:p>
    <w:p w:rsidR="00266BCF" w:rsidRPr="0025389D" w:rsidRDefault="00266BCF" w:rsidP="006A76CC">
      <w:pPr>
        <w:pStyle w:val="paragraph"/>
        <w:spacing w:before="0" w:beforeAutospacing="0" w:after="0" w:afterAutospacing="0"/>
        <w:textAlignment w:val="baseline"/>
        <w:rPr>
          <w:rStyle w:val="normaltextrun"/>
          <w:rFonts w:asciiTheme="minorHAnsi" w:hAnsiTheme="minorHAnsi" w:cstheme="minorHAnsi"/>
          <w:sz w:val="22"/>
          <w:szCs w:val="22"/>
        </w:rPr>
      </w:pPr>
    </w:p>
    <w:p w:rsidR="006A76CC" w:rsidRPr="0025389D" w:rsidRDefault="006A76CC" w:rsidP="00266BCF">
      <w:pPr>
        <w:pStyle w:val="paragraph"/>
        <w:spacing w:before="0" w:beforeAutospacing="0" w:after="0" w:afterAutospacing="0"/>
        <w:jc w:val="center"/>
        <w:textAlignment w:val="baseline"/>
        <w:rPr>
          <w:rFonts w:asciiTheme="minorHAnsi" w:hAnsiTheme="minorHAnsi" w:cstheme="minorHAnsi"/>
          <w:sz w:val="22"/>
          <w:szCs w:val="22"/>
        </w:rPr>
      </w:pPr>
      <w:r w:rsidRPr="0025389D">
        <w:rPr>
          <w:rStyle w:val="normaltextrun"/>
          <w:rFonts w:asciiTheme="minorHAnsi" w:hAnsiTheme="minorHAnsi" w:cstheme="minorHAnsi"/>
          <w:sz w:val="22"/>
          <w:szCs w:val="22"/>
        </w:rPr>
        <w:t>Search for Aberrant Responders</w:t>
      </w:r>
    </w:p>
    <w:p w:rsidR="00266BCF" w:rsidRPr="0025389D" w:rsidRDefault="00266BCF" w:rsidP="006A76CC">
      <w:pPr>
        <w:pStyle w:val="paragraph"/>
        <w:shd w:val="clear" w:color="auto" w:fill="FFFFFF"/>
        <w:spacing w:before="0" w:beforeAutospacing="0" w:after="0" w:afterAutospacing="0"/>
        <w:textAlignment w:val="baseline"/>
        <w:rPr>
          <w:rStyle w:val="normaltextrun"/>
          <w:rFonts w:asciiTheme="minorHAnsi" w:hAnsiTheme="minorHAnsi" w:cstheme="minorHAnsi"/>
          <w:sz w:val="22"/>
          <w:szCs w:val="22"/>
        </w:rPr>
      </w:pPr>
    </w:p>
    <w:p w:rsidR="006A76CC" w:rsidRPr="0025389D" w:rsidRDefault="006A76CC" w:rsidP="00266BCF">
      <w:pPr>
        <w:pStyle w:val="paragraph"/>
        <w:shd w:val="clear" w:color="auto" w:fill="FFFFFF"/>
        <w:spacing w:before="0" w:beforeAutospacing="0" w:after="0" w:afterAutospacing="0" w:line="480" w:lineRule="auto"/>
        <w:textAlignment w:val="baseline"/>
        <w:rPr>
          <w:rFonts w:asciiTheme="minorHAnsi" w:hAnsiTheme="minorHAnsi" w:cstheme="minorHAnsi"/>
          <w:sz w:val="22"/>
          <w:szCs w:val="22"/>
        </w:rPr>
      </w:pPr>
      <w:r w:rsidRPr="0025389D">
        <w:rPr>
          <w:rStyle w:val="normaltextrun"/>
          <w:rFonts w:asciiTheme="minorHAnsi" w:hAnsiTheme="minorHAnsi" w:cstheme="minorHAnsi"/>
          <w:sz w:val="22"/>
          <w:szCs w:val="22"/>
        </w:rPr>
        <w:t>To examine the data for possible aberrant responders, we followed procedures described in </w:t>
      </w:r>
      <w:proofErr w:type="spellStart"/>
      <w:r w:rsidRPr="0025389D">
        <w:rPr>
          <w:rStyle w:val="spellingerror"/>
          <w:rFonts w:asciiTheme="minorHAnsi" w:hAnsiTheme="minorHAnsi" w:cstheme="minorHAnsi"/>
          <w:sz w:val="22"/>
          <w:szCs w:val="22"/>
        </w:rPr>
        <w:t>Zijlstra</w:t>
      </w:r>
      <w:proofErr w:type="spellEnd"/>
      <w:r w:rsidRPr="0025389D">
        <w:rPr>
          <w:rStyle w:val="normaltextrun"/>
          <w:rFonts w:asciiTheme="minorHAnsi" w:hAnsiTheme="minorHAnsi" w:cstheme="minorHAnsi"/>
          <w:sz w:val="22"/>
          <w:szCs w:val="22"/>
        </w:rPr>
        <w:t>, van der Ark, and </w:t>
      </w:r>
      <w:proofErr w:type="spellStart"/>
      <w:r w:rsidRPr="0025389D">
        <w:rPr>
          <w:rStyle w:val="spellingerror"/>
          <w:rFonts w:asciiTheme="minorHAnsi" w:hAnsiTheme="minorHAnsi" w:cstheme="minorHAnsi"/>
          <w:sz w:val="22"/>
          <w:szCs w:val="22"/>
        </w:rPr>
        <w:t>Sijtsma</w:t>
      </w:r>
      <w:proofErr w:type="spellEnd"/>
      <w:r w:rsidRPr="0025389D">
        <w:rPr>
          <w:rStyle w:val="normaltextrun"/>
          <w:rFonts w:asciiTheme="minorHAnsi" w:hAnsiTheme="minorHAnsi" w:cstheme="minorHAnsi"/>
          <w:sz w:val="22"/>
          <w:szCs w:val="22"/>
        </w:rPr>
        <w:t> (2007). In particular, we used their </w:t>
      </w:r>
      <w:proofErr w:type="spellStart"/>
      <w:r w:rsidRPr="0025389D">
        <w:rPr>
          <w:rStyle w:val="spellingerror"/>
          <w:rFonts w:asciiTheme="minorHAnsi" w:hAnsiTheme="minorHAnsi" w:cstheme="minorHAnsi"/>
          <w:sz w:val="22"/>
          <w:szCs w:val="22"/>
        </w:rPr>
        <w:t>Mokken</w:t>
      </w:r>
      <w:proofErr w:type="spellEnd"/>
      <w:r w:rsidRPr="0025389D">
        <w:rPr>
          <w:rStyle w:val="normaltextrun"/>
          <w:rFonts w:asciiTheme="minorHAnsi" w:hAnsiTheme="minorHAnsi" w:cstheme="minorHAnsi"/>
          <w:sz w:val="22"/>
          <w:szCs w:val="22"/>
        </w:rPr>
        <w:t> scaling procedure, which is a non-parametric item response model. We analyzed each scale or subscale (for the MBI) individually using </w:t>
      </w:r>
      <w:proofErr w:type="spellStart"/>
      <w:r w:rsidRPr="0025389D">
        <w:rPr>
          <w:rStyle w:val="spellingerror"/>
          <w:rFonts w:asciiTheme="minorHAnsi" w:hAnsiTheme="minorHAnsi" w:cstheme="minorHAnsi"/>
          <w:sz w:val="22"/>
          <w:szCs w:val="22"/>
        </w:rPr>
        <w:t>Mokken</w:t>
      </w:r>
      <w:proofErr w:type="spellEnd"/>
      <w:r w:rsidRPr="0025389D">
        <w:rPr>
          <w:rStyle w:val="normaltextrun"/>
          <w:rFonts w:asciiTheme="minorHAnsi" w:hAnsiTheme="minorHAnsi" w:cstheme="minorHAnsi"/>
          <w:sz w:val="22"/>
          <w:szCs w:val="22"/>
        </w:rPr>
        <w:t> scaling (</w:t>
      </w:r>
      <w:proofErr w:type="spellStart"/>
      <w:r w:rsidRPr="0025389D">
        <w:rPr>
          <w:rStyle w:val="spellingerror"/>
          <w:rFonts w:asciiTheme="minorHAnsi" w:hAnsiTheme="minorHAnsi" w:cstheme="minorHAnsi"/>
          <w:sz w:val="22"/>
          <w:szCs w:val="22"/>
        </w:rPr>
        <w:t>Sijtsma</w:t>
      </w:r>
      <w:proofErr w:type="spellEnd"/>
      <w:r w:rsidRPr="0025389D">
        <w:rPr>
          <w:rStyle w:val="normaltextrun"/>
          <w:rFonts w:asciiTheme="minorHAnsi" w:hAnsiTheme="minorHAnsi" w:cstheme="minorHAnsi"/>
          <w:sz w:val="22"/>
          <w:szCs w:val="22"/>
        </w:rPr>
        <w:t> &amp; </w:t>
      </w:r>
      <w:proofErr w:type="spellStart"/>
      <w:r w:rsidRPr="0025389D">
        <w:rPr>
          <w:rStyle w:val="normaltextrun"/>
          <w:rFonts w:asciiTheme="minorHAnsi" w:hAnsiTheme="minorHAnsi" w:cstheme="minorHAnsi"/>
          <w:sz w:val="22"/>
          <w:szCs w:val="22"/>
        </w:rPr>
        <w:t>Molenaar</w:t>
      </w:r>
      <w:proofErr w:type="spellEnd"/>
      <w:r w:rsidRPr="0025389D">
        <w:rPr>
          <w:rStyle w:val="normaltextrun"/>
          <w:rFonts w:asciiTheme="minorHAnsi" w:hAnsiTheme="minorHAnsi" w:cstheme="minorHAnsi"/>
          <w:sz w:val="22"/>
          <w:szCs w:val="22"/>
        </w:rPr>
        <w:t>, 2002) and saved each person's </w:t>
      </w:r>
      <w:proofErr w:type="spellStart"/>
      <w:r w:rsidRPr="0025389D">
        <w:rPr>
          <w:rStyle w:val="spellingerror"/>
          <w:rFonts w:asciiTheme="minorHAnsi" w:hAnsiTheme="minorHAnsi" w:cstheme="minorHAnsi"/>
          <w:sz w:val="22"/>
          <w:szCs w:val="22"/>
        </w:rPr>
        <w:t>Loevinger's</w:t>
      </w:r>
      <w:proofErr w:type="spellEnd"/>
      <w:r w:rsidRPr="0025389D">
        <w:rPr>
          <w:rStyle w:val="normaltextrun"/>
          <w:rFonts w:asciiTheme="minorHAnsi" w:hAnsiTheme="minorHAnsi" w:cstheme="minorHAnsi"/>
          <w:sz w:val="22"/>
          <w:szCs w:val="22"/>
        </w:rPr>
        <w:t> H coefficient, </w:t>
      </w:r>
      <w:proofErr w:type="spellStart"/>
      <w:r w:rsidRPr="0025389D">
        <w:rPr>
          <w:rStyle w:val="spellingerror"/>
          <w:rFonts w:asciiTheme="minorHAnsi" w:hAnsiTheme="minorHAnsi" w:cstheme="minorHAnsi"/>
          <w:sz w:val="22"/>
          <w:szCs w:val="22"/>
        </w:rPr>
        <w:t>Hn</w:t>
      </w:r>
      <w:proofErr w:type="spellEnd"/>
      <w:r w:rsidRPr="0025389D">
        <w:rPr>
          <w:rStyle w:val="normaltextrun"/>
          <w:rFonts w:asciiTheme="minorHAnsi" w:hAnsiTheme="minorHAnsi" w:cstheme="minorHAnsi"/>
          <w:sz w:val="22"/>
          <w:szCs w:val="22"/>
        </w:rPr>
        <w:t>, which is based on the number of Guttman errors. For these purposes alone, we also considered three additional scales that were not included in the analyses in the paper. </w:t>
      </w:r>
      <w:proofErr w:type="spellStart"/>
      <w:r w:rsidRPr="0025389D">
        <w:rPr>
          <w:rStyle w:val="spellingerror"/>
          <w:rFonts w:asciiTheme="minorHAnsi" w:hAnsiTheme="minorHAnsi" w:cstheme="minorHAnsi"/>
          <w:sz w:val="22"/>
          <w:szCs w:val="22"/>
        </w:rPr>
        <w:t>Hn</w:t>
      </w:r>
      <w:proofErr w:type="spellEnd"/>
      <w:r w:rsidRPr="0025389D">
        <w:rPr>
          <w:rStyle w:val="normaltextrun"/>
          <w:rFonts w:asciiTheme="minorHAnsi" w:hAnsiTheme="minorHAnsi" w:cstheme="minorHAnsi"/>
          <w:sz w:val="22"/>
          <w:szCs w:val="22"/>
        </w:rPr>
        <w:t> reflects the consistency of each respondent's complete response pattern across the relevant items. Nonparametric IRT is a very useful, relatively model-free method of assessing person fit with regard to each scale or subscale. No scale or subscale had an overall </w:t>
      </w:r>
      <w:proofErr w:type="spellStart"/>
      <w:r w:rsidRPr="0025389D">
        <w:rPr>
          <w:rStyle w:val="spellingerror"/>
          <w:rFonts w:asciiTheme="minorHAnsi" w:hAnsiTheme="minorHAnsi" w:cstheme="minorHAnsi"/>
          <w:sz w:val="22"/>
          <w:szCs w:val="22"/>
        </w:rPr>
        <w:t>Loevinger's</w:t>
      </w:r>
      <w:proofErr w:type="spellEnd"/>
      <w:r w:rsidRPr="0025389D">
        <w:rPr>
          <w:rStyle w:val="normaltextrun"/>
          <w:rFonts w:asciiTheme="minorHAnsi" w:hAnsiTheme="minorHAnsi" w:cstheme="minorHAnsi"/>
          <w:sz w:val="22"/>
          <w:szCs w:val="22"/>
        </w:rPr>
        <w:t> H under the benchmark for scalability of .3, with the weakest subscale being the MBI's Depersonalization scale with a value of .36. This was the shortest subscale. </w:t>
      </w:r>
      <w:r w:rsidRPr="0025389D">
        <w:rPr>
          <w:rStyle w:val="eop"/>
          <w:rFonts w:asciiTheme="minorHAnsi" w:hAnsiTheme="minorHAnsi" w:cstheme="minorHAnsi"/>
          <w:sz w:val="22"/>
          <w:szCs w:val="22"/>
        </w:rPr>
        <w:t> </w:t>
      </w:r>
    </w:p>
    <w:p w:rsidR="006A76CC" w:rsidRPr="0025389D" w:rsidRDefault="006A76CC" w:rsidP="00266BCF">
      <w:pPr>
        <w:pStyle w:val="paragraph"/>
        <w:shd w:val="clear" w:color="auto" w:fill="FFFFFF"/>
        <w:spacing w:before="0" w:beforeAutospacing="0" w:after="0" w:afterAutospacing="0" w:line="480" w:lineRule="auto"/>
        <w:textAlignment w:val="baseline"/>
        <w:rPr>
          <w:rFonts w:asciiTheme="minorHAnsi" w:hAnsiTheme="minorHAnsi" w:cstheme="minorHAnsi"/>
          <w:sz w:val="22"/>
          <w:szCs w:val="22"/>
        </w:rPr>
      </w:pPr>
      <w:r w:rsidRPr="0025389D">
        <w:rPr>
          <w:rStyle w:val="normaltextrun"/>
          <w:rFonts w:asciiTheme="minorHAnsi" w:hAnsiTheme="minorHAnsi" w:cstheme="minorHAnsi"/>
          <w:sz w:val="22"/>
          <w:szCs w:val="22"/>
        </w:rPr>
        <w:t>To identify aberrant </w:t>
      </w:r>
      <w:r w:rsidRPr="0025389D">
        <w:rPr>
          <w:rStyle w:val="contextualspellingandgrammarerror"/>
          <w:rFonts w:asciiTheme="minorHAnsi" w:hAnsiTheme="minorHAnsi" w:cstheme="minorHAnsi"/>
          <w:sz w:val="22"/>
          <w:szCs w:val="22"/>
        </w:rPr>
        <w:t>responses</w:t>
      </w:r>
      <w:r w:rsidRPr="0025389D">
        <w:rPr>
          <w:rStyle w:val="normaltextrun"/>
          <w:rFonts w:asciiTheme="minorHAnsi" w:hAnsiTheme="minorHAnsi" w:cstheme="minorHAnsi"/>
          <w:sz w:val="22"/>
          <w:szCs w:val="22"/>
        </w:rPr>
        <w:t> we examined the pattern of consistency of each person's </w:t>
      </w:r>
      <w:proofErr w:type="spellStart"/>
      <w:proofErr w:type="gramStart"/>
      <w:r w:rsidRPr="0025389D">
        <w:rPr>
          <w:rStyle w:val="spellingerror"/>
          <w:rFonts w:asciiTheme="minorHAnsi" w:hAnsiTheme="minorHAnsi" w:cstheme="minorHAnsi"/>
          <w:sz w:val="22"/>
          <w:szCs w:val="22"/>
        </w:rPr>
        <w:t>Hn</w:t>
      </w:r>
      <w:proofErr w:type="spellEnd"/>
      <w:proofErr w:type="gramEnd"/>
      <w:r w:rsidRPr="0025389D">
        <w:rPr>
          <w:rStyle w:val="normaltextrun"/>
          <w:rFonts w:asciiTheme="minorHAnsi" w:hAnsiTheme="minorHAnsi" w:cstheme="minorHAnsi"/>
          <w:sz w:val="22"/>
          <w:szCs w:val="22"/>
        </w:rPr>
        <w:t> by examining the correlation among these scores over each scale or subscale. Due to the fact that the </w:t>
      </w:r>
      <w:proofErr w:type="spellStart"/>
      <w:proofErr w:type="gramStart"/>
      <w:r w:rsidRPr="0025389D">
        <w:rPr>
          <w:rStyle w:val="spellingerror"/>
          <w:rFonts w:asciiTheme="minorHAnsi" w:hAnsiTheme="minorHAnsi" w:cstheme="minorHAnsi"/>
          <w:sz w:val="22"/>
          <w:szCs w:val="22"/>
        </w:rPr>
        <w:t>Hn</w:t>
      </w:r>
      <w:proofErr w:type="spellEnd"/>
      <w:proofErr w:type="gramEnd"/>
      <w:r w:rsidRPr="0025389D">
        <w:rPr>
          <w:rStyle w:val="normaltextrun"/>
          <w:rFonts w:asciiTheme="minorHAnsi" w:hAnsiTheme="minorHAnsi" w:cstheme="minorHAnsi"/>
          <w:sz w:val="22"/>
          <w:szCs w:val="22"/>
        </w:rPr>
        <w:t> statistic is skewed, we used Spearman correlations. None of these correlations was larger than .4 in magnitude and there was no notable pattern among them. In addition, we examined respondents with relatively large magnitude </w:t>
      </w:r>
      <w:proofErr w:type="spellStart"/>
      <w:r w:rsidRPr="0025389D">
        <w:rPr>
          <w:rStyle w:val="spellingerror"/>
          <w:rFonts w:asciiTheme="minorHAnsi" w:hAnsiTheme="minorHAnsi" w:cstheme="minorHAnsi"/>
          <w:sz w:val="22"/>
          <w:szCs w:val="22"/>
        </w:rPr>
        <w:t>Hn</w:t>
      </w:r>
      <w:proofErr w:type="spellEnd"/>
      <w:r w:rsidRPr="0025389D">
        <w:rPr>
          <w:rStyle w:val="normaltextrun"/>
          <w:rFonts w:asciiTheme="minorHAnsi" w:hAnsiTheme="minorHAnsi" w:cstheme="minorHAnsi"/>
          <w:sz w:val="22"/>
          <w:szCs w:val="22"/>
        </w:rPr>
        <w:t> statistics to determine if they had clear signs of inattentive or mischievous responses such as "straight lining" across reverse scored items---a few reverse scored items appear in the CESD, and the MBI Personal Accomplishment subscale is effectively reverse-scored with respect to the rest of the MBI---or zig zagging between high and low responses. However, no such patterns emerged. There were participants with unusual response profiles but they were ones that, while not consistent with a unidimensional scale, were at least plausible substantively. Therefore, we decided to retain all participants. </w:t>
      </w:r>
      <w:r w:rsidRPr="0025389D">
        <w:rPr>
          <w:rStyle w:val="eop"/>
          <w:rFonts w:asciiTheme="minorHAnsi" w:hAnsiTheme="minorHAnsi" w:cstheme="minorHAnsi"/>
          <w:sz w:val="22"/>
          <w:szCs w:val="22"/>
        </w:rPr>
        <w:t> </w:t>
      </w:r>
    </w:p>
    <w:p w:rsidR="006A76CC" w:rsidRPr="0025389D" w:rsidRDefault="006A76CC" w:rsidP="00266BCF">
      <w:pPr>
        <w:pStyle w:val="paragraph"/>
        <w:shd w:val="clear" w:color="auto" w:fill="FFFFFF"/>
        <w:spacing w:before="0" w:beforeAutospacing="0" w:after="0" w:afterAutospacing="0" w:line="480" w:lineRule="auto"/>
        <w:textAlignment w:val="baseline"/>
        <w:rPr>
          <w:rFonts w:asciiTheme="minorHAnsi" w:hAnsiTheme="minorHAnsi" w:cstheme="minorHAnsi"/>
          <w:sz w:val="22"/>
          <w:szCs w:val="22"/>
        </w:rPr>
      </w:pPr>
      <w:r w:rsidRPr="0025389D">
        <w:rPr>
          <w:rStyle w:val="normaltextrun"/>
          <w:rFonts w:asciiTheme="minorHAnsi" w:hAnsiTheme="minorHAnsi" w:cstheme="minorHAnsi"/>
          <w:sz w:val="22"/>
          <w:szCs w:val="22"/>
        </w:rPr>
        <w:t>  </w:t>
      </w:r>
      <w:r w:rsidRPr="0025389D">
        <w:rPr>
          <w:rStyle w:val="eop"/>
          <w:rFonts w:asciiTheme="minorHAnsi" w:hAnsiTheme="minorHAnsi" w:cstheme="minorHAnsi"/>
          <w:sz w:val="22"/>
          <w:szCs w:val="22"/>
        </w:rPr>
        <w:t> </w:t>
      </w:r>
    </w:p>
    <w:p w:rsidR="009021F3" w:rsidRPr="0025389D" w:rsidRDefault="009021F3" w:rsidP="009021F3">
      <w:pPr>
        <w:pStyle w:val="paragraph"/>
        <w:shd w:val="clear" w:color="auto" w:fill="FFFFFF"/>
        <w:spacing w:before="0" w:beforeAutospacing="0" w:after="0" w:afterAutospacing="0" w:line="480" w:lineRule="auto"/>
        <w:jc w:val="center"/>
        <w:textAlignment w:val="baseline"/>
        <w:rPr>
          <w:rStyle w:val="spellingerror"/>
          <w:rFonts w:asciiTheme="minorHAnsi" w:hAnsiTheme="minorHAnsi" w:cstheme="minorHAnsi"/>
          <w:sz w:val="22"/>
          <w:szCs w:val="22"/>
        </w:rPr>
      </w:pPr>
      <w:r w:rsidRPr="0025389D">
        <w:rPr>
          <w:rStyle w:val="spellingerror"/>
          <w:rFonts w:asciiTheme="minorHAnsi" w:hAnsiTheme="minorHAnsi" w:cstheme="minorHAnsi"/>
          <w:sz w:val="22"/>
          <w:szCs w:val="22"/>
        </w:rPr>
        <w:lastRenderedPageBreak/>
        <w:t>References</w:t>
      </w:r>
    </w:p>
    <w:p w:rsidR="006A76CC" w:rsidRPr="0025389D" w:rsidRDefault="006A76CC" w:rsidP="009021F3">
      <w:pPr>
        <w:pStyle w:val="paragraph"/>
        <w:shd w:val="clear" w:color="auto" w:fill="FFFFFF"/>
        <w:spacing w:before="0" w:beforeAutospacing="0" w:after="0" w:afterAutospacing="0" w:line="480" w:lineRule="auto"/>
        <w:ind w:left="720" w:hanging="720"/>
        <w:textAlignment w:val="baseline"/>
        <w:rPr>
          <w:rFonts w:asciiTheme="minorHAnsi" w:hAnsiTheme="minorHAnsi" w:cstheme="minorHAnsi"/>
          <w:sz w:val="22"/>
          <w:szCs w:val="22"/>
        </w:rPr>
      </w:pPr>
      <w:proofErr w:type="spellStart"/>
      <w:r w:rsidRPr="0025389D">
        <w:rPr>
          <w:rStyle w:val="spellingerror"/>
          <w:rFonts w:asciiTheme="minorHAnsi" w:hAnsiTheme="minorHAnsi" w:cstheme="minorHAnsi"/>
          <w:sz w:val="22"/>
          <w:szCs w:val="22"/>
        </w:rPr>
        <w:t>Sijtsma</w:t>
      </w:r>
      <w:proofErr w:type="spellEnd"/>
      <w:r w:rsidRPr="0025389D">
        <w:rPr>
          <w:rStyle w:val="normaltextrun"/>
          <w:rFonts w:asciiTheme="minorHAnsi" w:hAnsiTheme="minorHAnsi" w:cstheme="minorHAnsi"/>
          <w:sz w:val="22"/>
          <w:szCs w:val="22"/>
        </w:rPr>
        <w:t>, K. &amp; </w:t>
      </w:r>
      <w:proofErr w:type="spellStart"/>
      <w:r w:rsidRPr="0025389D">
        <w:rPr>
          <w:rStyle w:val="normaltextrun"/>
          <w:rFonts w:asciiTheme="minorHAnsi" w:hAnsiTheme="minorHAnsi" w:cstheme="minorHAnsi"/>
          <w:sz w:val="22"/>
          <w:szCs w:val="22"/>
        </w:rPr>
        <w:t>Molenaar</w:t>
      </w:r>
      <w:proofErr w:type="spellEnd"/>
      <w:r w:rsidRPr="0025389D">
        <w:rPr>
          <w:rStyle w:val="normaltextrun"/>
          <w:rFonts w:asciiTheme="minorHAnsi" w:hAnsiTheme="minorHAnsi" w:cstheme="minorHAnsi"/>
          <w:sz w:val="22"/>
          <w:szCs w:val="22"/>
        </w:rPr>
        <w:t>, I. W. (2002).</w:t>
      </w:r>
      <w:r w:rsidRPr="0025389D">
        <w:rPr>
          <w:rStyle w:val="normaltextrun"/>
          <w:rFonts w:asciiTheme="minorHAnsi" w:hAnsiTheme="minorHAnsi" w:cstheme="minorHAnsi"/>
          <w:i/>
          <w:iCs/>
          <w:sz w:val="22"/>
          <w:szCs w:val="22"/>
        </w:rPr>
        <w:t> Introduction to nonparametric item response theory</w:t>
      </w:r>
      <w:r w:rsidRPr="0025389D">
        <w:rPr>
          <w:rStyle w:val="normaltextrun"/>
          <w:rFonts w:asciiTheme="minorHAnsi" w:hAnsiTheme="minorHAnsi" w:cstheme="minorHAnsi"/>
          <w:sz w:val="22"/>
          <w:szCs w:val="22"/>
        </w:rPr>
        <w:t>. Thousand Oaks, CA: Sage. </w:t>
      </w:r>
      <w:r w:rsidRPr="0025389D">
        <w:rPr>
          <w:rStyle w:val="eop"/>
          <w:rFonts w:asciiTheme="minorHAnsi" w:hAnsiTheme="minorHAnsi" w:cstheme="minorHAnsi"/>
          <w:sz w:val="22"/>
          <w:szCs w:val="22"/>
        </w:rPr>
        <w:t> </w:t>
      </w:r>
    </w:p>
    <w:p w:rsidR="006A76CC" w:rsidRPr="0025389D" w:rsidRDefault="006A76CC" w:rsidP="009021F3">
      <w:pPr>
        <w:pStyle w:val="paragraph"/>
        <w:spacing w:before="0" w:beforeAutospacing="0" w:after="0" w:afterAutospacing="0" w:line="480" w:lineRule="auto"/>
        <w:ind w:left="720" w:hanging="720"/>
        <w:textAlignment w:val="baseline"/>
        <w:rPr>
          <w:rFonts w:asciiTheme="minorHAnsi" w:hAnsiTheme="minorHAnsi" w:cstheme="minorHAnsi"/>
          <w:sz w:val="22"/>
          <w:szCs w:val="22"/>
        </w:rPr>
      </w:pPr>
      <w:proofErr w:type="spellStart"/>
      <w:r w:rsidRPr="0025389D">
        <w:rPr>
          <w:rStyle w:val="spellingerror"/>
          <w:rFonts w:asciiTheme="minorHAnsi" w:hAnsiTheme="minorHAnsi" w:cstheme="minorHAnsi"/>
          <w:sz w:val="22"/>
          <w:szCs w:val="22"/>
        </w:rPr>
        <w:t>Zijlstra</w:t>
      </w:r>
      <w:proofErr w:type="spellEnd"/>
      <w:r w:rsidRPr="0025389D">
        <w:rPr>
          <w:rStyle w:val="normaltextrun"/>
          <w:rFonts w:asciiTheme="minorHAnsi" w:hAnsiTheme="minorHAnsi" w:cstheme="minorHAnsi"/>
          <w:sz w:val="22"/>
          <w:szCs w:val="22"/>
        </w:rPr>
        <w:t>, W. P., van der Ark A. L., &amp; </w:t>
      </w:r>
      <w:proofErr w:type="spellStart"/>
      <w:r w:rsidRPr="0025389D">
        <w:rPr>
          <w:rStyle w:val="spellingerror"/>
          <w:rFonts w:asciiTheme="minorHAnsi" w:hAnsiTheme="minorHAnsi" w:cstheme="minorHAnsi"/>
          <w:sz w:val="22"/>
          <w:szCs w:val="22"/>
        </w:rPr>
        <w:t>Sijtsma</w:t>
      </w:r>
      <w:proofErr w:type="spellEnd"/>
      <w:r w:rsidRPr="0025389D">
        <w:rPr>
          <w:rStyle w:val="normaltextrun"/>
          <w:rFonts w:asciiTheme="minorHAnsi" w:hAnsiTheme="minorHAnsi" w:cstheme="minorHAnsi"/>
          <w:sz w:val="22"/>
          <w:szCs w:val="22"/>
        </w:rPr>
        <w:t>, K. (2007). Outlier detection in test and questionnaire data. </w:t>
      </w:r>
      <w:r w:rsidRPr="0025389D">
        <w:rPr>
          <w:rStyle w:val="normaltextrun"/>
          <w:rFonts w:asciiTheme="minorHAnsi" w:hAnsiTheme="minorHAnsi" w:cstheme="minorHAnsi"/>
          <w:i/>
          <w:iCs/>
          <w:sz w:val="22"/>
          <w:szCs w:val="22"/>
        </w:rPr>
        <w:t>Multivariate Behavioral Research</w:t>
      </w:r>
      <w:r w:rsidRPr="0025389D">
        <w:rPr>
          <w:rStyle w:val="normaltextrun"/>
          <w:rFonts w:asciiTheme="minorHAnsi" w:hAnsiTheme="minorHAnsi" w:cstheme="minorHAnsi"/>
          <w:sz w:val="22"/>
          <w:szCs w:val="22"/>
        </w:rPr>
        <w:t>, 42, 531-555. doi:</w:t>
      </w:r>
      <w:hyperlink r:id="rId7" w:tgtFrame="_blank" w:history="1">
        <w:r w:rsidRPr="0025389D">
          <w:rPr>
            <w:rStyle w:val="normaltextrun"/>
            <w:rFonts w:asciiTheme="minorHAnsi" w:hAnsiTheme="minorHAnsi" w:cstheme="minorHAnsi"/>
            <w:color w:val="0000FF"/>
            <w:sz w:val="22"/>
            <w:szCs w:val="22"/>
            <w:u w:val="single"/>
          </w:rPr>
          <w:t>10.1080/00273170701384340</w:t>
        </w:r>
      </w:hyperlink>
      <w:r w:rsidRPr="0025389D">
        <w:rPr>
          <w:rStyle w:val="normaltextrun"/>
          <w:rFonts w:asciiTheme="minorHAnsi" w:hAnsiTheme="minorHAnsi" w:cstheme="minorHAnsi"/>
          <w:sz w:val="22"/>
          <w:szCs w:val="22"/>
        </w:rPr>
        <w:t> </w:t>
      </w:r>
      <w:r w:rsidRPr="0025389D">
        <w:rPr>
          <w:rStyle w:val="eop"/>
          <w:rFonts w:asciiTheme="minorHAnsi" w:hAnsiTheme="minorHAnsi" w:cstheme="minorHAnsi"/>
          <w:sz w:val="22"/>
          <w:szCs w:val="22"/>
        </w:rPr>
        <w:t> </w:t>
      </w:r>
    </w:p>
    <w:p w:rsidR="006A76CC" w:rsidRPr="0025389D" w:rsidRDefault="006A76CC" w:rsidP="006A76CC">
      <w:pPr>
        <w:pStyle w:val="paragraph"/>
        <w:spacing w:before="0" w:beforeAutospacing="0" w:after="0" w:afterAutospacing="0"/>
        <w:textAlignment w:val="baseline"/>
        <w:rPr>
          <w:rFonts w:asciiTheme="minorHAnsi" w:hAnsiTheme="minorHAnsi" w:cstheme="minorHAnsi"/>
          <w:sz w:val="22"/>
          <w:szCs w:val="22"/>
        </w:rPr>
      </w:pPr>
      <w:r w:rsidRPr="0025389D">
        <w:rPr>
          <w:rStyle w:val="eop"/>
          <w:rFonts w:asciiTheme="minorHAnsi" w:hAnsiTheme="minorHAnsi" w:cstheme="minorHAnsi"/>
          <w:sz w:val="22"/>
          <w:szCs w:val="22"/>
        </w:rPr>
        <w:t> </w:t>
      </w:r>
    </w:p>
    <w:p w:rsidR="007A6A67" w:rsidRPr="0025389D" w:rsidRDefault="007A6A67">
      <w:pPr>
        <w:rPr>
          <w:rFonts w:cstheme="minorHAnsi"/>
        </w:rPr>
      </w:pPr>
    </w:p>
    <w:sectPr w:rsidR="007A6A67" w:rsidRPr="0025389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33B" w:rsidRDefault="001A033B" w:rsidP="00266BCF">
      <w:pPr>
        <w:spacing w:after="0" w:line="240" w:lineRule="auto"/>
      </w:pPr>
      <w:r>
        <w:separator/>
      </w:r>
    </w:p>
  </w:endnote>
  <w:endnote w:type="continuationSeparator" w:id="0">
    <w:p w:rsidR="001A033B" w:rsidRDefault="001A033B" w:rsidP="00266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BCF" w:rsidRDefault="00266BCF" w:rsidP="00266BCF">
    <w:pPr>
      <w:pStyle w:val="Footer"/>
      <w:jc w:val="center"/>
    </w:pPr>
    <w:r>
      <w:fldChar w:fldCharType="begin"/>
    </w:r>
    <w:r>
      <w:instrText xml:space="preserve"> PAGE   \* MERGEFORMAT </w:instrText>
    </w:r>
    <w:r>
      <w:fldChar w:fldCharType="separate"/>
    </w:r>
    <w:r w:rsidR="009F2F13">
      <w:rPr>
        <w:noProof/>
      </w:rPr>
      <w:t>1</w:t>
    </w:r>
    <w:r>
      <w:rPr>
        <w:noProof/>
      </w:rPr>
      <w:fldChar w:fldCharType="end"/>
    </w:r>
  </w:p>
  <w:p w:rsidR="00266BCF" w:rsidRDefault="00266B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33B" w:rsidRDefault="001A033B" w:rsidP="00266BCF">
      <w:pPr>
        <w:spacing w:after="0" w:line="240" w:lineRule="auto"/>
      </w:pPr>
      <w:r>
        <w:separator/>
      </w:r>
    </w:p>
  </w:footnote>
  <w:footnote w:type="continuationSeparator" w:id="0">
    <w:p w:rsidR="001A033B" w:rsidRDefault="001A033B" w:rsidP="00266B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BCF" w:rsidRDefault="00266BCF" w:rsidP="00266BCF">
    <w:pPr>
      <w:pStyle w:val="Header"/>
    </w:pPr>
    <w:r w:rsidRPr="009D3A86">
      <w:rPr>
        <w:sz w:val="24"/>
        <w:szCs w:val="24"/>
      </w:rPr>
      <w:t>RUNNING HEAD: BURNOUT-DEPRESSION</w:t>
    </w:r>
    <w:r>
      <w:rPr>
        <w:sz w:val="24"/>
        <w:szCs w:val="24"/>
      </w:rPr>
      <w:t>-ANXIETY SCALES</w:t>
    </w:r>
    <w:r>
      <w:t xml:space="preserve">                    Supplement</w:t>
    </w:r>
    <w:r w:rsidR="00251D06">
      <w:t>al Materials</w:t>
    </w:r>
    <w:r>
      <w:t xml:space="preserve"> 1</w:t>
    </w:r>
  </w:p>
  <w:p w:rsidR="00266BCF" w:rsidRDefault="00266BCF">
    <w:pPr>
      <w:pStyle w:val="Header"/>
    </w:pPr>
  </w:p>
  <w:p w:rsidR="00266BCF" w:rsidRDefault="00266B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A76CC"/>
    <w:rsid w:val="001A033B"/>
    <w:rsid w:val="00230CA8"/>
    <w:rsid w:val="00251D06"/>
    <w:rsid w:val="0025389D"/>
    <w:rsid w:val="002566B5"/>
    <w:rsid w:val="00266BCF"/>
    <w:rsid w:val="006A76CC"/>
    <w:rsid w:val="007A6A67"/>
    <w:rsid w:val="00803C87"/>
    <w:rsid w:val="009021F3"/>
    <w:rsid w:val="009F2F13"/>
    <w:rsid w:val="00DC65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6A76CC"/>
    <w:pPr>
      <w:spacing w:before="100" w:beforeAutospacing="1" w:after="100" w:afterAutospacing="1" w:line="240" w:lineRule="auto"/>
    </w:pPr>
    <w:rPr>
      <w:rFonts w:ascii="Times New Roman" w:eastAsia="Times New Roman" w:hAnsi="Times New Roman" w:cs="Times New Roman"/>
      <w:sz w:val="24"/>
      <w:szCs w:val="24"/>
      <w:lang w:bidi="he-IL"/>
    </w:rPr>
  </w:style>
  <w:style w:type="character" w:customStyle="1" w:styleId="normaltextrun">
    <w:name w:val="normaltextrun"/>
    <w:basedOn w:val="DefaultParagraphFont"/>
    <w:rsid w:val="006A76CC"/>
  </w:style>
  <w:style w:type="character" w:customStyle="1" w:styleId="eop">
    <w:name w:val="eop"/>
    <w:basedOn w:val="DefaultParagraphFont"/>
    <w:rsid w:val="006A76CC"/>
  </w:style>
  <w:style w:type="character" w:customStyle="1" w:styleId="spellingerror">
    <w:name w:val="spellingerror"/>
    <w:basedOn w:val="DefaultParagraphFont"/>
    <w:rsid w:val="006A76CC"/>
  </w:style>
  <w:style w:type="character" w:customStyle="1" w:styleId="contextualspellingandgrammarerror">
    <w:name w:val="contextualspellingandgrammarerror"/>
    <w:basedOn w:val="DefaultParagraphFont"/>
    <w:rsid w:val="006A76CC"/>
  </w:style>
  <w:style w:type="paragraph" w:styleId="Header">
    <w:name w:val="header"/>
    <w:basedOn w:val="Normal"/>
    <w:link w:val="HeaderChar"/>
    <w:uiPriority w:val="99"/>
    <w:unhideWhenUsed/>
    <w:rsid w:val="00266B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6BCF"/>
  </w:style>
  <w:style w:type="paragraph" w:styleId="Footer">
    <w:name w:val="footer"/>
    <w:basedOn w:val="Normal"/>
    <w:link w:val="FooterChar"/>
    <w:uiPriority w:val="99"/>
    <w:unhideWhenUsed/>
    <w:rsid w:val="00266B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6B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8513640">
      <w:bodyDiv w:val="1"/>
      <w:marLeft w:val="0"/>
      <w:marRight w:val="0"/>
      <w:marTop w:val="0"/>
      <w:marBottom w:val="0"/>
      <w:divBdr>
        <w:top w:val="none" w:sz="0" w:space="0" w:color="auto"/>
        <w:left w:val="none" w:sz="0" w:space="0" w:color="auto"/>
        <w:bottom w:val="none" w:sz="0" w:space="0" w:color="auto"/>
        <w:right w:val="none" w:sz="0" w:space="0" w:color="auto"/>
      </w:divBdr>
      <w:divsChild>
        <w:div w:id="1202282608">
          <w:marLeft w:val="0"/>
          <w:marRight w:val="0"/>
          <w:marTop w:val="0"/>
          <w:marBottom w:val="0"/>
          <w:divBdr>
            <w:top w:val="none" w:sz="0" w:space="0" w:color="auto"/>
            <w:left w:val="none" w:sz="0" w:space="0" w:color="auto"/>
            <w:bottom w:val="none" w:sz="0" w:space="0" w:color="auto"/>
            <w:right w:val="none" w:sz="0" w:space="0" w:color="auto"/>
          </w:divBdr>
        </w:div>
        <w:div w:id="1108158105">
          <w:marLeft w:val="0"/>
          <w:marRight w:val="0"/>
          <w:marTop w:val="0"/>
          <w:marBottom w:val="0"/>
          <w:divBdr>
            <w:top w:val="none" w:sz="0" w:space="0" w:color="auto"/>
            <w:left w:val="none" w:sz="0" w:space="0" w:color="auto"/>
            <w:bottom w:val="none" w:sz="0" w:space="0" w:color="auto"/>
            <w:right w:val="none" w:sz="0" w:space="0" w:color="auto"/>
          </w:divBdr>
        </w:div>
        <w:div w:id="1119421720">
          <w:marLeft w:val="0"/>
          <w:marRight w:val="0"/>
          <w:marTop w:val="0"/>
          <w:marBottom w:val="0"/>
          <w:divBdr>
            <w:top w:val="none" w:sz="0" w:space="0" w:color="auto"/>
            <w:left w:val="none" w:sz="0" w:space="0" w:color="auto"/>
            <w:bottom w:val="none" w:sz="0" w:space="0" w:color="auto"/>
            <w:right w:val="none" w:sz="0" w:space="0" w:color="auto"/>
          </w:divBdr>
        </w:div>
        <w:div w:id="27803932">
          <w:marLeft w:val="0"/>
          <w:marRight w:val="0"/>
          <w:marTop w:val="0"/>
          <w:marBottom w:val="0"/>
          <w:divBdr>
            <w:top w:val="none" w:sz="0" w:space="0" w:color="auto"/>
            <w:left w:val="none" w:sz="0" w:space="0" w:color="auto"/>
            <w:bottom w:val="none" w:sz="0" w:space="0" w:color="auto"/>
            <w:right w:val="none" w:sz="0" w:space="0" w:color="auto"/>
          </w:divBdr>
        </w:div>
        <w:div w:id="1843280188">
          <w:marLeft w:val="0"/>
          <w:marRight w:val="0"/>
          <w:marTop w:val="0"/>
          <w:marBottom w:val="0"/>
          <w:divBdr>
            <w:top w:val="none" w:sz="0" w:space="0" w:color="auto"/>
            <w:left w:val="none" w:sz="0" w:space="0" w:color="auto"/>
            <w:bottom w:val="none" w:sz="0" w:space="0" w:color="auto"/>
            <w:right w:val="none" w:sz="0" w:space="0" w:color="auto"/>
          </w:divBdr>
        </w:div>
        <w:div w:id="1483347438">
          <w:marLeft w:val="0"/>
          <w:marRight w:val="0"/>
          <w:marTop w:val="0"/>
          <w:marBottom w:val="0"/>
          <w:divBdr>
            <w:top w:val="none" w:sz="0" w:space="0" w:color="auto"/>
            <w:left w:val="none" w:sz="0" w:space="0" w:color="auto"/>
            <w:bottom w:val="none" w:sz="0" w:space="0" w:color="auto"/>
            <w:right w:val="none" w:sz="0" w:space="0" w:color="auto"/>
          </w:divBdr>
        </w:div>
        <w:div w:id="1294557548">
          <w:marLeft w:val="0"/>
          <w:marRight w:val="0"/>
          <w:marTop w:val="0"/>
          <w:marBottom w:val="0"/>
          <w:divBdr>
            <w:top w:val="none" w:sz="0" w:space="0" w:color="auto"/>
            <w:left w:val="none" w:sz="0" w:space="0" w:color="auto"/>
            <w:bottom w:val="none" w:sz="0" w:space="0" w:color="auto"/>
            <w:right w:val="none" w:sz="0" w:space="0" w:color="auto"/>
          </w:divBdr>
        </w:div>
        <w:div w:id="283970938">
          <w:marLeft w:val="0"/>
          <w:marRight w:val="0"/>
          <w:marTop w:val="0"/>
          <w:marBottom w:val="0"/>
          <w:divBdr>
            <w:top w:val="none" w:sz="0" w:space="0" w:color="auto"/>
            <w:left w:val="none" w:sz="0" w:space="0" w:color="auto"/>
            <w:bottom w:val="none" w:sz="0" w:space="0" w:color="auto"/>
            <w:right w:val="none" w:sz="0" w:space="0" w:color="auto"/>
          </w:divBdr>
        </w:div>
        <w:div w:id="470757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urldefense.proofpoint.com/v2/url?u=https-3A__doi.org_10.1080_00273170701384340&amp;d=DwMFaQ&amp;c=4NmamNZG3KTnUCoC6InoLJ6KV1tbVKrkZXHRwtIMGmo&amp;r=14t9iJwEPcrEEHc9ekxFHOU63QBwhvHvfElmhYMtsc0&amp;m=nxkxCNmA7pwyGu8ro3RoVZa_OWTI_y0nQcZFkpCmBlc&amp;s=PelJAn5-OeVNWC1705B75HOuiWe9zUR5Rq-1e3OhJKM&amp;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Irvin Schonfeld</dc:creator>
  <cp:lastModifiedBy>Angela</cp:lastModifiedBy>
  <cp:revision>2</cp:revision>
  <dcterms:created xsi:type="dcterms:W3CDTF">2019-03-26T19:24:00Z</dcterms:created>
  <dcterms:modified xsi:type="dcterms:W3CDTF">2019-03-26T19:24:00Z</dcterms:modified>
</cp:coreProperties>
</file>