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F021" w14:textId="39A23017" w:rsidR="00254EAD" w:rsidRDefault="00254EAD" w:rsidP="009E6F30">
      <w:pPr>
        <w:jc w:val="center"/>
        <w:rPr>
          <w:rFonts w:ascii="Times New Roman" w:hAnsi="Times New Roman" w:cs="Times New Roman"/>
          <w:b/>
          <w:bCs/>
        </w:rPr>
      </w:pPr>
      <w:r w:rsidRPr="00254EAD">
        <w:rPr>
          <w:rFonts w:ascii="Times New Roman" w:hAnsi="Times New Roman" w:cs="Times New Roman"/>
          <w:b/>
          <w:bCs/>
        </w:rPr>
        <w:t>Cognitive Functioning in Perimenopause: An Updated Systematic Review and Meta-Analysis</w:t>
      </w:r>
    </w:p>
    <w:p w14:paraId="6886DDAD" w14:textId="4074ADCA" w:rsidR="009E6F30" w:rsidRPr="009E6F30" w:rsidRDefault="009E6F30" w:rsidP="009E6F30">
      <w:pPr>
        <w:jc w:val="center"/>
        <w:rPr>
          <w:rFonts w:ascii="Times New Roman" w:hAnsi="Times New Roman" w:cs="Times New Roman"/>
          <w:b/>
          <w:bCs/>
        </w:rPr>
      </w:pPr>
      <w:r w:rsidRPr="009E6F30">
        <w:rPr>
          <w:rFonts w:ascii="Times New Roman" w:hAnsi="Times New Roman" w:cs="Times New Roman"/>
          <w:b/>
          <w:bCs/>
        </w:rPr>
        <w:t>Supplementary Material</w:t>
      </w:r>
      <w:r w:rsidR="00254EAD">
        <w:rPr>
          <w:rFonts w:ascii="Times New Roman" w:hAnsi="Times New Roman" w:cs="Times New Roman"/>
          <w:b/>
          <w:bCs/>
        </w:rPr>
        <w:t>s</w:t>
      </w:r>
    </w:p>
    <w:p w14:paraId="7D4A1CD3" w14:textId="20157876" w:rsidR="009E6F30" w:rsidRPr="000E7DED" w:rsidRDefault="009E6F30" w:rsidP="009E6F30">
      <w:pPr>
        <w:ind w:left="-284"/>
        <w:rPr>
          <w:rFonts w:ascii="Times New Roman" w:hAnsi="Times New Roman" w:cs="Times New Roman"/>
          <w:b/>
          <w:bCs/>
        </w:rPr>
      </w:pPr>
      <w:r w:rsidRPr="000E7DED">
        <w:rPr>
          <w:rFonts w:ascii="Times New Roman" w:hAnsi="Times New Roman" w:cs="Times New Roman"/>
          <w:b/>
          <w:bCs/>
        </w:rPr>
        <w:t xml:space="preserve">Table </w:t>
      </w:r>
      <w:r w:rsidR="000E7DED">
        <w:rPr>
          <w:rFonts w:ascii="Times New Roman" w:hAnsi="Times New Roman" w:cs="Times New Roman"/>
          <w:b/>
          <w:bCs/>
        </w:rPr>
        <w:t>S</w:t>
      </w:r>
      <w:r w:rsidR="000E7DED" w:rsidRPr="000E7DED">
        <w:rPr>
          <w:rFonts w:ascii="Times New Roman" w:hAnsi="Times New Roman" w:cs="Times New Roman"/>
          <w:b/>
          <w:bCs/>
        </w:rPr>
        <w:t>1</w:t>
      </w:r>
    </w:p>
    <w:p w14:paraId="14961B2B" w14:textId="4E8E9D3A" w:rsidR="009E6F30" w:rsidRPr="005D1B64" w:rsidRDefault="005D1B64" w:rsidP="009E6F30">
      <w:pPr>
        <w:ind w:left="-284"/>
        <w:rPr>
          <w:rFonts w:ascii="Times New Roman" w:hAnsi="Times New Roman" w:cs="Times New Roman"/>
          <w:i/>
          <w:iCs/>
        </w:rPr>
      </w:pPr>
      <w:r w:rsidRPr="005D1B64">
        <w:rPr>
          <w:rFonts w:ascii="Times New Roman" w:hAnsi="Times New Roman" w:cs="Times New Roman"/>
          <w:i/>
          <w:iCs/>
        </w:rPr>
        <w:t xml:space="preserve">Definitions and Example Measures of </w:t>
      </w:r>
      <w:r w:rsidR="009E6F30" w:rsidRPr="005D1B64">
        <w:rPr>
          <w:rFonts w:ascii="Times New Roman" w:hAnsi="Times New Roman" w:cs="Times New Roman"/>
          <w:i/>
          <w:iCs/>
        </w:rPr>
        <w:t>Cognitive Domains</w:t>
      </w:r>
      <w:r w:rsidR="000E7DED" w:rsidRPr="005D1B64">
        <w:rPr>
          <w:rFonts w:ascii="Times New Roman" w:hAnsi="Times New Roman" w:cs="Times New Roman"/>
          <w:i/>
          <w:iCs/>
        </w:rPr>
        <w:t xml:space="preserve"> </w:t>
      </w:r>
      <w:r w:rsidRPr="005D1B64">
        <w:rPr>
          <w:rFonts w:ascii="Times New Roman" w:hAnsi="Times New Roman" w:cs="Times New Roman"/>
          <w:i/>
          <w:iCs/>
        </w:rPr>
        <w:t>Included in Meta-Analysis</w:t>
      </w:r>
    </w:p>
    <w:tbl>
      <w:tblPr>
        <w:tblStyle w:val="TableGrid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4355"/>
        <w:gridCol w:w="2875"/>
      </w:tblGrid>
      <w:tr w:rsidR="005D1B64" w14:paraId="2B242174" w14:textId="77777777" w:rsidTr="005D1B64"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202D5" w14:textId="7C9EF5E0" w:rsidR="005D1B64" w:rsidRDefault="005D1B64" w:rsidP="005D1B64">
            <w:pPr>
              <w:rPr>
                <w:rFonts w:cs="Times New Roman"/>
              </w:rPr>
            </w:pPr>
            <w:r w:rsidRPr="009662E5">
              <w:rPr>
                <w:rFonts w:eastAsia="Times New Roman" w:cs="Times New Roman"/>
                <w:b/>
                <w:kern w:val="0"/>
                <w:lang w:val="en-AU" w:eastAsia="en-AU"/>
                <w14:ligatures w14:val="none"/>
              </w:rPr>
              <w:t>Cognitive Domain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37CBF" w14:textId="794B7AAC" w:rsidR="005D1B64" w:rsidRDefault="005D1B64" w:rsidP="005D1B64">
            <w:pPr>
              <w:rPr>
                <w:rFonts w:cs="Times New Roman"/>
              </w:rPr>
            </w:pPr>
            <w:r w:rsidRPr="009662E5">
              <w:rPr>
                <w:rFonts w:eastAsia="Times New Roman" w:cs="Times New Roman"/>
                <w:b/>
                <w:kern w:val="0"/>
                <w:lang w:val="en-AU" w:eastAsia="en-AU"/>
                <w14:ligatures w14:val="none"/>
              </w:rPr>
              <w:t>Definition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57D48" w14:textId="30E03526" w:rsidR="005D1B64" w:rsidRDefault="005D1B64" w:rsidP="005D1B64">
            <w:pPr>
              <w:rPr>
                <w:rFonts w:cs="Times New Roman"/>
              </w:rPr>
            </w:pPr>
            <w:r w:rsidRPr="009662E5">
              <w:rPr>
                <w:rFonts w:eastAsia="Times New Roman" w:cs="Times New Roman"/>
                <w:b/>
                <w:kern w:val="0"/>
                <w:lang w:val="en-AU" w:eastAsia="en-AU"/>
                <w14:ligatures w14:val="none"/>
              </w:rPr>
              <w:t xml:space="preserve">Example </w:t>
            </w:r>
            <w:r w:rsidR="00F160AD">
              <w:rPr>
                <w:rFonts w:eastAsia="Times New Roman" w:cs="Times New Roman"/>
                <w:b/>
                <w:kern w:val="0"/>
                <w:lang w:val="en-AU" w:eastAsia="en-AU"/>
                <w14:ligatures w14:val="none"/>
              </w:rPr>
              <w:t>Measures</w:t>
            </w:r>
          </w:p>
        </w:tc>
      </w:tr>
      <w:tr w:rsidR="005D1B64" w14:paraId="72E32F9D" w14:textId="77777777" w:rsidTr="005D1B64">
        <w:trPr>
          <w:trHeight w:val="1020"/>
        </w:trPr>
        <w:tc>
          <w:tcPr>
            <w:tcW w:w="2080" w:type="dxa"/>
            <w:tcBorders>
              <w:top w:val="single" w:sz="4" w:space="0" w:color="auto"/>
            </w:tcBorders>
          </w:tcPr>
          <w:p w14:paraId="24242101" w14:textId="41C2C7BB" w:rsidR="005D1B64" w:rsidRDefault="005D1B64" w:rsidP="005D1B64">
            <w:pPr>
              <w:rPr>
                <w:rFonts w:cs="Times New Roman"/>
              </w:rPr>
            </w:pPr>
            <w:r w:rsidRPr="00E15BB1">
              <w:t>Attention</w:t>
            </w:r>
          </w:p>
        </w:tc>
        <w:tc>
          <w:tcPr>
            <w:tcW w:w="4355" w:type="dxa"/>
            <w:tcBorders>
              <w:top w:val="single" w:sz="4" w:space="0" w:color="auto"/>
            </w:tcBorders>
          </w:tcPr>
          <w:p w14:paraId="1912F03E" w14:textId="719AC3BD" w:rsidR="005D1B64" w:rsidRDefault="005D1B64" w:rsidP="005D1B64">
            <w:pPr>
              <w:rPr>
                <w:rFonts w:cs="Times New Roman"/>
              </w:rPr>
            </w:pPr>
            <w:r w:rsidRPr="00E15BB1">
              <w:t>The ability to concentrate on specific stimuli or tasks and sustain that focus over time.</w:t>
            </w:r>
          </w:p>
        </w:tc>
        <w:tc>
          <w:tcPr>
            <w:tcW w:w="2875" w:type="dxa"/>
            <w:tcBorders>
              <w:top w:val="single" w:sz="4" w:space="0" w:color="auto"/>
            </w:tcBorders>
          </w:tcPr>
          <w:p w14:paraId="06973BF1" w14:textId="11116B5C" w:rsidR="005D1B64" w:rsidRDefault="005D1B64" w:rsidP="005D1B64">
            <w:pPr>
              <w:rPr>
                <w:rFonts w:cs="Times New Roman"/>
              </w:rPr>
            </w:pPr>
            <w:r w:rsidRPr="00E15BB1">
              <w:t>PASAT</w:t>
            </w:r>
            <w:r>
              <w:t xml:space="preserve">, Vigilance, </w:t>
            </w:r>
            <w:r w:rsidRPr="00E15BB1">
              <w:t>Counting Backwards</w:t>
            </w:r>
          </w:p>
        </w:tc>
      </w:tr>
      <w:tr w:rsidR="005D1B64" w14:paraId="49AC917E" w14:textId="77777777" w:rsidTr="005D1B64">
        <w:trPr>
          <w:trHeight w:val="1020"/>
        </w:trPr>
        <w:tc>
          <w:tcPr>
            <w:tcW w:w="2080" w:type="dxa"/>
          </w:tcPr>
          <w:p w14:paraId="10A69A8A" w14:textId="57500331" w:rsidR="005D1B64" w:rsidRDefault="005D1B64" w:rsidP="005D1B64">
            <w:pPr>
              <w:rPr>
                <w:rFonts w:cs="Times New Roman"/>
              </w:rPr>
            </w:pPr>
            <w:r w:rsidRPr="00E15BB1">
              <w:t>Cognitive Flexibility</w:t>
            </w:r>
          </w:p>
        </w:tc>
        <w:tc>
          <w:tcPr>
            <w:tcW w:w="4355" w:type="dxa"/>
          </w:tcPr>
          <w:p w14:paraId="62836763" w14:textId="516B037A" w:rsidR="005D1B64" w:rsidRDefault="005D1B64" w:rsidP="005D1B64">
            <w:pPr>
              <w:rPr>
                <w:rFonts w:cs="Times New Roman"/>
              </w:rPr>
            </w:pPr>
            <w:r w:rsidRPr="00E15BB1">
              <w:t>The capacity to adapt cognitive processing strategies to face new and unexpected conditions in the environment.</w:t>
            </w:r>
          </w:p>
        </w:tc>
        <w:tc>
          <w:tcPr>
            <w:tcW w:w="2875" w:type="dxa"/>
          </w:tcPr>
          <w:p w14:paraId="66223733" w14:textId="6B06BAA7" w:rsidR="005D1B64" w:rsidRDefault="005D1B64" w:rsidP="005D1B64">
            <w:pPr>
              <w:rPr>
                <w:rFonts w:cs="Times New Roman"/>
              </w:rPr>
            </w:pPr>
            <w:r w:rsidRPr="00E15BB1">
              <w:t xml:space="preserve">TMT-B, </w:t>
            </w:r>
            <w:r>
              <w:t xml:space="preserve">TMT (B-A), </w:t>
            </w:r>
            <w:r w:rsidRPr="00E15BB1">
              <w:t>Verbal Fluency, COWAT</w:t>
            </w:r>
          </w:p>
        </w:tc>
      </w:tr>
      <w:tr w:rsidR="005D1B64" w14:paraId="2C09FB21" w14:textId="77777777" w:rsidTr="005D1B64">
        <w:trPr>
          <w:trHeight w:val="1020"/>
        </w:trPr>
        <w:tc>
          <w:tcPr>
            <w:tcW w:w="2080" w:type="dxa"/>
          </w:tcPr>
          <w:p w14:paraId="7C56732D" w14:textId="16410F9E" w:rsidR="005D1B64" w:rsidRDefault="005D1B64" w:rsidP="005D1B64">
            <w:pPr>
              <w:rPr>
                <w:rFonts w:cs="Times New Roman"/>
              </w:rPr>
            </w:pPr>
            <w:r w:rsidRPr="00E15BB1">
              <w:t>Global Cognition</w:t>
            </w:r>
          </w:p>
        </w:tc>
        <w:tc>
          <w:tcPr>
            <w:tcW w:w="4355" w:type="dxa"/>
          </w:tcPr>
          <w:p w14:paraId="1B8D6E79" w14:textId="4279BBBA" w:rsidR="005D1B64" w:rsidRDefault="005D1B64" w:rsidP="005D1B64">
            <w:pPr>
              <w:rPr>
                <w:rFonts w:cs="Times New Roman"/>
              </w:rPr>
            </w:pPr>
            <w:r w:rsidRPr="00E15BB1">
              <w:t>An overall measure of cognitive function, incorporating various domains.</w:t>
            </w:r>
          </w:p>
        </w:tc>
        <w:tc>
          <w:tcPr>
            <w:tcW w:w="2875" w:type="dxa"/>
          </w:tcPr>
          <w:p w14:paraId="1BD3EBCE" w14:textId="1AB8E6C4" w:rsidR="005D1B64" w:rsidRDefault="005D1B64" w:rsidP="005D1B64">
            <w:pPr>
              <w:rPr>
                <w:rFonts w:cs="Times New Roman"/>
              </w:rPr>
            </w:pPr>
            <w:r w:rsidRPr="00E15BB1">
              <w:t>MMSE, MoCA, BADDS (total), ACE-III, Planning</w:t>
            </w:r>
          </w:p>
        </w:tc>
      </w:tr>
      <w:tr w:rsidR="005D1B64" w14:paraId="4AD7B659" w14:textId="77777777" w:rsidTr="005D1B64">
        <w:trPr>
          <w:trHeight w:val="1020"/>
        </w:trPr>
        <w:tc>
          <w:tcPr>
            <w:tcW w:w="2080" w:type="dxa"/>
          </w:tcPr>
          <w:p w14:paraId="15F3EACC" w14:textId="3FC89888" w:rsidR="005D1B64" w:rsidRDefault="005D1B64" w:rsidP="005D1B64">
            <w:pPr>
              <w:rPr>
                <w:rFonts w:cs="Times New Roman"/>
              </w:rPr>
            </w:pPr>
            <w:r w:rsidRPr="00E15BB1">
              <w:t>Inhibitory Control</w:t>
            </w:r>
          </w:p>
        </w:tc>
        <w:tc>
          <w:tcPr>
            <w:tcW w:w="4355" w:type="dxa"/>
          </w:tcPr>
          <w:p w14:paraId="4983445D" w14:textId="1AA78F3C" w:rsidR="005D1B64" w:rsidRDefault="005D1B64" w:rsidP="005D1B64">
            <w:pPr>
              <w:rPr>
                <w:rFonts w:cs="Times New Roman"/>
              </w:rPr>
            </w:pPr>
            <w:r w:rsidRPr="00E15BB1">
              <w:t>The ability to control automatic or dominant responses to perform goal-directed behaviours.</w:t>
            </w:r>
          </w:p>
        </w:tc>
        <w:tc>
          <w:tcPr>
            <w:tcW w:w="2875" w:type="dxa"/>
          </w:tcPr>
          <w:p w14:paraId="4BE27CBA" w14:textId="649DC6CA" w:rsidR="005D1B64" w:rsidRDefault="005D1B64" w:rsidP="005D1B64">
            <w:pPr>
              <w:rPr>
                <w:rFonts w:cs="Times New Roman"/>
              </w:rPr>
            </w:pPr>
            <w:r w:rsidRPr="00E15BB1">
              <w:t>Stroop</w:t>
            </w:r>
            <w:r>
              <w:t xml:space="preserve"> task</w:t>
            </w:r>
          </w:p>
        </w:tc>
      </w:tr>
      <w:tr w:rsidR="005D1B64" w14:paraId="10409F41" w14:textId="77777777" w:rsidTr="005D1B64">
        <w:trPr>
          <w:trHeight w:val="1020"/>
        </w:trPr>
        <w:tc>
          <w:tcPr>
            <w:tcW w:w="2080" w:type="dxa"/>
          </w:tcPr>
          <w:p w14:paraId="507B58CF" w14:textId="4F99B13A" w:rsidR="005D1B64" w:rsidRDefault="005D1B64" w:rsidP="005D1B64">
            <w:pPr>
              <w:rPr>
                <w:rFonts w:cs="Times New Roman"/>
              </w:rPr>
            </w:pPr>
            <w:r w:rsidRPr="00E15BB1">
              <w:t>Language</w:t>
            </w:r>
          </w:p>
        </w:tc>
        <w:tc>
          <w:tcPr>
            <w:tcW w:w="4355" w:type="dxa"/>
          </w:tcPr>
          <w:p w14:paraId="270AED4B" w14:textId="2970877C" w:rsidR="005D1B64" w:rsidRDefault="005D1B64" w:rsidP="005D1B64">
            <w:pPr>
              <w:rPr>
                <w:rFonts w:cs="Times New Roman"/>
              </w:rPr>
            </w:pPr>
            <w:r w:rsidRPr="00E15BB1">
              <w:t>The capacity for language comprehension, production, and verbal communication.</w:t>
            </w:r>
          </w:p>
        </w:tc>
        <w:tc>
          <w:tcPr>
            <w:tcW w:w="2875" w:type="dxa"/>
          </w:tcPr>
          <w:p w14:paraId="693E25E5" w14:textId="729751CD" w:rsidR="005D1B64" w:rsidRDefault="005D1B64" w:rsidP="005D1B64">
            <w:pPr>
              <w:rPr>
                <w:rFonts w:cs="Times New Roman"/>
              </w:rPr>
            </w:pPr>
            <w:r w:rsidRPr="00E15BB1">
              <w:t>NART, WAIS-Vocabulary, Object Naming, Boston Naming Test, Similarities</w:t>
            </w:r>
          </w:p>
        </w:tc>
      </w:tr>
      <w:tr w:rsidR="005D1B64" w14:paraId="45DF1619" w14:textId="77777777" w:rsidTr="005D1B64">
        <w:trPr>
          <w:trHeight w:val="1020"/>
        </w:trPr>
        <w:tc>
          <w:tcPr>
            <w:tcW w:w="2080" w:type="dxa"/>
          </w:tcPr>
          <w:p w14:paraId="1A2A4B05" w14:textId="1692488F" w:rsidR="005D1B64" w:rsidRDefault="005D1B64" w:rsidP="005D1B64">
            <w:pPr>
              <w:rPr>
                <w:rFonts w:cs="Times New Roman"/>
              </w:rPr>
            </w:pPr>
            <w:r w:rsidRPr="00E15BB1">
              <w:t>Memory</w:t>
            </w:r>
          </w:p>
        </w:tc>
        <w:tc>
          <w:tcPr>
            <w:tcW w:w="4355" w:type="dxa"/>
          </w:tcPr>
          <w:p w14:paraId="638CC074" w14:textId="79F82EE9" w:rsidR="005D1B64" w:rsidRDefault="005D1B64" w:rsidP="005D1B64">
            <w:pPr>
              <w:rPr>
                <w:rFonts w:cs="Times New Roman"/>
              </w:rPr>
            </w:pPr>
            <w:r w:rsidRPr="00E15BB1">
              <w:t>The ability to encode, store, and retrieve information over short and long periods of time.</w:t>
            </w:r>
          </w:p>
        </w:tc>
        <w:tc>
          <w:tcPr>
            <w:tcW w:w="2875" w:type="dxa"/>
          </w:tcPr>
          <w:p w14:paraId="29C0007A" w14:textId="65DBF0C1" w:rsidR="005D1B64" w:rsidRDefault="005D1B64" w:rsidP="005D1B64">
            <w:pPr>
              <w:rPr>
                <w:rFonts w:cs="Times New Roman"/>
              </w:rPr>
            </w:pPr>
            <w:r w:rsidRPr="00E15BB1">
              <w:t>RAVLT, Logical Memory, Paired Associates, Verbal Recall, BVR, RCFT recall</w:t>
            </w:r>
          </w:p>
        </w:tc>
      </w:tr>
      <w:tr w:rsidR="005D1B64" w14:paraId="78B63EC2" w14:textId="77777777" w:rsidTr="005D1B64">
        <w:trPr>
          <w:trHeight w:val="1020"/>
        </w:trPr>
        <w:tc>
          <w:tcPr>
            <w:tcW w:w="2080" w:type="dxa"/>
          </w:tcPr>
          <w:p w14:paraId="1A5F8564" w14:textId="1B0D4EAE" w:rsidR="005D1B64" w:rsidRDefault="005D1B64" w:rsidP="005D1B64">
            <w:pPr>
              <w:rPr>
                <w:rFonts w:cs="Times New Roman"/>
              </w:rPr>
            </w:pPr>
            <w:r w:rsidRPr="00E15BB1">
              <w:t>Processing Speed</w:t>
            </w:r>
          </w:p>
        </w:tc>
        <w:tc>
          <w:tcPr>
            <w:tcW w:w="4355" w:type="dxa"/>
          </w:tcPr>
          <w:p w14:paraId="5D8D0BAB" w14:textId="7D332BE3" w:rsidR="005D1B64" w:rsidRDefault="005D1B64" w:rsidP="005D1B64">
            <w:pPr>
              <w:rPr>
                <w:rFonts w:cs="Times New Roman"/>
              </w:rPr>
            </w:pPr>
            <w:r w:rsidRPr="00E15BB1">
              <w:t>The ability to perform simple or complex tasks quickly and efficiently, often under time constraints.</w:t>
            </w:r>
          </w:p>
        </w:tc>
        <w:tc>
          <w:tcPr>
            <w:tcW w:w="2875" w:type="dxa"/>
          </w:tcPr>
          <w:p w14:paraId="07057DC2" w14:textId="204E36F8" w:rsidR="005D1B64" w:rsidRDefault="005D1B64" w:rsidP="005D1B64">
            <w:pPr>
              <w:rPr>
                <w:rFonts w:cs="Times New Roman"/>
              </w:rPr>
            </w:pPr>
            <w:r w:rsidRPr="00E15BB1">
              <w:t>TMT-A, Digit Symbol, Search Speed, SRT</w:t>
            </w:r>
          </w:p>
        </w:tc>
      </w:tr>
      <w:tr w:rsidR="005D1B64" w14:paraId="174CD3A8" w14:textId="77777777" w:rsidTr="005D1B64">
        <w:trPr>
          <w:trHeight w:val="1020"/>
        </w:trPr>
        <w:tc>
          <w:tcPr>
            <w:tcW w:w="2080" w:type="dxa"/>
          </w:tcPr>
          <w:p w14:paraId="02929D07" w14:textId="4ABE65E8" w:rsidR="005D1B64" w:rsidRDefault="005D1B64" w:rsidP="005D1B64">
            <w:pPr>
              <w:rPr>
                <w:rFonts w:cs="Times New Roman"/>
              </w:rPr>
            </w:pPr>
            <w:r w:rsidRPr="00E15BB1">
              <w:t>Visuospatial</w:t>
            </w:r>
          </w:p>
        </w:tc>
        <w:tc>
          <w:tcPr>
            <w:tcW w:w="4355" w:type="dxa"/>
          </w:tcPr>
          <w:p w14:paraId="4D9ED575" w14:textId="2744F0EB" w:rsidR="005D1B64" w:rsidRDefault="005D1B64" w:rsidP="005D1B64">
            <w:pPr>
              <w:rPr>
                <w:rFonts w:cs="Times New Roman"/>
              </w:rPr>
            </w:pPr>
            <w:r w:rsidRPr="00E15BB1">
              <w:t>The ability to understand and mentally manipulate visual and spatial information.</w:t>
            </w:r>
          </w:p>
        </w:tc>
        <w:tc>
          <w:tcPr>
            <w:tcW w:w="2875" w:type="dxa"/>
          </w:tcPr>
          <w:p w14:paraId="616FC105" w14:textId="672B1441" w:rsidR="005D1B64" w:rsidRDefault="005D1B64" w:rsidP="005D1B64">
            <w:pPr>
              <w:rPr>
                <w:rFonts w:cs="Times New Roman"/>
              </w:rPr>
            </w:pPr>
            <w:r w:rsidRPr="00E15BB1">
              <w:t>Block Design, Visuospatial Ability</w:t>
            </w:r>
          </w:p>
        </w:tc>
      </w:tr>
      <w:tr w:rsidR="005D1B64" w14:paraId="719899A7" w14:textId="77777777" w:rsidTr="005D1B64">
        <w:trPr>
          <w:trHeight w:val="1020"/>
        </w:trPr>
        <w:tc>
          <w:tcPr>
            <w:tcW w:w="2080" w:type="dxa"/>
          </w:tcPr>
          <w:p w14:paraId="79608AA7" w14:textId="0AB7DBC2" w:rsidR="005D1B64" w:rsidRDefault="005D1B64" w:rsidP="005D1B64">
            <w:pPr>
              <w:rPr>
                <w:rFonts w:cs="Times New Roman"/>
              </w:rPr>
            </w:pPr>
            <w:r w:rsidRPr="00E15BB1">
              <w:t>Working Memory</w:t>
            </w:r>
          </w:p>
        </w:tc>
        <w:tc>
          <w:tcPr>
            <w:tcW w:w="4355" w:type="dxa"/>
          </w:tcPr>
          <w:p w14:paraId="07B41278" w14:textId="3BCAC21A" w:rsidR="005D1B64" w:rsidRDefault="005D1B64" w:rsidP="005D1B64">
            <w:pPr>
              <w:rPr>
                <w:rFonts w:cs="Times New Roman"/>
              </w:rPr>
            </w:pPr>
            <w:r w:rsidRPr="00E15BB1">
              <w:t>The capacity to hold and manipulate information in mind over short periods for complex tasks.</w:t>
            </w:r>
          </w:p>
        </w:tc>
        <w:tc>
          <w:tcPr>
            <w:tcW w:w="2875" w:type="dxa"/>
          </w:tcPr>
          <w:p w14:paraId="22354B5B" w14:textId="7C8B3A98" w:rsidR="005D1B64" w:rsidRDefault="005D1B64" w:rsidP="005D1B64">
            <w:pPr>
              <w:rPr>
                <w:rFonts w:cs="Times New Roman"/>
              </w:rPr>
            </w:pPr>
            <w:r w:rsidRPr="00E15BB1">
              <w:t>Digit Span, Subtraction, Verification</w:t>
            </w:r>
          </w:p>
        </w:tc>
      </w:tr>
    </w:tbl>
    <w:p w14:paraId="520DE525" w14:textId="77777777" w:rsidR="005D1B64" w:rsidRDefault="005D1B64" w:rsidP="009E6F30">
      <w:pPr>
        <w:ind w:left="-284"/>
        <w:rPr>
          <w:rFonts w:ascii="Times New Roman" w:hAnsi="Times New Roman" w:cs="Times New Roman"/>
        </w:rPr>
      </w:pPr>
    </w:p>
    <w:p w14:paraId="357BFCCE" w14:textId="77777777" w:rsidR="005D1B64" w:rsidRDefault="005D1B64" w:rsidP="009E6F30">
      <w:pPr>
        <w:ind w:left="-284"/>
        <w:rPr>
          <w:rFonts w:ascii="Times New Roman" w:hAnsi="Times New Roman" w:cs="Times New Roman"/>
        </w:rPr>
      </w:pPr>
    </w:p>
    <w:p w14:paraId="0BCE8E81" w14:textId="77777777" w:rsidR="000E7DED" w:rsidRDefault="000E7DED" w:rsidP="009E6F30">
      <w:pPr>
        <w:ind w:left="-284"/>
        <w:rPr>
          <w:rFonts w:ascii="Times New Roman" w:hAnsi="Times New Roman" w:cs="Times New Roman"/>
        </w:rPr>
      </w:pPr>
    </w:p>
    <w:p w14:paraId="699513FD" w14:textId="77777777" w:rsidR="000E7DED" w:rsidRDefault="000E7DED" w:rsidP="009E6F30">
      <w:pPr>
        <w:ind w:left="-284"/>
        <w:rPr>
          <w:rFonts w:ascii="Times New Roman" w:hAnsi="Times New Roman" w:cs="Times New Roman"/>
        </w:rPr>
        <w:sectPr w:rsidR="000E7DED" w:rsidSect="009E6F30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63E13C" w14:textId="20CE6A4A" w:rsidR="000E7DED" w:rsidRPr="000E7DED" w:rsidRDefault="000E7DED" w:rsidP="000E7DED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E7DED">
        <w:rPr>
          <w:rFonts w:ascii="Times New Roman" w:hAnsi="Times New Roman" w:cs="Times New Roman"/>
          <w:b/>
        </w:rPr>
        <w:lastRenderedPageBreak/>
        <w:t xml:space="preserve">Table </w:t>
      </w:r>
      <w:r w:rsidR="005D1B6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</w:p>
    <w:p w14:paraId="73C49229" w14:textId="77777777" w:rsidR="000E7DED" w:rsidRPr="000E7DED" w:rsidRDefault="000E7DED" w:rsidP="000E7DED">
      <w:pPr>
        <w:spacing w:after="0" w:line="276" w:lineRule="auto"/>
        <w:rPr>
          <w:rFonts w:ascii="Times New Roman" w:hAnsi="Times New Roman" w:cs="Times New Roman"/>
        </w:rPr>
      </w:pPr>
      <w:r w:rsidRPr="000E7DED">
        <w:rPr>
          <w:rFonts w:ascii="Times New Roman" w:hAnsi="Times New Roman" w:cs="Times New Roman"/>
          <w:i/>
          <w:iCs/>
        </w:rPr>
        <w:t>Summary of Study Characteristics and Findings for Studies Included in Review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30"/>
        <w:gridCol w:w="2694"/>
        <w:gridCol w:w="3682"/>
        <w:gridCol w:w="3319"/>
        <w:gridCol w:w="999"/>
      </w:tblGrid>
      <w:tr w:rsidR="000E7DED" w:rsidRPr="00CD4975" w14:paraId="7D09E37C" w14:textId="77777777" w:rsidTr="00F330E8">
        <w:trPr>
          <w:cantSplit/>
          <w:tblHeader/>
        </w:trPr>
        <w:tc>
          <w:tcPr>
            <w:tcW w:w="11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82727" w14:textId="77777777" w:rsidR="000E7DED" w:rsidRPr="00CD4975" w:rsidRDefault="000E7DED" w:rsidP="00F330E8">
            <w:pPr>
              <w:jc w:val="center"/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Study Characteristics</w:t>
            </w:r>
          </w:p>
        </w:tc>
        <w:tc>
          <w:tcPr>
            <w:tcW w:w="22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2F18A" w14:textId="77777777" w:rsidR="000E7DED" w:rsidRPr="00CD4975" w:rsidRDefault="000E7DED" w:rsidP="00F330E8">
            <w:pPr>
              <w:jc w:val="center"/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Assessment of Perimenopause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903F6" w14:textId="77777777" w:rsidR="000E7DED" w:rsidRPr="00CD4975" w:rsidRDefault="000E7DED" w:rsidP="00F330E8">
            <w:pPr>
              <w:jc w:val="center"/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Findings and Methodological Quality</w:t>
            </w:r>
          </w:p>
        </w:tc>
      </w:tr>
      <w:tr w:rsidR="000E7DED" w:rsidRPr="00CD4975" w14:paraId="3EDEB4ED" w14:textId="77777777" w:rsidTr="00F330E8">
        <w:trPr>
          <w:cantSplit/>
          <w:tblHeader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8F432" w14:textId="77777777" w:rsidR="000E7DED" w:rsidRPr="00CD4975" w:rsidRDefault="000E7DED" w:rsidP="00F330E8">
            <w:pPr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 xml:space="preserve">Authors, </w:t>
            </w:r>
          </w:p>
          <w:p w14:paraId="786D0E95" w14:textId="77777777" w:rsidR="000E7DED" w:rsidRPr="00CD4975" w:rsidRDefault="000E7DED" w:rsidP="00F330E8">
            <w:pPr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Study Location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5640A" w14:textId="77777777" w:rsidR="000E7DED" w:rsidRPr="00CD4975" w:rsidRDefault="000E7DED" w:rsidP="00F330E8">
            <w:pPr>
              <w:rPr>
                <w:rFonts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Sample Description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B9B7D" w14:textId="77777777" w:rsidR="000E7DED" w:rsidRPr="00CD4975" w:rsidRDefault="000E7DED" w:rsidP="00F330E8">
            <w:pPr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Criteria</w:t>
            </w:r>
            <w:r>
              <w:rPr>
                <w:rFonts w:cs="Times New Roman"/>
                <w:b/>
                <w:color w:val="auto"/>
                <w:sz w:val="20"/>
                <w:szCs w:val="20"/>
              </w:rPr>
              <w:t xml:space="preserve"> for Perimenopause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8EBAB" w14:textId="77777777" w:rsidR="000E7DED" w:rsidRPr="00CD4975" w:rsidRDefault="000E7DED" w:rsidP="00F330E8">
            <w:pPr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 xml:space="preserve">Cognitive </w:t>
            </w: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Measure(s)</w:t>
            </w: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D01E" w14:textId="77777777" w:rsidR="000E7DED" w:rsidRPr="00CD4975" w:rsidRDefault="000E7DED" w:rsidP="00F330E8">
            <w:pPr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Key Findings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DF64D" w14:textId="77777777" w:rsidR="000E7DED" w:rsidRPr="00CD4975" w:rsidRDefault="000E7DED" w:rsidP="00F330E8">
            <w:pPr>
              <w:jc w:val="center"/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b/>
                <w:color w:val="auto"/>
                <w:sz w:val="20"/>
                <w:szCs w:val="20"/>
              </w:rPr>
              <w:t>MMAT (/5)</w:t>
            </w:r>
          </w:p>
        </w:tc>
      </w:tr>
      <w:tr w:rsidR="000E7DED" w:rsidRPr="00CD4975" w14:paraId="5159F207" w14:textId="77777777" w:rsidTr="00F330E8">
        <w:trPr>
          <w:cantSplit/>
        </w:trPr>
        <w:tc>
          <w:tcPr>
            <w:tcW w:w="406" w:type="pct"/>
            <w:tcBorders>
              <w:top w:val="single" w:sz="4" w:space="0" w:color="auto"/>
            </w:tcBorders>
          </w:tcPr>
          <w:p w14:paraId="00CFB07C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Berent-</w:t>
            </w:r>
            <w:proofErr w:type="spellStart"/>
            <w:r w:rsidRPr="00CD4975">
              <w:rPr>
                <w:rFonts w:cs="Times New Roman"/>
                <w:color w:val="auto"/>
                <w:sz w:val="20"/>
                <w:szCs w:val="20"/>
              </w:rPr>
              <w:t>Spillson</w:t>
            </w:r>
            <w:proofErr w:type="spellEnd"/>
            <w:r w:rsidRPr="00CD4975">
              <w:rPr>
                <w:rFonts w:cs="Times New Roman"/>
                <w:color w:val="auto"/>
                <w:sz w:val="20"/>
                <w:szCs w:val="20"/>
              </w:rPr>
              <w:t xml:space="preserve"> et al. (2012), USA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14:paraId="3AB223FE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67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52.66,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3.43, range = 42-61 yrs)</w:t>
            </w:r>
          </w:p>
        </w:tc>
        <w:tc>
          <w:tcPr>
            <w:tcW w:w="965" w:type="pct"/>
            <w:tcBorders>
              <w:top w:val="single" w:sz="4" w:space="0" w:color="auto"/>
            </w:tcBorders>
          </w:tcPr>
          <w:p w14:paraId="5F1BA1C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Other criteria (hormonal biomarkers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  <w:tcBorders>
              <w:top w:val="single" w:sz="4" w:space="0" w:color="auto"/>
            </w:tcBorders>
          </w:tcPr>
          <w:p w14:paraId="421A9182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(TMT-B, phonetic fluency, semantic fluency),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(TMT-A, letter comparison, pattern comparison),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memory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(verbal recall, verbal retention, visual recall, visual retention)</w:t>
            </w:r>
          </w:p>
          <w:p w14:paraId="104CFAE0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</w:tcPr>
          <w:p w14:paraId="74412443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Peri and </w:t>
            </w:r>
            <w:r>
              <w:rPr>
                <w:rFonts w:cs="Times New Roman"/>
                <w:color w:val="auto"/>
                <w:sz w:val="20"/>
                <w:szCs w:val="20"/>
              </w:rPr>
              <w:t>P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ost 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&lt; Pre on most cognitive flexibility tasks. </w:t>
            </w:r>
          </w:p>
          <w:p w14:paraId="021903B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No group differences on all other tasks. 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14:paraId="14B07A8B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0C5A9277" w14:textId="77777777" w:rsidTr="00F330E8">
        <w:trPr>
          <w:cantSplit/>
        </w:trPr>
        <w:tc>
          <w:tcPr>
            <w:tcW w:w="406" w:type="pct"/>
          </w:tcPr>
          <w:p w14:paraId="02A6C49F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Dorador-González (2021), Mexico</w:t>
            </w:r>
          </w:p>
        </w:tc>
        <w:tc>
          <w:tcPr>
            <w:tcW w:w="763" w:type="pct"/>
          </w:tcPr>
          <w:p w14:paraId="52D1C59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59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48.0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2.73, range = 39-59 yrs)</w:t>
            </w:r>
          </w:p>
        </w:tc>
        <w:tc>
          <w:tcPr>
            <w:tcW w:w="965" w:type="pct"/>
          </w:tcPr>
          <w:p w14:paraId="549592FD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STRAW+10 (self-reported menstrual pattern)</w:t>
            </w:r>
          </w:p>
        </w:tc>
        <w:tc>
          <w:tcPr>
            <w:tcW w:w="1319" w:type="pct"/>
          </w:tcPr>
          <w:p w14:paraId="0934C4B0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9F35CF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Verbal working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(digit span backward), </w:t>
            </w:r>
            <w:r w:rsidRPr="009F35CF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visual working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 w:rsidRPr="00936DDF">
              <w:rPr>
                <w:rFonts w:eastAsia="Times New Roman" w:cs="Times New Roman"/>
                <w:color w:val="auto"/>
                <w:sz w:val="20"/>
                <w:szCs w:val="20"/>
              </w:rPr>
              <w:t>Rey-</w:t>
            </w:r>
            <w:proofErr w:type="spellStart"/>
            <w:r w:rsidRPr="00936DDF">
              <w:rPr>
                <w:rFonts w:eastAsia="Times New Roman" w:cs="Times New Roman"/>
                <w:color w:val="auto"/>
                <w:sz w:val="20"/>
                <w:szCs w:val="20"/>
              </w:rPr>
              <w:t>Osterrieth</w:t>
            </w:r>
            <w:proofErr w:type="spellEnd"/>
            <w:r w:rsidRPr="00936DD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Complex Figure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, immediate figure choice task, delayed figure reproduction with interference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61719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global cognition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(MoCA), 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subjective memory complaints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(memory failures questionnaire)</w:t>
            </w:r>
          </w:p>
          <w:p w14:paraId="486A4012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2F28CBDB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•No group differences in global cognition, verbal working memory, or immediate visual working memory. </w:t>
            </w:r>
          </w:p>
          <w:p w14:paraId="4B2157D1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•Pre &gt; Post &gt; Peri in delayed visual working memory and Rey-</w:t>
            </w:r>
            <w:proofErr w:type="spellStart"/>
            <w:r>
              <w:rPr>
                <w:rFonts w:eastAsia="Times New Roman" w:cs="Times New Roman"/>
                <w:color w:val="auto"/>
                <w:sz w:val="20"/>
                <w:szCs w:val="20"/>
              </w:rPr>
              <w:t>Osterrieth</w:t>
            </w:r>
            <w:proofErr w:type="spellEnd"/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Complex Figure. </w:t>
            </w:r>
          </w:p>
          <w:p w14:paraId="5932BCCC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•Peri &gt; Post and Pre in subjective memory complaints.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A81D014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8" w:type="pct"/>
          </w:tcPr>
          <w:p w14:paraId="31184D4F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110921A3" w14:textId="77777777" w:rsidTr="00F330E8">
        <w:trPr>
          <w:cantSplit/>
        </w:trPr>
        <w:tc>
          <w:tcPr>
            <w:tcW w:w="406" w:type="pct"/>
          </w:tcPr>
          <w:p w14:paraId="09B18CA4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Fuh et al. (2005), China</w:t>
            </w:r>
          </w:p>
        </w:tc>
        <w:tc>
          <w:tcPr>
            <w:tcW w:w="763" w:type="pct"/>
          </w:tcPr>
          <w:p w14:paraId="7B6D25E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495 women across pre/peri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47.1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40-54 yrs)</w:t>
            </w:r>
          </w:p>
        </w:tc>
        <w:tc>
          <w:tcPr>
            <w:tcW w:w="965" w:type="pct"/>
          </w:tcPr>
          <w:p w14:paraId="2553DCD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Other criteria (self-reported menstrual pattern)</w:t>
            </w:r>
          </w:p>
        </w:tc>
        <w:tc>
          <w:tcPr>
            <w:tcW w:w="1319" w:type="pct"/>
          </w:tcPr>
          <w:p w14:paraId="1D4C20B7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61719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 w:rsidRPr="00400EE3">
              <w:rPr>
                <w:rFonts w:eastAsia="Times New Roman" w:cs="Times New Roman"/>
                <w:color w:val="auto"/>
                <w:sz w:val="20"/>
                <w:szCs w:val="20"/>
              </w:rPr>
              <w:t>Rey Auditory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-</w:t>
            </w:r>
            <w:r w:rsidRPr="00400EE3">
              <w:rPr>
                <w:rFonts w:eastAsia="Times New Roman" w:cs="Times New Roman"/>
                <w:color w:val="auto"/>
                <w:sz w:val="20"/>
                <w:szCs w:val="20"/>
              </w:rPr>
              <w:t>Verbal Learning Test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continuous recognition paradigm), </w:t>
            </w:r>
            <w:r w:rsidRPr="0061719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(v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erbal fluency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TMT-B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working 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(di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git span)</w:t>
            </w:r>
          </w:p>
          <w:p w14:paraId="0C8FC295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02288727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•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No group differences in memory, cognitive flexibility, or working memory.</w:t>
            </w:r>
          </w:p>
          <w:p w14:paraId="67D59F69" w14:textId="77777777" w:rsidR="000E7DED" w:rsidRPr="00890F0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•Peri &lt; Pre in cognitive flexibility (verbal fluency).</w:t>
            </w:r>
          </w:p>
        </w:tc>
        <w:tc>
          <w:tcPr>
            <w:tcW w:w="358" w:type="pct"/>
          </w:tcPr>
          <w:p w14:paraId="09515A7D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0E7DED" w:rsidRPr="00CD4975" w14:paraId="5762BB01" w14:textId="77777777" w:rsidTr="00F330E8">
        <w:trPr>
          <w:cantSplit/>
        </w:trPr>
        <w:tc>
          <w:tcPr>
            <w:tcW w:w="406" w:type="pct"/>
          </w:tcPr>
          <w:p w14:paraId="265C34D8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Greendale et al.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(2009), USA</w:t>
            </w:r>
          </w:p>
        </w:tc>
        <w:tc>
          <w:tcPr>
            <w:tcW w:w="763" w:type="pct"/>
          </w:tcPr>
          <w:p w14:paraId="3A641903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2</w:t>
            </w:r>
            <w:r>
              <w:rPr>
                <w:rFonts w:cs="Times New Roman"/>
                <w:color w:val="auto"/>
                <w:sz w:val="20"/>
                <w:szCs w:val="20"/>
              </w:rPr>
              <w:t>,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362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45.86,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2.67, range = 42-52 yrs)</w:t>
            </w:r>
          </w:p>
        </w:tc>
        <w:tc>
          <w:tcPr>
            <w:tcW w:w="965" w:type="pct"/>
          </w:tcPr>
          <w:p w14:paraId="2D205A10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Other criteria (self-reported menstrual pattern)</w:t>
            </w:r>
          </w:p>
        </w:tc>
        <w:tc>
          <w:tcPr>
            <w:tcW w:w="1319" w:type="pct"/>
          </w:tcPr>
          <w:p w14:paraId="4D2BE6B6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0F096B">
              <w:rPr>
                <w:rFonts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(s</w:t>
            </w:r>
            <w:r w:rsidRPr="000F096B">
              <w:rPr>
                <w:rFonts w:cs="Times New Roman"/>
                <w:color w:val="auto"/>
                <w:sz w:val="20"/>
                <w:szCs w:val="20"/>
              </w:rPr>
              <w:t xml:space="preserve">ymbol </w:t>
            </w:r>
            <w:r>
              <w:rPr>
                <w:rFonts w:cs="Times New Roman"/>
                <w:color w:val="auto"/>
                <w:sz w:val="20"/>
                <w:szCs w:val="20"/>
              </w:rPr>
              <w:t>d</w:t>
            </w:r>
            <w:r w:rsidRPr="000F096B">
              <w:rPr>
                <w:rFonts w:cs="Times New Roman"/>
                <w:color w:val="auto"/>
                <w:sz w:val="20"/>
                <w:szCs w:val="20"/>
              </w:rPr>
              <w:t xml:space="preserve">igit </w:t>
            </w:r>
            <w:r>
              <w:rPr>
                <w:rFonts w:cs="Times New Roman"/>
                <w:color w:val="auto"/>
                <w:sz w:val="20"/>
                <w:szCs w:val="20"/>
              </w:rPr>
              <w:t>m</w:t>
            </w:r>
            <w:r w:rsidRPr="000F096B">
              <w:rPr>
                <w:rFonts w:cs="Times New Roman"/>
                <w:color w:val="auto"/>
                <w:sz w:val="20"/>
                <w:szCs w:val="20"/>
              </w:rPr>
              <w:t xml:space="preserve">odalities </w:t>
            </w:r>
            <w:r>
              <w:rPr>
                <w:rFonts w:cs="Times New Roman"/>
                <w:color w:val="auto"/>
                <w:sz w:val="20"/>
                <w:szCs w:val="20"/>
              </w:rPr>
              <w:t>t</w:t>
            </w:r>
            <w:r w:rsidRPr="000F096B">
              <w:rPr>
                <w:rFonts w:cs="Times New Roman"/>
                <w:color w:val="auto"/>
                <w:sz w:val="20"/>
                <w:szCs w:val="20"/>
              </w:rPr>
              <w:t>est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), </w:t>
            </w:r>
            <w:r w:rsidRPr="000F096B">
              <w:rPr>
                <w:rFonts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(East Boston Memory Test – immediate &amp; delayed),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working memory </w:t>
            </w:r>
            <w:r>
              <w:rPr>
                <w:rFonts w:cs="Times New Roman"/>
                <w:color w:val="auto"/>
                <w:sz w:val="20"/>
                <w:szCs w:val="20"/>
              </w:rPr>
              <w:t>(digit span backward)</w:t>
            </w:r>
          </w:p>
          <w:p w14:paraId="283EB839" w14:textId="77777777" w:rsidR="000E7DED" w:rsidRPr="000F096B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092E2FF6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•Late Peri &lt; Early Peri, Pre, Post in processing speed.</w:t>
            </w:r>
          </w:p>
          <w:p w14:paraId="4BF2AE42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•Peri &lt; Pre and Post in delayed memory recall.</w:t>
            </w:r>
          </w:p>
          <w:p w14:paraId="3813F52A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group differences in immediate memory recall or working memory.</w:t>
            </w:r>
          </w:p>
        </w:tc>
        <w:tc>
          <w:tcPr>
            <w:tcW w:w="358" w:type="pct"/>
          </w:tcPr>
          <w:p w14:paraId="70B12844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</w:tr>
      <w:tr w:rsidR="000E7DED" w:rsidRPr="00CD4975" w14:paraId="77E7E3DF" w14:textId="77777777" w:rsidTr="00F330E8">
        <w:trPr>
          <w:cantSplit/>
        </w:trPr>
        <w:tc>
          <w:tcPr>
            <w:tcW w:w="406" w:type="pct"/>
          </w:tcPr>
          <w:p w14:paraId="01ACEA69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He et al. (2021), China</w:t>
            </w:r>
          </w:p>
        </w:tc>
        <w:tc>
          <w:tcPr>
            <w:tcW w:w="763" w:type="pct"/>
          </w:tcPr>
          <w:p w14:paraId="61A977D6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57 women across pre/peri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51.6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1.63, range = 45-55 yrs)</w:t>
            </w:r>
          </w:p>
          <w:p w14:paraId="3D6747B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3E3691A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>
              <w:rPr>
                <w:rFonts w:cs="Times New Roman"/>
                <w:color w:val="auto"/>
                <w:sz w:val="20"/>
                <w:szCs w:val="20"/>
              </w:rPr>
              <w:t>elf-reported menstrual pattern)</w:t>
            </w:r>
          </w:p>
        </w:tc>
        <w:tc>
          <w:tcPr>
            <w:tcW w:w="1319" w:type="pct"/>
          </w:tcPr>
          <w:p w14:paraId="4E7E24D5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4B348E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 xml:space="preserve">Global cognition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(MMSE)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br/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189" w:type="pct"/>
          </w:tcPr>
          <w:p w14:paraId="5857DA91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•Peri &lt; Pre in global cognition.</w:t>
            </w:r>
          </w:p>
        </w:tc>
        <w:tc>
          <w:tcPr>
            <w:tcW w:w="358" w:type="pct"/>
          </w:tcPr>
          <w:p w14:paraId="3D68C8B0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34E14D3A" w14:textId="77777777" w:rsidTr="00F330E8">
        <w:trPr>
          <w:cantSplit/>
        </w:trPr>
        <w:tc>
          <w:tcPr>
            <w:tcW w:w="406" w:type="pct"/>
          </w:tcPr>
          <w:p w14:paraId="161DDD59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lastRenderedPageBreak/>
              <w:t>Herlitz et al. (2007), Sweden</w:t>
            </w:r>
          </w:p>
        </w:tc>
        <w:tc>
          <w:tcPr>
            <w:tcW w:w="763" w:type="pct"/>
          </w:tcPr>
          <w:p w14:paraId="12C1523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242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51.6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3.1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auto"/>
                <w:sz w:val="20"/>
                <w:szCs w:val="20"/>
              </w:rPr>
              <w:t>range = 45-55 yrs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965" w:type="pct"/>
          </w:tcPr>
          <w:p w14:paraId="1D7BA1E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Other criteria (self-reported menstrual pattern)</w:t>
            </w:r>
          </w:p>
        </w:tc>
        <w:tc>
          <w:tcPr>
            <w:tcW w:w="1319" w:type="pct"/>
          </w:tcPr>
          <w:p w14:paraId="2AFF1547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8752D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Episodic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w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ord recall &amp; recognition tasks)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8752D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semantic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(vocabulary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synonym selection), </w:t>
            </w:r>
            <w:r w:rsidRPr="008752D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(v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erbal fluency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 w:rsidRPr="008752D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visuospatial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b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lock design)</w:t>
            </w:r>
          </w:p>
          <w:p w14:paraId="16E0100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2CD377BE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on any task.</w:t>
            </w:r>
          </w:p>
        </w:tc>
        <w:tc>
          <w:tcPr>
            <w:tcW w:w="358" w:type="pct"/>
          </w:tcPr>
          <w:p w14:paraId="47A58B64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73E7F86A" w14:textId="77777777" w:rsidTr="00F330E8">
        <w:trPr>
          <w:cantSplit/>
        </w:trPr>
        <w:tc>
          <w:tcPr>
            <w:tcW w:w="406" w:type="pct"/>
          </w:tcPr>
          <w:p w14:paraId="425C7200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Jacobs et al. (2016), USA</w:t>
            </w:r>
          </w:p>
        </w:tc>
        <w:tc>
          <w:tcPr>
            <w:tcW w:w="763" w:type="pct"/>
          </w:tcPr>
          <w:p w14:paraId="6F8E5239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194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49.8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1.9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45-55 yrs)</w:t>
            </w:r>
          </w:p>
          <w:p w14:paraId="41F547F2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79D5F6D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+ hormone biomarkers)</w:t>
            </w:r>
          </w:p>
        </w:tc>
        <w:tc>
          <w:tcPr>
            <w:tcW w:w="1319" w:type="pct"/>
          </w:tcPr>
          <w:p w14:paraId="206B6D7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E1455A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Global cognition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verbal IQ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189" w:type="pct"/>
          </w:tcPr>
          <w:p w14:paraId="54538D01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differences.</w:t>
            </w:r>
          </w:p>
        </w:tc>
        <w:tc>
          <w:tcPr>
            <w:tcW w:w="358" w:type="pct"/>
          </w:tcPr>
          <w:p w14:paraId="2455353C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096CCDE0" w14:textId="77777777" w:rsidTr="00F330E8">
        <w:trPr>
          <w:cantSplit/>
        </w:trPr>
        <w:tc>
          <w:tcPr>
            <w:tcW w:w="406" w:type="pct"/>
          </w:tcPr>
          <w:p w14:paraId="2531EE80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Kaur &amp; Kaur (2022), India</w:t>
            </w:r>
          </w:p>
        </w:tc>
        <w:tc>
          <w:tcPr>
            <w:tcW w:w="763" w:type="pct"/>
          </w:tcPr>
          <w:p w14:paraId="07975EDF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404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46.39,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4.31, range = 40-65 yrs)</w:t>
            </w:r>
          </w:p>
          <w:p w14:paraId="551F579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2E70401B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Other criteria (self-reported menstrual pattern)</w:t>
            </w:r>
          </w:p>
        </w:tc>
        <w:tc>
          <w:tcPr>
            <w:tcW w:w="1319" w:type="pct"/>
          </w:tcPr>
          <w:p w14:paraId="2358162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095158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Global cognition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(MMSE)</w:t>
            </w:r>
          </w:p>
        </w:tc>
        <w:tc>
          <w:tcPr>
            <w:tcW w:w="1189" w:type="pct"/>
          </w:tcPr>
          <w:p w14:paraId="05561DC0" w14:textId="77777777" w:rsidR="000E7DED" w:rsidRPr="00CC0A2E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 Pre &gt; Peri &gt; Early Post &gt; Late Post in global cognition.</w:t>
            </w:r>
          </w:p>
        </w:tc>
        <w:tc>
          <w:tcPr>
            <w:tcW w:w="358" w:type="pct"/>
          </w:tcPr>
          <w:p w14:paraId="53C00AD7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5D023E55" w14:textId="77777777" w:rsidTr="00F330E8">
        <w:trPr>
          <w:cantSplit/>
        </w:trPr>
        <w:tc>
          <w:tcPr>
            <w:tcW w:w="406" w:type="pct"/>
          </w:tcPr>
          <w:p w14:paraId="2E22AFD7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Kok et al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.</w:t>
            </w: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(2006), UK </w:t>
            </w:r>
          </w:p>
        </w:tc>
        <w:tc>
          <w:tcPr>
            <w:tcW w:w="763" w:type="pct"/>
          </w:tcPr>
          <w:p w14:paraId="03C09E0E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</w:t>
            </w:r>
            <w:r>
              <w:rPr>
                <w:rFonts w:cs="Times New Roman"/>
                <w:color w:val="auto"/>
                <w:sz w:val="20"/>
                <w:szCs w:val="20"/>
              </w:rPr>
              <w:t>,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261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53.0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53-53 yrs)</w:t>
            </w:r>
          </w:p>
        </w:tc>
        <w:tc>
          <w:tcPr>
            <w:tcW w:w="965" w:type="pct"/>
          </w:tcPr>
          <w:p w14:paraId="0F7C357D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Other criteria (self-reported menstrual pattern)</w:t>
            </w:r>
          </w:p>
        </w:tc>
        <w:tc>
          <w:tcPr>
            <w:tcW w:w="1319" w:type="pct"/>
          </w:tcPr>
          <w:p w14:paraId="2B1CAAF1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D37D41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Language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(NART)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D37D41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verbal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(word learning &amp; recall)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D37D41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visual search task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189" w:type="pct"/>
          </w:tcPr>
          <w:p w14:paraId="05D6B1AD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•Pre &gt; Peri &gt; Post in processing speed and language (though no significant differences in language after adjusting for childhood cognition and education).</w:t>
            </w:r>
          </w:p>
          <w:p w14:paraId="186AF053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verbal memory.</w:t>
            </w:r>
          </w:p>
          <w:p w14:paraId="599255A6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8" w:type="pct"/>
          </w:tcPr>
          <w:p w14:paraId="5DECB5AB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</w:tr>
      <w:tr w:rsidR="000E7DED" w:rsidRPr="00CD4975" w14:paraId="600BCE09" w14:textId="77777777" w:rsidTr="00F330E8">
        <w:trPr>
          <w:cantSplit/>
        </w:trPr>
        <w:tc>
          <w:tcPr>
            <w:tcW w:w="406" w:type="pct"/>
          </w:tcPr>
          <w:p w14:paraId="3A1E1B38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Liu et al. (2021), China</w:t>
            </w:r>
          </w:p>
        </w:tc>
        <w:tc>
          <w:tcPr>
            <w:tcW w:w="763" w:type="pct"/>
          </w:tcPr>
          <w:p w14:paraId="3007131A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50 women across pre/peri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53.19,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3.82, range = 45-55 yrs)</w:t>
            </w:r>
          </w:p>
        </w:tc>
        <w:tc>
          <w:tcPr>
            <w:tcW w:w="965" w:type="pct"/>
          </w:tcPr>
          <w:p w14:paraId="1A74AB8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STRAW+10 (self-reported menstrual pattern + hormone biomarkers)</w:t>
            </w:r>
          </w:p>
        </w:tc>
        <w:tc>
          <w:tcPr>
            <w:tcW w:w="1319" w:type="pct"/>
          </w:tcPr>
          <w:p w14:paraId="08E5472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D37D41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Inhibitory control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(Stroop task)</w:t>
            </w:r>
          </w:p>
        </w:tc>
        <w:tc>
          <w:tcPr>
            <w:tcW w:w="1189" w:type="pct"/>
          </w:tcPr>
          <w:p w14:paraId="5EE6F589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•Peri &gt; Pre in reaction time (poorer performance).</w:t>
            </w:r>
          </w:p>
          <w:p w14:paraId="5D66713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accuracy.</w:t>
            </w:r>
          </w:p>
        </w:tc>
        <w:tc>
          <w:tcPr>
            <w:tcW w:w="358" w:type="pct"/>
          </w:tcPr>
          <w:p w14:paraId="3E125320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E7DED" w:rsidRPr="00CD4975" w14:paraId="47F89D05" w14:textId="77777777" w:rsidTr="00F330E8">
        <w:trPr>
          <w:cantSplit/>
        </w:trPr>
        <w:tc>
          <w:tcPr>
            <w:tcW w:w="406" w:type="pct"/>
          </w:tcPr>
          <w:p w14:paraId="3FEC2030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Martino et al. (2022), Argentina</w:t>
            </w:r>
          </w:p>
        </w:tc>
        <w:tc>
          <w:tcPr>
            <w:tcW w:w="763" w:type="pct"/>
          </w:tcPr>
          <w:p w14:paraId="609BA102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100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50.06,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3.6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18-79 yrs)</w:t>
            </w:r>
          </w:p>
        </w:tc>
        <w:tc>
          <w:tcPr>
            <w:tcW w:w="965" w:type="pct"/>
          </w:tcPr>
          <w:p w14:paraId="4D7CC62F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>
              <w:rPr>
                <w:rFonts w:cs="Times New Roman"/>
                <w:color w:val="auto"/>
                <w:sz w:val="20"/>
                <w:szCs w:val="20"/>
              </w:rPr>
              <w:t>elf-reported menstrual pattern)</w:t>
            </w:r>
          </w:p>
        </w:tc>
        <w:tc>
          <w:tcPr>
            <w:tcW w:w="1319" w:type="pct"/>
          </w:tcPr>
          <w:p w14:paraId="46CBC799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C12D2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Working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d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igit span backwards)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C12D2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fluency tasks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, TMT-B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C12D2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inhibitory control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(Stroop task)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C12D27">
              <w:rPr>
                <w:rFonts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C12D2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lanning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(Porteus Labyrinth)</w:t>
            </w:r>
          </w:p>
          <w:p w14:paraId="12B5203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49A1731C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any task.</w:t>
            </w:r>
          </w:p>
        </w:tc>
        <w:tc>
          <w:tcPr>
            <w:tcW w:w="358" w:type="pct"/>
          </w:tcPr>
          <w:p w14:paraId="51C9DB8D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693BF314" w14:textId="77777777" w:rsidTr="00F330E8">
        <w:trPr>
          <w:cantSplit/>
        </w:trPr>
        <w:tc>
          <w:tcPr>
            <w:tcW w:w="406" w:type="pct"/>
          </w:tcPr>
          <w:p w14:paraId="27AC98C4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lastRenderedPageBreak/>
              <w:t>Metcalf et al. (2022), USA</w:t>
            </w:r>
          </w:p>
        </w:tc>
        <w:tc>
          <w:tcPr>
            <w:tcW w:w="763" w:type="pct"/>
          </w:tcPr>
          <w:p w14:paraId="236D69C7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167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44.65,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3.95, range = 35-47 yrs)</w:t>
            </w:r>
          </w:p>
          <w:p w14:paraId="377FB137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38BE4E1E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77C7A525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3A52E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Verbal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(Buschke Selective Reminding Test)</w:t>
            </w:r>
          </w:p>
        </w:tc>
        <w:tc>
          <w:tcPr>
            <w:tcW w:w="1189" w:type="pct"/>
          </w:tcPr>
          <w:p w14:paraId="41176AE3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•Pre &gt; Peri and Post in verbal memory.</w:t>
            </w:r>
          </w:p>
        </w:tc>
        <w:tc>
          <w:tcPr>
            <w:tcW w:w="358" w:type="pct"/>
          </w:tcPr>
          <w:p w14:paraId="3A6C566A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E7DED" w:rsidRPr="00CD4975" w14:paraId="4328DD4A" w14:textId="77777777" w:rsidTr="00F330E8">
        <w:trPr>
          <w:cantSplit/>
        </w:trPr>
        <w:tc>
          <w:tcPr>
            <w:tcW w:w="406" w:type="pct"/>
          </w:tcPr>
          <w:p w14:paraId="3BE9268D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Mosconi et al. (2017), USA</w:t>
            </w:r>
          </w:p>
        </w:tc>
        <w:tc>
          <w:tcPr>
            <w:tcW w:w="763" w:type="pct"/>
          </w:tcPr>
          <w:p w14:paraId="7A78B25B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62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50.0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6.0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40-60 yrs)</w:t>
            </w:r>
          </w:p>
        </w:tc>
        <w:tc>
          <w:tcPr>
            <w:tcW w:w="965" w:type="pct"/>
          </w:tcPr>
          <w:p w14:paraId="035F43AD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78B3E5A3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2E3E92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immediate &amp; delayed recall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 xml:space="preserve">processing speed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digit symbol substitution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8A7939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language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o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bject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n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aming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t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WAIS vocabulary)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9738D2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visuospatial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b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lock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d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esign)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9738D2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global cogniti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on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(MMSE)</w:t>
            </w:r>
          </w:p>
          <w:p w14:paraId="287D9B5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75BD65FE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•Pre &gt; Peri &gt; Post in memory tasks.</w:t>
            </w:r>
          </w:p>
          <w:p w14:paraId="7DFEB81B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•Pre and Peri &gt; Post in processing speed.</w:t>
            </w:r>
          </w:p>
          <w:p w14:paraId="2FE9E74F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•No group differences in language, visuospatial ability, and global cognition. </w:t>
            </w:r>
          </w:p>
        </w:tc>
        <w:tc>
          <w:tcPr>
            <w:tcW w:w="358" w:type="pct"/>
          </w:tcPr>
          <w:p w14:paraId="3B5B9326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0E7DED" w:rsidRPr="00CD4975" w14:paraId="6E77C1CF" w14:textId="77777777" w:rsidTr="00F330E8">
        <w:trPr>
          <w:cantSplit/>
        </w:trPr>
        <w:tc>
          <w:tcPr>
            <w:tcW w:w="406" w:type="pct"/>
          </w:tcPr>
          <w:p w14:paraId="11BE3A79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Mosconi et al. (2024), USA</w:t>
            </w:r>
          </w:p>
        </w:tc>
        <w:tc>
          <w:tcPr>
            <w:tcW w:w="763" w:type="pct"/>
          </w:tcPr>
          <w:p w14:paraId="49D5FE9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60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50.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0,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40-65 yrs)</w:t>
            </w:r>
          </w:p>
        </w:tc>
        <w:tc>
          <w:tcPr>
            <w:tcW w:w="965" w:type="pct"/>
          </w:tcPr>
          <w:p w14:paraId="3194970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2C73063E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2E3E92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Verbal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(immediate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&amp;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delayed recall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tasks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cognitive </w:t>
            </w:r>
            <w:r w:rsidRPr="002E3E92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(TMT-B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, verbal fluency tasks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l</w:t>
            </w:r>
            <w:r w:rsidRPr="002E3E92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anguage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(object naming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task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  <w:p w14:paraId="53C3476C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0597DE58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any task.</w:t>
            </w:r>
          </w:p>
        </w:tc>
        <w:tc>
          <w:tcPr>
            <w:tcW w:w="358" w:type="pct"/>
          </w:tcPr>
          <w:p w14:paraId="2E397CDC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0E7DED" w:rsidRPr="00CD4975" w14:paraId="1883FEBF" w14:textId="77777777" w:rsidTr="00F330E8">
        <w:trPr>
          <w:cantSplit/>
        </w:trPr>
        <w:tc>
          <w:tcPr>
            <w:tcW w:w="406" w:type="pct"/>
          </w:tcPr>
          <w:p w14:paraId="035323C1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Nagda et al. (2023), India</w:t>
            </w:r>
          </w:p>
        </w:tc>
        <w:tc>
          <w:tcPr>
            <w:tcW w:w="763" w:type="pct"/>
          </w:tcPr>
          <w:p w14:paraId="278F58D7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105 women across peri/post (range = 45-55 yrs)</w:t>
            </w:r>
          </w:p>
          <w:p w14:paraId="414FECA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3236842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Other criteria</w:t>
            </w:r>
          </w:p>
        </w:tc>
        <w:tc>
          <w:tcPr>
            <w:tcW w:w="1319" w:type="pct"/>
          </w:tcPr>
          <w:p w14:paraId="7078C2ED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 xml:space="preserve">Global cognition </w:t>
            </w:r>
          </w:p>
          <w:p w14:paraId="63DAFA7A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(Addenbrooke’s Cognitive Examination)</w:t>
            </w:r>
          </w:p>
          <w:p w14:paraId="62C8083D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2EF0F7E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global cognition.</w:t>
            </w:r>
          </w:p>
        </w:tc>
        <w:tc>
          <w:tcPr>
            <w:tcW w:w="358" w:type="pct"/>
          </w:tcPr>
          <w:p w14:paraId="6D6360C3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0E7DED" w:rsidRPr="00CD4975" w14:paraId="70B3B94D" w14:textId="77777777" w:rsidTr="00F330E8">
        <w:trPr>
          <w:cantSplit/>
        </w:trPr>
        <w:tc>
          <w:tcPr>
            <w:tcW w:w="406" w:type="pct"/>
          </w:tcPr>
          <w:p w14:paraId="1AD09A10" w14:textId="77777777" w:rsidR="000E7DED" w:rsidRPr="00CD4975" w:rsidRDefault="000E7DED" w:rsidP="00F330E8">
            <w:pPr>
              <w:rPr>
                <w:rFonts w:cs="Times New Roman"/>
                <w:color w:val="auto"/>
              </w:rPr>
            </w:pPr>
            <w:r w:rsidRPr="00CD4975">
              <w:rPr>
                <w:rFonts w:eastAsia="Times New Roman" w:cs="Times New Roman"/>
                <w:color w:val="auto"/>
                <w:sz w:val="20"/>
                <w:szCs w:val="20"/>
              </w:rPr>
              <w:t>Page et al. (2023), USA</w:t>
            </w:r>
          </w:p>
        </w:tc>
        <w:tc>
          <w:tcPr>
            <w:tcW w:w="763" w:type="pct"/>
          </w:tcPr>
          <w:p w14:paraId="4FB325E3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</w:t>
            </w:r>
            <w:r>
              <w:rPr>
                <w:rFonts w:cs="Times New Roman"/>
                <w:color w:val="auto"/>
                <w:sz w:val="20"/>
                <w:szCs w:val="20"/>
              </w:rPr>
              <w:t>,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971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49.0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4.4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35-65 yrs)</w:t>
            </w:r>
          </w:p>
          <w:p w14:paraId="26C159A5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6298E32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1E4F7C0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F16A53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Global cognition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Brown Attention Deficit Disorder Scale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 – self-report</w:t>
            </w:r>
          </w:p>
        </w:tc>
        <w:tc>
          <w:tcPr>
            <w:tcW w:w="1189" w:type="pct"/>
          </w:tcPr>
          <w:p w14:paraId="6A55F41A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•Peri &lt; Pre and Post in global cognition.</w:t>
            </w:r>
          </w:p>
        </w:tc>
        <w:tc>
          <w:tcPr>
            <w:tcW w:w="358" w:type="pct"/>
          </w:tcPr>
          <w:p w14:paraId="7E82884C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058F4F87" w14:textId="77777777" w:rsidTr="00F330E8">
        <w:trPr>
          <w:cantSplit/>
        </w:trPr>
        <w:tc>
          <w:tcPr>
            <w:tcW w:w="406" w:type="pct"/>
          </w:tcPr>
          <w:p w14:paraId="39D8BC2E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Raggio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CD4975">
              <w:rPr>
                <w:rFonts w:cs="Times New Roman"/>
                <w:color w:val="auto"/>
                <w:sz w:val="20"/>
                <w:szCs w:val="20"/>
              </w:rPr>
              <w:t>(2015), USA</w:t>
            </w:r>
          </w:p>
        </w:tc>
        <w:tc>
          <w:tcPr>
            <w:tcW w:w="763" w:type="pct"/>
          </w:tcPr>
          <w:p w14:paraId="4AB7F84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45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53.6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6.6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40-63 yrs)</w:t>
            </w:r>
          </w:p>
        </w:tc>
        <w:tc>
          <w:tcPr>
            <w:tcW w:w="965" w:type="pct"/>
          </w:tcPr>
          <w:p w14:paraId="0EBC3474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Other criteria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65350142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832018">
              <w:rPr>
                <w:rFonts w:eastAsia="Times New Roman" w:cs="Times New Roman"/>
                <w:bCs w:val="0"/>
                <w:i/>
                <w:iCs/>
                <w:color w:val="auto"/>
                <w:sz w:val="20"/>
                <w:szCs w:val="20"/>
              </w:rPr>
              <w:t>Global cognition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 (MoCA)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, </w:t>
            </w:r>
            <w:r w:rsidRPr="00832018">
              <w:rPr>
                <w:rFonts w:eastAsia="Times New Roman" w:cs="Times New Roman"/>
                <w:bCs w:val="0"/>
                <w:i/>
                <w:iCs/>
                <w:color w:val="auto"/>
                <w:sz w:val="20"/>
                <w:szCs w:val="20"/>
              </w:rPr>
              <w:t>memory</w:t>
            </w:r>
          </w:p>
          <w:p w14:paraId="3D7E26E1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(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Buschke Selective Reminding Test)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,</w:t>
            </w:r>
          </w:p>
          <w:p w14:paraId="2BA660C7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832018">
              <w:rPr>
                <w:rFonts w:eastAsia="Times New Roman" w:cs="Times New Roman"/>
                <w:bCs w:val="0"/>
                <w:i/>
                <w:iCs/>
                <w:color w:val="auto"/>
                <w:sz w:val="20"/>
                <w:szCs w:val="20"/>
              </w:rPr>
              <w:t>working memory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d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igit 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s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pan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, </w:t>
            </w:r>
            <w:r>
              <w:rPr>
                <w:rFonts w:eastAsia="Times New Roman" w:cs="Times New Roman"/>
                <w:bCs w:val="0"/>
                <w:i/>
                <w:iCs/>
                <w:color w:val="auto"/>
                <w:sz w:val="20"/>
                <w:szCs w:val="20"/>
              </w:rPr>
              <w:t>n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-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b</w:t>
            </w:r>
            <w:r w:rsidRPr="009F35CF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ack)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, </w:t>
            </w:r>
            <w:r w:rsidRPr="00825A93">
              <w:rPr>
                <w:rFonts w:eastAsia="Times New Roman" w:cs="Times New Roman"/>
                <w:bCs w:val="0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 (TMT-A), </w:t>
            </w:r>
            <w:r w:rsidRPr="00825A93">
              <w:rPr>
                <w:rFonts w:eastAsia="Times New Roman" w:cs="Times New Roman"/>
                <w:bCs w:val="0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 xml:space="preserve"> (TMT-B, controlled word association test)</w:t>
            </w:r>
          </w:p>
          <w:p w14:paraId="28DB805F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07D87A55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•Early Post &lt; Peri and Late Post in memory.</w:t>
            </w:r>
          </w:p>
          <w:p w14:paraId="16D9BCBD" w14:textId="77777777" w:rsidR="000E7DED" w:rsidRPr="00485D3B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group differences in any other task.</w:t>
            </w:r>
          </w:p>
        </w:tc>
        <w:tc>
          <w:tcPr>
            <w:tcW w:w="358" w:type="pct"/>
          </w:tcPr>
          <w:p w14:paraId="3A2A586E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599E82FB" w14:textId="77777777" w:rsidTr="00F330E8">
        <w:trPr>
          <w:cantSplit/>
        </w:trPr>
        <w:tc>
          <w:tcPr>
            <w:tcW w:w="406" w:type="pct"/>
          </w:tcPr>
          <w:p w14:paraId="65EAA02B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lastRenderedPageBreak/>
              <w:t>Rentz et al. (2017), USA</w:t>
            </w:r>
          </w:p>
        </w:tc>
        <w:tc>
          <w:tcPr>
            <w:tcW w:w="763" w:type="pct"/>
          </w:tcPr>
          <w:p w14:paraId="750F7F50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105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49.8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2.0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45-55 yrs)</w:t>
            </w:r>
          </w:p>
        </w:tc>
        <w:tc>
          <w:tcPr>
            <w:tcW w:w="965" w:type="pct"/>
          </w:tcPr>
          <w:p w14:paraId="6E941D4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+ hormonal biomarkers)</w:t>
            </w:r>
          </w:p>
        </w:tc>
        <w:tc>
          <w:tcPr>
            <w:tcW w:w="1319" w:type="pct"/>
          </w:tcPr>
          <w:p w14:paraId="4333A7A0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D21A3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f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ace-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n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ame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a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ssociative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m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emory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e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xam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, s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elective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r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eminding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t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est)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D21A37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working memory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d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igit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s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pan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b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ackward)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, cognitive flexibility (c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ontrolled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o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ral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w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ord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f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luency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t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 xml:space="preserve">language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NART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  <w:p w14:paraId="2FB26A96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6AAFBE94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•Pre and Peri &gt; Post in memory.</w:t>
            </w:r>
          </w:p>
          <w:p w14:paraId="732F158B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group differences in any other task.</w:t>
            </w:r>
          </w:p>
        </w:tc>
        <w:tc>
          <w:tcPr>
            <w:tcW w:w="358" w:type="pct"/>
          </w:tcPr>
          <w:p w14:paraId="705A7745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76548D20" w14:textId="77777777" w:rsidTr="00F330E8">
        <w:trPr>
          <w:cantSplit/>
        </w:trPr>
        <w:tc>
          <w:tcPr>
            <w:tcW w:w="406" w:type="pct"/>
          </w:tcPr>
          <w:p w14:paraId="3113CD32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Schaafsma et al. (2010), Australia</w:t>
            </w:r>
          </w:p>
        </w:tc>
        <w:tc>
          <w:tcPr>
            <w:tcW w:w="763" w:type="pct"/>
          </w:tcPr>
          <w:p w14:paraId="5FB3D43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120 women across pre/peri/post (range = 45-60 yrs)</w:t>
            </w:r>
          </w:p>
        </w:tc>
        <w:tc>
          <w:tcPr>
            <w:tcW w:w="965" w:type="pct"/>
          </w:tcPr>
          <w:p w14:paraId="10E17F7A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35E42CF5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166C7C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(i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mmediate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&amp;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delayed verbal 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166C7C">
              <w:rPr>
                <w:rFonts w:eastAsia="Times New Roman" w:cs="Times New Roman"/>
                <w:color w:val="auto"/>
                <w:sz w:val="20"/>
                <w:szCs w:val="20"/>
              </w:rPr>
              <w:t>Benton Visual Performance test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 w:rsidRPr="00166C7C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(c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ontrolled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o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ral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w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ord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a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ssociation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t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 w:rsidRPr="00F07F3F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d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igit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s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ymbol 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c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oding test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attention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CalCAP</w:t>
            </w:r>
            <w:proofErr w:type="spellEnd"/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computeri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z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ed reaction time tests)</w:t>
            </w:r>
          </w:p>
          <w:p w14:paraId="0D9D9158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70DD8461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•Peri &lt; Pre in delayed memory recall and attention.</w:t>
            </w:r>
          </w:p>
          <w:p w14:paraId="7D2C6BE7" w14:textId="77777777" w:rsidR="000E7DED" w:rsidRPr="00F07F3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group differences in visual memory, cognitive flexibility, or processing speed.</w:t>
            </w:r>
          </w:p>
        </w:tc>
        <w:tc>
          <w:tcPr>
            <w:tcW w:w="358" w:type="pct"/>
          </w:tcPr>
          <w:p w14:paraId="2C348810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1856582C" w14:textId="77777777" w:rsidTr="00F330E8">
        <w:trPr>
          <w:cantSplit/>
        </w:trPr>
        <w:tc>
          <w:tcPr>
            <w:tcW w:w="406" w:type="pct"/>
          </w:tcPr>
          <w:p w14:paraId="24B6F120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CD4975">
              <w:rPr>
                <w:rFonts w:cs="Times New Roman"/>
                <w:color w:val="auto"/>
                <w:sz w:val="20"/>
                <w:szCs w:val="20"/>
              </w:rPr>
              <w:t>Schelbaum</w:t>
            </w:r>
            <w:proofErr w:type="spellEnd"/>
            <w:r w:rsidRPr="00CD4975">
              <w:rPr>
                <w:rFonts w:cs="Times New Roman"/>
                <w:color w:val="auto"/>
                <w:sz w:val="20"/>
                <w:szCs w:val="20"/>
              </w:rPr>
              <w:t xml:space="preserve"> et al. (2021), USA</w:t>
            </w:r>
          </w:p>
        </w:tc>
        <w:tc>
          <w:tcPr>
            <w:tcW w:w="763" w:type="pct"/>
          </w:tcPr>
          <w:p w14:paraId="194D0CB4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137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52.0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6.0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40-65 yrs)</w:t>
            </w:r>
          </w:p>
        </w:tc>
        <w:tc>
          <w:tcPr>
            <w:tcW w:w="965" w:type="pct"/>
          </w:tcPr>
          <w:p w14:paraId="3BED1215" w14:textId="77777777" w:rsidR="000E7DED" w:rsidRPr="00E56C8F" w:rsidRDefault="000E7DED" w:rsidP="00F330E8">
            <w:pPr>
              <w:rPr>
                <w:rFonts w:cs="Times New Roman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+ hormonal biomarkers)</w:t>
            </w:r>
          </w:p>
        </w:tc>
        <w:tc>
          <w:tcPr>
            <w:tcW w:w="1319" w:type="pct"/>
          </w:tcPr>
          <w:p w14:paraId="10DB8E6B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2D1E7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(Rey Auditory Verbal Learning Test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,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logical memory delayed recall tests), </w:t>
            </w:r>
            <w:r w:rsidRPr="002D1E7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TMT-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F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AS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), </w:t>
            </w:r>
            <w:r w:rsidRPr="002D1E76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language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(object naming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test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  <w:p w14:paraId="51F349BB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7D6060DF" w14:textId="77777777" w:rsidR="000E7DED" w:rsidRPr="002D1E76" w:rsidRDefault="000E7DED" w:rsidP="00F330E8">
            <w:pPr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group differences in any task.</w:t>
            </w:r>
          </w:p>
        </w:tc>
        <w:tc>
          <w:tcPr>
            <w:tcW w:w="358" w:type="pct"/>
          </w:tcPr>
          <w:p w14:paraId="75715853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3F239A67" w14:textId="77777777" w:rsidTr="00F330E8">
        <w:trPr>
          <w:cantSplit/>
        </w:trPr>
        <w:tc>
          <w:tcPr>
            <w:tcW w:w="406" w:type="pct"/>
          </w:tcPr>
          <w:p w14:paraId="438158BD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Tirkkonen et al. (2022), Finland</w:t>
            </w:r>
          </w:p>
        </w:tc>
        <w:tc>
          <w:tcPr>
            <w:tcW w:w="763" w:type="pct"/>
          </w:tcPr>
          <w:p w14:paraId="543632CF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342 women across 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early/late peri and post 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51.2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1.9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965" w:type="pct"/>
          </w:tcPr>
          <w:p w14:paraId="3E481B79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Other criteria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+ hormonal biomarkers)</w:t>
            </w:r>
          </w:p>
        </w:tc>
        <w:tc>
          <w:tcPr>
            <w:tcW w:w="1319" w:type="pct"/>
          </w:tcPr>
          <w:p w14:paraId="6F52B67D" w14:textId="77777777" w:rsidR="000E7DED" w:rsidRPr="009F35CF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6D5C15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(TMT-A), </w:t>
            </w:r>
            <w:r w:rsidRPr="006D5C15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(TMT-B, v</w:t>
            </w:r>
            <w:r w:rsidRPr="009F35CF">
              <w:rPr>
                <w:rFonts w:eastAsia="Times New Roman" w:cs="Times New Roman"/>
                <w:color w:val="auto"/>
                <w:sz w:val="20"/>
                <w:szCs w:val="20"/>
              </w:rPr>
              <w:t>erbal fluency test)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, </w:t>
            </w:r>
            <w:r w:rsidRPr="006D5C15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working 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(digit span, word list test), </w:t>
            </w:r>
            <w:r w:rsidRPr="006D5C15">
              <w:rPr>
                <w:rFonts w:eastAsia="Times New Roman"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(family pictures)</w:t>
            </w:r>
          </w:p>
          <w:p w14:paraId="532FC8D4" w14:textId="77777777" w:rsidR="000E7DED" w:rsidRPr="009F35CF" w:rsidRDefault="000E7DED" w:rsidP="00F330E8">
            <w:pPr>
              <w:rPr>
                <w:rFonts w:eastAsia="Aptos" w:cs="Times New Roman"/>
                <w:color w:val="auto"/>
                <w:sz w:val="20"/>
                <w:szCs w:val="20"/>
              </w:rPr>
            </w:pPr>
          </w:p>
          <w:p w14:paraId="6B384AC0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69988A81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changes in cognitive flexibility (verbal fluency) or working memory (digit span).</w:t>
            </w:r>
          </w:p>
          <w:p w14:paraId="1C06604A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•Post &gt; Peri (early and late) in processing speed (TMT-A), memory (word lists).</w:t>
            </w:r>
          </w:p>
          <w:p w14:paraId="3BA8C02A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•Post &gt; Peri (late) cognitive flexibility (TMT-B), memory (family pictures).</w:t>
            </w:r>
          </w:p>
          <w:p w14:paraId="53E0D776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58" w:type="pct"/>
          </w:tcPr>
          <w:p w14:paraId="73B6994A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</w:tr>
      <w:tr w:rsidR="000E7DED" w:rsidRPr="00CD4975" w14:paraId="15E4D106" w14:textId="77777777" w:rsidTr="00F330E8">
        <w:trPr>
          <w:cantSplit/>
        </w:trPr>
        <w:tc>
          <w:tcPr>
            <w:tcW w:w="406" w:type="pct"/>
          </w:tcPr>
          <w:p w14:paraId="53E73842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lastRenderedPageBreak/>
              <w:t>Tuomisto et al. (2012), Finland</w:t>
            </w:r>
          </w:p>
        </w:tc>
        <w:tc>
          <w:tcPr>
            <w:tcW w:w="763" w:type="pct"/>
          </w:tcPr>
          <w:p w14:paraId="686629D2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48 women across 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47.7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2.3</w:t>
            </w: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, range = 43-71 yrs)</w:t>
            </w:r>
          </w:p>
        </w:tc>
        <w:tc>
          <w:tcPr>
            <w:tcW w:w="965" w:type="pct"/>
          </w:tcPr>
          <w:p w14:paraId="325F4212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Other criteria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+ hormonal biomarkers)</w:t>
            </w:r>
          </w:p>
        </w:tc>
        <w:tc>
          <w:tcPr>
            <w:tcW w:w="1319" w:type="pct"/>
          </w:tcPr>
          <w:p w14:paraId="0B766BC8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(Rey Auditory-Verbal Learning Test, Benton Visual Retention Test)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, attention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(PASAT, vigilance),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(digit symbol, simple reaction time, choice reaction time),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visuospatial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(block design),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working memory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(digit span, subtraction, verification),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language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(similarities), </w:t>
            </w:r>
            <w:r w:rsidRPr="00BF2BEE">
              <w:rPr>
                <w:rFonts w:cs="Times New Roman"/>
                <w:i/>
                <w:iCs/>
                <w:color w:val="auto"/>
                <w:sz w:val="20"/>
                <w:szCs w:val="20"/>
              </w:rPr>
              <w:t>inhibitory control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(Stroop)</w:t>
            </w:r>
          </w:p>
          <w:p w14:paraId="591196D2" w14:textId="77777777" w:rsidR="000E7DED" w:rsidRPr="002C15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12D3D4DA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•Peri &gt; Post in visuospatial, processing speed, attention, inhibitory control, and some memory tasks.</w:t>
            </w:r>
          </w:p>
          <w:p w14:paraId="63996B83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•No group differences in language, working memory, and verbal memory (Rey Auditory-Verbal Learning Test).</w:t>
            </w:r>
          </w:p>
        </w:tc>
        <w:tc>
          <w:tcPr>
            <w:tcW w:w="358" w:type="pct"/>
          </w:tcPr>
          <w:p w14:paraId="0FBE62E6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639CFD21" w14:textId="77777777" w:rsidTr="00F330E8">
        <w:trPr>
          <w:cantSplit/>
        </w:trPr>
        <w:tc>
          <w:tcPr>
            <w:tcW w:w="406" w:type="pct"/>
          </w:tcPr>
          <w:p w14:paraId="063380E4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CD4975">
              <w:rPr>
                <w:rFonts w:cs="Times New Roman"/>
                <w:color w:val="auto"/>
                <w:sz w:val="20"/>
                <w:szCs w:val="20"/>
              </w:rPr>
              <w:t>Unkenstein</w:t>
            </w:r>
            <w:proofErr w:type="spellEnd"/>
            <w:r w:rsidRPr="00CD4975">
              <w:rPr>
                <w:rFonts w:cs="Times New Roman"/>
                <w:color w:val="auto"/>
                <w:sz w:val="20"/>
                <w:szCs w:val="20"/>
              </w:rPr>
              <w:t xml:space="preserve"> et al. (2016), Australia</w:t>
            </w:r>
          </w:p>
        </w:tc>
        <w:tc>
          <w:tcPr>
            <w:tcW w:w="763" w:type="pct"/>
          </w:tcPr>
          <w:p w14:paraId="00E456AA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130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49.89,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4.19, range = 40-60 yrs)</w:t>
            </w:r>
          </w:p>
        </w:tc>
        <w:tc>
          <w:tcPr>
            <w:tcW w:w="965" w:type="pct"/>
          </w:tcPr>
          <w:p w14:paraId="52DD7533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14E5FD46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Memory 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(immediate &amp; delayed recall tasks),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working memory 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(digit span), </w:t>
            </w:r>
            <w:r w:rsidRPr="00E21234">
              <w:rPr>
                <w:rFonts w:cs="Times New Roman"/>
                <w:i/>
                <w:iCs/>
                <w:color w:val="auto"/>
                <w:sz w:val="20"/>
                <w:szCs w:val="20"/>
              </w:rPr>
              <w:t>c</w:t>
            </w:r>
            <w:r w:rsidRPr="00772CEF">
              <w:rPr>
                <w:rFonts w:cs="Times New Roman"/>
                <w:i/>
                <w:iCs/>
                <w:color w:val="auto"/>
                <w:sz w:val="20"/>
                <w:szCs w:val="20"/>
              </w:rPr>
              <w:t>ognitive flexibility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(TMT-B, fluency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tasks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>)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r w:rsidRPr="00772CEF">
              <w:rPr>
                <w:rFonts w:cs="Times New Roman"/>
                <w:i/>
                <w:iCs/>
                <w:color w:val="auto"/>
                <w:sz w:val="20"/>
                <w:szCs w:val="20"/>
              </w:rPr>
              <w:t>processing speed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(digit symbol),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inhibitory control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(Stroop),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language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(Boston Naming Test),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global cognition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(Visual Elevator Time)</w:t>
            </w:r>
          </w:p>
          <w:p w14:paraId="563219E8" w14:textId="77777777" w:rsidR="000E7DED" w:rsidRPr="00E21234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5B18AAF4" w14:textId="77777777" w:rsidR="000E7DED" w:rsidRPr="00E21234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any task.</w:t>
            </w:r>
          </w:p>
        </w:tc>
        <w:tc>
          <w:tcPr>
            <w:tcW w:w="358" w:type="pct"/>
          </w:tcPr>
          <w:p w14:paraId="5C632C07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1B35EF75" w14:textId="77777777" w:rsidTr="00F330E8">
        <w:trPr>
          <w:cantSplit/>
        </w:trPr>
        <w:tc>
          <w:tcPr>
            <w:tcW w:w="406" w:type="pct"/>
          </w:tcPr>
          <w:p w14:paraId="18A7CD1B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Weber et al. (2013), USA</w:t>
            </w:r>
          </w:p>
        </w:tc>
        <w:tc>
          <w:tcPr>
            <w:tcW w:w="763" w:type="pct"/>
          </w:tcPr>
          <w:p w14:paraId="787450C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117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48.72,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4.06, range = 40-60 yrs)</w:t>
            </w:r>
          </w:p>
        </w:tc>
        <w:tc>
          <w:tcPr>
            <w:tcW w:w="965" w:type="pct"/>
          </w:tcPr>
          <w:p w14:paraId="214C0FE7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7E0AE582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Attention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(D2 Test of Attention),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working memory 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(digit span, letter-number sequencing),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cognitive flexibility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(controlled oral word association test, fluency tasks),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visuospatial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(Hooper visual organization test), </w:t>
            </w: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(Rey Auditory Verbal Learning Test)</w:t>
            </w:r>
          </w:p>
          <w:p w14:paraId="0313AF35" w14:textId="77777777" w:rsidR="000E7DED" w:rsidRPr="00E21234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89" w:type="pct"/>
          </w:tcPr>
          <w:p w14:paraId="253524DA" w14:textId="77777777" w:rsidR="000E7DED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•Post &lt; Peri and Pre in attention, working memory, memory.</w:t>
            </w:r>
          </w:p>
          <w:p w14:paraId="02D37334" w14:textId="77777777" w:rsidR="000E7DED" w:rsidRPr="00E21234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•No group differences in cognitive flexibility and visuospatial ability.</w:t>
            </w:r>
          </w:p>
        </w:tc>
        <w:tc>
          <w:tcPr>
            <w:tcW w:w="358" w:type="pct"/>
          </w:tcPr>
          <w:p w14:paraId="04F73842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</w:tr>
      <w:tr w:rsidR="000E7DED" w:rsidRPr="00CD4975" w14:paraId="28A7CA1B" w14:textId="77777777" w:rsidTr="00F330E8">
        <w:trPr>
          <w:cantSplit/>
        </w:trPr>
        <w:tc>
          <w:tcPr>
            <w:tcW w:w="406" w:type="pct"/>
          </w:tcPr>
          <w:p w14:paraId="7F301DCD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Woods et al. (2000), USA</w:t>
            </w:r>
          </w:p>
        </w:tc>
        <w:tc>
          <w:tcPr>
            <w:tcW w:w="763" w:type="pct"/>
          </w:tcPr>
          <w:p w14:paraId="73F44F46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205 women across 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46.7,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4.4, range = 41-60 yrs)</w:t>
            </w:r>
          </w:p>
          <w:p w14:paraId="7E921428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451C39BE" w14:textId="77777777" w:rsidR="000E7DED" w:rsidRPr="00E56C8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Other criteria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66E00790" w14:textId="77777777" w:rsidR="000E7DED" w:rsidRPr="00F90A18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(perceived memory functioning) – self-report  </w:t>
            </w:r>
          </w:p>
        </w:tc>
        <w:tc>
          <w:tcPr>
            <w:tcW w:w="1189" w:type="pct"/>
          </w:tcPr>
          <w:p w14:paraId="3B8EFB7A" w14:textId="77777777" w:rsidR="000E7DED" w:rsidRPr="00F90A18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•Peri &gt; Post subjective memory complaints.</w:t>
            </w:r>
          </w:p>
        </w:tc>
        <w:tc>
          <w:tcPr>
            <w:tcW w:w="358" w:type="pct"/>
          </w:tcPr>
          <w:p w14:paraId="77523AD4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0E7DED" w:rsidRPr="00CD4975" w14:paraId="16C81F65" w14:textId="77777777" w:rsidTr="00F330E8">
        <w:trPr>
          <w:cantSplit/>
        </w:trPr>
        <w:tc>
          <w:tcPr>
            <w:tcW w:w="406" w:type="pct"/>
          </w:tcPr>
          <w:p w14:paraId="480147A6" w14:textId="77777777" w:rsidR="000E7DED" w:rsidRPr="00CD4975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Zhu et al. (2023), Australia</w:t>
            </w:r>
          </w:p>
        </w:tc>
        <w:tc>
          <w:tcPr>
            <w:tcW w:w="763" w:type="pct"/>
          </w:tcPr>
          <w:p w14:paraId="74267CF9" w14:textId="77777777" w:rsidR="000E7DED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9F35CF">
              <w:rPr>
                <w:rFonts w:cs="Times New Roman"/>
                <w:color w:val="auto"/>
                <w:sz w:val="20"/>
                <w:szCs w:val="20"/>
              </w:rPr>
              <w:t>417 women across pre/peri/post (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M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  <w:vertAlign w:val="subscript"/>
              </w:rPr>
              <w:t>age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50.77, </w:t>
            </w:r>
            <w:r w:rsidRPr="009F35CF">
              <w:rPr>
                <w:rFonts w:cs="Times New Roman"/>
                <w:i/>
                <w:iCs/>
                <w:color w:val="auto"/>
                <w:sz w:val="20"/>
                <w:szCs w:val="20"/>
              </w:rPr>
              <w:t>SD</w:t>
            </w:r>
            <w:r w:rsidRPr="009F35CF">
              <w:rPr>
                <w:rFonts w:cs="Times New Roman"/>
                <w:color w:val="auto"/>
                <w:sz w:val="20"/>
                <w:szCs w:val="20"/>
              </w:rPr>
              <w:t xml:space="preserve"> = 3.52, range = 40-60 yrs)</w:t>
            </w:r>
          </w:p>
          <w:p w14:paraId="03955C37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</w:tcPr>
          <w:p w14:paraId="13FF51EC" w14:textId="77777777" w:rsidR="000E7DED" w:rsidRPr="009F35CF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STRAW+10 (s</w:t>
            </w:r>
            <w:r w:rsidRPr="00143997">
              <w:rPr>
                <w:rFonts w:eastAsia="Times New Roman" w:cs="Times New Roman"/>
                <w:color w:val="auto"/>
                <w:sz w:val="20"/>
                <w:szCs w:val="20"/>
              </w:rPr>
              <w:t>elf-reported menstrual pattern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14:paraId="44F67718" w14:textId="77777777" w:rsidR="000E7DED" w:rsidRPr="00F90A18" w:rsidRDefault="000E7DED" w:rsidP="00F330E8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auto"/>
                <w:sz w:val="20"/>
                <w:szCs w:val="20"/>
              </w:rPr>
              <w:t>Memory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(Everyday Memory Questionnaire)</w:t>
            </w:r>
          </w:p>
        </w:tc>
        <w:tc>
          <w:tcPr>
            <w:tcW w:w="1189" w:type="pct"/>
          </w:tcPr>
          <w:p w14:paraId="3E439B93" w14:textId="77777777" w:rsidR="000E7DED" w:rsidRPr="00F90A18" w:rsidRDefault="000E7DED" w:rsidP="00F330E8">
            <w:pPr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•Peri &gt; Pre and Post subjective memory complaints.</w:t>
            </w:r>
          </w:p>
        </w:tc>
        <w:tc>
          <w:tcPr>
            <w:tcW w:w="358" w:type="pct"/>
          </w:tcPr>
          <w:p w14:paraId="42B437A9" w14:textId="77777777" w:rsidR="000E7DED" w:rsidRPr="00CD4975" w:rsidRDefault="000E7DED" w:rsidP="00F330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D4975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</w:tbl>
    <w:p w14:paraId="3F440BB2" w14:textId="77777777" w:rsidR="00666697" w:rsidRDefault="00666697" w:rsidP="009E6F30">
      <w:pPr>
        <w:ind w:left="-284"/>
        <w:rPr>
          <w:rFonts w:ascii="Times New Roman" w:hAnsi="Times New Roman" w:cs="Times New Roman"/>
          <w:sz w:val="2"/>
          <w:szCs w:val="2"/>
        </w:rPr>
        <w:sectPr w:rsidR="00666697" w:rsidSect="00254EAD">
          <w:head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DC0788" w14:textId="77777777" w:rsidR="00EF67C5" w:rsidRPr="00EF67C5" w:rsidRDefault="00EF67C5">
      <w:pPr>
        <w:rPr>
          <w:rFonts w:ascii="Times New Roman" w:hAnsi="Times New Roman" w:cs="Times New Roman"/>
          <w:b/>
          <w:bCs/>
        </w:rPr>
      </w:pPr>
      <w:r w:rsidRPr="00EF67C5">
        <w:rPr>
          <w:rFonts w:ascii="Times New Roman" w:hAnsi="Times New Roman" w:cs="Times New Roman"/>
          <w:b/>
          <w:bCs/>
        </w:rPr>
        <w:lastRenderedPageBreak/>
        <w:t>Table S3</w:t>
      </w:r>
    </w:p>
    <w:p w14:paraId="3AC322B2" w14:textId="1F6C7148" w:rsidR="00EF67C5" w:rsidRDefault="00EF67C5">
      <w:pPr>
        <w:rPr>
          <w:rFonts w:ascii="Times New Roman" w:hAnsi="Times New Roman" w:cs="Times New Roman"/>
        </w:rPr>
      </w:pPr>
      <w:r w:rsidRPr="00EF67C5">
        <w:rPr>
          <w:rFonts w:ascii="Times New Roman" w:hAnsi="Times New Roman" w:cs="Times New Roman"/>
          <w:i/>
          <w:iCs/>
        </w:rPr>
        <w:t>Summary of</w:t>
      </w:r>
      <w:r>
        <w:rPr>
          <w:rFonts w:ascii="Times New Roman" w:hAnsi="Times New Roman" w:cs="Times New Roman"/>
          <w:i/>
          <w:iCs/>
        </w:rPr>
        <w:t xml:space="preserve"> Effect Sizes for Cognitive Domain Subgroups – Pre-Peri Comparison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127"/>
        <w:gridCol w:w="1127"/>
        <w:gridCol w:w="1127"/>
        <w:gridCol w:w="1126"/>
        <w:gridCol w:w="1163"/>
        <w:gridCol w:w="1126"/>
      </w:tblGrid>
      <w:tr w:rsidR="00EF67C5" w:rsidRPr="00EF67C5" w14:paraId="29BE7841" w14:textId="77777777" w:rsidTr="00EF67C5">
        <w:trPr>
          <w:trHeight w:val="600"/>
        </w:trPr>
        <w:tc>
          <w:tcPr>
            <w:tcW w:w="12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BBF9C3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Domain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69708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  <w:t>k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0EB7D9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  <w:t>g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AFBA4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SE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8A035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95% CI (lower)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AF20BC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95% CI (upper)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879726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  <w:t>p</w:t>
            </w: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-value</w:t>
            </w:r>
          </w:p>
        </w:tc>
      </w:tr>
      <w:tr w:rsidR="00EF67C5" w:rsidRPr="00EF67C5" w14:paraId="5D087CAF" w14:textId="77777777" w:rsidTr="00EF67C5">
        <w:trPr>
          <w:trHeight w:val="397"/>
        </w:trPr>
        <w:tc>
          <w:tcPr>
            <w:tcW w:w="12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181B3A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Attention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D929BB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22C479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-0.67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D8321F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0.57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0792C5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-1.80</w:t>
            </w:r>
          </w:p>
        </w:tc>
        <w:tc>
          <w:tcPr>
            <w:tcW w:w="64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9682A8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0.45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1F40DF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.242</w:t>
            </w:r>
          </w:p>
        </w:tc>
      </w:tr>
      <w:tr w:rsidR="00EF67C5" w:rsidRPr="00EF67C5" w14:paraId="56BA6990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29A41EF7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Cognitive Flexibility</w:t>
            </w:r>
          </w:p>
        </w:tc>
        <w:tc>
          <w:tcPr>
            <w:tcW w:w="624" w:type="pct"/>
            <w:noWrap/>
            <w:vAlign w:val="center"/>
            <w:hideMark/>
          </w:tcPr>
          <w:p w14:paraId="1844B7F5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6</w:t>
            </w:r>
          </w:p>
        </w:tc>
        <w:tc>
          <w:tcPr>
            <w:tcW w:w="624" w:type="pct"/>
            <w:noWrap/>
            <w:vAlign w:val="center"/>
            <w:hideMark/>
          </w:tcPr>
          <w:p w14:paraId="1F51FDC2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0.40</w:t>
            </w:r>
          </w:p>
        </w:tc>
        <w:tc>
          <w:tcPr>
            <w:tcW w:w="624" w:type="pct"/>
            <w:noWrap/>
            <w:vAlign w:val="center"/>
            <w:hideMark/>
          </w:tcPr>
          <w:p w14:paraId="2780C775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0.44</w:t>
            </w:r>
          </w:p>
        </w:tc>
        <w:tc>
          <w:tcPr>
            <w:tcW w:w="624" w:type="pct"/>
            <w:noWrap/>
            <w:vAlign w:val="center"/>
            <w:hideMark/>
          </w:tcPr>
          <w:p w14:paraId="12708E0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-0.47</w:t>
            </w:r>
          </w:p>
        </w:tc>
        <w:tc>
          <w:tcPr>
            <w:tcW w:w="644" w:type="pct"/>
            <w:noWrap/>
            <w:vAlign w:val="center"/>
            <w:hideMark/>
          </w:tcPr>
          <w:p w14:paraId="030550B4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1.27</w:t>
            </w:r>
          </w:p>
        </w:tc>
        <w:tc>
          <w:tcPr>
            <w:tcW w:w="624" w:type="pct"/>
            <w:noWrap/>
            <w:vAlign w:val="center"/>
            <w:hideMark/>
          </w:tcPr>
          <w:p w14:paraId="7DF5B8AB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.365</w:t>
            </w:r>
          </w:p>
        </w:tc>
      </w:tr>
      <w:tr w:rsidR="00EF67C5" w:rsidRPr="00EF67C5" w14:paraId="4010AEC4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4870AA61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Global Cognition</w:t>
            </w:r>
          </w:p>
        </w:tc>
        <w:tc>
          <w:tcPr>
            <w:tcW w:w="624" w:type="pct"/>
            <w:noWrap/>
            <w:vAlign w:val="center"/>
            <w:hideMark/>
          </w:tcPr>
          <w:p w14:paraId="254528C0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11</w:t>
            </w:r>
          </w:p>
        </w:tc>
        <w:tc>
          <w:tcPr>
            <w:tcW w:w="624" w:type="pct"/>
            <w:noWrap/>
            <w:vAlign w:val="center"/>
            <w:hideMark/>
          </w:tcPr>
          <w:p w14:paraId="69391B99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-0.97</w:t>
            </w:r>
          </w:p>
        </w:tc>
        <w:tc>
          <w:tcPr>
            <w:tcW w:w="624" w:type="pct"/>
            <w:noWrap/>
            <w:vAlign w:val="center"/>
            <w:hideMark/>
          </w:tcPr>
          <w:p w14:paraId="4EE4B238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0.75</w:t>
            </w:r>
          </w:p>
        </w:tc>
        <w:tc>
          <w:tcPr>
            <w:tcW w:w="624" w:type="pct"/>
            <w:noWrap/>
            <w:vAlign w:val="center"/>
            <w:hideMark/>
          </w:tcPr>
          <w:p w14:paraId="3695EEED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-2.43</w:t>
            </w:r>
          </w:p>
        </w:tc>
        <w:tc>
          <w:tcPr>
            <w:tcW w:w="644" w:type="pct"/>
            <w:noWrap/>
            <w:vAlign w:val="center"/>
            <w:hideMark/>
          </w:tcPr>
          <w:p w14:paraId="30FBD91C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0.49</w:t>
            </w:r>
          </w:p>
        </w:tc>
        <w:tc>
          <w:tcPr>
            <w:tcW w:w="624" w:type="pct"/>
            <w:noWrap/>
            <w:vAlign w:val="center"/>
            <w:hideMark/>
          </w:tcPr>
          <w:p w14:paraId="48C4C6F0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.192</w:t>
            </w:r>
          </w:p>
        </w:tc>
      </w:tr>
      <w:tr w:rsidR="00EF67C5" w:rsidRPr="00EF67C5" w14:paraId="757105B2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5B0D7D47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Inhibitory Control</w:t>
            </w:r>
          </w:p>
        </w:tc>
        <w:tc>
          <w:tcPr>
            <w:tcW w:w="624" w:type="pct"/>
            <w:noWrap/>
            <w:vAlign w:val="center"/>
            <w:hideMark/>
          </w:tcPr>
          <w:p w14:paraId="2F8BF219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4</w:t>
            </w:r>
          </w:p>
        </w:tc>
        <w:tc>
          <w:tcPr>
            <w:tcW w:w="624" w:type="pct"/>
            <w:noWrap/>
            <w:vAlign w:val="center"/>
            <w:hideMark/>
          </w:tcPr>
          <w:p w14:paraId="26D372BD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-0.39</w:t>
            </w:r>
          </w:p>
        </w:tc>
        <w:tc>
          <w:tcPr>
            <w:tcW w:w="624" w:type="pct"/>
            <w:noWrap/>
            <w:vAlign w:val="center"/>
            <w:hideMark/>
          </w:tcPr>
          <w:p w14:paraId="18E58558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0.28</w:t>
            </w:r>
          </w:p>
        </w:tc>
        <w:tc>
          <w:tcPr>
            <w:tcW w:w="624" w:type="pct"/>
            <w:noWrap/>
            <w:vAlign w:val="center"/>
            <w:hideMark/>
          </w:tcPr>
          <w:p w14:paraId="38393BCA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-0.94</w:t>
            </w:r>
          </w:p>
        </w:tc>
        <w:tc>
          <w:tcPr>
            <w:tcW w:w="644" w:type="pct"/>
            <w:noWrap/>
            <w:vAlign w:val="center"/>
            <w:hideMark/>
          </w:tcPr>
          <w:p w14:paraId="06B77E6A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0.16</w:t>
            </w:r>
          </w:p>
        </w:tc>
        <w:tc>
          <w:tcPr>
            <w:tcW w:w="624" w:type="pct"/>
            <w:noWrap/>
            <w:vAlign w:val="center"/>
            <w:hideMark/>
          </w:tcPr>
          <w:p w14:paraId="48796DAB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.166</w:t>
            </w:r>
          </w:p>
        </w:tc>
      </w:tr>
      <w:tr w:rsidR="00EF67C5" w:rsidRPr="00EF67C5" w14:paraId="3689FEF2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0BF46FEF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Language</w:t>
            </w:r>
          </w:p>
        </w:tc>
        <w:tc>
          <w:tcPr>
            <w:tcW w:w="624" w:type="pct"/>
            <w:noWrap/>
            <w:vAlign w:val="center"/>
            <w:hideMark/>
          </w:tcPr>
          <w:p w14:paraId="3B76D773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5</w:t>
            </w:r>
          </w:p>
        </w:tc>
        <w:tc>
          <w:tcPr>
            <w:tcW w:w="624" w:type="pct"/>
            <w:noWrap/>
            <w:vAlign w:val="center"/>
            <w:hideMark/>
          </w:tcPr>
          <w:p w14:paraId="59343662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0.05</w:t>
            </w:r>
          </w:p>
        </w:tc>
        <w:tc>
          <w:tcPr>
            <w:tcW w:w="624" w:type="pct"/>
            <w:noWrap/>
            <w:vAlign w:val="center"/>
            <w:hideMark/>
          </w:tcPr>
          <w:p w14:paraId="4317451D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0.15</w:t>
            </w:r>
          </w:p>
        </w:tc>
        <w:tc>
          <w:tcPr>
            <w:tcW w:w="624" w:type="pct"/>
            <w:noWrap/>
            <w:vAlign w:val="center"/>
            <w:hideMark/>
          </w:tcPr>
          <w:p w14:paraId="6EC33882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-0.24</w:t>
            </w:r>
          </w:p>
        </w:tc>
        <w:tc>
          <w:tcPr>
            <w:tcW w:w="644" w:type="pct"/>
            <w:noWrap/>
            <w:vAlign w:val="center"/>
            <w:hideMark/>
          </w:tcPr>
          <w:p w14:paraId="525BBE4C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0.34</w:t>
            </w:r>
          </w:p>
        </w:tc>
        <w:tc>
          <w:tcPr>
            <w:tcW w:w="624" w:type="pct"/>
            <w:noWrap/>
            <w:vAlign w:val="center"/>
            <w:hideMark/>
          </w:tcPr>
          <w:p w14:paraId="24A0592E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.743</w:t>
            </w:r>
          </w:p>
        </w:tc>
      </w:tr>
      <w:tr w:rsidR="00EF67C5" w:rsidRPr="00EF67C5" w14:paraId="78875544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67065D75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Memory</w:t>
            </w:r>
          </w:p>
        </w:tc>
        <w:tc>
          <w:tcPr>
            <w:tcW w:w="624" w:type="pct"/>
            <w:noWrap/>
            <w:vAlign w:val="center"/>
            <w:hideMark/>
          </w:tcPr>
          <w:p w14:paraId="7A3C3FA5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14</w:t>
            </w:r>
          </w:p>
        </w:tc>
        <w:tc>
          <w:tcPr>
            <w:tcW w:w="624" w:type="pct"/>
            <w:noWrap/>
            <w:vAlign w:val="center"/>
            <w:hideMark/>
          </w:tcPr>
          <w:p w14:paraId="74629D9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-0.15</w:t>
            </w:r>
          </w:p>
        </w:tc>
        <w:tc>
          <w:tcPr>
            <w:tcW w:w="624" w:type="pct"/>
            <w:noWrap/>
            <w:vAlign w:val="center"/>
            <w:hideMark/>
          </w:tcPr>
          <w:p w14:paraId="0644A56B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0.11</w:t>
            </w:r>
          </w:p>
        </w:tc>
        <w:tc>
          <w:tcPr>
            <w:tcW w:w="624" w:type="pct"/>
            <w:noWrap/>
            <w:vAlign w:val="center"/>
            <w:hideMark/>
          </w:tcPr>
          <w:p w14:paraId="128A9B38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-0.37</w:t>
            </w:r>
          </w:p>
        </w:tc>
        <w:tc>
          <w:tcPr>
            <w:tcW w:w="644" w:type="pct"/>
            <w:noWrap/>
            <w:vAlign w:val="center"/>
            <w:hideMark/>
          </w:tcPr>
          <w:p w14:paraId="6A71604C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0.07</w:t>
            </w:r>
          </w:p>
        </w:tc>
        <w:tc>
          <w:tcPr>
            <w:tcW w:w="624" w:type="pct"/>
            <w:noWrap/>
            <w:vAlign w:val="center"/>
            <w:hideMark/>
          </w:tcPr>
          <w:p w14:paraId="1A88433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.182</w:t>
            </w:r>
          </w:p>
        </w:tc>
      </w:tr>
      <w:tr w:rsidR="00EF67C5" w:rsidRPr="00EF67C5" w14:paraId="45779092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7ADF0C0F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Processing Speed</w:t>
            </w:r>
          </w:p>
        </w:tc>
        <w:tc>
          <w:tcPr>
            <w:tcW w:w="624" w:type="pct"/>
            <w:noWrap/>
            <w:vAlign w:val="center"/>
            <w:hideMark/>
          </w:tcPr>
          <w:p w14:paraId="59DE8D1D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6</w:t>
            </w:r>
          </w:p>
        </w:tc>
        <w:tc>
          <w:tcPr>
            <w:tcW w:w="624" w:type="pct"/>
            <w:noWrap/>
            <w:vAlign w:val="center"/>
            <w:hideMark/>
          </w:tcPr>
          <w:p w14:paraId="49D88081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0.05</w:t>
            </w:r>
          </w:p>
        </w:tc>
        <w:tc>
          <w:tcPr>
            <w:tcW w:w="624" w:type="pct"/>
            <w:noWrap/>
            <w:vAlign w:val="center"/>
            <w:hideMark/>
          </w:tcPr>
          <w:p w14:paraId="11C6AF15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0.03</w:t>
            </w:r>
          </w:p>
        </w:tc>
        <w:tc>
          <w:tcPr>
            <w:tcW w:w="624" w:type="pct"/>
            <w:noWrap/>
            <w:vAlign w:val="center"/>
            <w:hideMark/>
          </w:tcPr>
          <w:p w14:paraId="0E37606B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-0.01</w:t>
            </w:r>
          </w:p>
        </w:tc>
        <w:tc>
          <w:tcPr>
            <w:tcW w:w="644" w:type="pct"/>
            <w:noWrap/>
            <w:vAlign w:val="center"/>
            <w:hideMark/>
          </w:tcPr>
          <w:p w14:paraId="7D7AADA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0.11</w:t>
            </w:r>
          </w:p>
        </w:tc>
        <w:tc>
          <w:tcPr>
            <w:tcW w:w="624" w:type="pct"/>
            <w:noWrap/>
            <w:vAlign w:val="center"/>
            <w:hideMark/>
          </w:tcPr>
          <w:p w14:paraId="6664D621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.119</w:t>
            </w:r>
          </w:p>
        </w:tc>
      </w:tr>
      <w:tr w:rsidR="00EF67C5" w:rsidRPr="00EF67C5" w14:paraId="21E2FC6E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16F2100D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Visuospatial</w:t>
            </w:r>
          </w:p>
        </w:tc>
        <w:tc>
          <w:tcPr>
            <w:tcW w:w="624" w:type="pct"/>
            <w:noWrap/>
            <w:vAlign w:val="center"/>
            <w:hideMark/>
          </w:tcPr>
          <w:p w14:paraId="5F5E827C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3</w:t>
            </w:r>
          </w:p>
        </w:tc>
        <w:tc>
          <w:tcPr>
            <w:tcW w:w="624" w:type="pct"/>
            <w:noWrap/>
            <w:vAlign w:val="center"/>
            <w:hideMark/>
          </w:tcPr>
          <w:p w14:paraId="47C0BEFD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0.69</w:t>
            </w:r>
          </w:p>
        </w:tc>
        <w:tc>
          <w:tcPr>
            <w:tcW w:w="624" w:type="pct"/>
            <w:noWrap/>
            <w:vAlign w:val="center"/>
            <w:hideMark/>
          </w:tcPr>
          <w:p w14:paraId="486BD7FC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0.84</w:t>
            </w:r>
          </w:p>
        </w:tc>
        <w:tc>
          <w:tcPr>
            <w:tcW w:w="624" w:type="pct"/>
            <w:noWrap/>
            <w:vAlign w:val="center"/>
            <w:hideMark/>
          </w:tcPr>
          <w:p w14:paraId="6C49C3D9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-0.96</w:t>
            </w:r>
          </w:p>
        </w:tc>
        <w:tc>
          <w:tcPr>
            <w:tcW w:w="644" w:type="pct"/>
            <w:noWrap/>
            <w:vAlign w:val="center"/>
            <w:hideMark/>
          </w:tcPr>
          <w:p w14:paraId="64EB4BD9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2.34</w:t>
            </w:r>
          </w:p>
        </w:tc>
        <w:tc>
          <w:tcPr>
            <w:tcW w:w="624" w:type="pct"/>
            <w:noWrap/>
            <w:vAlign w:val="center"/>
            <w:hideMark/>
          </w:tcPr>
          <w:p w14:paraId="31C9B2F4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.413</w:t>
            </w:r>
          </w:p>
        </w:tc>
      </w:tr>
      <w:tr w:rsidR="00EF67C5" w:rsidRPr="00EF67C5" w14:paraId="550A200B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1BFACDDF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Working Memory</w:t>
            </w:r>
          </w:p>
        </w:tc>
        <w:tc>
          <w:tcPr>
            <w:tcW w:w="624" w:type="pct"/>
            <w:noWrap/>
            <w:vAlign w:val="center"/>
            <w:hideMark/>
          </w:tcPr>
          <w:p w14:paraId="7FB8A98B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4</w:t>
            </w:r>
          </w:p>
        </w:tc>
        <w:tc>
          <w:tcPr>
            <w:tcW w:w="624" w:type="pct"/>
            <w:noWrap/>
            <w:vAlign w:val="center"/>
            <w:hideMark/>
          </w:tcPr>
          <w:p w14:paraId="6A4D28EA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-0.15</w:t>
            </w:r>
          </w:p>
        </w:tc>
        <w:tc>
          <w:tcPr>
            <w:tcW w:w="624" w:type="pct"/>
            <w:noWrap/>
            <w:vAlign w:val="center"/>
            <w:hideMark/>
          </w:tcPr>
          <w:p w14:paraId="2D2776BF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0.11</w:t>
            </w:r>
          </w:p>
        </w:tc>
        <w:tc>
          <w:tcPr>
            <w:tcW w:w="624" w:type="pct"/>
            <w:noWrap/>
            <w:vAlign w:val="center"/>
            <w:hideMark/>
          </w:tcPr>
          <w:p w14:paraId="5E0339C7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-0.38</w:t>
            </w:r>
          </w:p>
        </w:tc>
        <w:tc>
          <w:tcPr>
            <w:tcW w:w="644" w:type="pct"/>
            <w:noWrap/>
            <w:vAlign w:val="center"/>
            <w:hideMark/>
          </w:tcPr>
          <w:p w14:paraId="3CCC7091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0.07</w:t>
            </w:r>
          </w:p>
        </w:tc>
        <w:tc>
          <w:tcPr>
            <w:tcW w:w="624" w:type="pct"/>
            <w:noWrap/>
            <w:vAlign w:val="center"/>
            <w:hideMark/>
          </w:tcPr>
          <w:p w14:paraId="0A074C63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.187</w:t>
            </w:r>
          </w:p>
        </w:tc>
      </w:tr>
    </w:tbl>
    <w:p w14:paraId="24E6E485" w14:textId="77777777" w:rsidR="00EF67C5" w:rsidRDefault="00EF67C5">
      <w:pPr>
        <w:rPr>
          <w:rFonts w:ascii="Times New Roman" w:hAnsi="Times New Roman" w:cs="Times New Roman"/>
        </w:rPr>
      </w:pPr>
    </w:p>
    <w:p w14:paraId="48D9757E" w14:textId="2F38553A" w:rsidR="00EF67C5" w:rsidRPr="00EF67C5" w:rsidRDefault="00EF67C5" w:rsidP="00EF67C5">
      <w:pPr>
        <w:rPr>
          <w:rFonts w:ascii="Times New Roman" w:hAnsi="Times New Roman" w:cs="Times New Roman"/>
          <w:b/>
          <w:bCs/>
        </w:rPr>
      </w:pPr>
      <w:r w:rsidRPr="00EF67C5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4</w:t>
      </w:r>
    </w:p>
    <w:p w14:paraId="597D3EEF" w14:textId="4D4003E4" w:rsidR="00EF67C5" w:rsidRDefault="00EF67C5" w:rsidP="00EF67C5">
      <w:pPr>
        <w:rPr>
          <w:rFonts w:ascii="Times New Roman" w:hAnsi="Times New Roman" w:cs="Times New Roman"/>
        </w:rPr>
      </w:pPr>
      <w:r w:rsidRPr="00EF67C5">
        <w:rPr>
          <w:rFonts w:ascii="Times New Roman" w:hAnsi="Times New Roman" w:cs="Times New Roman"/>
          <w:i/>
          <w:iCs/>
        </w:rPr>
        <w:t>Summary of</w:t>
      </w:r>
      <w:r>
        <w:rPr>
          <w:rFonts w:ascii="Times New Roman" w:hAnsi="Times New Roman" w:cs="Times New Roman"/>
          <w:i/>
          <w:iCs/>
        </w:rPr>
        <w:t xml:space="preserve"> Effect Sizes for Cognitive Domain Subgroups – Peri-Post Comparison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127"/>
        <w:gridCol w:w="1127"/>
        <w:gridCol w:w="1127"/>
        <w:gridCol w:w="1126"/>
        <w:gridCol w:w="1163"/>
        <w:gridCol w:w="1126"/>
      </w:tblGrid>
      <w:tr w:rsidR="00EF67C5" w:rsidRPr="00EF67C5" w14:paraId="580DAFCA" w14:textId="77777777" w:rsidTr="00EF67C5">
        <w:trPr>
          <w:trHeight w:val="600"/>
        </w:trPr>
        <w:tc>
          <w:tcPr>
            <w:tcW w:w="12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E440B3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Domain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92DFC1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  <w:t>k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9EC8F4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  <w:t>g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900A4F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SE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E87875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95% CI (lower)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61C871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95% CI (upper)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5369C6" w14:textId="7777777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AU" w:eastAsia="en-AU"/>
                <w14:ligatures w14:val="none"/>
              </w:rPr>
              <w:t>p</w:t>
            </w:r>
            <w:r w:rsidRPr="00EF6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AU" w:eastAsia="en-AU"/>
                <w14:ligatures w14:val="none"/>
              </w:rPr>
              <w:t>-value</w:t>
            </w:r>
          </w:p>
        </w:tc>
      </w:tr>
      <w:tr w:rsidR="00EF67C5" w:rsidRPr="00EF67C5" w14:paraId="5ECFD088" w14:textId="77777777" w:rsidTr="00EF67C5">
        <w:trPr>
          <w:trHeight w:val="397"/>
        </w:trPr>
        <w:tc>
          <w:tcPr>
            <w:tcW w:w="12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1DB093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Attention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</w:tcPr>
          <w:p w14:paraId="2E0BC93A" w14:textId="48FD8FDD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</w:tcPr>
          <w:p w14:paraId="15337709" w14:textId="4284EC66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</w:tcPr>
          <w:p w14:paraId="726A5A40" w14:textId="006DE591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</w:tcPr>
          <w:p w14:paraId="75153C1D" w14:textId="130C9D5B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-0.46</w:t>
            </w:r>
          </w:p>
        </w:tc>
        <w:tc>
          <w:tcPr>
            <w:tcW w:w="644" w:type="pct"/>
            <w:tcBorders>
              <w:top w:val="single" w:sz="4" w:space="0" w:color="auto"/>
            </w:tcBorders>
            <w:noWrap/>
            <w:vAlign w:val="center"/>
          </w:tcPr>
          <w:p w14:paraId="4AB00FE8" w14:textId="65FD6FF1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624" w:type="pct"/>
            <w:tcBorders>
              <w:top w:val="single" w:sz="4" w:space="0" w:color="auto"/>
            </w:tcBorders>
            <w:noWrap/>
            <w:vAlign w:val="center"/>
          </w:tcPr>
          <w:p w14:paraId="5F5F1C5C" w14:textId="46BC6B9F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.994</w:t>
            </w:r>
          </w:p>
        </w:tc>
      </w:tr>
      <w:tr w:rsidR="00EF67C5" w:rsidRPr="00EF67C5" w14:paraId="35B69F71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657FECD0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Cognitive Flexibility</w:t>
            </w:r>
          </w:p>
        </w:tc>
        <w:tc>
          <w:tcPr>
            <w:tcW w:w="624" w:type="pct"/>
            <w:noWrap/>
            <w:vAlign w:val="center"/>
          </w:tcPr>
          <w:p w14:paraId="77ACC79E" w14:textId="457986AE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pct"/>
            <w:noWrap/>
            <w:vAlign w:val="center"/>
          </w:tcPr>
          <w:p w14:paraId="3A72F35B" w14:textId="6230ABD5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624" w:type="pct"/>
            <w:noWrap/>
            <w:vAlign w:val="center"/>
          </w:tcPr>
          <w:p w14:paraId="66EEC6BE" w14:textId="003CF66E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624" w:type="pct"/>
            <w:noWrap/>
            <w:vAlign w:val="center"/>
          </w:tcPr>
          <w:p w14:paraId="714B5B4F" w14:textId="3DC68A9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44" w:type="pct"/>
            <w:noWrap/>
            <w:vAlign w:val="center"/>
          </w:tcPr>
          <w:p w14:paraId="72FAE24D" w14:textId="04BF984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624" w:type="pct"/>
            <w:noWrap/>
            <w:vAlign w:val="center"/>
          </w:tcPr>
          <w:p w14:paraId="1DC8A6E0" w14:textId="4541A05A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.053</w:t>
            </w:r>
          </w:p>
        </w:tc>
      </w:tr>
      <w:tr w:rsidR="00EF67C5" w:rsidRPr="00EF67C5" w14:paraId="3789F9FA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3A0F7124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Global Cognition</w:t>
            </w:r>
          </w:p>
        </w:tc>
        <w:tc>
          <w:tcPr>
            <w:tcW w:w="624" w:type="pct"/>
            <w:noWrap/>
            <w:vAlign w:val="center"/>
          </w:tcPr>
          <w:p w14:paraId="7D7449AA" w14:textId="01B17E42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4" w:type="pct"/>
            <w:noWrap/>
            <w:vAlign w:val="center"/>
          </w:tcPr>
          <w:p w14:paraId="713B0BEC" w14:textId="11454A20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24" w:type="pct"/>
            <w:noWrap/>
            <w:vAlign w:val="center"/>
          </w:tcPr>
          <w:p w14:paraId="01453EAB" w14:textId="2A395E2F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624" w:type="pct"/>
            <w:noWrap/>
            <w:vAlign w:val="center"/>
          </w:tcPr>
          <w:p w14:paraId="5881E92E" w14:textId="75DEF029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-0.70</w:t>
            </w:r>
          </w:p>
        </w:tc>
        <w:tc>
          <w:tcPr>
            <w:tcW w:w="644" w:type="pct"/>
            <w:noWrap/>
            <w:vAlign w:val="center"/>
          </w:tcPr>
          <w:p w14:paraId="0ADB795C" w14:textId="04B052DA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4" w:type="pct"/>
            <w:noWrap/>
            <w:vAlign w:val="center"/>
          </w:tcPr>
          <w:p w14:paraId="20CB6FBA" w14:textId="7B6735B5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.530</w:t>
            </w:r>
          </w:p>
        </w:tc>
      </w:tr>
      <w:tr w:rsidR="00EF67C5" w:rsidRPr="00EF67C5" w14:paraId="74915831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4347C9A1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Inhibitory Control</w:t>
            </w:r>
          </w:p>
        </w:tc>
        <w:tc>
          <w:tcPr>
            <w:tcW w:w="624" w:type="pct"/>
            <w:noWrap/>
            <w:vAlign w:val="center"/>
          </w:tcPr>
          <w:p w14:paraId="340F0F37" w14:textId="418449A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pct"/>
            <w:noWrap/>
            <w:vAlign w:val="center"/>
          </w:tcPr>
          <w:p w14:paraId="40C76FC5" w14:textId="0B0A70E6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624" w:type="pct"/>
            <w:noWrap/>
            <w:vAlign w:val="center"/>
          </w:tcPr>
          <w:p w14:paraId="3E17BAA6" w14:textId="2A99EA3E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624" w:type="pct"/>
            <w:noWrap/>
            <w:vAlign w:val="center"/>
          </w:tcPr>
          <w:p w14:paraId="2F60433B" w14:textId="6DBC1953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44" w:type="pct"/>
            <w:noWrap/>
            <w:vAlign w:val="center"/>
          </w:tcPr>
          <w:p w14:paraId="1AFFE881" w14:textId="642465F5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624" w:type="pct"/>
            <w:noWrap/>
            <w:vAlign w:val="center"/>
          </w:tcPr>
          <w:p w14:paraId="66876DEF" w14:textId="63685BEB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.088</w:t>
            </w:r>
          </w:p>
        </w:tc>
      </w:tr>
      <w:tr w:rsidR="00EF67C5" w:rsidRPr="00EF67C5" w14:paraId="0B4765AF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06F13F00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Language</w:t>
            </w:r>
          </w:p>
        </w:tc>
        <w:tc>
          <w:tcPr>
            <w:tcW w:w="624" w:type="pct"/>
            <w:noWrap/>
            <w:vAlign w:val="center"/>
          </w:tcPr>
          <w:p w14:paraId="700A8564" w14:textId="359B2023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pct"/>
            <w:noWrap/>
            <w:vAlign w:val="center"/>
          </w:tcPr>
          <w:p w14:paraId="5EAC357A" w14:textId="1B2CA96C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624" w:type="pct"/>
            <w:noWrap/>
            <w:vAlign w:val="center"/>
          </w:tcPr>
          <w:p w14:paraId="0F8C75BF" w14:textId="1B6C4B62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4" w:type="pct"/>
            <w:noWrap/>
            <w:vAlign w:val="center"/>
          </w:tcPr>
          <w:p w14:paraId="1A8DCD7F" w14:textId="2494BC74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44" w:type="pct"/>
            <w:noWrap/>
            <w:vAlign w:val="center"/>
          </w:tcPr>
          <w:p w14:paraId="4D1141F3" w14:textId="790E7D69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4" w:type="pct"/>
            <w:noWrap/>
            <w:vAlign w:val="center"/>
          </w:tcPr>
          <w:p w14:paraId="2A1BE5B0" w14:textId="3BEE2C1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.078</w:t>
            </w:r>
          </w:p>
        </w:tc>
      </w:tr>
      <w:tr w:rsidR="00EF67C5" w:rsidRPr="00EF67C5" w14:paraId="078EC954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4D14AEC2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Memory</w:t>
            </w:r>
          </w:p>
        </w:tc>
        <w:tc>
          <w:tcPr>
            <w:tcW w:w="624" w:type="pct"/>
            <w:noWrap/>
            <w:vAlign w:val="center"/>
          </w:tcPr>
          <w:p w14:paraId="2D812D8E" w14:textId="3B1E4D71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4" w:type="pct"/>
            <w:noWrap/>
            <w:vAlign w:val="center"/>
          </w:tcPr>
          <w:p w14:paraId="4FBD7BB3" w14:textId="148DAEC9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624" w:type="pct"/>
            <w:noWrap/>
            <w:vAlign w:val="center"/>
          </w:tcPr>
          <w:p w14:paraId="333F5712" w14:textId="1A771A7B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4" w:type="pct"/>
            <w:noWrap/>
            <w:vAlign w:val="center"/>
          </w:tcPr>
          <w:p w14:paraId="1FFC2D99" w14:textId="663FA2C5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pct"/>
            <w:noWrap/>
            <w:vAlign w:val="center"/>
          </w:tcPr>
          <w:p w14:paraId="286E1B2E" w14:textId="32544159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624" w:type="pct"/>
            <w:noWrap/>
            <w:vAlign w:val="center"/>
          </w:tcPr>
          <w:p w14:paraId="231569F6" w14:textId="655BCEBE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.055</w:t>
            </w:r>
          </w:p>
        </w:tc>
      </w:tr>
      <w:tr w:rsidR="00EF67C5" w:rsidRPr="00EF67C5" w14:paraId="36AAC4B4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0BCE4F85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Processing Speed</w:t>
            </w:r>
          </w:p>
        </w:tc>
        <w:tc>
          <w:tcPr>
            <w:tcW w:w="624" w:type="pct"/>
            <w:noWrap/>
            <w:vAlign w:val="center"/>
          </w:tcPr>
          <w:p w14:paraId="04CD570B" w14:textId="0E173FF2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pct"/>
            <w:noWrap/>
            <w:vAlign w:val="center"/>
          </w:tcPr>
          <w:p w14:paraId="5490FD8A" w14:textId="2CFCD020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4" w:type="pct"/>
            <w:noWrap/>
            <w:vAlign w:val="center"/>
          </w:tcPr>
          <w:p w14:paraId="595B67FB" w14:textId="79C931B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24" w:type="pct"/>
            <w:noWrap/>
            <w:vAlign w:val="center"/>
          </w:tcPr>
          <w:p w14:paraId="22B0E1A6" w14:textId="36852E5F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44" w:type="pct"/>
            <w:noWrap/>
            <w:vAlign w:val="center"/>
          </w:tcPr>
          <w:p w14:paraId="76CD727F" w14:textId="2E50B3C7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624" w:type="pct"/>
            <w:noWrap/>
            <w:vAlign w:val="center"/>
          </w:tcPr>
          <w:p w14:paraId="42AE6022" w14:textId="690D94C9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.003</w:t>
            </w:r>
          </w:p>
        </w:tc>
      </w:tr>
      <w:tr w:rsidR="00EF67C5" w:rsidRPr="00EF67C5" w14:paraId="5189B9A2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50490AC0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Visuospatial</w:t>
            </w:r>
          </w:p>
        </w:tc>
        <w:tc>
          <w:tcPr>
            <w:tcW w:w="624" w:type="pct"/>
            <w:noWrap/>
            <w:vAlign w:val="center"/>
          </w:tcPr>
          <w:p w14:paraId="1D2E4E08" w14:textId="4911C566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pct"/>
            <w:noWrap/>
            <w:vAlign w:val="center"/>
          </w:tcPr>
          <w:p w14:paraId="14743A10" w14:textId="49CEC6DA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624" w:type="pct"/>
            <w:noWrap/>
            <w:vAlign w:val="center"/>
          </w:tcPr>
          <w:p w14:paraId="49E43148" w14:textId="1CAF6925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624" w:type="pct"/>
            <w:noWrap/>
            <w:vAlign w:val="center"/>
          </w:tcPr>
          <w:p w14:paraId="52437D35" w14:textId="10618304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644" w:type="pct"/>
            <w:noWrap/>
            <w:vAlign w:val="center"/>
          </w:tcPr>
          <w:p w14:paraId="0227433C" w14:textId="07EBEA60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624" w:type="pct"/>
            <w:noWrap/>
            <w:vAlign w:val="center"/>
          </w:tcPr>
          <w:p w14:paraId="374AF445" w14:textId="008B2804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&lt; .001</w:t>
            </w:r>
          </w:p>
        </w:tc>
      </w:tr>
      <w:tr w:rsidR="00EF67C5" w:rsidRPr="00EF67C5" w14:paraId="6C017534" w14:textId="77777777" w:rsidTr="00EF67C5">
        <w:trPr>
          <w:trHeight w:val="397"/>
        </w:trPr>
        <w:tc>
          <w:tcPr>
            <w:tcW w:w="1235" w:type="pct"/>
            <w:noWrap/>
            <w:vAlign w:val="center"/>
            <w:hideMark/>
          </w:tcPr>
          <w:p w14:paraId="2BA36008" w14:textId="77777777" w:rsidR="00EF67C5" w:rsidRPr="00EF67C5" w:rsidRDefault="00EF67C5" w:rsidP="00EF6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  <w:t>Working Memory</w:t>
            </w:r>
          </w:p>
        </w:tc>
        <w:tc>
          <w:tcPr>
            <w:tcW w:w="624" w:type="pct"/>
            <w:noWrap/>
            <w:vAlign w:val="center"/>
          </w:tcPr>
          <w:p w14:paraId="35A7E720" w14:textId="758ACB56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pct"/>
            <w:noWrap/>
            <w:vAlign w:val="center"/>
          </w:tcPr>
          <w:p w14:paraId="055A96C3" w14:textId="68A790AF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624" w:type="pct"/>
            <w:noWrap/>
            <w:vAlign w:val="center"/>
          </w:tcPr>
          <w:p w14:paraId="7F566C09" w14:textId="7F668B46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4" w:type="pct"/>
            <w:noWrap/>
            <w:vAlign w:val="center"/>
          </w:tcPr>
          <w:p w14:paraId="317B9420" w14:textId="1BF9E661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44" w:type="pct"/>
            <w:noWrap/>
            <w:vAlign w:val="center"/>
          </w:tcPr>
          <w:p w14:paraId="6CEE5707" w14:textId="5D07EB15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624" w:type="pct"/>
            <w:noWrap/>
            <w:vAlign w:val="center"/>
          </w:tcPr>
          <w:p w14:paraId="0E8DABB8" w14:textId="13D26849" w:rsidR="00EF67C5" w:rsidRPr="00EF67C5" w:rsidRDefault="00EF67C5" w:rsidP="00EF6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AU" w:eastAsia="en-AU"/>
                <w14:ligatures w14:val="none"/>
              </w:rPr>
            </w:pPr>
            <w:r w:rsidRPr="00EF67C5">
              <w:rPr>
                <w:rFonts w:ascii="Times New Roman" w:hAnsi="Times New Roman" w:cs="Times New Roman"/>
              </w:rPr>
              <w:t>.101</w:t>
            </w:r>
          </w:p>
        </w:tc>
      </w:tr>
    </w:tbl>
    <w:p w14:paraId="7A71D575" w14:textId="0E246297" w:rsidR="00EF67C5" w:rsidRPr="00EF67C5" w:rsidRDefault="00EF67C5">
      <w:pPr>
        <w:rPr>
          <w:rFonts w:ascii="Times New Roman" w:hAnsi="Times New Roman" w:cs="Times New Roman"/>
        </w:rPr>
      </w:pPr>
      <w:r w:rsidRPr="00EF67C5">
        <w:rPr>
          <w:rFonts w:ascii="Times New Roman" w:hAnsi="Times New Roman" w:cs="Times New Roman"/>
        </w:rPr>
        <w:br w:type="page"/>
      </w:r>
    </w:p>
    <w:p w14:paraId="6B5813A4" w14:textId="7CCA5D7F" w:rsidR="000E7DED" w:rsidRDefault="00666697" w:rsidP="008F1A3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Figure S1</w:t>
      </w:r>
    </w:p>
    <w:p w14:paraId="0B7FAE20" w14:textId="678B511E" w:rsidR="00666697" w:rsidRPr="00666697" w:rsidRDefault="00666697" w:rsidP="008F1A3C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Funnel Plot of </w:t>
      </w:r>
      <w:r w:rsidRPr="00666697">
        <w:rPr>
          <w:rFonts w:ascii="Times New Roman" w:hAnsi="Times New Roman" w:cs="Times New Roman"/>
          <w:i/>
          <w:iCs/>
        </w:rPr>
        <w:t>Effect Sizes for Peri-Pre Comparison Studies</w:t>
      </w:r>
    </w:p>
    <w:p w14:paraId="49E5923E" w14:textId="77777777" w:rsidR="00666697" w:rsidRPr="00CD4975" w:rsidRDefault="00666697" w:rsidP="008F1A3C">
      <w:pPr>
        <w:spacing w:line="240" w:lineRule="auto"/>
        <w:rPr>
          <w:rFonts w:cs="Times New Roman"/>
          <w:lang w:val="en-US"/>
        </w:rPr>
      </w:pPr>
      <w:r w:rsidRPr="00CD4975">
        <w:rPr>
          <w:rFonts w:cs="Times New Roman"/>
          <w:noProof/>
          <w:lang w:val="en-US"/>
        </w:rPr>
        <w:drawing>
          <wp:inline distT="0" distB="0" distL="0" distR="0" wp14:anchorId="2A0C0888" wp14:editId="505B5FFD">
            <wp:extent cx="5603026" cy="3223895"/>
            <wp:effectExtent l="0" t="0" r="0" b="0"/>
            <wp:docPr id="837435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35179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026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8247A" w14:textId="77777777" w:rsidR="00666697" w:rsidRPr="00666697" w:rsidRDefault="00666697" w:rsidP="008F1A3C">
      <w:pPr>
        <w:spacing w:after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6669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666697">
        <w:rPr>
          <w:rFonts w:ascii="Times New Roman" w:hAnsi="Times New Roman" w:cs="Times New Roman"/>
          <w:sz w:val="20"/>
          <w:szCs w:val="20"/>
          <w:lang w:val="en-US"/>
        </w:rPr>
        <w:t xml:space="preserve"> Blank (white) circles represent studies included in the review. Filled (black) circles represent studies imputed by the trim-and-fill analysis. The blank diamond below the plot represents the unadjusted effect size. The filled diamond below the plot represents the estimated effect size adjusted for bias.</w:t>
      </w:r>
    </w:p>
    <w:p w14:paraId="340B2EF7" w14:textId="33CDE4B6" w:rsidR="00666697" w:rsidRDefault="00666697" w:rsidP="008F1A3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S2</w:t>
      </w:r>
    </w:p>
    <w:p w14:paraId="2C15784C" w14:textId="0C56C676" w:rsidR="00666697" w:rsidRPr="00666697" w:rsidRDefault="00666697" w:rsidP="008F1A3C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Funnel Plot of </w:t>
      </w:r>
      <w:r w:rsidRPr="00666697">
        <w:rPr>
          <w:rFonts w:ascii="Times New Roman" w:hAnsi="Times New Roman" w:cs="Times New Roman"/>
          <w:i/>
          <w:iCs/>
        </w:rPr>
        <w:t>Effect Sizes for Peri-</w:t>
      </w:r>
      <w:r>
        <w:rPr>
          <w:rFonts w:ascii="Times New Roman" w:hAnsi="Times New Roman" w:cs="Times New Roman"/>
          <w:i/>
          <w:iCs/>
        </w:rPr>
        <w:t xml:space="preserve">Post </w:t>
      </w:r>
      <w:r w:rsidRPr="00666697">
        <w:rPr>
          <w:rFonts w:ascii="Times New Roman" w:hAnsi="Times New Roman" w:cs="Times New Roman"/>
          <w:i/>
          <w:iCs/>
        </w:rPr>
        <w:t>Comparison Studies</w:t>
      </w:r>
    </w:p>
    <w:p w14:paraId="4EB4C8C9" w14:textId="77777777" w:rsidR="00666697" w:rsidRPr="00CD4975" w:rsidRDefault="00666697" w:rsidP="008F1A3C">
      <w:pPr>
        <w:spacing w:line="240" w:lineRule="auto"/>
        <w:rPr>
          <w:rFonts w:cs="Times New Roman"/>
          <w:lang w:val="en-US"/>
        </w:rPr>
      </w:pPr>
      <w:r w:rsidRPr="00CD4975">
        <w:rPr>
          <w:rFonts w:cs="Times New Roman"/>
          <w:noProof/>
          <w:lang w:val="en-US"/>
        </w:rPr>
        <w:drawing>
          <wp:inline distT="0" distB="0" distL="0" distR="0" wp14:anchorId="56B723A5" wp14:editId="28AD6FAE">
            <wp:extent cx="5553976" cy="3223895"/>
            <wp:effectExtent l="0" t="0" r="8890" b="0"/>
            <wp:docPr id="1548258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58255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976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79F1" w14:textId="670F85B8" w:rsidR="00666697" w:rsidRPr="00666697" w:rsidRDefault="00666697" w:rsidP="008F1A3C">
      <w:pPr>
        <w:spacing w:line="240" w:lineRule="auto"/>
        <w:ind w:left="-284"/>
        <w:rPr>
          <w:rFonts w:ascii="Times New Roman" w:hAnsi="Times New Roman" w:cs="Times New Roman"/>
        </w:rPr>
      </w:pPr>
      <w:r w:rsidRPr="0066669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666697">
        <w:rPr>
          <w:rFonts w:ascii="Times New Roman" w:hAnsi="Times New Roman" w:cs="Times New Roman"/>
          <w:sz w:val="20"/>
          <w:szCs w:val="20"/>
          <w:lang w:val="en-US"/>
        </w:rPr>
        <w:t xml:space="preserve"> Blank (white) circles represent studies included in the review. The blank diamond below the plot represents the unadjusted effect size. The filled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(black) </w:t>
      </w:r>
      <w:r w:rsidRPr="00666697">
        <w:rPr>
          <w:rFonts w:ascii="Times New Roman" w:hAnsi="Times New Roman" w:cs="Times New Roman"/>
          <w:sz w:val="20"/>
          <w:szCs w:val="20"/>
          <w:lang w:val="en-US"/>
        </w:rPr>
        <w:t>diamond below the plot represents the estimated effect size adjusted for bias.</w:t>
      </w:r>
    </w:p>
    <w:sectPr w:rsidR="00666697" w:rsidRPr="00666697" w:rsidSect="00666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E387" w14:textId="77777777" w:rsidR="00712B3B" w:rsidRDefault="00712B3B" w:rsidP="009E6F30">
      <w:pPr>
        <w:spacing w:after="0" w:line="240" w:lineRule="auto"/>
      </w:pPr>
      <w:r>
        <w:separator/>
      </w:r>
    </w:p>
  </w:endnote>
  <w:endnote w:type="continuationSeparator" w:id="0">
    <w:p w14:paraId="6137275C" w14:textId="77777777" w:rsidR="00712B3B" w:rsidRDefault="00712B3B" w:rsidP="009E6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534A" w14:textId="77777777" w:rsidR="00712B3B" w:rsidRDefault="00712B3B" w:rsidP="009E6F30">
      <w:pPr>
        <w:spacing w:after="0" w:line="240" w:lineRule="auto"/>
      </w:pPr>
      <w:r>
        <w:separator/>
      </w:r>
    </w:p>
  </w:footnote>
  <w:footnote w:type="continuationSeparator" w:id="0">
    <w:p w14:paraId="7CE60A25" w14:textId="77777777" w:rsidR="00712B3B" w:rsidRDefault="00712B3B" w:rsidP="009E6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9204593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A7D0AB" w14:textId="0667D86F" w:rsidR="009E6F30" w:rsidRPr="00254EAD" w:rsidRDefault="009E6F30">
        <w:pPr>
          <w:pStyle w:val="Header"/>
          <w:jc w:val="right"/>
          <w:rPr>
            <w:rFonts w:ascii="Times New Roman" w:hAnsi="Times New Roman" w:cs="Times New Roman"/>
          </w:rPr>
        </w:pPr>
        <w:r w:rsidRPr="00254EAD">
          <w:rPr>
            <w:rFonts w:ascii="Times New Roman" w:hAnsi="Times New Roman" w:cs="Times New Roman"/>
          </w:rPr>
          <w:fldChar w:fldCharType="begin"/>
        </w:r>
        <w:r w:rsidRPr="00254EAD">
          <w:rPr>
            <w:rFonts w:ascii="Times New Roman" w:hAnsi="Times New Roman" w:cs="Times New Roman"/>
          </w:rPr>
          <w:instrText xml:space="preserve"> PAGE   \* MERGEFORMAT </w:instrText>
        </w:r>
        <w:r w:rsidRPr="00254EAD">
          <w:rPr>
            <w:rFonts w:ascii="Times New Roman" w:hAnsi="Times New Roman" w:cs="Times New Roman"/>
          </w:rPr>
          <w:fldChar w:fldCharType="separate"/>
        </w:r>
        <w:r w:rsidRPr="00254EAD">
          <w:rPr>
            <w:rFonts w:ascii="Times New Roman" w:hAnsi="Times New Roman" w:cs="Times New Roman"/>
            <w:noProof/>
          </w:rPr>
          <w:t>2</w:t>
        </w:r>
        <w:r w:rsidRPr="00254EA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E08F7E6" w14:textId="77777777" w:rsidR="009E6F30" w:rsidRPr="00254EAD" w:rsidRDefault="009E6F30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5546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FFA0E2" w14:textId="77777777" w:rsidR="000E7DED" w:rsidRPr="000E7DED" w:rsidRDefault="000E7DED">
        <w:pPr>
          <w:pStyle w:val="Header"/>
          <w:jc w:val="right"/>
          <w:rPr>
            <w:rFonts w:ascii="Times New Roman" w:hAnsi="Times New Roman" w:cs="Times New Roman"/>
          </w:rPr>
        </w:pPr>
        <w:r w:rsidRPr="000E7DED">
          <w:rPr>
            <w:rFonts w:ascii="Times New Roman" w:hAnsi="Times New Roman" w:cs="Times New Roman"/>
          </w:rPr>
          <w:fldChar w:fldCharType="begin"/>
        </w:r>
        <w:r w:rsidRPr="000E7DED">
          <w:rPr>
            <w:rFonts w:ascii="Times New Roman" w:hAnsi="Times New Roman" w:cs="Times New Roman"/>
          </w:rPr>
          <w:instrText xml:space="preserve"> PAGE   \* MERGEFORMAT </w:instrText>
        </w:r>
        <w:r w:rsidRPr="000E7DED">
          <w:rPr>
            <w:rFonts w:ascii="Times New Roman" w:hAnsi="Times New Roman" w:cs="Times New Roman"/>
          </w:rPr>
          <w:fldChar w:fldCharType="separate"/>
        </w:r>
        <w:r w:rsidRPr="000E7DED">
          <w:rPr>
            <w:rFonts w:ascii="Times New Roman" w:hAnsi="Times New Roman" w:cs="Times New Roman"/>
            <w:noProof/>
          </w:rPr>
          <w:t>2</w:t>
        </w:r>
        <w:r w:rsidRPr="000E7DE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CBECD9" w14:textId="77777777" w:rsidR="000E7DED" w:rsidRDefault="000E7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30"/>
    <w:rsid w:val="000E5B40"/>
    <w:rsid w:val="000E7DED"/>
    <w:rsid w:val="0018145B"/>
    <w:rsid w:val="00242729"/>
    <w:rsid w:val="00254EAD"/>
    <w:rsid w:val="00360808"/>
    <w:rsid w:val="00577323"/>
    <w:rsid w:val="005D1B64"/>
    <w:rsid w:val="006509F1"/>
    <w:rsid w:val="00666697"/>
    <w:rsid w:val="00712B3B"/>
    <w:rsid w:val="007A375A"/>
    <w:rsid w:val="008D3A4E"/>
    <w:rsid w:val="008F1A3C"/>
    <w:rsid w:val="009662E5"/>
    <w:rsid w:val="009C0BE5"/>
    <w:rsid w:val="009E6F30"/>
    <w:rsid w:val="00A76F76"/>
    <w:rsid w:val="00DC405E"/>
    <w:rsid w:val="00E93A66"/>
    <w:rsid w:val="00E94D1E"/>
    <w:rsid w:val="00EF67C5"/>
    <w:rsid w:val="00F1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297D"/>
  <w15:chartTrackingRefBased/>
  <w15:docId w15:val="{E91EFD8F-1495-4963-B205-CBAF4CC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F3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F3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F3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F3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F30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F3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F3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F3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F3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E6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F3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F3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E6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F3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E6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F3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E6F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6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F3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6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F30"/>
    <w:rPr>
      <w:lang w:val="en-GB"/>
    </w:rPr>
  </w:style>
  <w:style w:type="table" w:styleId="TableGrid">
    <w:name w:val="Table Grid"/>
    <w:basedOn w:val="TableNormal"/>
    <w:uiPriority w:val="39"/>
    <w:rsid w:val="000E7DED"/>
    <w:pPr>
      <w:spacing w:after="0" w:line="240" w:lineRule="auto"/>
    </w:pPr>
    <w:rPr>
      <w:rFonts w:ascii="Times New Roman" w:hAnsi="Times New Roman" w:cs="Segoe UI"/>
      <w:bCs/>
      <w:color w:val="000000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2CB6-D990-4D79-9B45-1311230F57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1978</Words>
  <Characters>11618</Characters>
  <Application>Microsoft Office Word</Application>
  <DocSecurity>0</DocSecurity>
  <Lines>735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Blinded by ofc</dc:creator>
  <cp:keywords/>
  <dc:description/>
  <cp:lastModifiedBy>Maida, Deanna</cp:lastModifiedBy>
  <cp:revision>11</cp:revision>
  <dcterms:created xsi:type="dcterms:W3CDTF">2025-08-05T04:47:00Z</dcterms:created>
  <dcterms:modified xsi:type="dcterms:W3CDTF">2025-08-11T20:08:00Z</dcterms:modified>
  <cp:category/>
</cp:coreProperties>
</file>