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EAD4C" w14:textId="42A4A637" w:rsidR="00E5780E" w:rsidRPr="00384A3F" w:rsidRDefault="00E5780E" w:rsidP="00384A3F">
      <w:pPr>
        <w:pStyle w:val="SOMHead"/>
        <w:spacing w:line="480" w:lineRule="auto"/>
        <w:rPr>
          <w:sz w:val="36"/>
          <w:szCs w:val="36"/>
        </w:rPr>
      </w:pPr>
      <w:bookmarkStart w:id="0" w:name="_GoBack"/>
      <w:bookmarkEnd w:id="0"/>
      <w:r w:rsidRPr="00EE35DE">
        <w:rPr>
          <w:sz w:val="36"/>
          <w:szCs w:val="36"/>
        </w:rPr>
        <w:t xml:space="preserve">Supplementary </w:t>
      </w:r>
      <w:r>
        <w:rPr>
          <w:sz w:val="36"/>
          <w:szCs w:val="36"/>
        </w:rPr>
        <w:t>Information</w:t>
      </w:r>
      <w:r w:rsidRPr="00EE35DE">
        <w:rPr>
          <w:sz w:val="36"/>
          <w:szCs w:val="36"/>
        </w:rPr>
        <w:t>:</w:t>
      </w:r>
    </w:p>
    <w:p w14:paraId="75725457" w14:textId="4DD1A0C2" w:rsidR="00F12F83" w:rsidRDefault="00F12F83" w:rsidP="00E5780E">
      <w:pPr>
        <w:pStyle w:val="SOMContent"/>
        <w:spacing w:line="480" w:lineRule="auto"/>
      </w:pPr>
      <w:r>
        <w:t>Supplementary Methods</w:t>
      </w:r>
    </w:p>
    <w:p w14:paraId="7F4AEFDB" w14:textId="1B1450F4" w:rsidR="00E5780E" w:rsidRPr="0002271D" w:rsidRDefault="005E69A5" w:rsidP="00E5780E">
      <w:pPr>
        <w:pStyle w:val="SOMContent"/>
        <w:spacing w:line="480" w:lineRule="auto"/>
      </w:pPr>
      <w:r>
        <w:t>Supplementary Analyses</w:t>
      </w:r>
    </w:p>
    <w:p w14:paraId="78E0AE0D" w14:textId="1FB3C7FE" w:rsidR="00E5780E" w:rsidRDefault="00384A3F" w:rsidP="00E5780E">
      <w:pPr>
        <w:pStyle w:val="SOMContent"/>
        <w:spacing w:line="480" w:lineRule="auto"/>
      </w:pPr>
      <w:r>
        <w:t>S1 – S</w:t>
      </w:r>
      <w:r w:rsidR="00F122B0">
        <w:t>7</w:t>
      </w:r>
      <w:r w:rsidR="00E5780E">
        <w:t xml:space="preserve"> Figs</w:t>
      </w:r>
    </w:p>
    <w:p w14:paraId="0C9830CC" w14:textId="7EE9438B" w:rsidR="00E5780E" w:rsidRDefault="00E5780E" w:rsidP="00E5780E">
      <w:pPr>
        <w:spacing w:after="240" w:line="480" w:lineRule="auto"/>
        <w:rPr>
          <w:rFonts w:eastAsiaTheme="majorEastAsia"/>
          <w:b/>
          <w:bCs/>
          <w:color w:val="2C6EAB" w:themeColor="accent1" w:themeShade="B5"/>
          <w:sz w:val="24"/>
          <w:szCs w:val="24"/>
        </w:rPr>
      </w:pPr>
    </w:p>
    <w:p w14:paraId="55EAB3BD" w14:textId="270640C1" w:rsidR="00F12F83" w:rsidRDefault="00F12F83" w:rsidP="00F12F83">
      <w:pPr>
        <w:pStyle w:val="Heading1"/>
        <w:spacing w:after="240"/>
        <w:rPr>
          <w:rFonts w:ascii="Times New Roman" w:hAnsi="Times New Roman" w:cs="Times New Roman"/>
          <w:color w:val="000000" w:themeColor="text1"/>
          <w:sz w:val="36"/>
          <w:szCs w:val="36"/>
        </w:rPr>
      </w:pPr>
      <w:r w:rsidRPr="00EE35DE">
        <w:rPr>
          <w:rFonts w:ascii="Times New Roman" w:hAnsi="Times New Roman" w:cs="Times New Roman"/>
          <w:color w:val="000000" w:themeColor="text1"/>
          <w:sz w:val="36"/>
          <w:szCs w:val="36"/>
        </w:rPr>
        <w:t xml:space="preserve">Supplementary </w:t>
      </w:r>
      <w:r>
        <w:rPr>
          <w:rFonts w:ascii="Times New Roman" w:hAnsi="Times New Roman" w:cs="Times New Roman"/>
          <w:color w:val="000000" w:themeColor="text1"/>
          <w:sz w:val="36"/>
          <w:szCs w:val="36"/>
        </w:rPr>
        <w:t>Methods</w:t>
      </w:r>
    </w:p>
    <w:p w14:paraId="2A8578B0" w14:textId="3B801641" w:rsidR="001362A1" w:rsidRDefault="001362A1" w:rsidP="005E0657">
      <w:pPr>
        <w:spacing w:after="240" w:line="480" w:lineRule="auto"/>
        <w:rPr>
          <w:b/>
          <w:sz w:val="24"/>
          <w:szCs w:val="24"/>
        </w:rPr>
      </w:pPr>
      <w:r>
        <w:rPr>
          <w:b/>
          <w:sz w:val="24"/>
          <w:szCs w:val="24"/>
        </w:rPr>
        <w:t>Pre-training &amp; Shaping</w:t>
      </w:r>
    </w:p>
    <w:p w14:paraId="4D266E1D" w14:textId="565B2D52" w:rsidR="00C611F3" w:rsidRDefault="00C611F3" w:rsidP="005E0657">
      <w:pPr>
        <w:spacing w:after="240" w:line="480" w:lineRule="auto"/>
        <w:rPr>
          <w:b/>
          <w:sz w:val="24"/>
          <w:szCs w:val="24"/>
        </w:rPr>
      </w:pPr>
      <w:r w:rsidRPr="00B4A985">
        <w:rPr>
          <w:sz w:val="24"/>
          <w:szCs w:val="24"/>
        </w:rPr>
        <w:t xml:space="preserve">Thirsty rats completed three stages of 30-minute pre-training sessions in the testing chambers to shape the </w:t>
      </w:r>
      <w:proofErr w:type="spellStart"/>
      <w:r w:rsidRPr="00B4A985">
        <w:rPr>
          <w:sz w:val="24"/>
          <w:szCs w:val="24"/>
        </w:rPr>
        <w:t>nosepoke</w:t>
      </w:r>
      <w:proofErr w:type="spellEnd"/>
      <w:r w:rsidRPr="00B4A985">
        <w:rPr>
          <w:sz w:val="24"/>
          <w:szCs w:val="24"/>
        </w:rPr>
        <w:t xml:space="preserve"> behavior. First, rats were trained to associate a simultaneous (‘gain’) tone-light cue at the reward magazine with delivery of 0.15 ml liquid reward (0.3% sodium saccharin w/v) (2 sessions). Rats were not required to </w:t>
      </w:r>
      <w:proofErr w:type="spellStart"/>
      <w:r w:rsidRPr="00B4A985">
        <w:rPr>
          <w:sz w:val="24"/>
          <w:szCs w:val="24"/>
        </w:rPr>
        <w:t>nosepoke</w:t>
      </w:r>
      <w:proofErr w:type="spellEnd"/>
      <w:r w:rsidRPr="00B4A985">
        <w:rPr>
          <w:sz w:val="24"/>
          <w:szCs w:val="24"/>
        </w:rPr>
        <w:t xml:space="preserve"> to earn reward in the first stage of pre-training. Thereafter, rats were shaped to </w:t>
      </w:r>
      <w:proofErr w:type="spellStart"/>
      <w:r w:rsidRPr="00B4A985">
        <w:rPr>
          <w:sz w:val="24"/>
          <w:szCs w:val="24"/>
        </w:rPr>
        <w:t>nosepoke</w:t>
      </w:r>
      <w:proofErr w:type="spellEnd"/>
      <w:r w:rsidRPr="00B4A985">
        <w:rPr>
          <w:sz w:val="24"/>
          <w:szCs w:val="24"/>
        </w:rPr>
        <w:t xml:space="preserve"> in any single pseudo-randomly lit </w:t>
      </w:r>
      <w:proofErr w:type="spellStart"/>
      <w:r w:rsidRPr="00B4A985">
        <w:rPr>
          <w:sz w:val="24"/>
          <w:szCs w:val="24"/>
        </w:rPr>
        <w:t>nosepoke</w:t>
      </w:r>
      <w:proofErr w:type="spellEnd"/>
      <w:r w:rsidRPr="00B4A985">
        <w:rPr>
          <w:sz w:val="24"/>
          <w:szCs w:val="24"/>
        </w:rPr>
        <w:t xml:space="preserve"> hole of the five-hole array in order to receive the cued reward (3 sessions). Finally, the animals were trained to complete a sequence of 2 </w:t>
      </w:r>
      <w:proofErr w:type="spellStart"/>
      <w:r w:rsidRPr="00B4A985">
        <w:rPr>
          <w:sz w:val="24"/>
          <w:szCs w:val="24"/>
        </w:rPr>
        <w:t>nosepokes</w:t>
      </w:r>
      <w:proofErr w:type="spellEnd"/>
      <w:r w:rsidRPr="00B4A985">
        <w:rPr>
          <w:sz w:val="24"/>
          <w:szCs w:val="24"/>
        </w:rPr>
        <w:t xml:space="preserve"> in the lit holes in order to receive the cued reward (17 sessions).</w:t>
      </w:r>
    </w:p>
    <w:p w14:paraId="3BE284E5" w14:textId="7183176C" w:rsidR="001362A1" w:rsidRPr="003967E6" w:rsidRDefault="001362A1" w:rsidP="005E0657">
      <w:pPr>
        <w:spacing w:after="240" w:line="480" w:lineRule="auto"/>
        <w:rPr>
          <w:b/>
          <w:sz w:val="24"/>
          <w:szCs w:val="24"/>
        </w:rPr>
      </w:pPr>
      <w:r>
        <w:rPr>
          <w:b/>
          <w:sz w:val="24"/>
          <w:szCs w:val="24"/>
        </w:rPr>
        <w:t>Stage 1</w:t>
      </w:r>
    </w:p>
    <w:p w14:paraId="5D73D30D" w14:textId="77777777" w:rsidR="001362A1" w:rsidRDefault="001362A1" w:rsidP="005E0657">
      <w:pPr>
        <w:spacing w:after="240" w:line="480" w:lineRule="auto"/>
        <w:rPr>
          <w:sz w:val="24"/>
          <w:szCs w:val="24"/>
        </w:rPr>
      </w:pPr>
      <w:r>
        <w:rPr>
          <w:sz w:val="24"/>
          <w:szCs w:val="24"/>
        </w:rPr>
        <w:t xml:space="preserve">In two 30-minute sessions, rats were trained to associate a paired light and tone as conditioned stimuli of reward availability at the reward magazine (without </w:t>
      </w:r>
      <w:proofErr w:type="spellStart"/>
      <w:r>
        <w:rPr>
          <w:sz w:val="24"/>
          <w:szCs w:val="24"/>
        </w:rPr>
        <w:t>nosepoking</w:t>
      </w:r>
      <w:proofErr w:type="spellEnd"/>
      <w:r>
        <w:rPr>
          <w:sz w:val="24"/>
          <w:szCs w:val="24"/>
        </w:rPr>
        <w:t>). Trial onset (</w:t>
      </w:r>
      <w:proofErr w:type="spellStart"/>
      <w:r>
        <w:rPr>
          <w:sz w:val="24"/>
          <w:szCs w:val="24"/>
        </w:rPr>
        <w:t>unsignaled</w:t>
      </w:r>
      <w:proofErr w:type="spellEnd"/>
      <w:r>
        <w:rPr>
          <w:sz w:val="24"/>
          <w:szCs w:val="24"/>
        </w:rPr>
        <w:t xml:space="preserve"> to the rat) was followed by a random delay (1, 6, 11, 16, 21, 26, 31 seconds), which </w:t>
      </w:r>
      <w:r>
        <w:rPr>
          <w:sz w:val="24"/>
          <w:szCs w:val="24"/>
        </w:rPr>
        <w:lastRenderedPageBreak/>
        <w:t xml:space="preserve">was selected at the trial start without replacement. After the delay period, the light and tone were presented and 0.15 ml reward was made available for delivery at the reward spigot. The light and tone remained on until the reward delivery ended. Once the full 0.15 ml reward had been delivered, the trial ended once the rat ceased licking at the reward spigot. The end of a lick bout was operationally defined as an inter-lick interval greater than 300 msec. We imposed a minimum trial length of 7 seconds, and a new trial began after a 1-second inter-trial interval. </w:t>
      </w:r>
    </w:p>
    <w:p w14:paraId="3F746EC4" w14:textId="27920786" w:rsidR="001362A1" w:rsidRPr="003967E6" w:rsidRDefault="001362A1" w:rsidP="005E0657">
      <w:pPr>
        <w:spacing w:after="240" w:line="480" w:lineRule="auto"/>
        <w:rPr>
          <w:b/>
          <w:sz w:val="24"/>
          <w:szCs w:val="24"/>
        </w:rPr>
      </w:pPr>
      <w:r>
        <w:rPr>
          <w:b/>
          <w:sz w:val="24"/>
          <w:szCs w:val="24"/>
        </w:rPr>
        <w:t>Stage 2</w:t>
      </w:r>
    </w:p>
    <w:p w14:paraId="70CA3542" w14:textId="77777777" w:rsidR="001362A1" w:rsidRDefault="001362A1" w:rsidP="005E0657">
      <w:pPr>
        <w:spacing w:after="240" w:line="480" w:lineRule="auto"/>
        <w:rPr>
          <w:sz w:val="24"/>
          <w:szCs w:val="24"/>
        </w:rPr>
      </w:pPr>
      <w:r>
        <w:rPr>
          <w:sz w:val="24"/>
          <w:szCs w:val="24"/>
        </w:rPr>
        <w:t xml:space="preserve">Rats were then trained to </w:t>
      </w:r>
      <w:proofErr w:type="spellStart"/>
      <w:r>
        <w:rPr>
          <w:sz w:val="24"/>
          <w:szCs w:val="24"/>
        </w:rPr>
        <w:t>nosepoke</w:t>
      </w:r>
      <w:proofErr w:type="spellEnd"/>
      <w:r>
        <w:rPr>
          <w:sz w:val="24"/>
          <w:szCs w:val="24"/>
        </w:rPr>
        <w:t xml:space="preserve"> into a lit hole to earn reward. At trial onset, one hole of the 5-hole array was randomly selected (without replacement) and the discriminative stimulus was illuminated. After correctly </w:t>
      </w:r>
      <w:proofErr w:type="spellStart"/>
      <w:r>
        <w:rPr>
          <w:sz w:val="24"/>
          <w:szCs w:val="24"/>
        </w:rPr>
        <w:t>nosepoking</w:t>
      </w:r>
      <w:proofErr w:type="spellEnd"/>
      <w:r>
        <w:rPr>
          <w:sz w:val="24"/>
          <w:szCs w:val="24"/>
        </w:rPr>
        <w:t xml:space="preserve"> into the lit hole, the conditioned light-tone stimuli at the reward magazine immediately signaled reward availability (0.15 ml). The trial ended once licking at the reward spigot had ceased (or after the minimum trial length of 7 seconds), followed by a 1-second inter-trial interval. No error feedback was provided in the event that the rat </w:t>
      </w:r>
      <w:proofErr w:type="spellStart"/>
      <w:r>
        <w:rPr>
          <w:sz w:val="24"/>
          <w:szCs w:val="24"/>
        </w:rPr>
        <w:t>nosepoked</w:t>
      </w:r>
      <w:proofErr w:type="spellEnd"/>
      <w:r>
        <w:rPr>
          <w:sz w:val="24"/>
          <w:szCs w:val="24"/>
        </w:rPr>
        <w:t xml:space="preserve"> at one of the 4 remaining unlit holes, but the errors were recorded. If the rat failed to </w:t>
      </w:r>
      <w:proofErr w:type="spellStart"/>
      <w:r>
        <w:rPr>
          <w:sz w:val="24"/>
          <w:szCs w:val="24"/>
        </w:rPr>
        <w:t>nosepoke</w:t>
      </w:r>
      <w:proofErr w:type="spellEnd"/>
      <w:r>
        <w:rPr>
          <w:sz w:val="24"/>
          <w:szCs w:val="24"/>
        </w:rPr>
        <w:t xml:space="preserve"> into a lit hole after a randomly-selected time period (120, 180, 140 seconds), the conditioned stimulus was presented and a 0.15 ml reward was delivered. After three 30-minute sessions, all rats were </w:t>
      </w:r>
      <w:proofErr w:type="spellStart"/>
      <w:r>
        <w:rPr>
          <w:sz w:val="24"/>
          <w:szCs w:val="24"/>
        </w:rPr>
        <w:t>nosepoking</w:t>
      </w:r>
      <w:proofErr w:type="spellEnd"/>
      <w:r>
        <w:rPr>
          <w:sz w:val="24"/>
          <w:szCs w:val="24"/>
        </w:rPr>
        <w:t xml:space="preserve"> into lit holes with 90% accuracy or greater and advanced as a group to the next stage of training.</w:t>
      </w:r>
    </w:p>
    <w:p w14:paraId="186A1FF0" w14:textId="19009177" w:rsidR="001362A1" w:rsidRPr="003967E6" w:rsidRDefault="001362A1" w:rsidP="005E0657">
      <w:pPr>
        <w:spacing w:after="240" w:line="480" w:lineRule="auto"/>
        <w:rPr>
          <w:b/>
          <w:sz w:val="24"/>
          <w:szCs w:val="24"/>
        </w:rPr>
      </w:pPr>
      <w:r>
        <w:rPr>
          <w:b/>
          <w:sz w:val="24"/>
          <w:szCs w:val="24"/>
        </w:rPr>
        <w:t>Stage 3</w:t>
      </w:r>
    </w:p>
    <w:p w14:paraId="3A57F083" w14:textId="77777777" w:rsidR="001362A1" w:rsidRDefault="001362A1" w:rsidP="005E0657">
      <w:pPr>
        <w:spacing w:after="240" w:line="480" w:lineRule="auto"/>
        <w:rPr>
          <w:sz w:val="24"/>
          <w:szCs w:val="24"/>
        </w:rPr>
      </w:pPr>
      <w:r>
        <w:rPr>
          <w:sz w:val="24"/>
          <w:szCs w:val="24"/>
        </w:rPr>
        <w:t xml:space="preserve">In the third stage, rats were trained to perform two sequential forced-choice </w:t>
      </w:r>
      <w:proofErr w:type="spellStart"/>
      <w:r>
        <w:rPr>
          <w:sz w:val="24"/>
          <w:szCs w:val="24"/>
        </w:rPr>
        <w:t>nosepokes</w:t>
      </w:r>
      <w:proofErr w:type="spellEnd"/>
      <w:r>
        <w:rPr>
          <w:sz w:val="24"/>
          <w:szCs w:val="24"/>
        </w:rPr>
        <w:t xml:space="preserve"> to earn reward where the first discriminative stimulus was a blinking </w:t>
      </w:r>
      <w:proofErr w:type="spellStart"/>
      <w:r>
        <w:rPr>
          <w:sz w:val="24"/>
          <w:szCs w:val="24"/>
        </w:rPr>
        <w:t>nosepoke</w:t>
      </w:r>
      <w:proofErr w:type="spellEnd"/>
      <w:r>
        <w:rPr>
          <w:sz w:val="24"/>
          <w:szCs w:val="24"/>
        </w:rPr>
        <w:t xml:space="preserve"> hole and the second discriminative stimulus was a lit (but not blinking) hole. Before trial onset, one of the three </w:t>
      </w:r>
      <w:r>
        <w:rPr>
          <w:sz w:val="24"/>
          <w:szCs w:val="24"/>
        </w:rPr>
        <w:lastRenderedPageBreak/>
        <w:t xml:space="preserve">center holes of the 5-hole array (i.e. either hole 2, 3, or 4) was selected at random as the available forced-choice hole. The start of a trial was signaled by the onset of a blinking (2 Hz) LED as the first discriminative stimulus within the available hole. Once the rat </w:t>
      </w:r>
      <w:proofErr w:type="spellStart"/>
      <w:r>
        <w:rPr>
          <w:sz w:val="24"/>
          <w:szCs w:val="24"/>
        </w:rPr>
        <w:t>nosepoked</w:t>
      </w:r>
      <w:proofErr w:type="spellEnd"/>
      <w:r>
        <w:rPr>
          <w:sz w:val="24"/>
          <w:szCs w:val="24"/>
        </w:rPr>
        <w:t xml:space="preserve"> into the blinking hole (first </w:t>
      </w:r>
      <w:proofErr w:type="spellStart"/>
      <w:r>
        <w:rPr>
          <w:sz w:val="24"/>
          <w:szCs w:val="24"/>
        </w:rPr>
        <w:t>reponse</w:t>
      </w:r>
      <w:proofErr w:type="spellEnd"/>
      <w:r>
        <w:rPr>
          <w:sz w:val="24"/>
          <w:szCs w:val="24"/>
        </w:rPr>
        <w:t xml:space="preserve">), the LED light was immediately extinguished for 2 seconds. After the 2-second pause, either the previously lit hole, or one of the immediately adjacent holes on either side of the previously lit hole, was randomly selected and illuminated (not blinking). For example, if the first </w:t>
      </w:r>
      <w:proofErr w:type="spellStart"/>
      <w:r>
        <w:rPr>
          <w:sz w:val="24"/>
          <w:szCs w:val="24"/>
        </w:rPr>
        <w:t>nosepoke</w:t>
      </w:r>
      <w:proofErr w:type="spellEnd"/>
      <w:r>
        <w:rPr>
          <w:sz w:val="24"/>
          <w:szCs w:val="24"/>
        </w:rPr>
        <w:t xml:space="preserve"> response was made in hole 4, then hole 3, 4, or 5 would be randomly selected as the available hole for the second response. Alternatively, if hole 2 was available for response 1, then either hole 1, 2, or 3 would be available on the second response. After the rat </w:t>
      </w:r>
      <w:proofErr w:type="spellStart"/>
      <w:r>
        <w:rPr>
          <w:sz w:val="24"/>
          <w:szCs w:val="24"/>
        </w:rPr>
        <w:t>nosepoked</w:t>
      </w:r>
      <w:proofErr w:type="spellEnd"/>
      <w:r>
        <w:rPr>
          <w:sz w:val="24"/>
          <w:szCs w:val="24"/>
        </w:rPr>
        <w:t xml:space="preserve"> into the lit non-blinking hole (second response), the LED was extinguished and the conditioned light-tone stimuli at the reward magazine immediately signaled the availability of 0.15 ml reward. The trial ended once the rat ceased licking at the reward spigot (or after the minimum trial duration of 7 seconds), and a new trial began after a 1-second inter-trial interval. As before, erroneous </w:t>
      </w:r>
      <w:proofErr w:type="spellStart"/>
      <w:r>
        <w:rPr>
          <w:sz w:val="24"/>
          <w:szCs w:val="24"/>
        </w:rPr>
        <w:t>nosepokes</w:t>
      </w:r>
      <w:proofErr w:type="spellEnd"/>
      <w:r>
        <w:rPr>
          <w:sz w:val="24"/>
          <w:szCs w:val="24"/>
        </w:rPr>
        <w:t xml:space="preserve"> into unlit or unblinking holes (at either the first or second response in the sequence, or during the 2-second inter-poke pause) were recorded but no error feedback was given. Training continued until all rats achieved 90% accuracy or greater (17 sessions).</w:t>
      </w:r>
    </w:p>
    <w:p w14:paraId="35EEF04D" w14:textId="77777777" w:rsidR="001362A1" w:rsidRPr="001362A1" w:rsidRDefault="001362A1" w:rsidP="001362A1"/>
    <w:p w14:paraId="55D134FD" w14:textId="77777777" w:rsidR="00F12F83" w:rsidRPr="0002271D" w:rsidRDefault="00F12F83" w:rsidP="00E5780E">
      <w:pPr>
        <w:spacing w:after="240" w:line="480" w:lineRule="auto"/>
        <w:rPr>
          <w:rFonts w:eastAsiaTheme="majorEastAsia"/>
          <w:b/>
          <w:bCs/>
          <w:color w:val="2C6EAB" w:themeColor="accent1" w:themeShade="B5"/>
          <w:sz w:val="24"/>
          <w:szCs w:val="24"/>
        </w:rPr>
      </w:pPr>
    </w:p>
    <w:p w14:paraId="4594B07D" w14:textId="7836457E" w:rsidR="00E5780E" w:rsidRDefault="00E5780E" w:rsidP="00E5780E">
      <w:pPr>
        <w:pStyle w:val="Heading1"/>
        <w:spacing w:after="240"/>
        <w:rPr>
          <w:rFonts w:ascii="Times New Roman" w:hAnsi="Times New Roman" w:cs="Times New Roman"/>
          <w:color w:val="000000" w:themeColor="text1"/>
          <w:sz w:val="36"/>
          <w:szCs w:val="36"/>
        </w:rPr>
      </w:pPr>
      <w:r w:rsidRPr="00EE35DE">
        <w:rPr>
          <w:rFonts w:ascii="Times New Roman" w:hAnsi="Times New Roman" w:cs="Times New Roman"/>
          <w:color w:val="000000" w:themeColor="text1"/>
          <w:sz w:val="36"/>
          <w:szCs w:val="36"/>
        </w:rPr>
        <w:t xml:space="preserve">Supplementary </w:t>
      </w:r>
      <w:r w:rsidR="005E69A5">
        <w:rPr>
          <w:rFonts w:ascii="Times New Roman" w:hAnsi="Times New Roman" w:cs="Times New Roman"/>
          <w:color w:val="000000" w:themeColor="text1"/>
          <w:sz w:val="36"/>
          <w:szCs w:val="36"/>
        </w:rPr>
        <w:t>Analyses</w:t>
      </w:r>
    </w:p>
    <w:p w14:paraId="3795C58F" w14:textId="77777777" w:rsidR="00CC3998" w:rsidRPr="00CC3998" w:rsidRDefault="00CC3998" w:rsidP="00CC3998"/>
    <w:p w14:paraId="4755FEB5" w14:textId="3FBEF8C4" w:rsidR="00CC3998" w:rsidRPr="00B635B8" w:rsidRDefault="00E5780E" w:rsidP="006A5777">
      <w:pPr>
        <w:pStyle w:val="Heading4"/>
        <w:spacing w:after="240" w:line="480" w:lineRule="auto"/>
        <w:rPr>
          <w:rFonts w:ascii="Times New Roman" w:hAnsi="Times New Roman" w:cs="Times New Roman"/>
          <w:i w:val="0"/>
          <w:color w:val="000000" w:themeColor="text1"/>
          <w:sz w:val="24"/>
        </w:rPr>
      </w:pPr>
      <w:r w:rsidRPr="00B635B8">
        <w:rPr>
          <w:rFonts w:ascii="Times New Roman" w:hAnsi="Times New Roman" w:cs="Times New Roman"/>
          <w:i w:val="0"/>
          <w:color w:val="000000" w:themeColor="text1"/>
          <w:sz w:val="24"/>
        </w:rPr>
        <w:lastRenderedPageBreak/>
        <w:t>Trading vs. holding</w:t>
      </w:r>
    </w:p>
    <w:p w14:paraId="5FDCBD15" w14:textId="4BC5C467" w:rsidR="00E5780E" w:rsidRDefault="00E5780E" w:rsidP="00162B6E">
      <w:pPr>
        <w:spacing w:after="240" w:line="480" w:lineRule="auto"/>
        <w:ind w:firstLine="720"/>
      </w:pPr>
      <w:r w:rsidRPr="0002271D">
        <w:rPr>
          <w:sz w:val="24"/>
          <w:szCs w:val="24"/>
        </w:rPr>
        <w:t xml:space="preserve">When a rat chose to hold a selected stock instead of a trade option, it received a dividend payout. Dividends were calculated as a percentage of the rats’ current holdings of the </w:t>
      </w:r>
      <w:r w:rsidR="006A5777">
        <w:rPr>
          <w:sz w:val="24"/>
          <w:szCs w:val="24"/>
        </w:rPr>
        <w:t>selected stock. T</w:t>
      </w:r>
      <w:r w:rsidRPr="0002271D">
        <w:rPr>
          <w:sz w:val="24"/>
          <w:szCs w:val="24"/>
        </w:rPr>
        <w:t xml:space="preserve">he percentage paid was sufficiently small that the expected value of a hold option was on average distinctly lower than that of either a buy or a sell option. </w:t>
      </w:r>
      <w:r w:rsidR="006A5777">
        <w:rPr>
          <w:sz w:val="24"/>
          <w:szCs w:val="24"/>
        </w:rPr>
        <w:t>T</w:t>
      </w:r>
      <w:r w:rsidRPr="0002271D">
        <w:rPr>
          <w:sz w:val="24"/>
          <w:szCs w:val="24"/>
        </w:rPr>
        <w:t xml:space="preserve">he average reward earned per trial second </w:t>
      </w:r>
      <w:r w:rsidR="006A5777">
        <w:rPr>
          <w:sz w:val="24"/>
          <w:szCs w:val="24"/>
        </w:rPr>
        <w:t>was analyzed</w:t>
      </w:r>
      <w:r w:rsidRPr="0002271D">
        <w:rPr>
          <w:sz w:val="24"/>
          <w:szCs w:val="24"/>
        </w:rPr>
        <w:t xml:space="preserve"> using a repeated-measures ANOVA with Option (3 levels: Buy, Hold and Sell) as the within-subject variable.</w:t>
      </w:r>
      <w:r>
        <w:rPr>
          <w:sz w:val="24"/>
          <w:szCs w:val="24"/>
        </w:rPr>
        <w:t xml:space="preserve"> </w:t>
      </w:r>
      <w:r w:rsidRPr="0002271D">
        <w:rPr>
          <w:sz w:val="24"/>
          <w:szCs w:val="24"/>
        </w:rPr>
        <w:t>We found that the proportion of trials on which each option was selected had a highly significant effect on rate of reward, F</w:t>
      </w:r>
      <w:r w:rsidRPr="0002271D">
        <w:rPr>
          <w:sz w:val="24"/>
          <w:szCs w:val="24"/>
          <w:vertAlign w:val="subscript"/>
        </w:rPr>
        <w:t>(2,46)</w:t>
      </w:r>
      <w:r w:rsidRPr="0002271D">
        <w:rPr>
          <w:sz w:val="24"/>
          <w:szCs w:val="24"/>
        </w:rPr>
        <w:t xml:space="preserve"> = 48.30, η</w:t>
      </w:r>
      <w:r w:rsidRPr="0002271D">
        <w:rPr>
          <w:sz w:val="24"/>
          <w:szCs w:val="24"/>
          <w:vertAlign w:val="subscript"/>
        </w:rPr>
        <w:t>p</w:t>
      </w:r>
      <w:r w:rsidRPr="0002271D">
        <w:rPr>
          <w:sz w:val="24"/>
          <w:szCs w:val="24"/>
          <w:vertAlign w:val="superscript"/>
        </w:rPr>
        <w:t>2</w:t>
      </w:r>
      <w:r w:rsidRPr="0002271D">
        <w:rPr>
          <w:sz w:val="24"/>
          <w:szCs w:val="24"/>
        </w:rPr>
        <w:t xml:space="preserve"> = .68, </w:t>
      </w:r>
      <w:r w:rsidRPr="0002271D">
        <w:rPr>
          <w:i/>
          <w:sz w:val="24"/>
          <w:szCs w:val="24"/>
        </w:rPr>
        <w:t>p</w:t>
      </w:r>
      <w:r w:rsidRPr="0002271D">
        <w:rPr>
          <w:sz w:val="24"/>
          <w:szCs w:val="24"/>
        </w:rPr>
        <w:t xml:space="preserve"> &lt; .001. Both trading options were nearly 50% more profitable than the hold option (</w:t>
      </w:r>
      <w:r w:rsidRPr="0002271D">
        <w:rPr>
          <w:i/>
          <w:sz w:val="24"/>
          <w:szCs w:val="24"/>
        </w:rPr>
        <w:t>p</w:t>
      </w:r>
      <w:r w:rsidRPr="0002271D">
        <w:rPr>
          <w:sz w:val="24"/>
          <w:szCs w:val="24"/>
        </w:rPr>
        <w:t xml:space="preserve"> &lt; .001 for both contrasts), with the hold option averaging 1.73 </w:t>
      </w:r>
      <w:proofErr w:type="spellStart"/>
      <w:r w:rsidRPr="0002271D">
        <w:rPr>
          <w:sz w:val="24"/>
          <w:szCs w:val="24"/>
        </w:rPr>
        <w:t>μl</w:t>
      </w:r>
      <w:proofErr w:type="spellEnd"/>
      <w:r w:rsidRPr="0002271D">
        <w:rPr>
          <w:sz w:val="24"/>
          <w:szCs w:val="24"/>
        </w:rPr>
        <w:t>/trial sec</w:t>
      </w:r>
      <w:r>
        <w:rPr>
          <w:sz w:val="24"/>
          <w:szCs w:val="24"/>
        </w:rPr>
        <w:t>,</w:t>
      </w:r>
      <w:r w:rsidRPr="0002271D">
        <w:rPr>
          <w:sz w:val="24"/>
          <w:szCs w:val="24"/>
        </w:rPr>
        <w:t xml:space="preserve"> and the buy and sell options averaging 2.69 </w:t>
      </w:r>
      <w:proofErr w:type="spellStart"/>
      <w:r w:rsidRPr="0002271D">
        <w:rPr>
          <w:sz w:val="24"/>
          <w:szCs w:val="24"/>
        </w:rPr>
        <w:t>μl</w:t>
      </w:r>
      <w:proofErr w:type="spellEnd"/>
      <w:r w:rsidRPr="0002271D">
        <w:rPr>
          <w:sz w:val="24"/>
          <w:szCs w:val="24"/>
        </w:rPr>
        <w:t xml:space="preserve">/trial sec and 2.84 </w:t>
      </w:r>
      <w:proofErr w:type="spellStart"/>
      <w:r w:rsidRPr="0002271D">
        <w:rPr>
          <w:sz w:val="24"/>
          <w:szCs w:val="24"/>
        </w:rPr>
        <w:t>μl</w:t>
      </w:r>
      <w:proofErr w:type="spellEnd"/>
      <w:r w:rsidRPr="0002271D">
        <w:rPr>
          <w:sz w:val="24"/>
          <w:szCs w:val="24"/>
        </w:rPr>
        <w:t>/trial sec, respectively. Neither buying</w:t>
      </w:r>
      <w:r>
        <w:rPr>
          <w:sz w:val="24"/>
          <w:szCs w:val="24"/>
        </w:rPr>
        <w:t xml:space="preserve"> more</w:t>
      </w:r>
      <w:r w:rsidRPr="0002271D">
        <w:rPr>
          <w:sz w:val="24"/>
          <w:szCs w:val="24"/>
        </w:rPr>
        <w:t xml:space="preserve"> nor selling more resulted in significantly greater payoff rates than the other (</w:t>
      </w:r>
      <w:proofErr w:type="spellStart"/>
      <w:r w:rsidRPr="0002271D">
        <w:rPr>
          <w:i/>
          <w:sz w:val="24"/>
          <w:szCs w:val="24"/>
        </w:rPr>
        <w:t>M</w:t>
      </w:r>
      <w:r w:rsidRPr="0002271D">
        <w:rPr>
          <w:i/>
          <w:sz w:val="24"/>
          <w:szCs w:val="24"/>
          <w:vertAlign w:val="subscript"/>
        </w:rPr>
        <w:t>Difference</w:t>
      </w:r>
      <w:proofErr w:type="spellEnd"/>
      <w:r w:rsidRPr="0002271D">
        <w:rPr>
          <w:sz w:val="24"/>
          <w:szCs w:val="24"/>
        </w:rPr>
        <w:t xml:space="preserve"> = 0.14 </w:t>
      </w:r>
      <w:proofErr w:type="spellStart"/>
      <w:r w:rsidRPr="0002271D">
        <w:rPr>
          <w:sz w:val="24"/>
          <w:szCs w:val="24"/>
        </w:rPr>
        <w:t>μl</w:t>
      </w:r>
      <w:proofErr w:type="spellEnd"/>
      <w:r w:rsidRPr="0002271D">
        <w:rPr>
          <w:sz w:val="24"/>
          <w:szCs w:val="24"/>
        </w:rPr>
        <w:t xml:space="preserve">/trial sec, </w:t>
      </w:r>
      <w:r w:rsidRPr="0002271D">
        <w:rPr>
          <w:i/>
          <w:sz w:val="24"/>
          <w:szCs w:val="24"/>
        </w:rPr>
        <w:t xml:space="preserve">p </w:t>
      </w:r>
      <w:r w:rsidRPr="0002271D">
        <w:rPr>
          <w:sz w:val="24"/>
          <w:szCs w:val="24"/>
        </w:rPr>
        <w:t xml:space="preserve">= .33). </w:t>
      </w:r>
    </w:p>
    <w:p w14:paraId="69C199C1" w14:textId="77777777" w:rsidR="00E5780E" w:rsidRPr="00AA3F9E" w:rsidRDefault="00E5780E" w:rsidP="00E5780E">
      <w:pPr>
        <w:pStyle w:val="Heading4"/>
        <w:spacing w:after="240" w:line="480" w:lineRule="auto"/>
        <w:rPr>
          <w:rFonts w:ascii="Times New Roman" w:hAnsi="Times New Roman" w:cs="Times New Roman"/>
          <w:i w:val="0"/>
          <w:color w:val="000000" w:themeColor="text1"/>
          <w:sz w:val="24"/>
        </w:rPr>
      </w:pPr>
      <w:r w:rsidRPr="00AA3F9E">
        <w:rPr>
          <w:rFonts w:ascii="Times New Roman" w:hAnsi="Times New Roman" w:cs="Times New Roman"/>
          <w:i w:val="0"/>
          <w:color w:val="000000" w:themeColor="text1"/>
          <w:sz w:val="24"/>
        </w:rPr>
        <w:t>The transaction cost of trading within the task</w:t>
      </w:r>
    </w:p>
    <w:p w14:paraId="43347075" w14:textId="158C6D0A" w:rsidR="00E5780E" w:rsidRPr="0002271D" w:rsidRDefault="00E5780E" w:rsidP="00162B6E">
      <w:pPr>
        <w:spacing w:after="240" w:line="480" w:lineRule="auto"/>
        <w:ind w:firstLine="720"/>
        <w:rPr>
          <w:sz w:val="24"/>
          <w:szCs w:val="24"/>
        </w:rPr>
      </w:pPr>
      <w:r w:rsidRPr="0002271D">
        <w:rPr>
          <w:sz w:val="24"/>
          <w:szCs w:val="24"/>
        </w:rPr>
        <w:t>Within the operant boxes, the spatial location of the buy and sell options on either side of the hold option may have added a temporal</w:t>
      </w:r>
      <w:r w:rsidR="00120480">
        <w:rPr>
          <w:sz w:val="24"/>
          <w:szCs w:val="24"/>
        </w:rPr>
        <w:t>/effort</w:t>
      </w:r>
      <w:r w:rsidRPr="0002271D">
        <w:rPr>
          <w:sz w:val="24"/>
          <w:szCs w:val="24"/>
        </w:rPr>
        <w:t xml:space="preserve"> disadvantage to trading. </w:t>
      </w:r>
      <w:r w:rsidR="00120480">
        <w:rPr>
          <w:sz w:val="24"/>
          <w:szCs w:val="24"/>
        </w:rPr>
        <w:t>However,</w:t>
      </w:r>
      <w:r w:rsidRPr="0002271D">
        <w:rPr>
          <w:sz w:val="24"/>
          <w:szCs w:val="24"/>
        </w:rPr>
        <w:t xml:space="preserve"> </w:t>
      </w:r>
      <w:r w:rsidR="00120480">
        <w:rPr>
          <w:sz w:val="24"/>
          <w:szCs w:val="24"/>
        </w:rPr>
        <w:t>this increased cost can be viewed as the ‘transaction cost’ of trading</w:t>
      </w:r>
      <w:r w:rsidR="000E24C3">
        <w:rPr>
          <w:sz w:val="24"/>
          <w:szCs w:val="24"/>
        </w:rPr>
        <w:t>, similar to those incurred by traders in real markets.</w:t>
      </w:r>
      <w:r w:rsidRPr="0002271D">
        <w:rPr>
          <w:sz w:val="24"/>
          <w:szCs w:val="24"/>
        </w:rPr>
        <w:t xml:space="preserve"> </w:t>
      </w:r>
      <w:r w:rsidR="000E24C3">
        <w:rPr>
          <w:sz w:val="24"/>
          <w:szCs w:val="24"/>
        </w:rPr>
        <w:t>To</w:t>
      </w:r>
      <w:r w:rsidRPr="0002271D">
        <w:rPr>
          <w:sz w:val="24"/>
          <w:szCs w:val="24"/>
        </w:rPr>
        <w:t xml:space="preserve"> quantify </w:t>
      </w:r>
      <w:r w:rsidR="000E24C3">
        <w:rPr>
          <w:sz w:val="24"/>
          <w:szCs w:val="24"/>
        </w:rPr>
        <w:t>the ‘transaction cost’ of trading vs. holding, we analyzed</w:t>
      </w:r>
      <w:r w:rsidRPr="0002271D">
        <w:rPr>
          <w:sz w:val="24"/>
          <w:szCs w:val="24"/>
        </w:rPr>
        <w:t xml:space="preserve"> the inter-poke interval (IPI)</w:t>
      </w:r>
      <w:r w:rsidR="000E24C3">
        <w:rPr>
          <w:sz w:val="24"/>
          <w:szCs w:val="24"/>
        </w:rPr>
        <w:t xml:space="preserve"> between the stock selection </w:t>
      </w:r>
      <w:proofErr w:type="spellStart"/>
      <w:r w:rsidR="000E24C3">
        <w:rPr>
          <w:sz w:val="24"/>
          <w:szCs w:val="24"/>
        </w:rPr>
        <w:t>nosepoke</w:t>
      </w:r>
      <w:proofErr w:type="spellEnd"/>
      <w:r w:rsidR="000E24C3">
        <w:rPr>
          <w:sz w:val="24"/>
          <w:szCs w:val="24"/>
        </w:rPr>
        <w:t xml:space="preserve"> and the option selection </w:t>
      </w:r>
      <w:proofErr w:type="spellStart"/>
      <w:r w:rsidR="000E24C3">
        <w:rPr>
          <w:sz w:val="24"/>
          <w:szCs w:val="24"/>
        </w:rPr>
        <w:t>nosepoke</w:t>
      </w:r>
      <w:proofErr w:type="spellEnd"/>
      <w:r w:rsidR="000E24C3">
        <w:rPr>
          <w:sz w:val="24"/>
          <w:szCs w:val="24"/>
        </w:rPr>
        <w:t>.</w:t>
      </w:r>
      <w:r w:rsidRPr="0002271D">
        <w:rPr>
          <w:sz w:val="24"/>
          <w:szCs w:val="24"/>
        </w:rPr>
        <w:t xml:space="preserve"> </w:t>
      </w:r>
      <w:r w:rsidR="000E24C3">
        <w:rPr>
          <w:sz w:val="24"/>
          <w:szCs w:val="24"/>
        </w:rPr>
        <w:t xml:space="preserve">On average, we found that the IPI </w:t>
      </w:r>
      <w:r w:rsidRPr="0002271D">
        <w:rPr>
          <w:sz w:val="24"/>
          <w:szCs w:val="24"/>
        </w:rPr>
        <w:t>was shorter on hold trials (</w:t>
      </w:r>
      <w:r w:rsidRPr="0002271D">
        <w:rPr>
          <w:i/>
          <w:sz w:val="24"/>
          <w:szCs w:val="24"/>
        </w:rPr>
        <w:t xml:space="preserve">M </w:t>
      </w:r>
      <w:r w:rsidRPr="0002271D">
        <w:rPr>
          <w:sz w:val="24"/>
          <w:szCs w:val="24"/>
        </w:rPr>
        <w:t xml:space="preserve">= 2.42 sec, </w:t>
      </w:r>
      <w:r w:rsidRPr="0002271D">
        <w:rPr>
          <w:i/>
          <w:sz w:val="24"/>
          <w:szCs w:val="24"/>
        </w:rPr>
        <w:t>SEM</w:t>
      </w:r>
      <w:r w:rsidRPr="0002271D">
        <w:rPr>
          <w:sz w:val="24"/>
          <w:szCs w:val="24"/>
        </w:rPr>
        <w:t xml:space="preserve"> = 0.05 sec) compared to buy (</w:t>
      </w:r>
      <w:r w:rsidRPr="0002271D">
        <w:rPr>
          <w:i/>
          <w:sz w:val="24"/>
          <w:szCs w:val="24"/>
        </w:rPr>
        <w:t xml:space="preserve">M </w:t>
      </w:r>
      <w:r w:rsidRPr="0002271D">
        <w:rPr>
          <w:sz w:val="24"/>
          <w:szCs w:val="24"/>
        </w:rPr>
        <w:t xml:space="preserve">= 2.76 sec, </w:t>
      </w:r>
      <w:r w:rsidRPr="0002271D">
        <w:rPr>
          <w:i/>
          <w:sz w:val="24"/>
          <w:szCs w:val="24"/>
        </w:rPr>
        <w:t>SEM</w:t>
      </w:r>
      <w:r w:rsidRPr="0002271D">
        <w:rPr>
          <w:sz w:val="24"/>
          <w:szCs w:val="24"/>
        </w:rPr>
        <w:t xml:space="preserve"> = 0.06 sec) and sell (</w:t>
      </w:r>
      <w:r w:rsidRPr="0002271D">
        <w:rPr>
          <w:i/>
          <w:sz w:val="24"/>
          <w:szCs w:val="24"/>
        </w:rPr>
        <w:t xml:space="preserve">M </w:t>
      </w:r>
      <w:r w:rsidRPr="0002271D">
        <w:rPr>
          <w:sz w:val="24"/>
          <w:szCs w:val="24"/>
        </w:rPr>
        <w:t xml:space="preserve">= 2.66 sec, </w:t>
      </w:r>
      <w:r w:rsidRPr="0002271D">
        <w:rPr>
          <w:i/>
          <w:sz w:val="24"/>
          <w:szCs w:val="24"/>
        </w:rPr>
        <w:t>SEM</w:t>
      </w:r>
      <w:r w:rsidRPr="0002271D">
        <w:rPr>
          <w:sz w:val="24"/>
          <w:szCs w:val="24"/>
        </w:rPr>
        <w:t xml:space="preserve"> = 0.07 sec) trials. A repeated measures ANOVA with Option </w:t>
      </w:r>
      <w:r w:rsidR="000E24C3">
        <w:rPr>
          <w:sz w:val="24"/>
          <w:szCs w:val="24"/>
        </w:rPr>
        <w:t xml:space="preserve">(3 levels: buy, hold, and sell) </w:t>
      </w:r>
      <w:r w:rsidRPr="0002271D">
        <w:rPr>
          <w:sz w:val="24"/>
          <w:szCs w:val="24"/>
        </w:rPr>
        <w:t xml:space="preserve">as a within-subjects </w:t>
      </w:r>
      <w:r w:rsidRPr="0002271D">
        <w:rPr>
          <w:sz w:val="24"/>
          <w:szCs w:val="24"/>
        </w:rPr>
        <w:lastRenderedPageBreak/>
        <w:t>factor revealed that there was a significant main effect of Option on IPI, F</w:t>
      </w:r>
      <w:r w:rsidRPr="0002271D">
        <w:rPr>
          <w:sz w:val="24"/>
          <w:szCs w:val="24"/>
          <w:vertAlign w:val="subscript"/>
        </w:rPr>
        <w:t xml:space="preserve">(2,46) </w:t>
      </w:r>
      <w:r w:rsidRPr="0002271D">
        <w:rPr>
          <w:sz w:val="24"/>
          <w:szCs w:val="24"/>
        </w:rPr>
        <w:t>= 7.81, η</w:t>
      </w:r>
      <w:r w:rsidRPr="0002271D">
        <w:rPr>
          <w:sz w:val="24"/>
          <w:szCs w:val="24"/>
          <w:vertAlign w:val="subscript"/>
        </w:rPr>
        <w:t>p</w:t>
      </w:r>
      <w:r w:rsidRPr="0002271D">
        <w:rPr>
          <w:sz w:val="24"/>
          <w:szCs w:val="24"/>
          <w:vertAlign w:val="superscript"/>
        </w:rPr>
        <w:t>2</w:t>
      </w:r>
      <w:r w:rsidRPr="0002271D">
        <w:rPr>
          <w:sz w:val="24"/>
          <w:szCs w:val="24"/>
        </w:rPr>
        <w:t xml:space="preserve"> = .25, Greenhouse-</w:t>
      </w:r>
      <w:proofErr w:type="spellStart"/>
      <w:r w:rsidRPr="0002271D">
        <w:rPr>
          <w:sz w:val="24"/>
          <w:szCs w:val="24"/>
        </w:rPr>
        <w:t>Geisser</w:t>
      </w:r>
      <w:proofErr w:type="spellEnd"/>
      <w:r w:rsidRPr="0002271D">
        <w:rPr>
          <w:sz w:val="24"/>
          <w:szCs w:val="24"/>
        </w:rPr>
        <w:t xml:space="preserve"> adjusted </w:t>
      </w:r>
      <w:r w:rsidRPr="0002271D">
        <w:rPr>
          <w:i/>
          <w:sz w:val="24"/>
          <w:szCs w:val="24"/>
        </w:rPr>
        <w:t>p</w:t>
      </w:r>
      <w:r w:rsidRPr="0002271D">
        <w:rPr>
          <w:sz w:val="24"/>
          <w:szCs w:val="24"/>
        </w:rPr>
        <w:t xml:space="preserve"> &lt; .01. Planned contrasts determined that this effect was primarily due to the significant differences between hold trials </w:t>
      </w:r>
      <w:r>
        <w:rPr>
          <w:sz w:val="24"/>
          <w:szCs w:val="24"/>
        </w:rPr>
        <w:t>vs.</w:t>
      </w:r>
      <w:r w:rsidRPr="0002271D">
        <w:rPr>
          <w:sz w:val="24"/>
          <w:szCs w:val="24"/>
        </w:rPr>
        <w:t xml:space="preserve"> both buy (p &lt; .001) and sell (p &lt; .01) trials. We found no significant difference between buy and sell IPI’s. Thus, while the added cost of trading compared to holding may be small (</w:t>
      </w:r>
      <w:proofErr w:type="spellStart"/>
      <w:r w:rsidRPr="0002271D">
        <w:rPr>
          <w:sz w:val="24"/>
          <w:szCs w:val="24"/>
        </w:rPr>
        <w:t>M</w:t>
      </w:r>
      <w:r w:rsidRPr="0002271D">
        <w:rPr>
          <w:sz w:val="24"/>
          <w:szCs w:val="24"/>
          <w:vertAlign w:val="subscript"/>
        </w:rPr>
        <w:t>Difference</w:t>
      </w:r>
      <w:proofErr w:type="spellEnd"/>
      <w:r w:rsidRPr="0002271D">
        <w:rPr>
          <w:sz w:val="24"/>
          <w:szCs w:val="24"/>
        </w:rPr>
        <w:t xml:space="preserve"> = 285.5 </w:t>
      </w:r>
      <w:proofErr w:type="spellStart"/>
      <w:r w:rsidRPr="0002271D">
        <w:rPr>
          <w:sz w:val="24"/>
          <w:szCs w:val="24"/>
        </w:rPr>
        <w:t>msec</w:t>
      </w:r>
      <w:proofErr w:type="spellEnd"/>
      <w:r w:rsidRPr="0002271D">
        <w:rPr>
          <w:sz w:val="24"/>
          <w:szCs w:val="24"/>
        </w:rPr>
        <w:t xml:space="preserve">), it is nonetheless significant. Given that the 2 sec pause allows ample time to move between spatial locations, it may also be possible that this difference represents deliberation time. Although the task design does not allow us to conclude this with certainty, </w:t>
      </w:r>
      <w:r>
        <w:rPr>
          <w:sz w:val="24"/>
          <w:szCs w:val="24"/>
        </w:rPr>
        <w:t xml:space="preserve">supporting </w:t>
      </w:r>
      <w:r w:rsidRPr="0002271D">
        <w:rPr>
          <w:sz w:val="24"/>
          <w:szCs w:val="24"/>
        </w:rPr>
        <w:t>evidence lies in the discrepancy between IPI after a gain (</w:t>
      </w:r>
      <w:r w:rsidRPr="0002271D">
        <w:rPr>
          <w:i/>
          <w:sz w:val="24"/>
          <w:szCs w:val="24"/>
        </w:rPr>
        <w:t>M</w:t>
      </w:r>
      <w:r w:rsidRPr="0002271D">
        <w:rPr>
          <w:sz w:val="24"/>
          <w:szCs w:val="24"/>
        </w:rPr>
        <w:t xml:space="preserve"> = 2.49 sec, </w:t>
      </w:r>
      <w:r w:rsidRPr="0002271D">
        <w:rPr>
          <w:i/>
          <w:sz w:val="24"/>
          <w:szCs w:val="24"/>
        </w:rPr>
        <w:t>SEM</w:t>
      </w:r>
      <w:r w:rsidRPr="0002271D">
        <w:rPr>
          <w:sz w:val="24"/>
          <w:szCs w:val="24"/>
        </w:rPr>
        <w:t xml:space="preserve"> = 0.08) </w:t>
      </w:r>
      <w:r w:rsidRPr="0002271D">
        <w:rPr>
          <w:i/>
          <w:sz w:val="24"/>
          <w:szCs w:val="24"/>
        </w:rPr>
        <w:t xml:space="preserve">vs. </w:t>
      </w:r>
      <w:r w:rsidRPr="0002271D">
        <w:rPr>
          <w:sz w:val="24"/>
          <w:szCs w:val="24"/>
        </w:rPr>
        <w:t>after a loss (</w:t>
      </w:r>
      <w:r w:rsidRPr="0002271D">
        <w:rPr>
          <w:i/>
          <w:sz w:val="24"/>
          <w:szCs w:val="24"/>
        </w:rPr>
        <w:t xml:space="preserve">M </w:t>
      </w:r>
      <w:r w:rsidRPr="0002271D">
        <w:rPr>
          <w:sz w:val="24"/>
          <w:szCs w:val="24"/>
        </w:rPr>
        <w:t xml:space="preserve">= 2.79, </w:t>
      </w:r>
      <w:r w:rsidRPr="0002271D">
        <w:rPr>
          <w:i/>
          <w:sz w:val="24"/>
          <w:szCs w:val="24"/>
        </w:rPr>
        <w:t xml:space="preserve">SEM </w:t>
      </w:r>
      <w:r w:rsidRPr="0002271D">
        <w:rPr>
          <w:sz w:val="24"/>
          <w:szCs w:val="24"/>
        </w:rPr>
        <w:t>= 0.11). A 2-way repeated-measures ANOVA of IPI with Previous Outcome and Current Option indicated that both Previous Outcome (</w:t>
      </w:r>
      <w:r w:rsidRPr="0002271D">
        <w:rPr>
          <w:i/>
          <w:sz w:val="24"/>
          <w:szCs w:val="24"/>
        </w:rPr>
        <w:t>F</w:t>
      </w:r>
      <w:r w:rsidRPr="0002271D">
        <w:rPr>
          <w:sz w:val="24"/>
          <w:szCs w:val="24"/>
          <w:vertAlign w:val="subscript"/>
        </w:rPr>
        <w:t>(1,23)</w:t>
      </w:r>
      <w:r w:rsidRPr="0002271D">
        <w:rPr>
          <w:sz w:val="24"/>
          <w:szCs w:val="24"/>
        </w:rPr>
        <w:t xml:space="preserve"> = 4.54, </w:t>
      </w:r>
      <w:r w:rsidRPr="0002271D">
        <w:rPr>
          <w:i/>
          <w:sz w:val="24"/>
          <w:szCs w:val="24"/>
        </w:rPr>
        <w:t>η</w:t>
      </w:r>
      <w:r w:rsidRPr="0002271D">
        <w:rPr>
          <w:i/>
          <w:sz w:val="24"/>
          <w:szCs w:val="24"/>
          <w:vertAlign w:val="subscript"/>
        </w:rPr>
        <w:t>p</w:t>
      </w:r>
      <w:r w:rsidRPr="0002271D">
        <w:rPr>
          <w:i/>
          <w:sz w:val="24"/>
          <w:szCs w:val="24"/>
          <w:vertAlign w:val="superscript"/>
        </w:rPr>
        <w:t>2</w:t>
      </w:r>
      <w:r w:rsidRPr="0002271D">
        <w:rPr>
          <w:sz w:val="24"/>
          <w:szCs w:val="24"/>
        </w:rPr>
        <w:t xml:space="preserve"> = .17, </w:t>
      </w:r>
      <w:r w:rsidRPr="0002271D">
        <w:rPr>
          <w:i/>
          <w:sz w:val="24"/>
          <w:szCs w:val="24"/>
        </w:rPr>
        <w:t>p</w:t>
      </w:r>
      <w:r w:rsidRPr="0002271D">
        <w:rPr>
          <w:sz w:val="24"/>
          <w:szCs w:val="24"/>
        </w:rPr>
        <w:t xml:space="preserve"> &lt; .05) and Current Option (</w:t>
      </w:r>
      <w:r w:rsidRPr="0002271D">
        <w:rPr>
          <w:i/>
          <w:sz w:val="24"/>
          <w:szCs w:val="24"/>
        </w:rPr>
        <w:t>F</w:t>
      </w:r>
      <w:r w:rsidRPr="0002271D">
        <w:rPr>
          <w:sz w:val="24"/>
          <w:szCs w:val="24"/>
          <w:vertAlign w:val="subscript"/>
        </w:rPr>
        <w:t xml:space="preserve">(2,46) </w:t>
      </w:r>
      <w:r w:rsidRPr="0002271D">
        <w:rPr>
          <w:sz w:val="24"/>
          <w:szCs w:val="24"/>
        </w:rPr>
        <w:t xml:space="preserve">= 6.06, </w:t>
      </w:r>
      <w:r w:rsidRPr="0002271D">
        <w:rPr>
          <w:i/>
          <w:sz w:val="24"/>
          <w:szCs w:val="24"/>
        </w:rPr>
        <w:t>η</w:t>
      </w:r>
      <w:r w:rsidRPr="0002271D">
        <w:rPr>
          <w:i/>
          <w:sz w:val="24"/>
          <w:szCs w:val="24"/>
          <w:vertAlign w:val="subscript"/>
        </w:rPr>
        <w:t>p</w:t>
      </w:r>
      <w:r w:rsidRPr="0002271D">
        <w:rPr>
          <w:i/>
          <w:sz w:val="24"/>
          <w:szCs w:val="24"/>
          <w:vertAlign w:val="superscript"/>
        </w:rPr>
        <w:t>2</w:t>
      </w:r>
      <w:r w:rsidRPr="0002271D">
        <w:rPr>
          <w:sz w:val="24"/>
          <w:szCs w:val="24"/>
        </w:rPr>
        <w:t xml:space="preserve"> = .21, Greenhouse-</w:t>
      </w:r>
      <w:proofErr w:type="spellStart"/>
      <w:r w:rsidRPr="0002271D">
        <w:rPr>
          <w:sz w:val="24"/>
          <w:szCs w:val="24"/>
        </w:rPr>
        <w:t>Geisser</w:t>
      </w:r>
      <w:proofErr w:type="spellEnd"/>
      <w:r w:rsidRPr="0002271D">
        <w:rPr>
          <w:sz w:val="24"/>
          <w:szCs w:val="24"/>
        </w:rPr>
        <w:t xml:space="preserve"> adjusted </w:t>
      </w:r>
      <w:r w:rsidRPr="0002271D">
        <w:rPr>
          <w:i/>
          <w:sz w:val="24"/>
          <w:szCs w:val="24"/>
        </w:rPr>
        <w:t>p</w:t>
      </w:r>
      <w:r w:rsidRPr="0002271D">
        <w:rPr>
          <w:sz w:val="24"/>
          <w:szCs w:val="24"/>
        </w:rPr>
        <w:t xml:space="preserve"> = .01) had significant main effects on IPI. The interaction term was not significant (</w:t>
      </w:r>
      <w:r w:rsidRPr="0002271D">
        <w:rPr>
          <w:i/>
          <w:sz w:val="24"/>
          <w:szCs w:val="24"/>
        </w:rPr>
        <w:t>F</w:t>
      </w:r>
      <w:r w:rsidRPr="0002271D">
        <w:rPr>
          <w:sz w:val="24"/>
          <w:szCs w:val="24"/>
          <w:vertAlign w:val="subscript"/>
        </w:rPr>
        <w:t>(2,46)</w:t>
      </w:r>
      <w:r w:rsidRPr="0002271D">
        <w:rPr>
          <w:sz w:val="24"/>
          <w:szCs w:val="24"/>
        </w:rPr>
        <w:t xml:space="preserve"> = 1.50, </w:t>
      </w:r>
      <w:r w:rsidRPr="0002271D">
        <w:rPr>
          <w:i/>
          <w:sz w:val="24"/>
          <w:szCs w:val="24"/>
        </w:rPr>
        <w:t>p</w:t>
      </w:r>
      <w:r w:rsidRPr="0002271D">
        <w:rPr>
          <w:sz w:val="24"/>
          <w:szCs w:val="24"/>
        </w:rPr>
        <w:t xml:space="preserve"> = .23). Therefore, rats take longer to deliberate between options on trials preceded by a loss, and this effect is independent of option choice. </w:t>
      </w:r>
    </w:p>
    <w:p w14:paraId="784A1676" w14:textId="01B48BDF" w:rsidR="00AA3F9E" w:rsidRPr="00150F3D" w:rsidRDefault="00AA3F9E" w:rsidP="00AA3F9E">
      <w:pPr>
        <w:spacing w:before="120" w:line="480" w:lineRule="auto"/>
        <w:rPr>
          <w:b/>
          <w:sz w:val="24"/>
          <w:szCs w:val="24"/>
        </w:rPr>
      </w:pPr>
      <w:r>
        <w:rPr>
          <w:b/>
          <w:sz w:val="24"/>
          <w:szCs w:val="24"/>
        </w:rPr>
        <w:t>The effect of hole location on stock choice</w:t>
      </w:r>
    </w:p>
    <w:p w14:paraId="10538BFA" w14:textId="10028BE8" w:rsidR="00AA3F9E" w:rsidRDefault="00AA3F9E" w:rsidP="0042321E">
      <w:pPr>
        <w:spacing w:before="120" w:line="480" w:lineRule="auto"/>
        <w:ind w:firstLine="720"/>
        <w:rPr>
          <w:sz w:val="24"/>
          <w:szCs w:val="24"/>
        </w:rPr>
      </w:pPr>
      <w:r>
        <w:rPr>
          <w:sz w:val="24"/>
          <w:szCs w:val="24"/>
        </w:rPr>
        <w:t xml:space="preserve">The location of the </w:t>
      </w:r>
      <w:proofErr w:type="spellStart"/>
      <w:r>
        <w:rPr>
          <w:sz w:val="24"/>
          <w:szCs w:val="24"/>
        </w:rPr>
        <w:t>nosepoke</w:t>
      </w:r>
      <w:proofErr w:type="spellEnd"/>
      <w:r>
        <w:rPr>
          <w:sz w:val="24"/>
          <w:szCs w:val="24"/>
        </w:rPr>
        <w:t xml:space="preserve"> hole within the center three holes of the 5-hole array was randomly assigned at the beginning of each session. Location did appear to have an impact on stock choice. Rats were more likely to choose Stock 1 when it was associated with hole 4 (</w:t>
      </w:r>
      <w:r w:rsidRPr="00C77011">
        <w:rPr>
          <w:i/>
          <w:sz w:val="24"/>
          <w:szCs w:val="24"/>
        </w:rPr>
        <w:t>b</w:t>
      </w:r>
      <w:r>
        <w:rPr>
          <w:sz w:val="24"/>
          <w:szCs w:val="24"/>
        </w:rPr>
        <w:t xml:space="preserve"> = 1.18, </w:t>
      </w:r>
      <w:r w:rsidRPr="00C77011">
        <w:rPr>
          <w:i/>
          <w:sz w:val="24"/>
          <w:szCs w:val="24"/>
        </w:rPr>
        <w:t xml:space="preserve">t </w:t>
      </w:r>
      <w:r>
        <w:rPr>
          <w:sz w:val="24"/>
          <w:szCs w:val="24"/>
        </w:rPr>
        <w:t xml:space="preserve">= 6.03, </w:t>
      </w:r>
      <w:r w:rsidRPr="00C77011">
        <w:rPr>
          <w:i/>
          <w:sz w:val="24"/>
          <w:szCs w:val="24"/>
        </w:rPr>
        <w:t>p</w:t>
      </w:r>
      <w:r>
        <w:rPr>
          <w:sz w:val="24"/>
          <w:szCs w:val="24"/>
        </w:rPr>
        <w:t xml:space="preserve"> &lt; .001) but not hole 3 (</w:t>
      </w:r>
      <w:r w:rsidRPr="00C77011">
        <w:rPr>
          <w:i/>
          <w:sz w:val="24"/>
          <w:szCs w:val="24"/>
        </w:rPr>
        <w:t>b</w:t>
      </w:r>
      <w:r>
        <w:rPr>
          <w:sz w:val="24"/>
          <w:szCs w:val="24"/>
        </w:rPr>
        <w:t xml:space="preserve"> = 0.13, </w:t>
      </w:r>
      <w:r w:rsidRPr="00C77011">
        <w:rPr>
          <w:i/>
          <w:sz w:val="24"/>
          <w:szCs w:val="24"/>
        </w:rPr>
        <w:t>p</w:t>
      </w:r>
      <w:r>
        <w:rPr>
          <w:sz w:val="24"/>
          <w:szCs w:val="24"/>
        </w:rPr>
        <w:t xml:space="preserve"> &gt; .05), and Stock 2 when it was located in hole 3 (</w:t>
      </w:r>
      <w:r w:rsidRPr="00C77011">
        <w:rPr>
          <w:i/>
          <w:sz w:val="24"/>
          <w:szCs w:val="24"/>
        </w:rPr>
        <w:t>b</w:t>
      </w:r>
      <w:r>
        <w:rPr>
          <w:sz w:val="24"/>
          <w:szCs w:val="24"/>
        </w:rPr>
        <w:t xml:space="preserve"> = 0.29, </w:t>
      </w:r>
      <w:r w:rsidRPr="00C77011">
        <w:rPr>
          <w:i/>
          <w:sz w:val="24"/>
          <w:szCs w:val="24"/>
        </w:rPr>
        <w:t>t</w:t>
      </w:r>
      <w:r>
        <w:rPr>
          <w:sz w:val="24"/>
          <w:szCs w:val="24"/>
        </w:rPr>
        <w:t xml:space="preserve"> = 3.99, </w:t>
      </w:r>
      <w:r w:rsidRPr="00C77011">
        <w:rPr>
          <w:i/>
          <w:sz w:val="24"/>
          <w:szCs w:val="24"/>
        </w:rPr>
        <w:t>p</w:t>
      </w:r>
      <w:r>
        <w:rPr>
          <w:sz w:val="24"/>
          <w:szCs w:val="24"/>
        </w:rPr>
        <w:t xml:space="preserve"> &lt; .001) but not hole 4 (</w:t>
      </w:r>
      <w:r w:rsidRPr="00C77011">
        <w:rPr>
          <w:i/>
          <w:sz w:val="24"/>
          <w:szCs w:val="24"/>
        </w:rPr>
        <w:t>b</w:t>
      </w:r>
      <w:r>
        <w:rPr>
          <w:sz w:val="24"/>
          <w:szCs w:val="24"/>
        </w:rPr>
        <w:t xml:space="preserve"> = 0.36, </w:t>
      </w:r>
      <w:r w:rsidRPr="00C77011">
        <w:rPr>
          <w:i/>
          <w:sz w:val="24"/>
          <w:szCs w:val="24"/>
        </w:rPr>
        <w:t>p</w:t>
      </w:r>
      <w:r>
        <w:rPr>
          <w:sz w:val="24"/>
          <w:szCs w:val="24"/>
        </w:rPr>
        <w:t xml:space="preserve"> &gt; .05. Given that the preferred hole location switched between stocks, this result suggests that rats tended not to perseverate in any one particular hole across sessions (see </w:t>
      </w:r>
      <w:r w:rsidR="00386F8B">
        <w:rPr>
          <w:sz w:val="24"/>
          <w:szCs w:val="24"/>
        </w:rPr>
        <w:t xml:space="preserve">Fig </w:t>
      </w:r>
      <w:r>
        <w:rPr>
          <w:sz w:val="24"/>
          <w:szCs w:val="24"/>
        </w:rPr>
        <w:t>S</w:t>
      </w:r>
      <w:r w:rsidR="0042321E">
        <w:rPr>
          <w:sz w:val="24"/>
          <w:szCs w:val="24"/>
        </w:rPr>
        <w:t>4</w:t>
      </w:r>
      <w:r>
        <w:rPr>
          <w:sz w:val="24"/>
          <w:szCs w:val="24"/>
        </w:rPr>
        <w:t xml:space="preserve"> for subject-wise graphs). </w:t>
      </w:r>
    </w:p>
    <w:p w14:paraId="702DBC1A" w14:textId="03798F28" w:rsidR="00AA3F9E" w:rsidRPr="00150F3D" w:rsidRDefault="00AA3F9E" w:rsidP="00AA3F9E">
      <w:pPr>
        <w:spacing w:before="120" w:line="480" w:lineRule="auto"/>
        <w:rPr>
          <w:b/>
          <w:sz w:val="24"/>
          <w:szCs w:val="24"/>
        </w:rPr>
      </w:pPr>
      <w:r>
        <w:rPr>
          <w:b/>
          <w:sz w:val="24"/>
          <w:szCs w:val="24"/>
        </w:rPr>
        <w:lastRenderedPageBreak/>
        <w:t>The effect of perseveration on stock choice</w:t>
      </w:r>
    </w:p>
    <w:p w14:paraId="259619D3" w14:textId="10AC04A0" w:rsidR="00AA3F9E" w:rsidRDefault="00AA3F9E" w:rsidP="00AA3F9E">
      <w:pPr>
        <w:spacing w:before="120" w:line="480" w:lineRule="auto"/>
        <w:ind w:firstLine="720"/>
        <w:rPr>
          <w:sz w:val="24"/>
          <w:szCs w:val="24"/>
        </w:rPr>
      </w:pPr>
      <w:r>
        <w:rPr>
          <w:sz w:val="24"/>
          <w:szCs w:val="24"/>
        </w:rPr>
        <w:t>We added perseveration choice as a predictor in order to quantify the effect of repeating a stock choice on free choice trials. We found that rats were more likely to perseverate than switch to a similar degree in both stocks 1 (</w:t>
      </w:r>
      <w:r w:rsidRPr="00C517D9">
        <w:rPr>
          <w:i/>
          <w:sz w:val="24"/>
          <w:szCs w:val="24"/>
        </w:rPr>
        <w:t>b</w:t>
      </w:r>
      <w:r>
        <w:rPr>
          <w:sz w:val="24"/>
          <w:szCs w:val="24"/>
        </w:rPr>
        <w:t xml:space="preserve"> = 0.13, </w:t>
      </w:r>
      <w:r w:rsidRPr="00C517D9">
        <w:rPr>
          <w:i/>
          <w:sz w:val="24"/>
          <w:szCs w:val="24"/>
        </w:rPr>
        <w:t>t</w:t>
      </w:r>
      <w:r>
        <w:rPr>
          <w:sz w:val="24"/>
          <w:szCs w:val="24"/>
        </w:rPr>
        <w:t xml:space="preserve"> = 2.18, </w:t>
      </w:r>
      <w:r w:rsidRPr="00C517D9">
        <w:rPr>
          <w:i/>
          <w:sz w:val="24"/>
          <w:szCs w:val="24"/>
        </w:rPr>
        <w:t>p</w:t>
      </w:r>
      <w:r>
        <w:rPr>
          <w:sz w:val="24"/>
          <w:szCs w:val="24"/>
        </w:rPr>
        <w:t xml:space="preserve"> &lt; .05) and 2 (</w:t>
      </w:r>
      <w:r w:rsidRPr="00C517D9">
        <w:rPr>
          <w:i/>
          <w:sz w:val="24"/>
          <w:szCs w:val="24"/>
        </w:rPr>
        <w:t>b</w:t>
      </w:r>
      <w:r>
        <w:rPr>
          <w:sz w:val="24"/>
          <w:szCs w:val="24"/>
        </w:rPr>
        <w:t xml:space="preserve"> = 0.13, </w:t>
      </w:r>
      <w:r w:rsidRPr="00C517D9">
        <w:rPr>
          <w:i/>
          <w:sz w:val="24"/>
          <w:szCs w:val="24"/>
        </w:rPr>
        <w:t xml:space="preserve">t </w:t>
      </w:r>
      <w:r>
        <w:rPr>
          <w:sz w:val="24"/>
          <w:szCs w:val="24"/>
        </w:rPr>
        <w:t xml:space="preserve">= 2.16, </w:t>
      </w:r>
      <w:r w:rsidRPr="00C517D9">
        <w:rPr>
          <w:i/>
          <w:sz w:val="24"/>
          <w:szCs w:val="24"/>
        </w:rPr>
        <w:t>p</w:t>
      </w:r>
      <w:r>
        <w:rPr>
          <w:sz w:val="24"/>
          <w:szCs w:val="24"/>
        </w:rPr>
        <w:t xml:space="preserve"> &lt; .05). This behavior indicates that rats tended to develop a preference for a particular stock within a session (see</w:t>
      </w:r>
      <w:r w:rsidR="0042321E">
        <w:rPr>
          <w:sz w:val="24"/>
          <w:szCs w:val="24"/>
        </w:rPr>
        <w:t xml:space="preserve"> Fig</w:t>
      </w:r>
      <w:r>
        <w:rPr>
          <w:sz w:val="24"/>
          <w:szCs w:val="24"/>
        </w:rPr>
        <w:t xml:space="preserve"> S</w:t>
      </w:r>
      <w:r w:rsidR="0042321E">
        <w:rPr>
          <w:sz w:val="24"/>
          <w:szCs w:val="24"/>
        </w:rPr>
        <w:t>3</w:t>
      </w:r>
      <w:r>
        <w:rPr>
          <w:sz w:val="24"/>
          <w:szCs w:val="24"/>
        </w:rPr>
        <w:t xml:space="preserve"> for subject-wise graphs). </w:t>
      </w:r>
    </w:p>
    <w:p w14:paraId="0A69682E" w14:textId="7232AD40" w:rsidR="00AA3F9E" w:rsidRPr="00150F3D" w:rsidRDefault="00AA3F9E" w:rsidP="00AA3F9E">
      <w:pPr>
        <w:spacing w:before="120" w:line="480" w:lineRule="auto"/>
        <w:rPr>
          <w:b/>
          <w:sz w:val="24"/>
          <w:szCs w:val="24"/>
        </w:rPr>
      </w:pPr>
      <w:r>
        <w:rPr>
          <w:b/>
          <w:sz w:val="24"/>
          <w:szCs w:val="24"/>
        </w:rPr>
        <w:t>The effect of blink rate on stock choice</w:t>
      </w:r>
    </w:p>
    <w:p w14:paraId="08CE6CDA" w14:textId="4C631008" w:rsidR="00AA3F9E" w:rsidRDefault="00AA3F9E" w:rsidP="00AA3F9E">
      <w:pPr>
        <w:spacing w:before="120" w:line="480" w:lineRule="auto"/>
        <w:ind w:firstLine="720"/>
        <w:rPr>
          <w:sz w:val="24"/>
          <w:szCs w:val="24"/>
        </w:rPr>
      </w:pPr>
      <w:r>
        <w:rPr>
          <w:sz w:val="24"/>
          <w:szCs w:val="24"/>
        </w:rPr>
        <w:t>In order to determine whether rats might choose stocks based on the current blink rate (rather than change in blink rate), we included the chosen blink rate (Hz) as a predictor in the model. Interestingly, our results indicate that rats were more likely to choose stock 1 (but not stock 2) at significantly lower blink rates relative to stock 3 (</w:t>
      </w:r>
      <w:r w:rsidRPr="00DB586F">
        <w:rPr>
          <w:i/>
          <w:sz w:val="24"/>
          <w:szCs w:val="24"/>
        </w:rPr>
        <w:t xml:space="preserve">b </w:t>
      </w:r>
      <w:r>
        <w:rPr>
          <w:sz w:val="24"/>
          <w:szCs w:val="24"/>
        </w:rPr>
        <w:t>= -0.54,</w:t>
      </w:r>
      <w:r w:rsidRPr="00DB586F">
        <w:rPr>
          <w:i/>
          <w:sz w:val="24"/>
          <w:szCs w:val="24"/>
        </w:rPr>
        <w:t xml:space="preserve"> t</w:t>
      </w:r>
      <w:r>
        <w:rPr>
          <w:sz w:val="24"/>
          <w:szCs w:val="24"/>
        </w:rPr>
        <w:t xml:space="preserve"> = -5.69, </w:t>
      </w:r>
      <w:r w:rsidRPr="00DB586F">
        <w:rPr>
          <w:i/>
          <w:sz w:val="24"/>
          <w:szCs w:val="24"/>
        </w:rPr>
        <w:t>p</w:t>
      </w:r>
      <w:r>
        <w:rPr>
          <w:sz w:val="24"/>
          <w:szCs w:val="24"/>
        </w:rPr>
        <w:t xml:space="preserve"> &lt; .001). Given this significant effect, we can rule out a large effect of the potential strategy in which rats always chose the stock associated with either the slowest or the highest blink rate (see </w:t>
      </w:r>
      <w:r w:rsidR="0042321E">
        <w:rPr>
          <w:sz w:val="24"/>
          <w:szCs w:val="24"/>
        </w:rPr>
        <w:t xml:space="preserve">Fig </w:t>
      </w:r>
      <w:r>
        <w:rPr>
          <w:sz w:val="24"/>
          <w:szCs w:val="24"/>
        </w:rPr>
        <w:t>S</w:t>
      </w:r>
      <w:r w:rsidR="0042321E">
        <w:rPr>
          <w:sz w:val="24"/>
          <w:szCs w:val="24"/>
        </w:rPr>
        <w:t>5</w:t>
      </w:r>
      <w:r>
        <w:rPr>
          <w:sz w:val="24"/>
          <w:szCs w:val="24"/>
        </w:rPr>
        <w:t xml:space="preserve"> for subject-wise graphs).</w:t>
      </w:r>
    </w:p>
    <w:p w14:paraId="57C973B5" w14:textId="77777777" w:rsidR="00AA3F9E" w:rsidRPr="00AA3F9E" w:rsidRDefault="00AA3F9E" w:rsidP="00AA3F9E">
      <w:pPr>
        <w:pStyle w:val="Heading4"/>
        <w:spacing w:after="240" w:line="480" w:lineRule="auto"/>
        <w:rPr>
          <w:rFonts w:ascii="Times New Roman" w:hAnsi="Times New Roman" w:cs="Times New Roman"/>
          <w:i w:val="0"/>
          <w:color w:val="000000" w:themeColor="text1"/>
          <w:sz w:val="24"/>
        </w:rPr>
      </w:pPr>
      <w:r w:rsidRPr="00AA3F9E">
        <w:rPr>
          <w:rFonts w:ascii="Times New Roman" w:hAnsi="Times New Roman" w:cs="Times New Roman"/>
          <w:i w:val="0"/>
          <w:color w:val="000000" w:themeColor="text1"/>
          <w:sz w:val="24"/>
        </w:rPr>
        <w:t>Rats exhibit the disposition effect</w:t>
      </w:r>
    </w:p>
    <w:p w14:paraId="6668CCBB" w14:textId="77777777" w:rsidR="00AA3F9E" w:rsidRPr="0002271D" w:rsidRDefault="00AA3F9E" w:rsidP="00AA3F9E">
      <w:pPr>
        <w:spacing w:after="240" w:line="480" w:lineRule="auto"/>
        <w:ind w:firstLine="720"/>
        <w:rPr>
          <w:sz w:val="24"/>
          <w:szCs w:val="24"/>
        </w:rPr>
      </w:pPr>
      <w:r w:rsidRPr="0002271D">
        <w:rPr>
          <w:sz w:val="24"/>
          <w:szCs w:val="24"/>
        </w:rPr>
        <w:t>As often observed in human studies, we found that individual subjects exhibited a range of disposition effect strengths, calculated as</w:t>
      </w:r>
      <w:r>
        <w:rPr>
          <w:sz w:val="24"/>
          <w:szCs w:val="24"/>
        </w:rPr>
        <w:t xml:space="preserve"> t</w:t>
      </w:r>
      <w:r w:rsidRPr="001D45EC">
        <w:rPr>
          <w:sz w:val="24"/>
          <w:szCs w:val="24"/>
        </w:rPr>
        <w:t xml:space="preserve">he proportion of gains realized (PGR) </w:t>
      </w:r>
      <w:r>
        <w:rPr>
          <w:sz w:val="24"/>
          <w:szCs w:val="24"/>
        </w:rPr>
        <w:t>minus</w:t>
      </w:r>
      <w:r w:rsidRPr="001D45EC">
        <w:rPr>
          <w:sz w:val="24"/>
          <w:szCs w:val="24"/>
        </w:rPr>
        <w:t xml:space="preserve"> the proportion of losses realized (PLR)</w:t>
      </w:r>
      <w:r>
        <w:rPr>
          <w:sz w:val="24"/>
          <w:szCs w:val="24"/>
        </w:rPr>
        <w:t>, or</w:t>
      </w:r>
      <w:r w:rsidRPr="0002271D">
        <w:rPr>
          <w:sz w:val="24"/>
          <w:szCs w:val="24"/>
        </w:rPr>
        <w:t xml:space="preserve"> PGR - PLR. Mean disposition effect sizes ranged from -.09 to .23 (</w:t>
      </w:r>
      <w:r w:rsidRPr="0002271D">
        <w:rPr>
          <w:i/>
          <w:sz w:val="24"/>
          <w:szCs w:val="24"/>
        </w:rPr>
        <w:t>M</w:t>
      </w:r>
      <w:r w:rsidRPr="0002271D">
        <w:rPr>
          <w:sz w:val="24"/>
          <w:szCs w:val="24"/>
        </w:rPr>
        <w:t xml:space="preserve"> = .04, </w:t>
      </w:r>
      <w:r w:rsidRPr="0002271D">
        <w:rPr>
          <w:i/>
          <w:sz w:val="24"/>
          <w:szCs w:val="24"/>
        </w:rPr>
        <w:t>SEM</w:t>
      </w:r>
      <w:r w:rsidRPr="0002271D">
        <w:rPr>
          <w:sz w:val="24"/>
          <w:szCs w:val="24"/>
        </w:rPr>
        <w:t xml:space="preserve">  = .02), with higher positive values indicating stronger tendencies to</w:t>
      </w:r>
      <w:r>
        <w:rPr>
          <w:sz w:val="24"/>
          <w:szCs w:val="24"/>
        </w:rPr>
        <w:t>wards</w:t>
      </w:r>
      <w:r w:rsidRPr="0002271D">
        <w:rPr>
          <w:sz w:val="24"/>
          <w:szCs w:val="24"/>
        </w:rPr>
        <w:t xml:space="preserve"> hold</w:t>
      </w:r>
      <w:r>
        <w:rPr>
          <w:sz w:val="24"/>
          <w:szCs w:val="24"/>
        </w:rPr>
        <w:t>ing</w:t>
      </w:r>
      <w:r w:rsidRPr="0002271D">
        <w:rPr>
          <w:sz w:val="24"/>
          <w:szCs w:val="24"/>
        </w:rPr>
        <w:t xml:space="preserve"> losses too long and sell</w:t>
      </w:r>
      <w:r>
        <w:rPr>
          <w:sz w:val="24"/>
          <w:szCs w:val="24"/>
        </w:rPr>
        <w:t>ing</w:t>
      </w:r>
      <w:r w:rsidRPr="0002271D">
        <w:rPr>
          <w:sz w:val="24"/>
          <w:szCs w:val="24"/>
        </w:rPr>
        <w:t xml:space="preserve"> gains too quickly. PGR and </w:t>
      </w:r>
      <w:r>
        <w:rPr>
          <w:sz w:val="24"/>
          <w:szCs w:val="24"/>
        </w:rPr>
        <w:t xml:space="preserve">PLR were not correlated within subjects (S1b Fig). This effect </w:t>
      </w:r>
      <w:r w:rsidRPr="0002271D">
        <w:rPr>
          <w:sz w:val="24"/>
          <w:szCs w:val="24"/>
        </w:rPr>
        <w:t xml:space="preserve">was not significantly correlated with greater average volumes of reward per trial second (Pearson’s </w:t>
      </w:r>
      <w:r w:rsidRPr="0002271D">
        <w:rPr>
          <w:i/>
          <w:sz w:val="24"/>
          <w:szCs w:val="24"/>
        </w:rPr>
        <w:t>r</w:t>
      </w:r>
      <w:r w:rsidRPr="0002271D">
        <w:rPr>
          <w:sz w:val="24"/>
          <w:szCs w:val="24"/>
        </w:rPr>
        <w:t xml:space="preserve"> =</w:t>
      </w:r>
      <w:r w:rsidRPr="0002271D">
        <w:rPr>
          <w:i/>
          <w:sz w:val="24"/>
          <w:szCs w:val="24"/>
        </w:rPr>
        <w:t xml:space="preserve"> </w:t>
      </w:r>
      <w:r w:rsidRPr="0002271D">
        <w:rPr>
          <w:sz w:val="24"/>
          <w:szCs w:val="24"/>
        </w:rPr>
        <w:t xml:space="preserve">.10, </w:t>
      </w:r>
      <w:r w:rsidRPr="0002271D">
        <w:rPr>
          <w:i/>
          <w:sz w:val="24"/>
          <w:szCs w:val="24"/>
        </w:rPr>
        <w:t>p</w:t>
      </w:r>
      <w:r w:rsidRPr="0002271D">
        <w:rPr>
          <w:sz w:val="24"/>
          <w:szCs w:val="24"/>
        </w:rPr>
        <w:t xml:space="preserve"> = .65). There were also no correlations </w:t>
      </w:r>
      <w:r w:rsidRPr="0002271D">
        <w:rPr>
          <w:sz w:val="24"/>
          <w:szCs w:val="24"/>
        </w:rPr>
        <w:lastRenderedPageBreak/>
        <w:t xml:space="preserve">between disposition effect strength and subjects’ average proportion of sales per session (Pearson’s </w:t>
      </w:r>
      <w:r w:rsidRPr="0002271D">
        <w:rPr>
          <w:i/>
          <w:sz w:val="24"/>
          <w:szCs w:val="24"/>
        </w:rPr>
        <w:t>r</w:t>
      </w:r>
      <w:r w:rsidRPr="0002271D">
        <w:rPr>
          <w:sz w:val="24"/>
          <w:szCs w:val="24"/>
        </w:rPr>
        <w:t xml:space="preserve"> = .13, </w:t>
      </w:r>
      <w:r w:rsidRPr="0002271D">
        <w:rPr>
          <w:i/>
          <w:sz w:val="24"/>
          <w:szCs w:val="24"/>
        </w:rPr>
        <w:t>p</w:t>
      </w:r>
      <w:r w:rsidRPr="0002271D">
        <w:rPr>
          <w:sz w:val="24"/>
          <w:szCs w:val="24"/>
        </w:rPr>
        <w:t xml:space="preserve"> = .53) or overall proportion of trades (</w:t>
      </w:r>
      <w:r w:rsidRPr="0002271D">
        <w:rPr>
          <w:i/>
          <w:sz w:val="24"/>
          <w:szCs w:val="24"/>
        </w:rPr>
        <w:t>vs.</w:t>
      </w:r>
      <w:r w:rsidRPr="0002271D">
        <w:rPr>
          <w:sz w:val="24"/>
          <w:szCs w:val="24"/>
        </w:rPr>
        <w:t xml:space="preserve"> holds) per session (Pearson’s </w:t>
      </w:r>
      <w:r w:rsidRPr="0002271D">
        <w:rPr>
          <w:i/>
          <w:sz w:val="24"/>
          <w:szCs w:val="24"/>
        </w:rPr>
        <w:t>r</w:t>
      </w:r>
      <w:r w:rsidRPr="0002271D">
        <w:rPr>
          <w:sz w:val="24"/>
          <w:szCs w:val="24"/>
        </w:rPr>
        <w:t xml:space="preserve"> = .30, </w:t>
      </w:r>
      <w:r w:rsidRPr="0002271D">
        <w:rPr>
          <w:i/>
          <w:sz w:val="24"/>
          <w:szCs w:val="24"/>
        </w:rPr>
        <w:t>p</w:t>
      </w:r>
      <w:r w:rsidRPr="0002271D">
        <w:rPr>
          <w:sz w:val="24"/>
          <w:szCs w:val="24"/>
        </w:rPr>
        <w:t xml:space="preserve"> = .15). </w:t>
      </w:r>
    </w:p>
    <w:p w14:paraId="26EB8C90" w14:textId="77777777" w:rsidR="00E5780E" w:rsidRPr="0002271D" w:rsidRDefault="00E5780E" w:rsidP="00E5780E">
      <w:pPr>
        <w:spacing w:after="240" w:line="480" w:lineRule="auto"/>
        <w:rPr>
          <w:sz w:val="24"/>
          <w:szCs w:val="24"/>
        </w:rPr>
      </w:pPr>
    </w:p>
    <w:p w14:paraId="7850C8DC" w14:textId="77777777" w:rsidR="00E5780E" w:rsidRPr="0002271D" w:rsidRDefault="00E5780E" w:rsidP="00E5780E">
      <w:pPr>
        <w:spacing w:after="240" w:line="480" w:lineRule="auto"/>
        <w:rPr>
          <w:sz w:val="24"/>
          <w:szCs w:val="24"/>
        </w:rPr>
      </w:pPr>
      <w:r w:rsidRPr="0002271D">
        <w:rPr>
          <w:sz w:val="24"/>
          <w:szCs w:val="24"/>
        </w:rPr>
        <w:br w:type="page"/>
      </w:r>
    </w:p>
    <w:p w14:paraId="7DB49FE3" w14:textId="7D00E42E" w:rsidR="008348C4" w:rsidRPr="0009287B" w:rsidRDefault="00E5780E" w:rsidP="0009287B">
      <w:pPr>
        <w:pStyle w:val="Heading1"/>
        <w:spacing w:after="240"/>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lastRenderedPageBreak/>
        <w:t>Supplementary Fig</w:t>
      </w:r>
      <w:r w:rsidRPr="00230579">
        <w:rPr>
          <w:rFonts w:ascii="Times New Roman" w:hAnsi="Times New Roman" w:cs="Times New Roman"/>
          <w:color w:val="000000" w:themeColor="text1"/>
          <w:sz w:val="36"/>
          <w:szCs w:val="36"/>
        </w:rPr>
        <w:t>s</w:t>
      </w:r>
    </w:p>
    <w:p w14:paraId="697DD6B8" w14:textId="700DB72F" w:rsidR="008348C4" w:rsidRPr="008348C4" w:rsidRDefault="008348C4" w:rsidP="008348C4">
      <w:pPr>
        <w:rPr>
          <w:rFonts w:eastAsia="Times New Roman"/>
          <w:sz w:val="24"/>
          <w:szCs w:val="24"/>
        </w:rPr>
      </w:pPr>
    </w:p>
    <w:p w14:paraId="5F5A4492" w14:textId="77777777" w:rsidR="008348C4" w:rsidRDefault="008348C4">
      <w:pPr>
        <w:rPr>
          <w:b/>
        </w:rPr>
      </w:pPr>
    </w:p>
    <w:p w14:paraId="6D6D8391" w14:textId="4F0DCC0F" w:rsidR="00E5780E" w:rsidRPr="0002271D" w:rsidRDefault="00E5780E" w:rsidP="00E5780E">
      <w:pPr>
        <w:spacing w:after="240" w:line="480" w:lineRule="auto"/>
        <w:rPr>
          <w:b/>
        </w:rPr>
      </w:pPr>
      <w:r w:rsidRPr="0002271D">
        <w:rPr>
          <w:b/>
        </w:rPr>
        <w:t>A</w:t>
      </w:r>
      <w:r w:rsidRPr="0002271D">
        <w:rPr>
          <w:b/>
        </w:rPr>
        <w:tab/>
      </w:r>
      <w:r w:rsidRPr="0002271D">
        <w:rPr>
          <w:b/>
        </w:rPr>
        <w:tab/>
      </w:r>
      <w:r w:rsidRPr="0002271D">
        <w:rPr>
          <w:b/>
        </w:rPr>
        <w:tab/>
      </w:r>
      <w:r w:rsidRPr="0002271D">
        <w:rPr>
          <w:b/>
        </w:rPr>
        <w:tab/>
      </w:r>
      <w:r w:rsidRPr="0002271D">
        <w:rPr>
          <w:b/>
        </w:rPr>
        <w:tab/>
      </w:r>
      <w:r w:rsidRPr="0002271D">
        <w:rPr>
          <w:b/>
        </w:rPr>
        <w:tab/>
        <w:t>B</w:t>
      </w:r>
    </w:p>
    <w:p w14:paraId="7EC6B52D" w14:textId="6D70FFF3" w:rsidR="00E5780E" w:rsidRPr="0002271D" w:rsidRDefault="00E5780E" w:rsidP="00DA2945">
      <w:pPr>
        <w:widowControl w:val="0"/>
        <w:autoSpaceDE w:val="0"/>
        <w:autoSpaceDN w:val="0"/>
        <w:adjustRightInd w:val="0"/>
        <w:spacing w:after="240" w:line="480" w:lineRule="auto"/>
      </w:pPr>
      <w:r w:rsidRPr="0002271D">
        <w:rPr>
          <w:noProof/>
        </w:rPr>
        <w:drawing>
          <wp:inline distT="0" distB="0" distL="0" distR="0" wp14:anchorId="1CC2E772" wp14:editId="7C35C93E">
            <wp:extent cx="2625062" cy="2412365"/>
            <wp:effectExtent l="0" t="0" r="0" b="635"/>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
                      <a:extLst>
                        <a:ext uri="{28A0092B-C50C-407E-A947-70E740481C1C}">
                          <a14:useLocalDpi xmlns:a14="http://schemas.microsoft.com/office/drawing/2010/main" val="0"/>
                        </a:ext>
                      </a:extLst>
                    </a:blip>
                    <a:srcRect l="3812" r="-3812"/>
                    <a:stretch/>
                  </pic:blipFill>
                  <pic:spPr bwMode="auto">
                    <a:xfrm>
                      <a:off x="0" y="0"/>
                      <a:ext cx="2626356" cy="2413554"/>
                    </a:xfrm>
                    <a:prstGeom prst="rect">
                      <a:avLst/>
                    </a:prstGeom>
                    <a:noFill/>
                    <a:ln>
                      <a:noFill/>
                    </a:ln>
                  </pic:spPr>
                </pic:pic>
              </a:graphicData>
            </a:graphic>
          </wp:inline>
        </w:drawing>
      </w:r>
      <w:r w:rsidRPr="0002271D">
        <w:t xml:space="preserve"> </w:t>
      </w:r>
      <w:r w:rsidRPr="0002271D">
        <w:rPr>
          <w:noProof/>
        </w:rPr>
        <w:drawing>
          <wp:inline distT="0" distB="0" distL="0" distR="0" wp14:anchorId="58A808B6" wp14:editId="4163160B">
            <wp:extent cx="2596784" cy="2330450"/>
            <wp:effectExtent l="0" t="0" r="0" b="635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8664" cy="2332137"/>
                    </a:xfrm>
                    <a:prstGeom prst="rect">
                      <a:avLst/>
                    </a:prstGeom>
                    <a:noFill/>
                    <a:ln>
                      <a:noFill/>
                    </a:ln>
                  </pic:spPr>
                </pic:pic>
              </a:graphicData>
            </a:graphic>
          </wp:inline>
        </w:drawing>
      </w:r>
      <w:r w:rsidRPr="0002271D">
        <w:t xml:space="preserve">  </w:t>
      </w:r>
    </w:p>
    <w:p w14:paraId="2D0184B2" w14:textId="4C465D6A" w:rsidR="00E5780E" w:rsidRPr="001A609E" w:rsidRDefault="0009287B" w:rsidP="00384A3F">
      <w:pPr>
        <w:spacing w:line="480" w:lineRule="auto"/>
      </w:pPr>
      <w:r>
        <w:rPr>
          <w:b/>
        </w:rPr>
        <w:t>S1</w:t>
      </w:r>
      <w:r w:rsidR="00E5780E">
        <w:rPr>
          <w:b/>
        </w:rPr>
        <w:t xml:space="preserve"> Fig</w:t>
      </w:r>
      <w:r w:rsidR="00E5780E" w:rsidRPr="00FD0426">
        <w:rPr>
          <w:b/>
        </w:rPr>
        <w:t>:</w:t>
      </w:r>
      <w:r w:rsidR="00E5780E">
        <w:rPr>
          <w:b/>
        </w:rPr>
        <w:t xml:space="preserve"> Measures of suboptimal behavior.</w:t>
      </w:r>
      <w:r w:rsidR="00E5780E" w:rsidRPr="00FD0426">
        <w:rPr>
          <w:b/>
        </w:rPr>
        <w:t xml:space="preserve"> (A)</w:t>
      </w:r>
      <w:r w:rsidR="00E5780E" w:rsidRPr="00A93797">
        <w:t xml:space="preserve"> On average, rats earned almost twice as much reward per trial second when selecting a trade option (buy or sell) as compared to a hold option.</w:t>
      </w:r>
      <w:r w:rsidR="00E5780E" w:rsidRPr="00FD0426">
        <w:rPr>
          <w:b/>
        </w:rPr>
        <w:t xml:space="preserve"> (B) </w:t>
      </w:r>
      <w:r w:rsidR="00E5780E" w:rsidRPr="00A93797">
        <w:t xml:space="preserve">The proportion of gains realized (PGR) and the proportion of losses realized (PLR) were not significantly correlated within individual subjects (Pearson’s </w:t>
      </w:r>
      <w:r w:rsidR="00E5780E" w:rsidRPr="002F713B">
        <w:rPr>
          <w:i/>
        </w:rPr>
        <w:t xml:space="preserve">r </w:t>
      </w:r>
      <w:r w:rsidR="00E5780E" w:rsidRPr="00A93797">
        <w:t xml:space="preserve">= .33, </w:t>
      </w:r>
      <w:r w:rsidR="00E5780E" w:rsidRPr="002F713B">
        <w:rPr>
          <w:i/>
        </w:rPr>
        <w:t>p</w:t>
      </w:r>
      <w:r w:rsidR="00E5780E" w:rsidRPr="00A93797">
        <w:t xml:space="preserve"> = .12).</w:t>
      </w:r>
      <w:r w:rsidR="00E5780E">
        <w:t xml:space="preserve"> </w:t>
      </w:r>
      <w:r w:rsidR="00DA2945">
        <w:t>Error bars</w:t>
      </w:r>
      <w:r w:rsidR="00E5780E" w:rsidRPr="00A93797">
        <w:t xml:space="preserve"> represent 95% CI’s.</w:t>
      </w:r>
      <w:r w:rsidR="00E5780E" w:rsidRPr="001A609E">
        <w:t xml:space="preserve"> </w:t>
      </w:r>
    </w:p>
    <w:p w14:paraId="2E4C6C58" w14:textId="77777777" w:rsidR="00E5780E" w:rsidRPr="0002271D" w:rsidRDefault="00E5780E" w:rsidP="00E5780E">
      <w:pPr>
        <w:widowControl w:val="0"/>
        <w:autoSpaceDE w:val="0"/>
        <w:autoSpaceDN w:val="0"/>
        <w:adjustRightInd w:val="0"/>
        <w:spacing w:line="480" w:lineRule="auto"/>
      </w:pPr>
    </w:p>
    <w:p w14:paraId="44E530FA" w14:textId="77777777" w:rsidR="00E5780E" w:rsidRPr="0002271D" w:rsidRDefault="00E5780E" w:rsidP="00E5780E">
      <w:pPr>
        <w:widowControl w:val="0"/>
        <w:autoSpaceDE w:val="0"/>
        <w:autoSpaceDN w:val="0"/>
        <w:adjustRightInd w:val="0"/>
        <w:spacing w:line="480" w:lineRule="auto"/>
      </w:pPr>
    </w:p>
    <w:p w14:paraId="3CBE6F14" w14:textId="10D3CF51" w:rsidR="0030669F" w:rsidRDefault="00B51266" w:rsidP="00E5780E">
      <w:pPr>
        <w:widowControl w:val="0"/>
        <w:autoSpaceDE w:val="0"/>
        <w:autoSpaceDN w:val="0"/>
        <w:adjustRightInd w:val="0"/>
        <w:spacing w:line="480" w:lineRule="auto"/>
      </w:pPr>
      <w:r>
        <w:rPr>
          <w:noProof/>
        </w:rPr>
        <w:lastRenderedPageBreak/>
        <w:drawing>
          <wp:inline distT="114300" distB="114300" distL="114300" distR="114300" wp14:anchorId="55002218" wp14:editId="0128CC0A">
            <wp:extent cx="4849163" cy="5882957"/>
            <wp:effectExtent l="0" t="0" r="0" b="0"/>
            <wp:docPr id="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a:srcRect/>
                    <a:stretch>
                      <a:fillRect/>
                    </a:stretch>
                  </pic:blipFill>
                  <pic:spPr>
                    <a:xfrm>
                      <a:off x="0" y="0"/>
                      <a:ext cx="4849163" cy="5882957"/>
                    </a:xfrm>
                    <a:prstGeom prst="rect">
                      <a:avLst/>
                    </a:prstGeom>
                    <a:ln/>
                  </pic:spPr>
                </pic:pic>
              </a:graphicData>
            </a:graphic>
          </wp:inline>
        </w:drawing>
      </w:r>
    </w:p>
    <w:p w14:paraId="70B81985" w14:textId="00E96EED" w:rsidR="0030669F" w:rsidRPr="0030669F" w:rsidRDefault="0030669F" w:rsidP="00E5780E">
      <w:pPr>
        <w:widowControl w:val="0"/>
        <w:autoSpaceDE w:val="0"/>
        <w:autoSpaceDN w:val="0"/>
        <w:adjustRightInd w:val="0"/>
        <w:spacing w:line="480" w:lineRule="auto"/>
      </w:pPr>
      <w:r w:rsidRPr="0030669F">
        <w:rPr>
          <w:b/>
        </w:rPr>
        <w:t>S2 Fig: Option choice by blink rate</w:t>
      </w:r>
      <w:r w:rsidR="00D55C30">
        <w:rPr>
          <w:b/>
        </w:rPr>
        <w:t xml:space="preserve"> (Hz)</w:t>
      </w:r>
      <w:r w:rsidRPr="0030669F">
        <w:rPr>
          <w:b/>
        </w:rPr>
        <w:t xml:space="preserve"> change in each stock.</w:t>
      </w:r>
      <w:r w:rsidR="001D45EC">
        <w:rPr>
          <w:b/>
        </w:rPr>
        <w:t xml:space="preserve"> </w:t>
      </w:r>
      <w:r w:rsidR="001D45EC">
        <w:t>Within the task, rats had an option of three different stocks on free-choice trials. Overall, rats showed stable</w:t>
      </w:r>
      <w:r w:rsidR="009E2081">
        <w:t xml:space="preserve"> responses to changes in blink rate (i.e. changes in price) at each of the three stocks. Rats chose the hold option at no change or at </w:t>
      </w:r>
      <w:r w:rsidR="009E2081">
        <w:sym w:font="Symbol" w:char="F0B1"/>
      </w:r>
      <w:r w:rsidR="009E2081">
        <w:t xml:space="preserve"> 0.5 Hz significantly more than the buy or sell option in all three stocks. Rats began to trade more (buy or sell) as the change in blink rate exceeded 0.15 Hz.</w:t>
      </w:r>
      <w:r w:rsidR="001D45EC">
        <w:t xml:space="preserve"> </w:t>
      </w:r>
      <w:r>
        <w:t>Rats demonstrate</w:t>
      </w:r>
      <w:r w:rsidR="000E3075">
        <w:t>d some variability in option ch</w:t>
      </w:r>
      <w:r>
        <w:t>oice</w:t>
      </w:r>
      <w:r w:rsidR="00D55C30">
        <w:t xml:space="preserve"> at large negative changes in blink rate between stocks</w:t>
      </w:r>
      <w:r w:rsidR="009E2081">
        <w:t>, although the overall pattern remained the same.</w:t>
      </w:r>
    </w:p>
    <w:p w14:paraId="15283C87" w14:textId="7BEA6219" w:rsidR="00B51266" w:rsidRPr="0002271D" w:rsidRDefault="00B51266" w:rsidP="00E5780E">
      <w:pPr>
        <w:widowControl w:val="0"/>
        <w:autoSpaceDE w:val="0"/>
        <w:autoSpaceDN w:val="0"/>
        <w:adjustRightInd w:val="0"/>
        <w:spacing w:line="480" w:lineRule="auto"/>
      </w:pPr>
    </w:p>
    <w:p w14:paraId="125C31CD" w14:textId="52C1117F" w:rsidR="00E5780E" w:rsidRDefault="001760A6" w:rsidP="00E5780E">
      <w:pPr>
        <w:widowControl w:val="0"/>
        <w:autoSpaceDE w:val="0"/>
        <w:autoSpaceDN w:val="0"/>
        <w:adjustRightInd w:val="0"/>
        <w:spacing w:line="480" w:lineRule="auto"/>
      </w:pPr>
      <w:r>
        <w:rPr>
          <w:noProof/>
        </w:rPr>
        <w:lastRenderedPageBreak/>
        <w:drawing>
          <wp:inline distT="114300" distB="114300" distL="114300" distR="114300" wp14:anchorId="363EC528" wp14:editId="520C68EB">
            <wp:extent cx="4741545" cy="5930191"/>
            <wp:effectExtent l="0" t="0" r="0" b="1270"/>
            <wp:docPr id="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9"/>
                    <a:srcRect l="989" t="1846" r="19219" b="14332"/>
                    <a:stretch/>
                  </pic:blipFill>
                  <pic:spPr bwMode="auto">
                    <a:xfrm>
                      <a:off x="0" y="0"/>
                      <a:ext cx="4742472" cy="5931350"/>
                    </a:xfrm>
                    <a:prstGeom prst="rect">
                      <a:avLst/>
                    </a:prstGeom>
                    <a:ln>
                      <a:noFill/>
                    </a:ln>
                    <a:extLst>
                      <a:ext uri="{53640926-AAD7-44D8-BBD7-CCE9431645EC}">
                        <a14:shadowObscured xmlns:a14="http://schemas.microsoft.com/office/drawing/2010/main"/>
                      </a:ext>
                    </a:extLst>
                  </pic:spPr>
                </pic:pic>
              </a:graphicData>
            </a:graphic>
          </wp:inline>
        </w:drawing>
      </w:r>
    </w:p>
    <w:p w14:paraId="53C91F02" w14:textId="5D64343C" w:rsidR="00B12418" w:rsidRDefault="00B12418" w:rsidP="00E5780E">
      <w:pPr>
        <w:widowControl w:val="0"/>
        <w:autoSpaceDE w:val="0"/>
        <w:autoSpaceDN w:val="0"/>
        <w:adjustRightInd w:val="0"/>
        <w:spacing w:line="480" w:lineRule="auto"/>
      </w:pPr>
      <w:r w:rsidRPr="00B12418">
        <w:rPr>
          <w:b/>
        </w:rPr>
        <w:t>S</w:t>
      </w:r>
      <w:r w:rsidR="00F122B0">
        <w:rPr>
          <w:b/>
        </w:rPr>
        <w:t>3</w:t>
      </w:r>
      <w:r w:rsidRPr="00B12418">
        <w:rPr>
          <w:b/>
        </w:rPr>
        <w:t xml:space="preserve"> Fig: Individual choice of stock by session. </w:t>
      </w:r>
      <w:r>
        <w:t>Each rat’s (N=24) proportion of stock choice was inspected for biases over the course of the analyzed sessions.</w:t>
      </w:r>
    </w:p>
    <w:p w14:paraId="097908B6" w14:textId="08F3B2BA" w:rsidR="001760A6" w:rsidRDefault="001760A6" w:rsidP="00E5780E">
      <w:pPr>
        <w:widowControl w:val="0"/>
        <w:autoSpaceDE w:val="0"/>
        <w:autoSpaceDN w:val="0"/>
        <w:adjustRightInd w:val="0"/>
        <w:spacing w:line="480" w:lineRule="auto"/>
      </w:pPr>
      <w:r>
        <w:rPr>
          <w:noProof/>
        </w:rPr>
        <w:lastRenderedPageBreak/>
        <w:drawing>
          <wp:inline distT="114300" distB="114300" distL="114300" distR="114300" wp14:anchorId="2B09F055" wp14:editId="6CE9A835">
            <wp:extent cx="5943600" cy="6407440"/>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5943600" cy="6407440"/>
                    </a:xfrm>
                    <a:prstGeom prst="rect">
                      <a:avLst/>
                    </a:prstGeom>
                    <a:ln/>
                  </pic:spPr>
                </pic:pic>
              </a:graphicData>
            </a:graphic>
          </wp:inline>
        </w:drawing>
      </w:r>
    </w:p>
    <w:p w14:paraId="081C49F0" w14:textId="4B653E7F" w:rsidR="00B12418" w:rsidRDefault="00B12418" w:rsidP="00E5780E">
      <w:pPr>
        <w:widowControl w:val="0"/>
        <w:autoSpaceDE w:val="0"/>
        <w:autoSpaceDN w:val="0"/>
        <w:adjustRightInd w:val="0"/>
        <w:spacing w:line="480" w:lineRule="auto"/>
      </w:pPr>
      <w:r w:rsidRPr="00F122B0">
        <w:rPr>
          <w:b/>
        </w:rPr>
        <w:t>S</w:t>
      </w:r>
      <w:r w:rsidR="00F122B0" w:rsidRPr="00F122B0">
        <w:rPr>
          <w:b/>
        </w:rPr>
        <w:t>4</w:t>
      </w:r>
      <w:r w:rsidRPr="00F122B0">
        <w:rPr>
          <w:b/>
        </w:rPr>
        <w:t xml:space="preserve"> Fig: Individual choice of hole location by session.</w:t>
      </w:r>
      <w:r>
        <w:t xml:space="preserve"> Most rats did not show an individual bias towards a specific hole during choice of a stock on free-choice trials across sessions. Notable exceptions are rats 213 and 216, who demonstrated </w:t>
      </w:r>
      <w:r w:rsidR="003441B3">
        <w:t xml:space="preserve">a </w:t>
      </w:r>
      <w:r>
        <w:t>preference for hole 2 and hole 4, respectively.</w:t>
      </w:r>
      <w:r w:rsidR="003441B3">
        <w:t xml:space="preserve"> Given the majority of rats do not show such a bias, we were satisfied that rats’ average responses in the task did not reflect a simple heuristic (e.g. repeating a pattern of returning to the same hole on every trial).</w:t>
      </w:r>
    </w:p>
    <w:p w14:paraId="079CAFBF" w14:textId="6589AF2E" w:rsidR="001760A6" w:rsidRDefault="001760A6" w:rsidP="00E5780E">
      <w:pPr>
        <w:widowControl w:val="0"/>
        <w:autoSpaceDE w:val="0"/>
        <w:autoSpaceDN w:val="0"/>
        <w:adjustRightInd w:val="0"/>
        <w:spacing w:line="480" w:lineRule="auto"/>
      </w:pPr>
      <w:r>
        <w:rPr>
          <w:noProof/>
        </w:rPr>
        <w:lastRenderedPageBreak/>
        <w:drawing>
          <wp:inline distT="114300" distB="114300" distL="114300" distR="114300" wp14:anchorId="0CADF412" wp14:editId="4D3B5D42">
            <wp:extent cx="5943600" cy="3294908"/>
            <wp:effectExtent l="0" t="0" r="0" b="7620"/>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5943600" cy="3294908"/>
                    </a:xfrm>
                    <a:prstGeom prst="rect">
                      <a:avLst/>
                    </a:prstGeom>
                    <a:ln/>
                  </pic:spPr>
                </pic:pic>
              </a:graphicData>
            </a:graphic>
          </wp:inline>
        </w:drawing>
      </w:r>
    </w:p>
    <w:p w14:paraId="6E1262B5" w14:textId="13CDA53D" w:rsidR="003441B3" w:rsidRDefault="003441B3" w:rsidP="00E5780E">
      <w:pPr>
        <w:widowControl w:val="0"/>
        <w:autoSpaceDE w:val="0"/>
        <w:autoSpaceDN w:val="0"/>
        <w:adjustRightInd w:val="0"/>
        <w:spacing w:line="480" w:lineRule="auto"/>
      </w:pPr>
      <w:r w:rsidRPr="00F122B0">
        <w:rPr>
          <w:b/>
        </w:rPr>
        <w:t>S</w:t>
      </w:r>
      <w:r w:rsidR="00F122B0" w:rsidRPr="00F122B0">
        <w:rPr>
          <w:b/>
        </w:rPr>
        <w:t>5</w:t>
      </w:r>
      <w:r w:rsidRPr="00F122B0">
        <w:rPr>
          <w:b/>
        </w:rPr>
        <w:t xml:space="preserve"> Fig: Average difference in blink rate of chosen hole relative to unchosen holes per individual rat.</w:t>
      </w:r>
      <w:r>
        <w:t xml:space="preserve"> </w:t>
      </w:r>
      <w:r w:rsidR="00DF7382">
        <w:t xml:space="preserve">Some rats (e.g. 124 and 208) demonstrated a significant preference for choosing stocks that increased in price (faster blink rates), while others (e.g. 211 and 218) preferred stocks with decreasing prices (slower blink rates). </w:t>
      </w:r>
      <w:r w:rsidR="0042321E">
        <w:t>Most</w:t>
      </w:r>
      <w:r w:rsidR="00933E5D">
        <w:t xml:space="preserve"> rats showed no preference for stocks </w:t>
      </w:r>
      <w:r w:rsidR="0042321E">
        <w:t>based purely on blink rate, suggesting that rats might have been (correctly) choosing based on changes in blink rate from one trial to the next.</w:t>
      </w:r>
    </w:p>
    <w:p w14:paraId="388F86C7" w14:textId="77777777" w:rsidR="001760A6" w:rsidRDefault="001760A6" w:rsidP="00E5780E">
      <w:pPr>
        <w:widowControl w:val="0"/>
        <w:autoSpaceDE w:val="0"/>
        <w:autoSpaceDN w:val="0"/>
        <w:adjustRightInd w:val="0"/>
        <w:spacing w:line="480" w:lineRule="auto"/>
      </w:pPr>
    </w:p>
    <w:p w14:paraId="6A85A7A0" w14:textId="78A81046" w:rsidR="001760A6" w:rsidRDefault="001760A6" w:rsidP="00E5780E">
      <w:pPr>
        <w:widowControl w:val="0"/>
        <w:autoSpaceDE w:val="0"/>
        <w:autoSpaceDN w:val="0"/>
        <w:adjustRightInd w:val="0"/>
        <w:spacing w:line="480" w:lineRule="auto"/>
      </w:pPr>
      <w:r>
        <w:rPr>
          <w:noProof/>
        </w:rPr>
        <w:lastRenderedPageBreak/>
        <w:drawing>
          <wp:inline distT="114300" distB="114300" distL="114300" distR="114300" wp14:anchorId="5B3BAC11" wp14:editId="24B3747B">
            <wp:extent cx="5943600" cy="3501599"/>
            <wp:effectExtent l="0" t="0" r="0" b="381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3501599"/>
                    </a:xfrm>
                    <a:prstGeom prst="rect">
                      <a:avLst/>
                    </a:prstGeom>
                    <a:ln/>
                  </pic:spPr>
                </pic:pic>
              </a:graphicData>
            </a:graphic>
          </wp:inline>
        </w:drawing>
      </w:r>
    </w:p>
    <w:p w14:paraId="614052E0" w14:textId="234C78C7" w:rsidR="004657D7" w:rsidRPr="00652E15" w:rsidRDefault="004657D7" w:rsidP="00E5780E">
      <w:pPr>
        <w:widowControl w:val="0"/>
        <w:autoSpaceDE w:val="0"/>
        <w:autoSpaceDN w:val="0"/>
        <w:adjustRightInd w:val="0"/>
        <w:spacing w:line="480" w:lineRule="auto"/>
      </w:pPr>
      <w:r w:rsidRPr="00652E15">
        <w:rPr>
          <w:b/>
        </w:rPr>
        <w:t>S</w:t>
      </w:r>
      <w:r w:rsidR="00F122B0">
        <w:rPr>
          <w:b/>
        </w:rPr>
        <w:t>6</w:t>
      </w:r>
      <w:r w:rsidRPr="00652E15">
        <w:rPr>
          <w:b/>
        </w:rPr>
        <w:t xml:space="preserve"> Fig: </w:t>
      </w:r>
      <w:r w:rsidR="00652E15" w:rsidRPr="00652E15">
        <w:rPr>
          <w:b/>
        </w:rPr>
        <w:t>Mean r</w:t>
      </w:r>
      <w:r w:rsidRPr="00652E15">
        <w:rPr>
          <w:b/>
        </w:rPr>
        <w:t xml:space="preserve">ate of reward </w:t>
      </w:r>
      <w:r w:rsidR="00652E15" w:rsidRPr="00652E15">
        <w:rPr>
          <w:b/>
        </w:rPr>
        <w:t xml:space="preserve">per subject by cohort. </w:t>
      </w:r>
      <w:r w:rsidR="00652E15">
        <w:t>Each rat (N = 24) was assigned to a cohort of 4 ‘trading’ partners, with a total of 6 cohorts in all. On average, rats received about 0.002 ml of liquid reward per trial sec. Cohort 4 exceeded the average, mainly due to a top-performer (blue circle) rather than the other three members of the cohort (red, green and orange circles). By contrast, all of the members of cohort 2 underperformed relative to average.</w:t>
      </w:r>
    </w:p>
    <w:p w14:paraId="3179D42C" w14:textId="2DC84FBF" w:rsidR="001760A6" w:rsidRDefault="001760A6" w:rsidP="00E5780E">
      <w:pPr>
        <w:widowControl w:val="0"/>
        <w:autoSpaceDE w:val="0"/>
        <w:autoSpaceDN w:val="0"/>
        <w:adjustRightInd w:val="0"/>
        <w:spacing w:line="480" w:lineRule="auto"/>
      </w:pPr>
    </w:p>
    <w:p w14:paraId="78544C04" w14:textId="77777777" w:rsidR="00BB57A4" w:rsidRDefault="00BB57A4" w:rsidP="00E5780E">
      <w:pPr>
        <w:widowControl w:val="0"/>
        <w:autoSpaceDE w:val="0"/>
        <w:autoSpaceDN w:val="0"/>
        <w:adjustRightInd w:val="0"/>
        <w:spacing w:line="480" w:lineRule="auto"/>
      </w:pPr>
    </w:p>
    <w:p w14:paraId="32A55383" w14:textId="77777777" w:rsidR="00AA25C4" w:rsidRDefault="00AA25C4" w:rsidP="00E5780E">
      <w:pPr>
        <w:widowControl w:val="0"/>
        <w:autoSpaceDE w:val="0"/>
        <w:autoSpaceDN w:val="0"/>
        <w:adjustRightInd w:val="0"/>
        <w:spacing w:line="480" w:lineRule="auto"/>
      </w:pPr>
    </w:p>
    <w:p w14:paraId="4A33215D" w14:textId="0F150FD8" w:rsidR="00AA25C4" w:rsidRDefault="00AA25C4" w:rsidP="00E5780E">
      <w:pPr>
        <w:widowControl w:val="0"/>
        <w:autoSpaceDE w:val="0"/>
        <w:autoSpaceDN w:val="0"/>
        <w:adjustRightInd w:val="0"/>
        <w:spacing w:line="480" w:lineRule="auto"/>
      </w:pPr>
      <w:r>
        <w:rPr>
          <w:noProof/>
        </w:rPr>
        <w:lastRenderedPageBreak/>
        <w:drawing>
          <wp:inline distT="0" distB="0" distL="0" distR="0" wp14:anchorId="360D7A15" wp14:editId="039185D9">
            <wp:extent cx="6109335" cy="3805692"/>
            <wp:effectExtent l="0" t="0" r="1206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10-06 at 3.14.19 AM.png"/>
                    <pic:cNvPicPr/>
                  </pic:nvPicPr>
                  <pic:blipFill rotWithShape="1">
                    <a:blip r:embed="rId13">
                      <a:extLst>
                        <a:ext uri="{28A0092B-C50C-407E-A947-70E740481C1C}">
                          <a14:useLocalDpi xmlns:a14="http://schemas.microsoft.com/office/drawing/2010/main" val="0"/>
                        </a:ext>
                      </a:extLst>
                    </a:blip>
                    <a:srcRect r="4487"/>
                    <a:stretch/>
                  </pic:blipFill>
                  <pic:spPr bwMode="auto">
                    <a:xfrm>
                      <a:off x="0" y="0"/>
                      <a:ext cx="6112623" cy="3807740"/>
                    </a:xfrm>
                    <a:prstGeom prst="rect">
                      <a:avLst/>
                    </a:prstGeom>
                    <a:ln>
                      <a:noFill/>
                    </a:ln>
                    <a:extLst>
                      <a:ext uri="{53640926-AAD7-44D8-BBD7-CCE9431645EC}">
                        <a14:shadowObscured xmlns:a14="http://schemas.microsoft.com/office/drawing/2010/main"/>
                      </a:ext>
                    </a:extLst>
                  </pic:spPr>
                </pic:pic>
              </a:graphicData>
            </a:graphic>
          </wp:inline>
        </w:drawing>
      </w:r>
    </w:p>
    <w:p w14:paraId="54F5338E" w14:textId="4872AFFF" w:rsidR="00BB57A4" w:rsidRPr="0002271D" w:rsidRDefault="00AA25C4" w:rsidP="00E5780E">
      <w:pPr>
        <w:widowControl w:val="0"/>
        <w:autoSpaceDE w:val="0"/>
        <w:autoSpaceDN w:val="0"/>
        <w:adjustRightInd w:val="0"/>
        <w:spacing w:line="480" w:lineRule="auto"/>
      </w:pPr>
      <w:r>
        <w:rPr>
          <w:noProof/>
        </w:rPr>
        <w:drawing>
          <wp:inline distT="0" distB="0" distL="0" distR="0" wp14:anchorId="72D6A306" wp14:editId="5C612195">
            <wp:extent cx="6078813" cy="37744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10-06 at 3.13.20 AM.png"/>
                    <pic:cNvPicPr/>
                  </pic:nvPicPr>
                  <pic:blipFill rotWithShape="1">
                    <a:blip r:embed="rId14">
                      <a:extLst>
                        <a:ext uri="{28A0092B-C50C-407E-A947-70E740481C1C}">
                          <a14:useLocalDpi xmlns:a14="http://schemas.microsoft.com/office/drawing/2010/main" val="0"/>
                        </a:ext>
                      </a:extLst>
                    </a:blip>
                    <a:srcRect r="4487"/>
                    <a:stretch/>
                  </pic:blipFill>
                  <pic:spPr bwMode="auto">
                    <a:xfrm>
                      <a:off x="0" y="0"/>
                      <a:ext cx="6082761" cy="3776892"/>
                    </a:xfrm>
                    <a:prstGeom prst="rect">
                      <a:avLst/>
                    </a:prstGeom>
                    <a:ln>
                      <a:noFill/>
                    </a:ln>
                    <a:extLst>
                      <a:ext uri="{53640926-AAD7-44D8-BBD7-CCE9431645EC}">
                        <a14:shadowObscured xmlns:a14="http://schemas.microsoft.com/office/drawing/2010/main"/>
                      </a:ext>
                    </a:extLst>
                  </pic:spPr>
                </pic:pic>
              </a:graphicData>
            </a:graphic>
          </wp:inline>
        </w:drawing>
      </w:r>
    </w:p>
    <w:p w14:paraId="75EF3845" w14:textId="77777777" w:rsidR="00E5780E" w:rsidRPr="0002271D" w:rsidRDefault="00E5780E" w:rsidP="00E5780E">
      <w:pPr>
        <w:widowControl w:val="0"/>
        <w:autoSpaceDE w:val="0"/>
        <w:autoSpaceDN w:val="0"/>
        <w:adjustRightInd w:val="0"/>
        <w:spacing w:line="480" w:lineRule="auto"/>
      </w:pPr>
    </w:p>
    <w:p w14:paraId="5E8C8E5A" w14:textId="77777777" w:rsidR="00B7047A" w:rsidRDefault="00B7047A" w:rsidP="00E5780E">
      <w:pPr>
        <w:widowControl w:val="0"/>
        <w:autoSpaceDE w:val="0"/>
        <w:autoSpaceDN w:val="0"/>
        <w:adjustRightInd w:val="0"/>
        <w:spacing w:line="480" w:lineRule="auto"/>
      </w:pPr>
    </w:p>
    <w:p w14:paraId="513DFFF1" w14:textId="79F24D12" w:rsidR="00B7047A" w:rsidRDefault="00C04089" w:rsidP="00E5780E">
      <w:pPr>
        <w:widowControl w:val="0"/>
        <w:autoSpaceDE w:val="0"/>
        <w:autoSpaceDN w:val="0"/>
        <w:adjustRightInd w:val="0"/>
        <w:spacing w:line="480" w:lineRule="auto"/>
      </w:pPr>
      <w:r>
        <w:rPr>
          <w:noProof/>
        </w:rPr>
        <w:drawing>
          <wp:inline distT="0" distB="0" distL="0" distR="0" wp14:anchorId="5F83B375" wp14:editId="6CFC3E3A">
            <wp:extent cx="5943600" cy="3646170"/>
            <wp:effectExtent l="0" t="0" r="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7-10-06 at 3.16.45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646170"/>
                    </a:xfrm>
                    <a:prstGeom prst="rect">
                      <a:avLst/>
                    </a:prstGeom>
                  </pic:spPr>
                </pic:pic>
              </a:graphicData>
            </a:graphic>
          </wp:inline>
        </w:drawing>
      </w:r>
    </w:p>
    <w:p w14:paraId="754EB51C" w14:textId="36F70BB6" w:rsidR="00E5780E" w:rsidRDefault="00C04089" w:rsidP="00E5780E">
      <w:pPr>
        <w:widowControl w:val="0"/>
        <w:autoSpaceDE w:val="0"/>
        <w:autoSpaceDN w:val="0"/>
        <w:adjustRightInd w:val="0"/>
        <w:spacing w:line="480" w:lineRule="auto"/>
      </w:pPr>
      <w:r>
        <w:rPr>
          <w:noProof/>
        </w:rPr>
        <w:drawing>
          <wp:inline distT="0" distB="0" distL="0" distR="0" wp14:anchorId="3E891212" wp14:editId="36CA7440">
            <wp:extent cx="5943600" cy="3674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10-06 at 3.18.15 A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p>
    <w:p w14:paraId="4FB8E37A" w14:textId="77777777" w:rsidR="00C04089" w:rsidRDefault="00C04089" w:rsidP="00E5780E">
      <w:pPr>
        <w:widowControl w:val="0"/>
        <w:autoSpaceDE w:val="0"/>
        <w:autoSpaceDN w:val="0"/>
        <w:adjustRightInd w:val="0"/>
        <w:spacing w:line="480" w:lineRule="auto"/>
      </w:pPr>
    </w:p>
    <w:p w14:paraId="488B26E3" w14:textId="7925CC3B" w:rsidR="00AB0AC5" w:rsidRPr="0002271D" w:rsidRDefault="00AB0AC5" w:rsidP="00E5780E">
      <w:pPr>
        <w:widowControl w:val="0"/>
        <w:autoSpaceDE w:val="0"/>
        <w:autoSpaceDN w:val="0"/>
        <w:adjustRightInd w:val="0"/>
        <w:spacing w:line="480" w:lineRule="auto"/>
      </w:pPr>
      <w:r>
        <w:rPr>
          <w:noProof/>
        </w:rPr>
        <w:lastRenderedPageBreak/>
        <w:drawing>
          <wp:inline distT="0" distB="0" distL="0" distR="0" wp14:anchorId="3A18EC25" wp14:editId="0ED16B67">
            <wp:extent cx="5943600" cy="3643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10-06 at 3.19.49 A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643630"/>
                    </a:xfrm>
                    <a:prstGeom prst="rect">
                      <a:avLst/>
                    </a:prstGeom>
                  </pic:spPr>
                </pic:pic>
              </a:graphicData>
            </a:graphic>
          </wp:inline>
        </w:drawing>
      </w:r>
    </w:p>
    <w:p w14:paraId="6786F1B9" w14:textId="1EED925A" w:rsidR="00E5780E" w:rsidRPr="00652E15" w:rsidRDefault="00DF7382" w:rsidP="00E5780E">
      <w:pPr>
        <w:spacing w:after="240" w:line="480" w:lineRule="auto"/>
        <w:rPr>
          <w:sz w:val="22"/>
          <w:szCs w:val="22"/>
        </w:rPr>
      </w:pPr>
      <w:r>
        <w:rPr>
          <w:sz w:val="22"/>
          <w:szCs w:val="22"/>
        </w:rPr>
        <w:t>S</w:t>
      </w:r>
      <w:r w:rsidR="00F122B0">
        <w:rPr>
          <w:sz w:val="22"/>
          <w:szCs w:val="22"/>
        </w:rPr>
        <w:t>7</w:t>
      </w:r>
      <w:r w:rsidR="00652E15">
        <w:rPr>
          <w:sz w:val="22"/>
          <w:szCs w:val="22"/>
        </w:rPr>
        <w:t xml:space="preserve">a-e Figs: </w:t>
      </w:r>
      <w:r w:rsidR="00652E15" w:rsidRPr="00652E15">
        <w:rPr>
          <w:b/>
          <w:sz w:val="22"/>
          <w:szCs w:val="22"/>
        </w:rPr>
        <w:t>Example sessions.</w:t>
      </w:r>
      <w:r w:rsidR="00652E15">
        <w:rPr>
          <w:b/>
          <w:sz w:val="22"/>
          <w:szCs w:val="22"/>
        </w:rPr>
        <w:t xml:space="preserve"> </w:t>
      </w:r>
      <w:r w:rsidR="00652E15">
        <w:rPr>
          <w:sz w:val="22"/>
          <w:szCs w:val="22"/>
        </w:rPr>
        <w:t xml:space="preserve">Cohorts of four rats chose to ‘buy’ (+), hold (o), or sell (-) one of three stocks (S1, S2, and S3) over the course of a single 45-minute session. </w:t>
      </w:r>
      <w:r w:rsidR="00933E5D">
        <w:rPr>
          <w:sz w:val="22"/>
          <w:szCs w:val="22"/>
        </w:rPr>
        <w:t xml:space="preserve">Blink rate for all three stocks started at 2 Hz. </w:t>
      </w:r>
      <w:r w:rsidR="00652E15">
        <w:rPr>
          <w:sz w:val="22"/>
          <w:szCs w:val="22"/>
        </w:rPr>
        <w:t xml:space="preserve">Resulting changes in blink rate (Hz, solid lines) from rat’s responses can be seen to go up, down, or remain stable across </w:t>
      </w:r>
      <w:r w:rsidR="00933E5D">
        <w:rPr>
          <w:sz w:val="22"/>
          <w:szCs w:val="22"/>
        </w:rPr>
        <w:t xml:space="preserve">trials and </w:t>
      </w:r>
      <w:r w:rsidR="00652E15">
        <w:rPr>
          <w:sz w:val="22"/>
          <w:szCs w:val="22"/>
        </w:rPr>
        <w:t xml:space="preserve">sessions. </w:t>
      </w:r>
      <w:r w:rsidR="00933E5D">
        <w:rPr>
          <w:sz w:val="22"/>
          <w:szCs w:val="22"/>
        </w:rPr>
        <w:t xml:space="preserve">Reward (ml) received in each stock can be seen in colored squares along the bottom of the graph. The </w:t>
      </w:r>
      <w:r w:rsidR="00F12F83">
        <w:rPr>
          <w:sz w:val="22"/>
          <w:szCs w:val="22"/>
        </w:rPr>
        <w:t xml:space="preserve">black </w:t>
      </w:r>
      <w:r w:rsidR="00933E5D">
        <w:rPr>
          <w:sz w:val="22"/>
          <w:szCs w:val="22"/>
        </w:rPr>
        <w:t xml:space="preserve">dotted line represents the reference point (RP) of 0.15 ml.  </w:t>
      </w:r>
    </w:p>
    <w:p w14:paraId="3EF43E78" w14:textId="0FDA95FE" w:rsidR="00E5780E" w:rsidRPr="0002271D" w:rsidRDefault="00E5780E" w:rsidP="00E5780E">
      <w:pPr>
        <w:spacing w:after="240" w:line="480" w:lineRule="auto"/>
        <w:rPr>
          <w:sz w:val="22"/>
          <w:szCs w:val="22"/>
        </w:rPr>
      </w:pPr>
      <w:r w:rsidRPr="0002271D">
        <w:rPr>
          <w:sz w:val="22"/>
          <w:szCs w:val="22"/>
        </w:rPr>
        <w:br w:type="page"/>
      </w:r>
    </w:p>
    <w:sectPr w:rsidR="00E5780E" w:rsidRPr="0002271D" w:rsidSect="0089510E">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4D6CA" w14:textId="77777777" w:rsidR="002D2D7F" w:rsidRDefault="002D2D7F" w:rsidP="000E2C57">
      <w:r>
        <w:separator/>
      </w:r>
    </w:p>
  </w:endnote>
  <w:endnote w:type="continuationSeparator" w:id="0">
    <w:p w14:paraId="04EF39AC" w14:textId="77777777" w:rsidR="002D2D7F" w:rsidRDefault="002D2D7F" w:rsidP="000E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736D7" w14:textId="77777777" w:rsidR="002D2D7F" w:rsidRDefault="002D2D7F" w:rsidP="000E2C57">
      <w:r>
        <w:separator/>
      </w:r>
    </w:p>
  </w:footnote>
  <w:footnote w:type="continuationSeparator" w:id="0">
    <w:p w14:paraId="6572144C" w14:textId="77777777" w:rsidR="002D2D7F" w:rsidRDefault="002D2D7F" w:rsidP="000E2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D1D8F" w14:textId="205316E5" w:rsidR="000E2C57" w:rsidRPr="000E2C57" w:rsidRDefault="000E2C57">
    <w:pPr>
      <w:pStyle w:val="Header"/>
      <w:rPr>
        <w:b/>
      </w:rPr>
    </w:pPr>
    <w:r>
      <w:rPr>
        <w:b/>
      </w:rPr>
      <w:t>Rat ‘stock market’ task reveals human-like behavioral biases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d2weepyee9sbe0d9q5apa7e9pf25sp5xp9&quot;&gt;My EndNote Library&lt;record-ids&gt;&lt;item&gt;907&lt;/item&gt;&lt;/record-ids&gt;&lt;/item&gt;&lt;/Libraries&gt;"/>
  </w:docVars>
  <w:rsids>
    <w:rsidRoot w:val="00720055"/>
    <w:rsid w:val="00011DA4"/>
    <w:rsid w:val="000141A1"/>
    <w:rsid w:val="00014970"/>
    <w:rsid w:val="0002515C"/>
    <w:rsid w:val="00030429"/>
    <w:rsid w:val="0007424E"/>
    <w:rsid w:val="00090ACF"/>
    <w:rsid w:val="0009287B"/>
    <w:rsid w:val="000A2534"/>
    <w:rsid w:val="000A4138"/>
    <w:rsid w:val="000A6483"/>
    <w:rsid w:val="000C7568"/>
    <w:rsid w:val="000E24C3"/>
    <w:rsid w:val="000E2C57"/>
    <w:rsid w:val="000E3075"/>
    <w:rsid w:val="000E4849"/>
    <w:rsid w:val="0010301C"/>
    <w:rsid w:val="00120480"/>
    <w:rsid w:val="001362A1"/>
    <w:rsid w:val="00152BB6"/>
    <w:rsid w:val="00162B6E"/>
    <w:rsid w:val="00167629"/>
    <w:rsid w:val="001760A6"/>
    <w:rsid w:val="001929D7"/>
    <w:rsid w:val="001A700B"/>
    <w:rsid w:val="001B07A9"/>
    <w:rsid w:val="001C2173"/>
    <w:rsid w:val="001D45EC"/>
    <w:rsid w:val="001D4E8A"/>
    <w:rsid w:val="002021D2"/>
    <w:rsid w:val="002064FD"/>
    <w:rsid w:val="002075B9"/>
    <w:rsid w:val="00220E2E"/>
    <w:rsid w:val="00250E80"/>
    <w:rsid w:val="00262E68"/>
    <w:rsid w:val="002A0699"/>
    <w:rsid w:val="002B2432"/>
    <w:rsid w:val="002C642C"/>
    <w:rsid w:val="002D2D7F"/>
    <w:rsid w:val="002E68B5"/>
    <w:rsid w:val="002E69EA"/>
    <w:rsid w:val="002E6AFB"/>
    <w:rsid w:val="00300B29"/>
    <w:rsid w:val="0030669F"/>
    <w:rsid w:val="003441B3"/>
    <w:rsid w:val="0034451A"/>
    <w:rsid w:val="00354645"/>
    <w:rsid w:val="00384A3F"/>
    <w:rsid w:val="00386F8B"/>
    <w:rsid w:val="0039231F"/>
    <w:rsid w:val="003951C4"/>
    <w:rsid w:val="003A4D91"/>
    <w:rsid w:val="003A54BE"/>
    <w:rsid w:val="003B6D01"/>
    <w:rsid w:val="003C6CD9"/>
    <w:rsid w:val="003D1AD9"/>
    <w:rsid w:val="003F4D51"/>
    <w:rsid w:val="0040213A"/>
    <w:rsid w:val="00411BF8"/>
    <w:rsid w:val="0042321E"/>
    <w:rsid w:val="00425226"/>
    <w:rsid w:val="00426F21"/>
    <w:rsid w:val="004657D7"/>
    <w:rsid w:val="00483AF7"/>
    <w:rsid w:val="00490687"/>
    <w:rsid w:val="004A4F43"/>
    <w:rsid w:val="004C76D3"/>
    <w:rsid w:val="004E3541"/>
    <w:rsid w:val="004E6AEE"/>
    <w:rsid w:val="004F544A"/>
    <w:rsid w:val="004F7E99"/>
    <w:rsid w:val="00516E1C"/>
    <w:rsid w:val="00533472"/>
    <w:rsid w:val="005622C3"/>
    <w:rsid w:val="00577606"/>
    <w:rsid w:val="005A5760"/>
    <w:rsid w:val="005C1D80"/>
    <w:rsid w:val="005D2CD7"/>
    <w:rsid w:val="005E0657"/>
    <w:rsid w:val="005E69A5"/>
    <w:rsid w:val="005F1904"/>
    <w:rsid w:val="005F3766"/>
    <w:rsid w:val="005F441B"/>
    <w:rsid w:val="0062685B"/>
    <w:rsid w:val="00652E15"/>
    <w:rsid w:val="006A5777"/>
    <w:rsid w:val="006E3CDA"/>
    <w:rsid w:val="00720055"/>
    <w:rsid w:val="00735F60"/>
    <w:rsid w:val="00753A40"/>
    <w:rsid w:val="00785566"/>
    <w:rsid w:val="0079638A"/>
    <w:rsid w:val="007A7947"/>
    <w:rsid w:val="007D025F"/>
    <w:rsid w:val="007D4841"/>
    <w:rsid w:val="007D660B"/>
    <w:rsid w:val="007E0C16"/>
    <w:rsid w:val="007E193E"/>
    <w:rsid w:val="007E66ED"/>
    <w:rsid w:val="00802400"/>
    <w:rsid w:val="00807914"/>
    <w:rsid w:val="00807DAE"/>
    <w:rsid w:val="008272B0"/>
    <w:rsid w:val="00831A91"/>
    <w:rsid w:val="008348C4"/>
    <w:rsid w:val="00872531"/>
    <w:rsid w:val="0089510E"/>
    <w:rsid w:val="008A21BC"/>
    <w:rsid w:val="008B570B"/>
    <w:rsid w:val="008D668C"/>
    <w:rsid w:val="00906D29"/>
    <w:rsid w:val="009220C8"/>
    <w:rsid w:val="00933E5D"/>
    <w:rsid w:val="009351B9"/>
    <w:rsid w:val="00950AC8"/>
    <w:rsid w:val="00972706"/>
    <w:rsid w:val="009E2081"/>
    <w:rsid w:val="009E7C90"/>
    <w:rsid w:val="00A30EDF"/>
    <w:rsid w:val="00A42AA8"/>
    <w:rsid w:val="00A6065B"/>
    <w:rsid w:val="00A76F1D"/>
    <w:rsid w:val="00AA25C4"/>
    <w:rsid w:val="00AA3F9E"/>
    <w:rsid w:val="00AB0AC5"/>
    <w:rsid w:val="00AC36B5"/>
    <w:rsid w:val="00AC5386"/>
    <w:rsid w:val="00AD0728"/>
    <w:rsid w:val="00AD41D1"/>
    <w:rsid w:val="00B032BC"/>
    <w:rsid w:val="00B07DC8"/>
    <w:rsid w:val="00B12418"/>
    <w:rsid w:val="00B2309E"/>
    <w:rsid w:val="00B353B5"/>
    <w:rsid w:val="00B4498D"/>
    <w:rsid w:val="00B51266"/>
    <w:rsid w:val="00B53DC6"/>
    <w:rsid w:val="00B54620"/>
    <w:rsid w:val="00B60D63"/>
    <w:rsid w:val="00B635B8"/>
    <w:rsid w:val="00B7047A"/>
    <w:rsid w:val="00B80B1B"/>
    <w:rsid w:val="00B85BB3"/>
    <w:rsid w:val="00BA3CE8"/>
    <w:rsid w:val="00BB57A4"/>
    <w:rsid w:val="00BB5956"/>
    <w:rsid w:val="00BB6D9B"/>
    <w:rsid w:val="00C04089"/>
    <w:rsid w:val="00C11667"/>
    <w:rsid w:val="00C33457"/>
    <w:rsid w:val="00C437B3"/>
    <w:rsid w:val="00C611F3"/>
    <w:rsid w:val="00C93632"/>
    <w:rsid w:val="00CB4DC8"/>
    <w:rsid w:val="00CC3998"/>
    <w:rsid w:val="00CD6351"/>
    <w:rsid w:val="00CE2312"/>
    <w:rsid w:val="00D04FCC"/>
    <w:rsid w:val="00D22ECE"/>
    <w:rsid w:val="00D3688D"/>
    <w:rsid w:val="00D40C15"/>
    <w:rsid w:val="00D47EFE"/>
    <w:rsid w:val="00D53E5F"/>
    <w:rsid w:val="00D55C30"/>
    <w:rsid w:val="00D574E9"/>
    <w:rsid w:val="00D7348B"/>
    <w:rsid w:val="00D93B4F"/>
    <w:rsid w:val="00DA2945"/>
    <w:rsid w:val="00DA479B"/>
    <w:rsid w:val="00DB25D0"/>
    <w:rsid w:val="00DB3621"/>
    <w:rsid w:val="00DF7382"/>
    <w:rsid w:val="00E11371"/>
    <w:rsid w:val="00E156E0"/>
    <w:rsid w:val="00E5780E"/>
    <w:rsid w:val="00E66A43"/>
    <w:rsid w:val="00E812C9"/>
    <w:rsid w:val="00E96561"/>
    <w:rsid w:val="00EA6D31"/>
    <w:rsid w:val="00F05E51"/>
    <w:rsid w:val="00F122B0"/>
    <w:rsid w:val="00F12F83"/>
    <w:rsid w:val="00F2097B"/>
    <w:rsid w:val="00F3412F"/>
    <w:rsid w:val="00F67850"/>
    <w:rsid w:val="00F70C95"/>
    <w:rsid w:val="00FB0733"/>
    <w:rsid w:val="00FB1309"/>
    <w:rsid w:val="00FC670F"/>
    <w:rsid w:val="00FF6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AA9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5780E"/>
    <w:rPr>
      <w:rFonts w:ascii="Times New Roman" w:eastAsia="Calibri" w:hAnsi="Times New Roman" w:cs="Times New Roman"/>
      <w:sz w:val="20"/>
      <w:szCs w:val="20"/>
    </w:rPr>
  </w:style>
  <w:style w:type="paragraph" w:styleId="Heading1">
    <w:name w:val="heading 1"/>
    <w:basedOn w:val="Normal"/>
    <w:next w:val="Normal"/>
    <w:link w:val="Heading1Char"/>
    <w:uiPriority w:val="9"/>
    <w:qFormat/>
    <w:rsid w:val="00E5780E"/>
    <w:pPr>
      <w:keepNext/>
      <w:keepLines/>
      <w:spacing w:before="480" w:line="480" w:lineRule="auto"/>
      <w:outlineLvl w:val="0"/>
    </w:pPr>
    <w:rPr>
      <w:rFonts w:asciiTheme="majorHAnsi" w:eastAsiaTheme="majorEastAsia" w:hAnsiTheme="majorHAnsi" w:cstheme="majorBidi"/>
      <w:b/>
      <w:bCs/>
      <w:color w:val="2C6EAB" w:themeColor="accent1" w:themeShade="B5"/>
      <w:sz w:val="32"/>
      <w:szCs w:val="32"/>
    </w:rPr>
  </w:style>
  <w:style w:type="paragraph" w:styleId="Heading4">
    <w:name w:val="heading 4"/>
    <w:basedOn w:val="Normal"/>
    <w:next w:val="Normal"/>
    <w:link w:val="Heading4Char"/>
    <w:uiPriority w:val="9"/>
    <w:unhideWhenUsed/>
    <w:qFormat/>
    <w:rsid w:val="00E5780E"/>
    <w:pPr>
      <w:keepNext/>
      <w:keepLines/>
      <w:spacing w:before="200"/>
      <w:outlineLvl w:val="3"/>
    </w:pPr>
    <w:rPr>
      <w:rFonts w:asciiTheme="majorHAnsi" w:eastAsiaTheme="majorEastAsia" w:hAnsiTheme="majorHAnsi" w:cstheme="majorBidi"/>
      <w:b/>
      <w:bCs/>
      <w:i/>
      <w:iCs/>
      <w:color w:val="5B9BD5" w:themeColor="accent1"/>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80E"/>
    <w:rPr>
      <w:rFonts w:asciiTheme="majorHAnsi" w:eastAsiaTheme="majorEastAsia" w:hAnsiTheme="majorHAnsi" w:cstheme="majorBidi"/>
      <w:b/>
      <w:bCs/>
      <w:color w:val="2C6EAB" w:themeColor="accent1" w:themeShade="B5"/>
      <w:sz w:val="32"/>
      <w:szCs w:val="32"/>
    </w:rPr>
  </w:style>
  <w:style w:type="character" w:customStyle="1" w:styleId="Heading4Char">
    <w:name w:val="Heading 4 Char"/>
    <w:basedOn w:val="DefaultParagraphFont"/>
    <w:link w:val="Heading4"/>
    <w:uiPriority w:val="9"/>
    <w:rsid w:val="00E5780E"/>
    <w:rPr>
      <w:rFonts w:asciiTheme="majorHAnsi" w:eastAsiaTheme="majorEastAsia" w:hAnsiTheme="majorHAnsi" w:cstheme="majorBidi"/>
      <w:b/>
      <w:bCs/>
      <w:i/>
      <w:iCs/>
      <w:color w:val="5B9BD5" w:themeColor="accent1"/>
      <w:sz w:val="26"/>
    </w:rPr>
  </w:style>
  <w:style w:type="paragraph" w:styleId="Caption">
    <w:name w:val="caption"/>
    <w:basedOn w:val="Normal"/>
    <w:next w:val="Normal"/>
    <w:autoRedefine/>
    <w:uiPriority w:val="35"/>
    <w:unhideWhenUsed/>
    <w:qFormat/>
    <w:rsid w:val="00E5780E"/>
    <w:pPr>
      <w:keepNext/>
      <w:spacing w:after="240" w:line="480" w:lineRule="auto"/>
      <w:ind w:right="380"/>
    </w:pPr>
    <w:rPr>
      <w:b/>
    </w:rPr>
  </w:style>
  <w:style w:type="paragraph" w:customStyle="1" w:styleId="Paragraph">
    <w:name w:val="Paragraph"/>
    <w:basedOn w:val="Normal"/>
    <w:rsid w:val="00E5780E"/>
    <w:pPr>
      <w:spacing w:before="120"/>
      <w:ind w:firstLine="720"/>
    </w:pPr>
    <w:rPr>
      <w:rFonts w:eastAsia="Times New Roman"/>
      <w:sz w:val="24"/>
      <w:szCs w:val="24"/>
    </w:rPr>
  </w:style>
  <w:style w:type="character" w:styleId="CommentReference">
    <w:name w:val="annotation reference"/>
    <w:basedOn w:val="DefaultParagraphFont"/>
    <w:uiPriority w:val="99"/>
    <w:rsid w:val="00E5780E"/>
    <w:rPr>
      <w:sz w:val="18"/>
      <w:szCs w:val="18"/>
    </w:rPr>
  </w:style>
  <w:style w:type="paragraph" w:styleId="CommentText">
    <w:name w:val="annotation text"/>
    <w:basedOn w:val="Normal"/>
    <w:link w:val="CommentTextChar"/>
    <w:uiPriority w:val="99"/>
    <w:semiHidden/>
    <w:rsid w:val="00E5780E"/>
    <w:rPr>
      <w:rFonts w:eastAsia="Times New Roman"/>
    </w:rPr>
  </w:style>
  <w:style w:type="character" w:customStyle="1" w:styleId="CommentTextChar">
    <w:name w:val="Comment Text Char"/>
    <w:basedOn w:val="DefaultParagraphFont"/>
    <w:link w:val="CommentText"/>
    <w:uiPriority w:val="99"/>
    <w:semiHidden/>
    <w:rsid w:val="00E5780E"/>
    <w:rPr>
      <w:rFonts w:ascii="Times New Roman" w:eastAsia="Times New Roman" w:hAnsi="Times New Roman" w:cs="Times New Roman"/>
      <w:sz w:val="20"/>
      <w:szCs w:val="20"/>
    </w:rPr>
  </w:style>
  <w:style w:type="paragraph" w:customStyle="1" w:styleId="SOMContent">
    <w:name w:val="SOMContent"/>
    <w:basedOn w:val="Normal"/>
    <w:rsid w:val="00E5780E"/>
    <w:pPr>
      <w:spacing w:before="120"/>
    </w:pPr>
    <w:rPr>
      <w:rFonts w:eastAsia="Times New Roman"/>
      <w:sz w:val="24"/>
      <w:szCs w:val="24"/>
    </w:rPr>
  </w:style>
  <w:style w:type="paragraph" w:customStyle="1" w:styleId="SOMHead">
    <w:name w:val="SOMHead"/>
    <w:basedOn w:val="Normal"/>
    <w:rsid w:val="00E5780E"/>
    <w:pPr>
      <w:keepNext/>
      <w:spacing w:before="240"/>
      <w:outlineLvl w:val="0"/>
    </w:pPr>
    <w:rPr>
      <w:rFonts w:eastAsia="Times New Roman"/>
      <w:b/>
      <w:kern w:val="28"/>
      <w:sz w:val="24"/>
      <w:szCs w:val="24"/>
    </w:rPr>
  </w:style>
  <w:style w:type="character" w:styleId="BookTitle">
    <w:name w:val="Book Title"/>
    <w:basedOn w:val="DefaultParagraphFont"/>
    <w:uiPriority w:val="33"/>
    <w:qFormat/>
    <w:rsid w:val="00E5780E"/>
    <w:rPr>
      <w:b/>
      <w:bCs/>
      <w:smallCaps/>
      <w:spacing w:val="5"/>
    </w:rPr>
  </w:style>
  <w:style w:type="table" w:styleId="MediumList2">
    <w:name w:val="Medium List 2"/>
    <w:basedOn w:val="TableNormal"/>
    <w:uiPriority w:val="66"/>
    <w:rsid w:val="00E5780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2">
    <w:name w:val="Plain Table 2"/>
    <w:basedOn w:val="TableNormal"/>
    <w:uiPriority w:val="42"/>
    <w:rsid w:val="00E5780E"/>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E5780E"/>
    <w:rPr>
      <w:rFonts w:eastAsia="Calibri"/>
      <w:b/>
      <w:bCs/>
    </w:rPr>
  </w:style>
  <w:style w:type="character" w:customStyle="1" w:styleId="CommentSubjectChar">
    <w:name w:val="Comment Subject Char"/>
    <w:basedOn w:val="CommentTextChar"/>
    <w:link w:val="CommentSubject"/>
    <w:uiPriority w:val="99"/>
    <w:semiHidden/>
    <w:rsid w:val="00E5780E"/>
    <w:rPr>
      <w:rFonts w:ascii="Times New Roman" w:eastAsia="Calibri" w:hAnsi="Times New Roman" w:cs="Times New Roman"/>
      <w:b/>
      <w:bCs/>
      <w:sz w:val="20"/>
      <w:szCs w:val="20"/>
    </w:rPr>
  </w:style>
  <w:style w:type="paragraph" w:styleId="Revision">
    <w:name w:val="Revision"/>
    <w:hidden/>
    <w:uiPriority w:val="99"/>
    <w:semiHidden/>
    <w:rsid w:val="00E5780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E5780E"/>
    <w:rPr>
      <w:sz w:val="18"/>
      <w:szCs w:val="18"/>
    </w:rPr>
  </w:style>
  <w:style w:type="character" w:customStyle="1" w:styleId="BalloonTextChar">
    <w:name w:val="Balloon Text Char"/>
    <w:basedOn w:val="DefaultParagraphFont"/>
    <w:link w:val="BalloonText"/>
    <w:uiPriority w:val="99"/>
    <w:semiHidden/>
    <w:rsid w:val="00E5780E"/>
    <w:rPr>
      <w:rFonts w:ascii="Times New Roman" w:eastAsia="Calibri" w:hAnsi="Times New Roman" w:cs="Times New Roman"/>
      <w:sz w:val="18"/>
      <w:szCs w:val="18"/>
    </w:rPr>
  </w:style>
  <w:style w:type="table" w:styleId="TableGrid">
    <w:name w:val="Table Grid"/>
    <w:basedOn w:val="TableNormal"/>
    <w:uiPriority w:val="39"/>
    <w:rsid w:val="00B35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2E68B5"/>
    <w:pPr>
      <w:jc w:val="center"/>
    </w:pPr>
  </w:style>
  <w:style w:type="paragraph" w:customStyle="1" w:styleId="EndNoteBibliography">
    <w:name w:val="EndNote Bibliography"/>
    <w:basedOn w:val="Normal"/>
    <w:rsid w:val="002E68B5"/>
  </w:style>
  <w:style w:type="paragraph" w:styleId="Header">
    <w:name w:val="header"/>
    <w:basedOn w:val="Normal"/>
    <w:link w:val="HeaderChar"/>
    <w:uiPriority w:val="99"/>
    <w:unhideWhenUsed/>
    <w:rsid w:val="000E2C57"/>
    <w:pPr>
      <w:tabs>
        <w:tab w:val="center" w:pos="4680"/>
        <w:tab w:val="right" w:pos="9360"/>
      </w:tabs>
    </w:pPr>
  </w:style>
  <w:style w:type="character" w:customStyle="1" w:styleId="HeaderChar">
    <w:name w:val="Header Char"/>
    <w:basedOn w:val="DefaultParagraphFont"/>
    <w:link w:val="Header"/>
    <w:uiPriority w:val="99"/>
    <w:rsid w:val="000E2C57"/>
    <w:rPr>
      <w:rFonts w:ascii="Times New Roman" w:eastAsia="Calibri" w:hAnsi="Times New Roman" w:cs="Times New Roman"/>
      <w:sz w:val="20"/>
      <w:szCs w:val="20"/>
    </w:rPr>
  </w:style>
  <w:style w:type="paragraph" w:styleId="Footer">
    <w:name w:val="footer"/>
    <w:basedOn w:val="Normal"/>
    <w:link w:val="FooterChar"/>
    <w:uiPriority w:val="99"/>
    <w:unhideWhenUsed/>
    <w:rsid w:val="000E2C57"/>
    <w:pPr>
      <w:tabs>
        <w:tab w:val="center" w:pos="4680"/>
        <w:tab w:val="right" w:pos="9360"/>
      </w:tabs>
    </w:pPr>
  </w:style>
  <w:style w:type="character" w:customStyle="1" w:styleId="FooterChar">
    <w:name w:val="Footer Char"/>
    <w:basedOn w:val="DefaultParagraphFont"/>
    <w:link w:val="Footer"/>
    <w:uiPriority w:val="99"/>
    <w:rsid w:val="000E2C57"/>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328662">
      <w:bodyDiv w:val="1"/>
      <w:marLeft w:val="0"/>
      <w:marRight w:val="0"/>
      <w:marTop w:val="0"/>
      <w:marBottom w:val="0"/>
      <w:divBdr>
        <w:top w:val="none" w:sz="0" w:space="0" w:color="auto"/>
        <w:left w:val="none" w:sz="0" w:space="0" w:color="auto"/>
        <w:bottom w:val="none" w:sz="0" w:space="0" w:color="auto"/>
        <w:right w:val="none" w:sz="0" w:space="0" w:color="auto"/>
      </w:divBdr>
    </w:div>
    <w:div w:id="907810523">
      <w:bodyDiv w:val="1"/>
      <w:marLeft w:val="0"/>
      <w:marRight w:val="0"/>
      <w:marTop w:val="0"/>
      <w:marBottom w:val="0"/>
      <w:divBdr>
        <w:top w:val="none" w:sz="0" w:space="0" w:color="auto"/>
        <w:left w:val="none" w:sz="0" w:space="0" w:color="auto"/>
        <w:bottom w:val="none" w:sz="0" w:space="0" w:color="auto"/>
        <w:right w:val="none" w:sz="0" w:space="0" w:color="auto"/>
      </w:divBdr>
    </w:div>
    <w:div w:id="1396515459">
      <w:bodyDiv w:val="1"/>
      <w:marLeft w:val="0"/>
      <w:marRight w:val="0"/>
      <w:marTop w:val="0"/>
      <w:marBottom w:val="0"/>
      <w:divBdr>
        <w:top w:val="none" w:sz="0" w:space="0" w:color="auto"/>
        <w:left w:val="none" w:sz="0" w:space="0" w:color="auto"/>
        <w:bottom w:val="none" w:sz="0" w:space="0" w:color="auto"/>
        <w:right w:val="none" w:sz="0" w:space="0" w:color="auto"/>
      </w:divBdr>
    </w:div>
    <w:div w:id="2013994018">
      <w:bodyDiv w:val="1"/>
      <w:marLeft w:val="0"/>
      <w:marRight w:val="0"/>
      <w:marTop w:val="0"/>
      <w:marBottom w:val="0"/>
      <w:divBdr>
        <w:top w:val="none" w:sz="0" w:space="0" w:color="auto"/>
        <w:left w:val="none" w:sz="0" w:space="0" w:color="auto"/>
        <w:bottom w:val="none" w:sz="0" w:space="0" w:color="auto"/>
        <w:right w:val="none" w:sz="0" w:space="0" w:color="auto"/>
      </w:divBdr>
    </w:div>
    <w:div w:id="21189855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2059</Words>
  <Characters>11739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2020-09-25T16:42:00Z</dcterms:created>
  <dcterms:modified xsi:type="dcterms:W3CDTF">2020-09-25T16:42:00Z</dcterms:modified>
</cp:coreProperties>
</file>