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41B5" w14:textId="77777777" w:rsidR="001A7515" w:rsidRDefault="001A7515">
      <w:pPr>
        <w:spacing w:before="0" w:line="240" w:lineRule="auto"/>
        <w:rPr>
          <w:sz w:val="24"/>
          <w:szCs w:val="24"/>
        </w:rPr>
      </w:pPr>
      <w:r>
        <w:rPr>
          <w:sz w:val="24"/>
          <w:szCs w:val="24"/>
        </w:rPr>
        <w:t>Supplemental materials</w:t>
      </w:r>
    </w:p>
    <w:p w14:paraId="551BF6D1" w14:textId="77777777" w:rsidR="001A7515" w:rsidRDefault="001A7515">
      <w:pPr>
        <w:spacing w:before="0" w:line="240" w:lineRule="auto"/>
        <w:rPr>
          <w:sz w:val="24"/>
          <w:szCs w:val="24"/>
        </w:rPr>
      </w:pPr>
    </w:p>
    <w:p w14:paraId="587BB169" w14:textId="3B295ADC" w:rsidR="001A7515" w:rsidRDefault="001A7515" w:rsidP="001A7515">
      <w:pPr>
        <w:spacing w:before="0" w:line="240" w:lineRule="auto"/>
        <w:rPr>
          <w:sz w:val="24"/>
          <w:szCs w:val="24"/>
        </w:rPr>
      </w:pPr>
      <w:r w:rsidRPr="001A7515">
        <w:rPr>
          <w:sz w:val="24"/>
          <w:szCs w:val="24"/>
        </w:rPr>
        <w:t>This document provides additional materials for the paper, “Measurement precision across cognitive domains in the Alzheimer’s Disease Neuroimaging Initiative (ADNI) dataset.”</w:t>
      </w:r>
    </w:p>
    <w:p w14:paraId="3C8F8329" w14:textId="68A7A28B" w:rsidR="001A7515" w:rsidRDefault="001A7515" w:rsidP="001A7515">
      <w:pPr>
        <w:spacing w:before="0" w:line="240" w:lineRule="auto"/>
        <w:rPr>
          <w:sz w:val="24"/>
          <w:szCs w:val="24"/>
        </w:rPr>
      </w:pPr>
    </w:p>
    <w:p w14:paraId="0213A8DC" w14:textId="13D1FBB3" w:rsidR="001A7515" w:rsidRDefault="001A7515" w:rsidP="001A7515">
      <w:pPr>
        <w:spacing w:before="0" w:line="240" w:lineRule="auto"/>
        <w:rPr>
          <w:sz w:val="24"/>
          <w:szCs w:val="24"/>
        </w:rPr>
      </w:pPr>
      <w:r>
        <w:rPr>
          <w:sz w:val="24"/>
          <w:szCs w:val="24"/>
        </w:rPr>
        <w:t xml:space="preserve">All content </w:t>
      </w:r>
      <w:proofErr w:type="gramStart"/>
      <w:r>
        <w:rPr>
          <w:sz w:val="24"/>
          <w:szCs w:val="24"/>
        </w:rPr>
        <w:t>are</w:t>
      </w:r>
      <w:proofErr w:type="gramEnd"/>
      <w:r>
        <w:rPr>
          <w:sz w:val="24"/>
          <w:szCs w:val="24"/>
        </w:rPr>
        <w:t xml:space="preserve"> duplicated from a companion paper, “</w:t>
      </w:r>
      <w:r w:rsidRPr="001A7515">
        <w:rPr>
          <w:sz w:val="24"/>
          <w:szCs w:val="24"/>
        </w:rPr>
        <w:t>Cognitive domain harmonization and co-calibration in studies of older adults</w:t>
      </w:r>
      <w:r>
        <w:rPr>
          <w:sz w:val="24"/>
          <w:szCs w:val="24"/>
        </w:rPr>
        <w:t>.”</w:t>
      </w:r>
    </w:p>
    <w:p w14:paraId="79B1ACCF" w14:textId="303F768A" w:rsidR="001A7515" w:rsidRDefault="001A7515" w:rsidP="001A7515">
      <w:pPr>
        <w:spacing w:before="0" w:line="240" w:lineRule="auto"/>
        <w:rPr>
          <w:sz w:val="24"/>
          <w:szCs w:val="24"/>
        </w:rPr>
      </w:pPr>
    </w:p>
    <w:p w14:paraId="0DB350FF" w14:textId="73F9CFD0" w:rsidR="001A7515" w:rsidRDefault="001A7515" w:rsidP="001A7515">
      <w:pPr>
        <w:spacing w:before="0" w:line="240" w:lineRule="auto"/>
        <w:rPr>
          <w:sz w:val="24"/>
          <w:szCs w:val="24"/>
        </w:rPr>
      </w:pPr>
      <w:r>
        <w:rPr>
          <w:sz w:val="24"/>
          <w:szCs w:val="24"/>
        </w:rPr>
        <w:t>Table of contents:</w:t>
      </w:r>
    </w:p>
    <w:p w14:paraId="51A65253" w14:textId="74B12C6A" w:rsidR="001A7515" w:rsidRDefault="001A7515" w:rsidP="001A7515">
      <w:pPr>
        <w:spacing w:before="0" w:line="240" w:lineRule="auto"/>
        <w:rPr>
          <w:sz w:val="24"/>
          <w:szCs w:val="24"/>
        </w:rPr>
      </w:pPr>
    </w:p>
    <w:p w14:paraId="24BE90F1" w14:textId="4A994DA6" w:rsidR="00B64628" w:rsidRDefault="00B64628" w:rsidP="001A7515">
      <w:pPr>
        <w:spacing w:before="0" w:line="240" w:lineRule="auto"/>
        <w:rPr>
          <w:sz w:val="24"/>
          <w:szCs w:val="24"/>
        </w:rPr>
      </w:pPr>
      <w:r>
        <w:rPr>
          <w:sz w:val="24"/>
          <w:szCs w:val="24"/>
        </w:rPr>
        <w:t>Supplement 1: Additional discussion of modern psychometric theory.  Page 2.</w:t>
      </w:r>
    </w:p>
    <w:p w14:paraId="4C01DEC9" w14:textId="52F2629F" w:rsidR="001A7515" w:rsidRDefault="001A7515" w:rsidP="001A7515">
      <w:pPr>
        <w:spacing w:before="0" w:line="240" w:lineRule="auto"/>
        <w:rPr>
          <w:sz w:val="24"/>
          <w:szCs w:val="24"/>
        </w:rPr>
      </w:pPr>
      <w:r>
        <w:rPr>
          <w:sz w:val="24"/>
          <w:szCs w:val="24"/>
        </w:rPr>
        <w:t xml:space="preserve">Supplement 1: Memory domain.  Page </w:t>
      </w:r>
      <w:r w:rsidR="00825CEB">
        <w:rPr>
          <w:sz w:val="24"/>
          <w:szCs w:val="24"/>
        </w:rPr>
        <w:t>6</w:t>
      </w:r>
      <w:r>
        <w:rPr>
          <w:sz w:val="24"/>
          <w:szCs w:val="24"/>
        </w:rPr>
        <w:t>.</w:t>
      </w:r>
    </w:p>
    <w:p w14:paraId="6C37412F" w14:textId="1D00EBC3" w:rsidR="001A7515" w:rsidRDefault="001A7515" w:rsidP="001A7515">
      <w:pPr>
        <w:spacing w:before="0" w:line="240" w:lineRule="auto"/>
        <w:rPr>
          <w:sz w:val="24"/>
          <w:szCs w:val="24"/>
        </w:rPr>
      </w:pPr>
      <w:r>
        <w:rPr>
          <w:sz w:val="24"/>
          <w:szCs w:val="24"/>
        </w:rPr>
        <w:t xml:space="preserve">Supplement 2: Executive functioning domain.  Page </w:t>
      </w:r>
      <w:r w:rsidR="00825CEB">
        <w:rPr>
          <w:sz w:val="24"/>
          <w:szCs w:val="24"/>
        </w:rPr>
        <w:t>8</w:t>
      </w:r>
      <w:r>
        <w:rPr>
          <w:sz w:val="24"/>
          <w:szCs w:val="24"/>
        </w:rPr>
        <w:t>.</w:t>
      </w:r>
    </w:p>
    <w:p w14:paraId="394D0F55" w14:textId="7CB83B65" w:rsidR="001A7515" w:rsidRDefault="001A7515" w:rsidP="001A7515">
      <w:pPr>
        <w:spacing w:before="0" w:line="240" w:lineRule="auto"/>
        <w:rPr>
          <w:sz w:val="24"/>
          <w:szCs w:val="24"/>
        </w:rPr>
      </w:pPr>
      <w:r>
        <w:rPr>
          <w:sz w:val="24"/>
          <w:szCs w:val="24"/>
        </w:rPr>
        <w:t xml:space="preserve">Supplement 3: Language domain.  Page </w:t>
      </w:r>
      <w:r w:rsidR="00825CEB">
        <w:rPr>
          <w:sz w:val="24"/>
          <w:szCs w:val="24"/>
        </w:rPr>
        <w:t>9</w:t>
      </w:r>
      <w:r>
        <w:rPr>
          <w:sz w:val="24"/>
          <w:szCs w:val="24"/>
        </w:rPr>
        <w:t>.</w:t>
      </w:r>
    </w:p>
    <w:p w14:paraId="42D8D672" w14:textId="28B1124F" w:rsidR="001A7515" w:rsidRDefault="001A7515" w:rsidP="001A7515">
      <w:pPr>
        <w:spacing w:before="0" w:line="240" w:lineRule="auto"/>
        <w:rPr>
          <w:sz w:val="24"/>
          <w:szCs w:val="24"/>
        </w:rPr>
      </w:pPr>
      <w:r>
        <w:rPr>
          <w:sz w:val="24"/>
          <w:szCs w:val="24"/>
        </w:rPr>
        <w:t xml:space="preserve">Supplement 4: Visuospatial domain.  Page </w:t>
      </w:r>
      <w:r w:rsidR="00825CEB">
        <w:rPr>
          <w:sz w:val="24"/>
          <w:szCs w:val="24"/>
        </w:rPr>
        <w:t>10</w:t>
      </w:r>
      <w:r>
        <w:rPr>
          <w:sz w:val="24"/>
          <w:szCs w:val="24"/>
        </w:rPr>
        <w:t>.</w:t>
      </w:r>
    </w:p>
    <w:p w14:paraId="77C02350" w14:textId="77777777" w:rsidR="001A7515" w:rsidRDefault="001A7515" w:rsidP="001A7515">
      <w:pPr>
        <w:spacing w:before="0" w:line="240" w:lineRule="auto"/>
        <w:rPr>
          <w:sz w:val="24"/>
          <w:szCs w:val="24"/>
        </w:rPr>
      </w:pPr>
    </w:p>
    <w:p w14:paraId="4664069D" w14:textId="77777777" w:rsidR="001A7515" w:rsidRPr="001A7515" w:rsidRDefault="001A7515" w:rsidP="001A7515">
      <w:pPr>
        <w:spacing w:before="0" w:line="240" w:lineRule="auto"/>
        <w:rPr>
          <w:sz w:val="24"/>
          <w:szCs w:val="24"/>
        </w:rPr>
      </w:pPr>
    </w:p>
    <w:p w14:paraId="1AB48660" w14:textId="1C51F664" w:rsidR="001A7515" w:rsidRDefault="001A7515">
      <w:pPr>
        <w:spacing w:before="0" w:line="240" w:lineRule="auto"/>
        <w:rPr>
          <w:rFonts w:ascii="Arial" w:hAnsi="Arial" w:cs="Arial"/>
          <w:b/>
          <w:bCs/>
          <w:sz w:val="24"/>
          <w:szCs w:val="24"/>
        </w:rPr>
      </w:pPr>
      <w:r>
        <w:rPr>
          <w:sz w:val="24"/>
          <w:szCs w:val="24"/>
        </w:rPr>
        <w:br w:type="page"/>
      </w:r>
    </w:p>
    <w:p w14:paraId="46796E84" w14:textId="5BC3D50E" w:rsidR="00B64628" w:rsidRDefault="00B64628" w:rsidP="00B64628">
      <w:pPr>
        <w:spacing w:before="0" w:line="240" w:lineRule="auto"/>
        <w:rPr>
          <w:sz w:val="24"/>
          <w:szCs w:val="24"/>
        </w:rPr>
      </w:pPr>
      <w:r>
        <w:rPr>
          <w:sz w:val="24"/>
          <w:szCs w:val="24"/>
        </w:rPr>
        <w:lastRenderedPageBreak/>
        <w:t xml:space="preserve">Supplement 1: Additional discussion of modern psychometric theory.  </w:t>
      </w:r>
    </w:p>
    <w:p w14:paraId="02D15B6C" w14:textId="34ACEFD7" w:rsidR="00B64628" w:rsidRDefault="00B64628" w:rsidP="00B64628">
      <w:pPr>
        <w:spacing w:before="0" w:line="240" w:lineRule="auto"/>
        <w:rPr>
          <w:sz w:val="24"/>
          <w:szCs w:val="24"/>
        </w:rPr>
      </w:pPr>
    </w:p>
    <w:p w14:paraId="27BA9F37" w14:textId="77777777" w:rsidR="00B64628" w:rsidRPr="00BE0B4F" w:rsidRDefault="00B64628" w:rsidP="00B64628">
      <w:pPr>
        <w:pStyle w:val="Heading3"/>
        <w:rPr>
          <w:b w:val="0"/>
        </w:rPr>
      </w:pPr>
      <w:r w:rsidRPr="00BE0B4F">
        <w:t>Modern Psychometric Approach</w:t>
      </w:r>
    </w:p>
    <w:p w14:paraId="3D7ABDD3" w14:textId="77777777" w:rsidR="00B64628" w:rsidRPr="003E297D" w:rsidRDefault="00B64628" w:rsidP="00B64628">
      <w:pPr>
        <w:pStyle w:val="BodyText"/>
        <w:rPr>
          <w:highlight w:val="yellow"/>
        </w:rPr>
      </w:pPr>
      <w:r w:rsidRPr="00BE0B4F">
        <w:t xml:space="preserve">Modern psychometric theory has been the dominant paradigm in educational testing settings since at least the 1960s with the publication of Lord and Novick’s highly influential book </w:t>
      </w:r>
      <w:r w:rsidRPr="00BE0B4F">
        <w:fldChar w:fldCharType="begin"/>
      </w:r>
      <w:r w:rsidRPr="00BE0B4F">
        <w:instrText xml:space="preserve"> ADDIN EN.CITE &lt;EndNote&gt;&lt;Cite&gt;&lt;Author&gt;Lord&lt;/Author&gt;&lt;Year&gt;1968&lt;/Year&gt;&lt;RecNum&gt;450&lt;/RecNum&gt;&lt;DisplayText&gt;(F. M. Lord &amp;amp; Novick, 1968)&lt;/DisplayText&gt;&lt;record&gt;&lt;rec-number&gt;450&lt;/rec-number&gt;&lt;foreign-keys&gt;&lt;key app="EN" db-id="svr9t50t6w9zaueswswxtrdzefxrszsddfa0" timestamp="0"&gt;450&lt;/key&gt;&lt;/foreign-keys&gt;&lt;ref-type name="Book"&gt;6&lt;/ref-type&gt;&lt;contributors&gt;&lt;authors&gt;&lt;author&gt;Lord, F. M.&lt;/author&gt;&lt;author&gt;Novick, M. R.&lt;/author&gt;&lt;/authors&gt;&lt;/contributors&gt;&lt;titles&gt;&lt;title&gt;Statistical theories of mental test scores, with contributions by Allan Birnbaum&lt;/title&gt;&lt;/titles&gt;&lt;dates&gt;&lt;year&gt;1968&lt;/year&gt;&lt;/dates&gt;&lt;pub-location&gt;Reading, MA&lt;/pub-location&gt;&lt;publisher&gt;Addison-Wesley&lt;/publisher&gt;&lt;urls&gt;&lt;/urls&gt;&lt;/record&gt;&lt;/Cite&gt;&lt;/EndNote&gt;</w:instrText>
      </w:r>
      <w:r w:rsidRPr="00BE0B4F">
        <w:fldChar w:fldCharType="separate"/>
      </w:r>
      <w:r w:rsidRPr="00BE0B4F">
        <w:rPr>
          <w:noProof/>
        </w:rPr>
        <w:t>(F. M. Lord &amp; Novick, 1968)</w:t>
      </w:r>
      <w:r w:rsidRPr="00BE0B4F">
        <w:fldChar w:fldCharType="end"/>
      </w:r>
      <w:r w:rsidRPr="00BE0B4F">
        <w:t xml:space="preserve">. </w:t>
      </w:r>
      <w:r w:rsidRPr="003E297D">
        <w:rPr>
          <w:highlight w:val="yellow"/>
        </w:rPr>
        <w:t xml:space="preserve">The extension of these approaches from dichotomous correct/incorrect format responses to incorporate ordinal or graded data was outlined in detail in 1969 by Fujiko </w:t>
      </w:r>
      <w:proofErr w:type="spellStart"/>
      <w:r w:rsidRPr="003E297D">
        <w:rPr>
          <w:highlight w:val="yellow"/>
        </w:rPr>
        <w:t>Samejima</w:t>
      </w:r>
      <w:proofErr w:type="spellEnd"/>
      <w:r w:rsidRPr="003E297D">
        <w:rPr>
          <w:highlight w:val="yellow"/>
        </w:rPr>
        <w:t xml:space="preserve"> </w:t>
      </w:r>
      <w:r w:rsidRPr="003E297D">
        <w:rPr>
          <w:highlight w:val="yellow"/>
        </w:rPr>
        <w:fldChar w:fldCharType="begin"/>
      </w:r>
      <w:r w:rsidRPr="003E297D">
        <w:rPr>
          <w:highlight w:val="yellow"/>
        </w:rPr>
        <w:instrText xml:space="preserve"> ADDIN EN.CITE &lt;EndNote&gt;&lt;Cite&gt;&lt;Author&gt;Samejima&lt;/Author&gt;&lt;Year&gt;1969&lt;/Year&gt;&lt;RecNum&gt;177&lt;/RecNum&gt;&lt;DisplayText&gt;(Samejima, 1969)&lt;/DisplayText&gt;&lt;record&gt;&lt;rec-number&gt;177&lt;/rec-number&gt;&lt;foreign-keys&gt;&lt;key app="EN" db-id="svr9t50t6w9zaueswswxtrdzefxrszsddfa0" timestamp="0"&gt;177&lt;/key&gt;&lt;/foreign-keys&gt;&lt;ref-type name="Journal Article"&gt;17&lt;/ref-type&gt;&lt;contributors&gt;&lt;authors&gt;&lt;author&gt;Samejima, Fumiko&lt;/author&gt;&lt;/authors&gt;&lt;/contributors&gt;&lt;titles&gt;&lt;title&gt;Estimation of latent ability using a response pattern of graded scores&lt;/title&gt;&lt;secondary-title&gt;Psychometrika Monograph&lt;/secondary-title&gt;&lt;/titles&gt;&lt;volume&gt;No. 17&lt;/volume&gt;&lt;dates&gt;&lt;year&gt;1969&lt;/year&gt;&lt;/dates&gt;&lt;urls&gt;&lt;/urls&gt;&lt;/record&gt;&lt;/Cite&gt;&lt;/EndNote&gt;</w:instrText>
      </w:r>
      <w:r w:rsidRPr="003E297D">
        <w:rPr>
          <w:highlight w:val="yellow"/>
        </w:rPr>
        <w:fldChar w:fldCharType="separate"/>
      </w:r>
      <w:r w:rsidRPr="003E297D">
        <w:rPr>
          <w:noProof/>
          <w:highlight w:val="yellow"/>
        </w:rPr>
        <w:t>(Samejima, 1969)</w:t>
      </w:r>
      <w:r w:rsidRPr="003E297D">
        <w:rPr>
          <w:highlight w:val="yellow"/>
        </w:rPr>
        <w:fldChar w:fldCharType="end"/>
      </w:r>
      <w:r w:rsidRPr="003E297D">
        <w:rPr>
          <w:highlight w:val="yellow"/>
        </w:rPr>
        <w:t xml:space="preserve">. Valuable single volume treatments include a 1999 text from Roderick McDonald </w:t>
      </w:r>
      <w:r w:rsidRPr="003E297D">
        <w:rPr>
          <w:highlight w:val="yellow"/>
        </w:rPr>
        <w:fldChar w:fldCharType="begin"/>
      </w:r>
      <w:r w:rsidRPr="003E297D">
        <w:rPr>
          <w:highlight w:val="yellow"/>
        </w:rPr>
        <w:instrText xml:space="preserve"> ADDIN EN.CITE &lt;EndNote&gt;&lt;Cite&gt;&lt;Author&gt;McDonald&lt;/Author&gt;&lt;Year&gt;1999&lt;/Year&gt;&lt;RecNum&gt;169&lt;/RecNum&gt;&lt;DisplayText&gt;(McDonald, 1999)&lt;/DisplayText&gt;&lt;record&gt;&lt;rec-number&gt;169&lt;/rec-number&gt;&lt;foreign-keys&gt;&lt;key app="EN" db-id="svr9t50t6w9zaueswswxtrdzefxrszsddfa0" timestamp="0"&gt;169&lt;/key&gt;&lt;/foreign-keys&gt;&lt;ref-type name="Book"&gt;6&lt;/ref-type&gt;&lt;contributors&gt;&lt;authors&gt;&lt;author&gt;McDonald, Roderick P.&lt;/author&gt;&lt;/authors&gt;&lt;/contributors&gt;&lt;titles&gt;&lt;title&gt;Test theory: a unified treatment&lt;/title&gt;&lt;/titles&gt;&lt;pages&gt;485&lt;/pages&gt;&lt;dates&gt;&lt;year&gt;1999&lt;/year&gt;&lt;/dates&gt;&lt;pub-location&gt;Mahwah, NJ&lt;/pub-location&gt;&lt;publisher&gt;Erlbaum&lt;/publisher&gt;&lt;urls&gt;&lt;/urls&gt;&lt;/record&gt;&lt;/Cite&gt;&lt;/EndNote&gt;</w:instrText>
      </w:r>
      <w:r w:rsidRPr="003E297D">
        <w:rPr>
          <w:highlight w:val="yellow"/>
        </w:rPr>
        <w:fldChar w:fldCharType="separate"/>
      </w:r>
      <w:r w:rsidRPr="003E297D">
        <w:rPr>
          <w:noProof/>
          <w:highlight w:val="yellow"/>
        </w:rPr>
        <w:t>(McDonald, 1999)</w:t>
      </w:r>
      <w:r w:rsidRPr="003E297D">
        <w:rPr>
          <w:highlight w:val="yellow"/>
        </w:rPr>
        <w:fldChar w:fldCharType="end"/>
      </w:r>
      <w:r w:rsidRPr="003E297D">
        <w:rPr>
          <w:highlight w:val="yellow"/>
        </w:rPr>
        <w:t xml:space="preserve">. Accessible paperback introductory texts include an introduction to item response theory from 1991 </w:t>
      </w:r>
      <w:r w:rsidRPr="003E297D">
        <w:rPr>
          <w:highlight w:val="yellow"/>
        </w:rPr>
        <w:fldChar w:fldCharType="begin"/>
      </w:r>
      <w:r w:rsidRPr="003E297D">
        <w:rPr>
          <w:highlight w:val="yellow"/>
        </w:rPr>
        <w:instrText xml:space="preserve"> ADDIN EN.CITE &lt;EndNote&gt;&lt;Cite&gt;&lt;Author&gt;Hambleton&lt;/Author&gt;&lt;Year&gt;1991&lt;/Year&gt;&lt;RecNum&gt;167&lt;/RecNum&gt;&lt;DisplayText&gt;(Hambleton, Swaminathan, &amp;amp; Rogers, 1991)&lt;/DisplayText&gt;&lt;record&gt;&lt;rec-number&gt;167&lt;/rec-number&gt;&lt;foreign-keys&gt;&lt;key app="EN" db-id="svr9t50t6w9zaueswswxtrdzefxrszsddfa0" timestamp="0"&gt;167&lt;/key&gt;&lt;/foreign-keys&gt;&lt;ref-type name="Book"&gt;6&lt;/ref-type&gt;&lt;contributors&gt;&lt;authors&gt;&lt;author&gt;Hambleton, Ronald K.&lt;/author&gt;&lt;author&gt;Swaminathan, H.&lt;/author&gt;&lt;author&gt;Rogers, H. Jane&lt;/author&gt;&lt;/authors&gt;&lt;secondary-authors&gt;&lt;author&gt;Jaeger, Richard M.&lt;/author&gt;&lt;/secondary-authors&gt;&lt;/contributors&gt;&lt;titles&gt;&lt;title&gt;Fundamentals of item response theory&lt;/title&gt;&lt;secondary-title&gt;Measurement Methods for the Social Sciences&lt;/secondary-title&gt;&lt;/titles&gt;&lt;pages&gt;174&lt;/pages&gt;&lt;dates&gt;&lt;year&gt;1991&lt;/year&gt;&lt;/dates&gt;&lt;pub-location&gt;Newbury Park&lt;/pub-location&gt;&lt;publisher&gt;Sage Publications&lt;/publisher&gt;&lt;urls&gt;&lt;/urls&gt;&lt;/record&gt;&lt;/Cite&gt;&lt;/EndNote&gt;</w:instrText>
      </w:r>
      <w:r w:rsidRPr="003E297D">
        <w:rPr>
          <w:highlight w:val="yellow"/>
        </w:rPr>
        <w:fldChar w:fldCharType="separate"/>
      </w:r>
      <w:r w:rsidRPr="003E297D">
        <w:rPr>
          <w:noProof/>
          <w:highlight w:val="yellow"/>
        </w:rPr>
        <w:t>(Hambleton, Swaminathan, &amp; Rogers, 1991)</w:t>
      </w:r>
      <w:r w:rsidRPr="003E297D">
        <w:rPr>
          <w:highlight w:val="yellow"/>
        </w:rPr>
        <w:fldChar w:fldCharType="end"/>
      </w:r>
      <w:r w:rsidRPr="003E297D">
        <w:rPr>
          <w:highlight w:val="yellow"/>
        </w:rPr>
        <w:t xml:space="preserve"> and a second from 2000 focused specifically on implications of these methods for psychology </w:t>
      </w:r>
      <w:r w:rsidRPr="003E297D">
        <w:rPr>
          <w:highlight w:val="yellow"/>
        </w:rPr>
        <w:fldChar w:fldCharType="begin"/>
      </w:r>
      <w:r w:rsidRPr="003E297D">
        <w:rPr>
          <w:highlight w:val="yellow"/>
        </w:rPr>
        <w:instrText xml:space="preserve"> ADDIN EN.CITE &lt;EndNote&gt;&lt;Cite&gt;&lt;Author&gt;Embretson&lt;/Author&gt;&lt;Year&gt;2000&lt;/Year&gt;&lt;RecNum&gt;166&lt;/RecNum&gt;&lt;DisplayText&gt;(Embretson &amp;amp; Reise, 2000)&lt;/DisplayText&gt;&lt;record&gt;&lt;rec-number&gt;166&lt;/rec-number&gt;&lt;foreign-keys&gt;&lt;key app="EN" db-id="svr9t50t6w9zaueswswxtrdzefxrszsddfa0" timestamp="0"&gt;166&lt;/key&gt;&lt;/foreign-keys&gt;&lt;ref-type name="Book"&gt;6&lt;/ref-type&gt;&lt;contributors&gt;&lt;authors&gt;&lt;author&gt;Embretson, Susan E.&lt;/author&gt;&lt;author&gt;Reise, Steven P.&lt;/author&gt;&lt;/authors&gt;&lt;/contributors&gt;&lt;titles&gt;&lt;title&gt;Item response theory for psychologists&lt;/title&gt;&lt;/titles&gt;&lt;pages&gt;371&lt;/pages&gt;&lt;dates&gt;&lt;year&gt;2000&lt;/year&gt;&lt;/dates&gt;&lt;pub-location&gt;Mahwah, NJ&lt;/pub-location&gt;&lt;publisher&gt;Erlbaum&lt;/publisher&gt;&lt;urls&gt;&lt;/urls&gt;&lt;/record&gt;&lt;/Cite&gt;&lt;/EndNote&gt;</w:instrText>
      </w:r>
      <w:r w:rsidRPr="003E297D">
        <w:rPr>
          <w:highlight w:val="yellow"/>
        </w:rPr>
        <w:fldChar w:fldCharType="separate"/>
      </w:r>
      <w:r w:rsidRPr="003E297D">
        <w:rPr>
          <w:noProof/>
          <w:highlight w:val="yellow"/>
        </w:rPr>
        <w:t>(Embretson &amp; Reise, 2000)</w:t>
      </w:r>
      <w:r w:rsidRPr="003E297D">
        <w:rPr>
          <w:highlight w:val="yellow"/>
        </w:rPr>
        <w:fldChar w:fldCharType="end"/>
      </w:r>
      <w:r w:rsidRPr="003E297D">
        <w:rPr>
          <w:highlight w:val="yellow"/>
        </w:rPr>
        <w:t xml:space="preserve">. These developments and many others have led some to take the field of psychology to task for not using these methods more widely </w:t>
      </w:r>
      <w:r w:rsidRPr="003E297D">
        <w:rPr>
          <w:highlight w:val="yellow"/>
        </w:rPr>
        <w:fldChar w:fldCharType="begin"/>
      </w:r>
      <w:r w:rsidRPr="003E297D">
        <w:rPr>
          <w:highlight w:val="yellow"/>
        </w:rPr>
        <w:instrText xml:space="preserve"> ADDIN EN.CITE &lt;EndNote&gt;&lt;Cite&gt;&lt;Author&gt;Borsboom&lt;/Author&gt;&lt;Year&gt;2006&lt;/Year&gt;&lt;RecNum&gt;2769&lt;/RecNum&gt;&lt;DisplayText&gt;(Borsboom, 2006)&lt;/DisplayText&gt;&lt;record&gt;&lt;rec-number&gt;2769&lt;/rec-number&gt;&lt;foreign-keys&gt;&lt;key app="EN" db-id="svr9t50t6w9zaueswswxtrdzefxrszsddfa0" timestamp="0"&gt;2769&lt;/key&gt;&lt;/foreign-keys&gt;&lt;ref-type name="Journal Article"&gt;17&lt;/ref-type&gt;&lt;contributors&gt;&lt;authors&gt;&lt;author&gt;Borsboom, D.&lt;/author&gt;&lt;/authors&gt;&lt;/contributors&gt;&lt;titles&gt;&lt;title&gt;The attack of the psychometricians&lt;/title&gt;&lt;secondary-title&gt;Psychometrika&lt;/secondary-title&gt;&lt;/titles&gt;&lt;periodical&gt;&lt;full-title&gt;Psychometrika&lt;/full-title&gt;&lt;/periodical&gt;&lt;pages&gt;425-440&lt;/pages&gt;&lt;volume&gt;71&lt;/volume&gt;&lt;number&gt;3&lt;/number&gt;&lt;dates&gt;&lt;year&gt;2006&lt;/year&gt;&lt;pub-dates&gt;&lt;date&gt;September&lt;/date&gt;&lt;/pub-dates&gt;&lt;/dates&gt;&lt;urls&gt;&lt;related-urls&gt;&lt;url&gt;https://www.ncbi.nlm.nih.gov/pmc/articles/PMC2779444/pdf/11336_2006_Article_1447.pdf&lt;/url&gt;&lt;/related-urls&gt;&lt;/urls&gt;&lt;custom2&gt;PMC2779444 &lt;/custom2&gt;&lt;/record&gt;&lt;/Cite&gt;&lt;/EndNote&gt;</w:instrText>
      </w:r>
      <w:r w:rsidRPr="003E297D">
        <w:rPr>
          <w:highlight w:val="yellow"/>
        </w:rPr>
        <w:fldChar w:fldCharType="separate"/>
      </w:r>
      <w:r w:rsidRPr="003E297D">
        <w:rPr>
          <w:noProof/>
          <w:highlight w:val="yellow"/>
        </w:rPr>
        <w:t>(Borsboom, 2006)</w:t>
      </w:r>
      <w:r w:rsidRPr="003E297D">
        <w:rPr>
          <w:highlight w:val="yellow"/>
        </w:rPr>
        <w:fldChar w:fldCharType="end"/>
      </w:r>
      <w:r w:rsidRPr="003E297D">
        <w:rPr>
          <w:highlight w:val="yellow"/>
        </w:rPr>
        <w:t>.</w:t>
      </w:r>
    </w:p>
    <w:p w14:paraId="28D10E03" w14:textId="77777777" w:rsidR="00B64628" w:rsidRPr="003E297D" w:rsidRDefault="00B64628" w:rsidP="00B64628">
      <w:pPr>
        <w:pStyle w:val="BodyText"/>
        <w:rPr>
          <w:highlight w:val="yellow"/>
        </w:rPr>
      </w:pPr>
      <w:r w:rsidRPr="003E297D">
        <w:rPr>
          <w:highlight w:val="yellow"/>
        </w:rPr>
        <w:t>A major fundamental insight from modern psychometric theory is that it is critical to consider the difference between the difficulty of the item and the ability level of the test taker. Immediately from that sentence it follows that item difficulty and person ability must be on the same scale as otherwise it would not make sense to consider a difference between those two values. This fundamental insight and its extensions have led to the development of useful tools to analyze and understand data derived from cognitive tests.</w:t>
      </w:r>
    </w:p>
    <w:p w14:paraId="77135211" w14:textId="77777777" w:rsidR="00B64628" w:rsidRPr="003E297D" w:rsidRDefault="00B64628" w:rsidP="00B64628">
      <w:pPr>
        <w:pStyle w:val="BodyText"/>
        <w:rPr>
          <w:highlight w:val="yellow"/>
        </w:rPr>
      </w:pPr>
      <w:r w:rsidRPr="003E297D">
        <w:rPr>
          <w:highlight w:val="green"/>
        </w:rPr>
        <w:t>Our primary focus here is on measurement precision.</w:t>
      </w:r>
      <w:r w:rsidRPr="003E297D">
        <w:rPr>
          <w:highlight w:val="yellow"/>
        </w:rPr>
        <w:t xml:space="preserve"> In addition to the works cited above, Lord published a treatise in 1980 that was essentially an extended discussion of measurement precision </w:t>
      </w:r>
      <w:r w:rsidRPr="003E297D">
        <w:rPr>
          <w:highlight w:val="yellow"/>
        </w:rPr>
        <w:fldChar w:fldCharType="begin"/>
      </w:r>
      <w:r w:rsidRPr="003E297D">
        <w:rPr>
          <w:highlight w:val="yellow"/>
        </w:rPr>
        <w:instrText xml:space="preserve"> ADDIN EN.CITE &lt;EndNote&gt;&lt;Cite&gt;&lt;Author&gt;Lord&lt;/Author&gt;&lt;Year&gt;1980&lt;/Year&gt;&lt;RecNum&gt;179&lt;/RecNum&gt;&lt;DisplayText&gt;(Frederick M. Lord, 1980)&lt;/DisplayText&gt;&lt;record&gt;&lt;rec-number&gt;179&lt;/rec-number&gt;&lt;foreign-keys&gt;&lt;key app="EN" db-id="svr9t50t6w9zaueswswxtrdzefxrszsddfa0" timestamp="0"&gt;179&lt;/key&gt;&lt;/foreign-keys&gt;&lt;ref-type name="Book"&gt;6&lt;/ref-type&gt;&lt;contributors&gt;&lt;authors&gt;&lt;author&gt;Lord, Frederick M.&lt;/author&gt;&lt;/authors&gt;&lt;/contributors&gt;&lt;titles&gt;&lt;title&gt;Applications of item response theory to practical testing problems&lt;/title&gt;&lt;/titles&gt;&lt;dates&gt;&lt;year&gt;1980&lt;/year&gt;&lt;/dates&gt;&lt;pub-location&gt;Hillsdale, NJ&lt;/pub-location&gt;&lt;publisher&gt;Erlbaum&lt;/publisher&gt;&lt;urls&gt;&lt;/urls&gt;&lt;/record&gt;&lt;/Cite&gt;&lt;/EndNote&gt;</w:instrText>
      </w:r>
      <w:r w:rsidRPr="003E297D">
        <w:rPr>
          <w:highlight w:val="yellow"/>
        </w:rPr>
        <w:fldChar w:fldCharType="separate"/>
      </w:r>
      <w:r w:rsidRPr="003E297D">
        <w:rPr>
          <w:noProof/>
          <w:highlight w:val="yellow"/>
        </w:rPr>
        <w:t>(Frederick M. Lord, 1980)</w:t>
      </w:r>
      <w:r w:rsidRPr="003E297D">
        <w:rPr>
          <w:highlight w:val="yellow"/>
        </w:rPr>
        <w:fldChar w:fldCharType="end"/>
      </w:r>
      <w:r w:rsidRPr="003E297D">
        <w:rPr>
          <w:highlight w:val="yellow"/>
        </w:rPr>
        <w:t xml:space="preserve">. If we consider a test taker of a particular ability level, a scale that has many items of difficulty levels close to that ability level will provide a lot of measurement precision for that test taker, while a second scale that has few such items </w:t>
      </w:r>
      <w:r w:rsidRPr="003E297D">
        <w:rPr>
          <w:highlight w:val="yellow"/>
        </w:rPr>
        <w:lastRenderedPageBreak/>
        <w:t xml:space="preserve">will provide much less measurement precision. These intuitive statements are quantified in modern psychometric approaches, producing estimates of </w:t>
      </w:r>
      <w:r w:rsidRPr="003E297D">
        <w:rPr>
          <w:i/>
          <w:iCs/>
          <w:highlight w:val="yellow"/>
          <w:u w:val="single"/>
        </w:rPr>
        <w:t>test information</w:t>
      </w:r>
      <w:r w:rsidRPr="003E297D">
        <w:rPr>
          <w:highlight w:val="yellow"/>
        </w:rPr>
        <w:t>.</w:t>
      </w:r>
    </w:p>
    <w:p w14:paraId="3B40533B" w14:textId="77777777" w:rsidR="00B64628" w:rsidRPr="003E297D" w:rsidRDefault="00B64628" w:rsidP="00B64628">
      <w:pPr>
        <w:pStyle w:val="BodyText"/>
        <w:rPr>
          <w:highlight w:val="yellow"/>
        </w:rPr>
      </w:pPr>
      <w:r w:rsidRPr="003E297D">
        <w:rPr>
          <w:highlight w:val="yellow"/>
        </w:rPr>
        <w:t xml:space="preserve">One critical aspect of test information is that it may vary across different ability levels, implying that individuals of different ability levels have their ability measured with different levels of precision. When we consider a test to be a group of items of varying difficulty levels, we can imagine that a test that may have many items with difficulty levels appropriate for a very able test taker may have very few items with difficulty levels appropriate for a less able test taker. Such a test would have more information at higher ability levels, and less information at low ability levels. These considerations immediately suggest the somewhat limited value of omnibus single statistics such as Cronbach’s alpha to describe test reliability </w:t>
      </w:r>
      <w:r w:rsidRPr="003E297D">
        <w:rPr>
          <w:highlight w:val="yellow"/>
        </w:rPr>
        <w:fldChar w:fldCharType="begin"/>
      </w:r>
      <w:r w:rsidRPr="003E297D">
        <w:rPr>
          <w:highlight w:val="yellow"/>
        </w:rPr>
        <w:instrText xml:space="preserve"> ADDIN EN.CITE &lt;EndNote&gt;&lt;Cite&gt;&lt;Author&gt;McDonald&lt;/Author&gt;&lt;Year&gt;1999&lt;/Year&gt;&lt;RecNum&gt;169&lt;/RecNum&gt;&lt;DisplayText&gt;(McDonald, 1999)&lt;/DisplayText&gt;&lt;record&gt;&lt;rec-number&gt;169&lt;/rec-number&gt;&lt;foreign-keys&gt;&lt;key app="EN" db-id="svr9t50t6w9zaueswswxtrdzefxrszsddfa0" timestamp="0"&gt;169&lt;/key&gt;&lt;/foreign-keys&gt;&lt;ref-type name="Book"&gt;6&lt;/ref-type&gt;&lt;contributors&gt;&lt;authors&gt;&lt;author&gt;McDonald, Roderick P.&lt;/author&gt;&lt;/authors&gt;&lt;/contributors&gt;&lt;titles&gt;&lt;title&gt;Test theory: a unified treatment&lt;/title&gt;&lt;/titles&gt;&lt;pages&gt;485&lt;/pages&gt;&lt;dates&gt;&lt;year&gt;1999&lt;/year&gt;&lt;/dates&gt;&lt;pub-location&gt;Mahwah, NJ&lt;/pub-location&gt;&lt;publisher&gt;Erlbaum&lt;/publisher&gt;&lt;urls&gt;&lt;/urls&gt;&lt;/record&gt;&lt;/Cite&gt;&lt;/EndNote&gt;</w:instrText>
      </w:r>
      <w:r w:rsidRPr="003E297D">
        <w:rPr>
          <w:highlight w:val="yellow"/>
        </w:rPr>
        <w:fldChar w:fldCharType="separate"/>
      </w:r>
      <w:r w:rsidRPr="003E297D">
        <w:rPr>
          <w:noProof/>
          <w:highlight w:val="yellow"/>
        </w:rPr>
        <w:t>(McDonald, 1999)</w:t>
      </w:r>
      <w:r w:rsidRPr="003E297D">
        <w:rPr>
          <w:highlight w:val="yellow"/>
        </w:rPr>
        <w:fldChar w:fldCharType="end"/>
      </w:r>
      <w:r w:rsidRPr="003E297D">
        <w:rPr>
          <w:highlight w:val="yellow"/>
        </w:rPr>
        <w:t>. Test reliability as represented by Cronbach’s alpha is a complex function of the distribution of ability levels in the population studied together with the information levels of the test at those ability levels. An information curve that plots the information content of the test, along with a summary of the distribution of ability levels in the population of interest, provide the investigator with a much better understanding of the appropriateness of the test for that population of interest than a single number that purports to characterize the performance of the test as a whole. All of this extends from the fundamental insight of considering the difference between person ability and item difficulty.</w:t>
      </w:r>
    </w:p>
    <w:p w14:paraId="2DC5DE6B" w14:textId="77777777" w:rsidR="00B64628" w:rsidRPr="003E297D" w:rsidRDefault="00B64628" w:rsidP="00B64628">
      <w:pPr>
        <w:pStyle w:val="BodyText"/>
        <w:rPr>
          <w:rFonts w:eastAsiaTheme="minorEastAsia" w:cstheme="minorHAnsi"/>
          <w:color w:val="000000" w:themeColor="text1"/>
          <w:highlight w:val="yellow"/>
        </w:rPr>
      </w:pPr>
      <w:r w:rsidRPr="003E297D">
        <w:rPr>
          <w:highlight w:val="yellow"/>
        </w:rPr>
        <w:t xml:space="preserve">While practitioners and students of modern psychometric theory are taught to have intuition regarding information content and information curves, others not trained in this way may find it difficult to consider quantifications of measurement precision with completely unfamiliar units. Fortunately, there is a mathematical relationship between information and the standard error of measurement, which is on the same scale as the test score and may be more </w:t>
      </w:r>
      <w:r w:rsidRPr="003E297D">
        <w:rPr>
          <w:highlight w:val="yellow"/>
        </w:rPr>
        <w:lastRenderedPageBreak/>
        <w:t>intuitive. In particular, there is an inverse square root relationship, such that the standard error of measurement is the inverse square root of the information content. The standard error of measur</w:t>
      </w:r>
      <w:r w:rsidRPr="003E297D">
        <w:rPr>
          <w:rFonts w:cstheme="minorHAnsi"/>
          <w:highlight w:val="yellow"/>
        </w:rPr>
        <w:t>ement or SEM = </w:t>
      </w:r>
      <m:oMath>
        <m:f>
          <m:fPr>
            <m:type m:val="lin"/>
            <m:ctrlPr>
              <w:rPr>
                <w:rFonts w:ascii="Cambria Math" w:hAnsi="Cambria Math" w:cstheme="minorHAnsi"/>
                <w:i/>
                <w:color w:val="000000" w:themeColor="text1"/>
                <w:highlight w:val="yellow"/>
              </w:rPr>
            </m:ctrlPr>
          </m:fPr>
          <m:num>
            <m:r>
              <w:rPr>
                <w:rFonts w:ascii="Cambria Math" w:hAnsi="Cambria Math" w:cstheme="minorHAnsi"/>
                <w:color w:val="000000" w:themeColor="text1"/>
                <w:highlight w:val="yellow"/>
              </w:rPr>
              <m:t>1</m:t>
            </m:r>
          </m:num>
          <m:den>
            <m:rad>
              <m:radPr>
                <m:degHide m:val="1"/>
                <m:ctrlPr>
                  <w:rPr>
                    <w:rFonts w:ascii="Cambria Math" w:hAnsi="Cambria Math" w:cstheme="minorHAnsi"/>
                    <w:i/>
                    <w:color w:val="000000" w:themeColor="text1"/>
                    <w:highlight w:val="yellow"/>
                  </w:rPr>
                </m:ctrlPr>
              </m:radPr>
              <m:deg/>
              <m:e>
                <m:r>
                  <w:rPr>
                    <w:rFonts w:ascii="Cambria Math" w:hAnsi="Cambria Math" w:cstheme="minorHAnsi"/>
                    <w:color w:val="000000" w:themeColor="text1"/>
                    <w:highlight w:val="yellow"/>
                  </w:rPr>
                  <m:t>I</m:t>
                </m:r>
                <m:d>
                  <m:dPr>
                    <m:ctrlPr>
                      <w:rPr>
                        <w:rFonts w:ascii="Cambria Math" w:hAnsi="Cambria Math" w:cstheme="minorHAnsi"/>
                        <w:i/>
                        <w:color w:val="000000" w:themeColor="text1"/>
                        <w:highlight w:val="yellow"/>
                      </w:rPr>
                    </m:ctrlPr>
                  </m:dPr>
                  <m:e>
                    <m:r>
                      <w:rPr>
                        <w:rFonts w:ascii="Cambria Math" w:hAnsi="Cambria Math" w:cstheme="minorHAnsi"/>
                        <w:color w:val="000000" w:themeColor="text1"/>
                        <w:highlight w:val="yellow"/>
                      </w:rPr>
                      <m:t>θ</m:t>
                    </m:r>
                  </m:e>
                </m:d>
              </m:e>
            </m:rad>
          </m:den>
        </m:f>
      </m:oMath>
      <w:r w:rsidRPr="003E297D">
        <w:rPr>
          <w:rFonts w:eastAsiaTheme="minorEastAsia" w:cstheme="minorHAnsi"/>
          <w:color w:val="000000" w:themeColor="text1"/>
          <w:highlight w:val="yellow"/>
        </w:rPr>
        <w:t>, where theta (</w:t>
      </w:r>
      <w:r w:rsidRPr="003E297D">
        <w:rPr>
          <w:rFonts w:eastAsia="Arial Unicode MS" w:cstheme="minorHAnsi"/>
          <w:color w:val="000000" w:themeColor="text1"/>
          <w:highlight w:val="yellow"/>
        </w:rPr>
        <w:t>θ</w:t>
      </w:r>
      <w:r w:rsidRPr="003E297D">
        <w:rPr>
          <w:rFonts w:eastAsiaTheme="minorEastAsia" w:cstheme="minorHAnsi"/>
          <w:color w:val="000000" w:themeColor="text1"/>
          <w:highlight w:val="yellow"/>
        </w:rPr>
        <w:t>) is the ability level measured by the test, and I(</w:t>
      </w:r>
      <w:r w:rsidRPr="003E297D">
        <w:rPr>
          <w:rFonts w:eastAsia="Arial Unicode MS" w:cstheme="minorHAnsi"/>
          <w:color w:val="000000" w:themeColor="text1"/>
          <w:highlight w:val="yellow"/>
        </w:rPr>
        <w:t>θ</w:t>
      </w:r>
      <w:r w:rsidRPr="003E297D">
        <w:rPr>
          <w:rFonts w:eastAsiaTheme="minorEastAsia" w:cstheme="minorHAnsi"/>
          <w:color w:val="000000" w:themeColor="text1"/>
          <w:highlight w:val="yellow"/>
        </w:rPr>
        <w:t>) is the information content at ability level theta. We are thus able to focus on measurement error on a more familiar scale.</w:t>
      </w:r>
    </w:p>
    <w:p w14:paraId="1AF27C80" w14:textId="77777777" w:rsidR="00B64628" w:rsidRPr="003E297D" w:rsidRDefault="00B64628" w:rsidP="00B64628">
      <w:pPr>
        <w:pStyle w:val="BodyText"/>
        <w:rPr>
          <w:highlight w:val="yellow"/>
        </w:rPr>
      </w:pPr>
      <w:r w:rsidRPr="003E297D">
        <w:rPr>
          <w:highlight w:val="yellow"/>
        </w:rPr>
        <w:t>Again considering tests administered to a test taker ability level, the test with many items of appropriate difficulty levels will have a lot of information at that ability level, and a correspondingly low SEM, while a test with few items of appropriate difficulty levels will have a small amount of information at that ability level, and a high SEM.</w:t>
      </w:r>
    </w:p>
    <w:p w14:paraId="639EF4DE" w14:textId="77777777" w:rsidR="00B64628" w:rsidRPr="003E297D" w:rsidRDefault="00B64628" w:rsidP="00B64628">
      <w:pPr>
        <w:pStyle w:val="BodyText"/>
        <w:rPr>
          <w:highlight w:val="yellow"/>
        </w:rPr>
      </w:pPr>
      <w:r w:rsidRPr="003E297D">
        <w:rPr>
          <w:highlight w:val="yellow"/>
        </w:rPr>
        <w:t>Readers familiar with z scoring approaches will be familiar with the scores produced by modern psychometric approaches, as these are scaled such that the underlying ability level has a mean of 0 and a standard deviation (SD) of 1. It can be useful to consider the range from +3 to -3, or 3 SD above the mean to 3 SD below the mean. The vast majority of the action for the traits or ability levels we tend to measure falls within these 6 units.</w:t>
      </w:r>
    </w:p>
    <w:p w14:paraId="6424D598" w14:textId="77777777" w:rsidR="00B64628" w:rsidRPr="003E297D" w:rsidRDefault="00B64628" w:rsidP="00B64628">
      <w:pPr>
        <w:pStyle w:val="BodyText"/>
        <w:rPr>
          <w:highlight w:val="yellow"/>
        </w:rPr>
      </w:pPr>
      <w:r w:rsidRPr="003E297D">
        <w:rPr>
          <w:highlight w:val="yellow"/>
        </w:rPr>
        <w:t xml:space="preserve">A useful number to anchor understanding of SEM units is 0.3. This number is used as the default stopping rule in computerized adaptive testing (CAT) packages </w:t>
      </w:r>
      <w:r w:rsidRPr="003E297D">
        <w:rPr>
          <w:highlight w:val="yellow"/>
        </w:rPr>
        <w:fldChar w:fldCharType="begin"/>
      </w:r>
      <w:r w:rsidRPr="003E297D">
        <w:rPr>
          <w:highlight w:val="yellow"/>
        </w:rPr>
        <w:instrText xml:space="preserve"> ADDIN EN.CITE &lt;EndNote&gt;&lt;Cite&gt;&lt;Author&gt;Choi&lt;/Author&gt;&lt;Year&gt;2010&lt;/Year&gt;&lt;RecNum&gt;8412&lt;/RecNum&gt;&lt;DisplayText&gt;(S. W. Choi, Grady, &amp;amp; Dodd, 2010)&lt;/DisplayText&gt;&lt;record&gt;&lt;rec-number&gt;8412&lt;/rec-number&gt;&lt;foreign-keys&gt;&lt;key app="EN" db-id="svr9t50t6w9zaueswswxtrdzefxrszsddfa0" timestamp="1634157210"&gt;8412&lt;/key&gt;&lt;/foreign-keys&gt;&lt;ref-type name="Journal Article"&gt;17&lt;/ref-type&gt;&lt;contributors&gt;&lt;authors&gt;&lt;author&gt;Choi, Seung W.&lt;/author&gt;&lt;author&gt;Grady, Matthew W.&lt;/author&gt;&lt;author&gt;Dodd, Barbara G.&lt;/author&gt;&lt;/authors&gt;&lt;/contributors&gt;&lt;titles&gt;&lt;title&gt;A new stopping rule for computerized adaptive testing&lt;/title&gt;&lt;secondary-title&gt;Educational and Psychological Measurement&lt;/secondary-title&gt;&lt;alt-title&gt;Educ Psychol Meas&lt;/alt-title&gt;&lt;/titles&gt;&lt;periodical&gt;&lt;full-title&gt;Educational and Psychological Measurement&lt;/full-title&gt;&lt;/periodical&gt;&lt;alt-periodical&gt;&lt;full-title&gt;Educ Psychol Meas&lt;/full-title&gt;&lt;/alt-periodical&gt;&lt;pages&gt;1-17&lt;/pages&gt;&lt;volume&gt;70&lt;/volume&gt;&lt;number&gt;6&lt;/number&gt;&lt;dates&gt;&lt;year&gt;2010&lt;/year&gt;&lt;/dates&gt;&lt;isbn&gt;0013-1644&lt;/isbn&gt;&lt;accession-num&gt;21278821&lt;/accession-num&gt;&lt;urls&gt;&lt;related-urls&gt;&lt;url&gt;https://pubmed.ncbi.nlm.nih.gov/21278821&lt;/url&gt;&lt;url&gt;https://www.ncbi.nlm.nih.gov/pmc/articles/PMC3028267/&lt;/url&gt;&lt;/related-urls&gt;&lt;/urls&gt;&lt;electronic-resource-num&gt;10.1177/0013164410387338&lt;/electronic-resource-num&gt;&lt;remote-database-name&gt;PubMed&lt;/remote-database-name&gt;&lt;language&gt;eng&lt;/language&gt;&lt;/record&gt;&lt;/Cite&gt;&lt;/EndNote&gt;</w:instrText>
      </w:r>
      <w:r w:rsidRPr="003E297D">
        <w:rPr>
          <w:highlight w:val="yellow"/>
        </w:rPr>
        <w:fldChar w:fldCharType="separate"/>
      </w:r>
      <w:r w:rsidRPr="003E297D">
        <w:rPr>
          <w:noProof/>
          <w:highlight w:val="yellow"/>
        </w:rPr>
        <w:t>(S. W. Choi, Grady, &amp; Dodd, 2010)</w:t>
      </w:r>
      <w:r w:rsidRPr="003E297D">
        <w:rPr>
          <w:highlight w:val="yellow"/>
        </w:rPr>
        <w:fldChar w:fldCharType="end"/>
      </w:r>
      <w:r w:rsidRPr="003E297D">
        <w:rPr>
          <w:highlight w:val="yellow"/>
        </w:rPr>
        <w:t>. CATs are designed to pose questions to test takers in an efficient manner, where an algorithm considers all of the items in an item bank and chooses one to administer based on the current estimate of the person’s ability level. The algorithm continues in this fashion until a stopping rule is reached. Items are administered until the individual’s score is known at least as precisely as ± 0.3 units, and then the algorithm stops. We find it useful to note that a SEM of +/- 0.3 units is operationalized as sufficiently precise for individual measurement purposes as the default in CAT software.</w:t>
      </w:r>
    </w:p>
    <w:p w14:paraId="7423061A" w14:textId="77777777" w:rsidR="00B64628" w:rsidRPr="003E297D" w:rsidRDefault="00B64628" w:rsidP="00B64628">
      <w:pPr>
        <w:pStyle w:val="BodyText"/>
        <w:rPr>
          <w:rFonts w:eastAsiaTheme="minorEastAsia"/>
          <w:color w:val="000000" w:themeColor="text1"/>
          <w:highlight w:val="yellow"/>
        </w:rPr>
      </w:pPr>
      <w:r w:rsidRPr="003E297D">
        <w:rPr>
          <w:rFonts w:eastAsiaTheme="minorEastAsia"/>
          <w:color w:val="000000" w:themeColor="text1"/>
          <w:highlight w:val="yellow"/>
        </w:rPr>
        <w:lastRenderedPageBreak/>
        <w:t>Working backwards from an SEM of 0.3, squaring that and taking the inverse leads to an information content of roughly 11.1. Square numbers for information are the easiest to translate into corresponding SEMs. An information content of 9 (3</w:t>
      </w:r>
      <w:r w:rsidRPr="003E297D">
        <w:rPr>
          <w:rFonts w:eastAsiaTheme="minorEastAsia"/>
          <w:color w:val="000000" w:themeColor="text1"/>
          <w:highlight w:val="yellow"/>
          <w:vertAlign w:val="superscript"/>
        </w:rPr>
        <w:t>2</w:t>
      </w:r>
      <w:r w:rsidRPr="003E297D">
        <w:rPr>
          <w:rFonts w:eastAsiaTheme="minorEastAsia"/>
          <w:color w:val="000000" w:themeColor="text1"/>
          <w:highlight w:val="yellow"/>
        </w:rPr>
        <w:t>) corresponds to an SEM of 1/3 = 0.33. An information content of 16 (4</w:t>
      </w:r>
      <w:r w:rsidRPr="003E297D">
        <w:rPr>
          <w:rFonts w:eastAsiaTheme="minorEastAsia"/>
          <w:color w:val="000000" w:themeColor="text1"/>
          <w:highlight w:val="yellow"/>
          <w:vertAlign w:val="superscript"/>
        </w:rPr>
        <w:t>2</w:t>
      </w:r>
      <w:r w:rsidRPr="003E297D">
        <w:rPr>
          <w:rFonts w:eastAsiaTheme="minorEastAsia"/>
          <w:color w:val="000000" w:themeColor="text1"/>
          <w:highlight w:val="yellow"/>
        </w:rPr>
        <w:t>) corresponds to an SEM of ¼ or 0.25. An information content of 25 corresponds to an SEM of 1/5 or 0.20.</w:t>
      </w:r>
    </w:p>
    <w:p w14:paraId="7EAE0422" w14:textId="77777777" w:rsidR="00B64628" w:rsidRPr="00BE0B4F" w:rsidRDefault="00B64628" w:rsidP="00B64628">
      <w:pPr>
        <w:pStyle w:val="BodyText"/>
        <w:rPr>
          <w:rFonts w:eastAsiaTheme="minorEastAsia"/>
          <w:color w:val="000000" w:themeColor="text1"/>
        </w:rPr>
      </w:pPr>
      <w:r w:rsidRPr="003E297D">
        <w:rPr>
          <w:rFonts w:eastAsiaTheme="minorEastAsia"/>
          <w:color w:val="000000" w:themeColor="text1"/>
          <w:highlight w:val="yellow"/>
        </w:rPr>
        <w:t>The purpose of this formula and the above discussion is to provide some background information and guidance for interpreting the SEM data we present in this paper.</w:t>
      </w:r>
      <w:r>
        <w:rPr>
          <w:rFonts w:eastAsiaTheme="minorEastAsia"/>
          <w:color w:val="000000" w:themeColor="text1"/>
        </w:rPr>
        <w:t xml:space="preserve">  If standard errors of measurement (SEMs) are large this would lead to concern that lack of measurement precision could be influencing results.  At the same time, if SEMs are small, this can provide reassurance to investigators finding differences in associations across domains.  Additional information about modern psychometrics and SEMs can be found in Supplemental Materials.</w:t>
      </w:r>
    </w:p>
    <w:p w14:paraId="6979C806" w14:textId="77777777" w:rsidR="00B64628" w:rsidRDefault="00B64628" w:rsidP="00B64628">
      <w:pPr>
        <w:spacing w:before="0" w:line="240" w:lineRule="auto"/>
        <w:rPr>
          <w:sz w:val="24"/>
          <w:szCs w:val="24"/>
        </w:rPr>
      </w:pPr>
    </w:p>
    <w:p w14:paraId="0CEDE8EC" w14:textId="77777777" w:rsidR="00B64628" w:rsidRDefault="00B64628">
      <w:pPr>
        <w:spacing w:before="0" w:line="240" w:lineRule="auto"/>
        <w:rPr>
          <w:rFonts w:ascii="Arial" w:hAnsi="Arial" w:cs="Arial"/>
          <w:b/>
          <w:bCs/>
          <w:sz w:val="24"/>
          <w:szCs w:val="24"/>
        </w:rPr>
      </w:pPr>
      <w:r>
        <w:rPr>
          <w:sz w:val="24"/>
          <w:szCs w:val="24"/>
        </w:rPr>
        <w:br w:type="page"/>
      </w:r>
    </w:p>
    <w:p w14:paraId="0B4BDACB" w14:textId="74E193BE" w:rsidR="001A7515" w:rsidRDefault="001A7515" w:rsidP="00B64628">
      <w:pPr>
        <w:pStyle w:val="Study"/>
        <w:numPr>
          <w:ilvl w:val="0"/>
          <w:numId w:val="0"/>
        </w:numPr>
        <w:rPr>
          <w:sz w:val="24"/>
          <w:szCs w:val="24"/>
        </w:rPr>
      </w:pPr>
      <w:r>
        <w:rPr>
          <w:sz w:val="24"/>
          <w:szCs w:val="24"/>
        </w:rPr>
        <w:lastRenderedPageBreak/>
        <w:t>Supplement 1. Memory domain.</w:t>
      </w:r>
    </w:p>
    <w:p w14:paraId="655843B0" w14:textId="77777777" w:rsidR="001A7515" w:rsidRDefault="001A7515" w:rsidP="001A7515">
      <w:pPr>
        <w:pStyle w:val="Study"/>
        <w:numPr>
          <w:ilvl w:val="0"/>
          <w:numId w:val="0"/>
        </w:numPr>
        <w:ind w:left="216"/>
        <w:rPr>
          <w:sz w:val="24"/>
          <w:szCs w:val="24"/>
        </w:rPr>
      </w:pPr>
    </w:p>
    <w:p w14:paraId="0E53A62A" w14:textId="78155484" w:rsidR="00221D86" w:rsidRPr="004E065E" w:rsidRDefault="00221D86" w:rsidP="001A7515">
      <w:pPr>
        <w:pStyle w:val="Study"/>
        <w:numPr>
          <w:ilvl w:val="0"/>
          <w:numId w:val="0"/>
        </w:numPr>
        <w:ind w:left="216"/>
        <w:rPr>
          <w:b w:val="0"/>
          <w:bCs w:val="0"/>
        </w:rPr>
      </w:pPr>
      <w:r w:rsidRPr="004E065E">
        <w:rPr>
          <w:b w:val="0"/>
          <w:bCs w:val="0"/>
        </w:rPr>
        <w:t>Final model was a data driven bifactor model with CFI = 0</w:t>
      </w:r>
      <w:r w:rsidRPr="004E065E">
        <w:rPr>
          <w:rFonts w:eastAsia="Times New Roman"/>
          <w:b w:val="0"/>
          <w:bCs w:val="0"/>
        </w:rPr>
        <w:t>.</w:t>
      </w:r>
      <w:r w:rsidRPr="004E065E">
        <w:rPr>
          <w:b w:val="0"/>
          <w:bCs w:val="0"/>
        </w:rPr>
        <w:t>981, TLI = 0</w:t>
      </w:r>
      <w:r w:rsidRPr="004E065E">
        <w:rPr>
          <w:rFonts w:eastAsia="Times New Roman"/>
          <w:b w:val="0"/>
          <w:bCs w:val="0"/>
        </w:rPr>
        <w:t>.</w:t>
      </w:r>
      <w:r w:rsidRPr="004E065E">
        <w:rPr>
          <w:b w:val="0"/>
          <w:bCs w:val="0"/>
        </w:rPr>
        <w:t>979, and RMSEA = 0</w:t>
      </w:r>
      <w:r w:rsidRPr="004E065E">
        <w:rPr>
          <w:rFonts w:eastAsia="Times New Roman"/>
          <w:b w:val="0"/>
          <w:bCs w:val="0"/>
        </w:rPr>
        <w:t>.</w:t>
      </w:r>
      <w:r w:rsidRPr="004E065E">
        <w:rPr>
          <w:b w:val="0"/>
          <w:bCs w:val="0"/>
        </w:rPr>
        <w:t>088 for individuals administered RAVLT version A and CFI = 0</w:t>
      </w:r>
      <w:r w:rsidRPr="004E065E">
        <w:rPr>
          <w:rFonts w:eastAsia="Times New Roman"/>
          <w:b w:val="0"/>
          <w:bCs w:val="0"/>
        </w:rPr>
        <w:t>.</w:t>
      </w:r>
      <w:r w:rsidRPr="004E065E">
        <w:rPr>
          <w:b w:val="0"/>
          <w:bCs w:val="0"/>
        </w:rPr>
        <w:t>991, TLI = 0</w:t>
      </w:r>
      <w:r w:rsidRPr="004E065E">
        <w:rPr>
          <w:rFonts w:eastAsia="Times New Roman"/>
          <w:b w:val="0"/>
          <w:bCs w:val="0"/>
        </w:rPr>
        <w:t>.</w:t>
      </w:r>
      <w:r w:rsidRPr="004E065E">
        <w:rPr>
          <w:b w:val="0"/>
          <w:bCs w:val="0"/>
        </w:rPr>
        <w:t>990, and RMSEA = 0</w:t>
      </w:r>
      <w:r w:rsidRPr="004E065E">
        <w:rPr>
          <w:rFonts w:eastAsia="Times New Roman"/>
          <w:b w:val="0"/>
          <w:bCs w:val="0"/>
        </w:rPr>
        <w:t>.</w:t>
      </w:r>
      <w:r w:rsidRPr="004E065E">
        <w:rPr>
          <w:b w:val="0"/>
          <w:bCs w:val="0"/>
        </w:rPr>
        <w:t>073 for individuals administered RAVLT version B. The following items were included in the CFA analysis:</w:t>
      </w:r>
    </w:p>
    <w:p w14:paraId="60B6526E" w14:textId="197CA24A" w:rsidR="00221D86" w:rsidRPr="00431BE1" w:rsidRDefault="00221D86" w:rsidP="00221D86">
      <w:pPr>
        <w:pStyle w:val="SupTableHead"/>
      </w:pPr>
      <w:r>
        <w:t>Supplemental Table</w:t>
      </w:r>
      <w:r w:rsidRPr="00547F77">
        <w:t xml:space="preserve"> </w:t>
      </w:r>
      <w:r w:rsidR="001A7515">
        <w:t>1</w:t>
      </w:r>
      <w:r w:rsidRPr="00547F77">
        <w:t xml:space="preserve">. Items and secondary structure for </w:t>
      </w:r>
      <w:r>
        <w:t>memory for the ADNI study</w:t>
      </w:r>
    </w:p>
    <w:tbl>
      <w:tblPr>
        <w:tblW w:w="5099" w:type="pct"/>
        <w:tblLayout w:type="fixed"/>
        <w:tblLook w:val="04A0" w:firstRow="1" w:lastRow="0" w:firstColumn="1" w:lastColumn="0" w:noHBand="0" w:noVBand="1"/>
      </w:tblPr>
      <w:tblGrid>
        <w:gridCol w:w="894"/>
        <w:gridCol w:w="1528"/>
        <w:gridCol w:w="4592"/>
        <w:gridCol w:w="2521"/>
      </w:tblGrid>
      <w:tr w:rsidR="00221D86" w:rsidRPr="00817BD2" w14:paraId="436A3375" w14:textId="77777777" w:rsidTr="00C977CD">
        <w:trPr>
          <w:trHeight w:val="300"/>
        </w:trPr>
        <w:tc>
          <w:tcPr>
            <w:tcW w:w="469" w:type="pct"/>
            <w:tcBorders>
              <w:top w:val="single" w:sz="4" w:space="0" w:color="auto"/>
              <w:left w:val="single" w:sz="4" w:space="0" w:color="auto"/>
              <w:bottom w:val="single" w:sz="4" w:space="0" w:color="auto"/>
              <w:right w:val="single" w:sz="4" w:space="0" w:color="auto"/>
            </w:tcBorders>
            <w:shd w:val="clear" w:color="auto" w:fill="595959"/>
            <w:noWrap/>
            <w:vAlign w:val="center"/>
            <w:hideMark/>
          </w:tcPr>
          <w:p w14:paraId="4D853EBF" w14:textId="77777777" w:rsidR="00221D86" w:rsidRPr="00817BD2" w:rsidRDefault="00221D86" w:rsidP="00C977CD">
            <w:pPr>
              <w:spacing w:line="240" w:lineRule="auto"/>
              <w:jc w:val="center"/>
              <w:rPr>
                <w:rFonts w:ascii="Arial" w:eastAsia="Times New Roman" w:hAnsi="Arial" w:cs="Arial"/>
                <w:b/>
                <w:bCs/>
                <w:color w:val="FFFFFF" w:themeColor="background1"/>
              </w:rPr>
            </w:pPr>
            <w:r w:rsidRPr="00817BD2">
              <w:rPr>
                <w:rFonts w:ascii="Arial" w:eastAsia="Times New Roman" w:hAnsi="Arial" w:cs="Arial"/>
                <w:b/>
                <w:bCs/>
                <w:color w:val="FFFFFF" w:themeColor="background1"/>
              </w:rPr>
              <w:t>Study</w:t>
            </w:r>
          </w:p>
        </w:tc>
        <w:tc>
          <w:tcPr>
            <w:tcW w:w="801" w:type="pct"/>
            <w:tcBorders>
              <w:top w:val="single" w:sz="4" w:space="0" w:color="auto"/>
              <w:left w:val="nil"/>
              <w:bottom w:val="single" w:sz="4" w:space="0" w:color="auto"/>
              <w:right w:val="single" w:sz="4" w:space="0" w:color="auto"/>
            </w:tcBorders>
            <w:shd w:val="clear" w:color="auto" w:fill="595959"/>
            <w:noWrap/>
            <w:vAlign w:val="center"/>
            <w:hideMark/>
          </w:tcPr>
          <w:p w14:paraId="0BC4F7BD" w14:textId="77777777" w:rsidR="00221D86" w:rsidRPr="00817BD2" w:rsidRDefault="00221D86" w:rsidP="00C977CD">
            <w:pPr>
              <w:spacing w:line="240" w:lineRule="auto"/>
              <w:jc w:val="center"/>
              <w:rPr>
                <w:rFonts w:ascii="Arial" w:eastAsia="Times New Roman" w:hAnsi="Arial" w:cs="Arial"/>
                <w:b/>
                <w:bCs/>
                <w:color w:val="FFFFFF" w:themeColor="background1"/>
              </w:rPr>
            </w:pPr>
            <w:r w:rsidRPr="00817BD2">
              <w:rPr>
                <w:rFonts w:ascii="Arial" w:eastAsia="Times New Roman" w:hAnsi="Arial" w:cs="Arial"/>
                <w:b/>
                <w:bCs/>
                <w:color w:val="FFFFFF" w:themeColor="background1"/>
              </w:rPr>
              <w:t>Variable</w:t>
            </w:r>
          </w:p>
        </w:tc>
        <w:tc>
          <w:tcPr>
            <w:tcW w:w="2408" w:type="pct"/>
            <w:tcBorders>
              <w:top w:val="single" w:sz="4" w:space="0" w:color="auto"/>
              <w:left w:val="nil"/>
              <w:bottom w:val="single" w:sz="4" w:space="0" w:color="auto"/>
              <w:right w:val="single" w:sz="4" w:space="0" w:color="auto"/>
            </w:tcBorders>
            <w:shd w:val="clear" w:color="auto" w:fill="595959"/>
            <w:noWrap/>
            <w:vAlign w:val="center"/>
            <w:hideMark/>
          </w:tcPr>
          <w:p w14:paraId="1E60B2AD" w14:textId="77777777" w:rsidR="00221D86" w:rsidRPr="00817BD2" w:rsidRDefault="00221D86" w:rsidP="00C977CD">
            <w:pPr>
              <w:spacing w:line="240" w:lineRule="auto"/>
              <w:jc w:val="center"/>
              <w:rPr>
                <w:rFonts w:ascii="Arial" w:eastAsia="Times New Roman" w:hAnsi="Arial" w:cs="Arial"/>
                <w:b/>
                <w:bCs/>
                <w:color w:val="FFFFFF" w:themeColor="background1"/>
              </w:rPr>
            </w:pPr>
            <w:r w:rsidRPr="00817BD2">
              <w:rPr>
                <w:rFonts w:ascii="Arial" w:eastAsia="Times New Roman" w:hAnsi="Arial" w:cs="Arial"/>
                <w:b/>
                <w:bCs/>
                <w:color w:val="FFFFFF" w:themeColor="background1"/>
              </w:rPr>
              <w:t>Description</w:t>
            </w:r>
          </w:p>
        </w:tc>
        <w:tc>
          <w:tcPr>
            <w:tcW w:w="1322" w:type="pct"/>
            <w:tcBorders>
              <w:top w:val="single" w:sz="4" w:space="0" w:color="auto"/>
              <w:left w:val="nil"/>
              <w:bottom w:val="single" w:sz="4" w:space="0" w:color="auto"/>
              <w:right w:val="single" w:sz="4" w:space="0" w:color="auto"/>
            </w:tcBorders>
            <w:shd w:val="clear" w:color="auto" w:fill="595959"/>
            <w:noWrap/>
            <w:vAlign w:val="center"/>
            <w:hideMark/>
          </w:tcPr>
          <w:p w14:paraId="7EB36658" w14:textId="77777777" w:rsidR="00221D86" w:rsidRPr="00817BD2" w:rsidRDefault="00221D86" w:rsidP="00C977CD">
            <w:pPr>
              <w:spacing w:line="240" w:lineRule="auto"/>
              <w:jc w:val="center"/>
              <w:rPr>
                <w:rFonts w:ascii="Arial" w:eastAsia="Times New Roman" w:hAnsi="Arial" w:cs="Arial"/>
                <w:b/>
                <w:bCs/>
                <w:color w:val="FFFFFF" w:themeColor="background1"/>
              </w:rPr>
            </w:pPr>
            <w:r w:rsidRPr="00817BD2">
              <w:rPr>
                <w:rFonts w:ascii="Arial" w:eastAsia="Times New Roman" w:hAnsi="Arial" w:cs="Arial"/>
                <w:b/>
                <w:bCs/>
                <w:color w:val="FFFFFF" w:themeColor="background1"/>
              </w:rPr>
              <w:t>Secondary Structure</w:t>
            </w:r>
          </w:p>
        </w:tc>
      </w:tr>
      <w:tr w:rsidR="00221D86" w:rsidRPr="003F751B" w14:paraId="4928741E"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5C44E226"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59A4B30E"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limmtotal</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1E760577"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WMS-R: </w:t>
            </w:r>
            <w:r w:rsidRPr="003F751B">
              <w:rPr>
                <w:rFonts w:ascii="Arial" w:eastAsia="Times New Roman" w:hAnsi="Arial" w:cs="Arial"/>
                <w:bCs/>
                <w:color w:val="000000"/>
                <w:szCs w:val="20"/>
              </w:rPr>
              <w:t>Logical Memory</w:t>
            </w:r>
            <w:r>
              <w:rPr>
                <w:rFonts w:ascii="Arial" w:eastAsia="Times New Roman" w:hAnsi="Arial" w:cs="Arial"/>
                <w:bCs/>
                <w:color w:val="000000"/>
                <w:szCs w:val="20"/>
              </w:rPr>
              <w:t>—</w:t>
            </w:r>
            <w:r w:rsidRPr="003F751B">
              <w:rPr>
                <w:rFonts w:ascii="Arial" w:eastAsia="Times New Roman" w:hAnsi="Arial" w:cs="Arial"/>
                <w:bCs/>
                <w:color w:val="000000"/>
                <w:szCs w:val="20"/>
              </w:rPr>
              <w:t xml:space="preserve">Immediate </w:t>
            </w:r>
            <w:proofErr w:type="gramStart"/>
            <w:r w:rsidRPr="003F751B">
              <w:rPr>
                <w:rFonts w:ascii="Arial" w:eastAsia="Times New Roman" w:hAnsi="Arial" w:cs="Arial"/>
                <w:bCs/>
                <w:color w:val="000000"/>
                <w:szCs w:val="20"/>
              </w:rPr>
              <w:t>Recall</w:t>
            </w:r>
            <w:r>
              <w:rPr>
                <w:rFonts w:ascii="Arial" w:eastAsia="Times New Roman" w:hAnsi="Arial" w:cs="Arial"/>
                <w:bCs/>
                <w:color w:val="000000"/>
                <w:szCs w:val="20"/>
              </w:rPr>
              <w:t>(</w:t>
            </w:r>
            <w:proofErr w:type="gramEnd"/>
            <w:r>
              <w:rPr>
                <w:rFonts w:ascii="Arial" w:eastAsia="Times New Roman" w:hAnsi="Arial" w:cs="Arial"/>
                <w:bCs/>
                <w:color w:val="000000"/>
                <w:szCs w:val="20"/>
              </w:rPr>
              <w:t>AT)</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30BC76DB"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F1</w:t>
            </w:r>
          </w:p>
        </w:tc>
      </w:tr>
      <w:tr w:rsidR="00221D86" w:rsidRPr="003F751B" w14:paraId="54ABD701"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2FFB8475"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5F154303"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ldeltotal</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4DB8A102"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WMS-R: </w:t>
            </w:r>
            <w:r w:rsidRPr="003F751B">
              <w:rPr>
                <w:rFonts w:ascii="Arial" w:eastAsia="Times New Roman" w:hAnsi="Arial" w:cs="Arial"/>
                <w:bCs/>
                <w:color w:val="000000"/>
                <w:szCs w:val="20"/>
              </w:rPr>
              <w:t>Logical Memory</w:t>
            </w:r>
            <w:r>
              <w:rPr>
                <w:rFonts w:ascii="Arial" w:eastAsia="Times New Roman" w:hAnsi="Arial" w:cs="Arial"/>
                <w:bCs/>
                <w:color w:val="000000"/>
                <w:szCs w:val="20"/>
              </w:rPr>
              <w:t>—</w:t>
            </w:r>
            <w:r w:rsidRPr="003F751B">
              <w:rPr>
                <w:rFonts w:ascii="Arial" w:eastAsia="Times New Roman" w:hAnsi="Arial" w:cs="Arial"/>
                <w:bCs/>
                <w:color w:val="000000"/>
                <w:szCs w:val="20"/>
              </w:rPr>
              <w:t>Delayed Recall</w:t>
            </w:r>
            <w:r>
              <w:rPr>
                <w:rFonts w:ascii="Arial" w:eastAsia="Times New Roman" w:hAnsi="Arial" w:cs="Arial"/>
                <w:bCs/>
                <w:color w:val="000000"/>
                <w:szCs w:val="20"/>
              </w:rPr>
              <w:t xml:space="preserve"> (AT)</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3F05982D"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F1</w:t>
            </w:r>
          </w:p>
        </w:tc>
      </w:tr>
      <w:tr w:rsidR="00221D86" w:rsidRPr="003F751B" w14:paraId="5A48B9ED"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5F642757"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2046169D"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avtot1*</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3BDE4EFD"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Rey: </w:t>
            </w:r>
            <w:r w:rsidRPr="003F751B">
              <w:rPr>
                <w:rFonts w:ascii="Arial" w:eastAsia="Times New Roman" w:hAnsi="Arial" w:cs="Arial"/>
                <w:bCs/>
                <w:color w:val="000000"/>
                <w:szCs w:val="20"/>
              </w:rPr>
              <w:t>AVLT Trial 1 Total</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5A892476"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0979E229"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3311AAFD"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47D98958"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avtot2*</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7F76E236"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Rey: </w:t>
            </w:r>
            <w:r w:rsidRPr="003F751B">
              <w:rPr>
                <w:rFonts w:ascii="Arial" w:eastAsia="Times New Roman" w:hAnsi="Arial" w:cs="Arial"/>
                <w:bCs/>
                <w:color w:val="000000"/>
                <w:szCs w:val="20"/>
              </w:rPr>
              <w:t>AVLT Trial 2 Total</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0ED12B61"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F2</w:t>
            </w:r>
          </w:p>
        </w:tc>
      </w:tr>
      <w:tr w:rsidR="00221D86" w:rsidRPr="003F751B" w14:paraId="40433B61"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23E60208"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49E8BD27"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avtot3*</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00AD6F9E"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Rey: </w:t>
            </w:r>
            <w:r w:rsidRPr="003F751B">
              <w:rPr>
                <w:rFonts w:ascii="Arial" w:eastAsia="Times New Roman" w:hAnsi="Arial" w:cs="Arial"/>
                <w:bCs/>
                <w:color w:val="000000"/>
                <w:szCs w:val="20"/>
              </w:rPr>
              <w:t>AVLT Trial 3 Total</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189FA9D6"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F2</w:t>
            </w:r>
          </w:p>
        </w:tc>
      </w:tr>
      <w:tr w:rsidR="00221D86" w:rsidRPr="003F751B" w14:paraId="73B92372"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6E49C5E6"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1F39FFFE"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avtot4*</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0F1E7B6F"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Rey: </w:t>
            </w:r>
            <w:r w:rsidRPr="003F751B">
              <w:rPr>
                <w:rFonts w:ascii="Arial" w:eastAsia="Times New Roman" w:hAnsi="Arial" w:cs="Arial"/>
                <w:bCs/>
                <w:color w:val="000000"/>
                <w:szCs w:val="20"/>
              </w:rPr>
              <w:t>AVLT Trial 4 Total</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1F7201BB"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F2</w:t>
            </w:r>
          </w:p>
        </w:tc>
      </w:tr>
      <w:tr w:rsidR="00221D86" w:rsidRPr="003F751B" w14:paraId="060A49F0"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2091B551"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10E5A34B"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avtot5*</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54B636EE"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Rey: </w:t>
            </w:r>
            <w:r w:rsidRPr="003F751B">
              <w:rPr>
                <w:rFonts w:ascii="Arial" w:eastAsia="Times New Roman" w:hAnsi="Arial" w:cs="Arial"/>
                <w:bCs/>
                <w:color w:val="000000"/>
                <w:szCs w:val="20"/>
              </w:rPr>
              <w:t>AVLT Trial 5 Total</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6D663BA0"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F2</w:t>
            </w:r>
          </w:p>
        </w:tc>
      </w:tr>
      <w:tr w:rsidR="00221D86" w:rsidRPr="003F751B" w14:paraId="0611B45D"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53C32360"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0030F3A5"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avtot6*</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70FFA547"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Rey: </w:t>
            </w:r>
            <w:r w:rsidRPr="003F751B">
              <w:rPr>
                <w:rFonts w:ascii="Arial" w:eastAsia="Times New Roman" w:hAnsi="Arial" w:cs="Arial"/>
                <w:bCs/>
                <w:color w:val="000000"/>
                <w:szCs w:val="20"/>
              </w:rPr>
              <w:t>AVLT Trial 6 Total</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1A7498AC" w14:textId="77777777" w:rsidR="00221D86" w:rsidRPr="003F751B" w:rsidRDefault="00221D86" w:rsidP="00C977CD">
            <w:pPr>
              <w:spacing w:line="240" w:lineRule="auto"/>
              <w:jc w:val="center"/>
              <w:rPr>
                <w:rFonts w:ascii="Arial" w:eastAsia="Times New Roman" w:hAnsi="Arial" w:cs="Arial"/>
                <w:bCs/>
                <w:color w:val="000000"/>
                <w:szCs w:val="20"/>
              </w:rPr>
            </w:pPr>
            <w:r>
              <w:rPr>
                <w:rFonts w:ascii="Arial" w:eastAsia="Times New Roman" w:hAnsi="Arial" w:cs="Arial"/>
                <w:bCs/>
                <w:color w:val="000000"/>
                <w:szCs w:val="20"/>
              </w:rPr>
              <w:t>F2</w:t>
            </w:r>
          </w:p>
        </w:tc>
      </w:tr>
      <w:tr w:rsidR="00221D86" w:rsidRPr="003F751B" w14:paraId="60B124A4"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7040F7E6"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07732187"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avtotb</w:t>
            </w:r>
            <w:proofErr w:type="spellEnd"/>
            <w:r w:rsidRPr="003F751B">
              <w:rPr>
                <w:rFonts w:ascii="Arial" w:eastAsia="Times New Roman" w:hAnsi="Arial" w:cs="Arial"/>
                <w:bCs/>
                <w:color w:val="000000"/>
                <w:szCs w:val="20"/>
              </w:rPr>
              <w:t>*</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66D9EBF7"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Rey: </w:t>
            </w:r>
            <w:r w:rsidRPr="003F751B">
              <w:rPr>
                <w:rFonts w:ascii="Arial" w:eastAsia="Times New Roman" w:hAnsi="Arial" w:cs="Arial"/>
                <w:bCs/>
                <w:color w:val="000000"/>
                <w:szCs w:val="20"/>
              </w:rPr>
              <w:t>AVLT List B Total</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513E5E36"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5B5C97DA"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06D79E6B"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18E5257F"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avdel30min*</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29DC3C93"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Rey: </w:t>
            </w:r>
            <w:r w:rsidRPr="003F751B">
              <w:rPr>
                <w:rFonts w:ascii="Arial" w:eastAsia="Times New Roman" w:hAnsi="Arial" w:cs="Arial"/>
                <w:bCs/>
                <w:color w:val="000000"/>
                <w:szCs w:val="20"/>
              </w:rPr>
              <w:t>AVLT 30 Minute Delay Total</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010C992A" w14:textId="77777777" w:rsidR="00221D86" w:rsidRPr="003F751B" w:rsidRDefault="00221D86" w:rsidP="00C977CD">
            <w:pPr>
              <w:spacing w:line="240" w:lineRule="auto"/>
              <w:jc w:val="center"/>
              <w:rPr>
                <w:rFonts w:ascii="Arial" w:eastAsia="Times New Roman" w:hAnsi="Arial" w:cs="Arial"/>
                <w:bCs/>
                <w:color w:val="000000"/>
                <w:szCs w:val="20"/>
              </w:rPr>
            </w:pPr>
            <w:r>
              <w:rPr>
                <w:rFonts w:ascii="Arial" w:eastAsia="Times New Roman" w:hAnsi="Arial" w:cs="Arial"/>
                <w:bCs/>
                <w:color w:val="000000"/>
                <w:szCs w:val="20"/>
              </w:rPr>
              <w:t>F2</w:t>
            </w:r>
          </w:p>
        </w:tc>
      </w:tr>
      <w:tr w:rsidR="00221D86" w:rsidRPr="003F751B" w14:paraId="1AEB2465"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0A3A7DDC"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00FB22F0"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avdeltot</w:t>
            </w:r>
            <w:proofErr w:type="spellEnd"/>
            <w:r w:rsidRPr="003F751B">
              <w:rPr>
                <w:rFonts w:ascii="Arial" w:eastAsia="Times New Roman" w:hAnsi="Arial" w:cs="Arial"/>
                <w:bCs/>
                <w:color w:val="000000"/>
                <w:szCs w:val="20"/>
              </w:rPr>
              <w:t>*</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3D7805A3"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Rey: </w:t>
            </w:r>
            <w:r w:rsidRPr="003F751B">
              <w:rPr>
                <w:rFonts w:ascii="Arial" w:eastAsia="Times New Roman" w:hAnsi="Arial" w:cs="Arial"/>
                <w:bCs/>
                <w:color w:val="000000"/>
                <w:szCs w:val="20"/>
              </w:rPr>
              <w:t>AVLT Recognition Score</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407D1DC0"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1222CA0A"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49E001C5"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31B0BC8E"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q1score</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643E7331"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ADAS</w:t>
            </w:r>
            <w:r>
              <w:rPr>
                <w:rFonts w:ascii="Arial" w:eastAsia="Times New Roman" w:hAnsi="Arial" w:cs="Arial"/>
                <w:bCs/>
                <w:color w:val="000000"/>
                <w:szCs w:val="20"/>
              </w:rPr>
              <w:t>-Cog:</w:t>
            </w:r>
            <w:r w:rsidRPr="003F751B">
              <w:rPr>
                <w:rFonts w:ascii="Arial" w:eastAsia="Times New Roman" w:hAnsi="Arial" w:cs="Arial"/>
                <w:bCs/>
                <w:color w:val="000000"/>
                <w:szCs w:val="20"/>
              </w:rPr>
              <w:t xml:space="preserve"> Word Recall</w:t>
            </w:r>
            <w:r>
              <w:rPr>
                <w:rFonts w:ascii="Arial" w:eastAsia="Times New Roman" w:hAnsi="Arial" w:cs="Arial"/>
                <w:bCs/>
                <w:color w:val="000000"/>
                <w:szCs w:val="20"/>
              </w:rPr>
              <w:t>—</w:t>
            </w:r>
            <w:r w:rsidRPr="003F751B">
              <w:rPr>
                <w:rFonts w:ascii="Arial" w:eastAsia="Times New Roman" w:hAnsi="Arial" w:cs="Arial"/>
                <w:bCs/>
                <w:color w:val="000000"/>
                <w:szCs w:val="20"/>
              </w:rPr>
              <w:t>score</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4AD61650" w14:textId="77777777" w:rsidR="00221D86" w:rsidRPr="003F751B" w:rsidRDefault="00221D86" w:rsidP="00C977CD">
            <w:pPr>
              <w:spacing w:line="240" w:lineRule="auto"/>
              <w:jc w:val="center"/>
              <w:rPr>
                <w:rFonts w:ascii="Arial" w:eastAsia="Times New Roman" w:hAnsi="Arial" w:cs="Arial"/>
                <w:bCs/>
                <w:color w:val="000000"/>
                <w:szCs w:val="20"/>
              </w:rPr>
            </w:pPr>
            <w:r>
              <w:rPr>
                <w:rFonts w:ascii="Arial" w:eastAsia="Times New Roman" w:hAnsi="Arial" w:cs="Arial"/>
                <w:bCs/>
                <w:color w:val="000000"/>
                <w:szCs w:val="20"/>
              </w:rPr>
              <w:t>F3</w:t>
            </w:r>
          </w:p>
        </w:tc>
      </w:tr>
      <w:tr w:rsidR="00221D86" w:rsidRPr="003F751B" w14:paraId="160ACD6E"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5BADA657"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2FD3471A"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 xml:space="preserve">q4score </w:t>
            </w:r>
          </w:p>
        </w:tc>
        <w:tc>
          <w:tcPr>
            <w:tcW w:w="2408" w:type="pct"/>
            <w:tcBorders>
              <w:top w:val="nil"/>
              <w:left w:val="nil"/>
              <w:bottom w:val="single" w:sz="4" w:space="0" w:color="auto"/>
              <w:right w:val="single" w:sz="4" w:space="0" w:color="auto"/>
            </w:tcBorders>
            <w:shd w:val="clear" w:color="auto" w:fill="F7CAAC" w:themeFill="accent2" w:themeFillTint="66"/>
            <w:noWrap/>
            <w:vAlign w:val="center"/>
            <w:hideMark/>
          </w:tcPr>
          <w:p w14:paraId="575B6EB6"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ADAS</w:t>
            </w:r>
            <w:r>
              <w:rPr>
                <w:rFonts w:ascii="Arial" w:eastAsia="Times New Roman" w:hAnsi="Arial" w:cs="Arial"/>
                <w:bCs/>
                <w:color w:val="000000"/>
                <w:szCs w:val="20"/>
              </w:rPr>
              <w:t>-Cog:</w:t>
            </w:r>
            <w:r w:rsidRPr="003F751B">
              <w:rPr>
                <w:rFonts w:ascii="Arial" w:eastAsia="Times New Roman" w:hAnsi="Arial" w:cs="Arial"/>
                <w:bCs/>
                <w:color w:val="000000"/>
                <w:szCs w:val="20"/>
              </w:rPr>
              <w:t xml:space="preserve"> Delayed Word Recall</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69B313C8" w14:textId="77777777" w:rsidR="00221D86" w:rsidRPr="003F751B" w:rsidRDefault="00221D86" w:rsidP="00C977CD">
            <w:pPr>
              <w:spacing w:line="240" w:lineRule="auto"/>
              <w:jc w:val="center"/>
              <w:rPr>
                <w:rFonts w:ascii="Arial" w:eastAsia="Times New Roman" w:hAnsi="Arial" w:cs="Arial"/>
                <w:bCs/>
                <w:color w:val="000000"/>
                <w:szCs w:val="20"/>
              </w:rPr>
            </w:pPr>
            <w:r>
              <w:rPr>
                <w:rFonts w:ascii="Arial" w:eastAsia="Times New Roman" w:hAnsi="Arial" w:cs="Arial"/>
                <w:bCs/>
                <w:color w:val="000000"/>
                <w:szCs w:val="20"/>
              </w:rPr>
              <w:t>F3</w:t>
            </w:r>
          </w:p>
        </w:tc>
      </w:tr>
      <w:tr w:rsidR="00221D86" w:rsidRPr="003F751B" w14:paraId="331678B1"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3777AC69"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051DFB82"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q7score</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6A466904"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ADAS</w:t>
            </w:r>
            <w:r>
              <w:rPr>
                <w:rFonts w:ascii="Arial" w:eastAsia="Times New Roman" w:hAnsi="Arial" w:cs="Arial"/>
                <w:bCs/>
                <w:color w:val="000000"/>
                <w:szCs w:val="20"/>
              </w:rPr>
              <w:t>-Cog:</w:t>
            </w:r>
            <w:r w:rsidRPr="003F751B">
              <w:rPr>
                <w:rFonts w:ascii="Arial" w:eastAsia="Times New Roman" w:hAnsi="Arial" w:cs="Arial"/>
                <w:bCs/>
                <w:color w:val="000000"/>
                <w:szCs w:val="20"/>
              </w:rPr>
              <w:t xml:space="preserve"> Orientation</w:t>
            </w:r>
            <w:r>
              <w:rPr>
                <w:rFonts w:ascii="Arial" w:eastAsia="Times New Roman" w:hAnsi="Arial" w:cs="Arial"/>
                <w:bCs/>
                <w:color w:val="000000"/>
                <w:szCs w:val="20"/>
              </w:rPr>
              <w:t>—</w:t>
            </w:r>
            <w:r w:rsidRPr="003F751B">
              <w:rPr>
                <w:rFonts w:ascii="Arial" w:eastAsia="Times New Roman" w:hAnsi="Arial" w:cs="Arial"/>
                <w:bCs/>
                <w:color w:val="000000"/>
                <w:szCs w:val="20"/>
              </w:rPr>
              <w:t>score</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2A37A089"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3F06F3BF"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0020FEBD"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0CD9435F"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q8score</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05FA5B86" w14:textId="77777777" w:rsidR="00221D86" w:rsidRPr="003F751B" w:rsidRDefault="00221D86" w:rsidP="00C977CD">
            <w:pPr>
              <w:spacing w:line="240" w:lineRule="auto"/>
              <w:rPr>
                <w:rFonts w:ascii="Arial" w:eastAsia="Times New Roman" w:hAnsi="Arial" w:cs="Arial"/>
                <w:bCs/>
                <w:color w:val="000000"/>
                <w:szCs w:val="20"/>
              </w:rPr>
            </w:pPr>
            <w:r w:rsidRPr="003F751B">
              <w:rPr>
                <w:rFonts w:ascii="Arial" w:eastAsia="Times New Roman" w:hAnsi="Arial" w:cs="Arial"/>
                <w:bCs/>
                <w:color w:val="000000"/>
                <w:szCs w:val="20"/>
              </w:rPr>
              <w:t>ADAS</w:t>
            </w:r>
            <w:r>
              <w:rPr>
                <w:rFonts w:ascii="Arial" w:eastAsia="Times New Roman" w:hAnsi="Arial" w:cs="Arial"/>
                <w:bCs/>
                <w:color w:val="000000"/>
                <w:szCs w:val="20"/>
              </w:rPr>
              <w:t>-Cog:</w:t>
            </w:r>
            <w:r w:rsidRPr="003F751B">
              <w:rPr>
                <w:rFonts w:ascii="Arial" w:eastAsia="Times New Roman" w:hAnsi="Arial" w:cs="Arial"/>
                <w:bCs/>
                <w:color w:val="000000"/>
                <w:szCs w:val="20"/>
              </w:rPr>
              <w:t xml:space="preserve"> Word Recognition</w:t>
            </w:r>
            <w:r>
              <w:rPr>
                <w:rFonts w:ascii="Arial" w:eastAsia="Times New Roman" w:hAnsi="Arial" w:cs="Arial"/>
                <w:bCs/>
                <w:color w:val="000000"/>
                <w:szCs w:val="20"/>
              </w:rPr>
              <w:t>—</w:t>
            </w:r>
            <w:r w:rsidRPr="003F751B">
              <w:rPr>
                <w:rFonts w:ascii="Arial" w:eastAsia="Times New Roman" w:hAnsi="Arial" w:cs="Arial"/>
                <w:bCs/>
                <w:color w:val="000000"/>
                <w:szCs w:val="20"/>
              </w:rPr>
              <w:t>score</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7095D485"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4EA8C8A6"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08C1BBE2"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0B518A3F"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mmdate</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52314EC1"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What is today's date?</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48A720F9"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370D4D6C"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3C265A20"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265C64F4"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mmyear</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4199AAA0"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What is the year?</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3F3388A1"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6A9AC1DF"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14600646"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42DD5D55"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mmmonth</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41525EAB"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What is the month?</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1006A954"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5A605A93"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4E0C775B"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4F4BB4C0"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mmday</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266209A9"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What day of the week is today?</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1A195F0E"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798BC890"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3D7FA5F9"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650F22DD"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mmseason</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10B95739"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What season is it?</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3153DE81"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0D1B10F9"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029A2404"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6E646FE9"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mmhospit</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1E264246"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What is the name of this hospital (clinic, place)?</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3CC92EF4"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2F3D413E"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6266DB20"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1EF13D15"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mmfloor</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27C11C08"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What floor are we on?</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365D2ABC"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001B6605"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5BFCC449"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0B02F96B"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mmcity</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0C2729A2"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What town or city are we in?</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5574E253"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606288A2" w14:textId="77777777" w:rsidTr="00C977CD">
        <w:trPr>
          <w:trHeight w:val="285"/>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36257574"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5617C05A"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mmarea</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683B236B"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What county (district, borough, area) are we in?</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3FCAC133"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46C57C7E"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3F209727"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60538703"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mmstate</w:t>
            </w:r>
            <w:proofErr w:type="spellEnd"/>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7F6F61BE"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What state are we in?</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6F05A630"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77416D21"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2145CDC2"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0DF3591B"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bft1</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4BAE1B2D"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Ball</w:t>
            </w:r>
            <w:r>
              <w:rPr>
                <w:rFonts w:ascii="Arial" w:eastAsia="Times New Roman" w:hAnsi="Arial" w:cs="Arial"/>
                <w:bCs/>
                <w:color w:val="000000"/>
                <w:szCs w:val="20"/>
              </w:rPr>
              <w:t>, flag, tree—immediate recall (collapsed)</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71557A4A"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2089AAE5"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F7CAAC" w:themeFill="accent2" w:themeFillTint="66"/>
            <w:noWrap/>
            <w:vAlign w:val="center"/>
            <w:hideMark/>
          </w:tcPr>
          <w:p w14:paraId="24047BC2"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lastRenderedPageBreak/>
              <w:t>ADNI</w:t>
            </w:r>
          </w:p>
        </w:tc>
        <w:tc>
          <w:tcPr>
            <w:tcW w:w="801" w:type="pct"/>
            <w:tcBorders>
              <w:top w:val="nil"/>
              <w:left w:val="nil"/>
              <w:bottom w:val="single" w:sz="4" w:space="0" w:color="auto"/>
              <w:right w:val="single" w:sz="4" w:space="0" w:color="auto"/>
            </w:tcBorders>
            <w:shd w:val="clear" w:color="auto" w:fill="F7CAAC" w:themeFill="accent2" w:themeFillTint="66"/>
            <w:vAlign w:val="center"/>
            <w:hideMark/>
          </w:tcPr>
          <w:p w14:paraId="5B0C8330"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bft2</w:t>
            </w:r>
          </w:p>
        </w:tc>
        <w:tc>
          <w:tcPr>
            <w:tcW w:w="2408" w:type="pct"/>
            <w:tcBorders>
              <w:top w:val="nil"/>
              <w:left w:val="nil"/>
              <w:bottom w:val="single" w:sz="4" w:space="0" w:color="auto"/>
              <w:right w:val="single" w:sz="4" w:space="0" w:color="auto"/>
            </w:tcBorders>
            <w:shd w:val="clear" w:color="auto" w:fill="F7CAAC" w:themeFill="accent2" w:themeFillTint="66"/>
            <w:vAlign w:val="center"/>
            <w:hideMark/>
          </w:tcPr>
          <w:p w14:paraId="0A11ADBF"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3F751B">
              <w:rPr>
                <w:rFonts w:ascii="Arial" w:eastAsia="Times New Roman" w:hAnsi="Arial" w:cs="Arial"/>
                <w:bCs/>
                <w:color w:val="000000"/>
                <w:szCs w:val="20"/>
              </w:rPr>
              <w:t>Ball</w:t>
            </w:r>
            <w:r>
              <w:rPr>
                <w:rFonts w:ascii="Arial" w:eastAsia="Times New Roman" w:hAnsi="Arial" w:cs="Arial"/>
                <w:bCs/>
                <w:color w:val="000000"/>
                <w:szCs w:val="20"/>
              </w:rPr>
              <w:t>, flag, tree—delayed recall (collapsed)</w:t>
            </w:r>
          </w:p>
        </w:tc>
        <w:tc>
          <w:tcPr>
            <w:tcW w:w="1322" w:type="pct"/>
            <w:tcBorders>
              <w:top w:val="nil"/>
              <w:left w:val="nil"/>
              <w:bottom w:val="single" w:sz="4" w:space="0" w:color="auto"/>
              <w:right w:val="single" w:sz="4" w:space="0" w:color="auto"/>
            </w:tcBorders>
            <w:shd w:val="clear" w:color="auto" w:fill="F7CAAC" w:themeFill="accent2" w:themeFillTint="66"/>
            <w:noWrap/>
            <w:vAlign w:val="center"/>
          </w:tcPr>
          <w:p w14:paraId="63431BAD"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7D579F55"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5C6DCE02"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8EAADB" w:themeFill="accent1" w:themeFillTint="99"/>
            <w:noWrap/>
            <w:vAlign w:val="bottom"/>
            <w:hideMark/>
          </w:tcPr>
          <w:p w14:paraId="7B85131E" w14:textId="77777777" w:rsidR="00221D86" w:rsidRPr="003F751B" w:rsidRDefault="00221D86" w:rsidP="00C977CD">
            <w:pPr>
              <w:spacing w:line="240" w:lineRule="auto"/>
              <w:rPr>
                <w:rFonts w:ascii="Arial" w:eastAsia="Times New Roman" w:hAnsi="Arial" w:cs="Arial"/>
                <w:bCs/>
                <w:color w:val="000000"/>
                <w:szCs w:val="20"/>
              </w:rPr>
            </w:pPr>
            <w:proofErr w:type="spellStart"/>
            <w:r>
              <w:rPr>
                <w:rFonts w:ascii="Arial" w:eastAsia="Times New Roman" w:hAnsi="Arial" w:cs="Arial"/>
                <w:bCs/>
                <w:color w:val="000000"/>
                <w:szCs w:val="20"/>
              </w:rPr>
              <w:t>mocaregi</w:t>
            </w:r>
            <w:proofErr w:type="spellEnd"/>
          </w:p>
        </w:tc>
        <w:tc>
          <w:tcPr>
            <w:tcW w:w="2408" w:type="pct"/>
            <w:tcBorders>
              <w:top w:val="nil"/>
              <w:left w:val="nil"/>
              <w:bottom w:val="single" w:sz="4" w:space="0" w:color="auto"/>
              <w:right w:val="single" w:sz="4" w:space="0" w:color="auto"/>
            </w:tcBorders>
            <w:shd w:val="clear" w:color="auto" w:fill="8EAADB" w:themeFill="accent1" w:themeFillTint="99"/>
            <w:noWrap/>
            <w:vAlign w:val="bottom"/>
            <w:hideMark/>
          </w:tcPr>
          <w:p w14:paraId="3B3B516C"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MoCA: registration, sum of two trials</w:t>
            </w:r>
          </w:p>
        </w:tc>
        <w:tc>
          <w:tcPr>
            <w:tcW w:w="1322" w:type="pct"/>
            <w:tcBorders>
              <w:top w:val="nil"/>
              <w:left w:val="nil"/>
              <w:bottom w:val="single" w:sz="4" w:space="0" w:color="auto"/>
              <w:right w:val="single" w:sz="4" w:space="0" w:color="auto"/>
            </w:tcBorders>
            <w:shd w:val="clear" w:color="auto" w:fill="8EAADB" w:themeFill="accent1" w:themeFillTint="99"/>
            <w:noWrap/>
          </w:tcPr>
          <w:p w14:paraId="6DAF68E2" w14:textId="77777777" w:rsidR="00221D86" w:rsidRPr="003F751B" w:rsidRDefault="00221D86" w:rsidP="00C977CD">
            <w:pPr>
              <w:spacing w:line="240" w:lineRule="auto"/>
              <w:jc w:val="center"/>
              <w:rPr>
                <w:rFonts w:ascii="Arial" w:eastAsia="Times New Roman" w:hAnsi="Arial" w:cs="Arial"/>
                <w:bCs/>
                <w:color w:val="000000"/>
                <w:szCs w:val="20"/>
              </w:rPr>
            </w:pPr>
          </w:p>
        </w:tc>
      </w:tr>
      <w:tr w:rsidR="00221D86" w:rsidRPr="003F751B" w14:paraId="600DF17E" w14:textId="77777777" w:rsidTr="00C977CD">
        <w:trPr>
          <w:trHeight w:val="300"/>
        </w:trPr>
        <w:tc>
          <w:tcPr>
            <w:tcW w:w="469" w:type="pct"/>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25887C30" w14:textId="77777777" w:rsidR="00221D86" w:rsidRPr="003F751B" w:rsidRDefault="00221D86" w:rsidP="00C977CD">
            <w:pPr>
              <w:spacing w:line="240" w:lineRule="auto"/>
              <w:jc w:val="center"/>
              <w:rPr>
                <w:rFonts w:ascii="Arial" w:eastAsia="Times New Roman" w:hAnsi="Arial" w:cs="Arial"/>
                <w:bCs/>
                <w:color w:val="000000"/>
                <w:szCs w:val="20"/>
              </w:rPr>
            </w:pPr>
            <w:r w:rsidRPr="003F751B">
              <w:rPr>
                <w:rFonts w:ascii="Arial" w:eastAsia="Times New Roman" w:hAnsi="Arial" w:cs="Arial"/>
                <w:bCs/>
                <w:color w:val="000000"/>
                <w:szCs w:val="20"/>
              </w:rPr>
              <w:t>ADNI</w:t>
            </w:r>
          </w:p>
        </w:tc>
        <w:tc>
          <w:tcPr>
            <w:tcW w:w="801" w:type="pct"/>
            <w:tcBorders>
              <w:top w:val="nil"/>
              <w:left w:val="nil"/>
              <w:bottom w:val="single" w:sz="4" w:space="0" w:color="auto"/>
              <w:right w:val="single" w:sz="4" w:space="0" w:color="auto"/>
            </w:tcBorders>
            <w:shd w:val="clear" w:color="auto" w:fill="8EAADB" w:themeFill="accent1" w:themeFillTint="99"/>
            <w:noWrap/>
            <w:vAlign w:val="bottom"/>
            <w:hideMark/>
          </w:tcPr>
          <w:p w14:paraId="0010FE1B" w14:textId="77777777" w:rsidR="00221D86" w:rsidRPr="003F751B" w:rsidRDefault="00221D86" w:rsidP="00C977CD">
            <w:pPr>
              <w:spacing w:line="240" w:lineRule="auto"/>
              <w:rPr>
                <w:rFonts w:ascii="Arial" w:eastAsia="Times New Roman" w:hAnsi="Arial" w:cs="Arial"/>
                <w:bCs/>
                <w:color w:val="000000"/>
                <w:szCs w:val="20"/>
              </w:rPr>
            </w:pPr>
            <w:proofErr w:type="spellStart"/>
            <w:r w:rsidRPr="003F751B">
              <w:rPr>
                <w:rFonts w:ascii="Arial" w:eastAsia="Times New Roman" w:hAnsi="Arial" w:cs="Arial"/>
                <w:bCs/>
                <w:color w:val="000000"/>
                <w:szCs w:val="20"/>
              </w:rPr>
              <w:t>delsum</w:t>
            </w:r>
            <w:proofErr w:type="spellEnd"/>
          </w:p>
        </w:tc>
        <w:tc>
          <w:tcPr>
            <w:tcW w:w="2408" w:type="pct"/>
            <w:tcBorders>
              <w:top w:val="nil"/>
              <w:left w:val="nil"/>
              <w:bottom w:val="single" w:sz="4" w:space="0" w:color="auto"/>
              <w:right w:val="single" w:sz="4" w:space="0" w:color="auto"/>
            </w:tcBorders>
            <w:shd w:val="clear" w:color="auto" w:fill="8EAADB" w:themeFill="accent1" w:themeFillTint="99"/>
            <w:noWrap/>
            <w:vAlign w:val="bottom"/>
            <w:hideMark/>
          </w:tcPr>
          <w:p w14:paraId="26F0FBEC" w14:textId="77777777" w:rsidR="00221D86" w:rsidRPr="003F751B"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MoCA: delayed recall of word</w:t>
            </w:r>
            <w:r w:rsidRPr="003F751B">
              <w:rPr>
                <w:rFonts w:ascii="Arial" w:eastAsia="Times New Roman" w:hAnsi="Arial" w:cs="Arial"/>
                <w:bCs/>
                <w:color w:val="000000"/>
                <w:szCs w:val="20"/>
              </w:rPr>
              <w:t xml:space="preserve"> list</w:t>
            </w:r>
          </w:p>
        </w:tc>
        <w:tc>
          <w:tcPr>
            <w:tcW w:w="1322" w:type="pct"/>
            <w:tcBorders>
              <w:top w:val="nil"/>
              <w:left w:val="nil"/>
              <w:bottom w:val="single" w:sz="4" w:space="0" w:color="auto"/>
              <w:right w:val="single" w:sz="4" w:space="0" w:color="auto"/>
            </w:tcBorders>
            <w:shd w:val="clear" w:color="auto" w:fill="8EAADB" w:themeFill="accent1" w:themeFillTint="99"/>
            <w:noWrap/>
            <w:vAlign w:val="bottom"/>
          </w:tcPr>
          <w:p w14:paraId="05FD435D" w14:textId="77777777" w:rsidR="00221D86" w:rsidRPr="003F751B" w:rsidRDefault="00221D86" w:rsidP="00C977CD">
            <w:pPr>
              <w:spacing w:line="240" w:lineRule="auto"/>
              <w:jc w:val="center"/>
              <w:rPr>
                <w:rFonts w:ascii="Arial" w:eastAsia="Times New Roman" w:hAnsi="Arial" w:cs="Arial"/>
                <w:bCs/>
                <w:color w:val="000000"/>
                <w:szCs w:val="20"/>
              </w:rPr>
            </w:pPr>
          </w:p>
        </w:tc>
      </w:tr>
    </w:tbl>
    <w:p w14:paraId="11F65D25" w14:textId="77777777" w:rsidR="00221D86" w:rsidRPr="00817BD2" w:rsidRDefault="00221D86" w:rsidP="00221D86">
      <w:pPr>
        <w:spacing w:before="240"/>
        <w:rPr>
          <w:rFonts w:ascii="Arial" w:hAnsi="Arial" w:cs="Arial"/>
        </w:rPr>
      </w:pPr>
      <w:r w:rsidRPr="00817BD2">
        <w:rPr>
          <w:rFonts w:ascii="Arial" w:hAnsi="Arial" w:cs="Arial"/>
        </w:rPr>
        <w:t>* MoCA (blue) items were only administered in ADNI GO/2</w:t>
      </w:r>
      <w:r>
        <w:rPr>
          <w:rFonts w:ascii="Arial" w:hAnsi="Arial" w:cs="Arial"/>
        </w:rPr>
        <w:t>/3</w:t>
      </w:r>
      <w:r w:rsidRPr="00817BD2">
        <w:rPr>
          <w:rFonts w:ascii="Arial" w:hAnsi="Arial" w:cs="Arial"/>
        </w:rPr>
        <w:t xml:space="preserve"> while orange items were in all ADNI waves (1/GO/2).</w:t>
      </w:r>
    </w:p>
    <w:p w14:paraId="02985BFC" w14:textId="77777777" w:rsidR="00221D86" w:rsidRDefault="00221D86">
      <w:pPr>
        <w:spacing w:before="0" w:line="240" w:lineRule="auto"/>
        <w:rPr>
          <w:rFonts w:ascii="Arial" w:hAnsi="Arial" w:cs="Arial"/>
          <w:b/>
        </w:rPr>
      </w:pPr>
      <w:r>
        <w:br w:type="page"/>
      </w:r>
    </w:p>
    <w:p w14:paraId="76B3418A" w14:textId="7FA94E43" w:rsidR="001A7515" w:rsidRDefault="001A7515" w:rsidP="001A7515">
      <w:pPr>
        <w:pStyle w:val="Study"/>
        <w:numPr>
          <w:ilvl w:val="0"/>
          <w:numId w:val="0"/>
        </w:numPr>
        <w:ind w:left="216"/>
        <w:rPr>
          <w:sz w:val="22"/>
          <w:szCs w:val="22"/>
        </w:rPr>
      </w:pPr>
      <w:r>
        <w:rPr>
          <w:sz w:val="22"/>
          <w:szCs w:val="22"/>
        </w:rPr>
        <w:lastRenderedPageBreak/>
        <w:t>Supplement 2. Executive Functioning.</w:t>
      </w:r>
    </w:p>
    <w:p w14:paraId="1CEFB434" w14:textId="77777777" w:rsidR="001A7515" w:rsidRPr="001A7515" w:rsidRDefault="001A7515" w:rsidP="001A7515">
      <w:pPr>
        <w:pStyle w:val="Study"/>
        <w:numPr>
          <w:ilvl w:val="0"/>
          <w:numId w:val="0"/>
        </w:numPr>
        <w:ind w:left="216"/>
        <w:rPr>
          <w:b w:val="0"/>
          <w:bCs w:val="0"/>
        </w:rPr>
      </w:pPr>
    </w:p>
    <w:p w14:paraId="2A0D94C9" w14:textId="194C1F98" w:rsidR="00221D86" w:rsidRPr="00AA57DF" w:rsidRDefault="00221D86" w:rsidP="001A7515">
      <w:pPr>
        <w:pStyle w:val="Study"/>
        <w:numPr>
          <w:ilvl w:val="0"/>
          <w:numId w:val="0"/>
        </w:numPr>
        <w:ind w:left="216"/>
        <w:rPr>
          <w:b w:val="0"/>
          <w:bCs w:val="0"/>
        </w:rPr>
      </w:pPr>
      <w:r w:rsidRPr="00AA57DF">
        <w:rPr>
          <w:b w:val="0"/>
          <w:bCs w:val="0"/>
        </w:rPr>
        <w:t>Final models w</w:t>
      </w:r>
      <w:r w:rsidR="001A7515">
        <w:rPr>
          <w:b w:val="0"/>
          <w:bCs w:val="0"/>
        </w:rPr>
        <w:t>ere</w:t>
      </w:r>
      <w:r w:rsidRPr="00AA57DF">
        <w:rPr>
          <w:b w:val="0"/>
          <w:bCs w:val="0"/>
        </w:rPr>
        <w:t xml:space="preserve"> data driven bifactor model</w:t>
      </w:r>
      <w:r w:rsidR="001A7515">
        <w:rPr>
          <w:b w:val="0"/>
          <w:bCs w:val="0"/>
        </w:rPr>
        <w:t>s</w:t>
      </w:r>
      <w:r w:rsidRPr="00AA57DF">
        <w:rPr>
          <w:b w:val="0"/>
          <w:bCs w:val="0"/>
        </w:rPr>
        <w:t xml:space="preserve"> in ADNI 1 (CFI = 0</w:t>
      </w:r>
      <w:r w:rsidRPr="00AA57DF">
        <w:rPr>
          <w:rFonts w:eastAsia="Times New Roman"/>
          <w:b w:val="0"/>
          <w:bCs w:val="0"/>
        </w:rPr>
        <w:t>.</w:t>
      </w:r>
      <w:r w:rsidRPr="00AA57DF">
        <w:rPr>
          <w:b w:val="0"/>
          <w:bCs w:val="0"/>
        </w:rPr>
        <w:t>993, TLI = 0</w:t>
      </w:r>
      <w:r w:rsidRPr="00AA57DF">
        <w:rPr>
          <w:rFonts w:eastAsia="Times New Roman"/>
          <w:b w:val="0"/>
          <w:bCs w:val="0"/>
        </w:rPr>
        <w:t>.</w:t>
      </w:r>
      <w:r w:rsidRPr="00AA57DF">
        <w:rPr>
          <w:b w:val="0"/>
          <w:bCs w:val="0"/>
        </w:rPr>
        <w:t>990, and RMSEA = 0</w:t>
      </w:r>
      <w:r w:rsidRPr="00AA57DF">
        <w:rPr>
          <w:rFonts w:eastAsia="Times New Roman"/>
          <w:b w:val="0"/>
          <w:bCs w:val="0"/>
        </w:rPr>
        <w:t>.</w:t>
      </w:r>
      <w:r w:rsidRPr="00AA57DF">
        <w:rPr>
          <w:b w:val="0"/>
          <w:bCs w:val="0"/>
        </w:rPr>
        <w:t>050) and ADNI GO/2/3 (CFI = 0</w:t>
      </w:r>
      <w:r w:rsidRPr="00AA57DF">
        <w:rPr>
          <w:rFonts w:eastAsia="Times New Roman"/>
          <w:b w:val="0"/>
          <w:bCs w:val="0"/>
        </w:rPr>
        <w:t>.</w:t>
      </w:r>
      <w:r w:rsidRPr="00AA57DF">
        <w:rPr>
          <w:b w:val="0"/>
          <w:bCs w:val="0"/>
        </w:rPr>
        <w:t>972, TLI = 0</w:t>
      </w:r>
      <w:r w:rsidRPr="00AA57DF">
        <w:rPr>
          <w:rFonts w:eastAsia="Times New Roman"/>
          <w:b w:val="0"/>
          <w:bCs w:val="0"/>
        </w:rPr>
        <w:t>.</w:t>
      </w:r>
      <w:r w:rsidRPr="00AA57DF">
        <w:rPr>
          <w:b w:val="0"/>
          <w:bCs w:val="0"/>
        </w:rPr>
        <w:t>967, and RMSEA = 0</w:t>
      </w:r>
      <w:r w:rsidRPr="00AA57DF">
        <w:rPr>
          <w:rFonts w:eastAsia="Times New Roman"/>
          <w:b w:val="0"/>
          <w:bCs w:val="0"/>
        </w:rPr>
        <w:t>.</w:t>
      </w:r>
      <w:r w:rsidRPr="00AA57DF">
        <w:rPr>
          <w:b w:val="0"/>
          <w:bCs w:val="0"/>
        </w:rPr>
        <w:t>045). The following items were included in the CFA analysis:</w:t>
      </w:r>
    </w:p>
    <w:p w14:paraId="47A7EA51" w14:textId="72CA94C0" w:rsidR="00221D86" w:rsidRPr="00547F77" w:rsidRDefault="00221D86" w:rsidP="00221D86">
      <w:pPr>
        <w:pStyle w:val="SupTableHead"/>
      </w:pPr>
      <w:r>
        <w:t>Supplemental Table</w:t>
      </w:r>
      <w:r w:rsidRPr="00547F77">
        <w:t xml:space="preserve"> </w:t>
      </w:r>
      <w:r w:rsidR="001A7515">
        <w:t>2</w:t>
      </w:r>
      <w:r w:rsidRPr="00547F77">
        <w:t xml:space="preserve">. Items and secondary structure for </w:t>
      </w:r>
      <w:r>
        <w:t xml:space="preserve">executive functioning for </w:t>
      </w:r>
      <w:r w:rsidRPr="00547F77">
        <w:t>the A</w:t>
      </w:r>
      <w:r>
        <w:t>DNI</w:t>
      </w:r>
      <w:r w:rsidRPr="00547F77">
        <w:t xml:space="preserve"> study</w:t>
      </w:r>
    </w:p>
    <w:tbl>
      <w:tblPr>
        <w:tblW w:w="8460" w:type="dxa"/>
        <w:tblInd w:w="-5" w:type="dxa"/>
        <w:tblLayout w:type="fixed"/>
        <w:tblLook w:val="04A0" w:firstRow="1" w:lastRow="0" w:firstColumn="1" w:lastColumn="0" w:noHBand="0" w:noVBand="1"/>
      </w:tblPr>
      <w:tblGrid>
        <w:gridCol w:w="921"/>
        <w:gridCol w:w="1329"/>
        <w:gridCol w:w="3960"/>
        <w:gridCol w:w="2250"/>
      </w:tblGrid>
      <w:tr w:rsidR="00221D86" w:rsidRPr="00817BD2" w14:paraId="182CA391" w14:textId="77777777" w:rsidTr="00C977CD">
        <w:trPr>
          <w:trHeight w:val="300"/>
        </w:trPr>
        <w:tc>
          <w:tcPr>
            <w:tcW w:w="921"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hideMark/>
          </w:tcPr>
          <w:p w14:paraId="0FD4F946" w14:textId="77777777" w:rsidR="00221D86" w:rsidRPr="00547F77" w:rsidRDefault="00221D86" w:rsidP="00C977CD">
            <w:pPr>
              <w:spacing w:line="240" w:lineRule="auto"/>
              <w:jc w:val="center"/>
              <w:rPr>
                <w:rFonts w:ascii="Arial" w:eastAsia="Times New Roman" w:hAnsi="Arial" w:cs="Arial"/>
                <w:b/>
                <w:bCs/>
                <w:color w:val="FFFFFF" w:themeColor="background1"/>
                <w:szCs w:val="20"/>
              </w:rPr>
            </w:pPr>
            <w:r w:rsidRPr="00547F77">
              <w:rPr>
                <w:rFonts w:ascii="Arial" w:eastAsia="Times New Roman" w:hAnsi="Arial" w:cs="Arial"/>
                <w:b/>
                <w:bCs/>
                <w:color w:val="FFFFFF" w:themeColor="background1"/>
                <w:szCs w:val="20"/>
              </w:rPr>
              <w:t>Study</w:t>
            </w:r>
          </w:p>
        </w:tc>
        <w:tc>
          <w:tcPr>
            <w:tcW w:w="1329"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786BAFB8" w14:textId="77777777" w:rsidR="00221D86" w:rsidRPr="00547F77" w:rsidRDefault="00221D86" w:rsidP="00C977CD">
            <w:pPr>
              <w:spacing w:line="240" w:lineRule="auto"/>
              <w:jc w:val="center"/>
              <w:rPr>
                <w:rFonts w:ascii="Arial" w:eastAsia="Times New Roman" w:hAnsi="Arial" w:cs="Arial"/>
                <w:b/>
                <w:bCs/>
                <w:color w:val="FFFFFF" w:themeColor="background1"/>
                <w:szCs w:val="20"/>
              </w:rPr>
            </w:pPr>
            <w:r w:rsidRPr="00547F77">
              <w:rPr>
                <w:rFonts w:ascii="Arial" w:eastAsia="Times New Roman" w:hAnsi="Arial" w:cs="Arial"/>
                <w:b/>
                <w:bCs/>
                <w:color w:val="FFFFFF" w:themeColor="background1"/>
                <w:szCs w:val="20"/>
              </w:rPr>
              <w:t>Variable</w:t>
            </w:r>
          </w:p>
        </w:tc>
        <w:tc>
          <w:tcPr>
            <w:tcW w:w="3960"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56411603" w14:textId="77777777" w:rsidR="00221D86" w:rsidRPr="00547F77" w:rsidRDefault="00221D86" w:rsidP="00C977CD">
            <w:pPr>
              <w:spacing w:line="240" w:lineRule="auto"/>
              <w:jc w:val="center"/>
              <w:rPr>
                <w:rFonts w:ascii="Arial" w:eastAsia="Times New Roman" w:hAnsi="Arial" w:cs="Arial"/>
                <w:b/>
                <w:bCs/>
                <w:color w:val="FFFFFF" w:themeColor="background1"/>
                <w:szCs w:val="20"/>
              </w:rPr>
            </w:pPr>
            <w:r w:rsidRPr="00547F77">
              <w:rPr>
                <w:rFonts w:ascii="Arial" w:eastAsia="Times New Roman" w:hAnsi="Arial" w:cs="Arial"/>
                <w:b/>
                <w:bCs/>
                <w:color w:val="FFFFFF" w:themeColor="background1"/>
                <w:szCs w:val="20"/>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hideMark/>
          </w:tcPr>
          <w:p w14:paraId="19F647C9" w14:textId="77777777" w:rsidR="00221D86" w:rsidRPr="00547F77" w:rsidRDefault="00221D86" w:rsidP="00C977CD">
            <w:pPr>
              <w:spacing w:line="240" w:lineRule="auto"/>
              <w:jc w:val="center"/>
              <w:rPr>
                <w:rFonts w:ascii="Arial" w:eastAsia="Times New Roman" w:hAnsi="Arial" w:cs="Arial"/>
                <w:b/>
                <w:bCs/>
                <w:color w:val="FFFFFF" w:themeColor="background1"/>
                <w:szCs w:val="20"/>
              </w:rPr>
            </w:pPr>
            <w:r w:rsidRPr="00547F77">
              <w:rPr>
                <w:rFonts w:ascii="Arial" w:eastAsia="Times New Roman" w:hAnsi="Arial" w:cs="Arial"/>
                <w:b/>
                <w:bCs/>
                <w:color w:val="FFFFFF" w:themeColor="background1"/>
                <w:szCs w:val="20"/>
              </w:rPr>
              <w:t>Secondary Structure</w:t>
            </w:r>
          </w:p>
        </w:tc>
      </w:tr>
      <w:tr w:rsidR="00221D86" w:rsidRPr="00817BD2" w14:paraId="36003300" w14:textId="77777777" w:rsidTr="00C977CD">
        <w:trPr>
          <w:trHeight w:val="330"/>
        </w:trPr>
        <w:tc>
          <w:tcPr>
            <w:tcW w:w="921" w:type="dxa"/>
            <w:tcBorders>
              <w:top w:val="nil"/>
              <w:left w:val="single" w:sz="4" w:space="0" w:color="auto"/>
              <w:bottom w:val="single" w:sz="4" w:space="0" w:color="auto"/>
              <w:right w:val="single" w:sz="4" w:space="0" w:color="auto"/>
            </w:tcBorders>
            <w:shd w:val="clear" w:color="000000" w:fill="A5A5A5"/>
            <w:noWrap/>
            <w:vAlign w:val="center"/>
            <w:hideMark/>
          </w:tcPr>
          <w:p w14:paraId="038BB856"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hideMark/>
          </w:tcPr>
          <w:p w14:paraId="222B79BC"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clockcirc</w:t>
            </w:r>
            <w:proofErr w:type="spellEnd"/>
          </w:p>
        </w:tc>
        <w:tc>
          <w:tcPr>
            <w:tcW w:w="3960" w:type="dxa"/>
            <w:tcBorders>
              <w:top w:val="nil"/>
              <w:left w:val="nil"/>
              <w:bottom w:val="single" w:sz="4" w:space="0" w:color="auto"/>
              <w:right w:val="single" w:sz="4" w:space="0" w:color="auto"/>
            </w:tcBorders>
            <w:shd w:val="clear" w:color="000000" w:fill="A5A5A5"/>
            <w:vAlign w:val="center"/>
            <w:hideMark/>
          </w:tcPr>
          <w:p w14:paraId="78E9E780" w14:textId="77777777" w:rsidR="00221D86" w:rsidRPr="00547F77" w:rsidRDefault="00221D86" w:rsidP="00C977CD">
            <w:pPr>
              <w:spacing w:line="240" w:lineRule="auto"/>
              <w:rPr>
                <w:rFonts w:ascii="Arial" w:eastAsia="Times New Roman" w:hAnsi="Arial" w:cs="Arial"/>
                <w:bCs/>
                <w:color w:val="000000"/>
                <w:szCs w:val="20"/>
              </w:rPr>
            </w:pPr>
            <w:r w:rsidRPr="00547F77">
              <w:rPr>
                <w:rFonts w:ascii="Arial" w:eastAsia="Times New Roman" w:hAnsi="Arial" w:cs="Arial"/>
                <w:bCs/>
                <w:color w:val="000000"/>
                <w:szCs w:val="20"/>
              </w:rPr>
              <w:t>Approximately circular face</w:t>
            </w:r>
          </w:p>
        </w:tc>
        <w:tc>
          <w:tcPr>
            <w:tcW w:w="2250" w:type="dxa"/>
            <w:tcBorders>
              <w:top w:val="nil"/>
              <w:left w:val="single" w:sz="4" w:space="0" w:color="auto"/>
              <w:bottom w:val="single" w:sz="4" w:space="0" w:color="auto"/>
              <w:right w:val="single" w:sz="4" w:space="0" w:color="auto"/>
            </w:tcBorders>
            <w:shd w:val="clear" w:color="000000" w:fill="A5A5A5"/>
            <w:noWrap/>
            <w:vAlign w:val="center"/>
          </w:tcPr>
          <w:p w14:paraId="40632145"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54169A6C"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A5A5A5"/>
            <w:noWrap/>
            <w:vAlign w:val="center"/>
            <w:hideMark/>
          </w:tcPr>
          <w:p w14:paraId="40B16629"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hideMark/>
          </w:tcPr>
          <w:p w14:paraId="70A90098"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clocksym</w:t>
            </w:r>
            <w:proofErr w:type="spellEnd"/>
          </w:p>
        </w:tc>
        <w:tc>
          <w:tcPr>
            <w:tcW w:w="3960" w:type="dxa"/>
            <w:tcBorders>
              <w:top w:val="nil"/>
              <w:left w:val="nil"/>
              <w:bottom w:val="single" w:sz="4" w:space="0" w:color="auto"/>
              <w:right w:val="single" w:sz="4" w:space="0" w:color="auto"/>
            </w:tcBorders>
            <w:shd w:val="clear" w:color="000000" w:fill="A5A5A5"/>
            <w:vAlign w:val="center"/>
            <w:hideMark/>
          </w:tcPr>
          <w:p w14:paraId="1E88AEEC" w14:textId="77777777" w:rsidR="00221D86" w:rsidRPr="00547F77" w:rsidRDefault="00221D86" w:rsidP="00C977CD">
            <w:pPr>
              <w:spacing w:line="240" w:lineRule="auto"/>
              <w:rPr>
                <w:rFonts w:ascii="Arial" w:eastAsia="Times New Roman" w:hAnsi="Arial" w:cs="Arial"/>
                <w:bCs/>
                <w:color w:val="000000"/>
                <w:szCs w:val="20"/>
              </w:rPr>
            </w:pPr>
            <w:r w:rsidRPr="00547F77">
              <w:rPr>
                <w:rFonts w:ascii="Arial" w:eastAsia="Times New Roman" w:hAnsi="Arial" w:cs="Arial"/>
                <w:bCs/>
                <w:color w:val="000000"/>
                <w:szCs w:val="20"/>
              </w:rPr>
              <w:t>Symmetry of number placement</w:t>
            </w:r>
          </w:p>
        </w:tc>
        <w:tc>
          <w:tcPr>
            <w:tcW w:w="2250" w:type="dxa"/>
            <w:tcBorders>
              <w:top w:val="nil"/>
              <w:left w:val="single" w:sz="4" w:space="0" w:color="auto"/>
              <w:bottom w:val="single" w:sz="4" w:space="0" w:color="auto"/>
              <w:right w:val="single" w:sz="4" w:space="0" w:color="auto"/>
            </w:tcBorders>
            <w:shd w:val="clear" w:color="000000" w:fill="A5A5A5"/>
            <w:noWrap/>
            <w:vAlign w:val="center"/>
          </w:tcPr>
          <w:p w14:paraId="7CAB5631"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42612285"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A5A5A5"/>
            <w:noWrap/>
            <w:vAlign w:val="center"/>
            <w:hideMark/>
          </w:tcPr>
          <w:p w14:paraId="022F0E8F"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hideMark/>
          </w:tcPr>
          <w:p w14:paraId="624E37F3"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clocknum</w:t>
            </w:r>
            <w:proofErr w:type="spellEnd"/>
          </w:p>
        </w:tc>
        <w:tc>
          <w:tcPr>
            <w:tcW w:w="3960" w:type="dxa"/>
            <w:tcBorders>
              <w:top w:val="nil"/>
              <w:left w:val="nil"/>
              <w:bottom w:val="single" w:sz="4" w:space="0" w:color="auto"/>
              <w:right w:val="single" w:sz="4" w:space="0" w:color="auto"/>
            </w:tcBorders>
            <w:shd w:val="clear" w:color="000000" w:fill="A5A5A5"/>
            <w:vAlign w:val="center"/>
            <w:hideMark/>
          </w:tcPr>
          <w:p w14:paraId="6DC5415D" w14:textId="77777777" w:rsidR="00221D86" w:rsidRPr="00547F77" w:rsidRDefault="00221D86" w:rsidP="00C977CD">
            <w:pPr>
              <w:spacing w:line="240" w:lineRule="auto"/>
              <w:rPr>
                <w:rFonts w:ascii="Arial" w:eastAsia="Times New Roman" w:hAnsi="Arial" w:cs="Arial"/>
                <w:bCs/>
                <w:color w:val="000000"/>
                <w:szCs w:val="20"/>
              </w:rPr>
            </w:pPr>
            <w:r w:rsidRPr="00547F77">
              <w:rPr>
                <w:rFonts w:ascii="Arial" w:eastAsia="Times New Roman" w:hAnsi="Arial" w:cs="Arial"/>
                <w:bCs/>
                <w:color w:val="000000"/>
                <w:szCs w:val="20"/>
              </w:rPr>
              <w:t>Correctness of numbers</w:t>
            </w:r>
          </w:p>
        </w:tc>
        <w:tc>
          <w:tcPr>
            <w:tcW w:w="2250" w:type="dxa"/>
            <w:tcBorders>
              <w:top w:val="nil"/>
              <w:left w:val="single" w:sz="4" w:space="0" w:color="auto"/>
              <w:bottom w:val="single" w:sz="4" w:space="0" w:color="auto"/>
              <w:right w:val="single" w:sz="4" w:space="0" w:color="auto"/>
            </w:tcBorders>
            <w:shd w:val="clear" w:color="000000" w:fill="A5A5A5"/>
            <w:noWrap/>
            <w:vAlign w:val="center"/>
          </w:tcPr>
          <w:p w14:paraId="436986B2" w14:textId="77777777" w:rsidR="00221D86" w:rsidRPr="00547F77" w:rsidRDefault="00221D86" w:rsidP="00C977CD">
            <w:pPr>
              <w:spacing w:line="240" w:lineRule="auto"/>
              <w:rPr>
                <w:rFonts w:ascii="Arial" w:eastAsia="Times New Roman" w:hAnsi="Arial" w:cs="Arial"/>
                <w:bCs/>
                <w:color w:val="000000"/>
                <w:szCs w:val="20"/>
              </w:rPr>
            </w:pPr>
          </w:p>
        </w:tc>
      </w:tr>
      <w:tr w:rsidR="00221D86" w:rsidRPr="00817BD2" w14:paraId="44B792E2"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A5A5A5"/>
            <w:noWrap/>
            <w:vAlign w:val="center"/>
            <w:hideMark/>
          </w:tcPr>
          <w:p w14:paraId="23762993"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hideMark/>
          </w:tcPr>
          <w:p w14:paraId="0725BD67"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clockhand</w:t>
            </w:r>
            <w:proofErr w:type="spellEnd"/>
          </w:p>
        </w:tc>
        <w:tc>
          <w:tcPr>
            <w:tcW w:w="3960" w:type="dxa"/>
            <w:tcBorders>
              <w:top w:val="nil"/>
              <w:left w:val="nil"/>
              <w:bottom w:val="single" w:sz="4" w:space="0" w:color="auto"/>
              <w:right w:val="single" w:sz="4" w:space="0" w:color="auto"/>
            </w:tcBorders>
            <w:shd w:val="clear" w:color="000000" w:fill="A5A5A5"/>
            <w:vAlign w:val="center"/>
            <w:hideMark/>
          </w:tcPr>
          <w:p w14:paraId="4DDFD975" w14:textId="77777777" w:rsidR="00221D86" w:rsidRPr="00547F77" w:rsidRDefault="00221D86" w:rsidP="00C977CD">
            <w:pPr>
              <w:spacing w:line="240" w:lineRule="auto"/>
              <w:rPr>
                <w:rFonts w:ascii="Arial" w:eastAsia="Times New Roman" w:hAnsi="Arial" w:cs="Arial"/>
                <w:bCs/>
                <w:color w:val="000000"/>
                <w:szCs w:val="20"/>
              </w:rPr>
            </w:pPr>
            <w:r w:rsidRPr="00547F77">
              <w:rPr>
                <w:rFonts w:ascii="Arial" w:eastAsia="Times New Roman" w:hAnsi="Arial" w:cs="Arial"/>
                <w:bCs/>
                <w:color w:val="000000"/>
                <w:szCs w:val="20"/>
              </w:rPr>
              <w:t>Presence of the two hands</w:t>
            </w:r>
          </w:p>
        </w:tc>
        <w:tc>
          <w:tcPr>
            <w:tcW w:w="2250" w:type="dxa"/>
            <w:tcBorders>
              <w:top w:val="nil"/>
              <w:left w:val="single" w:sz="4" w:space="0" w:color="auto"/>
              <w:bottom w:val="single" w:sz="4" w:space="0" w:color="auto"/>
              <w:right w:val="single" w:sz="4" w:space="0" w:color="auto"/>
            </w:tcBorders>
            <w:shd w:val="clear" w:color="000000" w:fill="A5A5A5"/>
            <w:noWrap/>
            <w:vAlign w:val="center"/>
          </w:tcPr>
          <w:p w14:paraId="1FA62A75"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7ECCD545" w14:textId="77777777" w:rsidTr="00C977CD">
        <w:trPr>
          <w:trHeight w:val="330"/>
        </w:trPr>
        <w:tc>
          <w:tcPr>
            <w:tcW w:w="921" w:type="dxa"/>
            <w:tcBorders>
              <w:top w:val="nil"/>
              <w:left w:val="single" w:sz="4" w:space="0" w:color="auto"/>
              <w:bottom w:val="single" w:sz="4" w:space="0" w:color="auto"/>
              <w:right w:val="single" w:sz="4" w:space="0" w:color="auto"/>
            </w:tcBorders>
            <w:shd w:val="clear" w:color="000000" w:fill="A5A5A5"/>
            <w:noWrap/>
            <w:vAlign w:val="center"/>
            <w:hideMark/>
          </w:tcPr>
          <w:p w14:paraId="518AD3C6"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hideMark/>
          </w:tcPr>
          <w:p w14:paraId="55EB2D71"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clocktime</w:t>
            </w:r>
            <w:proofErr w:type="spellEnd"/>
          </w:p>
        </w:tc>
        <w:tc>
          <w:tcPr>
            <w:tcW w:w="3960" w:type="dxa"/>
            <w:tcBorders>
              <w:top w:val="nil"/>
              <w:left w:val="nil"/>
              <w:bottom w:val="single" w:sz="4" w:space="0" w:color="auto"/>
              <w:right w:val="single" w:sz="4" w:space="0" w:color="auto"/>
            </w:tcBorders>
            <w:shd w:val="clear" w:color="000000" w:fill="A5A5A5"/>
            <w:vAlign w:val="center"/>
            <w:hideMark/>
          </w:tcPr>
          <w:p w14:paraId="3A3B3213" w14:textId="77777777" w:rsidR="00221D86" w:rsidRPr="00547F77" w:rsidRDefault="00221D86" w:rsidP="00C977CD">
            <w:pPr>
              <w:spacing w:line="240" w:lineRule="auto"/>
              <w:rPr>
                <w:rFonts w:ascii="Arial" w:eastAsia="Times New Roman" w:hAnsi="Arial" w:cs="Arial"/>
                <w:bCs/>
                <w:color w:val="000000"/>
                <w:szCs w:val="20"/>
              </w:rPr>
            </w:pPr>
            <w:r w:rsidRPr="00547F77">
              <w:rPr>
                <w:rFonts w:ascii="Arial" w:eastAsia="Times New Roman" w:hAnsi="Arial" w:cs="Arial"/>
                <w:bCs/>
                <w:color w:val="000000"/>
                <w:szCs w:val="20"/>
              </w:rPr>
              <w:t>Presence of the two hands, set to ten after eleven</w:t>
            </w:r>
          </w:p>
        </w:tc>
        <w:tc>
          <w:tcPr>
            <w:tcW w:w="2250" w:type="dxa"/>
            <w:tcBorders>
              <w:top w:val="nil"/>
              <w:left w:val="single" w:sz="4" w:space="0" w:color="auto"/>
              <w:bottom w:val="single" w:sz="4" w:space="0" w:color="auto"/>
              <w:right w:val="single" w:sz="4" w:space="0" w:color="auto"/>
            </w:tcBorders>
            <w:shd w:val="clear" w:color="000000" w:fill="A5A5A5"/>
            <w:noWrap/>
            <w:vAlign w:val="center"/>
          </w:tcPr>
          <w:p w14:paraId="0BFCDD92"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2B793880"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A5A5A5"/>
            <w:noWrap/>
            <w:vAlign w:val="center"/>
            <w:hideMark/>
          </w:tcPr>
          <w:p w14:paraId="131EB0DB"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hideMark/>
          </w:tcPr>
          <w:p w14:paraId="1B736D8B"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dspanbac</w:t>
            </w:r>
            <w:proofErr w:type="spellEnd"/>
          </w:p>
        </w:tc>
        <w:tc>
          <w:tcPr>
            <w:tcW w:w="3960" w:type="dxa"/>
            <w:tcBorders>
              <w:top w:val="nil"/>
              <w:left w:val="nil"/>
              <w:bottom w:val="single" w:sz="4" w:space="0" w:color="auto"/>
              <w:right w:val="single" w:sz="4" w:space="0" w:color="auto"/>
            </w:tcBorders>
            <w:shd w:val="clear" w:color="000000" w:fill="A5A5A5"/>
            <w:vAlign w:val="center"/>
            <w:hideMark/>
          </w:tcPr>
          <w:p w14:paraId="363E38E0"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WAIS-R: Digit Span </w:t>
            </w:r>
            <w:r w:rsidRPr="00547F77">
              <w:rPr>
                <w:rFonts w:ascii="Arial" w:eastAsia="Times New Roman" w:hAnsi="Arial" w:cs="Arial"/>
                <w:bCs/>
                <w:color w:val="000000"/>
                <w:szCs w:val="20"/>
              </w:rPr>
              <w:t>Backward Total Correct</w:t>
            </w:r>
          </w:p>
        </w:tc>
        <w:tc>
          <w:tcPr>
            <w:tcW w:w="2250" w:type="dxa"/>
            <w:tcBorders>
              <w:top w:val="nil"/>
              <w:left w:val="single" w:sz="4" w:space="0" w:color="auto"/>
              <w:bottom w:val="single" w:sz="4" w:space="0" w:color="auto"/>
              <w:right w:val="single" w:sz="4" w:space="0" w:color="auto"/>
            </w:tcBorders>
            <w:shd w:val="clear" w:color="000000" w:fill="A5A5A5"/>
            <w:noWrap/>
            <w:vAlign w:val="center"/>
          </w:tcPr>
          <w:p w14:paraId="0C18B8E1" w14:textId="77777777" w:rsidR="00221D86" w:rsidRPr="00547F77" w:rsidRDefault="00221D86" w:rsidP="00C977CD">
            <w:pPr>
              <w:spacing w:line="240" w:lineRule="auto"/>
              <w:jc w:val="center"/>
              <w:rPr>
                <w:rFonts w:ascii="Arial" w:eastAsia="Times New Roman" w:hAnsi="Arial" w:cs="Arial"/>
                <w:bCs/>
                <w:color w:val="000000"/>
                <w:szCs w:val="20"/>
              </w:rPr>
            </w:pPr>
            <w:r>
              <w:rPr>
                <w:rFonts w:ascii="Arial" w:eastAsia="Times New Roman" w:hAnsi="Arial" w:cs="Arial"/>
                <w:bCs/>
                <w:color w:val="000000"/>
                <w:szCs w:val="20"/>
              </w:rPr>
              <w:t>F2</w:t>
            </w:r>
          </w:p>
        </w:tc>
      </w:tr>
      <w:tr w:rsidR="00221D86" w:rsidRPr="00817BD2" w14:paraId="5F3E334D"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A5A5A5"/>
            <w:noWrap/>
            <w:vAlign w:val="center"/>
            <w:hideMark/>
          </w:tcPr>
          <w:p w14:paraId="64795925"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hideMark/>
          </w:tcPr>
          <w:p w14:paraId="1E5DC7B2"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traascor</w:t>
            </w:r>
            <w:proofErr w:type="spellEnd"/>
          </w:p>
        </w:tc>
        <w:tc>
          <w:tcPr>
            <w:tcW w:w="3960" w:type="dxa"/>
            <w:tcBorders>
              <w:top w:val="nil"/>
              <w:left w:val="nil"/>
              <w:bottom w:val="single" w:sz="4" w:space="0" w:color="auto"/>
              <w:right w:val="single" w:sz="4" w:space="0" w:color="auto"/>
            </w:tcBorders>
            <w:shd w:val="clear" w:color="000000" w:fill="A5A5A5"/>
            <w:vAlign w:val="center"/>
            <w:hideMark/>
          </w:tcPr>
          <w:p w14:paraId="0EC2B6AF"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Trails</w:t>
            </w:r>
            <w:r w:rsidRPr="00547F77">
              <w:rPr>
                <w:rFonts w:ascii="Arial" w:eastAsia="Times New Roman" w:hAnsi="Arial" w:cs="Arial"/>
                <w:bCs/>
                <w:color w:val="000000"/>
                <w:szCs w:val="20"/>
              </w:rPr>
              <w:t xml:space="preserve"> A Time to Complete</w:t>
            </w:r>
          </w:p>
        </w:tc>
        <w:tc>
          <w:tcPr>
            <w:tcW w:w="2250" w:type="dxa"/>
            <w:tcBorders>
              <w:top w:val="nil"/>
              <w:left w:val="single" w:sz="4" w:space="0" w:color="auto"/>
              <w:bottom w:val="single" w:sz="4" w:space="0" w:color="auto"/>
              <w:right w:val="single" w:sz="4" w:space="0" w:color="auto"/>
            </w:tcBorders>
            <w:shd w:val="clear" w:color="000000" w:fill="A5A5A5"/>
            <w:noWrap/>
          </w:tcPr>
          <w:p w14:paraId="5EE701D5" w14:textId="77777777" w:rsidR="00221D86" w:rsidRPr="00547F77" w:rsidRDefault="00221D86" w:rsidP="00C977CD">
            <w:pPr>
              <w:spacing w:line="240" w:lineRule="auto"/>
              <w:jc w:val="center"/>
              <w:rPr>
                <w:rFonts w:ascii="Arial" w:eastAsia="Times New Roman" w:hAnsi="Arial" w:cs="Arial"/>
                <w:bCs/>
                <w:color w:val="000000"/>
                <w:szCs w:val="20"/>
              </w:rPr>
            </w:pPr>
            <w:r>
              <w:rPr>
                <w:rFonts w:ascii="Arial" w:eastAsia="Times New Roman" w:hAnsi="Arial" w:cs="Arial"/>
                <w:bCs/>
                <w:color w:val="000000"/>
                <w:szCs w:val="20"/>
              </w:rPr>
              <w:t>F1</w:t>
            </w:r>
          </w:p>
        </w:tc>
      </w:tr>
      <w:tr w:rsidR="00221D86" w:rsidRPr="00817BD2" w14:paraId="0E6CC369"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A5A5A5"/>
            <w:noWrap/>
            <w:vAlign w:val="center"/>
            <w:hideMark/>
          </w:tcPr>
          <w:p w14:paraId="7042F287"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hideMark/>
          </w:tcPr>
          <w:p w14:paraId="535F11EA"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trabscor</w:t>
            </w:r>
            <w:proofErr w:type="spellEnd"/>
          </w:p>
        </w:tc>
        <w:tc>
          <w:tcPr>
            <w:tcW w:w="3960" w:type="dxa"/>
            <w:tcBorders>
              <w:top w:val="nil"/>
              <w:left w:val="nil"/>
              <w:bottom w:val="single" w:sz="4" w:space="0" w:color="auto"/>
              <w:right w:val="single" w:sz="4" w:space="0" w:color="auto"/>
            </w:tcBorders>
            <w:shd w:val="clear" w:color="000000" w:fill="A5A5A5"/>
            <w:vAlign w:val="center"/>
            <w:hideMark/>
          </w:tcPr>
          <w:p w14:paraId="013F1501"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Trails</w:t>
            </w:r>
            <w:r w:rsidRPr="00547F77">
              <w:rPr>
                <w:rFonts w:ascii="Arial" w:eastAsia="Times New Roman" w:hAnsi="Arial" w:cs="Arial"/>
                <w:bCs/>
                <w:color w:val="000000"/>
                <w:szCs w:val="20"/>
              </w:rPr>
              <w:t xml:space="preserve"> B Time to complete</w:t>
            </w:r>
          </w:p>
        </w:tc>
        <w:tc>
          <w:tcPr>
            <w:tcW w:w="2250" w:type="dxa"/>
            <w:tcBorders>
              <w:top w:val="nil"/>
              <w:left w:val="single" w:sz="4" w:space="0" w:color="auto"/>
              <w:bottom w:val="single" w:sz="4" w:space="0" w:color="auto"/>
              <w:right w:val="single" w:sz="4" w:space="0" w:color="auto"/>
            </w:tcBorders>
            <w:shd w:val="clear" w:color="000000" w:fill="A5A5A5"/>
            <w:noWrap/>
          </w:tcPr>
          <w:p w14:paraId="6C15766A" w14:textId="77777777" w:rsidR="00221D86" w:rsidRPr="00547F77" w:rsidRDefault="00221D86" w:rsidP="00C977CD">
            <w:pPr>
              <w:spacing w:line="240" w:lineRule="auto"/>
              <w:jc w:val="center"/>
              <w:rPr>
                <w:rFonts w:ascii="Arial" w:eastAsia="Times New Roman" w:hAnsi="Arial" w:cs="Arial"/>
                <w:bCs/>
                <w:color w:val="000000"/>
                <w:szCs w:val="20"/>
              </w:rPr>
            </w:pPr>
            <w:r>
              <w:rPr>
                <w:rFonts w:ascii="Arial" w:eastAsia="Times New Roman" w:hAnsi="Arial" w:cs="Arial"/>
                <w:bCs/>
                <w:color w:val="000000"/>
                <w:szCs w:val="20"/>
              </w:rPr>
              <w:t>F1</w:t>
            </w:r>
          </w:p>
        </w:tc>
      </w:tr>
      <w:tr w:rsidR="00221D86" w:rsidRPr="00817BD2" w14:paraId="7907D452"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A5A5A5"/>
            <w:noWrap/>
            <w:vAlign w:val="center"/>
            <w:hideMark/>
          </w:tcPr>
          <w:p w14:paraId="7D915EBE"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hideMark/>
          </w:tcPr>
          <w:p w14:paraId="4CECA9CA"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digitscor</w:t>
            </w:r>
            <w:proofErr w:type="spellEnd"/>
          </w:p>
        </w:tc>
        <w:tc>
          <w:tcPr>
            <w:tcW w:w="3960" w:type="dxa"/>
            <w:tcBorders>
              <w:top w:val="nil"/>
              <w:left w:val="nil"/>
              <w:bottom w:val="single" w:sz="4" w:space="0" w:color="auto"/>
              <w:right w:val="single" w:sz="4" w:space="0" w:color="auto"/>
            </w:tcBorders>
            <w:shd w:val="clear" w:color="000000" w:fill="A5A5A5"/>
            <w:vAlign w:val="center"/>
            <w:hideMark/>
          </w:tcPr>
          <w:p w14:paraId="2E3A9382"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WMS-R: </w:t>
            </w:r>
            <w:r w:rsidRPr="00547F77">
              <w:rPr>
                <w:rFonts w:ascii="Arial" w:eastAsia="Times New Roman" w:hAnsi="Arial" w:cs="Arial"/>
                <w:bCs/>
                <w:color w:val="000000"/>
                <w:szCs w:val="20"/>
              </w:rPr>
              <w:t>Digit Symbol Total Correct</w:t>
            </w:r>
          </w:p>
        </w:tc>
        <w:tc>
          <w:tcPr>
            <w:tcW w:w="2250" w:type="dxa"/>
            <w:tcBorders>
              <w:top w:val="nil"/>
              <w:left w:val="single" w:sz="4" w:space="0" w:color="auto"/>
              <w:bottom w:val="single" w:sz="4" w:space="0" w:color="auto"/>
              <w:right w:val="single" w:sz="4" w:space="0" w:color="auto"/>
            </w:tcBorders>
            <w:shd w:val="clear" w:color="000000" w:fill="A5A5A5"/>
            <w:noWrap/>
            <w:vAlign w:val="center"/>
          </w:tcPr>
          <w:p w14:paraId="1839B600"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F1</w:t>
            </w:r>
          </w:p>
        </w:tc>
      </w:tr>
      <w:tr w:rsidR="00221D86" w:rsidRPr="00817BD2" w14:paraId="41886965"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A5A5A5"/>
            <w:noWrap/>
            <w:vAlign w:val="center"/>
            <w:hideMark/>
          </w:tcPr>
          <w:p w14:paraId="3C694214"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hideMark/>
          </w:tcPr>
          <w:p w14:paraId="2D18CF82"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dspanfor</w:t>
            </w:r>
            <w:proofErr w:type="spellEnd"/>
          </w:p>
        </w:tc>
        <w:tc>
          <w:tcPr>
            <w:tcW w:w="3960" w:type="dxa"/>
            <w:tcBorders>
              <w:top w:val="nil"/>
              <w:left w:val="nil"/>
              <w:bottom w:val="single" w:sz="4" w:space="0" w:color="auto"/>
              <w:right w:val="single" w:sz="4" w:space="0" w:color="auto"/>
            </w:tcBorders>
            <w:shd w:val="clear" w:color="000000" w:fill="A5A5A5"/>
            <w:vAlign w:val="center"/>
            <w:hideMark/>
          </w:tcPr>
          <w:p w14:paraId="2BDD8AB1"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WMS-R: </w:t>
            </w:r>
            <w:r w:rsidRPr="00547F77">
              <w:rPr>
                <w:rFonts w:ascii="Arial" w:eastAsia="Times New Roman" w:hAnsi="Arial" w:cs="Arial"/>
                <w:bCs/>
                <w:color w:val="000000"/>
                <w:szCs w:val="20"/>
              </w:rPr>
              <w:t>Digit Span Forward Total Correct</w:t>
            </w:r>
          </w:p>
        </w:tc>
        <w:tc>
          <w:tcPr>
            <w:tcW w:w="2250" w:type="dxa"/>
            <w:tcBorders>
              <w:top w:val="nil"/>
              <w:left w:val="single" w:sz="4" w:space="0" w:color="auto"/>
              <w:bottom w:val="single" w:sz="4" w:space="0" w:color="auto"/>
              <w:right w:val="single" w:sz="4" w:space="0" w:color="auto"/>
            </w:tcBorders>
            <w:shd w:val="clear" w:color="000000" w:fill="A5A5A5"/>
            <w:noWrap/>
            <w:vAlign w:val="center"/>
          </w:tcPr>
          <w:p w14:paraId="6D1E6152" w14:textId="77777777" w:rsidR="00221D86" w:rsidRPr="00547F77" w:rsidRDefault="00221D86" w:rsidP="00C977CD">
            <w:pPr>
              <w:spacing w:line="240" w:lineRule="auto"/>
              <w:jc w:val="center"/>
              <w:rPr>
                <w:rFonts w:ascii="Arial" w:eastAsia="Times New Roman" w:hAnsi="Arial" w:cs="Arial"/>
                <w:bCs/>
                <w:color w:val="000000"/>
                <w:szCs w:val="20"/>
              </w:rPr>
            </w:pPr>
            <w:r>
              <w:rPr>
                <w:rFonts w:ascii="Arial" w:eastAsia="Times New Roman" w:hAnsi="Arial" w:cs="Arial"/>
                <w:bCs/>
                <w:color w:val="000000"/>
                <w:szCs w:val="20"/>
              </w:rPr>
              <w:t>F2</w:t>
            </w:r>
          </w:p>
        </w:tc>
      </w:tr>
      <w:tr w:rsidR="00221D86" w:rsidRPr="00817BD2" w14:paraId="54BE3A1C"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A5A5A5"/>
            <w:noWrap/>
            <w:vAlign w:val="center"/>
          </w:tcPr>
          <w:p w14:paraId="29402308"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tcPr>
          <w:p w14:paraId="1C8CAD7E"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hAnsi="Arial" w:cs="Arial"/>
                <w:bCs/>
                <w:color w:val="000000"/>
                <w:szCs w:val="20"/>
              </w:rPr>
              <w:t>q13score</w:t>
            </w:r>
          </w:p>
        </w:tc>
        <w:tc>
          <w:tcPr>
            <w:tcW w:w="3960" w:type="dxa"/>
            <w:tcBorders>
              <w:top w:val="nil"/>
              <w:left w:val="nil"/>
              <w:bottom w:val="single" w:sz="4" w:space="0" w:color="auto"/>
              <w:right w:val="single" w:sz="4" w:space="0" w:color="auto"/>
            </w:tcBorders>
            <w:shd w:val="clear" w:color="000000" w:fill="A5A5A5"/>
            <w:vAlign w:val="center"/>
          </w:tcPr>
          <w:p w14:paraId="5BE88E78" w14:textId="77777777" w:rsidR="00221D86" w:rsidRPr="00547F77" w:rsidRDefault="00221D86" w:rsidP="00C977CD">
            <w:pPr>
              <w:spacing w:line="240" w:lineRule="auto"/>
              <w:rPr>
                <w:rFonts w:ascii="Arial" w:eastAsia="Times New Roman" w:hAnsi="Arial" w:cs="Arial"/>
                <w:bCs/>
                <w:color w:val="000000"/>
                <w:szCs w:val="20"/>
              </w:rPr>
            </w:pPr>
            <w:r>
              <w:rPr>
                <w:rFonts w:ascii="Arial" w:hAnsi="Arial" w:cs="Arial"/>
                <w:bCs/>
                <w:color w:val="000000"/>
                <w:szCs w:val="20"/>
              </w:rPr>
              <w:t xml:space="preserve">ADAS-Cog: </w:t>
            </w:r>
            <w:r w:rsidRPr="00547F77">
              <w:rPr>
                <w:rFonts w:ascii="Arial" w:hAnsi="Arial" w:cs="Arial"/>
                <w:bCs/>
                <w:color w:val="000000"/>
                <w:szCs w:val="20"/>
              </w:rPr>
              <w:t>Number cancellation task</w:t>
            </w:r>
          </w:p>
        </w:tc>
        <w:tc>
          <w:tcPr>
            <w:tcW w:w="2250" w:type="dxa"/>
            <w:tcBorders>
              <w:top w:val="nil"/>
              <w:left w:val="single" w:sz="4" w:space="0" w:color="auto"/>
              <w:bottom w:val="single" w:sz="4" w:space="0" w:color="auto"/>
              <w:right w:val="single" w:sz="4" w:space="0" w:color="auto"/>
            </w:tcBorders>
            <w:shd w:val="clear" w:color="000000" w:fill="A5A5A5"/>
            <w:noWrap/>
            <w:vAlign w:val="center"/>
          </w:tcPr>
          <w:p w14:paraId="03AE6751"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F1</w:t>
            </w:r>
          </w:p>
        </w:tc>
      </w:tr>
      <w:tr w:rsidR="00221D86" w:rsidRPr="00817BD2" w14:paraId="125B6DAB"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A5A5A5"/>
            <w:noWrap/>
            <w:vAlign w:val="center"/>
          </w:tcPr>
          <w:p w14:paraId="20C81A0B" w14:textId="77777777" w:rsidR="00221D86" w:rsidRPr="00547F77" w:rsidRDefault="00221D86" w:rsidP="00C977CD">
            <w:pPr>
              <w:spacing w:line="240" w:lineRule="auto"/>
              <w:jc w:val="center"/>
              <w:rPr>
                <w:rFonts w:ascii="Arial" w:hAnsi="Arial" w:cs="Arial"/>
                <w:bCs/>
                <w:color w:val="000000"/>
                <w:szCs w:val="20"/>
              </w:rPr>
            </w:pPr>
            <w:r>
              <w:rPr>
                <w:rFonts w:ascii="Arial"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A5A5A5"/>
            <w:vAlign w:val="center"/>
          </w:tcPr>
          <w:p w14:paraId="379BD19E" w14:textId="77777777" w:rsidR="00221D86" w:rsidRPr="00547F77" w:rsidRDefault="00221D86" w:rsidP="00C977CD">
            <w:pPr>
              <w:spacing w:line="240" w:lineRule="auto"/>
              <w:jc w:val="center"/>
              <w:rPr>
                <w:rFonts w:ascii="Arial" w:hAnsi="Arial" w:cs="Arial"/>
                <w:bCs/>
                <w:color w:val="000000"/>
                <w:szCs w:val="20"/>
              </w:rPr>
            </w:pPr>
            <w:proofErr w:type="spellStart"/>
            <w:r>
              <w:rPr>
                <w:rFonts w:ascii="Arial" w:hAnsi="Arial" w:cs="Arial"/>
                <w:bCs/>
                <w:color w:val="000000"/>
                <w:szCs w:val="20"/>
              </w:rPr>
              <w:t>rworld</w:t>
            </w:r>
            <w:proofErr w:type="spellEnd"/>
          </w:p>
        </w:tc>
        <w:tc>
          <w:tcPr>
            <w:tcW w:w="3960" w:type="dxa"/>
            <w:tcBorders>
              <w:top w:val="nil"/>
              <w:left w:val="nil"/>
              <w:bottom w:val="single" w:sz="4" w:space="0" w:color="auto"/>
              <w:right w:val="single" w:sz="4" w:space="0" w:color="auto"/>
            </w:tcBorders>
            <w:shd w:val="clear" w:color="000000" w:fill="A5A5A5"/>
            <w:vAlign w:val="center"/>
          </w:tcPr>
          <w:p w14:paraId="6FC56806" w14:textId="77777777" w:rsidR="00221D86" w:rsidRDefault="00221D86" w:rsidP="00C977CD">
            <w:pPr>
              <w:spacing w:line="240" w:lineRule="auto"/>
              <w:rPr>
                <w:rFonts w:ascii="Arial" w:hAnsi="Arial" w:cs="Arial"/>
                <w:bCs/>
                <w:color w:val="000000"/>
                <w:szCs w:val="20"/>
              </w:rPr>
            </w:pPr>
            <w:r>
              <w:rPr>
                <w:rFonts w:ascii="Arial" w:hAnsi="Arial" w:cs="Arial"/>
                <w:bCs/>
                <w:color w:val="000000"/>
                <w:szCs w:val="20"/>
              </w:rPr>
              <w:t>MMSE: Spell WORLD backwards</w:t>
            </w:r>
          </w:p>
        </w:tc>
        <w:tc>
          <w:tcPr>
            <w:tcW w:w="2250" w:type="dxa"/>
            <w:tcBorders>
              <w:top w:val="nil"/>
              <w:left w:val="single" w:sz="4" w:space="0" w:color="auto"/>
              <w:bottom w:val="single" w:sz="4" w:space="0" w:color="auto"/>
              <w:right w:val="single" w:sz="4" w:space="0" w:color="auto"/>
            </w:tcBorders>
            <w:shd w:val="clear" w:color="000000" w:fill="A5A5A5"/>
            <w:noWrap/>
            <w:vAlign w:val="center"/>
          </w:tcPr>
          <w:p w14:paraId="03348EEB"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4970E019"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B4C6E7"/>
            <w:noWrap/>
            <w:vAlign w:val="bottom"/>
            <w:hideMark/>
          </w:tcPr>
          <w:p w14:paraId="588AF79D"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B4C6E7"/>
            <w:noWrap/>
            <w:vAlign w:val="bottom"/>
            <w:hideMark/>
          </w:tcPr>
          <w:p w14:paraId="664A1F3E"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absmeas</w:t>
            </w:r>
            <w:proofErr w:type="spellEnd"/>
          </w:p>
        </w:tc>
        <w:tc>
          <w:tcPr>
            <w:tcW w:w="3960" w:type="dxa"/>
            <w:tcBorders>
              <w:top w:val="nil"/>
              <w:left w:val="nil"/>
              <w:bottom w:val="single" w:sz="4" w:space="0" w:color="auto"/>
              <w:right w:val="single" w:sz="4" w:space="0" w:color="auto"/>
            </w:tcBorders>
            <w:shd w:val="clear" w:color="000000" w:fill="B4C6E7"/>
            <w:noWrap/>
            <w:vAlign w:val="bottom"/>
            <w:hideMark/>
          </w:tcPr>
          <w:p w14:paraId="449D8C3A"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MoCA: </w:t>
            </w:r>
            <w:r w:rsidRPr="00547F77">
              <w:rPr>
                <w:rFonts w:ascii="Arial" w:eastAsia="Times New Roman" w:hAnsi="Arial" w:cs="Arial"/>
                <w:bCs/>
                <w:color w:val="000000"/>
                <w:szCs w:val="20"/>
              </w:rPr>
              <w:t>Abstraction: watch-ruler</w:t>
            </w:r>
          </w:p>
        </w:tc>
        <w:tc>
          <w:tcPr>
            <w:tcW w:w="2250" w:type="dxa"/>
            <w:tcBorders>
              <w:top w:val="nil"/>
              <w:left w:val="single" w:sz="4" w:space="0" w:color="auto"/>
              <w:bottom w:val="single" w:sz="4" w:space="0" w:color="auto"/>
              <w:right w:val="single" w:sz="4" w:space="0" w:color="auto"/>
            </w:tcBorders>
            <w:shd w:val="clear" w:color="000000" w:fill="B4C6E7"/>
            <w:noWrap/>
            <w:vAlign w:val="bottom"/>
          </w:tcPr>
          <w:p w14:paraId="6B196CD4"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6A0088B8"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B4C6E7"/>
            <w:noWrap/>
            <w:vAlign w:val="bottom"/>
            <w:hideMark/>
          </w:tcPr>
          <w:p w14:paraId="0A520C42"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B4C6E7"/>
            <w:noWrap/>
            <w:vAlign w:val="bottom"/>
            <w:hideMark/>
          </w:tcPr>
          <w:p w14:paraId="08ACE60B"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abstran</w:t>
            </w:r>
            <w:proofErr w:type="spellEnd"/>
          </w:p>
        </w:tc>
        <w:tc>
          <w:tcPr>
            <w:tcW w:w="3960" w:type="dxa"/>
            <w:tcBorders>
              <w:top w:val="nil"/>
              <w:left w:val="nil"/>
              <w:bottom w:val="single" w:sz="4" w:space="0" w:color="auto"/>
              <w:right w:val="single" w:sz="4" w:space="0" w:color="auto"/>
            </w:tcBorders>
            <w:shd w:val="clear" w:color="000000" w:fill="B4C6E7"/>
            <w:noWrap/>
            <w:vAlign w:val="bottom"/>
            <w:hideMark/>
          </w:tcPr>
          <w:p w14:paraId="6C01F1F6"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MoCA: </w:t>
            </w:r>
            <w:r w:rsidRPr="00547F77">
              <w:rPr>
                <w:rFonts w:ascii="Arial" w:eastAsia="Times New Roman" w:hAnsi="Arial" w:cs="Arial"/>
                <w:bCs/>
                <w:color w:val="000000"/>
                <w:szCs w:val="20"/>
              </w:rPr>
              <w:t>Abstraction: train-bicycle</w:t>
            </w:r>
          </w:p>
        </w:tc>
        <w:tc>
          <w:tcPr>
            <w:tcW w:w="2250" w:type="dxa"/>
            <w:tcBorders>
              <w:top w:val="nil"/>
              <w:left w:val="single" w:sz="4" w:space="0" w:color="auto"/>
              <w:bottom w:val="single" w:sz="4" w:space="0" w:color="auto"/>
              <w:right w:val="single" w:sz="4" w:space="0" w:color="auto"/>
            </w:tcBorders>
            <w:shd w:val="clear" w:color="000000" w:fill="B4C6E7"/>
            <w:noWrap/>
            <w:vAlign w:val="bottom"/>
          </w:tcPr>
          <w:p w14:paraId="21AC4C87"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07659875"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B4C6E7"/>
            <w:noWrap/>
            <w:vAlign w:val="bottom"/>
            <w:hideMark/>
          </w:tcPr>
          <w:p w14:paraId="3189E518"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B4C6E7"/>
            <w:noWrap/>
            <w:vAlign w:val="bottom"/>
            <w:hideMark/>
          </w:tcPr>
          <w:p w14:paraId="122692ED"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trails</w:t>
            </w:r>
          </w:p>
        </w:tc>
        <w:tc>
          <w:tcPr>
            <w:tcW w:w="3960" w:type="dxa"/>
            <w:tcBorders>
              <w:top w:val="nil"/>
              <w:left w:val="nil"/>
              <w:bottom w:val="single" w:sz="4" w:space="0" w:color="auto"/>
              <w:right w:val="single" w:sz="4" w:space="0" w:color="auto"/>
            </w:tcBorders>
            <w:shd w:val="clear" w:color="000000" w:fill="B4C6E7"/>
            <w:noWrap/>
            <w:vAlign w:val="bottom"/>
            <w:hideMark/>
          </w:tcPr>
          <w:p w14:paraId="6CDF5354" w14:textId="77777777" w:rsidR="00221D86" w:rsidRPr="00547F77" w:rsidRDefault="00221D86" w:rsidP="00C977CD">
            <w:pPr>
              <w:spacing w:line="240" w:lineRule="auto"/>
              <w:rPr>
                <w:rFonts w:ascii="Arial" w:eastAsia="Times New Roman" w:hAnsi="Arial" w:cs="Arial"/>
                <w:bCs/>
                <w:color w:val="000000"/>
                <w:szCs w:val="20"/>
              </w:rPr>
            </w:pPr>
            <w:r w:rsidRPr="00547F77">
              <w:rPr>
                <w:rFonts w:ascii="Arial" w:eastAsia="Times New Roman" w:hAnsi="Arial" w:cs="Arial"/>
                <w:bCs/>
                <w:color w:val="000000"/>
                <w:szCs w:val="20"/>
              </w:rPr>
              <w:t>MoCA</w:t>
            </w:r>
            <w:r>
              <w:rPr>
                <w:rFonts w:ascii="Arial" w:eastAsia="Times New Roman" w:hAnsi="Arial" w:cs="Arial"/>
                <w:bCs/>
                <w:color w:val="000000"/>
                <w:szCs w:val="20"/>
              </w:rPr>
              <w:t>:</w:t>
            </w:r>
            <w:r w:rsidRPr="00547F77">
              <w:rPr>
                <w:rFonts w:ascii="Arial" w:eastAsia="Times New Roman" w:hAnsi="Arial" w:cs="Arial"/>
                <w:bCs/>
                <w:color w:val="000000"/>
                <w:szCs w:val="20"/>
              </w:rPr>
              <w:t xml:space="preserve"> Trails</w:t>
            </w:r>
          </w:p>
        </w:tc>
        <w:tc>
          <w:tcPr>
            <w:tcW w:w="2250" w:type="dxa"/>
            <w:tcBorders>
              <w:top w:val="nil"/>
              <w:left w:val="single" w:sz="4" w:space="0" w:color="auto"/>
              <w:bottom w:val="single" w:sz="4" w:space="0" w:color="auto"/>
              <w:right w:val="single" w:sz="4" w:space="0" w:color="auto"/>
            </w:tcBorders>
            <w:shd w:val="clear" w:color="000000" w:fill="B4C6E7"/>
            <w:noWrap/>
            <w:vAlign w:val="bottom"/>
          </w:tcPr>
          <w:p w14:paraId="4E8CB76C"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47E64525"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B4C6E7"/>
            <w:noWrap/>
            <w:vAlign w:val="center"/>
            <w:hideMark/>
          </w:tcPr>
          <w:p w14:paraId="5F967B65"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B4C6E7"/>
            <w:noWrap/>
            <w:vAlign w:val="center"/>
            <w:hideMark/>
          </w:tcPr>
          <w:p w14:paraId="2B08C90E"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digback</w:t>
            </w:r>
            <w:proofErr w:type="spellEnd"/>
          </w:p>
        </w:tc>
        <w:tc>
          <w:tcPr>
            <w:tcW w:w="3960" w:type="dxa"/>
            <w:tcBorders>
              <w:top w:val="nil"/>
              <w:left w:val="nil"/>
              <w:bottom w:val="single" w:sz="4" w:space="0" w:color="auto"/>
              <w:right w:val="single" w:sz="4" w:space="0" w:color="auto"/>
            </w:tcBorders>
            <w:shd w:val="clear" w:color="000000" w:fill="B4C6E7"/>
            <w:noWrap/>
            <w:vAlign w:val="center"/>
            <w:hideMark/>
          </w:tcPr>
          <w:p w14:paraId="0B15DF21"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MoCA: </w:t>
            </w:r>
            <w:r w:rsidRPr="00547F77">
              <w:rPr>
                <w:rFonts w:ascii="Arial" w:eastAsia="Times New Roman" w:hAnsi="Arial" w:cs="Arial"/>
                <w:bCs/>
                <w:color w:val="000000"/>
                <w:szCs w:val="20"/>
              </w:rPr>
              <w:t>Digits Backward</w:t>
            </w:r>
          </w:p>
        </w:tc>
        <w:tc>
          <w:tcPr>
            <w:tcW w:w="2250" w:type="dxa"/>
            <w:tcBorders>
              <w:top w:val="nil"/>
              <w:left w:val="single" w:sz="4" w:space="0" w:color="auto"/>
              <w:bottom w:val="single" w:sz="4" w:space="0" w:color="auto"/>
              <w:right w:val="single" w:sz="4" w:space="0" w:color="auto"/>
            </w:tcBorders>
            <w:shd w:val="clear" w:color="000000" w:fill="B4C6E7"/>
            <w:noWrap/>
            <w:vAlign w:val="center"/>
          </w:tcPr>
          <w:p w14:paraId="611D9B93"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687B114C"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B4C6E7"/>
            <w:noWrap/>
            <w:vAlign w:val="center"/>
            <w:hideMark/>
          </w:tcPr>
          <w:p w14:paraId="67F7881C"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B4C6E7"/>
            <w:noWrap/>
            <w:vAlign w:val="center"/>
            <w:hideMark/>
          </w:tcPr>
          <w:p w14:paraId="1E2D9B0D"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serial</w:t>
            </w:r>
          </w:p>
        </w:tc>
        <w:tc>
          <w:tcPr>
            <w:tcW w:w="3960" w:type="dxa"/>
            <w:tcBorders>
              <w:top w:val="nil"/>
              <w:left w:val="nil"/>
              <w:bottom w:val="single" w:sz="4" w:space="0" w:color="auto"/>
              <w:right w:val="single" w:sz="4" w:space="0" w:color="auto"/>
            </w:tcBorders>
            <w:shd w:val="clear" w:color="000000" w:fill="B4C6E7"/>
            <w:noWrap/>
            <w:vAlign w:val="center"/>
            <w:hideMark/>
          </w:tcPr>
          <w:p w14:paraId="56A20562"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MoCA: </w:t>
            </w:r>
            <w:r w:rsidRPr="00547F77">
              <w:rPr>
                <w:rFonts w:ascii="Arial" w:eastAsia="Times New Roman" w:hAnsi="Arial" w:cs="Arial"/>
                <w:bCs/>
                <w:color w:val="000000"/>
                <w:szCs w:val="20"/>
              </w:rPr>
              <w:t>Serial 7 total</w:t>
            </w:r>
          </w:p>
        </w:tc>
        <w:tc>
          <w:tcPr>
            <w:tcW w:w="2250" w:type="dxa"/>
            <w:tcBorders>
              <w:top w:val="nil"/>
              <w:left w:val="single" w:sz="4" w:space="0" w:color="auto"/>
              <w:bottom w:val="single" w:sz="4" w:space="0" w:color="auto"/>
              <w:right w:val="single" w:sz="4" w:space="0" w:color="auto"/>
            </w:tcBorders>
            <w:shd w:val="clear" w:color="000000" w:fill="B4C6E7"/>
            <w:noWrap/>
            <w:vAlign w:val="center"/>
          </w:tcPr>
          <w:p w14:paraId="20B55B44"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099DEEFC"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B4C6E7"/>
            <w:noWrap/>
            <w:vAlign w:val="center"/>
            <w:hideMark/>
          </w:tcPr>
          <w:p w14:paraId="54538965"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B4C6E7"/>
            <w:noWrap/>
            <w:vAlign w:val="center"/>
            <w:hideMark/>
          </w:tcPr>
          <w:p w14:paraId="23CABA0A" w14:textId="77777777" w:rsidR="00221D86" w:rsidRPr="00547F77" w:rsidRDefault="00221D86" w:rsidP="00C977CD">
            <w:pPr>
              <w:spacing w:line="240" w:lineRule="auto"/>
              <w:jc w:val="center"/>
              <w:rPr>
                <w:rFonts w:ascii="Arial" w:eastAsia="Times New Roman" w:hAnsi="Arial" w:cs="Arial"/>
                <w:bCs/>
                <w:color w:val="000000"/>
                <w:szCs w:val="20"/>
              </w:rPr>
            </w:pPr>
            <w:proofErr w:type="spellStart"/>
            <w:r w:rsidRPr="00547F77">
              <w:rPr>
                <w:rFonts w:ascii="Arial" w:eastAsia="Times New Roman" w:hAnsi="Arial" w:cs="Arial"/>
                <w:bCs/>
                <w:color w:val="000000"/>
                <w:szCs w:val="20"/>
              </w:rPr>
              <w:t>digfor</w:t>
            </w:r>
            <w:proofErr w:type="spellEnd"/>
          </w:p>
        </w:tc>
        <w:tc>
          <w:tcPr>
            <w:tcW w:w="3960" w:type="dxa"/>
            <w:tcBorders>
              <w:top w:val="nil"/>
              <w:left w:val="nil"/>
              <w:bottom w:val="single" w:sz="4" w:space="0" w:color="auto"/>
              <w:right w:val="single" w:sz="4" w:space="0" w:color="auto"/>
            </w:tcBorders>
            <w:shd w:val="clear" w:color="000000" w:fill="B4C6E7"/>
            <w:noWrap/>
            <w:vAlign w:val="center"/>
            <w:hideMark/>
          </w:tcPr>
          <w:p w14:paraId="334FDD03"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MoCA: </w:t>
            </w:r>
            <w:r w:rsidRPr="00547F77">
              <w:rPr>
                <w:rFonts w:ascii="Arial" w:eastAsia="Times New Roman" w:hAnsi="Arial" w:cs="Arial"/>
                <w:bCs/>
                <w:color w:val="000000"/>
                <w:szCs w:val="20"/>
              </w:rPr>
              <w:t>Digits Forward</w:t>
            </w:r>
          </w:p>
        </w:tc>
        <w:tc>
          <w:tcPr>
            <w:tcW w:w="2250" w:type="dxa"/>
            <w:tcBorders>
              <w:top w:val="nil"/>
              <w:left w:val="single" w:sz="4" w:space="0" w:color="auto"/>
              <w:bottom w:val="single" w:sz="4" w:space="0" w:color="auto"/>
              <w:right w:val="single" w:sz="4" w:space="0" w:color="auto"/>
            </w:tcBorders>
            <w:shd w:val="clear" w:color="000000" w:fill="B4C6E7"/>
            <w:noWrap/>
            <w:vAlign w:val="center"/>
          </w:tcPr>
          <w:p w14:paraId="19DE8B97" w14:textId="77777777" w:rsidR="00221D86" w:rsidRPr="00547F77" w:rsidRDefault="00221D86" w:rsidP="00C977CD">
            <w:pPr>
              <w:spacing w:line="240" w:lineRule="auto"/>
              <w:jc w:val="center"/>
              <w:rPr>
                <w:rFonts w:ascii="Arial" w:eastAsia="Times New Roman" w:hAnsi="Arial" w:cs="Arial"/>
                <w:bCs/>
                <w:color w:val="000000"/>
                <w:szCs w:val="20"/>
              </w:rPr>
            </w:pPr>
          </w:p>
        </w:tc>
      </w:tr>
      <w:tr w:rsidR="00221D86" w:rsidRPr="00817BD2" w14:paraId="3FD7772C" w14:textId="77777777" w:rsidTr="00C977CD">
        <w:trPr>
          <w:trHeight w:val="300"/>
        </w:trPr>
        <w:tc>
          <w:tcPr>
            <w:tcW w:w="921" w:type="dxa"/>
            <w:tcBorders>
              <w:top w:val="nil"/>
              <w:left w:val="single" w:sz="4" w:space="0" w:color="auto"/>
              <w:bottom w:val="single" w:sz="4" w:space="0" w:color="auto"/>
              <w:right w:val="single" w:sz="4" w:space="0" w:color="auto"/>
            </w:tcBorders>
            <w:shd w:val="clear" w:color="000000" w:fill="B4C6E7"/>
            <w:noWrap/>
            <w:vAlign w:val="center"/>
            <w:hideMark/>
          </w:tcPr>
          <w:p w14:paraId="0AE5E5D5"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ADNI</w:t>
            </w:r>
          </w:p>
        </w:tc>
        <w:tc>
          <w:tcPr>
            <w:tcW w:w="1329" w:type="dxa"/>
            <w:tcBorders>
              <w:top w:val="nil"/>
              <w:left w:val="nil"/>
              <w:bottom w:val="single" w:sz="4" w:space="0" w:color="auto"/>
              <w:right w:val="single" w:sz="4" w:space="0" w:color="auto"/>
            </w:tcBorders>
            <w:shd w:val="clear" w:color="000000" w:fill="B4C6E7"/>
            <w:noWrap/>
            <w:vAlign w:val="center"/>
            <w:hideMark/>
          </w:tcPr>
          <w:p w14:paraId="30AEDD45" w14:textId="77777777" w:rsidR="00221D86" w:rsidRPr="00547F77" w:rsidRDefault="00221D86" w:rsidP="00C977CD">
            <w:pPr>
              <w:spacing w:line="240" w:lineRule="auto"/>
              <w:jc w:val="center"/>
              <w:rPr>
                <w:rFonts w:ascii="Arial" w:eastAsia="Times New Roman" w:hAnsi="Arial" w:cs="Arial"/>
                <w:bCs/>
                <w:color w:val="000000"/>
                <w:szCs w:val="20"/>
              </w:rPr>
            </w:pPr>
            <w:r w:rsidRPr="00547F77">
              <w:rPr>
                <w:rFonts w:ascii="Arial" w:eastAsia="Times New Roman" w:hAnsi="Arial" w:cs="Arial"/>
                <w:bCs/>
                <w:color w:val="000000"/>
                <w:szCs w:val="20"/>
              </w:rPr>
              <w:t>letters</w:t>
            </w:r>
          </w:p>
        </w:tc>
        <w:tc>
          <w:tcPr>
            <w:tcW w:w="3960" w:type="dxa"/>
            <w:tcBorders>
              <w:top w:val="nil"/>
              <w:left w:val="nil"/>
              <w:bottom w:val="single" w:sz="4" w:space="0" w:color="auto"/>
              <w:right w:val="single" w:sz="4" w:space="0" w:color="auto"/>
            </w:tcBorders>
            <w:shd w:val="clear" w:color="000000" w:fill="B4C6E7"/>
            <w:noWrap/>
            <w:vAlign w:val="center"/>
            <w:hideMark/>
          </w:tcPr>
          <w:p w14:paraId="3F6B5F15" w14:textId="77777777" w:rsidR="00221D86" w:rsidRPr="00547F77"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MoCA: </w:t>
            </w:r>
            <w:r w:rsidRPr="00547F77">
              <w:rPr>
                <w:rFonts w:ascii="Arial" w:eastAsia="Times New Roman" w:hAnsi="Arial" w:cs="Arial"/>
                <w:bCs/>
                <w:color w:val="000000"/>
                <w:szCs w:val="20"/>
              </w:rPr>
              <w:t>List of Letters/Tapping: # Errors</w:t>
            </w:r>
          </w:p>
        </w:tc>
        <w:tc>
          <w:tcPr>
            <w:tcW w:w="2250" w:type="dxa"/>
            <w:tcBorders>
              <w:top w:val="nil"/>
              <w:left w:val="single" w:sz="4" w:space="0" w:color="auto"/>
              <w:bottom w:val="single" w:sz="4" w:space="0" w:color="auto"/>
              <w:right w:val="single" w:sz="4" w:space="0" w:color="auto"/>
            </w:tcBorders>
            <w:shd w:val="clear" w:color="000000" w:fill="B4C6E7"/>
            <w:noWrap/>
            <w:vAlign w:val="center"/>
          </w:tcPr>
          <w:p w14:paraId="152B7941" w14:textId="77777777" w:rsidR="00221D86" w:rsidRPr="00547F77" w:rsidRDefault="00221D86" w:rsidP="00C977CD">
            <w:pPr>
              <w:spacing w:line="240" w:lineRule="auto"/>
              <w:jc w:val="center"/>
              <w:rPr>
                <w:rFonts w:ascii="Arial" w:eastAsia="Times New Roman" w:hAnsi="Arial" w:cs="Arial"/>
                <w:bCs/>
                <w:color w:val="000000"/>
                <w:szCs w:val="20"/>
              </w:rPr>
            </w:pPr>
          </w:p>
        </w:tc>
      </w:tr>
    </w:tbl>
    <w:p w14:paraId="4803B48A" w14:textId="77777777" w:rsidR="00221D86" w:rsidRPr="005C6BF3" w:rsidRDefault="00221D86" w:rsidP="00221D86">
      <w:pPr>
        <w:rPr>
          <w:rFonts w:ascii="Arial" w:hAnsi="Arial" w:cs="Arial"/>
        </w:rPr>
      </w:pPr>
      <w:r w:rsidRPr="005C6BF3">
        <w:rPr>
          <w:rFonts w:ascii="Arial" w:hAnsi="Arial" w:cs="Arial"/>
        </w:rPr>
        <w:t>MoCA (blue) items were only administered in ADNI GO/2/3 while gray items were in all ADNI waves (1/GO/2).</w:t>
      </w:r>
    </w:p>
    <w:p w14:paraId="33601D46" w14:textId="18F97223" w:rsidR="00152D05" w:rsidRDefault="00000000"/>
    <w:p w14:paraId="4F0EC90C" w14:textId="77777777" w:rsidR="00221D86" w:rsidRDefault="00221D86">
      <w:pPr>
        <w:spacing w:before="0" w:line="240" w:lineRule="auto"/>
        <w:rPr>
          <w:rFonts w:ascii="Arial" w:hAnsi="Arial" w:cs="Arial"/>
          <w:b/>
          <w:bCs/>
          <w:sz w:val="22"/>
        </w:rPr>
      </w:pPr>
      <w:r>
        <w:rPr>
          <w:sz w:val="22"/>
        </w:rPr>
        <w:br w:type="page"/>
      </w:r>
    </w:p>
    <w:p w14:paraId="7D656CFA" w14:textId="26374CC2" w:rsidR="001A7515" w:rsidRPr="001A7515" w:rsidRDefault="001A7515" w:rsidP="001A7515">
      <w:pPr>
        <w:pStyle w:val="Study"/>
        <w:numPr>
          <w:ilvl w:val="0"/>
          <w:numId w:val="0"/>
        </w:numPr>
      </w:pPr>
      <w:r w:rsidRPr="001A7515">
        <w:lastRenderedPageBreak/>
        <w:t>Supplement 3.  Language domain.</w:t>
      </w:r>
    </w:p>
    <w:p w14:paraId="62CF85E9" w14:textId="77777777" w:rsidR="001A7515" w:rsidRDefault="001A7515" w:rsidP="001A7515">
      <w:pPr>
        <w:pStyle w:val="Study"/>
        <w:numPr>
          <w:ilvl w:val="0"/>
          <w:numId w:val="0"/>
        </w:numPr>
        <w:rPr>
          <w:b w:val="0"/>
          <w:bCs w:val="0"/>
        </w:rPr>
      </w:pPr>
    </w:p>
    <w:p w14:paraId="6DD1723D" w14:textId="3712AEFA" w:rsidR="00221D86" w:rsidRPr="00AA57DF" w:rsidRDefault="00221D86" w:rsidP="001A7515">
      <w:pPr>
        <w:pStyle w:val="Study"/>
        <w:numPr>
          <w:ilvl w:val="0"/>
          <w:numId w:val="0"/>
        </w:numPr>
        <w:rPr>
          <w:b w:val="0"/>
          <w:bCs w:val="0"/>
        </w:rPr>
      </w:pPr>
      <w:r w:rsidRPr="00AA57DF">
        <w:rPr>
          <w:b w:val="0"/>
          <w:bCs w:val="0"/>
        </w:rPr>
        <w:t xml:space="preserve">Final models </w:t>
      </w:r>
      <w:proofErr w:type="gramStart"/>
      <w:r w:rsidRPr="00AA57DF">
        <w:rPr>
          <w:b w:val="0"/>
          <w:bCs w:val="0"/>
        </w:rPr>
        <w:t>was</w:t>
      </w:r>
      <w:proofErr w:type="gramEnd"/>
      <w:r w:rsidRPr="00AA57DF">
        <w:rPr>
          <w:b w:val="0"/>
          <w:bCs w:val="0"/>
        </w:rPr>
        <w:t xml:space="preserve"> a single factor model in ADNI 1 (CFI = 0</w:t>
      </w:r>
      <w:r w:rsidRPr="00AA57DF">
        <w:rPr>
          <w:rFonts w:eastAsia="Times New Roman"/>
          <w:b w:val="0"/>
          <w:bCs w:val="0"/>
        </w:rPr>
        <w:t>.</w:t>
      </w:r>
      <w:r w:rsidRPr="00AA57DF">
        <w:rPr>
          <w:b w:val="0"/>
          <w:bCs w:val="0"/>
        </w:rPr>
        <w:t>979, TLI = 0</w:t>
      </w:r>
      <w:r w:rsidRPr="00AA57DF">
        <w:rPr>
          <w:rFonts w:eastAsia="Times New Roman"/>
          <w:b w:val="0"/>
          <w:bCs w:val="0"/>
        </w:rPr>
        <w:t>.</w:t>
      </w:r>
      <w:r w:rsidRPr="00AA57DF">
        <w:rPr>
          <w:b w:val="0"/>
          <w:bCs w:val="0"/>
        </w:rPr>
        <w:t>973, and RMSEA = 0</w:t>
      </w:r>
      <w:r w:rsidRPr="00AA57DF">
        <w:rPr>
          <w:rFonts w:eastAsia="Times New Roman"/>
          <w:b w:val="0"/>
          <w:bCs w:val="0"/>
        </w:rPr>
        <w:t>.</w:t>
      </w:r>
      <w:r w:rsidRPr="00AA57DF">
        <w:rPr>
          <w:b w:val="0"/>
          <w:bCs w:val="0"/>
        </w:rPr>
        <w:t xml:space="preserve">080); </w:t>
      </w:r>
      <w:r w:rsidRPr="00AA57DF">
        <w:rPr>
          <w:b w:val="0"/>
          <w:bCs w:val="0"/>
        </w:rPr>
        <w:br/>
        <w:t>ADNI GO/2 (CFI = 0</w:t>
      </w:r>
      <w:r w:rsidRPr="00AA57DF">
        <w:rPr>
          <w:rFonts w:eastAsia="Times New Roman"/>
          <w:b w:val="0"/>
          <w:bCs w:val="0"/>
        </w:rPr>
        <w:t>.</w:t>
      </w:r>
      <w:r w:rsidRPr="00AA57DF">
        <w:rPr>
          <w:b w:val="0"/>
          <w:bCs w:val="0"/>
        </w:rPr>
        <w:t>977, TLI = 0</w:t>
      </w:r>
      <w:r w:rsidRPr="00AA57DF">
        <w:rPr>
          <w:rFonts w:eastAsia="Times New Roman"/>
          <w:b w:val="0"/>
          <w:bCs w:val="0"/>
        </w:rPr>
        <w:t>.</w:t>
      </w:r>
      <w:r w:rsidRPr="00AA57DF">
        <w:rPr>
          <w:b w:val="0"/>
          <w:bCs w:val="0"/>
        </w:rPr>
        <w:t>973, and RMSEA = 0</w:t>
      </w:r>
      <w:r w:rsidRPr="00AA57DF">
        <w:rPr>
          <w:rFonts w:eastAsia="Times New Roman"/>
          <w:b w:val="0"/>
          <w:bCs w:val="0"/>
        </w:rPr>
        <w:t>.</w:t>
      </w:r>
      <w:r w:rsidRPr="00AA57DF">
        <w:rPr>
          <w:b w:val="0"/>
          <w:bCs w:val="0"/>
        </w:rPr>
        <w:t>048), and ADNI 3 (CFI = 0</w:t>
      </w:r>
      <w:r w:rsidRPr="00AA57DF">
        <w:rPr>
          <w:rFonts w:eastAsia="Times New Roman"/>
          <w:b w:val="0"/>
          <w:bCs w:val="0"/>
        </w:rPr>
        <w:t>.</w:t>
      </w:r>
      <w:r w:rsidRPr="00AA57DF">
        <w:rPr>
          <w:b w:val="0"/>
          <w:bCs w:val="0"/>
        </w:rPr>
        <w:t>953, TLI = 0</w:t>
      </w:r>
      <w:r w:rsidRPr="00AA57DF">
        <w:rPr>
          <w:rFonts w:eastAsia="Times New Roman"/>
          <w:b w:val="0"/>
          <w:bCs w:val="0"/>
        </w:rPr>
        <w:t>.</w:t>
      </w:r>
      <w:r w:rsidRPr="00AA57DF">
        <w:rPr>
          <w:b w:val="0"/>
          <w:bCs w:val="0"/>
        </w:rPr>
        <w:t>943, and RMSEA = 0</w:t>
      </w:r>
      <w:r w:rsidRPr="00AA57DF">
        <w:rPr>
          <w:rFonts w:eastAsia="Times New Roman"/>
          <w:b w:val="0"/>
          <w:bCs w:val="0"/>
        </w:rPr>
        <w:t>.</w:t>
      </w:r>
      <w:r w:rsidRPr="00AA57DF">
        <w:rPr>
          <w:b w:val="0"/>
          <w:bCs w:val="0"/>
        </w:rPr>
        <w:t>037). The following items were included in the CFA analysis (Supplemental Table 10):</w:t>
      </w:r>
    </w:p>
    <w:p w14:paraId="1718739E" w14:textId="26207113" w:rsidR="00221D86" w:rsidRPr="00C61B5A" w:rsidRDefault="00221D86" w:rsidP="00221D86">
      <w:pPr>
        <w:pStyle w:val="SupTableHead"/>
      </w:pPr>
      <w:r>
        <w:t>Supplemental Table</w:t>
      </w:r>
      <w:r w:rsidRPr="00547F77">
        <w:t xml:space="preserve"> </w:t>
      </w:r>
      <w:r w:rsidR="001A7515">
        <w:t>3</w:t>
      </w:r>
      <w:r w:rsidRPr="00547F77">
        <w:t xml:space="preserve">. Items and secondary structure for </w:t>
      </w:r>
      <w:r>
        <w:t xml:space="preserve">language </w:t>
      </w:r>
      <w:r w:rsidRPr="00547F77">
        <w:t>for the A</w:t>
      </w:r>
      <w:r>
        <w:t>DNI</w:t>
      </w:r>
      <w:r w:rsidRPr="00547F77">
        <w:t xml:space="preserve"> study</w:t>
      </w:r>
    </w:p>
    <w:tbl>
      <w:tblPr>
        <w:tblW w:w="10502" w:type="dxa"/>
        <w:tblInd w:w="113" w:type="dxa"/>
        <w:tblLook w:val="04A0" w:firstRow="1" w:lastRow="0" w:firstColumn="1" w:lastColumn="0" w:noHBand="0" w:noVBand="1"/>
      </w:tblPr>
      <w:tblGrid>
        <w:gridCol w:w="960"/>
        <w:gridCol w:w="1293"/>
        <w:gridCol w:w="5909"/>
        <w:gridCol w:w="2340"/>
      </w:tblGrid>
      <w:tr w:rsidR="00221D86" w:rsidRPr="00817BD2" w14:paraId="3E806E3E" w14:textId="77777777" w:rsidTr="00C977C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hideMark/>
          </w:tcPr>
          <w:p w14:paraId="201825C7" w14:textId="77777777" w:rsidR="00221D86" w:rsidRPr="00C61B5A" w:rsidRDefault="00221D86" w:rsidP="00C977CD">
            <w:pPr>
              <w:spacing w:line="240" w:lineRule="auto"/>
              <w:jc w:val="center"/>
              <w:rPr>
                <w:rFonts w:ascii="Arial" w:eastAsia="Times New Roman" w:hAnsi="Arial" w:cs="Arial"/>
                <w:b/>
                <w:bCs/>
                <w:color w:val="FFFFFF" w:themeColor="background1"/>
                <w:szCs w:val="20"/>
              </w:rPr>
            </w:pPr>
            <w:r w:rsidRPr="00C61B5A">
              <w:rPr>
                <w:rFonts w:ascii="Arial" w:eastAsia="Times New Roman" w:hAnsi="Arial" w:cs="Arial"/>
                <w:b/>
                <w:bCs/>
                <w:color w:val="FFFFFF" w:themeColor="background1"/>
                <w:szCs w:val="20"/>
              </w:rPr>
              <w:t>Study</w:t>
            </w:r>
          </w:p>
        </w:tc>
        <w:tc>
          <w:tcPr>
            <w:tcW w:w="1293"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596E11AB" w14:textId="77777777" w:rsidR="00221D86" w:rsidRPr="00C61B5A" w:rsidRDefault="00221D86" w:rsidP="00C977CD">
            <w:pPr>
              <w:spacing w:line="240" w:lineRule="auto"/>
              <w:jc w:val="center"/>
              <w:rPr>
                <w:rFonts w:ascii="Arial" w:eastAsia="Times New Roman" w:hAnsi="Arial" w:cs="Arial"/>
                <w:b/>
                <w:bCs/>
                <w:color w:val="FFFFFF" w:themeColor="background1"/>
                <w:szCs w:val="20"/>
              </w:rPr>
            </w:pPr>
            <w:r w:rsidRPr="00C61B5A">
              <w:rPr>
                <w:rFonts w:ascii="Arial" w:eastAsia="Times New Roman" w:hAnsi="Arial" w:cs="Arial"/>
                <w:b/>
                <w:bCs/>
                <w:color w:val="FFFFFF" w:themeColor="background1"/>
                <w:szCs w:val="20"/>
              </w:rPr>
              <w:t>Variable</w:t>
            </w:r>
          </w:p>
        </w:tc>
        <w:tc>
          <w:tcPr>
            <w:tcW w:w="5909"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6EA8A6CF" w14:textId="77777777" w:rsidR="00221D86" w:rsidRPr="00C61B5A" w:rsidRDefault="00221D86" w:rsidP="00C977CD">
            <w:pPr>
              <w:spacing w:line="240" w:lineRule="auto"/>
              <w:jc w:val="center"/>
              <w:rPr>
                <w:rFonts w:ascii="Arial" w:eastAsia="Times New Roman" w:hAnsi="Arial" w:cs="Arial"/>
                <w:b/>
                <w:bCs/>
                <w:color w:val="FFFFFF" w:themeColor="background1"/>
                <w:szCs w:val="20"/>
              </w:rPr>
            </w:pPr>
            <w:r w:rsidRPr="00C61B5A">
              <w:rPr>
                <w:rFonts w:ascii="Arial" w:eastAsia="Times New Roman" w:hAnsi="Arial" w:cs="Arial"/>
                <w:b/>
                <w:bCs/>
                <w:color w:val="FFFFFF" w:themeColor="background1"/>
                <w:szCs w:val="20"/>
              </w:rPr>
              <w:t>Description</w:t>
            </w:r>
          </w:p>
        </w:tc>
        <w:tc>
          <w:tcPr>
            <w:tcW w:w="2340" w:type="dxa"/>
            <w:tcBorders>
              <w:top w:val="single" w:sz="4" w:space="0" w:color="auto"/>
              <w:left w:val="nil"/>
              <w:bottom w:val="single" w:sz="4" w:space="0" w:color="auto"/>
              <w:right w:val="single" w:sz="4" w:space="0" w:color="auto"/>
            </w:tcBorders>
            <w:shd w:val="clear" w:color="auto" w:fill="595959" w:themeFill="text1" w:themeFillTint="A6"/>
          </w:tcPr>
          <w:p w14:paraId="57143D4C" w14:textId="77777777" w:rsidR="00221D86" w:rsidRPr="00C61B5A" w:rsidRDefault="00221D86" w:rsidP="00C977CD">
            <w:pPr>
              <w:spacing w:line="240" w:lineRule="auto"/>
              <w:jc w:val="center"/>
              <w:rPr>
                <w:rFonts w:ascii="Arial" w:eastAsia="Times New Roman" w:hAnsi="Arial" w:cs="Arial"/>
                <w:b/>
                <w:bCs/>
                <w:color w:val="FFFFFF" w:themeColor="background1"/>
                <w:szCs w:val="20"/>
              </w:rPr>
            </w:pPr>
            <w:r w:rsidRPr="00C61B5A">
              <w:rPr>
                <w:rFonts w:ascii="Arial" w:eastAsia="Times New Roman" w:hAnsi="Arial" w:cs="Arial"/>
                <w:b/>
                <w:bCs/>
                <w:color w:val="FFFFFF" w:themeColor="background1"/>
                <w:szCs w:val="20"/>
              </w:rPr>
              <w:t xml:space="preserve">Secondary </w:t>
            </w:r>
            <w:r>
              <w:rPr>
                <w:rFonts w:ascii="Arial" w:eastAsia="Times New Roman" w:hAnsi="Arial" w:cs="Arial"/>
                <w:b/>
                <w:bCs/>
                <w:color w:val="FFFFFF" w:themeColor="background1"/>
                <w:szCs w:val="20"/>
              </w:rPr>
              <w:t>S</w:t>
            </w:r>
            <w:r w:rsidRPr="00C61B5A">
              <w:rPr>
                <w:rFonts w:ascii="Arial" w:eastAsia="Times New Roman" w:hAnsi="Arial" w:cs="Arial"/>
                <w:b/>
                <w:bCs/>
                <w:color w:val="FFFFFF" w:themeColor="background1"/>
                <w:szCs w:val="20"/>
              </w:rPr>
              <w:t>tructure</w:t>
            </w:r>
          </w:p>
        </w:tc>
      </w:tr>
      <w:tr w:rsidR="00221D86" w:rsidRPr="00817BD2" w14:paraId="442C6FBD" w14:textId="77777777" w:rsidTr="00C977CD">
        <w:trPr>
          <w:trHeight w:val="390"/>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60120DFF"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2FAFE8CC" w14:textId="77777777" w:rsidR="00221D86" w:rsidRPr="00C61B5A" w:rsidRDefault="00221D86" w:rsidP="00C977CD">
            <w:pPr>
              <w:spacing w:line="240" w:lineRule="auto"/>
              <w:rPr>
                <w:rFonts w:ascii="Arial" w:eastAsia="Times New Roman" w:hAnsi="Arial" w:cs="Arial"/>
                <w:bCs/>
                <w:color w:val="000000"/>
                <w:szCs w:val="20"/>
              </w:rPr>
            </w:pPr>
            <w:proofErr w:type="spellStart"/>
            <w:r w:rsidRPr="00C61B5A">
              <w:rPr>
                <w:rFonts w:ascii="Arial" w:eastAsia="Times New Roman" w:hAnsi="Arial" w:cs="Arial"/>
                <w:bCs/>
                <w:color w:val="000000"/>
                <w:szCs w:val="20"/>
              </w:rPr>
              <w:t>catanimsc</w:t>
            </w:r>
            <w:proofErr w:type="spellEnd"/>
          </w:p>
        </w:tc>
        <w:tc>
          <w:tcPr>
            <w:tcW w:w="5909" w:type="dxa"/>
            <w:tcBorders>
              <w:top w:val="nil"/>
              <w:left w:val="nil"/>
              <w:bottom w:val="single" w:sz="4" w:space="0" w:color="auto"/>
              <w:right w:val="single" w:sz="4" w:space="0" w:color="auto"/>
            </w:tcBorders>
            <w:shd w:val="clear" w:color="000000" w:fill="A5A5A5"/>
            <w:vAlign w:val="center"/>
            <w:hideMark/>
          </w:tcPr>
          <w:p w14:paraId="0A82A8F0"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Category Fluency (Animals) —Total Correct</w:t>
            </w:r>
          </w:p>
        </w:tc>
        <w:tc>
          <w:tcPr>
            <w:tcW w:w="2340" w:type="dxa"/>
            <w:tcBorders>
              <w:top w:val="single" w:sz="4" w:space="0" w:color="auto"/>
              <w:left w:val="nil"/>
              <w:bottom w:val="single" w:sz="4" w:space="0" w:color="auto"/>
              <w:right w:val="single" w:sz="4" w:space="0" w:color="auto"/>
            </w:tcBorders>
            <w:shd w:val="clear" w:color="000000" w:fill="A5A5A5"/>
          </w:tcPr>
          <w:p w14:paraId="5197B5F6"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56B0A1A4" w14:textId="77777777" w:rsidTr="00C977CD">
        <w:trPr>
          <w:trHeight w:val="330"/>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77C78989"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3CF451D8" w14:textId="77777777" w:rsidR="00221D86" w:rsidRPr="00C61B5A" w:rsidRDefault="00221D86" w:rsidP="00C977CD">
            <w:pPr>
              <w:spacing w:line="240" w:lineRule="auto"/>
              <w:rPr>
                <w:rFonts w:ascii="Arial" w:eastAsia="Times New Roman" w:hAnsi="Arial" w:cs="Arial"/>
                <w:bCs/>
                <w:color w:val="000000"/>
                <w:szCs w:val="20"/>
              </w:rPr>
            </w:pPr>
            <w:proofErr w:type="spellStart"/>
            <w:r>
              <w:rPr>
                <w:rFonts w:ascii="Arial" w:eastAsia="Times New Roman" w:hAnsi="Arial" w:cs="Arial"/>
                <w:bCs/>
                <w:color w:val="000000"/>
                <w:szCs w:val="20"/>
              </w:rPr>
              <w:t>c</w:t>
            </w:r>
            <w:r w:rsidRPr="00C61B5A">
              <w:rPr>
                <w:rFonts w:ascii="Arial" w:eastAsia="Times New Roman" w:hAnsi="Arial" w:cs="Arial"/>
                <w:bCs/>
                <w:color w:val="000000"/>
                <w:szCs w:val="20"/>
              </w:rPr>
              <w:t>atvegesc</w:t>
            </w:r>
            <w:proofErr w:type="spellEnd"/>
            <w:r>
              <w:rPr>
                <w:rFonts w:ascii="Arial" w:eastAsia="Times New Roman" w:hAnsi="Arial" w:cs="Arial"/>
                <w:bCs/>
                <w:color w:val="000000"/>
                <w:szCs w:val="20"/>
              </w:rPr>
              <w:t>*</w:t>
            </w:r>
          </w:p>
        </w:tc>
        <w:tc>
          <w:tcPr>
            <w:tcW w:w="5909" w:type="dxa"/>
            <w:tcBorders>
              <w:top w:val="nil"/>
              <w:left w:val="nil"/>
              <w:bottom w:val="single" w:sz="4" w:space="0" w:color="auto"/>
              <w:right w:val="single" w:sz="4" w:space="0" w:color="auto"/>
            </w:tcBorders>
            <w:shd w:val="clear" w:color="000000" w:fill="A5A5A5"/>
            <w:vAlign w:val="center"/>
            <w:hideMark/>
          </w:tcPr>
          <w:p w14:paraId="03F495BA"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Category Fluency (Veg</w:t>
            </w:r>
            <w:r>
              <w:rPr>
                <w:rFonts w:ascii="Arial" w:eastAsia="Times New Roman" w:hAnsi="Arial" w:cs="Arial"/>
                <w:bCs/>
                <w:color w:val="000000"/>
                <w:szCs w:val="20"/>
              </w:rPr>
              <w:t>etables</w:t>
            </w:r>
            <w:r w:rsidRPr="00C61B5A">
              <w:rPr>
                <w:rFonts w:ascii="Arial" w:eastAsia="Times New Roman" w:hAnsi="Arial" w:cs="Arial"/>
                <w:bCs/>
                <w:color w:val="000000"/>
                <w:szCs w:val="20"/>
              </w:rPr>
              <w:t>) —Total Correct</w:t>
            </w:r>
          </w:p>
        </w:tc>
        <w:tc>
          <w:tcPr>
            <w:tcW w:w="2340" w:type="dxa"/>
            <w:tcBorders>
              <w:top w:val="single" w:sz="4" w:space="0" w:color="auto"/>
              <w:left w:val="nil"/>
              <w:bottom w:val="single" w:sz="4" w:space="0" w:color="auto"/>
              <w:right w:val="single" w:sz="4" w:space="0" w:color="auto"/>
            </w:tcBorders>
            <w:shd w:val="clear" w:color="000000" w:fill="A5A5A5"/>
          </w:tcPr>
          <w:p w14:paraId="5920B445"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7DC89DE1" w14:textId="77777777" w:rsidTr="00C977CD">
        <w:trPr>
          <w:trHeight w:val="330"/>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513603F8"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20431072" w14:textId="77777777" w:rsidR="00221D86" w:rsidRPr="00C61B5A" w:rsidRDefault="00221D86" w:rsidP="00C977CD">
            <w:pPr>
              <w:spacing w:line="240" w:lineRule="auto"/>
              <w:rPr>
                <w:rFonts w:ascii="Arial" w:eastAsia="Times New Roman" w:hAnsi="Arial" w:cs="Arial"/>
                <w:bCs/>
                <w:color w:val="000000"/>
                <w:szCs w:val="20"/>
              </w:rPr>
            </w:pPr>
            <w:proofErr w:type="spellStart"/>
            <w:r>
              <w:rPr>
                <w:rFonts w:ascii="Arial" w:eastAsia="Times New Roman" w:hAnsi="Arial" w:cs="Arial"/>
                <w:bCs/>
                <w:color w:val="000000"/>
                <w:szCs w:val="20"/>
              </w:rPr>
              <w:t>b</w:t>
            </w:r>
            <w:r w:rsidRPr="00C61B5A">
              <w:rPr>
                <w:rFonts w:ascii="Arial" w:eastAsia="Times New Roman" w:hAnsi="Arial" w:cs="Arial"/>
                <w:bCs/>
                <w:color w:val="000000"/>
                <w:szCs w:val="20"/>
              </w:rPr>
              <w:t>nttotal</w:t>
            </w:r>
            <w:proofErr w:type="spellEnd"/>
            <w:r>
              <w:rPr>
                <w:rFonts w:ascii="Arial" w:eastAsia="Times New Roman" w:hAnsi="Arial" w:cs="Arial"/>
                <w:bCs/>
                <w:color w:val="000000"/>
                <w:szCs w:val="20"/>
              </w:rPr>
              <w:t>**</w:t>
            </w:r>
          </w:p>
        </w:tc>
        <w:tc>
          <w:tcPr>
            <w:tcW w:w="5909" w:type="dxa"/>
            <w:tcBorders>
              <w:top w:val="nil"/>
              <w:left w:val="nil"/>
              <w:bottom w:val="single" w:sz="4" w:space="0" w:color="auto"/>
              <w:right w:val="single" w:sz="4" w:space="0" w:color="auto"/>
            </w:tcBorders>
            <w:shd w:val="clear" w:color="000000" w:fill="A5A5A5"/>
            <w:vAlign w:val="center"/>
            <w:hideMark/>
          </w:tcPr>
          <w:p w14:paraId="47DAA69A"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BNT: Boston Naming Test: </w:t>
            </w:r>
            <w:r w:rsidRPr="00C61B5A">
              <w:rPr>
                <w:rFonts w:ascii="Arial" w:eastAsia="Times New Roman" w:hAnsi="Arial" w:cs="Arial"/>
                <w:bCs/>
                <w:color w:val="000000"/>
                <w:szCs w:val="20"/>
              </w:rPr>
              <w:t>Total Number Correct (1+3)</w:t>
            </w:r>
          </w:p>
        </w:tc>
        <w:tc>
          <w:tcPr>
            <w:tcW w:w="2340" w:type="dxa"/>
            <w:tcBorders>
              <w:top w:val="single" w:sz="4" w:space="0" w:color="auto"/>
              <w:left w:val="nil"/>
              <w:bottom w:val="single" w:sz="4" w:space="0" w:color="auto"/>
              <w:right w:val="single" w:sz="4" w:space="0" w:color="auto"/>
            </w:tcBorders>
            <w:shd w:val="clear" w:color="000000" w:fill="A5A5A5"/>
          </w:tcPr>
          <w:p w14:paraId="2A363CD6"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558E0150" w14:textId="77777777" w:rsidTr="00C977CD">
        <w:trPr>
          <w:trHeight w:val="300"/>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145DAD2A"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68C8D170"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q2score</w:t>
            </w:r>
          </w:p>
        </w:tc>
        <w:tc>
          <w:tcPr>
            <w:tcW w:w="5909" w:type="dxa"/>
            <w:tcBorders>
              <w:top w:val="nil"/>
              <w:left w:val="nil"/>
              <w:bottom w:val="single" w:sz="4" w:space="0" w:color="auto"/>
              <w:right w:val="single" w:sz="4" w:space="0" w:color="auto"/>
            </w:tcBorders>
            <w:shd w:val="clear" w:color="000000" w:fill="A5A5A5"/>
            <w:noWrap/>
            <w:vAlign w:val="center"/>
            <w:hideMark/>
          </w:tcPr>
          <w:p w14:paraId="7B17A3D4"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ADAS</w:t>
            </w:r>
            <w:r>
              <w:rPr>
                <w:rFonts w:ascii="Arial" w:eastAsia="Times New Roman" w:hAnsi="Arial" w:cs="Arial"/>
                <w:bCs/>
                <w:color w:val="000000"/>
                <w:szCs w:val="20"/>
              </w:rPr>
              <w:t>-Cog:</w:t>
            </w:r>
            <w:r w:rsidRPr="00C61B5A">
              <w:rPr>
                <w:rFonts w:ascii="Arial" w:eastAsia="Times New Roman" w:hAnsi="Arial" w:cs="Arial"/>
                <w:bCs/>
                <w:color w:val="000000"/>
                <w:szCs w:val="20"/>
              </w:rPr>
              <w:t xml:space="preserve"> Commands</w:t>
            </w:r>
          </w:p>
        </w:tc>
        <w:tc>
          <w:tcPr>
            <w:tcW w:w="2340" w:type="dxa"/>
            <w:tcBorders>
              <w:top w:val="single" w:sz="4" w:space="0" w:color="auto"/>
              <w:left w:val="nil"/>
              <w:bottom w:val="single" w:sz="4" w:space="0" w:color="auto"/>
              <w:right w:val="single" w:sz="4" w:space="0" w:color="auto"/>
            </w:tcBorders>
            <w:shd w:val="clear" w:color="000000" w:fill="A5A5A5"/>
          </w:tcPr>
          <w:p w14:paraId="54F4FCAB"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58A7ED8C" w14:textId="77777777" w:rsidTr="00C977CD">
        <w:trPr>
          <w:trHeight w:val="300"/>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43D5480F"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683A33CD"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q5score</w:t>
            </w:r>
          </w:p>
        </w:tc>
        <w:tc>
          <w:tcPr>
            <w:tcW w:w="5909" w:type="dxa"/>
            <w:tcBorders>
              <w:top w:val="nil"/>
              <w:left w:val="nil"/>
              <w:bottom w:val="single" w:sz="4" w:space="0" w:color="auto"/>
              <w:right w:val="single" w:sz="4" w:space="0" w:color="auto"/>
            </w:tcBorders>
            <w:shd w:val="clear" w:color="000000" w:fill="A5A5A5"/>
            <w:noWrap/>
            <w:vAlign w:val="center"/>
            <w:hideMark/>
          </w:tcPr>
          <w:p w14:paraId="1BE21CD6"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ADAS</w:t>
            </w:r>
            <w:r>
              <w:rPr>
                <w:rFonts w:ascii="Arial" w:eastAsia="Times New Roman" w:hAnsi="Arial" w:cs="Arial"/>
                <w:bCs/>
                <w:color w:val="000000"/>
                <w:szCs w:val="20"/>
              </w:rPr>
              <w:t>-Cog:</w:t>
            </w:r>
            <w:r w:rsidRPr="00C61B5A">
              <w:rPr>
                <w:rFonts w:ascii="Arial" w:eastAsia="Times New Roman" w:hAnsi="Arial" w:cs="Arial"/>
                <w:bCs/>
                <w:color w:val="000000"/>
                <w:szCs w:val="20"/>
              </w:rPr>
              <w:t xml:space="preserve"> Naming</w:t>
            </w:r>
          </w:p>
        </w:tc>
        <w:tc>
          <w:tcPr>
            <w:tcW w:w="2340" w:type="dxa"/>
            <w:tcBorders>
              <w:top w:val="single" w:sz="4" w:space="0" w:color="auto"/>
              <w:left w:val="nil"/>
              <w:bottom w:val="single" w:sz="4" w:space="0" w:color="auto"/>
              <w:right w:val="single" w:sz="4" w:space="0" w:color="auto"/>
            </w:tcBorders>
            <w:shd w:val="clear" w:color="000000" w:fill="A5A5A5"/>
          </w:tcPr>
          <w:p w14:paraId="4C78FDA8"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292CB05B" w14:textId="77777777" w:rsidTr="00C977CD">
        <w:trPr>
          <w:trHeight w:val="360"/>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3D50F3B1"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65A1B35A"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q6score</w:t>
            </w:r>
          </w:p>
        </w:tc>
        <w:tc>
          <w:tcPr>
            <w:tcW w:w="5909" w:type="dxa"/>
            <w:tcBorders>
              <w:top w:val="nil"/>
              <w:left w:val="nil"/>
              <w:bottom w:val="single" w:sz="4" w:space="0" w:color="auto"/>
              <w:right w:val="single" w:sz="4" w:space="0" w:color="auto"/>
            </w:tcBorders>
            <w:shd w:val="clear" w:color="000000" w:fill="A5A5A5"/>
            <w:vAlign w:val="center"/>
            <w:hideMark/>
          </w:tcPr>
          <w:p w14:paraId="076A6CAC"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ADAS-Cog: </w:t>
            </w:r>
            <w:r w:rsidRPr="00C61B5A">
              <w:rPr>
                <w:rFonts w:ascii="Arial" w:eastAsia="Times New Roman" w:hAnsi="Arial" w:cs="Arial"/>
                <w:bCs/>
                <w:color w:val="000000"/>
                <w:szCs w:val="20"/>
              </w:rPr>
              <w:t>Ideational Praxis—score</w:t>
            </w:r>
          </w:p>
        </w:tc>
        <w:tc>
          <w:tcPr>
            <w:tcW w:w="2340" w:type="dxa"/>
            <w:tcBorders>
              <w:top w:val="single" w:sz="4" w:space="0" w:color="auto"/>
              <w:left w:val="nil"/>
              <w:bottom w:val="single" w:sz="4" w:space="0" w:color="auto"/>
              <w:right w:val="single" w:sz="4" w:space="0" w:color="auto"/>
            </w:tcBorders>
            <w:shd w:val="clear" w:color="000000" w:fill="A5A5A5"/>
          </w:tcPr>
          <w:p w14:paraId="18D7C852"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3865AA1D" w14:textId="77777777" w:rsidTr="00C977CD">
        <w:trPr>
          <w:trHeight w:val="315"/>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3276603C"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0256BB16" w14:textId="77777777" w:rsidR="00221D86" w:rsidRPr="00C61B5A" w:rsidRDefault="00221D86" w:rsidP="00C977CD">
            <w:pPr>
              <w:spacing w:line="240" w:lineRule="auto"/>
              <w:rPr>
                <w:rFonts w:ascii="Arial" w:eastAsia="Times New Roman" w:hAnsi="Arial" w:cs="Arial"/>
                <w:bCs/>
                <w:color w:val="000000"/>
                <w:szCs w:val="20"/>
              </w:rPr>
            </w:pPr>
            <w:proofErr w:type="spellStart"/>
            <w:r w:rsidRPr="00C61B5A">
              <w:rPr>
                <w:rFonts w:ascii="Arial" w:eastAsia="Times New Roman" w:hAnsi="Arial" w:cs="Arial"/>
                <w:bCs/>
                <w:color w:val="000000"/>
                <w:szCs w:val="20"/>
              </w:rPr>
              <w:t>mmrepeat</w:t>
            </w:r>
            <w:proofErr w:type="spellEnd"/>
          </w:p>
        </w:tc>
        <w:tc>
          <w:tcPr>
            <w:tcW w:w="5909" w:type="dxa"/>
            <w:tcBorders>
              <w:top w:val="nil"/>
              <w:left w:val="nil"/>
              <w:bottom w:val="single" w:sz="4" w:space="0" w:color="auto"/>
              <w:right w:val="single" w:sz="4" w:space="0" w:color="auto"/>
            </w:tcBorders>
            <w:shd w:val="clear" w:color="000000" w:fill="A5A5A5"/>
            <w:noWrap/>
            <w:vAlign w:val="center"/>
            <w:hideMark/>
          </w:tcPr>
          <w:p w14:paraId="5453F3F0"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C61B5A">
              <w:rPr>
                <w:rFonts w:ascii="Arial" w:eastAsia="Times New Roman" w:hAnsi="Arial" w:cs="Arial"/>
                <w:bCs/>
                <w:color w:val="000000"/>
                <w:szCs w:val="20"/>
              </w:rPr>
              <w:t>Repeat after me: no ifs, ands, or buts.</w:t>
            </w:r>
          </w:p>
        </w:tc>
        <w:tc>
          <w:tcPr>
            <w:tcW w:w="2340" w:type="dxa"/>
            <w:tcBorders>
              <w:top w:val="single" w:sz="4" w:space="0" w:color="auto"/>
              <w:left w:val="nil"/>
              <w:bottom w:val="single" w:sz="4" w:space="0" w:color="auto"/>
              <w:right w:val="single" w:sz="4" w:space="0" w:color="auto"/>
            </w:tcBorders>
            <w:shd w:val="clear" w:color="000000" w:fill="A5A5A5"/>
          </w:tcPr>
          <w:p w14:paraId="33C219D4"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598450EA" w14:textId="77777777" w:rsidTr="00C977CD">
        <w:trPr>
          <w:trHeight w:val="315"/>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2F3BFB0B"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2B1AAD0A" w14:textId="77777777" w:rsidR="00221D86" w:rsidRPr="00C61B5A" w:rsidRDefault="00221D86" w:rsidP="00C977CD">
            <w:pPr>
              <w:spacing w:line="240" w:lineRule="auto"/>
              <w:rPr>
                <w:rFonts w:ascii="Arial" w:eastAsia="Times New Roman" w:hAnsi="Arial" w:cs="Arial"/>
                <w:bCs/>
                <w:color w:val="000000"/>
                <w:szCs w:val="20"/>
              </w:rPr>
            </w:pPr>
            <w:proofErr w:type="spellStart"/>
            <w:r w:rsidRPr="00C61B5A">
              <w:rPr>
                <w:rFonts w:ascii="Arial" w:eastAsia="Times New Roman" w:hAnsi="Arial" w:cs="Arial"/>
                <w:bCs/>
                <w:color w:val="000000"/>
                <w:szCs w:val="20"/>
              </w:rPr>
              <w:t>mmhand</w:t>
            </w:r>
            <w:proofErr w:type="spellEnd"/>
          </w:p>
        </w:tc>
        <w:tc>
          <w:tcPr>
            <w:tcW w:w="5909" w:type="dxa"/>
            <w:tcBorders>
              <w:top w:val="nil"/>
              <w:left w:val="nil"/>
              <w:bottom w:val="single" w:sz="4" w:space="0" w:color="auto"/>
              <w:right w:val="single" w:sz="4" w:space="0" w:color="auto"/>
            </w:tcBorders>
            <w:shd w:val="clear" w:color="000000" w:fill="A5A5A5"/>
            <w:vAlign w:val="center"/>
            <w:hideMark/>
          </w:tcPr>
          <w:p w14:paraId="396D1C85"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C61B5A">
              <w:rPr>
                <w:rFonts w:ascii="Arial" w:eastAsia="Times New Roman" w:hAnsi="Arial" w:cs="Arial"/>
                <w:bCs/>
                <w:color w:val="000000"/>
                <w:szCs w:val="20"/>
              </w:rPr>
              <w:t>Takes paper in right hand</w:t>
            </w:r>
          </w:p>
        </w:tc>
        <w:tc>
          <w:tcPr>
            <w:tcW w:w="2340" w:type="dxa"/>
            <w:tcBorders>
              <w:top w:val="single" w:sz="4" w:space="0" w:color="auto"/>
              <w:left w:val="nil"/>
              <w:bottom w:val="single" w:sz="4" w:space="0" w:color="auto"/>
              <w:right w:val="single" w:sz="4" w:space="0" w:color="auto"/>
            </w:tcBorders>
            <w:shd w:val="clear" w:color="000000" w:fill="A5A5A5"/>
          </w:tcPr>
          <w:p w14:paraId="29EBE386"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7707BDDC" w14:textId="77777777" w:rsidTr="00C977CD">
        <w:trPr>
          <w:trHeight w:val="330"/>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4420F48E"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3F52B35E" w14:textId="77777777" w:rsidR="00221D86" w:rsidRPr="00C61B5A" w:rsidRDefault="00221D86" w:rsidP="00C977CD">
            <w:pPr>
              <w:spacing w:line="240" w:lineRule="auto"/>
              <w:rPr>
                <w:rFonts w:ascii="Arial" w:eastAsia="Times New Roman" w:hAnsi="Arial" w:cs="Arial"/>
                <w:bCs/>
                <w:color w:val="000000"/>
                <w:szCs w:val="20"/>
              </w:rPr>
            </w:pPr>
            <w:proofErr w:type="spellStart"/>
            <w:r w:rsidRPr="00C61B5A">
              <w:rPr>
                <w:rFonts w:ascii="Arial" w:eastAsia="Times New Roman" w:hAnsi="Arial" w:cs="Arial"/>
                <w:bCs/>
                <w:color w:val="000000"/>
                <w:szCs w:val="20"/>
              </w:rPr>
              <w:t>mmfold</w:t>
            </w:r>
            <w:proofErr w:type="spellEnd"/>
          </w:p>
        </w:tc>
        <w:tc>
          <w:tcPr>
            <w:tcW w:w="5909" w:type="dxa"/>
            <w:tcBorders>
              <w:top w:val="nil"/>
              <w:left w:val="nil"/>
              <w:bottom w:val="single" w:sz="4" w:space="0" w:color="auto"/>
              <w:right w:val="single" w:sz="4" w:space="0" w:color="auto"/>
            </w:tcBorders>
            <w:shd w:val="clear" w:color="000000" w:fill="A5A5A5"/>
            <w:vAlign w:val="center"/>
            <w:hideMark/>
          </w:tcPr>
          <w:p w14:paraId="62B7F76F"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C61B5A">
              <w:rPr>
                <w:rFonts w:ascii="Arial" w:eastAsia="Times New Roman" w:hAnsi="Arial" w:cs="Arial"/>
                <w:bCs/>
                <w:color w:val="000000"/>
                <w:szCs w:val="20"/>
              </w:rPr>
              <w:t>Folds paper in half</w:t>
            </w:r>
          </w:p>
        </w:tc>
        <w:tc>
          <w:tcPr>
            <w:tcW w:w="2340" w:type="dxa"/>
            <w:tcBorders>
              <w:top w:val="single" w:sz="4" w:space="0" w:color="auto"/>
              <w:left w:val="nil"/>
              <w:bottom w:val="single" w:sz="4" w:space="0" w:color="auto"/>
              <w:right w:val="single" w:sz="4" w:space="0" w:color="auto"/>
            </w:tcBorders>
            <w:shd w:val="clear" w:color="000000" w:fill="A5A5A5"/>
          </w:tcPr>
          <w:p w14:paraId="469C58CE"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72FF7ADD" w14:textId="77777777" w:rsidTr="00C977CD">
        <w:trPr>
          <w:trHeight w:val="285"/>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7F0B97C1"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7AC9CA9C" w14:textId="77777777" w:rsidR="00221D86" w:rsidRPr="00C61B5A" w:rsidRDefault="00221D86" w:rsidP="00C977CD">
            <w:pPr>
              <w:spacing w:line="240" w:lineRule="auto"/>
              <w:rPr>
                <w:rFonts w:ascii="Arial" w:eastAsia="Times New Roman" w:hAnsi="Arial" w:cs="Arial"/>
                <w:bCs/>
                <w:color w:val="000000"/>
                <w:szCs w:val="20"/>
              </w:rPr>
            </w:pPr>
            <w:proofErr w:type="spellStart"/>
            <w:r w:rsidRPr="00C61B5A">
              <w:rPr>
                <w:rFonts w:ascii="Arial" w:eastAsia="Times New Roman" w:hAnsi="Arial" w:cs="Arial"/>
                <w:bCs/>
                <w:color w:val="000000"/>
                <w:szCs w:val="20"/>
              </w:rPr>
              <w:t>mmonflr</w:t>
            </w:r>
            <w:proofErr w:type="spellEnd"/>
          </w:p>
        </w:tc>
        <w:tc>
          <w:tcPr>
            <w:tcW w:w="5909" w:type="dxa"/>
            <w:tcBorders>
              <w:top w:val="nil"/>
              <w:left w:val="nil"/>
              <w:bottom w:val="single" w:sz="4" w:space="0" w:color="auto"/>
              <w:right w:val="single" w:sz="4" w:space="0" w:color="auto"/>
            </w:tcBorders>
            <w:shd w:val="clear" w:color="000000" w:fill="A5A5A5"/>
            <w:vAlign w:val="center"/>
            <w:hideMark/>
          </w:tcPr>
          <w:p w14:paraId="2A6EBA7C"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C61B5A">
              <w:rPr>
                <w:rFonts w:ascii="Arial" w:eastAsia="Times New Roman" w:hAnsi="Arial" w:cs="Arial"/>
                <w:bCs/>
                <w:color w:val="000000"/>
                <w:szCs w:val="20"/>
              </w:rPr>
              <w:t>Puts paper on floor</w:t>
            </w:r>
          </w:p>
        </w:tc>
        <w:tc>
          <w:tcPr>
            <w:tcW w:w="2340" w:type="dxa"/>
            <w:tcBorders>
              <w:top w:val="single" w:sz="4" w:space="0" w:color="auto"/>
              <w:left w:val="nil"/>
              <w:bottom w:val="single" w:sz="4" w:space="0" w:color="auto"/>
              <w:right w:val="single" w:sz="4" w:space="0" w:color="auto"/>
            </w:tcBorders>
            <w:shd w:val="clear" w:color="000000" w:fill="A5A5A5"/>
          </w:tcPr>
          <w:p w14:paraId="74F4EB9A"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07F0617E" w14:textId="77777777" w:rsidTr="00C977CD">
        <w:trPr>
          <w:trHeight w:val="300"/>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4E195D4E"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3E1D5E44" w14:textId="77777777" w:rsidR="00221D86" w:rsidRPr="00C61B5A" w:rsidRDefault="00221D86" w:rsidP="00C977CD">
            <w:pPr>
              <w:spacing w:line="240" w:lineRule="auto"/>
              <w:rPr>
                <w:rFonts w:ascii="Arial" w:eastAsia="Times New Roman" w:hAnsi="Arial" w:cs="Arial"/>
                <w:bCs/>
                <w:color w:val="000000"/>
                <w:szCs w:val="20"/>
              </w:rPr>
            </w:pPr>
            <w:proofErr w:type="spellStart"/>
            <w:r w:rsidRPr="00C61B5A">
              <w:rPr>
                <w:rFonts w:ascii="Arial" w:eastAsia="Times New Roman" w:hAnsi="Arial" w:cs="Arial"/>
                <w:bCs/>
                <w:color w:val="000000"/>
                <w:szCs w:val="20"/>
              </w:rPr>
              <w:t>mmread</w:t>
            </w:r>
            <w:proofErr w:type="spellEnd"/>
          </w:p>
        </w:tc>
        <w:tc>
          <w:tcPr>
            <w:tcW w:w="5909" w:type="dxa"/>
            <w:tcBorders>
              <w:top w:val="nil"/>
              <w:left w:val="nil"/>
              <w:bottom w:val="single" w:sz="4" w:space="0" w:color="auto"/>
              <w:right w:val="single" w:sz="4" w:space="0" w:color="auto"/>
            </w:tcBorders>
            <w:shd w:val="clear" w:color="000000" w:fill="A5A5A5"/>
            <w:noWrap/>
            <w:vAlign w:val="center"/>
            <w:hideMark/>
          </w:tcPr>
          <w:p w14:paraId="07B623E2"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C61B5A">
              <w:rPr>
                <w:rFonts w:ascii="Arial" w:eastAsia="Times New Roman" w:hAnsi="Arial" w:cs="Arial"/>
                <w:bCs/>
                <w:color w:val="000000"/>
                <w:szCs w:val="20"/>
              </w:rPr>
              <w:t>Present the piece of paper</w:t>
            </w:r>
            <w:r>
              <w:rPr>
                <w:rFonts w:ascii="Arial" w:eastAsia="Times New Roman" w:hAnsi="Arial" w:cs="Arial"/>
                <w:bCs/>
                <w:color w:val="000000"/>
                <w:szCs w:val="20"/>
              </w:rPr>
              <w:t xml:space="preserve"> which reads</w:t>
            </w:r>
          </w:p>
        </w:tc>
        <w:tc>
          <w:tcPr>
            <w:tcW w:w="2340" w:type="dxa"/>
            <w:tcBorders>
              <w:top w:val="single" w:sz="4" w:space="0" w:color="auto"/>
              <w:left w:val="nil"/>
              <w:bottom w:val="single" w:sz="4" w:space="0" w:color="auto"/>
              <w:right w:val="single" w:sz="4" w:space="0" w:color="auto"/>
            </w:tcBorders>
            <w:shd w:val="clear" w:color="000000" w:fill="A5A5A5"/>
          </w:tcPr>
          <w:p w14:paraId="718B4C05"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3003E5CE" w14:textId="77777777" w:rsidTr="00C977CD">
        <w:trPr>
          <w:trHeight w:val="300"/>
        </w:trPr>
        <w:tc>
          <w:tcPr>
            <w:tcW w:w="960" w:type="dxa"/>
            <w:tcBorders>
              <w:top w:val="nil"/>
              <w:left w:val="single" w:sz="4" w:space="0" w:color="auto"/>
              <w:bottom w:val="single" w:sz="4" w:space="0" w:color="auto"/>
              <w:right w:val="single" w:sz="4" w:space="0" w:color="auto"/>
            </w:tcBorders>
            <w:shd w:val="clear" w:color="000000" w:fill="A5A5A5"/>
            <w:noWrap/>
            <w:vAlign w:val="center"/>
            <w:hideMark/>
          </w:tcPr>
          <w:p w14:paraId="2BD8D40D"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A5A5A5"/>
            <w:vAlign w:val="center"/>
            <w:hideMark/>
          </w:tcPr>
          <w:p w14:paraId="384BAFD2" w14:textId="77777777" w:rsidR="00221D86" w:rsidRPr="00C61B5A" w:rsidRDefault="00221D86" w:rsidP="00C977CD">
            <w:pPr>
              <w:spacing w:line="240" w:lineRule="auto"/>
              <w:rPr>
                <w:rFonts w:ascii="Arial" w:eastAsia="Times New Roman" w:hAnsi="Arial" w:cs="Arial"/>
                <w:bCs/>
                <w:color w:val="000000"/>
                <w:szCs w:val="20"/>
              </w:rPr>
            </w:pPr>
            <w:proofErr w:type="spellStart"/>
            <w:r w:rsidRPr="00C61B5A">
              <w:rPr>
                <w:rFonts w:ascii="Arial" w:eastAsia="Times New Roman" w:hAnsi="Arial" w:cs="Arial"/>
                <w:bCs/>
                <w:color w:val="000000"/>
                <w:szCs w:val="20"/>
              </w:rPr>
              <w:t>mmwrite</w:t>
            </w:r>
            <w:proofErr w:type="spellEnd"/>
          </w:p>
        </w:tc>
        <w:tc>
          <w:tcPr>
            <w:tcW w:w="5909" w:type="dxa"/>
            <w:tcBorders>
              <w:top w:val="nil"/>
              <w:left w:val="nil"/>
              <w:bottom w:val="single" w:sz="4" w:space="0" w:color="auto"/>
              <w:right w:val="single" w:sz="4" w:space="0" w:color="auto"/>
            </w:tcBorders>
            <w:shd w:val="clear" w:color="000000" w:fill="A5A5A5"/>
            <w:noWrap/>
            <w:vAlign w:val="center"/>
            <w:hideMark/>
          </w:tcPr>
          <w:p w14:paraId="4AA4CE80"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MMSE: </w:t>
            </w:r>
            <w:r w:rsidRPr="00C61B5A">
              <w:rPr>
                <w:rFonts w:ascii="Arial" w:eastAsia="Times New Roman" w:hAnsi="Arial" w:cs="Arial"/>
                <w:bCs/>
                <w:color w:val="000000"/>
                <w:szCs w:val="20"/>
              </w:rPr>
              <w:t>Write a sentence.</w:t>
            </w:r>
          </w:p>
        </w:tc>
        <w:tc>
          <w:tcPr>
            <w:tcW w:w="2340" w:type="dxa"/>
            <w:tcBorders>
              <w:top w:val="single" w:sz="4" w:space="0" w:color="auto"/>
              <w:left w:val="nil"/>
              <w:bottom w:val="single" w:sz="4" w:space="0" w:color="auto"/>
              <w:right w:val="single" w:sz="4" w:space="0" w:color="auto"/>
            </w:tcBorders>
            <w:shd w:val="clear" w:color="000000" w:fill="A5A5A5"/>
          </w:tcPr>
          <w:p w14:paraId="2F92DBB8"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292E2956" w14:textId="77777777" w:rsidTr="00C977CD">
        <w:trPr>
          <w:trHeight w:val="300"/>
        </w:trPr>
        <w:tc>
          <w:tcPr>
            <w:tcW w:w="960" w:type="dxa"/>
            <w:tcBorders>
              <w:top w:val="nil"/>
              <w:left w:val="single" w:sz="4" w:space="0" w:color="auto"/>
              <w:bottom w:val="single" w:sz="4" w:space="0" w:color="auto"/>
              <w:right w:val="single" w:sz="4" w:space="0" w:color="auto"/>
            </w:tcBorders>
            <w:shd w:val="clear" w:color="000000" w:fill="B4C6E7"/>
            <w:noWrap/>
            <w:vAlign w:val="bottom"/>
            <w:hideMark/>
          </w:tcPr>
          <w:p w14:paraId="2093E003"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B4C6E7"/>
            <w:noWrap/>
            <w:vAlign w:val="bottom"/>
            <w:hideMark/>
          </w:tcPr>
          <w:p w14:paraId="64059433"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camel</w:t>
            </w:r>
          </w:p>
        </w:tc>
        <w:tc>
          <w:tcPr>
            <w:tcW w:w="5909" w:type="dxa"/>
            <w:tcBorders>
              <w:top w:val="nil"/>
              <w:left w:val="nil"/>
              <w:bottom w:val="single" w:sz="4" w:space="0" w:color="auto"/>
              <w:right w:val="single" w:sz="4" w:space="0" w:color="auto"/>
            </w:tcBorders>
            <w:shd w:val="clear" w:color="000000" w:fill="B4C6E7"/>
            <w:noWrap/>
            <w:vAlign w:val="bottom"/>
            <w:hideMark/>
          </w:tcPr>
          <w:p w14:paraId="451362CF"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MoCA: </w:t>
            </w:r>
            <w:r w:rsidRPr="00C61B5A">
              <w:rPr>
                <w:rFonts w:ascii="Arial" w:eastAsia="Times New Roman" w:hAnsi="Arial" w:cs="Arial"/>
                <w:bCs/>
                <w:color w:val="000000"/>
                <w:szCs w:val="20"/>
              </w:rPr>
              <w:t>Camel</w:t>
            </w:r>
            <w:r>
              <w:rPr>
                <w:rFonts w:ascii="Arial" w:eastAsia="Times New Roman" w:hAnsi="Arial" w:cs="Arial"/>
                <w:bCs/>
                <w:color w:val="000000"/>
                <w:szCs w:val="20"/>
              </w:rPr>
              <w:t xml:space="preserve"> naming</w:t>
            </w:r>
          </w:p>
        </w:tc>
        <w:tc>
          <w:tcPr>
            <w:tcW w:w="2340" w:type="dxa"/>
            <w:tcBorders>
              <w:top w:val="single" w:sz="4" w:space="0" w:color="auto"/>
              <w:left w:val="nil"/>
              <w:bottom w:val="single" w:sz="4" w:space="0" w:color="auto"/>
              <w:right w:val="single" w:sz="4" w:space="0" w:color="auto"/>
            </w:tcBorders>
            <w:shd w:val="clear" w:color="000000" w:fill="B4C6E7"/>
          </w:tcPr>
          <w:p w14:paraId="13C289D3"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28831CD3" w14:textId="77777777" w:rsidTr="00C977CD">
        <w:trPr>
          <w:trHeight w:val="300"/>
        </w:trPr>
        <w:tc>
          <w:tcPr>
            <w:tcW w:w="960" w:type="dxa"/>
            <w:tcBorders>
              <w:top w:val="nil"/>
              <w:left w:val="single" w:sz="4" w:space="0" w:color="auto"/>
              <w:bottom w:val="single" w:sz="4" w:space="0" w:color="auto"/>
              <w:right w:val="single" w:sz="4" w:space="0" w:color="auto"/>
            </w:tcBorders>
            <w:shd w:val="clear" w:color="000000" w:fill="B4C6E7"/>
            <w:noWrap/>
            <w:vAlign w:val="bottom"/>
            <w:hideMark/>
          </w:tcPr>
          <w:p w14:paraId="6AF49F3B"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B4C6E7"/>
            <w:noWrap/>
            <w:vAlign w:val="bottom"/>
            <w:hideMark/>
          </w:tcPr>
          <w:p w14:paraId="458D9637"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lion</w:t>
            </w:r>
          </w:p>
        </w:tc>
        <w:tc>
          <w:tcPr>
            <w:tcW w:w="5909" w:type="dxa"/>
            <w:tcBorders>
              <w:top w:val="nil"/>
              <w:left w:val="nil"/>
              <w:bottom w:val="single" w:sz="4" w:space="0" w:color="auto"/>
              <w:right w:val="single" w:sz="4" w:space="0" w:color="auto"/>
            </w:tcBorders>
            <w:shd w:val="clear" w:color="000000" w:fill="B4C6E7"/>
            <w:noWrap/>
            <w:vAlign w:val="bottom"/>
            <w:hideMark/>
          </w:tcPr>
          <w:p w14:paraId="63C89884"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MoCA: </w:t>
            </w:r>
            <w:r w:rsidRPr="00C61B5A">
              <w:rPr>
                <w:rFonts w:ascii="Arial" w:eastAsia="Times New Roman" w:hAnsi="Arial" w:cs="Arial"/>
                <w:bCs/>
                <w:color w:val="000000"/>
                <w:szCs w:val="20"/>
              </w:rPr>
              <w:t>Lion</w:t>
            </w:r>
            <w:r>
              <w:rPr>
                <w:rFonts w:ascii="Arial" w:eastAsia="Times New Roman" w:hAnsi="Arial" w:cs="Arial"/>
                <w:bCs/>
                <w:color w:val="000000"/>
                <w:szCs w:val="20"/>
              </w:rPr>
              <w:t xml:space="preserve"> naming</w:t>
            </w:r>
          </w:p>
        </w:tc>
        <w:tc>
          <w:tcPr>
            <w:tcW w:w="2340" w:type="dxa"/>
            <w:tcBorders>
              <w:top w:val="single" w:sz="4" w:space="0" w:color="auto"/>
              <w:left w:val="nil"/>
              <w:bottom w:val="single" w:sz="4" w:space="0" w:color="auto"/>
              <w:right w:val="single" w:sz="4" w:space="0" w:color="auto"/>
            </w:tcBorders>
            <w:shd w:val="clear" w:color="000000" w:fill="B4C6E7"/>
          </w:tcPr>
          <w:p w14:paraId="218FE64F"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08D496DE" w14:textId="77777777" w:rsidTr="00C977CD">
        <w:trPr>
          <w:trHeight w:val="300"/>
        </w:trPr>
        <w:tc>
          <w:tcPr>
            <w:tcW w:w="960" w:type="dxa"/>
            <w:tcBorders>
              <w:top w:val="nil"/>
              <w:left w:val="single" w:sz="4" w:space="0" w:color="auto"/>
              <w:bottom w:val="single" w:sz="4" w:space="0" w:color="auto"/>
              <w:right w:val="single" w:sz="4" w:space="0" w:color="auto"/>
            </w:tcBorders>
            <w:shd w:val="clear" w:color="000000" w:fill="B4C6E7"/>
            <w:noWrap/>
            <w:vAlign w:val="bottom"/>
            <w:hideMark/>
          </w:tcPr>
          <w:p w14:paraId="48F58000"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B4C6E7"/>
            <w:noWrap/>
            <w:vAlign w:val="bottom"/>
            <w:hideMark/>
          </w:tcPr>
          <w:p w14:paraId="0D3C666E"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rhino</w:t>
            </w:r>
          </w:p>
        </w:tc>
        <w:tc>
          <w:tcPr>
            <w:tcW w:w="5909" w:type="dxa"/>
            <w:tcBorders>
              <w:top w:val="nil"/>
              <w:left w:val="nil"/>
              <w:bottom w:val="single" w:sz="4" w:space="0" w:color="auto"/>
              <w:right w:val="single" w:sz="4" w:space="0" w:color="auto"/>
            </w:tcBorders>
            <w:shd w:val="clear" w:color="000000" w:fill="B4C6E7"/>
            <w:noWrap/>
            <w:vAlign w:val="bottom"/>
            <w:hideMark/>
          </w:tcPr>
          <w:p w14:paraId="6132490D"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MoCA: </w:t>
            </w:r>
            <w:r w:rsidRPr="00C61B5A">
              <w:rPr>
                <w:rFonts w:ascii="Arial" w:eastAsia="Times New Roman" w:hAnsi="Arial" w:cs="Arial"/>
                <w:bCs/>
                <w:color w:val="000000"/>
                <w:szCs w:val="20"/>
              </w:rPr>
              <w:t>Rhinoceros</w:t>
            </w:r>
            <w:r>
              <w:rPr>
                <w:rFonts w:ascii="Arial" w:eastAsia="Times New Roman" w:hAnsi="Arial" w:cs="Arial"/>
                <w:bCs/>
                <w:color w:val="000000"/>
                <w:szCs w:val="20"/>
              </w:rPr>
              <w:t xml:space="preserve"> naming</w:t>
            </w:r>
          </w:p>
        </w:tc>
        <w:tc>
          <w:tcPr>
            <w:tcW w:w="2340" w:type="dxa"/>
            <w:tcBorders>
              <w:top w:val="single" w:sz="4" w:space="0" w:color="auto"/>
              <w:left w:val="nil"/>
              <w:bottom w:val="single" w:sz="4" w:space="0" w:color="auto"/>
              <w:right w:val="single" w:sz="4" w:space="0" w:color="auto"/>
            </w:tcBorders>
            <w:shd w:val="clear" w:color="000000" w:fill="B4C6E7"/>
          </w:tcPr>
          <w:p w14:paraId="61294F50"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6E827AAC" w14:textId="77777777" w:rsidTr="00C977CD">
        <w:trPr>
          <w:trHeight w:val="300"/>
        </w:trPr>
        <w:tc>
          <w:tcPr>
            <w:tcW w:w="960" w:type="dxa"/>
            <w:tcBorders>
              <w:top w:val="nil"/>
              <w:left w:val="single" w:sz="4" w:space="0" w:color="auto"/>
              <w:bottom w:val="single" w:sz="4" w:space="0" w:color="auto"/>
              <w:right w:val="single" w:sz="4" w:space="0" w:color="auto"/>
            </w:tcBorders>
            <w:shd w:val="clear" w:color="000000" w:fill="B4C6E7"/>
            <w:noWrap/>
            <w:vAlign w:val="bottom"/>
            <w:hideMark/>
          </w:tcPr>
          <w:p w14:paraId="5EAC7E37"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B4C6E7"/>
            <w:noWrap/>
            <w:vAlign w:val="bottom"/>
            <w:hideMark/>
          </w:tcPr>
          <w:p w14:paraId="1A72ED55"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repeat1</w:t>
            </w:r>
          </w:p>
        </w:tc>
        <w:tc>
          <w:tcPr>
            <w:tcW w:w="5909" w:type="dxa"/>
            <w:tcBorders>
              <w:top w:val="nil"/>
              <w:left w:val="nil"/>
              <w:bottom w:val="single" w:sz="4" w:space="0" w:color="auto"/>
              <w:right w:val="single" w:sz="4" w:space="0" w:color="auto"/>
            </w:tcBorders>
            <w:shd w:val="clear" w:color="000000" w:fill="B4C6E7"/>
            <w:noWrap/>
            <w:vAlign w:val="bottom"/>
            <w:hideMark/>
          </w:tcPr>
          <w:p w14:paraId="46079831"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MoCA: Repeat Sentence</w:t>
            </w:r>
          </w:p>
        </w:tc>
        <w:tc>
          <w:tcPr>
            <w:tcW w:w="2340" w:type="dxa"/>
            <w:tcBorders>
              <w:top w:val="single" w:sz="4" w:space="0" w:color="auto"/>
              <w:left w:val="nil"/>
              <w:bottom w:val="single" w:sz="4" w:space="0" w:color="auto"/>
              <w:right w:val="single" w:sz="4" w:space="0" w:color="auto"/>
            </w:tcBorders>
            <w:shd w:val="clear" w:color="000000" w:fill="B4C6E7"/>
          </w:tcPr>
          <w:p w14:paraId="2C666020"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4129E60D" w14:textId="77777777" w:rsidTr="00C977CD">
        <w:trPr>
          <w:trHeight w:val="300"/>
        </w:trPr>
        <w:tc>
          <w:tcPr>
            <w:tcW w:w="960" w:type="dxa"/>
            <w:tcBorders>
              <w:top w:val="nil"/>
              <w:left w:val="single" w:sz="4" w:space="0" w:color="auto"/>
              <w:bottom w:val="single" w:sz="4" w:space="0" w:color="auto"/>
              <w:right w:val="single" w:sz="4" w:space="0" w:color="auto"/>
            </w:tcBorders>
            <w:shd w:val="clear" w:color="000000" w:fill="B4C6E7"/>
            <w:noWrap/>
            <w:vAlign w:val="bottom"/>
            <w:hideMark/>
          </w:tcPr>
          <w:p w14:paraId="1EA90A87"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B4C6E7"/>
            <w:noWrap/>
            <w:vAlign w:val="bottom"/>
            <w:hideMark/>
          </w:tcPr>
          <w:p w14:paraId="5605A233" w14:textId="77777777" w:rsidR="00221D86" w:rsidRPr="00C61B5A" w:rsidRDefault="00221D86" w:rsidP="00C977CD">
            <w:pPr>
              <w:spacing w:line="240" w:lineRule="auto"/>
              <w:rPr>
                <w:rFonts w:ascii="Arial" w:eastAsia="Times New Roman" w:hAnsi="Arial" w:cs="Arial"/>
                <w:bCs/>
                <w:color w:val="000000"/>
                <w:szCs w:val="20"/>
              </w:rPr>
            </w:pPr>
            <w:r w:rsidRPr="00C61B5A">
              <w:rPr>
                <w:rFonts w:ascii="Arial" w:eastAsia="Times New Roman" w:hAnsi="Arial" w:cs="Arial"/>
                <w:bCs/>
                <w:color w:val="000000"/>
                <w:szCs w:val="20"/>
              </w:rPr>
              <w:t>repeat2</w:t>
            </w:r>
          </w:p>
        </w:tc>
        <w:tc>
          <w:tcPr>
            <w:tcW w:w="5909" w:type="dxa"/>
            <w:tcBorders>
              <w:top w:val="nil"/>
              <w:left w:val="nil"/>
              <w:bottom w:val="single" w:sz="4" w:space="0" w:color="auto"/>
              <w:right w:val="single" w:sz="4" w:space="0" w:color="auto"/>
            </w:tcBorders>
            <w:shd w:val="clear" w:color="000000" w:fill="B4C6E7"/>
            <w:noWrap/>
            <w:vAlign w:val="bottom"/>
            <w:hideMark/>
          </w:tcPr>
          <w:p w14:paraId="312C7178"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MoCA: </w:t>
            </w:r>
            <w:r w:rsidRPr="00C61B5A">
              <w:rPr>
                <w:rFonts w:ascii="Arial" w:eastAsia="Times New Roman" w:hAnsi="Arial" w:cs="Arial"/>
                <w:bCs/>
                <w:color w:val="000000"/>
                <w:szCs w:val="20"/>
              </w:rPr>
              <w:t>Repeat Sent</w:t>
            </w:r>
            <w:r>
              <w:rPr>
                <w:rFonts w:ascii="Arial" w:eastAsia="Times New Roman" w:hAnsi="Arial" w:cs="Arial"/>
                <w:bCs/>
                <w:color w:val="000000"/>
                <w:szCs w:val="20"/>
              </w:rPr>
              <w:t>ence</w:t>
            </w:r>
          </w:p>
        </w:tc>
        <w:tc>
          <w:tcPr>
            <w:tcW w:w="2340" w:type="dxa"/>
            <w:tcBorders>
              <w:top w:val="single" w:sz="4" w:space="0" w:color="auto"/>
              <w:left w:val="nil"/>
              <w:bottom w:val="single" w:sz="4" w:space="0" w:color="auto"/>
              <w:right w:val="single" w:sz="4" w:space="0" w:color="auto"/>
            </w:tcBorders>
            <w:shd w:val="clear" w:color="000000" w:fill="B4C6E7"/>
          </w:tcPr>
          <w:p w14:paraId="1109D480" w14:textId="77777777" w:rsidR="00221D86" w:rsidRPr="00C61B5A" w:rsidRDefault="00221D86" w:rsidP="00C977CD">
            <w:pPr>
              <w:spacing w:line="240" w:lineRule="auto"/>
              <w:jc w:val="center"/>
              <w:rPr>
                <w:rFonts w:ascii="Arial" w:eastAsia="Times New Roman" w:hAnsi="Arial" w:cs="Arial"/>
                <w:bCs/>
                <w:color w:val="000000"/>
                <w:szCs w:val="20"/>
              </w:rPr>
            </w:pPr>
          </w:p>
        </w:tc>
      </w:tr>
      <w:tr w:rsidR="00221D86" w:rsidRPr="00817BD2" w14:paraId="64E88C23" w14:textId="77777777" w:rsidTr="00C977CD">
        <w:trPr>
          <w:trHeight w:val="300"/>
        </w:trPr>
        <w:tc>
          <w:tcPr>
            <w:tcW w:w="960" w:type="dxa"/>
            <w:tcBorders>
              <w:top w:val="nil"/>
              <w:left w:val="single" w:sz="4" w:space="0" w:color="auto"/>
              <w:bottom w:val="single" w:sz="4" w:space="0" w:color="auto"/>
              <w:right w:val="single" w:sz="4" w:space="0" w:color="auto"/>
            </w:tcBorders>
            <w:shd w:val="clear" w:color="000000" w:fill="B4C6E7"/>
            <w:noWrap/>
            <w:vAlign w:val="center"/>
            <w:hideMark/>
          </w:tcPr>
          <w:p w14:paraId="7F6B595C" w14:textId="77777777" w:rsidR="00221D86" w:rsidRPr="00C61B5A" w:rsidRDefault="00221D86" w:rsidP="00C977CD">
            <w:pPr>
              <w:spacing w:line="240" w:lineRule="auto"/>
              <w:jc w:val="center"/>
              <w:rPr>
                <w:rFonts w:ascii="Arial" w:eastAsia="Times New Roman" w:hAnsi="Arial" w:cs="Arial"/>
                <w:bCs/>
                <w:color w:val="000000"/>
                <w:szCs w:val="20"/>
              </w:rPr>
            </w:pPr>
            <w:r w:rsidRPr="00C61B5A">
              <w:rPr>
                <w:rFonts w:ascii="Arial" w:eastAsia="Times New Roman" w:hAnsi="Arial" w:cs="Arial"/>
                <w:bCs/>
                <w:color w:val="000000"/>
                <w:szCs w:val="20"/>
              </w:rPr>
              <w:t>ADNI</w:t>
            </w:r>
          </w:p>
        </w:tc>
        <w:tc>
          <w:tcPr>
            <w:tcW w:w="1293" w:type="dxa"/>
            <w:tcBorders>
              <w:top w:val="nil"/>
              <w:left w:val="nil"/>
              <w:bottom w:val="single" w:sz="4" w:space="0" w:color="auto"/>
              <w:right w:val="single" w:sz="4" w:space="0" w:color="auto"/>
            </w:tcBorders>
            <w:shd w:val="clear" w:color="000000" w:fill="B4C6E7"/>
            <w:noWrap/>
            <w:vAlign w:val="center"/>
            <w:hideMark/>
          </w:tcPr>
          <w:p w14:paraId="54501A0D" w14:textId="77777777" w:rsidR="00221D86" w:rsidRPr="00C61B5A" w:rsidRDefault="00221D86" w:rsidP="00C977CD">
            <w:pPr>
              <w:spacing w:line="240" w:lineRule="auto"/>
              <w:rPr>
                <w:rFonts w:ascii="Arial" w:eastAsia="Times New Roman" w:hAnsi="Arial" w:cs="Arial"/>
                <w:bCs/>
                <w:color w:val="000000"/>
                <w:szCs w:val="20"/>
              </w:rPr>
            </w:pPr>
            <w:proofErr w:type="spellStart"/>
            <w:r w:rsidRPr="00C61B5A">
              <w:rPr>
                <w:rFonts w:ascii="Arial" w:eastAsia="Times New Roman" w:hAnsi="Arial" w:cs="Arial"/>
                <w:bCs/>
                <w:color w:val="000000"/>
                <w:szCs w:val="20"/>
              </w:rPr>
              <w:t>ffluency</w:t>
            </w:r>
            <w:proofErr w:type="spellEnd"/>
          </w:p>
        </w:tc>
        <w:tc>
          <w:tcPr>
            <w:tcW w:w="5909" w:type="dxa"/>
            <w:tcBorders>
              <w:top w:val="nil"/>
              <w:left w:val="nil"/>
              <w:bottom w:val="single" w:sz="4" w:space="0" w:color="auto"/>
              <w:right w:val="single" w:sz="4" w:space="0" w:color="auto"/>
            </w:tcBorders>
            <w:shd w:val="clear" w:color="000000" w:fill="B4C6E7"/>
            <w:noWrap/>
            <w:vAlign w:val="center"/>
            <w:hideMark/>
          </w:tcPr>
          <w:p w14:paraId="200459D6" w14:textId="77777777" w:rsidR="00221D86" w:rsidRPr="00C61B5A"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MoCA: Letter Fluency—F (t</w:t>
            </w:r>
            <w:r w:rsidRPr="00C61B5A">
              <w:rPr>
                <w:rFonts w:ascii="Arial" w:eastAsia="Times New Roman" w:hAnsi="Arial" w:cs="Arial"/>
                <w:bCs/>
                <w:color w:val="000000"/>
                <w:szCs w:val="20"/>
              </w:rPr>
              <w:t>otal number of correct words</w:t>
            </w:r>
            <w:r>
              <w:rPr>
                <w:rFonts w:ascii="Arial" w:eastAsia="Times New Roman" w:hAnsi="Arial" w:cs="Arial"/>
                <w:bCs/>
                <w:color w:val="000000"/>
                <w:szCs w:val="20"/>
              </w:rPr>
              <w:t>)</w:t>
            </w:r>
          </w:p>
        </w:tc>
        <w:tc>
          <w:tcPr>
            <w:tcW w:w="2340" w:type="dxa"/>
            <w:tcBorders>
              <w:top w:val="single" w:sz="4" w:space="0" w:color="auto"/>
              <w:left w:val="nil"/>
              <w:bottom w:val="single" w:sz="4" w:space="0" w:color="auto"/>
              <w:right w:val="single" w:sz="4" w:space="0" w:color="auto"/>
            </w:tcBorders>
            <w:shd w:val="clear" w:color="000000" w:fill="B4C6E7"/>
            <w:vAlign w:val="center"/>
          </w:tcPr>
          <w:p w14:paraId="61F73CE8" w14:textId="77777777" w:rsidR="00221D86" w:rsidRPr="00C61B5A" w:rsidRDefault="00221D86" w:rsidP="00C977CD">
            <w:pPr>
              <w:spacing w:line="240" w:lineRule="auto"/>
              <w:jc w:val="center"/>
              <w:rPr>
                <w:rFonts w:ascii="Arial" w:eastAsia="Times New Roman" w:hAnsi="Arial" w:cs="Arial"/>
                <w:bCs/>
                <w:color w:val="000000"/>
                <w:szCs w:val="20"/>
              </w:rPr>
            </w:pPr>
          </w:p>
        </w:tc>
      </w:tr>
    </w:tbl>
    <w:p w14:paraId="4854FE38" w14:textId="77777777" w:rsidR="00221D86" w:rsidRPr="006D2E54" w:rsidRDefault="00221D86" w:rsidP="00221D86">
      <w:pPr>
        <w:pStyle w:val="Heading3"/>
        <w:rPr>
          <w:b w:val="0"/>
        </w:rPr>
      </w:pPr>
      <w:r w:rsidRPr="006D2E54">
        <w:rPr>
          <w:b w:val="0"/>
        </w:rPr>
        <w:t>* Only in ADNI 1; ** Boston Naming Test excluded in ADNI 3; Blue items are MoCA items introduced in ADNI GO/2/3.</w:t>
      </w:r>
    </w:p>
    <w:p w14:paraId="7FA98C92" w14:textId="77777777" w:rsidR="00221D86" w:rsidRPr="006D2E54" w:rsidRDefault="00221D86" w:rsidP="00221D86">
      <w:pPr>
        <w:rPr>
          <w:rFonts w:ascii="Arial" w:hAnsi="Arial" w:cs="Arial"/>
        </w:rPr>
      </w:pPr>
      <w:r w:rsidRPr="006D2E54">
        <w:rPr>
          <w:rFonts w:ascii="Arial" w:hAnsi="Arial" w:cs="Arial"/>
        </w:rPr>
        <w:t>* MMSE items watch and pencil naming were dropped from the model because of sparseness in cells. They are extremely easy items and &lt;1% gets it wrong.</w:t>
      </w:r>
    </w:p>
    <w:p w14:paraId="1241DBBA" w14:textId="77777777" w:rsidR="00221D86" w:rsidRDefault="00221D86">
      <w:pPr>
        <w:spacing w:before="0" w:line="240" w:lineRule="auto"/>
        <w:rPr>
          <w:rFonts w:ascii="Arial" w:hAnsi="Arial" w:cs="Arial"/>
          <w:b/>
          <w:bCs/>
          <w:sz w:val="22"/>
        </w:rPr>
      </w:pPr>
      <w:r>
        <w:rPr>
          <w:sz w:val="22"/>
        </w:rPr>
        <w:br w:type="page"/>
      </w:r>
    </w:p>
    <w:p w14:paraId="05FE6F41" w14:textId="41576984" w:rsidR="001A7515" w:rsidRDefault="001A7515" w:rsidP="001A7515">
      <w:pPr>
        <w:pStyle w:val="Study"/>
        <w:numPr>
          <w:ilvl w:val="0"/>
          <w:numId w:val="0"/>
        </w:numPr>
        <w:rPr>
          <w:sz w:val="22"/>
          <w:szCs w:val="22"/>
        </w:rPr>
      </w:pPr>
      <w:r>
        <w:rPr>
          <w:sz w:val="22"/>
          <w:szCs w:val="22"/>
        </w:rPr>
        <w:lastRenderedPageBreak/>
        <w:t>Supplement 4.  Visuospatial Domain.</w:t>
      </w:r>
    </w:p>
    <w:p w14:paraId="5177BE79" w14:textId="77777777" w:rsidR="001A7515" w:rsidRDefault="001A7515" w:rsidP="001A7515">
      <w:pPr>
        <w:pStyle w:val="Study"/>
        <w:numPr>
          <w:ilvl w:val="0"/>
          <w:numId w:val="0"/>
        </w:numPr>
        <w:rPr>
          <w:sz w:val="22"/>
          <w:szCs w:val="22"/>
        </w:rPr>
      </w:pPr>
    </w:p>
    <w:p w14:paraId="7A274F01" w14:textId="0DF4DE3C" w:rsidR="00221D86" w:rsidRPr="00660673" w:rsidRDefault="00221D86" w:rsidP="001A7515">
      <w:pPr>
        <w:pStyle w:val="Study"/>
        <w:numPr>
          <w:ilvl w:val="0"/>
          <w:numId w:val="0"/>
        </w:numPr>
        <w:rPr>
          <w:b w:val="0"/>
          <w:bCs w:val="0"/>
        </w:rPr>
      </w:pPr>
      <w:r w:rsidRPr="00660673">
        <w:rPr>
          <w:b w:val="0"/>
          <w:bCs w:val="0"/>
        </w:rPr>
        <w:t>Final model was a single factor model in ADNI 1/GO/2/3 with CFI = 0</w:t>
      </w:r>
      <w:r w:rsidRPr="00660673">
        <w:rPr>
          <w:rFonts w:eastAsia="Times New Roman"/>
          <w:b w:val="0"/>
          <w:bCs w:val="0"/>
        </w:rPr>
        <w:t>.</w:t>
      </w:r>
      <w:r w:rsidRPr="00660673">
        <w:rPr>
          <w:b w:val="0"/>
          <w:bCs w:val="0"/>
        </w:rPr>
        <w:t>988, TLI = 0</w:t>
      </w:r>
      <w:r w:rsidRPr="00660673">
        <w:rPr>
          <w:rFonts w:eastAsia="Times New Roman"/>
          <w:b w:val="0"/>
          <w:bCs w:val="0"/>
        </w:rPr>
        <w:t>.</w:t>
      </w:r>
      <w:r w:rsidRPr="00660673">
        <w:rPr>
          <w:b w:val="0"/>
          <w:bCs w:val="0"/>
        </w:rPr>
        <w:t>981, and RMSEA = 0</w:t>
      </w:r>
      <w:r w:rsidRPr="00660673">
        <w:rPr>
          <w:rFonts w:eastAsia="Times New Roman"/>
          <w:b w:val="0"/>
          <w:bCs w:val="0"/>
        </w:rPr>
        <w:t>.</w:t>
      </w:r>
      <w:r w:rsidRPr="00660673">
        <w:rPr>
          <w:b w:val="0"/>
          <w:bCs w:val="0"/>
        </w:rPr>
        <w:t>043. The following items were included in the CFA analysis (Supplemental Table 14):</w:t>
      </w:r>
    </w:p>
    <w:p w14:paraId="510ED97D" w14:textId="700CEF35" w:rsidR="00221D86" w:rsidRPr="00C61B5A" w:rsidRDefault="00221D86" w:rsidP="00221D86">
      <w:pPr>
        <w:pStyle w:val="SupTableHead"/>
      </w:pPr>
      <w:r>
        <w:t>Supplemental Table</w:t>
      </w:r>
      <w:r w:rsidRPr="00547F77">
        <w:t xml:space="preserve"> </w:t>
      </w:r>
      <w:r w:rsidR="001A7515">
        <w:t>4</w:t>
      </w:r>
      <w:r w:rsidRPr="00547F77">
        <w:t xml:space="preserve">. Items and secondary structure for </w:t>
      </w:r>
      <w:r>
        <w:t xml:space="preserve">visuospatial functioning </w:t>
      </w:r>
      <w:r w:rsidRPr="00547F77">
        <w:t xml:space="preserve">for the </w:t>
      </w:r>
      <w:r>
        <w:t xml:space="preserve">ADNI </w:t>
      </w:r>
      <w:r w:rsidRPr="00547F77">
        <w:t>study</w:t>
      </w:r>
    </w:p>
    <w:tbl>
      <w:tblPr>
        <w:tblW w:w="10412" w:type="dxa"/>
        <w:tblInd w:w="113" w:type="dxa"/>
        <w:tblLook w:val="04A0" w:firstRow="1" w:lastRow="0" w:firstColumn="1" w:lastColumn="0" w:noHBand="0" w:noVBand="1"/>
      </w:tblPr>
      <w:tblGrid>
        <w:gridCol w:w="985"/>
        <w:gridCol w:w="1112"/>
        <w:gridCol w:w="6065"/>
        <w:gridCol w:w="2250"/>
      </w:tblGrid>
      <w:tr w:rsidR="00221D86" w:rsidRPr="0034326D" w14:paraId="464B4813" w14:textId="77777777" w:rsidTr="00C977CD">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hideMark/>
          </w:tcPr>
          <w:p w14:paraId="41BA81A1" w14:textId="77777777" w:rsidR="00221D86" w:rsidRPr="00963F3E" w:rsidRDefault="00221D86" w:rsidP="00C977CD">
            <w:pPr>
              <w:spacing w:line="240" w:lineRule="auto"/>
              <w:jc w:val="center"/>
              <w:rPr>
                <w:rFonts w:ascii="Arial" w:eastAsia="Times New Roman" w:hAnsi="Arial" w:cs="Arial"/>
                <w:b/>
                <w:bCs/>
                <w:color w:val="FFFFFF" w:themeColor="background1"/>
                <w:szCs w:val="20"/>
              </w:rPr>
            </w:pPr>
            <w:r w:rsidRPr="00963F3E">
              <w:rPr>
                <w:rFonts w:ascii="Arial" w:eastAsia="Times New Roman" w:hAnsi="Arial" w:cs="Arial"/>
                <w:b/>
                <w:bCs/>
                <w:color w:val="FFFFFF" w:themeColor="background1"/>
                <w:szCs w:val="20"/>
              </w:rPr>
              <w:t>Study</w:t>
            </w:r>
          </w:p>
        </w:tc>
        <w:tc>
          <w:tcPr>
            <w:tcW w:w="1112"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2B0BC293" w14:textId="77777777" w:rsidR="00221D86" w:rsidRPr="00963F3E" w:rsidRDefault="00221D86" w:rsidP="00C977CD">
            <w:pPr>
              <w:spacing w:line="240" w:lineRule="auto"/>
              <w:jc w:val="center"/>
              <w:rPr>
                <w:rFonts w:ascii="Arial" w:eastAsia="Times New Roman" w:hAnsi="Arial" w:cs="Arial"/>
                <w:b/>
                <w:bCs/>
                <w:color w:val="FFFFFF" w:themeColor="background1"/>
                <w:szCs w:val="20"/>
              </w:rPr>
            </w:pPr>
            <w:r w:rsidRPr="00963F3E">
              <w:rPr>
                <w:rFonts w:ascii="Arial" w:eastAsia="Times New Roman" w:hAnsi="Arial" w:cs="Arial"/>
                <w:b/>
                <w:bCs/>
                <w:color w:val="FFFFFF" w:themeColor="background1"/>
                <w:szCs w:val="20"/>
              </w:rPr>
              <w:t>Variable</w:t>
            </w:r>
          </w:p>
        </w:tc>
        <w:tc>
          <w:tcPr>
            <w:tcW w:w="6065" w:type="dxa"/>
            <w:tcBorders>
              <w:top w:val="single" w:sz="4" w:space="0" w:color="auto"/>
              <w:left w:val="nil"/>
              <w:bottom w:val="single" w:sz="4" w:space="0" w:color="auto"/>
              <w:right w:val="single" w:sz="4" w:space="0" w:color="auto"/>
            </w:tcBorders>
            <w:shd w:val="clear" w:color="auto" w:fill="595959" w:themeFill="text1" w:themeFillTint="A6"/>
            <w:noWrap/>
            <w:vAlign w:val="center"/>
            <w:hideMark/>
          </w:tcPr>
          <w:p w14:paraId="7D344702" w14:textId="77777777" w:rsidR="00221D86" w:rsidRPr="00963F3E" w:rsidRDefault="00221D86" w:rsidP="00C977CD">
            <w:pPr>
              <w:spacing w:line="240" w:lineRule="auto"/>
              <w:jc w:val="center"/>
              <w:rPr>
                <w:rFonts w:ascii="Arial" w:eastAsia="Times New Roman" w:hAnsi="Arial" w:cs="Arial"/>
                <w:b/>
                <w:bCs/>
                <w:color w:val="FFFFFF" w:themeColor="background1"/>
                <w:szCs w:val="20"/>
              </w:rPr>
            </w:pPr>
            <w:r w:rsidRPr="00963F3E">
              <w:rPr>
                <w:rFonts w:ascii="Arial" w:eastAsia="Times New Roman" w:hAnsi="Arial" w:cs="Arial"/>
                <w:b/>
                <w:bCs/>
                <w:color w:val="FFFFFF" w:themeColor="background1"/>
                <w:szCs w:val="20"/>
              </w:rPr>
              <w:t>Description</w:t>
            </w:r>
          </w:p>
        </w:tc>
        <w:tc>
          <w:tcPr>
            <w:tcW w:w="2250" w:type="dxa"/>
            <w:tcBorders>
              <w:top w:val="single" w:sz="4" w:space="0" w:color="auto"/>
              <w:left w:val="nil"/>
              <w:bottom w:val="single" w:sz="4" w:space="0" w:color="auto"/>
              <w:right w:val="single" w:sz="4" w:space="0" w:color="auto"/>
            </w:tcBorders>
            <w:shd w:val="clear" w:color="auto" w:fill="595959" w:themeFill="text1" w:themeFillTint="A6"/>
            <w:noWrap/>
            <w:vAlign w:val="bottom"/>
            <w:hideMark/>
          </w:tcPr>
          <w:p w14:paraId="59950E1D" w14:textId="77777777" w:rsidR="00221D86" w:rsidRPr="00963F3E" w:rsidRDefault="00221D86" w:rsidP="00C977CD">
            <w:pPr>
              <w:spacing w:line="240" w:lineRule="auto"/>
              <w:jc w:val="center"/>
              <w:rPr>
                <w:rFonts w:ascii="Arial" w:eastAsia="Times New Roman" w:hAnsi="Arial" w:cs="Arial"/>
                <w:b/>
                <w:bCs/>
                <w:color w:val="FFFFFF" w:themeColor="background1"/>
                <w:szCs w:val="20"/>
              </w:rPr>
            </w:pPr>
            <w:r w:rsidRPr="00963F3E">
              <w:rPr>
                <w:rFonts w:ascii="Arial" w:eastAsia="Times New Roman" w:hAnsi="Arial" w:cs="Arial"/>
                <w:b/>
                <w:bCs/>
                <w:color w:val="FFFFFF" w:themeColor="background1"/>
                <w:szCs w:val="20"/>
              </w:rPr>
              <w:t>Secondary Structure</w:t>
            </w:r>
          </w:p>
        </w:tc>
      </w:tr>
      <w:tr w:rsidR="00221D86" w:rsidRPr="00817BD2" w14:paraId="29DB6A41" w14:textId="77777777" w:rsidTr="00C977CD">
        <w:trPr>
          <w:trHeight w:val="330"/>
        </w:trPr>
        <w:tc>
          <w:tcPr>
            <w:tcW w:w="985" w:type="dxa"/>
            <w:tcBorders>
              <w:top w:val="nil"/>
              <w:left w:val="single" w:sz="4" w:space="0" w:color="auto"/>
              <w:bottom w:val="single" w:sz="4" w:space="0" w:color="auto"/>
              <w:right w:val="single" w:sz="4" w:space="0" w:color="auto"/>
            </w:tcBorders>
            <w:shd w:val="clear" w:color="000000" w:fill="A5A5A5"/>
            <w:noWrap/>
            <w:vAlign w:val="center"/>
            <w:hideMark/>
          </w:tcPr>
          <w:p w14:paraId="5118DD10" w14:textId="77777777" w:rsidR="00221D86" w:rsidRPr="00963F3E" w:rsidRDefault="00221D86" w:rsidP="00C977CD">
            <w:pPr>
              <w:spacing w:line="240" w:lineRule="auto"/>
              <w:jc w:val="center"/>
              <w:rPr>
                <w:rFonts w:ascii="Arial" w:eastAsia="Times New Roman" w:hAnsi="Arial" w:cs="Arial"/>
                <w:bCs/>
                <w:color w:val="000000"/>
                <w:szCs w:val="20"/>
              </w:rPr>
            </w:pPr>
            <w:r w:rsidRPr="00963F3E">
              <w:rPr>
                <w:rFonts w:ascii="Arial" w:eastAsia="Times New Roman" w:hAnsi="Arial" w:cs="Arial"/>
                <w:bCs/>
                <w:color w:val="000000"/>
                <w:szCs w:val="20"/>
              </w:rPr>
              <w:t>ADNI</w:t>
            </w:r>
          </w:p>
        </w:tc>
        <w:tc>
          <w:tcPr>
            <w:tcW w:w="1112" w:type="dxa"/>
            <w:tcBorders>
              <w:top w:val="nil"/>
              <w:left w:val="nil"/>
              <w:bottom w:val="single" w:sz="4" w:space="0" w:color="auto"/>
              <w:right w:val="single" w:sz="4" w:space="0" w:color="auto"/>
            </w:tcBorders>
            <w:shd w:val="clear" w:color="000000" w:fill="A5A5A5"/>
            <w:vAlign w:val="center"/>
            <w:hideMark/>
          </w:tcPr>
          <w:p w14:paraId="41E598B0" w14:textId="77777777" w:rsidR="00221D86" w:rsidRPr="00963F3E" w:rsidRDefault="00221D86" w:rsidP="00C977CD">
            <w:pPr>
              <w:spacing w:line="240" w:lineRule="auto"/>
              <w:rPr>
                <w:rFonts w:ascii="Arial" w:eastAsia="Times New Roman" w:hAnsi="Arial" w:cs="Arial"/>
                <w:bCs/>
                <w:color w:val="000000"/>
                <w:szCs w:val="20"/>
              </w:rPr>
            </w:pPr>
            <w:proofErr w:type="spellStart"/>
            <w:r w:rsidRPr="00963F3E">
              <w:rPr>
                <w:rFonts w:ascii="Arial" w:eastAsia="Times New Roman" w:hAnsi="Arial" w:cs="Arial"/>
                <w:bCs/>
                <w:color w:val="000000"/>
                <w:szCs w:val="20"/>
              </w:rPr>
              <w:t>copycirc</w:t>
            </w:r>
            <w:proofErr w:type="spellEnd"/>
          </w:p>
        </w:tc>
        <w:tc>
          <w:tcPr>
            <w:tcW w:w="6065" w:type="dxa"/>
            <w:tcBorders>
              <w:top w:val="nil"/>
              <w:left w:val="nil"/>
              <w:bottom w:val="single" w:sz="4" w:space="0" w:color="auto"/>
              <w:right w:val="single" w:sz="4" w:space="0" w:color="auto"/>
            </w:tcBorders>
            <w:shd w:val="clear" w:color="000000" w:fill="A5A5A5"/>
            <w:vAlign w:val="center"/>
            <w:hideMark/>
          </w:tcPr>
          <w:p w14:paraId="201F64AB" w14:textId="77777777" w:rsidR="00221D86" w:rsidRPr="00963F3E" w:rsidRDefault="00221D86" w:rsidP="00C977CD">
            <w:pPr>
              <w:spacing w:line="240" w:lineRule="auto"/>
              <w:rPr>
                <w:rFonts w:ascii="Arial" w:eastAsia="Times New Roman" w:hAnsi="Arial" w:cs="Arial"/>
                <w:bCs/>
                <w:color w:val="000000"/>
                <w:szCs w:val="20"/>
              </w:rPr>
            </w:pPr>
            <w:r w:rsidRPr="00963F3E">
              <w:rPr>
                <w:rFonts w:ascii="Arial" w:eastAsia="Times New Roman" w:hAnsi="Arial" w:cs="Arial"/>
                <w:bCs/>
                <w:color w:val="000000"/>
                <w:szCs w:val="20"/>
              </w:rPr>
              <w:t>Clock copy: Approximately circular face</w:t>
            </w:r>
          </w:p>
        </w:tc>
        <w:tc>
          <w:tcPr>
            <w:tcW w:w="2250" w:type="dxa"/>
            <w:tcBorders>
              <w:top w:val="nil"/>
              <w:left w:val="nil"/>
              <w:bottom w:val="single" w:sz="4" w:space="0" w:color="auto"/>
              <w:right w:val="single" w:sz="4" w:space="0" w:color="auto"/>
            </w:tcBorders>
            <w:shd w:val="clear" w:color="000000" w:fill="A5A5A5"/>
            <w:noWrap/>
            <w:vAlign w:val="center"/>
          </w:tcPr>
          <w:p w14:paraId="6F65A798" w14:textId="77777777" w:rsidR="00221D86" w:rsidRPr="00963F3E" w:rsidRDefault="00221D86" w:rsidP="00C977CD">
            <w:pPr>
              <w:spacing w:line="240" w:lineRule="auto"/>
              <w:jc w:val="center"/>
              <w:rPr>
                <w:rFonts w:ascii="Arial" w:eastAsia="Times New Roman" w:hAnsi="Arial" w:cs="Arial"/>
                <w:b/>
                <w:bCs/>
                <w:color w:val="000000"/>
                <w:szCs w:val="20"/>
              </w:rPr>
            </w:pPr>
          </w:p>
        </w:tc>
      </w:tr>
      <w:tr w:rsidR="00221D86" w:rsidRPr="00817BD2" w14:paraId="30AB64ED" w14:textId="77777777" w:rsidTr="00C977CD">
        <w:trPr>
          <w:trHeight w:val="285"/>
        </w:trPr>
        <w:tc>
          <w:tcPr>
            <w:tcW w:w="985" w:type="dxa"/>
            <w:tcBorders>
              <w:top w:val="nil"/>
              <w:left w:val="single" w:sz="4" w:space="0" w:color="auto"/>
              <w:bottom w:val="single" w:sz="4" w:space="0" w:color="auto"/>
              <w:right w:val="single" w:sz="4" w:space="0" w:color="auto"/>
            </w:tcBorders>
            <w:shd w:val="clear" w:color="000000" w:fill="A5A5A5"/>
            <w:noWrap/>
            <w:vAlign w:val="center"/>
            <w:hideMark/>
          </w:tcPr>
          <w:p w14:paraId="61881927" w14:textId="77777777" w:rsidR="00221D86" w:rsidRPr="00963F3E" w:rsidRDefault="00221D86" w:rsidP="00C977CD">
            <w:pPr>
              <w:spacing w:line="240" w:lineRule="auto"/>
              <w:jc w:val="center"/>
              <w:rPr>
                <w:rFonts w:ascii="Arial" w:eastAsia="Times New Roman" w:hAnsi="Arial" w:cs="Arial"/>
                <w:bCs/>
                <w:color w:val="000000"/>
                <w:szCs w:val="20"/>
              </w:rPr>
            </w:pPr>
            <w:r w:rsidRPr="00963F3E">
              <w:rPr>
                <w:rFonts w:ascii="Arial" w:eastAsia="Times New Roman" w:hAnsi="Arial" w:cs="Arial"/>
                <w:bCs/>
                <w:color w:val="000000"/>
                <w:szCs w:val="20"/>
              </w:rPr>
              <w:t>ADNI</w:t>
            </w:r>
          </w:p>
        </w:tc>
        <w:tc>
          <w:tcPr>
            <w:tcW w:w="1112" w:type="dxa"/>
            <w:tcBorders>
              <w:top w:val="nil"/>
              <w:left w:val="nil"/>
              <w:bottom w:val="single" w:sz="4" w:space="0" w:color="auto"/>
              <w:right w:val="single" w:sz="4" w:space="0" w:color="auto"/>
            </w:tcBorders>
            <w:shd w:val="clear" w:color="000000" w:fill="A5A5A5"/>
            <w:vAlign w:val="center"/>
            <w:hideMark/>
          </w:tcPr>
          <w:p w14:paraId="3D39C955" w14:textId="77777777" w:rsidR="00221D86" w:rsidRPr="00963F3E" w:rsidRDefault="00221D86" w:rsidP="00C977CD">
            <w:pPr>
              <w:spacing w:line="240" w:lineRule="auto"/>
              <w:rPr>
                <w:rFonts w:ascii="Arial" w:eastAsia="Times New Roman" w:hAnsi="Arial" w:cs="Arial"/>
                <w:bCs/>
                <w:color w:val="000000"/>
                <w:szCs w:val="20"/>
              </w:rPr>
            </w:pPr>
            <w:proofErr w:type="spellStart"/>
            <w:r w:rsidRPr="00963F3E">
              <w:rPr>
                <w:rFonts w:ascii="Arial" w:eastAsia="Times New Roman" w:hAnsi="Arial" w:cs="Arial"/>
                <w:bCs/>
                <w:color w:val="000000"/>
                <w:szCs w:val="20"/>
              </w:rPr>
              <w:t>copysym</w:t>
            </w:r>
            <w:proofErr w:type="spellEnd"/>
          </w:p>
        </w:tc>
        <w:tc>
          <w:tcPr>
            <w:tcW w:w="6065" w:type="dxa"/>
            <w:tcBorders>
              <w:top w:val="nil"/>
              <w:left w:val="nil"/>
              <w:bottom w:val="single" w:sz="4" w:space="0" w:color="auto"/>
              <w:right w:val="single" w:sz="4" w:space="0" w:color="auto"/>
            </w:tcBorders>
            <w:shd w:val="clear" w:color="000000" w:fill="A5A5A5"/>
            <w:vAlign w:val="center"/>
            <w:hideMark/>
          </w:tcPr>
          <w:p w14:paraId="6CED8563" w14:textId="77777777" w:rsidR="00221D86" w:rsidRPr="00963F3E" w:rsidRDefault="00221D86" w:rsidP="00C977CD">
            <w:pPr>
              <w:spacing w:line="240" w:lineRule="auto"/>
              <w:rPr>
                <w:rFonts w:ascii="Arial" w:eastAsia="Times New Roman" w:hAnsi="Arial" w:cs="Arial"/>
                <w:bCs/>
                <w:color w:val="000000"/>
                <w:szCs w:val="20"/>
              </w:rPr>
            </w:pPr>
            <w:r w:rsidRPr="00963F3E">
              <w:rPr>
                <w:rFonts w:ascii="Arial" w:eastAsia="Times New Roman" w:hAnsi="Arial" w:cs="Arial"/>
                <w:bCs/>
                <w:color w:val="000000"/>
                <w:szCs w:val="20"/>
              </w:rPr>
              <w:t>Clock copy: Symmetry of number placement</w:t>
            </w:r>
          </w:p>
        </w:tc>
        <w:tc>
          <w:tcPr>
            <w:tcW w:w="2250" w:type="dxa"/>
            <w:tcBorders>
              <w:top w:val="nil"/>
              <w:left w:val="nil"/>
              <w:bottom w:val="single" w:sz="4" w:space="0" w:color="auto"/>
              <w:right w:val="single" w:sz="4" w:space="0" w:color="auto"/>
            </w:tcBorders>
            <w:shd w:val="clear" w:color="000000" w:fill="A5A5A5"/>
            <w:noWrap/>
            <w:vAlign w:val="center"/>
          </w:tcPr>
          <w:p w14:paraId="6F231A0D" w14:textId="77777777" w:rsidR="00221D86" w:rsidRPr="00963F3E" w:rsidRDefault="00221D86" w:rsidP="00C977CD">
            <w:pPr>
              <w:spacing w:line="240" w:lineRule="auto"/>
              <w:jc w:val="center"/>
              <w:rPr>
                <w:rFonts w:ascii="Arial" w:eastAsia="Times New Roman" w:hAnsi="Arial" w:cs="Arial"/>
                <w:b/>
                <w:bCs/>
                <w:color w:val="000000"/>
                <w:szCs w:val="20"/>
              </w:rPr>
            </w:pPr>
          </w:p>
        </w:tc>
      </w:tr>
      <w:tr w:rsidR="00221D86" w:rsidRPr="00817BD2" w14:paraId="16DD47C9" w14:textId="77777777" w:rsidTr="00C977CD">
        <w:trPr>
          <w:trHeight w:val="300"/>
        </w:trPr>
        <w:tc>
          <w:tcPr>
            <w:tcW w:w="985" w:type="dxa"/>
            <w:tcBorders>
              <w:top w:val="nil"/>
              <w:left w:val="single" w:sz="4" w:space="0" w:color="auto"/>
              <w:bottom w:val="single" w:sz="4" w:space="0" w:color="auto"/>
              <w:right w:val="single" w:sz="4" w:space="0" w:color="auto"/>
            </w:tcBorders>
            <w:shd w:val="clear" w:color="000000" w:fill="A5A5A5"/>
            <w:noWrap/>
            <w:vAlign w:val="center"/>
            <w:hideMark/>
          </w:tcPr>
          <w:p w14:paraId="3A4BA9D8" w14:textId="77777777" w:rsidR="00221D86" w:rsidRPr="00963F3E" w:rsidRDefault="00221D86" w:rsidP="00C977CD">
            <w:pPr>
              <w:spacing w:line="240" w:lineRule="auto"/>
              <w:jc w:val="center"/>
              <w:rPr>
                <w:rFonts w:ascii="Arial" w:eastAsia="Times New Roman" w:hAnsi="Arial" w:cs="Arial"/>
                <w:bCs/>
                <w:color w:val="000000"/>
                <w:szCs w:val="20"/>
              </w:rPr>
            </w:pPr>
            <w:r w:rsidRPr="00963F3E">
              <w:rPr>
                <w:rFonts w:ascii="Arial" w:eastAsia="Times New Roman" w:hAnsi="Arial" w:cs="Arial"/>
                <w:bCs/>
                <w:color w:val="000000"/>
                <w:szCs w:val="20"/>
              </w:rPr>
              <w:t>ADNI</w:t>
            </w:r>
          </w:p>
        </w:tc>
        <w:tc>
          <w:tcPr>
            <w:tcW w:w="1112" w:type="dxa"/>
            <w:tcBorders>
              <w:top w:val="nil"/>
              <w:left w:val="nil"/>
              <w:bottom w:val="single" w:sz="4" w:space="0" w:color="auto"/>
              <w:right w:val="single" w:sz="4" w:space="0" w:color="auto"/>
            </w:tcBorders>
            <w:shd w:val="clear" w:color="000000" w:fill="A5A5A5"/>
            <w:vAlign w:val="center"/>
            <w:hideMark/>
          </w:tcPr>
          <w:p w14:paraId="03BFA3D5" w14:textId="77777777" w:rsidR="00221D86" w:rsidRPr="00963F3E" w:rsidRDefault="00221D86" w:rsidP="00C977CD">
            <w:pPr>
              <w:spacing w:line="240" w:lineRule="auto"/>
              <w:rPr>
                <w:rFonts w:ascii="Arial" w:eastAsia="Times New Roman" w:hAnsi="Arial" w:cs="Arial"/>
                <w:bCs/>
                <w:color w:val="000000"/>
                <w:szCs w:val="20"/>
              </w:rPr>
            </w:pPr>
            <w:proofErr w:type="spellStart"/>
            <w:r w:rsidRPr="00963F3E">
              <w:rPr>
                <w:rFonts w:ascii="Arial" w:eastAsia="Times New Roman" w:hAnsi="Arial" w:cs="Arial"/>
                <w:bCs/>
                <w:color w:val="000000"/>
                <w:szCs w:val="20"/>
              </w:rPr>
              <w:t>copynum</w:t>
            </w:r>
            <w:proofErr w:type="spellEnd"/>
          </w:p>
        </w:tc>
        <w:tc>
          <w:tcPr>
            <w:tcW w:w="6065" w:type="dxa"/>
            <w:tcBorders>
              <w:top w:val="nil"/>
              <w:left w:val="nil"/>
              <w:bottom w:val="single" w:sz="4" w:space="0" w:color="auto"/>
              <w:right w:val="single" w:sz="4" w:space="0" w:color="auto"/>
            </w:tcBorders>
            <w:shd w:val="clear" w:color="000000" w:fill="A5A5A5"/>
            <w:vAlign w:val="center"/>
            <w:hideMark/>
          </w:tcPr>
          <w:p w14:paraId="69FCC61E" w14:textId="77777777" w:rsidR="00221D86" w:rsidRPr="00963F3E" w:rsidRDefault="00221D86" w:rsidP="00C977CD">
            <w:pPr>
              <w:spacing w:line="240" w:lineRule="auto"/>
              <w:rPr>
                <w:rFonts w:ascii="Arial" w:eastAsia="Times New Roman" w:hAnsi="Arial" w:cs="Arial"/>
                <w:bCs/>
                <w:color w:val="000000"/>
                <w:szCs w:val="20"/>
              </w:rPr>
            </w:pPr>
            <w:r w:rsidRPr="00963F3E">
              <w:rPr>
                <w:rFonts w:ascii="Arial" w:eastAsia="Times New Roman" w:hAnsi="Arial" w:cs="Arial"/>
                <w:bCs/>
                <w:color w:val="000000"/>
                <w:szCs w:val="20"/>
              </w:rPr>
              <w:t>Clock copy: Correctness of numbers</w:t>
            </w:r>
          </w:p>
        </w:tc>
        <w:tc>
          <w:tcPr>
            <w:tcW w:w="2250" w:type="dxa"/>
            <w:tcBorders>
              <w:top w:val="nil"/>
              <w:left w:val="nil"/>
              <w:bottom w:val="single" w:sz="4" w:space="0" w:color="auto"/>
              <w:right w:val="single" w:sz="4" w:space="0" w:color="auto"/>
            </w:tcBorders>
            <w:shd w:val="clear" w:color="000000" w:fill="A5A5A5"/>
            <w:noWrap/>
            <w:vAlign w:val="center"/>
          </w:tcPr>
          <w:p w14:paraId="21495F64" w14:textId="77777777" w:rsidR="00221D86" w:rsidRPr="00963F3E" w:rsidRDefault="00221D86" w:rsidP="00C977CD">
            <w:pPr>
              <w:spacing w:line="240" w:lineRule="auto"/>
              <w:jc w:val="center"/>
              <w:rPr>
                <w:rFonts w:ascii="Arial" w:eastAsia="Times New Roman" w:hAnsi="Arial" w:cs="Arial"/>
                <w:b/>
                <w:bCs/>
                <w:color w:val="000000"/>
                <w:szCs w:val="20"/>
              </w:rPr>
            </w:pPr>
          </w:p>
        </w:tc>
      </w:tr>
      <w:tr w:rsidR="00221D86" w:rsidRPr="00817BD2" w14:paraId="7F507384" w14:textId="77777777" w:rsidTr="00C977CD">
        <w:trPr>
          <w:trHeight w:val="315"/>
        </w:trPr>
        <w:tc>
          <w:tcPr>
            <w:tcW w:w="985" w:type="dxa"/>
            <w:tcBorders>
              <w:top w:val="nil"/>
              <w:left w:val="single" w:sz="4" w:space="0" w:color="auto"/>
              <w:bottom w:val="single" w:sz="4" w:space="0" w:color="auto"/>
              <w:right w:val="single" w:sz="4" w:space="0" w:color="auto"/>
            </w:tcBorders>
            <w:shd w:val="clear" w:color="000000" w:fill="A5A5A5"/>
            <w:noWrap/>
            <w:vAlign w:val="center"/>
            <w:hideMark/>
          </w:tcPr>
          <w:p w14:paraId="4217B64C" w14:textId="77777777" w:rsidR="00221D86" w:rsidRPr="00963F3E" w:rsidRDefault="00221D86" w:rsidP="00C977CD">
            <w:pPr>
              <w:spacing w:line="240" w:lineRule="auto"/>
              <w:jc w:val="center"/>
              <w:rPr>
                <w:rFonts w:ascii="Arial" w:eastAsia="Times New Roman" w:hAnsi="Arial" w:cs="Arial"/>
                <w:bCs/>
                <w:color w:val="000000"/>
                <w:szCs w:val="20"/>
              </w:rPr>
            </w:pPr>
            <w:r w:rsidRPr="00963F3E">
              <w:rPr>
                <w:rFonts w:ascii="Arial" w:eastAsia="Times New Roman" w:hAnsi="Arial" w:cs="Arial"/>
                <w:bCs/>
                <w:color w:val="000000"/>
                <w:szCs w:val="20"/>
              </w:rPr>
              <w:t>ADNI</w:t>
            </w:r>
          </w:p>
        </w:tc>
        <w:tc>
          <w:tcPr>
            <w:tcW w:w="1112" w:type="dxa"/>
            <w:tcBorders>
              <w:top w:val="nil"/>
              <w:left w:val="nil"/>
              <w:bottom w:val="single" w:sz="4" w:space="0" w:color="auto"/>
              <w:right w:val="single" w:sz="4" w:space="0" w:color="auto"/>
            </w:tcBorders>
            <w:shd w:val="clear" w:color="000000" w:fill="A5A5A5"/>
            <w:vAlign w:val="center"/>
            <w:hideMark/>
          </w:tcPr>
          <w:p w14:paraId="22B95801" w14:textId="77777777" w:rsidR="00221D86" w:rsidRPr="00963F3E" w:rsidRDefault="00221D86" w:rsidP="00C977CD">
            <w:pPr>
              <w:spacing w:line="240" w:lineRule="auto"/>
              <w:rPr>
                <w:rFonts w:ascii="Arial" w:eastAsia="Times New Roman" w:hAnsi="Arial" w:cs="Arial"/>
                <w:bCs/>
                <w:color w:val="000000"/>
                <w:szCs w:val="20"/>
              </w:rPr>
            </w:pPr>
            <w:proofErr w:type="spellStart"/>
            <w:r w:rsidRPr="00963F3E">
              <w:rPr>
                <w:rFonts w:ascii="Arial" w:eastAsia="Times New Roman" w:hAnsi="Arial" w:cs="Arial"/>
                <w:bCs/>
                <w:color w:val="000000"/>
                <w:szCs w:val="20"/>
              </w:rPr>
              <w:t>copytime</w:t>
            </w:r>
            <w:proofErr w:type="spellEnd"/>
          </w:p>
        </w:tc>
        <w:tc>
          <w:tcPr>
            <w:tcW w:w="6065" w:type="dxa"/>
            <w:tcBorders>
              <w:top w:val="nil"/>
              <w:left w:val="nil"/>
              <w:bottom w:val="single" w:sz="4" w:space="0" w:color="auto"/>
              <w:right w:val="single" w:sz="4" w:space="0" w:color="auto"/>
            </w:tcBorders>
            <w:shd w:val="clear" w:color="000000" w:fill="A5A5A5"/>
            <w:vAlign w:val="center"/>
            <w:hideMark/>
          </w:tcPr>
          <w:p w14:paraId="3B71E266" w14:textId="77777777" w:rsidR="00221D86" w:rsidRPr="00963F3E" w:rsidRDefault="00221D86" w:rsidP="00C977CD">
            <w:pPr>
              <w:spacing w:line="240" w:lineRule="auto"/>
              <w:rPr>
                <w:rFonts w:ascii="Arial" w:eastAsia="Times New Roman" w:hAnsi="Arial" w:cs="Arial"/>
                <w:bCs/>
                <w:color w:val="000000"/>
                <w:szCs w:val="20"/>
              </w:rPr>
            </w:pPr>
            <w:r w:rsidRPr="00963F3E">
              <w:rPr>
                <w:rFonts w:ascii="Arial" w:eastAsia="Times New Roman" w:hAnsi="Arial" w:cs="Arial"/>
                <w:bCs/>
                <w:color w:val="000000"/>
                <w:szCs w:val="20"/>
              </w:rPr>
              <w:t>Clock copy: Presence of the two hands, set to ten after eleven</w:t>
            </w:r>
          </w:p>
        </w:tc>
        <w:tc>
          <w:tcPr>
            <w:tcW w:w="2250" w:type="dxa"/>
            <w:tcBorders>
              <w:top w:val="nil"/>
              <w:left w:val="nil"/>
              <w:bottom w:val="single" w:sz="4" w:space="0" w:color="auto"/>
              <w:right w:val="single" w:sz="4" w:space="0" w:color="auto"/>
            </w:tcBorders>
            <w:shd w:val="clear" w:color="000000" w:fill="A5A5A5"/>
            <w:noWrap/>
            <w:vAlign w:val="center"/>
          </w:tcPr>
          <w:p w14:paraId="1B073A33" w14:textId="77777777" w:rsidR="00221D86" w:rsidRPr="00963F3E" w:rsidRDefault="00221D86" w:rsidP="00C977CD">
            <w:pPr>
              <w:spacing w:line="240" w:lineRule="auto"/>
              <w:jc w:val="center"/>
              <w:rPr>
                <w:rFonts w:ascii="Arial" w:eastAsia="Times New Roman" w:hAnsi="Arial" w:cs="Arial"/>
                <w:b/>
                <w:bCs/>
                <w:color w:val="000000"/>
                <w:szCs w:val="20"/>
              </w:rPr>
            </w:pPr>
          </w:p>
        </w:tc>
      </w:tr>
      <w:tr w:rsidR="00221D86" w:rsidRPr="00817BD2" w14:paraId="045C5541" w14:textId="77777777" w:rsidTr="00C977CD">
        <w:trPr>
          <w:trHeight w:val="300"/>
        </w:trPr>
        <w:tc>
          <w:tcPr>
            <w:tcW w:w="985" w:type="dxa"/>
            <w:tcBorders>
              <w:top w:val="nil"/>
              <w:left w:val="single" w:sz="4" w:space="0" w:color="auto"/>
              <w:bottom w:val="single" w:sz="4" w:space="0" w:color="auto"/>
              <w:right w:val="single" w:sz="4" w:space="0" w:color="auto"/>
            </w:tcBorders>
            <w:shd w:val="clear" w:color="000000" w:fill="A5A5A5"/>
            <w:noWrap/>
            <w:vAlign w:val="center"/>
            <w:hideMark/>
          </w:tcPr>
          <w:p w14:paraId="4C6C899C" w14:textId="77777777" w:rsidR="00221D86" w:rsidRPr="00963F3E" w:rsidRDefault="00221D86" w:rsidP="00C977CD">
            <w:pPr>
              <w:spacing w:line="240" w:lineRule="auto"/>
              <w:jc w:val="center"/>
              <w:rPr>
                <w:rFonts w:ascii="Arial" w:eastAsia="Times New Roman" w:hAnsi="Arial" w:cs="Arial"/>
                <w:bCs/>
                <w:color w:val="000000"/>
                <w:szCs w:val="20"/>
              </w:rPr>
            </w:pPr>
            <w:r w:rsidRPr="00963F3E">
              <w:rPr>
                <w:rFonts w:ascii="Arial" w:eastAsia="Times New Roman" w:hAnsi="Arial" w:cs="Arial"/>
                <w:bCs/>
                <w:color w:val="000000"/>
                <w:szCs w:val="20"/>
              </w:rPr>
              <w:t>ADNI</w:t>
            </w:r>
          </w:p>
        </w:tc>
        <w:tc>
          <w:tcPr>
            <w:tcW w:w="1112" w:type="dxa"/>
            <w:tcBorders>
              <w:top w:val="nil"/>
              <w:left w:val="nil"/>
              <w:bottom w:val="single" w:sz="4" w:space="0" w:color="auto"/>
              <w:right w:val="single" w:sz="4" w:space="0" w:color="auto"/>
            </w:tcBorders>
            <w:shd w:val="clear" w:color="000000" w:fill="A5A5A5"/>
            <w:vAlign w:val="center"/>
            <w:hideMark/>
          </w:tcPr>
          <w:p w14:paraId="7AE80CD8" w14:textId="77777777" w:rsidR="00221D86" w:rsidRPr="00963F3E" w:rsidRDefault="00221D86" w:rsidP="00C977CD">
            <w:pPr>
              <w:spacing w:line="240" w:lineRule="auto"/>
              <w:rPr>
                <w:rFonts w:ascii="Arial" w:eastAsia="Times New Roman" w:hAnsi="Arial" w:cs="Arial"/>
                <w:bCs/>
                <w:color w:val="000000"/>
                <w:szCs w:val="20"/>
              </w:rPr>
            </w:pPr>
            <w:r w:rsidRPr="00963F3E">
              <w:rPr>
                <w:rFonts w:ascii="Arial" w:eastAsia="Times New Roman" w:hAnsi="Arial" w:cs="Arial"/>
                <w:bCs/>
                <w:color w:val="000000"/>
                <w:szCs w:val="20"/>
              </w:rPr>
              <w:t>q3score</w:t>
            </w:r>
          </w:p>
        </w:tc>
        <w:tc>
          <w:tcPr>
            <w:tcW w:w="6065" w:type="dxa"/>
            <w:tcBorders>
              <w:top w:val="nil"/>
              <w:left w:val="nil"/>
              <w:bottom w:val="single" w:sz="4" w:space="0" w:color="auto"/>
              <w:right w:val="single" w:sz="4" w:space="0" w:color="auto"/>
            </w:tcBorders>
            <w:shd w:val="clear" w:color="000000" w:fill="A5A5A5"/>
            <w:vAlign w:val="center"/>
            <w:hideMark/>
          </w:tcPr>
          <w:p w14:paraId="3341BF3E" w14:textId="77777777" w:rsidR="00221D86" w:rsidRPr="00963F3E"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 xml:space="preserve">ADAS-Cog: </w:t>
            </w:r>
            <w:r w:rsidRPr="00963F3E">
              <w:rPr>
                <w:rFonts w:ascii="Arial" w:eastAsia="Times New Roman" w:hAnsi="Arial" w:cs="Arial"/>
                <w:bCs/>
                <w:color w:val="000000"/>
                <w:szCs w:val="20"/>
              </w:rPr>
              <w:t>Constructional Praxis—score</w:t>
            </w:r>
          </w:p>
        </w:tc>
        <w:tc>
          <w:tcPr>
            <w:tcW w:w="2250" w:type="dxa"/>
            <w:tcBorders>
              <w:top w:val="nil"/>
              <w:left w:val="nil"/>
              <w:bottom w:val="single" w:sz="4" w:space="0" w:color="auto"/>
              <w:right w:val="single" w:sz="4" w:space="0" w:color="auto"/>
            </w:tcBorders>
            <w:shd w:val="clear" w:color="000000" w:fill="A5A5A5"/>
            <w:noWrap/>
            <w:vAlign w:val="center"/>
          </w:tcPr>
          <w:p w14:paraId="7C528244" w14:textId="77777777" w:rsidR="00221D86" w:rsidRPr="00963F3E" w:rsidRDefault="00221D86" w:rsidP="00C977CD">
            <w:pPr>
              <w:spacing w:line="240" w:lineRule="auto"/>
              <w:jc w:val="center"/>
              <w:rPr>
                <w:rFonts w:ascii="Arial" w:eastAsia="Times New Roman" w:hAnsi="Arial" w:cs="Arial"/>
                <w:b/>
                <w:bCs/>
                <w:color w:val="000000"/>
                <w:szCs w:val="20"/>
              </w:rPr>
            </w:pPr>
          </w:p>
        </w:tc>
      </w:tr>
      <w:tr w:rsidR="00221D86" w:rsidRPr="00817BD2" w14:paraId="28ED7490" w14:textId="77777777" w:rsidTr="00C977CD">
        <w:trPr>
          <w:trHeight w:val="300"/>
        </w:trPr>
        <w:tc>
          <w:tcPr>
            <w:tcW w:w="985" w:type="dxa"/>
            <w:tcBorders>
              <w:top w:val="nil"/>
              <w:left w:val="single" w:sz="4" w:space="0" w:color="auto"/>
              <w:bottom w:val="single" w:sz="4" w:space="0" w:color="auto"/>
              <w:right w:val="single" w:sz="4" w:space="0" w:color="auto"/>
            </w:tcBorders>
            <w:shd w:val="clear" w:color="000000" w:fill="A5A5A5"/>
            <w:noWrap/>
            <w:vAlign w:val="center"/>
            <w:hideMark/>
          </w:tcPr>
          <w:p w14:paraId="653F5D7A" w14:textId="77777777" w:rsidR="00221D86" w:rsidRPr="00963F3E" w:rsidRDefault="00221D86" w:rsidP="00C977CD">
            <w:pPr>
              <w:spacing w:line="240" w:lineRule="auto"/>
              <w:jc w:val="center"/>
              <w:rPr>
                <w:rFonts w:ascii="Arial" w:eastAsia="Times New Roman" w:hAnsi="Arial" w:cs="Arial"/>
                <w:bCs/>
                <w:color w:val="000000"/>
                <w:szCs w:val="20"/>
              </w:rPr>
            </w:pPr>
            <w:r w:rsidRPr="00963F3E">
              <w:rPr>
                <w:rFonts w:ascii="Arial" w:eastAsia="Times New Roman" w:hAnsi="Arial" w:cs="Arial"/>
                <w:bCs/>
                <w:color w:val="000000"/>
                <w:szCs w:val="20"/>
              </w:rPr>
              <w:t>ADNI</w:t>
            </w:r>
          </w:p>
        </w:tc>
        <w:tc>
          <w:tcPr>
            <w:tcW w:w="1112" w:type="dxa"/>
            <w:tcBorders>
              <w:top w:val="nil"/>
              <w:left w:val="nil"/>
              <w:bottom w:val="single" w:sz="4" w:space="0" w:color="auto"/>
              <w:right w:val="single" w:sz="4" w:space="0" w:color="auto"/>
            </w:tcBorders>
            <w:shd w:val="clear" w:color="000000" w:fill="A5A5A5"/>
            <w:vAlign w:val="center"/>
            <w:hideMark/>
          </w:tcPr>
          <w:p w14:paraId="4AF1FA5F" w14:textId="77777777" w:rsidR="00221D86" w:rsidRPr="00963F3E" w:rsidRDefault="00221D86" w:rsidP="00C977CD">
            <w:pPr>
              <w:spacing w:line="240" w:lineRule="auto"/>
              <w:rPr>
                <w:rFonts w:ascii="Arial" w:eastAsia="Times New Roman" w:hAnsi="Arial" w:cs="Arial"/>
                <w:bCs/>
                <w:color w:val="000000"/>
                <w:szCs w:val="20"/>
              </w:rPr>
            </w:pPr>
            <w:proofErr w:type="spellStart"/>
            <w:r w:rsidRPr="00963F3E">
              <w:rPr>
                <w:rFonts w:ascii="Arial" w:eastAsia="Times New Roman" w:hAnsi="Arial" w:cs="Arial"/>
                <w:bCs/>
                <w:color w:val="000000"/>
                <w:szCs w:val="20"/>
              </w:rPr>
              <w:t>mmdraw</w:t>
            </w:r>
            <w:proofErr w:type="spellEnd"/>
          </w:p>
        </w:tc>
        <w:tc>
          <w:tcPr>
            <w:tcW w:w="6065" w:type="dxa"/>
            <w:tcBorders>
              <w:top w:val="nil"/>
              <w:left w:val="nil"/>
              <w:bottom w:val="single" w:sz="4" w:space="0" w:color="auto"/>
              <w:right w:val="single" w:sz="4" w:space="0" w:color="auto"/>
            </w:tcBorders>
            <w:shd w:val="clear" w:color="000000" w:fill="A5A5A5"/>
            <w:noWrap/>
            <w:vAlign w:val="center"/>
            <w:hideMark/>
          </w:tcPr>
          <w:p w14:paraId="401EDB50" w14:textId="77777777" w:rsidR="00221D86" w:rsidRPr="00963F3E" w:rsidRDefault="00221D86" w:rsidP="00C977CD">
            <w:pPr>
              <w:spacing w:line="240" w:lineRule="auto"/>
              <w:rPr>
                <w:rFonts w:ascii="Arial" w:eastAsia="Times New Roman" w:hAnsi="Arial" w:cs="Arial"/>
                <w:bCs/>
                <w:color w:val="000000"/>
                <w:szCs w:val="20"/>
              </w:rPr>
            </w:pPr>
            <w:r>
              <w:rPr>
                <w:rFonts w:ascii="Arial" w:eastAsia="Times New Roman" w:hAnsi="Arial" w:cs="Arial"/>
                <w:bCs/>
                <w:color w:val="000000"/>
                <w:szCs w:val="20"/>
              </w:rPr>
              <w:t>MMSE: Copy interlocking pentagons</w:t>
            </w:r>
          </w:p>
        </w:tc>
        <w:tc>
          <w:tcPr>
            <w:tcW w:w="2250" w:type="dxa"/>
            <w:tcBorders>
              <w:top w:val="nil"/>
              <w:left w:val="nil"/>
              <w:bottom w:val="single" w:sz="4" w:space="0" w:color="auto"/>
              <w:right w:val="single" w:sz="4" w:space="0" w:color="auto"/>
            </w:tcBorders>
            <w:shd w:val="clear" w:color="000000" w:fill="A5A5A5"/>
            <w:noWrap/>
            <w:vAlign w:val="center"/>
          </w:tcPr>
          <w:p w14:paraId="7AD06CDE" w14:textId="77777777" w:rsidR="00221D86" w:rsidRPr="00963F3E" w:rsidRDefault="00221D86" w:rsidP="00C977CD">
            <w:pPr>
              <w:spacing w:line="240" w:lineRule="auto"/>
              <w:jc w:val="center"/>
              <w:rPr>
                <w:rFonts w:ascii="Arial" w:eastAsia="Times New Roman" w:hAnsi="Arial" w:cs="Arial"/>
                <w:b/>
                <w:bCs/>
                <w:color w:val="000000"/>
                <w:szCs w:val="20"/>
              </w:rPr>
            </w:pPr>
          </w:p>
        </w:tc>
      </w:tr>
    </w:tbl>
    <w:p w14:paraId="389D9227" w14:textId="77777777" w:rsidR="00221D86" w:rsidRPr="006D2E54" w:rsidRDefault="00221D86" w:rsidP="00221D86">
      <w:pPr>
        <w:pStyle w:val="Heading3"/>
        <w:spacing w:before="120"/>
        <w:rPr>
          <w:b w:val="0"/>
        </w:rPr>
      </w:pPr>
      <w:r w:rsidRPr="006D2E54">
        <w:rPr>
          <w:b w:val="0"/>
        </w:rPr>
        <w:t>* Clock copy (</w:t>
      </w:r>
      <w:proofErr w:type="spellStart"/>
      <w:r w:rsidRPr="006D2E54">
        <w:rPr>
          <w:b w:val="0"/>
        </w:rPr>
        <w:t>copyhand</w:t>
      </w:r>
      <w:proofErr w:type="spellEnd"/>
      <w:r w:rsidRPr="006D2E54">
        <w:rPr>
          <w:b w:val="0"/>
        </w:rPr>
        <w:t xml:space="preserve">) item was dropped from the model because of sparseness in </w:t>
      </w:r>
      <w:r>
        <w:rPr>
          <w:b w:val="0"/>
        </w:rPr>
        <w:t xml:space="preserve">a </w:t>
      </w:r>
      <w:r w:rsidRPr="006D2E54">
        <w:rPr>
          <w:b w:val="0"/>
        </w:rPr>
        <w:t>cell. Almost all individuals got it correct.</w:t>
      </w:r>
    </w:p>
    <w:sectPr w:rsidR="00221D86" w:rsidRPr="006D2E54" w:rsidSect="00512EF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25CD" w14:textId="77777777" w:rsidR="00F22B68" w:rsidRDefault="00F22B68" w:rsidP="001A7515">
      <w:pPr>
        <w:spacing w:before="0" w:line="240" w:lineRule="auto"/>
      </w:pPr>
      <w:r>
        <w:separator/>
      </w:r>
    </w:p>
  </w:endnote>
  <w:endnote w:type="continuationSeparator" w:id="0">
    <w:p w14:paraId="07FB4664" w14:textId="77777777" w:rsidR="00F22B68" w:rsidRDefault="00F22B68" w:rsidP="001A75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1125477"/>
      <w:docPartObj>
        <w:docPartGallery w:val="Page Numbers (Bottom of Page)"/>
        <w:docPartUnique/>
      </w:docPartObj>
    </w:sdtPr>
    <w:sdtContent>
      <w:p w14:paraId="6F277492" w14:textId="13F74D9B" w:rsidR="001A7515" w:rsidRDefault="001A7515" w:rsidP="00E716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CAE4D" w14:textId="77777777" w:rsidR="001A7515" w:rsidRDefault="001A7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2515512"/>
      <w:docPartObj>
        <w:docPartGallery w:val="Page Numbers (Bottom of Page)"/>
        <w:docPartUnique/>
      </w:docPartObj>
    </w:sdtPr>
    <w:sdtContent>
      <w:p w14:paraId="6CC24D5D" w14:textId="1FB64D1A" w:rsidR="001A7515" w:rsidRDefault="001A7515" w:rsidP="00E716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52EFB2" w14:textId="77777777" w:rsidR="001A7515" w:rsidRDefault="001A7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D63D" w14:textId="77777777" w:rsidR="00F22B68" w:rsidRDefault="00F22B68" w:rsidP="001A7515">
      <w:pPr>
        <w:spacing w:before="0" w:line="240" w:lineRule="auto"/>
      </w:pPr>
      <w:r>
        <w:separator/>
      </w:r>
    </w:p>
  </w:footnote>
  <w:footnote w:type="continuationSeparator" w:id="0">
    <w:p w14:paraId="7E7FBC61" w14:textId="77777777" w:rsidR="00F22B68" w:rsidRDefault="00F22B68" w:rsidP="001A751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634D8"/>
    <w:multiLevelType w:val="hybridMultilevel"/>
    <w:tmpl w:val="EF460252"/>
    <w:lvl w:ilvl="0" w:tplc="CDC6E028">
      <w:start w:val="1"/>
      <w:numFmt w:val="bullet"/>
      <w:pStyle w:val="Study"/>
      <w:lvlText w:val="t"/>
      <w:lvlJc w:val="left"/>
      <w:pPr>
        <w:ind w:left="216" w:hanging="216"/>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00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86"/>
    <w:rsid w:val="00081EFD"/>
    <w:rsid w:val="0010710E"/>
    <w:rsid w:val="00143D1E"/>
    <w:rsid w:val="00151935"/>
    <w:rsid w:val="00156AEA"/>
    <w:rsid w:val="00183C81"/>
    <w:rsid w:val="001A7515"/>
    <w:rsid w:val="001C34E0"/>
    <w:rsid w:val="00221D86"/>
    <w:rsid w:val="00243ADB"/>
    <w:rsid w:val="002874EE"/>
    <w:rsid w:val="002B489D"/>
    <w:rsid w:val="002C2C59"/>
    <w:rsid w:val="002C63CB"/>
    <w:rsid w:val="002E309B"/>
    <w:rsid w:val="00324655"/>
    <w:rsid w:val="00334E57"/>
    <w:rsid w:val="00357A4E"/>
    <w:rsid w:val="00361DDC"/>
    <w:rsid w:val="003F687E"/>
    <w:rsid w:val="0041755E"/>
    <w:rsid w:val="0044320C"/>
    <w:rsid w:val="00460611"/>
    <w:rsid w:val="00512EFD"/>
    <w:rsid w:val="00541D69"/>
    <w:rsid w:val="00572426"/>
    <w:rsid w:val="006316B4"/>
    <w:rsid w:val="00631F74"/>
    <w:rsid w:val="00654DB2"/>
    <w:rsid w:val="00671D7B"/>
    <w:rsid w:val="006B2B2D"/>
    <w:rsid w:val="006C61DF"/>
    <w:rsid w:val="00752585"/>
    <w:rsid w:val="00780546"/>
    <w:rsid w:val="007A35D8"/>
    <w:rsid w:val="007C02A1"/>
    <w:rsid w:val="007D4E66"/>
    <w:rsid w:val="00807655"/>
    <w:rsid w:val="00825CEB"/>
    <w:rsid w:val="008729B2"/>
    <w:rsid w:val="008932FA"/>
    <w:rsid w:val="008C0AE9"/>
    <w:rsid w:val="00905C6F"/>
    <w:rsid w:val="009161D8"/>
    <w:rsid w:val="00935E8C"/>
    <w:rsid w:val="00993F5E"/>
    <w:rsid w:val="009C1ABF"/>
    <w:rsid w:val="00A55443"/>
    <w:rsid w:val="00AC09AD"/>
    <w:rsid w:val="00AD740D"/>
    <w:rsid w:val="00AD79CE"/>
    <w:rsid w:val="00AE7CE3"/>
    <w:rsid w:val="00B453A4"/>
    <w:rsid w:val="00B4542B"/>
    <w:rsid w:val="00B64628"/>
    <w:rsid w:val="00CA0E7B"/>
    <w:rsid w:val="00CE02E7"/>
    <w:rsid w:val="00D12285"/>
    <w:rsid w:val="00D12A5C"/>
    <w:rsid w:val="00D876AD"/>
    <w:rsid w:val="00D91E63"/>
    <w:rsid w:val="00DF482F"/>
    <w:rsid w:val="00DF6ED4"/>
    <w:rsid w:val="00E06504"/>
    <w:rsid w:val="00E41B72"/>
    <w:rsid w:val="00E56499"/>
    <w:rsid w:val="00E71696"/>
    <w:rsid w:val="00E96094"/>
    <w:rsid w:val="00EA503E"/>
    <w:rsid w:val="00EC6327"/>
    <w:rsid w:val="00F22B68"/>
    <w:rsid w:val="00F3401C"/>
    <w:rsid w:val="00FD07B6"/>
    <w:rsid w:val="00FE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88D72C"/>
  <w15:chartTrackingRefBased/>
  <w15:docId w15:val="{B9C93305-CD9B-DF43-9F12-9AEE5311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86"/>
    <w:pPr>
      <w:spacing w:before="120" w:line="300" w:lineRule="auto"/>
    </w:pPr>
    <w:rPr>
      <w:sz w:val="20"/>
      <w:szCs w:val="22"/>
    </w:rPr>
  </w:style>
  <w:style w:type="paragraph" w:styleId="Heading1">
    <w:name w:val="heading 1"/>
    <w:basedOn w:val="Normal"/>
    <w:next w:val="Normal"/>
    <w:link w:val="Heading1Char"/>
    <w:uiPriority w:val="9"/>
    <w:qFormat/>
    <w:rsid w:val="001A75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1D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221D86"/>
    <w:pPr>
      <w:spacing w:before="180"/>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TableHead">
    <w:name w:val="Sup Table Head"/>
    <w:basedOn w:val="Normal"/>
    <w:qFormat/>
    <w:rsid w:val="00221D86"/>
    <w:pPr>
      <w:keepNext/>
    </w:pPr>
    <w:rPr>
      <w:rFonts w:ascii="Arial" w:hAnsi="Arial" w:cs="Arial"/>
      <w:b/>
    </w:rPr>
  </w:style>
  <w:style w:type="character" w:customStyle="1" w:styleId="Heading3Char">
    <w:name w:val="Heading 3 Char"/>
    <w:basedOn w:val="DefaultParagraphFont"/>
    <w:link w:val="Heading3"/>
    <w:uiPriority w:val="9"/>
    <w:rsid w:val="00221D86"/>
    <w:rPr>
      <w:rFonts w:ascii="Arial" w:eastAsiaTheme="majorEastAsia" w:hAnsi="Arial" w:cs="Arial"/>
      <w:b/>
      <w:sz w:val="22"/>
      <w:szCs w:val="22"/>
    </w:rPr>
  </w:style>
  <w:style w:type="paragraph" w:customStyle="1" w:styleId="Study">
    <w:name w:val="Study"/>
    <w:basedOn w:val="ListParagraph"/>
    <w:qFormat/>
    <w:rsid w:val="00221D86"/>
    <w:pPr>
      <w:keepNext/>
      <w:numPr>
        <w:numId w:val="1"/>
      </w:numPr>
      <w:tabs>
        <w:tab w:val="num" w:pos="360"/>
      </w:tabs>
      <w:spacing w:before="240"/>
      <w:ind w:left="720" w:firstLine="0"/>
    </w:pPr>
    <w:rPr>
      <w:rFonts w:ascii="Arial" w:hAnsi="Arial" w:cs="Arial"/>
      <w:b/>
      <w:bCs/>
      <w:szCs w:val="20"/>
    </w:rPr>
  </w:style>
  <w:style w:type="character" w:customStyle="1" w:styleId="Heading2Char">
    <w:name w:val="Heading 2 Char"/>
    <w:basedOn w:val="DefaultParagraphFont"/>
    <w:link w:val="Heading2"/>
    <w:uiPriority w:val="9"/>
    <w:semiHidden/>
    <w:rsid w:val="00221D8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21D86"/>
    <w:pPr>
      <w:ind w:left="720"/>
      <w:contextualSpacing/>
    </w:pPr>
  </w:style>
  <w:style w:type="paragraph" w:styleId="BalloonText">
    <w:name w:val="Balloon Text"/>
    <w:basedOn w:val="Normal"/>
    <w:link w:val="BalloonTextChar"/>
    <w:uiPriority w:val="99"/>
    <w:semiHidden/>
    <w:unhideWhenUsed/>
    <w:rsid w:val="001A7515"/>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7515"/>
    <w:rPr>
      <w:rFonts w:ascii="Times New Roman" w:hAnsi="Times New Roman" w:cs="Times New Roman"/>
      <w:sz w:val="18"/>
      <w:szCs w:val="18"/>
    </w:rPr>
  </w:style>
  <w:style w:type="character" w:customStyle="1" w:styleId="Heading1Char">
    <w:name w:val="Heading 1 Char"/>
    <w:basedOn w:val="DefaultParagraphFont"/>
    <w:link w:val="Heading1"/>
    <w:uiPriority w:val="9"/>
    <w:rsid w:val="001A7515"/>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1A751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A7515"/>
    <w:rPr>
      <w:sz w:val="20"/>
      <w:szCs w:val="22"/>
    </w:rPr>
  </w:style>
  <w:style w:type="character" w:styleId="PageNumber">
    <w:name w:val="page number"/>
    <w:basedOn w:val="DefaultParagraphFont"/>
    <w:uiPriority w:val="99"/>
    <w:semiHidden/>
    <w:unhideWhenUsed/>
    <w:rsid w:val="001A7515"/>
  </w:style>
  <w:style w:type="paragraph" w:styleId="BodyText">
    <w:name w:val="Body Text"/>
    <w:basedOn w:val="Normal"/>
    <w:link w:val="BodyTextChar"/>
    <w:uiPriority w:val="99"/>
    <w:unhideWhenUsed/>
    <w:rsid w:val="00B64628"/>
    <w:pPr>
      <w:spacing w:before="0" w:line="480" w:lineRule="auto"/>
      <w:ind w:firstLine="720"/>
    </w:pPr>
    <w:rPr>
      <w:rFonts w:ascii="Times New Roman" w:hAnsi="Times New Roman"/>
      <w:sz w:val="24"/>
      <w:szCs w:val="24"/>
    </w:rPr>
  </w:style>
  <w:style w:type="character" w:customStyle="1" w:styleId="BodyTextChar">
    <w:name w:val="Body Text Char"/>
    <w:basedOn w:val="DefaultParagraphFont"/>
    <w:link w:val="BodyText"/>
    <w:uiPriority w:val="99"/>
    <w:rsid w:val="00B6462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3063</Words>
  <Characters>17460</Characters>
  <Application>Microsoft Office Word</Application>
  <DocSecurity>0</DocSecurity>
  <Lines>145</Lines>
  <Paragraphs>40</Paragraphs>
  <ScaleCrop>false</ScaleCrop>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 Crane</dc:creator>
  <cp:keywords/>
  <dc:description/>
  <cp:lastModifiedBy>Megan Tonkovich</cp:lastModifiedBy>
  <cp:revision>2</cp:revision>
  <dcterms:created xsi:type="dcterms:W3CDTF">2023-01-04T16:17:00Z</dcterms:created>
  <dcterms:modified xsi:type="dcterms:W3CDTF">2023-01-04T16:17:00Z</dcterms:modified>
</cp:coreProperties>
</file>