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395AC" w14:textId="1676EC30" w:rsidR="00C90FAD" w:rsidRDefault="00C90FAD" w:rsidP="006401B5">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Supplementary </w:t>
      </w:r>
      <w:r w:rsidR="00972A99">
        <w:rPr>
          <w:rFonts w:asciiTheme="minorHAnsi" w:hAnsiTheme="minorHAnsi" w:cstheme="minorHAnsi"/>
          <w:b/>
          <w:bCs/>
        </w:rPr>
        <w:t>Material</w:t>
      </w:r>
    </w:p>
    <w:p w14:paraId="1C17B9A0" w14:textId="77777777" w:rsidR="00571F48" w:rsidRDefault="00571F48" w:rsidP="006401B5">
      <w:pPr>
        <w:pStyle w:val="NormalWeb"/>
        <w:spacing w:before="0" w:beforeAutospacing="0" w:after="0" w:afterAutospacing="0"/>
        <w:jc w:val="both"/>
        <w:rPr>
          <w:rFonts w:asciiTheme="minorHAnsi" w:hAnsiTheme="minorHAnsi" w:cstheme="minorHAnsi"/>
          <w:b/>
          <w:bCs/>
        </w:rPr>
      </w:pPr>
    </w:p>
    <w:p w14:paraId="3E8A41DF" w14:textId="320C474A" w:rsidR="001E4F80" w:rsidRPr="00A51E1F" w:rsidRDefault="001E4F80" w:rsidP="006401B5">
      <w:pPr>
        <w:pStyle w:val="NormalWeb"/>
        <w:spacing w:before="0" w:beforeAutospacing="0" w:after="0" w:afterAutospacing="0"/>
        <w:jc w:val="both"/>
        <w:rPr>
          <w:rFonts w:asciiTheme="minorHAnsi" w:hAnsiTheme="minorHAnsi" w:cstheme="minorHAnsi"/>
          <w:b/>
          <w:bCs/>
        </w:rPr>
      </w:pPr>
      <w:r w:rsidRPr="00A51E1F">
        <w:rPr>
          <w:rFonts w:asciiTheme="minorHAnsi" w:hAnsiTheme="minorHAnsi" w:cstheme="minorHAnsi"/>
          <w:b/>
          <w:bCs/>
        </w:rPr>
        <w:t>Methods</w:t>
      </w:r>
    </w:p>
    <w:p w14:paraId="590DE8F8" w14:textId="77777777" w:rsidR="001E4F80" w:rsidRPr="00414085" w:rsidRDefault="001E4F80" w:rsidP="006401B5">
      <w:pPr>
        <w:pStyle w:val="NormalWeb"/>
        <w:spacing w:before="0" w:beforeAutospacing="0" w:after="0" w:afterAutospacing="0"/>
        <w:jc w:val="both"/>
        <w:rPr>
          <w:rFonts w:asciiTheme="minorHAnsi" w:hAnsiTheme="minorHAnsi" w:cstheme="minorHAnsi"/>
          <w:b/>
          <w:bCs/>
          <w:lang w:val="en-US"/>
        </w:rPr>
      </w:pPr>
    </w:p>
    <w:p w14:paraId="05AF4D96" w14:textId="77777777" w:rsidR="001E4F80" w:rsidRPr="00A51E1F" w:rsidRDefault="001E4F80" w:rsidP="006401B5">
      <w:pPr>
        <w:pStyle w:val="NormalWeb"/>
        <w:spacing w:before="0" w:beforeAutospacing="0" w:after="0" w:afterAutospacing="0"/>
        <w:jc w:val="both"/>
        <w:rPr>
          <w:rFonts w:asciiTheme="minorHAnsi" w:hAnsiTheme="minorHAnsi" w:cstheme="minorHAnsi"/>
          <w:i/>
          <w:iCs/>
        </w:rPr>
      </w:pPr>
      <w:r w:rsidRPr="00A51E1F">
        <w:rPr>
          <w:rFonts w:asciiTheme="minorHAnsi" w:hAnsiTheme="minorHAnsi" w:cstheme="minorHAnsi"/>
          <w:i/>
          <w:iCs/>
        </w:rPr>
        <w:t>Participants</w:t>
      </w:r>
    </w:p>
    <w:p w14:paraId="51A412B5" w14:textId="1B069F08" w:rsidR="00CA0104" w:rsidRPr="00A51E1F" w:rsidRDefault="00CA0104" w:rsidP="006401B5">
      <w:pPr>
        <w:jc w:val="both"/>
        <w:rPr>
          <w:rFonts w:cstheme="minorHAnsi"/>
          <w:lang w:val="en-US"/>
        </w:rPr>
      </w:pPr>
      <w:r w:rsidRPr="00A51E1F">
        <w:rPr>
          <w:rFonts w:cstheme="minorHAnsi"/>
        </w:rPr>
        <w:t>Twenty</w:t>
      </w:r>
      <w:r w:rsidRPr="00A51E1F">
        <w:rPr>
          <w:rFonts w:cstheme="minorHAnsi"/>
          <w:lang w:val="en-US"/>
        </w:rPr>
        <w:t xml:space="preserve"> participants (age range: 18-48</w:t>
      </w:r>
      <w:r>
        <w:rPr>
          <w:rFonts w:cstheme="minorHAnsi"/>
          <w:lang w:val="en-US"/>
        </w:rPr>
        <w:t xml:space="preserve"> </w:t>
      </w:r>
      <w:r w:rsidRPr="00A51E1F">
        <w:rPr>
          <w:rFonts w:cstheme="minorHAnsi"/>
          <w:lang w:val="en-US"/>
        </w:rPr>
        <w:t xml:space="preserve">years, </w:t>
      </w:r>
      <w:r>
        <w:rPr>
          <w:rFonts w:cstheme="minorHAnsi"/>
          <w:lang w:val="en-US"/>
        </w:rPr>
        <w:t>15</w:t>
      </w:r>
      <w:r w:rsidRPr="00A51E1F">
        <w:rPr>
          <w:rFonts w:cstheme="minorHAnsi"/>
          <w:lang w:val="en-US"/>
        </w:rPr>
        <w:t xml:space="preserve"> female) with normal or corrected-to-normal visual acuity participated in the study. All gave written informed consent. The University of Auckland Human Participants Ethics Committee approved experimental procedures. Three participant</w:t>
      </w:r>
      <w:r>
        <w:rPr>
          <w:rFonts w:cstheme="minorHAnsi"/>
          <w:lang w:val="en-US"/>
        </w:rPr>
        <w:t>s</w:t>
      </w:r>
      <w:r w:rsidRPr="00A51E1F">
        <w:rPr>
          <w:rFonts w:cstheme="minorHAnsi"/>
          <w:lang w:val="en-US"/>
        </w:rPr>
        <w:t xml:space="preserve"> w</w:t>
      </w:r>
      <w:r>
        <w:rPr>
          <w:rFonts w:cstheme="minorHAnsi"/>
          <w:lang w:val="en-US"/>
        </w:rPr>
        <w:t>ere</w:t>
      </w:r>
      <w:r w:rsidRPr="00A51E1F">
        <w:rPr>
          <w:rFonts w:cstheme="minorHAnsi"/>
          <w:lang w:val="en-US"/>
        </w:rPr>
        <w:t xml:space="preserve"> excluded from analysis because the</w:t>
      </w:r>
      <w:r w:rsidR="00F16462">
        <w:rPr>
          <w:rFonts w:cstheme="minorHAnsi"/>
          <w:lang w:val="en-US"/>
        </w:rPr>
        <w:t>y</w:t>
      </w:r>
      <w:r w:rsidRPr="00A51E1F">
        <w:rPr>
          <w:rFonts w:cstheme="minorHAnsi"/>
          <w:lang w:val="en-US"/>
        </w:rPr>
        <w:t xml:space="preserve"> </w:t>
      </w:r>
      <w:r>
        <w:rPr>
          <w:rFonts w:cstheme="minorHAnsi"/>
          <w:lang w:val="en-US"/>
        </w:rPr>
        <w:t>failed to comply with task instructions.</w:t>
      </w:r>
    </w:p>
    <w:p w14:paraId="09DF6F37" w14:textId="77777777" w:rsidR="001E4F80" w:rsidRPr="00D41D04" w:rsidRDefault="001E4F80" w:rsidP="006401B5">
      <w:pPr>
        <w:jc w:val="both"/>
        <w:rPr>
          <w:rFonts w:cstheme="minorHAnsi"/>
          <w:color w:val="000000"/>
          <w:lang w:val="en-US"/>
        </w:rPr>
      </w:pPr>
    </w:p>
    <w:p w14:paraId="5BBA3D7D" w14:textId="77777777" w:rsidR="001E4F80" w:rsidRPr="00A51E1F" w:rsidRDefault="001E4F80" w:rsidP="006401B5">
      <w:pPr>
        <w:pStyle w:val="NormalWeb"/>
        <w:spacing w:before="0" w:beforeAutospacing="0" w:after="0" w:afterAutospacing="0"/>
        <w:jc w:val="both"/>
        <w:rPr>
          <w:rFonts w:asciiTheme="minorHAnsi" w:hAnsiTheme="minorHAnsi" w:cstheme="minorHAnsi"/>
          <w:i/>
          <w:iCs/>
        </w:rPr>
      </w:pPr>
      <w:r w:rsidRPr="00A51E1F">
        <w:rPr>
          <w:rFonts w:asciiTheme="minorHAnsi" w:hAnsiTheme="minorHAnsi" w:cstheme="minorHAnsi"/>
          <w:i/>
          <w:iCs/>
        </w:rPr>
        <w:t>Stimuli</w:t>
      </w:r>
    </w:p>
    <w:p w14:paraId="528CE820" w14:textId="1A3B6484" w:rsidR="00CA0104" w:rsidRDefault="00CA0104" w:rsidP="006401B5">
      <w:pPr>
        <w:pStyle w:val="NormalWeb"/>
        <w:spacing w:before="0" w:beforeAutospacing="0" w:after="0" w:afterAutospacing="0"/>
        <w:jc w:val="both"/>
        <w:rPr>
          <w:rFonts w:asciiTheme="minorHAnsi" w:hAnsiTheme="minorHAnsi" w:cstheme="minorHAnsi"/>
        </w:rPr>
      </w:pPr>
      <w:r w:rsidRPr="00D224BB">
        <w:rPr>
          <w:rFonts w:asciiTheme="minorHAnsi" w:hAnsiTheme="minorHAnsi" w:cstheme="minorHAnsi"/>
        </w:rPr>
        <w:t>Stimuli were generated using MATLAB</w:t>
      </w:r>
      <w:r>
        <w:rPr>
          <w:rFonts w:asciiTheme="minorHAnsi" w:hAnsiTheme="minorHAnsi" w:cstheme="minorHAnsi"/>
        </w:rPr>
        <w:t xml:space="preserve"> (MathWorks, Inc.)</w:t>
      </w:r>
      <w:r w:rsidRPr="00D224BB">
        <w:rPr>
          <w:rFonts w:asciiTheme="minorHAnsi" w:hAnsiTheme="minorHAnsi" w:cstheme="minorHAnsi"/>
        </w:rPr>
        <w:t xml:space="preserve">, and the experiment was </w:t>
      </w:r>
      <w:r>
        <w:rPr>
          <w:rFonts w:asciiTheme="minorHAnsi" w:hAnsiTheme="minorHAnsi" w:cstheme="minorHAnsi"/>
        </w:rPr>
        <w:t xml:space="preserve">presented using the online platform Testable (https://www.testable.org). </w:t>
      </w:r>
      <w:r w:rsidRPr="00D224BB">
        <w:rPr>
          <w:rFonts w:asciiTheme="minorHAnsi" w:hAnsiTheme="minorHAnsi" w:cstheme="minorHAnsi"/>
        </w:rPr>
        <w:t xml:space="preserve">The stimuli were </w:t>
      </w:r>
      <w:r>
        <w:rPr>
          <w:rFonts w:asciiTheme="minorHAnsi" w:hAnsiTheme="minorHAnsi" w:cstheme="minorHAnsi"/>
        </w:rPr>
        <w:t xml:space="preserve">Gabor patterns </w:t>
      </w:r>
      <w:r w:rsidRPr="00D224BB">
        <w:rPr>
          <w:rFonts w:asciiTheme="minorHAnsi" w:hAnsiTheme="minorHAnsi" w:cstheme="minorHAnsi"/>
        </w:rPr>
        <w:t>with different orientations</w:t>
      </w:r>
      <w:r>
        <w:rPr>
          <w:rFonts w:asciiTheme="minorHAnsi" w:hAnsiTheme="minorHAnsi" w:cstheme="minorHAnsi"/>
        </w:rPr>
        <w:t xml:space="preserve">, sinusoidal gratings (wavelength: </w:t>
      </w:r>
      <w:r w:rsidR="006E06EC">
        <w:rPr>
          <w:rFonts w:asciiTheme="minorHAnsi" w:hAnsiTheme="minorHAnsi" w:cstheme="minorHAnsi"/>
        </w:rPr>
        <w:t>1.5</w:t>
      </w:r>
      <w:r>
        <w:rPr>
          <w:rFonts w:asciiTheme="minorHAnsi" w:hAnsiTheme="minorHAnsi" w:cstheme="minorHAnsi"/>
        </w:rPr>
        <w:t xml:space="preserve">°) at maximum contrast convolved with a two-dimensional Gaussian (standard deviation: </w:t>
      </w:r>
      <w:r w:rsidR="006E06EC">
        <w:rPr>
          <w:rFonts w:asciiTheme="minorHAnsi" w:hAnsiTheme="minorHAnsi" w:cstheme="minorHAnsi"/>
        </w:rPr>
        <w:t>1</w:t>
      </w:r>
      <w:r>
        <w:rPr>
          <w:rFonts w:asciiTheme="minorHAnsi" w:hAnsiTheme="minorHAnsi" w:cstheme="minorHAnsi"/>
        </w:rPr>
        <w:t>°)</w:t>
      </w:r>
      <w:r w:rsidRPr="00D224BB">
        <w:rPr>
          <w:rFonts w:asciiTheme="minorHAnsi" w:hAnsiTheme="minorHAnsi" w:cstheme="minorHAnsi"/>
        </w:rPr>
        <w:t xml:space="preserve">. </w:t>
      </w:r>
      <w:r>
        <w:rPr>
          <w:rFonts w:asciiTheme="minorHAnsi" w:hAnsiTheme="minorHAnsi" w:cstheme="minorHAnsi"/>
        </w:rPr>
        <w:t xml:space="preserve">We used three main conditions with </w:t>
      </w:r>
      <w:r w:rsidRPr="00D224BB">
        <w:rPr>
          <w:rFonts w:asciiTheme="minorHAnsi" w:hAnsiTheme="minorHAnsi" w:cstheme="minorHAnsi"/>
        </w:rPr>
        <w:t xml:space="preserve">orientations </w:t>
      </w:r>
      <w:r>
        <w:rPr>
          <w:rFonts w:asciiTheme="minorHAnsi" w:hAnsiTheme="minorHAnsi" w:cstheme="minorHAnsi"/>
        </w:rPr>
        <w:t xml:space="preserve">centred on </w:t>
      </w:r>
      <w:r w:rsidRPr="00D224BB">
        <w:rPr>
          <w:rFonts w:asciiTheme="minorHAnsi" w:hAnsiTheme="minorHAnsi" w:cstheme="minorHAnsi"/>
        </w:rPr>
        <w:t>45</w:t>
      </w:r>
      <w:r>
        <w:rPr>
          <w:rFonts w:asciiTheme="minorHAnsi" w:hAnsiTheme="minorHAnsi" w:cstheme="minorHAnsi"/>
        </w:rPr>
        <w:t xml:space="preserve">°, 90°, or </w:t>
      </w:r>
      <w:r w:rsidRPr="00D224BB">
        <w:rPr>
          <w:rFonts w:asciiTheme="minorHAnsi" w:hAnsiTheme="minorHAnsi" w:cstheme="minorHAnsi"/>
        </w:rPr>
        <w:t>135</w:t>
      </w:r>
      <w:r>
        <w:rPr>
          <w:rFonts w:asciiTheme="minorHAnsi" w:hAnsiTheme="minorHAnsi" w:cstheme="minorHAnsi"/>
        </w:rPr>
        <w:t>°</w:t>
      </w:r>
      <w:r w:rsidRPr="00D224BB">
        <w:rPr>
          <w:rFonts w:asciiTheme="minorHAnsi" w:hAnsiTheme="minorHAnsi" w:cstheme="minorHAnsi"/>
        </w:rPr>
        <w:t xml:space="preserve">. </w:t>
      </w:r>
      <w:r>
        <w:rPr>
          <w:rFonts w:asciiTheme="minorHAnsi" w:hAnsiTheme="minorHAnsi" w:cstheme="minorHAnsi"/>
        </w:rPr>
        <w:t>The orientation of test patterns could differ from these main orientations by 0°, ±5°, ±10°, ±15°, or ±20°.  All stimuli were presented on a uniform grey screen.</w:t>
      </w:r>
    </w:p>
    <w:p w14:paraId="0272F307" w14:textId="6888C497" w:rsidR="001E4F80" w:rsidRPr="00A51E1F" w:rsidRDefault="00F249D4" w:rsidP="006401B5">
      <w:pPr>
        <w:pStyle w:val="NormalWeb"/>
        <w:spacing w:before="0" w:beforeAutospacing="0" w:after="0" w:afterAutospacing="0"/>
        <w:jc w:val="both"/>
        <w:rPr>
          <w:rFonts w:asciiTheme="minorHAnsi" w:eastAsiaTheme="minorEastAsia" w:hAnsiTheme="minorHAnsi" w:cstheme="minorHAnsi"/>
          <w:color w:val="0E101A"/>
        </w:rPr>
      </w:pPr>
      <w:r>
        <w:rPr>
          <w:rFonts w:asciiTheme="minorHAnsi" w:hAnsiTheme="minorHAnsi" w:cstheme="minorHAnsi"/>
        </w:rPr>
        <w:t xml:space="preserve">  </w:t>
      </w:r>
    </w:p>
    <w:p w14:paraId="0EE1F94F" w14:textId="77777777" w:rsidR="001E4F80" w:rsidRPr="00A51E1F" w:rsidRDefault="001E4F80" w:rsidP="006401B5">
      <w:pPr>
        <w:pStyle w:val="NormalWeb"/>
        <w:spacing w:before="0" w:beforeAutospacing="0" w:after="0" w:afterAutospacing="0"/>
        <w:jc w:val="both"/>
        <w:rPr>
          <w:rFonts w:asciiTheme="minorHAnsi" w:hAnsiTheme="minorHAnsi" w:cstheme="minorHAnsi"/>
          <w:i/>
          <w:iCs/>
        </w:rPr>
      </w:pPr>
      <w:r w:rsidRPr="00A51E1F">
        <w:rPr>
          <w:rFonts w:asciiTheme="minorHAnsi" w:hAnsiTheme="minorHAnsi" w:cstheme="minorHAnsi"/>
          <w:i/>
          <w:iCs/>
        </w:rPr>
        <w:t>Procedure</w:t>
      </w:r>
    </w:p>
    <w:p w14:paraId="290ED796" w14:textId="03B30EB3" w:rsidR="00CA0104" w:rsidRDefault="00CA0104" w:rsidP="006401B5">
      <w:pPr>
        <w:jc w:val="both"/>
        <w:rPr>
          <w:rFonts w:cstheme="minorHAnsi"/>
          <w:lang w:val="en-US"/>
        </w:rPr>
      </w:pPr>
      <w:r>
        <w:rPr>
          <w:rFonts w:cstheme="minorHAnsi"/>
          <w:lang w:val="en-US"/>
        </w:rPr>
        <w:t xml:space="preserve">Participants sat in front of a computer in a small testing cubicle, at a distance of </w:t>
      </w:r>
      <w:r w:rsidR="00DE0AAF">
        <w:rPr>
          <w:rFonts w:cstheme="minorHAnsi"/>
          <w:lang w:val="en-US"/>
        </w:rPr>
        <w:t>75</w:t>
      </w:r>
      <w:r>
        <w:rPr>
          <w:rFonts w:cstheme="minorHAnsi"/>
          <w:lang w:val="en-US"/>
        </w:rPr>
        <w:t xml:space="preserve"> cm from the screen (model</w:t>
      </w:r>
      <w:r w:rsidR="00DE0AAF">
        <w:rPr>
          <w:rFonts w:cstheme="minorHAnsi"/>
          <w:lang w:val="en-US"/>
        </w:rPr>
        <w:t>:</w:t>
      </w:r>
      <w:r>
        <w:rPr>
          <w:rFonts w:cstheme="minorHAnsi"/>
          <w:lang w:val="en-US"/>
        </w:rPr>
        <w:t xml:space="preserve"> </w:t>
      </w:r>
      <w:r w:rsidR="00DE0AAF">
        <w:rPr>
          <w:rFonts w:cstheme="minorHAnsi"/>
          <w:lang w:val="en-US"/>
        </w:rPr>
        <w:t xml:space="preserve">Dell OptiPlex 5260 </w:t>
      </w:r>
      <w:proofErr w:type="spellStart"/>
      <w:r w:rsidR="00DE0AAF">
        <w:rPr>
          <w:rFonts w:cstheme="minorHAnsi"/>
          <w:lang w:val="en-US"/>
        </w:rPr>
        <w:t>aio</w:t>
      </w:r>
      <w:proofErr w:type="spellEnd"/>
      <w:r w:rsidR="00DE0AAF">
        <w:rPr>
          <w:rFonts w:cstheme="minorHAnsi"/>
          <w:lang w:val="en-US"/>
        </w:rPr>
        <w:t xml:space="preserve"> series</w:t>
      </w:r>
      <w:r>
        <w:rPr>
          <w:rFonts w:cstheme="minorHAnsi"/>
          <w:lang w:val="en-US"/>
        </w:rPr>
        <w:t xml:space="preserve">, size: </w:t>
      </w:r>
      <w:r w:rsidR="00DE0AAF">
        <w:rPr>
          <w:rFonts w:cstheme="minorHAnsi"/>
          <w:lang w:val="en-US"/>
        </w:rPr>
        <w:t>26.8</w:t>
      </w:r>
      <w:r>
        <w:rPr>
          <w:rFonts w:cstheme="minorHAnsi"/>
          <w:lang w:val="en-US"/>
        </w:rPr>
        <w:t xml:space="preserve"> cm by </w:t>
      </w:r>
      <w:r w:rsidR="00DE0AAF">
        <w:rPr>
          <w:rFonts w:cstheme="minorHAnsi"/>
          <w:lang w:val="en-US"/>
        </w:rPr>
        <w:t>47.6</w:t>
      </w:r>
      <w:r>
        <w:rPr>
          <w:rFonts w:cstheme="minorHAnsi"/>
          <w:lang w:val="en-US"/>
        </w:rPr>
        <w:t xml:space="preserve"> cm,</w:t>
      </w:r>
      <w:r w:rsidR="00DE0AAF">
        <w:rPr>
          <w:rFonts w:cstheme="minorHAnsi"/>
          <w:lang w:val="en-US"/>
        </w:rPr>
        <w:t xml:space="preserve"> </w:t>
      </w:r>
      <w:proofErr w:type="gramStart"/>
      <w:r w:rsidR="00DE0AAF">
        <w:rPr>
          <w:rFonts w:cstheme="minorHAnsi"/>
          <w:lang w:val="en-US"/>
        </w:rPr>
        <w:t xml:space="preserve">21.5 </w:t>
      </w:r>
      <w:r w:rsidR="00DE0AAF">
        <w:rPr>
          <w:rFonts w:cstheme="minorHAnsi" w:hint="eastAsia"/>
          <w:lang w:val="en-US"/>
        </w:rPr>
        <w:t>inch</w:t>
      </w:r>
      <w:proofErr w:type="gramEnd"/>
      <w:r w:rsidR="00DE0AAF">
        <w:rPr>
          <w:rFonts w:cstheme="minorHAnsi"/>
          <w:lang w:val="en-US"/>
        </w:rPr>
        <w:t>,</w:t>
      </w:r>
      <w:r>
        <w:rPr>
          <w:rFonts w:cstheme="minorHAnsi"/>
          <w:lang w:val="en-US"/>
        </w:rPr>
        <w:t xml:space="preserve"> resolution: 1920 x 1080 pixels). </w:t>
      </w:r>
      <w:r w:rsidRPr="00766161">
        <w:rPr>
          <w:rFonts w:cstheme="minorHAnsi"/>
          <w:lang w:val="en-US"/>
        </w:rPr>
        <w:t>The</w:t>
      </w:r>
      <w:r>
        <w:rPr>
          <w:rFonts w:cstheme="minorHAnsi"/>
          <w:lang w:val="en-US"/>
        </w:rPr>
        <w:t xml:space="preserve">re were 27 unique </w:t>
      </w:r>
      <w:r w:rsidRPr="00766161">
        <w:rPr>
          <w:rFonts w:cstheme="minorHAnsi"/>
          <w:lang w:val="en-US"/>
        </w:rPr>
        <w:t>trial</w:t>
      </w:r>
      <w:r>
        <w:rPr>
          <w:rFonts w:cstheme="minorHAnsi"/>
          <w:lang w:val="en-US"/>
        </w:rPr>
        <w:t xml:space="preserve"> types: nine orientation offsets for each of the three main orientations</w:t>
      </w:r>
      <w:r w:rsidRPr="00766161">
        <w:rPr>
          <w:rFonts w:cstheme="minorHAnsi"/>
          <w:lang w:val="en-US"/>
        </w:rPr>
        <w:t xml:space="preserve">. </w:t>
      </w:r>
      <w:r>
        <w:rPr>
          <w:rFonts w:cstheme="minorHAnsi"/>
          <w:lang w:val="en-US"/>
        </w:rPr>
        <w:t xml:space="preserve">Each trial type was presented 20 times in the experiment in interleaved order. Therefore, there were 540 trials in the actual experiment. In addition, </w:t>
      </w:r>
      <w:r w:rsidRPr="00766161">
        <w:rPr>
          <w:rFonts w:cstheme="minorHAnsi"/>
          <w:lang w:val="en-US"/>
        </w:rPr>
        <w:t xml:space="preserve">12 trials at the beginning of the task were practice trials </w:t>
      </w:r>
      <w:r>
        <w:rPr>
          <w:rFonts w:cstheme="minorHAnsi"/>
          <w:lang w:val="en-US"/>
        </w:rPr>
        <w:t xml:space="preserve">that </w:t>
      </w:r>
      <w:r w:rsidRPr="00766161">
        <w:rPr>
          <w:rFonts w:cstheme="minorHAnsi"/>
          <w:lang w:val="en-US"/>
        </w:rPr>
        <w:t xml:space="preserve">were not used for analysis. </w:t>
      </w:r>
    </w:p>
    <w:p w14:paraId="4EF955B6" w14:textId="77777777" w:rsidR="0068221C" w:rsidRDefault="0068221C" w:rsidP="006401B5">
      <w:pPr>
        <w:jc w:val="both"/>
        <w:rPr>
          <w:rFonts w:cstheme="minorHAnsi"/>
          <w:lang w:val="en-US"/>
        </w:rPr>
      </w:pPr>
    </w:p>
    <w:p w14:paraId="36960592" w14:textId="7FCEABAA" w:rsidR="00CA0104" w:rsidRDefault="00CA0104" w:rsidP="006401B5">
      <w:pPr>
        <w:jc w:val="both"/>
        <w:rPr>
          <w:rFonts w:cstheme="minorHAnsi"/>
          <w:lang w:val="en-US"/>
        </w:rPr>
      </w:pPr>
      <w:r>
        <w:rPr>
          <w:rFonts w:cstheme="minorHAnsi"/>
          <w:lang w:val="en-US"/>
        </w:rPr>
        <w:t>E</w:t>
      </w:r>
      <w:r w:rsidRPr="00766161">
        <w:rPr>
          <w:rFonts w:cstheme="minorHAnsi"/>
          <w:lang w:val="en-US"/>
        </w:rPr>
        <w:t>ach trial contain</w:t>
      </w:r>
      <w:r>
        <w:rPr>
          <w:rFonts w:cstheme="minorHAnsi"/>
          <w:lang w:val="en-US"/>
        </w:rPr>
        <w:t>ed</w:t>
      </w:r>
      <w:r w:rsidRPr="00766161">
        <w:rPr>
          <w:rFonts w:cstheme="minorHAnsi"/>
          <w:lang w:val="en-US"/>
        </w:rPr>
        <w:t xml:space="preserve"> </w:t>
      </w:r>
      <w:r>
        <w:rPr>
          <w:rFonts w:cstheme="minorHAnsi"/>
          <w:lang w:val="en-US"/>
        </w:rPr>
        <w:t>two</w:t>
      </w:r>
      <w:r w:rsidRPr="00766161">
        <w:rPr>
          <w:rFonts w:cstheme="minorHAnsi"/>
          <w:lang w:val="en-US"/>
        </w:rPr>
        <w:t xml:space="preserve"> stimuli. </w:t>
      </w:r>
      <w:r>
        <w:rPr>
          <w:rFonts w:cstheme="minorHAnsi"/>
          <w:lang w:val="en-US"/>
        </w:rPr>
        <w:t xml:space="preserve">The first grating was the reference, presented for 500 </w:t>
      </w:r>
      <w:proofErr w:type="spellStart"/>
      <w:r>
        <w:rPr>
          <w:rFonts w:cstheme="minorHAnsi"/>
          <w:lang w:val="en-US"/>
        </w:rPr>
        <w:t>ms.</w:t>
      </w:r>
      <w:proofErr w:type="spellEnd"/>
      <w:r>
        <w:rPr>
          <w:rFonts w:cstheme="minorHAnsi"/>
          <w:lang w:val="en-US"/>
        </w:rPr>
        <w:t xml:space="preserve"> This could be one of the three main orientations. This was followed by a 300 </w:t>
      </w:r>
      <w:proofErr w:type="spellStart"/>
      <w:r>
        <w:rPr>
          <w:rFonts w:cstheme="minorHAnsi"/>
          <w:lang w:val="en-US"/>
        </w:rPr>
        <w:t>ms</w:t>
      </w:r>
      <w:proofErr w:type="spellEnd"/>
      <w:r>
        <w:rPr>
          <w:rFonts w:cstheme="minorHAnsi"/>
          <w:lang w:val="en-US"/>
        </w:rPr>
        <w:t xml:space="preserve"> inter-stimulus interval during which only </w:t>
      </w:r>
      <w:r w:rsidR="00C72624">
        <w:rPr>
          <w:rFonts w:cstheme="minorHAnsi"/>
          <w:lang w:val="en-US"/>
        </w:rPr>
        <w:t xml:space="preserve">a </w:t>
      </w:r>
      <w:r>
        <w:rPr>
          <w:rFonts w:cstheme="minorHAnsi"/>
          <w:lang w:val="en-US"/>
        </w:rPr>
        <w:t xml:space="preserve">grey screen and </w:t>
      </w:r>
      <w:r w:rsidR="00C72624">
        <w:rPr>
          <w:rFonts w:cstheme="minorHAnsi"/>
          <w:lang w:val="en-US"/>
        </w:rPr>
        <w:t xml:space="preserve">the </w:t>
      </w:r>
      <w:r>
        <w:rPr>
          <w:rFonts w:cstheme="minorHAnsi"/>
          <w:lang w:val="en-US"/>
        </w:rPr>
        <w:t xml:space="preserve">fixation cross were presented. </w:t>
      </w:r>
      <w:r w:rsidRPr="00766161">
        <w:rPr>
          <w:rFonts w:cstheme="minorHAnsi"/>
          <w:lang w:val="en-US"/>
        </w:rPr>
        <w:t xml:space="preserve">The second grating </w:t>
      </w:r>
      <w:r>
        <w:rPr>
          <w:rFonts w:cstheme="minorHAnsi"/>
          <w:lang w:val="en-US"/>
        </w:rPr>
        <w:t xml:space="preserve">appeared on the screen until the participant responded. It could be </w:t>
      </w:r>
      <w:r w:rsidRPr="00766161">
        <w:rPr>
          <w:rFonts w:cstheme="minorHAnsi"/>
          <w:lang w:val="en-US"/>
        </w:rPr>
        <w:t>tilted anticlockwise</w:t>
      </w:r>
      <w:r>
        <w:rPr>
          <w:rFonts w:cstheme="minorHAnsi"/>
          <w:lang w:val="en-US"/>
        </w:rPr>
        <w:t xml:space="preserve">, </w:t>
      </w:r>
      <w:r w:rsidRPr="00766161">
        <w:rPr>
          <w:rFonts w:cstheme="minorHAnsi"/>
          <w:lang w:val="en-US"/>
        </w:rPr>
        <w:t xml:space="preserve">clockwise, or </w:t>
      </w:r>
      <w:r>
        <w:rPr>
          <w:rFonts w:cstheme="minorHAnsi"/>
          <w:lang w:val="en-US"/>
        </w:rPr>
        <w:t>remain un</w:t>
      </w:r>
      <w:r w:rsidRPr="00766161">
        <w:rPr>
          <w:rFonts w:cstheme="minorHAnsi"/>
          <w:lang w:val="en-US"/>
        </w:rPr>
        <w:t>change</w:t>
      </w:r>
      <w:r>
        <w:rPr>
          <w:rFonts w:cstheme="minorHAnsi"/>
          <w:lang w:val="en-US"/>
        </w:rPr>
        <w:t>d</w:t>
      </w:r>
      <w:r w:rsidRPr="00766161">
        <w:rPr>
          <w:rFonts w:cstheme="minorHAnsi"/>
          <w:lang w:val="en-US"/>
        </w:rPr>
        <w:t xml:space="preserve"> relative to the first grating (Figure S1). Participants indicated via </w:t>
      </w:r>
      <w:r>
        <w:rPr>
          <w:rFonts w:cstheme="minorHAnsi"/>
          <w:lang w:val="en-US"/>
        </w:rPr>
        <w:t xml:space="preserve">the </w:t>
      </w:r>
      <w:r w:rsidRPr="00766161">
        <w:rPr>
          <w:rFonts w:cstheme="minorHAnsi"/>
          <w:lang w:val="en-US"/>
        </w:rPr>
        <w:t>keyboard left or right arrow key</w:t>
      </w:r>
      <w:r>
        <w:rPr>
          <w:rFonts w:cstheme="minorHAnsi"/>
          <w:lang w:val="en-US"/>
        </w:rPr>
        <w:t>s</w:t>
      </w:r>
      <w:r w:rsidRPr="00766161">
        <w:rPr>
          <w:rFonts w:cstheme="minorHAnsi"/>
          <w:lang w:val="en-US"/>
        </w:rPr>
        <w:t xml:space="preserve"> </w:t>
      </w:r>
      <w:r>
        <w:rPr>
          <w:rFonts w:cstheme="minorHAnsi"/>
          <w:lang w:val="en-US"/>
        </w:rPr>
        <w:t>whether the second grating was tilted anticlockwise or clockwise, respectively</w:t>
      </w:r>
      <w:r w:rsidRPr="00766161">
        <w:rPr>
          <w:rFonts w:cstheme="minorHAnsi"/>
          <w:lang w:val="en-US"/>
        </w:rPr>
        <w:t xml:space="preserve">. They were instructed to respond as </w:t>
      </w:r>
      <w:r>
        <w:rPr>
          <w:rFonts w:cstheme="minorHAnsi"/>
          <w:lang w:val="en-US"/>
        </w:rPr>
        <w:t>fast</w:t>
      </w:r>
      <w:r w:rsidRPr="00766161">
        <w:rPr>
          <w:rFonts w:cstheme="minorHAnsi"/>
          <w:lang w:val="en-US"/>
        </w:rPr>
        <w:t xml:space="preserve"> and as accurately as possible. If they </w:t>
      </w:r>
      <w:r>
        <w:rPr>
          <w:rFonts w:cstheme="minorHAnsi"/>
          <w:lang w:val="en-US"/>
        </w:rPr>
        <w:t>were un</w:t>
      </w:r>
      <w:r w:rsidRPr="00766161">
        <w:rPr>
          <w:rFonts w:cstheme="minorHAnsi"/>
          <w:lang w:val="en-US"/>
        </w:rPr>
        <w:t xml:space="preserve">sure about the change between the two stimuli, they </w:t>
      </w:r>
      <w:r>
        <w:rPr>
          <w:rFonts w:cstheme="minorHAnsi"/>
          <w:lang w:val="en-US"/>
        </w:rPr>
        <w:t xml:space="preserve">must nevertheless </w:t>
      </w:r>
      <w:r w:rsidRPr="00766161">
        <w:rPr>
          <w:rFonts w:cstheme="minorHAnsi"/>
          <w:lang w:val="en-US"/>
        </w:rPr>
        <w:t xml:space="preserve">press one key to continue the task. Throughout the run, participants were asked to fixate on a </w:t>
      </w:r>
      <w:r w:rsidR="006E06EC">
        <w:rPr>
          <w:rFonts w:cstheme="minorHAnsi"/>
          <w:lang w:val="en-US"/>
        </w:rPr>
        <w:t xml:space="preserve">small, black </w:t>
      </w:r>
      <w:r w:rsidRPr="00766161">
        <w:rPr>
          <w:rFonts w:cstheme="minorHAnsi"/>
          <w:lang w:val="en-US"/>
        </w:rPr>
        <w:t>cross in the middle of the screen.</w:t>
      </w:r>
      <w:r>
        <w:rPr>
          <w:rFonts w:cstheme="minorHAnsi"/>
          <w:lang w:val="en-US"/>
        </w:rPr>
        <w:t xml:space="preserve"> After the participant’s response</w:t>
      </w:r>
      <w:r w:rsidR="00390CCF">
        <w:rPr>
          <w:rFonts w:cstheme="minorHAnsi"/>
          <w:lang w:val="en-US"/>
        </w:rPr>
        <w:t>,</w:t>
      </w:r>
      <w:r>
        <w:rPr>
          <w:rFonts w:cstheme="minorHAnsi"/>
          <w:lang w:val="en-US"/>
        </w:rPr>
        <w:t xml:space="preserve"> a blank screen was presented for a 500 </w:t>
      </w:r>
      <w:proofErr w:type="spellStart"/>
      <w:r>
        <w:rPr>
          <w:rFonts w:cstheme="minorHAnsi"/>
          <w:lang w:val="en-US"/>
        </w:rPr>
        <w:t>ms</w:t>
      </w:r>
      <w:proofErr w:type="spellEnd"/>
      <w:r>
        <w:rPr>
          <w:rFonts w:cstheme="minorHAnsi"/>
          <w:lang w:val="en-US"/>
        </w:rPr>
        <w:t xml:space="preserve"> inter-trial interval. </w:t>
      </w:r>
    </w:p>
    <w:p w14:paraId="346084E9" w14:textId="77777777" w:rsidR="00CA0104" w:rsidRDefault="00CA0104" w:rsidP="006401B5">
      <w:pPr>
        <w:jc w:val="both"/>
        <w:rPr>
          <w:rFonts w:cstheme="minorHAnsi"/>
          <w:lang w:val="en-US"/>
        </w:rPr>
      </w:pPr>
    </w:p>
    <w:p w14:paraId="75D7B46F" w14:textId="77777777" w:rsidR="00CA0104" w:rsidRDefault="00CA0104" w:rsidP="006401B5">
      <w:pPr>
        <w:jc w:val="both"/>
        <w:rPr>
          <w:rFonts w:cstheme="minorHAnsi"/>
          <w:lang w:val="en-US"/>
        </w:rPr>
      </w:pPr>
      <w:r w:rsidRPr="00766161">
        <w:rPr>
          <w:rFonts w:cstheme="minorHAnsi"/>
          <w:lang w:val="en-US"/>
        </w:rPr>
        <w:t xml:space="preserve">During the </w:t>
      </w:r>
      <w:r>
        <w:rPr>
          <w:rFonts w:cstheme="minorHAnsi"/>
          <w:lang w:val="en-US"/>
        </w:rPr>
        <w:t xml:space="preserve">12 initial </w:t>
      </w:r>
      <w:r w:rsidRPr="00766161">
        <w:rPr>
          <w:rFonts w:cstheme="minorHAnsi"/>
          <w:lang w:val="en-US"/>
        </w:rPr>
        <w:t xml:space="preserve">practice </w:t>
      </w:r>
      <w:r>
        <w:rPr>
          <w:rFonts w:cstheme="minorHAnsi"/>
          <w:lang w:val="en-US"/>
        </w:rPr>
        <w:t>trials</w:t>
      </w:r>
      <w:r w:rsidRPr="00766161">
        <w:rPr>
          <w:rFonts w:cstheme="minorHAnsi"/>
          <w:lang w:val="en-US"/>
        </w:rPr>
        <w:t xml:space="preserve">, participants </w:t>
      </w:r>
      <w:r>
        <w:rPr>
          <w:rFonts w:cstheme="minorHAnsi"/>
          <w:lang w:val="en-US"/>
        </w:rPr>
        <w:t xml:space="preserve">could only </w:t>
      </w:r>
      <w:r w:rsidRPr="00766161">
        <w:rPr>
          <w:rFonts w:cstheme="minorHAnsi"/>
          <w:lang w:val="en-US"/>
        </w:rPr>
        <w:t xml:space="preserve">choose the correct answer to move on to the next trial. </w:t>
      </w:r>
      <w:r>
        <w:rPr>
          <w:rFonts w:cstheme="minorHAnsi"/>
          <w:lang w:val="en-US"/>
        </w:rPr>
        <w:t xml:space="preserve">The stimuli in the practice </w:t>
      </w:r>
      <w:r w:rsidRPr="00766161">
        <w:rPr>
          <w:rFonts w:cstheme="minorHAnsi"/>
          <w:lang w:val="en-US"/>
        </w:rPr>
        <w:t xml:space="preserve">were </w:t>
      </w:r>
      <w:r>
        <w:rPr>
          <w:rFonts w:cstheme="minorHAnsi"/>
          <w:lang w:val="en-US"/>
        </w:rPr>
        <w:t xml:space="preserve">easy to discriminate, including only orientation offsets of </w:t>
      </w:r>
      <w:r>
        <w:rPr>
          <w:rFonts w:cstheme="minorHAnsi"/>
        </w:rPr>
        <w:t xml:space="preserve">±10° and ±20° for each of the three main orientations. </w:t>
      </w:r>
      <w:r>
        <w:rPr>
          <w:rFonts w:cstheme="minorHAnsi"/>
          <w:lang w:val="en-US"/>
        </w:rPr>
        <w:t xml:space="preserve">Most </w:t>
      </w:r>
      <w:r w:rsidRPr="00766161">
        <w:rPr>
          <w:rFonts w:cstheme="minorHAnsi"/>
          <w:lang w:val="en-US"/>
        </w:rPr>
        <w:t>participants could select the correct answer easily.</w:t>
      </w:r>
    </w:p>
    <w:p w14:paraId="080157E8" w14:textId="77777777" w:rsidR="00CA0104" w:rsidRDefault="00CA0104" w:rsidP="006401B5">
      <w:pPr>
        <w:jc w:val="both"/>
        <w:rPr>
          <w:rFonts w:cstheme="minorHAnsi"/>
          <w:lang w:val="en-US"/>
        </w:rPr>
      </w:pPr>
    </w:p>
    <w:p w14:paraId="5F947B01" w14:textId="2FE6E51B" w:rsidR="001E4F80" w:rsidRDefault="00390CCF" w:rsidP="006401B5">
      <w:pPr>
        <w:jc w:val="both"/>
        <w:rPr>
          <w:rFonts w:cstheme="minorHAnsi"/>
          <w:b/>
          <w:bCs/>
        </w:rPr>
      </w:pPr>
      <w:r>
        <w:rPr>
          <w:rFonts w:cstheme="minorHAnsi"/>
          <w:b/>
          <w:bCs/>
          <w:noProof/>
        </w:rPr>
        <w:lastRenderedPageBreak/>
        <w:drawing>
          <wp:inline distT="0" distB="0" distL="0" distR="0" wp14:anchorId="47F00AF5" wp14:editId="223058AA">
            <wp:extent cx="5727700" cy="12553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27700" cy="1255395"/>
                    </a:xfrm>
                    <a:prstGeom prst="rect">
                      <a:avLst/>
                    </a:prstGeom>
                  </pic:spPr>
                </pic:pic>
              </a:graphicData>
            </a:graphic>
          </wp:inline>
        </w:drawing>
      </w:r>
    </w:p>
    <w:p w14:paraId="49D84A56" w14:textId="6DD08111" w:rsidR="00CA0104" w:rsidRPr="00390CCF" w:rsidRDefault="00CA0104" w:rsidP="006401B5">
      <w:pPr>
        <w:jc w:val="both"/>
        <w:rPr>
          <w:rFonts w:cstheme="minorHAnsi"/>
          <w:sz w:val="18"/>
          <w:szCs w:val="18"/>
        </w:rPr>
      </w:pPr>
      <w:r w:rsidRPr="00390CCF">
        <w:rPr>
          <w:rFonts w:cstheme="minorHAnsi"/>
          <w:b/>
          <w:bCs/>
          <w:sz w:val="18"/>
          <w:szCs w:val="18"/>
        </w:rPr>
        <w:t xml:space="preserve">Figure S1. </w:t>
      </w:r>
      <w:r w:rsidRPr="00390CCF">
        <w:rPr>
          <w:rFonts w:cstheme="minorHAnsi"/>
          <w:sz w:val="18"/>
          <w:szCs w:val="18"/>
        </w:rPr>
        <w:t xml:space="preserve">Experimental design. </w:t>
      </w:r>
      <w:r w:rsidRPr="00390CCF">
        <w:rPr>
          <w:rFonts w:cstheme="minorHAnsi"/>
          <w:i/>
          <w:iCs/>
          <w:sz w:val="18"/>
          <w:szCs w:val="18"/>
        </w:rPr>
        <w:t>Trial sequence.</w:t>
      </w:r>
      <w:r w:rsidRPr="00390CCF">
        <w:rPr>
          <w:rFonts w:cstheme="minorHAnsi"/>
          <w:sz w:val="18"/>
          <w:szCs w:val="18"/>
        </w:rPr>
        <w:t xml:space="preserve"> The second (test) grating was either tilted anticlockwise or clockwise or was unchanged relative to the first (reference) grating. There were three main orientations around which the test grating could vary. The oblique effect is characterised by superior performance around cardinal (in this case, vertical) orientations.</w:t>
      </w:r>
      <w:r w:rsidR="00390CCF">
        <w:rPr>
          <w:rFonts w:cstheme="minorHAnsi"/>
          <w:sz w:val="18"/>
          <w:szCs w:val="18"/>
        </w:rPr>
        <w:t xml:space="preserve"> Note that a 500 </w:t>
      </w:r>
      <w:proofErr w:type="spellStart"/>
      <w:r w:rsidR="00390CCF">
        <w:rPr>
          <w:rFonts w:cstheme="minorHAnsi"/>
          <w:sz w:val="18"/>
          <w:szCs w:val="18"/>
        </w:rPr>
        <w:t>ms</w:t>
      </w:r>
      <w:proofErr w:type="spellEnd"/>
      <w:r w:rsidR="00390CCF">
        <w:rPr>
          <w:rFonts w:cstheme="minorHAnsi"/>
          <w:sz w:val="18"/>
          <w:szCs w:val="18"/>
        </w:rPr>
        <w:t xml:space="preserve"> inter-trial interval followed the observer’s response. There was also a 300 </w:t>
      </w:r>
      <w:proofErr w:type="spellStart"/>
      <w:r w:rsidR="00390CCF">
        <w:rPr>
          <w:rFonts w:cstheme="minorHAnsi"/>
          <w:sz w:val="18"/>
          <w:szCs w:val="18"/>
        </w:rPr>
        <w:t>ms</w:t>
      </w:r>
      <w:proofErr w:type="spellEnd"/>
      <w:r w:rsidR="00390CCF">
        <w:rPr>
          <w:rFonts w:cstheme="minorHAnsi"/>
          <w:sz w:val="18"/>
          <w:szCs w:val="18"/>
        </w:rPr>
        <w:t xml:space="preserve"> inter-stimulus interval between the two gratings in each trial, not shown here. The second grating stayed on the screen until the observer responded.</w:t>
      </w:r>
    </w:p>
    <w:p w14:paraId="54E7DCC5" w14:textId="3047B42F" w:rsidR="00414085" w:rsidRDefault="00414085" w:rsidP="006401B5">
      <w:pPr>
        <w:jc w:val="both"/>
        <w:rPr>
          <w:rFonts w:cstheme="minorHAnsi"/>
          <w:sz w:val="22"/>
          <w:szCs w:val="22"/>
        </w:rPr>
      </w:pPr>
    </w:p>
    <w:p w14:paraId="45481482" w14:textId="77777777" w:rsidR="006401B5" w:rsidRDefault="006401B5" w:rsidP="006401B5">
      <w:pPr>
        <w:jc w:val="both"/>
        <w:rPr>
          <w:rFonts w:cstheme="minorHAnsi"/>
          <w:sz w:val="22"/>
          <w:szCs w:val="22"/>
        </w:rPr>
      </w:pPr>
    </w:p>
    <w:p w14:paraId="3D336A14" w14:textId="77777777" w:rsidR="00CA0104" w:rsidRPr="006E5E08" w:rsidRDefault="00CA0104" w:rsidP="006401B5">
      <w:pPr>
        <w:jc w:val="both"/>
        <w:rPr>
          <w:rFonts w:cstheme="minorHAnsi"/>
          <w:i/>
          <w:iCs/>
        </w:rPr>
      </w:pPr>
      <w:r w:rsidRPr="006E5E08">
        <w:rPr>
          <w:rFonts w:cstheme="minorHAnsi"/>
          <w:i/>
          <w:iCs/>
        </w:rPr>
        <w:t>Data analysis</w:t>
      </w:r>
    </w:p>
    <w:p w14:paraId="64AB7554" w14:textId="77777777" w:rsidR="00CA0104" w:rsidRDefault="00CA0104" w:rsidP="006401B5">
      <w:pPr>
        <w:jc w:val="both"/>
        <w:rPr>
          <w:rFonts w:cstheme="minorHAnsi"/>
        </w:rPr>
      </w:pPr>
      <w:r>
        <w:rPr>
          <w:rFonts w:cstheme="minorHAnsi"/>
        </w:rPr>
        <w:t>We then determined the participant’s orientation discrimination performance for each of the three main orientations. For each orientation offset, we calculated the proportion of trials that they chose the test stimulus as appearing more anticlockwise. Then we fit a cumulative Gaussian psychometric function to these data using a linear mean squares approach. The bandwidth (σ) of this Gaussian determines the slope of the curve. Narrower bandwidth corresponds to steeper slopes, meaning better performance (Figure S2A). We calculated two contrasts of interest. For determining the oblique effect (H</w:t>
      </w:r>
      <w:r w:rsidRPr="006245A5">
        <w:rPr>
          <w:rFonts w:cstheme="minorHAnsi"/>
          <w:vertAlign w:val="subscript"/>
        </w:rPr>
        <w:t>1</w:t>
      </w:r>
      <w:r>
        <w:rPr>
          <w:rFonts w:cstheme="minorHAnsi"/>
        </w:rPr>
        <w:t>) we subtracted the bandwidth for 90° main orientation from that for 45°. To estimate an assumed null effect (H</w:t>
      </w:r>
      <w:r w:rsidRPr="006245A5">
        <w:rPr>
          <w:rFonts w:cstheme="minorHAnsi"/>
          <w:vertAlign w:val="subscript"/>
        </w:rPr>
        <w:t>0</w:t>
      </w:r>
      <w:r>
        <w:rPr>
          <w:rFonts w:cstheme="minorHAnsi"/>
        </w:rPr>
        <w:t>), we subtracted the bandwidth for 135° from that for 45°.</w:t>
      </w:r>
    </w:p>
    <w:p w14:paraId="20C10E94" w14:textId="77777777" w:rsidR="00CA0104" w:rsidRDefault="00CA0104" w:rsidP="006401B5">
      <w:pPr>
        <w:jc w:val="both"/>
        <w:rPr>
          <w:rFonts w:cstheme="minorHAnsi"/>
        </w:rPr>
      </w:pPr>
    </w:p>
    <w:p w14:paraId="29590F4C" w14:textId="77777777" w:rsidR="00CA0104" w:rsidRDefault="00CA0104" w:rsidP="006401B5">
      <w:pPr>
        <w:jc w:val="both"/>
        <w:rPr>
          <w:rFonts w:cstheme="minorHAnsi"/>
        </w:rPr>
      </w:pPr>
      <w:r>
        <w:rPr>
          <w:rFonts w:cstheme="minorHAnsi"/>
        </w:rPr>
        <w:t xml:space="preserve">We also determined the significance of these contrasts for each observer to use these results in our small-N approach. To this end, we bootstrapped the psychometric curve fits. We resampled the choices for each orientation offset with replacement, recalculated the choice proportions, and refit the psychometric curves 10,000 times. We then determined a one-tailed significance value by calculating the proportion of resamples for which the bootstrapped distribution of the two contrasts were ≤0. </w:t>
      </w:r>
    </w:p>
    <w:p w14:paraId="58AC8DAE" w14:textId="77777777" w:rsidR="00CA0104" w:rsidRDefault="00CA0104" w:rsidP="006401B5">
      <w:pPr>
        <w:jc w:val="both"/>
        <w:rPr>
          <w:rFonts w:cstheme="minorHAnsi"/>
        </w:rPr>
      </w:pPr>
    </w:p>
    <w:p w14:paraId="6EC43974" w14:textId="77777777" w:rsidR="00CA0104" w:rsidRDefault="00CA0104" w:rsidP="006401B5">
      <w:pPr>
        <w:jc w:val="both"/>
        <w:rPr>
          <w:rFonts w:cstheme="minorHAnsi"/>
        </w:rPr>
      </w:pPr>
    </w:p>
    <w:p w14:paraId="2ACA978F" w14:textId="77777777" w:rsidR="00CA0104" w:rsidRPr="006245A5" w:rsidRDefault="00CA0104" w:rsidP="006401B5">
      <w:pPr>
        <w:jc w:val="both"/>
        <w:rPr>
          <w:rFonts w:cstheme="minorHAnsi"/>
          <w:b/>
          <w:bCs/>
        </w:rPr>
      </w:pPr>
      <w:r w:rsidRPr="006245A5">
        <w:rPr>
          <w:rFonts w:cstheme="minorHAnsi"/>
          <w:b/>
          <w:bCs/>
        </w:rPr>
        <w:t>Results</w:t>
      </w:r>
    </w:p>
    <w:p w14:paraId="3925057E" w14:textId="77777777" w:rsidR="00CA0104" w:rsidRDefault="00CA0104" w:rsidP="006401B5">
      <w:pPr>
        <w:jc w:val="both"/>
        <w:rPr>
          <w:rFonts w:cstheme="minorHAnsi"/>
        </w:rPr>
      </w:pPr>
    </w:p>
    <w:p w14:paraId="5C50839F" w14:textId="77777777" w:rsidR="00CA0104" w:rsidRDefault="00CA0104" w:rsidP="006401B5">
      <w:pPr>
        <w:jc w:val="both"/>
        <w:rPr>
          <w:rFonts w:cstheme="minorHAnsi"/>
        </w:rPr>
      </w:pPr>
      <w:r>
        <w:rPr>
          <w:rFonts w:cstheme="minorHAnsi"/>
        </w:rPr>
        <w:t>Psychometric curves for three representative observers are shown in Figure S2A. It is immediately apparent that the curve for 90° main orientation (red functions) has a steeper slope in all observers, that is a narrower bandwidth. We plot the contrasts between bandwidths for H</w:t>
      </w:r>
      <w:r w:rsidRPr="006245A5">
        <w:rPr>
          <w:rFonts w:cstheme="minorHAnsi"/>
          <w:vertAlign w:val="subscript"/>
        </w:rPr>
        <w:t>1</w:t>
      </w:r>
      <w:r>
        <w:rPr>
          <w:rFonts w:cstheme="minorHAnsi"/>
        </w:rPr>
        <w:t xml:space="preserve"> (45°-90°) and H</w:t>
      </w:r>
      <w:r w:rsidRPr="006245A5">
        <w:rPr>
          <w:rFonts w:cstheme="minorHAnsi"/>
          <w:vertAlign w:val="subscript"/>
        </w:rPr>
        <w:t>0</w:t>
      </w:r>
      <w:r>
        <w:rPr>
          <w:rFonts w:cstheme="minorHAnsi"/>
        </w:rPr>
        <w:t xml:space="preserve"> (45°-135°) in Figure S2B. All observers showed positive contrasts for H</w:t>
      </w:r>
      <w:r w:rsidRPr="006245A5">
        <w:rPr>
          <w:rFonts w:cstheme="minorHAnsi"/>
          <w:vertAlign w:val="subscript"/>
        </w:rPr>
        <w:t>1</w:t>
      </w:r>
      <w:r>
        <w:rPr>
          <w:rFonts w:cstheme="minorHAnsi"/>
        </w:rPr>
        <w:t xml:space="preserve"> as expected, while contrasts for H</w:t>
      </w:r>
      <w:r w:rsidRPr="006245A5">
        <w:rPr>
          <w:rFonts w:cstheme="minorHAnsi"/>
          <w:vertAlign w:val="subscript"/>
        </w:rPr>
        <w:t>0</w:t>
      </w:r>
      <w:r>
        <w:rPr>
          <w:rFonts w:cstheme="minorHAnsi"/>
        </w:rPr>
        <w:t xml:space="preserve"> ranged between positive and negative but most were in fact negative. Only one observer failed to reach significance on individual fits for H</w:t>
      </w:r>
      <w:r w:rsidRPr="006245A5">
        <w:rPr>
          <w:rFonts w:cstheme="minorHAnsi"/>
          <w:vertAlign w:val="subscript"/>
        </w:rPr>
        <w:t>1</w:t>
      </w:r>
      <w:r>
        <w:rPr>
          <w:rFonts w:cstheme="minorHAnsi"/>
        </w:rPr>
        <w:t xml:space="preserve"> and only one was significant for H</w:t>
      </w:r>
      <w:r w:rsidRPr="006245A5">
        <w:rPr>
          <w:rFonts w:cstheme="minorHAnsi"/>
          <w:vertAlign w:val="subscript"/>
        </w:rPr>
        <w:t>0</w:t>
      </w:r>
      <w:r>
        <w:rPr>
          <w:rFonts w:cstheme="minorHAnsi"/>
        </w:rPr>
        <w:t xml:space="preserve">. </w:t>
      </w:r>
    </w:p>
    <w:p w14:paraId="17D6443B" w14:textId="77777777" w:rsidR="00CA0104" w:rsidRPr="006245A5" w:rsidRDefault="00CA0104" w:rsidP="006401B5">
      <w:pPr>
        <w:jc w:val="both"/>
        <w:rPr>
          <w:rFonts w:cstheme="minorHAnsi"/>
          <w:lang w:val="en-US"/>
        </w:rPr>
      </w:pPr>
    </w:p>
    <w:p w14:paraId="12043A44" w14:textId="6AFB6416" w:rsidR="00CA0104" w:rsidRDefault="007331F3" w:rsidP="006401B5">
      <w:pPr>
        <w:jc w:val="both"/>
        <w:rPr>
          <w:rFonts w:cstheme="minorHAnsi"/>
        </w:rPr>
      </w:pPr>
      <w:r>
        <w:rPr>
          <w:rFonts w:cstheme="minorHAnsi"/>
          <w:noProof/>
        </w:rPr>
        <w:lastRenderedPageBreak/>
        <w:drawing>
          <wp:inline distT="0" distB="0" distL="0" distR="0" wp14:anchorId="493B976D" wp14:editId="35CC67D4">
            <wp:extent cx="5727700" cy="5543550"/>
            <wp:effectExtent l="0" t="0" r="6350" b="0"/>
            <wp:docPr id="144894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43843" name="Picture 1448943843"/>
                    <pic:cNvPicPr/>
                  </pic:nvPicPr>
                  <pic:blipFill>
                    <a:blip r:embed="rId5">
                      <a:extLst>
                        <a:ext uri="{28A0092B-C50C-407E-A947-70E740481C1C}">
                          <a14:useLocalDpi xmlns:a14="http://schemas.microsoft.com/office/drawing/2010/main" val="0"/>
                        </a:ext>
                      </a:extLst>
                    </a:blip>
                    <a:stretch>
                      <a:fillRect/>
                    </a:stretch>
                  </pic:blipFill>
                  <pic:spPr>
                    <a:xfrm>
                      <a:off x="0" y="0"/>
                      <a:ext cx="5727700" cy="5543550"/>
                    </a:xfrm>
                    <a:prstGeom prst="rect">
                      <a:avLst/>
                    </a:prstGeom>
                  </pic:spPr>
                </pic:pic>
              </a:graphicData>
            </a:graphic>
          </wp:inline>
        </w:drawing>
      </w:r>
    </w:p>
    <w:p w14:paraId="3237294E" w14:textId="77777777" w:rsidR="002763C3" w:rsidRDefault="002763C3" w:rsidP="006401B5">
      <w:pPr>
        <w:jc w:val="both"/>
        <w:rPr>
          <w:rFonts w:cstheme="minorHAnsi"/>
        </w:rPr>
      </w:pPr>
    </w:p>
    <w:p w14:paraId="1538C03C" w14:textId="5043F738" w:rsidR="00CA0104" w:rsidRPr="006401B5" w:rsidRDefault="00CA0104" w:rsidP="006401B5">
      <w:pPr>
        <w:jc w:val="both"/>
        <w:rPr>
          <w:rFonts w:cstheme="minorHAnsi"/>
          <w:sz w:val="18"/>
          <w:szCs w:val="18"/>
          <w:lang w:val="en-US"/>
        </w:rPr>
      </w:pPr>
      <w:r w:rsidRPr="006401B5">
        <w:rPr>
          <w:rFonts w:cstheme="minorHAnsi"/>
          <w:b/>
          <w:bCs/>
          <w:sz w:val="18"/>
          <w:szCs w:val="18"/>
        </w:rPr>
        <w:t>Figure S2.</w:t>
      </w:r>
      <w:r w:rsidRPr="006401B5">
        <w:rPr>
          <w:rFonts w:cstheme="minorHAnsi"/>
          <w:sz w:val="18"/>
          <w:szCs w:val="18"/>
        </w:rPr>
        <w:t xml:space="preserve"> Oblique effect results. </w:t>
      </w:r>
      <w:r w:rsidRPr="006401B5">
        <w:rPr>
          <w:rFonts w:cstheme="minorHAnsi"/>
          <w:b/>
          <w:bCs/>
          <w:sz w:val="18"/>
          <w:szCs w:val="18"/>
        </w:rPr>
        <w:t>A</w:t>
      </w:r>
      <w:r w:rsidR="004472BE" w:rsidRPr="006401B5">
        <w:rPr>
          <w:rFonts w:cstheme="minorHAnsi"/>
          <w:b/>
          <w:bCs/>
          <w:sz w:val="18"/>
          <w:szCs w:val="18"/>
        </w:rPr>
        <w:t>)</w:t>
      </w:r>
      <w:r w:rsidRPr="006401B5">
        <w:rPr>
          <w:rFonts w:cstheme="minorHAnsi"/>
          <w:sz w:val="18"/>
          <w:szCs w:val="18"/>
        </w:rPr>
        <w:t xml:space="preserve">. Psychometric curves from three representative observers. The proportion of trials the test grating was seen as more anticlockwise is plotted against the orientation offset, separately for the three main orientations. Black: 45°, Red: 90°, Blue: 135°. </w:t>
      </w:r>
      <w:r w:rsidRPr="006401B5">
        <w:rPr>
          <w:rFonts w:cstheme="minorHAnsi"/>
          <w:b/>
          <w:bCs/>
          <w:sz w:val="18"/>
          <w:szCs w:val="18"/>
        </w:rPr>
        <w:t>B</w:t>
      </w:r>
      <w:r w:rsidR="004472BE" w:rsidRPr="006401B5">
        <w:rPr>
          <w:rFonts w:cstheme="minorHAnsi"/>
          <w:b/>
          <w:bCs/>
          <w:sz w:val="18"/>
          <w:szCs w:val="18"/>
        </w:rPr>
        <w:t>)</w:t>
      </w:r>
      <w:r w:rsidRPr="006401B5">
        <w:rPr>
          <w:rFonts w:cstheme="minorHAnsi"/>
          <w:sz w:val="18"/>
          <w:szCs w:val="18"/>
        </w:rPr>
        <w:t>. Contrasts</w:t>
      </w:r>
      <w:r w:rsidR="004472BE" w:rsidRPr="006401B5">
        <w:rPr>
          <w:rFonts w:cstheme="minorHAnsi"/>
          <w:sz w:val="18"/>
          <w:szCs w:val="18"/>
        </w:rPr>
        <w:t xml:space="preserve"> across participants</w:t>
      </w:r>
      <w:r w:rsidR="002763C3" w:rsidRPr="006401B5">
        <w:rPr>
          <w:rFonts w:cstheme="minorHAnsi"/>
          <w:sz w:val="18"/>
          <w:szCs w:val="18"/>
        </w:rPr>
        <w:t>.</w:t>
      </w:r>
      <w:r w:rsidR="004472BE" w:rsidRPr="006401B5">
        <w:rPr>
          <w:rFonts w:cstheme="minorHAnsi"/>
          <w:sz w:val="18"/>
          <w:szCs w:val="18"/>
        </w:rPr>
        <w:t xml:space="preserve"> Each dot denotes the difference in bandwidth between the conditions</w:t>
      </w:r>
      <w:r w:rsidR="008369C5" w:rsidRPr="006401B5">
        <w:rPr>
          <w:rFonts w:cstheme="minorHAnsi"/>
          <w:sz w:val="18"/>
          <w:szCs w:val="18"/>
        </w:rPr>
        <w:t xml:space="preserve"> shown</w:t>
      </w:r>
      <w:r w:rsidR="004472BE" w:rsidRPr="006401B5">
        <w:rPr>
          <w:rFonts w:cstheme="minorHAnsi"/>
          <w:sz w:val="18"/>
          <w:szCs w:val="18"/>
        </w:rPr>
        <w:t>.</w:t>
      </w:r>
      <w:r w:rsidR="002763C3" w:rsidRPr="006401B5">
        <w:rPr>
          <w:rFonts w:cstheme="minorHAnsi"/>
          <w:sz w:val="18"/>
          <w:szCs w:val="18"/>
        </w:rPr>
        <w:t xml:space="preserve"> </w:t>
      </w:r>
      <w:r w:rsidR="008369C5" w:rsidRPr="006401B5">
        <w:rPr>
          <w:rFonts w:cstheme="minorHAnsi"/>
          <w:sz w:val="18"/>
          <w:szCs w:val="18"/>
        </w:rPr>
        <w:t>The r</w:t>
      </w:r>
      <w:r w:rsidR="002763C3" w:rsidRPr="006401B5">
        <w:rPr>
          <w:rFonts w:cstheme="minorHAnsi"/>
          <w:sz w:val="18"/>
          <w:szCs w:val="18"/>
        </w:rPr>
        <w:t xml:space="preserve">ed dot </w:t>
      </w:r>
      <w:r w:rsidR="008369C5" w:rsidRPr="006401B5">
        <w:rPr>
          <w:rFonts w:cstheme="minorHAnsi"/>
          <w:sz w:val="18"/>
          <w:szCs w:val="18"/>
        </w:rPr>
        <w:t xml:space="preserve">indicates </w:t>
      </w:r>
      <w:r w:rsidR="002763C3" w:rsidRPr="006401B5">
        <w:rPr>
          <w:rFonts w:cstheme="minorHAnsi"/>
          <w:sz w:val="18"/>
          <w:szCs w:val="18"/>
        </w:rPr>
        <w:t xml:space="preserve">the </w:t>
      </w:r>
      <w:r w:rsidR="008369C5" w:rsidRPr="006401B5">
        <w:rPr>
          <w:rFonts w:cstheme="minorHAnsi"/>
          <w:sz w:val="18"/>
          <w:szCs w:val="18"/>
        </w:rPr>
        <w:t>observer who failed to reach significance for the contrast 45-90°. Conversely, the b</w:t>
      </w:r>
      <w:r w:rsidR="002763C3" w:rsidRPr="006401B5">
        <w:rPr>
          <w:rFonts w:cstheme="minorHAnsi"/>
          <w:sz w:val="18"/>
          <w:szCs w:val="18"/>
        </w:rPr>
        <w:t>lue dot indicate</w:t>
      </w:r>
      <w:r w:rsidR="00196B8A" w:rsidRPr="006401B5">
        <w:rPr>
          <w:rFonts w:cstheme="minorHAnsi"/>
          <w:sz w:val="18"/>
          <w:szCs w:val="18"/>
        </w:rPr>
        <w:t>s</w:t>
      </w:r>
      <w:r w:rsidR="002763C3" w:rsidRPr="006401B5">
        <w:rPr>
          <w:rFonts w:cstheme="minorHAnsi"/>
          <w:sz w:val="18"/>
          <w:szCs w:val="18"/>
        </w:rPr>
        <w:t xml:space="preserve"> the </w:t>
      </w:r>
      <w:r w:rsidR="008369C5" w:rsidRPr="006401B5">
        <w:rPr>
          <w:rFonts w:cstheme="minorHAnsi"/>
          <w:sz w:val="18"/>
          <w:szCs w:val="18"/>
        </w:rPr>
        <w:t>observer who showed a significant difference for the contrast 45-135°</w:t>
      </w:r>
      <w:r w:rsidR="002763C3" w:rsidRPr="006401B5">
        <w:rPr>
          <w:rFonts w:cstheme="minorHAnsi"/>
          <w:sz w:val="18"/>
          <w:szCs w:val="18"/>
        </w:rPr>
        <w:t>.</w:t>
      </w:r>
    </w:p>
    <w:sectPr w:rsidR="00CA0104" w:rsidRPr="006401B5" w:rsidSect="0001210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Leelawadee UI"/>
    <w:panose1 w:val="020B0304020202020204"/>
    <w:charset w:val="DE"/>
    <w:family w:val="roman"/>
    <w:pitch w:val="variable"/>
    <w:sig w:usb0="01000001"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01000001" w:usb1="00000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80"/>
    <w:rsid w:val="00012107"/>
    <w:rsid w:val="00025323"/>
    <w:rsid w:val="00041022"/>
    <w:rsid w:val="00196B8A"/>
    <w:rsid w:val="001E4F80"/>
    <w:rsid w:val="0023357F"/>
    <w:rsid w:val="00233C22"/>
    <w:rsid w:val="002763C3"/>
    <w:rsid w:val="0029388D"/>
    <w:rsid w:val="00300AED"/>
    <w:rsid w:val="00390CCF"/>
    <w:rsid w:val="00396215"/>
    <w:rsid w:val="003A0CE9"/>
    <w:rsid w:val="004035D2"/>
    <w:rsid w:val="00414085"/>
    <w:rsid w:val="004472BE"/>
    <w:rsid w:val="004969CB"/>
    <w:rsid w:val="004C4599"/>
    <w:rsid w:val="00571F48"/>
    <w:rsid w:val="006401B5"/>
    <w:rsid w:val="0068221C"/>
    <w:rsid w:val="006E06EC"/>
    <w:rsid w:val="00703E74"/>
    <w:rsid w:val="007331F3"/>
    <w:rsid w:val="00735262"/>
    <w:rsid w:val="00766161"/>
    <w:rsid w:val="007823D3"/>
    <w:rsid w:val="00786301"/>
    <w:rsid w:val="0081547E"/>
    <w:rsid w:val="00825948"/>
    <w:rsid w:val="008369C5"/>
    <w:rsid w:val="008732F8"/>
    <w:rsid w:val="00972A99"/>
    <w:rsid w:val="00A139B8"/>
    <w:rsid w:val="00A1571C"/>
    <w:rsid w:val="00A51E1F"/>
    <w:rsid w:val="00AF59F1"/>
    <w:rsid w:val="00AF62F7"/>
    <w:rsid w:val="00AF7722"/>
    <w:rsid w:val="00B775B9"/>
    <w:rsid w:val="00BF4DCD"/>
    <w:rsid w:val="00BF7ED4"/>
    <w:rsid w:val="00C525A2"/>
    <w:rsid w:val="00C5391D"/>
    <w:rsid w:val="00C72624"/>
    <w:rsid w:val="00C83C7F"/>
    <w:rsid w:val="00C90FAD"/>
    <w:rsid w:val="00CA0104"/>
    <w:rsid w:val="00CC3C33"/>
    <w:rsid w:val="00D224BB"/>
    <w:rsid w:val="00D41D04"/>
    <w:rsid w:val="00DE0AAF"/>
    <w:rsid w:val="00E22864"/>
    <w:rsid w:val="00EE223F"/>
    <w:rsid w:val="00EF5ADF"/>
    <w:rsid w:val="00F16462"/>
    <w:rsid w:val="00F249D4"/>
    <w:rsid w:val="00FC2C6A"/>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19F0"/>
  <w15:docId w15:val="{360215DB-26F7-8546-BCCF-AADC3C76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4F8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51E1F"/>
    <w:rPr>
      <w:color w:val="0000FF"/>
      <w:u w:val="single"/>
    </w:rPr>
  </w:style>
  <w:style w:type="character" w:styleId="FollowedHyperlink">
    <w:name w:val="FollowedHyperlink"/>
    <w:basedOn w:val="DefaultParagraphFont"/>
    <w:uiPriority w:val="99"/>
    <w:semiHidden/>
    <w:unhideWhenUsed/>
    <w:rsid w:val="00AF7722"/>
    <w:rPr>
      <w:color w:val="954F72" w:themeColor="followedHyperlink"/>
      <w:u w:val="single"/>
    </w:rPr>
  </w:style>
  <w:style w:type="character" w:styleId="UnresolvedMention">
    <w:name w:val="Unresolved Mention"/>
    <w:basedOn w:val="DefaultParagraphFont"/>
    <w:uiPriority w:val="99"/>
    <w:semiHidden/>
    <w:unhideWhenUsed/>
    <w:rsid w:val="00AF7722"/>
    <w:rPr>
      <w:color w:val="605E5C"/>
      <w:shd w:val="clear" w:color="auto" w:fill="E1DFDD"/>
    </w:rPr>
  </w:style>
  <w:style w:type="character" w:styleId="CommentReference">
    <w:name w:val="annotation reference"/>
    <w:basedOn w:val="DefaultParagraphFont"/>
    <w:uiPriority w:val="99"/>
    <w:semiHidden/>
    <w:unhideWhenUsed/>
    <w:rsid w:val="00CA0104"/>
    <w:rPr>
      <w:sz w:val="16"/>
      <w:szCs w:val="16"/>
    </w:rPr>
  </w:style>
  <w:style w:type="paragraph" w:styleId="CommentText">
    <w:name w:val="annotation text"/>
    <w:basedOn w:val="Normal"/>
    <w:link w:val="CommentTextChar"/>
    <w:uiPriority w:val="99"/>
    <w:unhideWhenUsed/>
    <w:rsid w:val="00CA0104"/>
    <w:rPr>
      <w:sz w:val="20"/>
      <w:szCs w:val="20"/>
    </w:rPr>
  </w:style>
  <w:style w:type="character" w:customStyle="1" w:styleId="CommentTextChar">
    <w:name w:val="Comment Text Char"/>
    <w:basedOn w:val="DefaultParagraphFont"/>
    <w:link w:val="CommentText"/>
    <w:uiPriority w:val="99"/>
    <w:rsid w:val="00CA01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nx4823</dc:creator>
  <cp:keywords/>
  <dc:description/>
  <cp:lastModifiedBy>Sam Schwarzkopf</cp:lastModifiedBy>
  <cp:revision>13</cp:revision>
  <dcterms:created xsi:type="dcterms:W3CDTF">2023-05-30T06:51:00Z</dcterms:created>
  <dcterms:modified xsi:type="dcterms:W3CDTF">2023-07-21T07:16:00Z</dcterms:modified>
</cp:coreProperties>
</file>