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B9DA3D" w14:textId="4E189FA6" w:rsidR="00AD0593" w:rsidRDefault="00AD0593" w:rsidP="00AD0593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Supplemental</w:t>
      </w:r>
    </w:p>
    <w:p w14:paraId="7A802DE5" w14:textId="7CE1A668" w:rsidR="00707617" w:rsidRDefault="4190C7DF" w:rsidP="0C542E77">
      <w:pPr>
        <w:spacing w:after="0" w:line="480" w:lineRule="auto"/>
        <w:rPr>
          <w:rFonts w:ascii="Times New Roman" w:eastAsia="Times New Roman" w:hAnsi="Times New Roman" w:cs="Times New Roman"/>
          <w:b/>
          <w:bCs/>
        </w:rPr>
      </w:pPr>
      <w:r w:rsidRPr="0C542E77">
        <w:rPr>
          <w:rFonts w:ascii="Times New Roman" w:eastAsia="Times New Roman" w:hAnsi="Times New Roman" w:cs="Times New Roman"/>
          <w:b/>
          <w:bCs/>
        </w:rPr>
        <w:t>Attrition Rates</w:t>
      </w:r>
    </w:p>
    <w:p w14:paraId="321C7B37" w14:textId="1CA7A854" w:rsidR="00C64155" w:rsidRPr="00E238E5" w:rsidRDefault="4190C7DF" w:rsidP="18870ED2">
      <w:pPr>
        <w:spacing w:after="0" w:line="480" w:lineRule="auto"/>
        <w:rPr>
          <w:rFonts w:ascii="Times New Roman" w:eastAsia="Times New Roman" w:hAnsi="Times New Roman" w:cs="Times New Roman"/>
          <w:color w:val="000000" w:themeColor="text1"/>
        </w:rPr>
      </w:pPr>
      <w:r w:rsidRPr="00E238E5">
        <w:rPr>
          <w:rFonts w:ascii="Times New Roman" w:eastAsia="Times New Roman" w:hAnsi="Times New Roman" w:cs="Times New Roman"/>
          <w:color w:val="000000" w:themeColor="text1"/>
        </w:rPr>
        <w:t xml:space="preserve">         Attrition rates were reported in </w:t>
      </w:r>
      <w:r w:rsidR="007B10ED" w:rsidRPr="00E238E5">
        <w:rPr>
          <w:rFonts w:ascii="Times New Roman" w:eastAsia="Times New Roman" w:hAnsi="Times New Roman" w:cs="Times New Roman"/>
          <w:color w:val="000000" w:themeColor="text1"/>
        </w:rPr>
        <w:t xml:space="preserve">72 </w:t>
      </w:r>
      <w:r w:rsidRPr="00E238E5">
        <w:rPr>
          <w:rFonts w:ascii="Times New Roman" w:eastAsia="Times New Roman" w:hAnsi="Times New Roman" w:cs="Times New Roman"/>
          <w:color w:val="000000" w:themeColor="text1"/>
        </w:rPr>
        <w:t xml:space="preserve">of the </w:t>
      </w:r>
      <w:r w:rsidR="007B10ED" w:rsidRPr="00E238E5">
        <w:rPr>
          <w:rFonts w:ascii="Times New Roman" w:eastAsia="Times New Roman" w:hAnsi="Times New Roman" w:cs="Times New Roman"/>
          <w:color w:val="000000" w:themeColor="text1"/>
        </w:rPr>
        <w:t xml:space="preserve">76 </w:t>
      </w:r>
      <w:r w:rsidRPr="00E238E5">
        <w:rPr>
          <w:rFonts w:ascii="Times New Roman" w:eastAsia="Times New Roman" w:hAnsi="Times New Roman" w:cs="Times New Roman"/>
          <w:color w:val="000000" w:themeColor="text1"/>
        </w:rPr>
        <w:t xml:space="preserve">studies; </w:t>
      </w:r>
      <w:r w:rsidR="00DF743D" w:rsidRPr="00E238E5">
        <w:rPr>
          <w:rFonts w:ascii="Times New Roman" w:eastAsia="Times New Roman" w:hAnsi="Times New Roman" w:cs="Times New Roman"/>
          <w:color w:val="000000" w:themeColor="text1"/>
        </w:rPr>
        <w:t>four</w:t>
      </w:r>
      <w:r w:rsidRPr="00E238E5">
        <w:rPr>
          <w:rFonts w:ascii="Times New Roman" w:eastAsia="Times New Roman" w:hAnsi="Times New Roman" w:cs="Times New Roman"/>
          <w:color w:val="000000" w:themeColor="text1"/>
        </w:rPr>
        <w:t xml:space="preserve"> studies did not report attrition (Alvarez et al., 2024; </w:t>
      </w:r>
      <w:r w:rsidR="005F3024" w:rsidRPr="00E238E5">
        <w:rPr>
          <w:rFonts w:ascii="Times New Roman" w:eastAsia="Times New Roman" w:hAnsi="Times New Roman" w:cs="Times New Roman"/>
          <w:color w:val="000000" w:themeColor="text1"/>
        </w:rPr>
        <w:t>d</w:t>
      </w:r>
      <w:r w:rsidR="007B10ED" w:rsidRPr="00E238E5">
        <w:rPr>
          <w:rFonts w:ascii="Times New Roman" w:eastAsia="Times New Roman" w:hAnsi="Times New Roman" w:cs="Times New Roman"/>
          <w:color w:val="000000" w:themeColor="text1"/>
        </w:rPr>
        <w:t>e Jes</w:t>
      </w:r>
      <w:r w:rsidR="005F3024" w:rsidRPr="00E238E5">
        <w:rPr>
          <w:rFonts w:ascii="Times New Roman" w:eastAsia="Times New Roman" w:hAnsi="Times New Roman" w:cs="Times New Roman"/>
          <w:color w:val="000000" w:themeColor="text1"/>
        </w:rPr>
        <w:t>ú</w:t>
      </w:r>
      <w:r w:rsidR="007B10ED" w:rsidRPr="00E238E5">
        <w:rPr>
          <w:rFonts w:ascii="Times New Roman" w:eastAsia="Times New Roman" w:hAnsi="Times New Roman" w:cs="Times New Roman"/>
          <w:color w:val="000000" w:themeColor="text1"/>
        </w:rPr>
        <w:t>s Saucedo-Molina et al.</w:t>
      </w:r>
      <w:r w:rsidR="1040ADF9" w:rsidRPr="00E238E5">
        <w:rPr>
          <w:rFonts w:ascii="Times New Roman" w:eastAsia="Times New Roman" w:hAnsi="Times New Roman" w:cs="Times New Roman"/>
          <w:color w:val="000000" w:themeColor="text1"/>
        </w:rPr>
        <w:t>,</w:t>
      </w:r>
      <w:r w:rsidR="007B10ED" w:rsidRPr="00E238E5">
        <w:rPr>
          <w:rFonts w:ascii="Times New Roman" w:eastAsia="Times New Roman" w:hAnsi="Times New Roman" w:cs="Times New Roman"/>
          <w:color w:val="000000" w:themeColor="text1"/>
        </w:rPr>
        <w:t xml:space="preserve"> 2022; </w:t>
      </w:r>
      <w:r w:rsidRPr="00E238E5">
        <w:rPr>
          <w:rFonts w:ascii="Times New Roman" w:eastAsia="Times New Roman" w:hAnsi="Times New Roman" w:cs="Times New Roman"/>
          <w:color w:val="000000" w:themeColor="text1"/>
        </w:rPr>
        <w:t>Halliwell et al., 2016</w:t>
      </w:r>
      <w:r w:rsidR="007B10ED" w:rsidRPr="00E238E5">
        <w:rPr>
          <w:rFonts w:ascii="Times New Roman" w:eastAsia="Times New Roman" w:hAnsi="Times New Roman" w:cs="Times New Roman"/>
          <w:color w:val="000000" w:themeColor="text1"/>
        </w:rPr>
        <w:t>; Stanford &amp; McCabe, 2005;</w:t>
      </w:r>
      <w:r w:rsidRPr="00E238E5">
        <w:rPr>
          <w:rFonts w:ascii="Times New Roman" w:eastAsia="Times New Roman" w:hAnsi="Times New Roman" w:cs="Times New Roman"/>
          <w:color w:val="000000" w:themeColor="text1"/>
        </w:rPr>
        <w:t>). Across these</w:t>
      </w:r>
      <w:r w:rsidR="602EEC25" w:rsidRPr="00E238E5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7B10ED" w:rsidRPr="00E238E5">
        <w:rPr>
          <w:rFonts w:ascii="Times New Roman" w:eastAsia="Times New Roman" w:hAnsi="Times New Roman" w:cs="Times New Roman"/>
          <w:color w:val="000000" w:themeColor="text1"/>
        </w:rPr>
        <w:t xml:space="preserve">72 </w:t>
      </w:r>
      <w:r w:rsidRPr="00E238E5">
        <w:rPr>
          <w:rFonts w:ascii="Times New Roman" w:eastAsia="Times New Roman" w:hAnsi="Times New Roman" w:cs="Times New Roman"/>
          <w:color w:val="000000" w:themeColor="text1"/>
        </w:rPr>
        <w:t>studies, the mean attrition rate was approximately 2</w:t>
      </w:r>
      <w:r w:rsidR="55C15774" w:rsidRPr="00E238E5">
        <w:rPr>
          <w:rFonts w:ascii="Times New Roman" w:eastAsia="Times New Roman" w:hAnsi="Times New Roman" w:cs="Times New Roman"/>
          <w:color w:val="000000" w:themeColor="text1"/>
        </w:rPr>
        <w:t>2.</w:t>
      </w:r>
      <w:r w:rsidR="3BC18EA1" w:rsidRPr="00E238E5">
        <w:rPr>
          <w:rFonts w:ascii="Times New Roman" w:eastAsia="Times New Roman" w:hAnsi="Times New Roman" w:cs="Times New Roman"/>
          <w:color w:val="000000" w:themeColor="text1"/>
        </w:rPr>
        <w:t>4</w:t>
      </w:r>
      <w:r w:rsidRPr="00E238E5">
        <w:rPr>
          <w:rFonts w:ascii="Times New Roman" w:eastAsia="Times New Roman" w:hAnsi="Times New Roman" w:cs="Times New Roman"/>
          <w:color w:val="000000" w:themeColor="text1"/>
        </w:rPr>
        <w:t>%, with rates ranging from 0% to 90.1%. Studies with attrition rates above the mean (i.e., &gt;2</w:t>
      </w:r>
      <w:r w:rsidR="37395A56" w:rsidRPr="00E238E5">
        <w:rPr>
          <w:rFonts w:ascii="Times New Roman" w:eastAsia="Times New Roman" w:hAnsi="Times New Roman" w:cs="Times New Roman"/>
          <w:color w:val="000000" w:themeColor="text1"/>
        </w:rPr>
        <w:t>2.</w:t>
      </w:r>
      <w:r w:rsidR="2BDFAECC" w:rsidRPr="00E238E5">
        <w:rPr>
          <w:rFonts w:ascii="Times New Roman" w:eastAsia="Times New Roman" w:hAnsi="Times New Roman" w:cs="Times New Roman"/>
          <w:color w:val="000000" w:themeColor="text1"/>
        </w:rPr>
        <w:t>4</w:t>
      </w:r>
      <w:r w:rsidRPr="00E238E5">
        <w:rPr>
          <w:rFonts w:ascii="Times New Roman" w:eastAsia="Times New Roman" w:hAnsi="Times New Roman" w:cs="Times New Roman"/>
          <w:color w:val="000000" w:themeColor="text1"/>
        </w:rPr>
        <w:t>%) were categorized as having higher attrition</w:t>
      </w:r>
      <w:r w:rsidR="00AE12C8" w:rsidRPr="00E238E5">
        <w:rPr>
          <w:rFonts w:ascii="Times New Roman" w:eastAsia="Times New Roman" w:hAnsi="Times New Roman" w:cs="Times New Roman"/>
          <w:color w:val="000000" w:themeColor="text1"/>
        </w:rPr>
        <w:t xml:space="preserve"> (</w:t>
      </w:r>
      <w:r w:rsidR="0066779A" w:rsidRPr="00E238E5">
        <w:rPr>
          <w:rFonts w:ascii="Times New Roman" w:eastAsia="Times New Roman" w:hAnsi="Times New Roman" w:cs="Times New Roman"/>
          <w:color w:val="000000" w:themeColor="text1"/>
        </w:rPr>
        <w:t xml:space="preserve">Almeida et al., 2024a; </w:t>
      </w:r>
      <w:r w:rsidR="007B10ED" w:rsidRPr="00E238E5">
        <w:rPr>
          <w:rFonts w:ascii="Times New Roman" w:eastAsia="Times New Roman" w:hAnsi="Times New Roman" w:cs="Times New Roman"/>
          <w:color w:val="000000" w:themeColor="text1"/>
        </w:rPr>
        <w:t xml:space="preserve">Delong, 2025; </w:t>
      </w:r>
      <w:r w:rsidR="00F97098" w:rsidRPr="00E238E5">
        <w:rPr>
          <w:rFonts w:ascii="Times New Roman" w:eastAsia="Times New Roman" w:hAnsi="Times New Roman" w:cs="Times New Roman"/>
          <w:color w:val="000000" w:themeColor="text1"/>
        </w:rPr>
        <w:t xml:space="preserve">Grey et al., 2022; </w:t>
      </w:r>
      <w:r w:rsidR="0066779A" w:rsidRPr="00E238E5">
        <w:rPr>
          <w:rFonts w:ascii="Times New Roman" w:eastAsia="Times New Roman" w:hAnsi="Times New Roman" w:cs="Times New Roman"/>
          <w:color w:val="000000" w:themeColor="text1"/>
        </w:rPr>
        <w:t xml:space="preserve">Gonzalez et al., 2011; Gordon et al., 2021; </w:t>
      </w:r>
      <w:r w:rsidR="00C64155" w:rsidRPr="00E238E5">
        <w:rPr>
          <w:rFonts w:ascii="Times New Roman" w:eastAsia="Times New Roman" w:hAnsi="Times New Roman" w:cs="Times New Roman"/>
          <w:color w:val="000000" w:themeColor="text1"/>
        </w:rPr>
        <w:t xml:space="preserve">Gorrell et al., 2024; </w:t>
      </w:r>
      <w:r w:rsidR="007236FA" w:rsidRPr="00E238E5">
        <w:rPr>
          <w:rFonts w:ascii="Times New Roman" w:eastAsia="Times New Roman" w:hAnsi="Times New Roman" w:cs="Times New Roman"/>
          <w:color w:val="000000" w:themeColor="text1"/>
        </w:rPr>
        <w:t xml:space="preserve">Granfield et al., 2025; </w:t>
      </w:r>
      <w:r w:rsidR="0066779A" w:rsidRPr="00E238E5">
        <w:rPr>
          <w:rFonts w:ascii="Times New Roman" w:eastAsia="Times New Roman" w:hAnsi="Times New Roman" w:cs="Times New Roman"/>
          <w:color w:val="000000" w:themeColor="text1"/>
        </w:rPr>
        <w:t xml:space="preserve">Hlavka, 2021; </w:t>
      </w:r>
      <w:r w:rsidR="00C64155" w:rsidRPr="00E238E5">
        <w:rPr>
          <w:rFonts w:ascii="Times New Roman" w:eastAsia="Times New Roman" w:hAnsi="Times New Roman" w:cs="Times New Roman"/>
          <w:color w:val="000000" w:themeColor="text1"/>
        </w:rPr>
        <w:t>Jankowski et al., 2017; Mahon et al., 2025;</w:t>
      </w:r>
      <w:r w:rsidR="009F7E7F" w:rsidRPr="00E238E5">
        <w:rPr>
          <w:rFonts w:ascii="Times New Roman" w:eastAsia="Times New Roman" w:hAnsi="Times New Roman" w:cs="Times New Roman"/>
          <w:color w:val="000000" w:themeColor="text1"/>
        </w:rPr>
        <w:t xml:space="preserve"> Matera et al., 2025;</w:t>
      </w:r>
      <w:r w:rsidR="00C64155" w:rsidRPr="00E238E5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66779A" w:rsidRPr="00E238E5">
        <w:rPr>
          <w:rFonts w:ascii="Times New Roman" w:eastAsia="Times New Roman" w:hAnsi="Times New Roman" w:cs="Times New Roman"/>
          <w:color w:val="000000" w:themeColor="text1"/>
        </w:rPr>
        <w:t xml:space="preserve">Matheson et al., 2022; Matheson et al., 2023; McCabe et al., 2010; McVey et al., 2007; </w:t>
      </w:r>
      <w:r w:rsidR="007B10ED" w:rsidRPr="00E238E5">
        <w:rPr>
          <w:rFonts w:ascii="Times New Roman" w:eastAsia="Times New Roman" w:hAnsi="Times New Roman" w:cs="Times New Roman"/>
          <w:color w:val="000000" w:themeColor="text1"/>
        </w:rPr>
        <w:t xml:space="preserve">Patel &amp; Cougle; 2026; </w:t>
      </w:r>
      <w:r w:rsidR="0066779A" w:rsidRPr="00E238E5">
        <w:rPr>
          <w:rFonts w:ascii="Times New Roman" w:eastAsia="Times New Roman" w:hAnsi="Times New Roman" w:cs="Times New Roman"/>
          <w:color w:val="000000" w:themeColor="text1"/>
        </w:rPr>
        <w:t xml:space="preserve">Perelman et al., 2022; </w:t>
      </w:r>
      <w:r w:rsidR="007B10ED" w:rsidRPr="00E238E5">
        <w:rPr>
          <w:rFonts w:ascii="Times New Roman" w:eastAsia="Times New Roman" w:hAnsi="Times New Roman" w:cs="Times New Roman"/>
          <w:color w:val="000000" w:themeColor="text1"/>
        </w:rPr>
        <w:t xml:space="preserve">Sepulveda et al., 2007; Smolak &amp; Levine, 2001; </w:t>
      </w:r>
      <w:r w:rsidR="0066779A" w:rsidRPr="00E238E5">
        <w:rPr>
          <w:rFonts w:ascii="Times New Roman" w:eastAsia="Times New Roman" w:hAnsi="Times New Roman" w:cs="Times New Roman"/>
          <w:color w:val="000000" w:themeColor="text1"/>
        </w:rPr>
        <w:t xml:space="preserve">Sundgot-Borgen et al., 2019; </w:t>
      </w:r>
      <w:r w:rsidR="00C64155" w:rsidRPr="00E238E5">
        <w:rPr>
          <w:rFonts w:ascii="Times New Roman" w:eastAsia="Times New Roman" w:hAnsi="Times New Roman" w:cs="Times New Roman"/>
          <w:color w:val="000000" w:themeColor="text1"/>
        </w:rPr>
        <w:t xml:space="preserve">Sundgot-Borgen et al., 2024; </w:t>
      </w:r>
      <w:r w:rsidR="0066779A" w:rsidRPr="00E238E5">
        <w:rPr>
          <w:rFonts w:ascii="Times New Roman" w:eastAsia="Times New Roman" w:hAnsi="Times New Roman" w:cs="Times New Roman"/>
          <w:color w:val="000000" w:themeColor="text1"/>
        </w:rPr>
        <w:t xml:space="preserve">Svantorp-Tveiten et al., 2021; </w:t>
      </w:r>
      <w:r w:rsidR="00C64155" w:rsidRPr="00E238E5">
        <w:rPr>
          <w:rFonts w:ascii="Times New Roman" w:eastAsia="Times New Roman" w:hAnsi="Times New Roman" w:cs="Times New Roman"/>
          <w:color w:val="000000" w:themeColor="text1"/>
        </w:rPr>
        <w:t xml:space="preserve">Svantorp-Tveiten et al., 2022; </w:t>
      </w:r>
      <w:r w:rsidR="0066779A" w:rsidRPr="00E238E5">
        <w:rPr>
          <w:rFonts w:ascii="Times New Roman" w:eastAsia="Times New Roman" w:hAnsi="Times New Roman" w:cs="Times New Roman"/>
          <w:color w:val="000000" w:themeColor="text1"/>
        </w:rPr>
        <w:t>Wilksch &amp; Wade, 2009</w:t>
      </w:r>
      <w:r w:rsidR="007B10ED" w:rsidRPr="00E238E5">
        <w:rPr>
          <w:rFonts w:ascii="Times New Roman" w:eastAsia="Times New Roman" w:hAnsi="Times New Roman" w:cs="Times New Roman"/>
          <w:color w:val="000000" w:themeColor="text1"/>
        </w:rPr>
        <w:t>; Yager &amp; O’Dea, 2010</w:t>
      </w:r>
      <w:r w:rsidR="00AE12C8" w:rsidRPr="00E238E5">
        <w:rPr>
          <w:rFonts w:ascii="Times New Roman" w:eastAsia="Times New Roman" w:hAnsi="Times New Roman" w:cs="Times New Roman"/>
          <w:color w:val="000000" w:themeColor="text1"/>
        </w:rPr>
        <w:t>)</w:t>
      </w:r>
      <w:r w:rsidRPr="00E238E5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="00C64155" w:rsidRPr="00E238E5">
        <w:rPr>
          <w:rFonts w:ascii="Times New Roman" w:eastAsia="Times New Roman" w:hAnsi="Times New Roman" w:cs="Times New Roman"/>
          <w:color w:val="000000" w:themeColor="text1"/>
        </w:rPr>
        <w:t xml:space="preserve">One study </w:t>
      </w:r>
      <w:r w:rsidR="09C6CB21" w:rsidRPr="00E238E5">
        <w:rPr>
          <w:rFonts w:ascii="Times New Roman" w:eastAsia="Times New Roman" w:hAnsi="Times New Roman" w:cs="Times New Roman"/>
          <w:color w:val="000000" w:themeColor="text1"/>
        </w:rPr>
        <w:t>additionally reported high attrition rates in their control group</w:t>
      </w:r>
      <w:r w:rsidR="2FAF8FA3" w:rsidRPr="00E238E5">
        <w:rPr>
          <w:rFonts w:ascii="Times New Roman" w:eastAsia="Times New Roman" w:hAnsi="Times New Roman" w:cs="Times New Roman"/>
          <w:color w:val="000000" w:themeColor="text1"/>
        </w:rPr>
        <w:t>, although exact attrition rates were not reported</w:t>
      </w:r>
      <w:r w:rsidR="009F7E7F" w:rsidRPr="00E238E5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C64155" w:rsidRPr="00E238E5">
        <w:rPr>
          <w:rFonts w:ascii="Times New Roman" w:eastAsia="Times New Roman" w:hAnsi="Times New Roman" w:cs="Times New Roman"/>
          <w:color w:val="000000" w:themeColor="text1"/>
        </w:rPr>
        <w:t>(Unikel Santonci</w:t>
      </w:r>
      <w:r w:rsidR="00F954B1" w:rsidRPr="00E238E5">
        <w:rPr>
          <w:rFonts w:ascii="Times New Roman" w:eastAsia="Times New Roman" w:hAnsi="Times New Roman" w:cs="Times New Roman"/>
          <w:color w:val="000000" w:themeColor="text1"/>
        </w:rPr>
        <w:t>ni</w:t>
      </w:r>
      <w:r w:rsidR="00C64155" w:rsidRPr="00E238E5">
        <w:rPr>
          <w:rFonts w:ascii="Times New Roman" w:eastAsia="Times New Roman" w:hAnsi="Times New Roman" w:cs="Times New Roman"/>
          <w:color w:val="000000" w:themeColor="text1"/>
        </w:rPr>
        <w:t xml:space="preserve"> et al., 2023)</w:t>
      </w:r>
      <w:r w:rsidR="264BD143" w:rsidRPr="00E238E5">
        <w:rPr>
          <w:rFonts w:ascii="Times New Roman" w:eastAsia="Times New Roman" w:hAnsi="Times New Roman" w:cs="Times New Roman"/>
          <w:color w:val="000000" w:themeColor="text1"/>
        </w:rPr>
        <w:t>.</w:t>
      </w:r>
    </w:p>
    <w:p w14:paraId="14419B41" w14:textId="21CFB7FF" w:rsidR="00707617" w:rsidRPr="00E238E5" w:rsidRDefault="4190C7DF" w:rsidP="18870ED2">
      <w:pPr>
        <w:spacing w:after="0" w:line="480" w:lineRule="auto"/>
        <w:ind w:firstLine="720"/>
        <w:rPr>
          <w:rFonts w:ascii="Times New Roman" w:eastAsia="Times New Roman" w:hAnsi="Times New Roman" w:cs="Times New Roman"/>
          <w:color w:val="000000" w:themeColor="text1"/>
        </w:rPr>
      </w:pPr>
      <w:r w:rsidRPr="00E238E5">
        <w:rPr>
          <w:rFonts w:ascii="Times New Roman" w:eastAsia="Times New Roman" w:hAnsi="Times New Roman" w:cs="Times New Roman"/>
          <w:color w:val="000000" w:themeColor="text1"/>
        </w:rPr>
        <w:t xml:space="preserve">No clear patterns were observed between attrition rates and intervention efficacy, likely due to substantial heterogeneity in intervention type, delivery modality, sample characteristics, intervention duration, and follow-up timelines. </w:t>
      </w:r>
      <w:r w:rsidR="0066779A" w:rsidRPr="00E238E5">
        <w:rPr>
          <w:rFonts w:ascii="Times New Roman" w:eastAsia="Times New Roman" w:hAnsi="Times New Roman" w:cs="Times New Roman"/>
          <w:color w:val="000000" w:themeColor="text1"/>
        </w:rPr>
        <w:t xml:space="preserve">Of the </w:t>
      </w:r>
      <w:r w:rsidR="009F7E7F" w:rsidRPr="00E238E5">
        <w:rPr>
          <w:rFonts w:ascii="Times New Roman" w:eastAsia="Times New Roman" w:hAnsi="Times New Roman" w:cs="Times New Roman"/>
          <w:color w:val="000000" w:themeColor="text1"/>
        </w:rPr>
        <w:t>2</w:t>
      </w:r>
      <w:r w:rsidR="3CA7DD81" w:rsidRPr="00E238E5">
        <w:rPr>
          <w:rFonts w:ascii="Times New Roman" w:eastAsia="Times New Roman" w:hAnsi="Times New Roman" w:cs="Times New Roman"/>
          <w:color w:val="000000" w:themeColor="text1"/>
        </w:rPr>
        <w:t>6</w:t>
      </w:r>
      <w:r w:rsidR="0066779A" w:rsidRPr="00E238E5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00E238E5">
        <w:rPr>
          <w:rFonts w:ascii="Times New Roman" w:eastAsia="Times New Roman" w:hAnsi="Times New Roman" w:cs="Times New Roman"/>
          <w:color w:val="000000" w:themeColor="text1"/>
        </w:rPr>
        <w:t xml:space="preserve">studies </w:t>
      </w:r>
      <w:r w:rsidR="0066779A" w:rsidRPr="00E238E5">
        <w:rPr>
          <w:rFonts w:ascii="Times New Roman" w:eastAsia="Times New Roman" w:hAnsi="Times New Roman" w:cs="Times New Roman"/>
          <w:color w:val="000000" w:themeColor="text1"/>
        </w:rPr>
        <w:t xml:space="preserve">that </w:t>
      </w:r>
      <w:r w:rsidRPr="00E238E5">
        <w:rPr>
          <w:rFonts w:ascii="Times New Roman" w:eastAsia="Times New Roman" w:hAnsi="Times New Roman" w:cs="Times New Roman"/>
          <w:color w:val="000000" w:themeColor="text1"/>
        </w:rPr>
        <w:t xml:space="preserve">demonstrated higher attrition, </w:t>
      </w:r>
      <w:r w:rsidR="00F97098" w:rsidRPr="00E238E5">
        <w:rPr>
          <w:rFonts w:ascii="Times New Roman" w:eastAsia="Times New Roman" w:hAnsi="Times New Roman" w:cs="Times New Roman"/>
          <w:color w:val="000000" w:themeColor="text1"/>
        </w:rPr>
        <w:t xml:space="preserve">16 </w:t>
      </w:r>
      <w:r w:rsidRPr="00E238E5">
        <w:rPr>
          <w:rFonts w:ascii="Times New Roman" w:eastAsia="Times New Roman" w:hAnsi="Times New Roman" w:cs="Times New Roman"/>
          <w:color w:val="000000" w:themeColor="text1"/>
        </w:rPr>
        <w:t xml:space="preserve">included boys (ages 11-18); however, given that </w:t>
      </w:r>
      <w:r w:rsidR="00876BD6" w:rsidRPr="00E238E5">
        <w:rPr>
          <w:rFonts w:ascii="Times New Roman" w:eastAsia="Times New Roman" w:hAnsi="Times New Roman" w:cs="Times New Roman"/>
          <w:color w:val="000000" w:themeColor="text1"/>
        </w:rPr>
        <w:t>4</w:t>
      </w:r>
      <w:r w:rsidR="47CFF757" w:rsidRPr="00E238E5">
        <w:rPr>
          <w:rFonts w:ascii="Times New Roman" w:eastAsia="Times New Roman" w:hAnsi="Times New Roman" w:cs="Times New Roman"/>
          <w:color w:val="000000" w:themeColor="text1"/>
        </w:rPr>
        <w:t>7</w:t>
      </w:r>
      <w:r w:rsidR="00876BD6" w:rsidRPr="00E238E5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00E238E5">
        <w:rPr>
          <w:rFonts w:ascii="Times New Roman" w:eastAsia="Times New Roman" w:hAnsi="Times New Roman" w:cs="Times New Roman"/>
          <w:color w:val="000000" w:themeColor="text1"/>
        </w:rPr>
        <w:t>studies in the review included boys, this pattern does not suggest greater attrition in interventions involving boys.</w:t>
      </w:r>
      <w:r w:rsidR="00AE12C8" w:rsidRPr="00E238E5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00E238E5">
        <w:rPr>
          <w:rFonts w:ascii="Times New Roman" w:eastAsia="Times New Roman" w:hAnsi="Times New Roman" w:cs="Times New Roman"/>
          <w:color w:val="000000" w:themeColor="text1"/>
        </w:rPr>
        <w:t xml:space="preserve">Similarly, although </w:t>
      </w:r>
      <w:r w:rsidR="00876BD6" w:rsidRPr="00E238E5">
        <w:rPr>
          <w:rFonts w:ascii="Times New Roman" w:eastAsia="Times New Roman" w:hAnsi="Times New Roman" w:cs="Times New Roman"/>
          <w:color w:val="000000" w:themeColor="text1"/>
        </w:rPr>
        <w:t xml:space="preserve">12 </w:t>
      </w:r>
      <w:r w:rsidRPr="00E238E5">
        <w:rPr>
          <w:rFonts w:ascii="Times New Roman" w:eastAsia="Times New Roman" w:hAnsi="Times New Roman" w:cs="Times New Roman"/>
          <w:color w:val="000000" w:themeColor="text1"/>
        </w:rPr>
        <w:t xml:space="preserve">higher-attrition studies were school-based, </w:t>
      </w:r>
      <w:r w:rsidR="00876BD6" w:rsidRPr="00E238E5">
        <w:rPr>
          <w:rFonts w:ascii="Times New Roman" w:eastAsia="Times New Roman" w:hAnsi="Times New Roman" w:cs="Times New Roman"/>
          <w:color w:val="000000" w:themeColor="text1"/>
        </w:rPr>
        <w:t>3</w:t>
      </w:r>
      <w:r w:rsidR="539DF1AC" w:rsidRPr="00E238E5">
        <w:rPr>
          <w:rFonts w:ascii="Times New Roman" w:eastAsia="Times New Roman" w:hAnsi="Times New Roman" w:cs="Times New Roman"/>
          <w:color w:val="000000" w:themeColor="text1"/>
        </w:rPr>
        <w:t>6</w:t>
      </w:r>
      <w:r w:rsidR="00876BD6" w:rsidRPr="00E238E5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00E238E5">
        <w:rPr>
          <w:rFonts w:ascii="Times New Roman" w:eastAsia="Times New Roman" w:hAnsi="Times New Roman" w:cs="Times New Roman"/>
          <w:color w:val="000000" w:themeColor="text1"/>
        </w:rPr>
        <w:t xml:space="preserve">studies </w:t>
      </w:r>
      <w:r w:rsidR="2ED7C0F5" w:rsidRPr="00E238E5">
        <w:rPr>
          <w:rFonts w:ascii="Times New Roman" w:eastAsia="Times New Roman" w:hAnsi="Times New Roman" w:cs="Times New Roman"/>
          <w:color w:val="000000" w:themeColor="text1"/>
        </w:rPr>
        <w:t>with reported attrition</w:t>
      </w:r>
      <w:r w:rsidRPr="00E238E5">
        <w:rPr>
          <w:rFonts w:ascii="Times New Roman" w:eastAsia="Times New Roman" w:hAnsi="Times New Roman" w:cs="Times New Roman"/>
          <w:color w:val="000000" w:themeColor="text1"/>
        </w:rPr>
        <w:t xml:space="preserve"> were delivered in schools, indicating no clear association between school-based delivery and higher attrition. </w:t>
      </w:r>
    </w:p>
    <w:p w14:paraId="2C078E63" w14:textId="44EB9A8E" w:rsidR="00707617" w:rsidRPr="00E238E5" w:rsidRDefault="4190C7DF" w:rsidP="00AD0593">
      <w:pPr>
        <w:spacing w:after="0" w:line="480" w:lineRule="auto"/>
        <w:ind w:firstLine="720"/>
        <w:rPr>
          <w:rFonts w:ascii="Times New Roman" w:eastAsia="Times New Roman" w:hAnsi="Times New Roman" w:cs="Times New Roman"/>
          <w:color w:val="000000" w:themeColor="text1"/>
        </w:rPr>
      </w:pPr>
      <w:r w:rsidRPr="00E238E5">
        <w:rPr>
          <w:rFonts w:ascii="Times New Roman" w:eastAsia="Times New Roman" w:hAnsi="Times New Roman" w:cs="Times New Roman"/>
          <w:color w:val="000000" w:themeColor="text1"/>
        </w:rPr>
        <w:lastRenderedPageBreak/>
        <w:t>The highest attrition rates were observed in two online interventions: 90.1% in Hlavka (2021) and 73.2% in Matheson et al. (2023). Hlavka (2021) evaluated a single-session, 60-minute online self-compassion intervention for adults, while Matheson et al. (2023) examined a psychoeducational chatbot micro-intervention consisting of eight brief modules (5-10 minutes each) delivered over a 72-hour period to adolescents aged 13-18. While these findings do not indicate that online interventions consistently produce higher attrition, differences related to delivery modality and intervention duration were evident.</w:t>
      </w:r>
    </w:p>
    <w:sectPr w:rsidR="00707617" w:rsidRPr="00E238E5">
      <w:headerReference w:type="even" r:id="rId6"/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C85E0D" w14:textId="77777777" w:rsidR="00141B1F" w:rsidRDefault="00141B1F" w:rsidP="00AD0593">
      <w:pPr>
        <w:spacing w:after="0" w:line="240" w:lineRule="auto"/>
      </w:pPr>
      <w:r>
        <w:separator/>
      </w:r>
    </w:p>
  </w:endnote>
  <w:endnote w:type="continuationSeparator" w:id="0">
    <w:p w14:paraId="10B712B8" w14:textId="77777777" w:rsidR="00141B1F" w:rsidRDefault="00141B1F" w:rsidP="00AD05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C6FE82" w14:textId="77777777" w:rsidR="00141B1F" w:rsidRDefault="00141B1F" w:rsidP="00AD0593">
      <w:pPr>
        <w:spacing w:after="0" w:line="240" w:lineRule="auto"/>
      </w:pPr>
      <w:r>
        <w:separator/>
      </w:r>
    </w:p>
  </w:footnote>
  <w:footnote w:type="continuationSeparator" w:id="0">
    <w:p w14:paraId="2F42DE8A" w14:textId="77777777" w:rsidR="00141B1F" w:rsidRDefault="00141B1F" w:rsidP="00AD05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967854682"/>
      <w:docPartObj>
        <w:docPartGallery w:val="Page Numbers (Top of Page)"/>
        <w:docPartUnique/>
      </w:docPartObj>
    </w:sdtPr>
    <w:sdtContent>
      <w:p w14:paraId="712CE154" w14:textId="1DE37901" w:rsidR="00AD0593" w:rsidRDefault="00AD0593" w:rsidP="008F4A1F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 w:rsidR="00000000"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265C2973" w14:textId="77777777" w:rsidR="00AD0593" w:rsidRDefault="00AD0593" w:rsidP="00AD0593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  <w:rFonts w:ascii="Times New Roman" w:hAnsi="Times New Roman" w:cs="Times New Roman"/>
      </w:rPr>
      <w:id w:val="768431760"/>
      <w:docPartObj>
        <w:docPartGallery w:val="Page Numbers (Top of Page)"/>
        <w:docPartUnique/>
      </w:docPartObj>
    </w:sdtPr>
    <w:sdtContent>
      <w:p w14:paraId="7DB9F7E5" w14:textId="1001C291" w:rsidR="00AD0593" w:rsidRPr="00AD0593" w:rsidRDefault="00AD0593" w:rsidP="008F4A1F">
        <w:pPr>
          <w:pStyle w:val="Header"/>
          <w:framePr w:wrap="none" w:vAnchor="text" w:hAnchor="margin" w:xAlign="right" w:y="1"/>
          <w:rPr>
            <w:rStyle w:val="PageNumber"/>
            <w:rFonts w:ascii="Times New Roman" w:hAnsi="Times New Roman" w:cs="Times New Roman"/>
          </w:rPr>
        </w:pPr>
        <w:r w:rsidRPr="00AD0593">
          <w:rPr>
            <w:rStyle w:val="PageNumber"/>
            <w:rFonts w:ascii="Times New Roman" w:hAnsi="Times New Roman" w:cs="Times New Roman"/>
          </w:rPr>
          <w:fldChar w:fldCharType="begin"/>
        </w:r>
        <w:r w:rsidRPr="00AD0593">
          <w:rPr>
            <w:rStyle w:val="PageNumber"/>
            <w:rFonts w:ascii="Times New Roman" w:hAnsi="Times New Roman" w:cs="Times New Roman"/>
          </w:rPr>
          <w:instrText xml:space="preserve"> PAGE </w:instrText>
        </w:r>
        <w:r w:rsidRPr="00AD0593">
          <w:rPr>
            <w:rStyle w:val="PageNumber"/>
            <w:rFonts w:ascii="Times New Roman" w:hAnsi="Times New Roman" w:cs="Times New Roman"/>
          </w:rPr>
          <w:fldChar w:fldCharType="separate"/>
        </w:r>
        <w:r w:rsidRPr="00AD0593">
          <w:rPr>
            <w:rStyle w:val="PageNumber"/>
            <w:rFonts w:ascii="Times New Roman" w:hAnsi="Times New Roman" w:cs="Times New Roman"/>
            <w:noProof/>
          </w:rPr>
          <w:t>1</w:t>
        </w:r>
        <w:r w:rsidRPr="00AD0593">
          <w:rPr>
            <w:rStyle w:val="PageNumber"/>
            <w:rFonts w:ascii="Times New Roman" w:hAnsi="Times New Roman" w:cs="Times New Roman"/>
          </w:rPr>
          <w:fldChar w:fldCharType="end"/>
        </w:r>
      </w:p>
    </w:sdtContent>
  </w:sdt>
  <w:p w14:paraId="2BB1B27F" w14:textId="77777777" w:rsidR="00AD0593" w:rsidRDefault="00AD0593" w:rsidP="00AD0593">
    <w:pPr>
      <w:pStyle w:val="Header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CBEBF44"/>
    <w:rsid w:val="00141B1F"/>
    <w:rsid w:val="001C1B6D"/>
    <w:rsid w:val="003C574F"/>
    <w:rsid w:val="004A431B"/>
    <w:rsid w:val="00523208"/>
    <w:rsid w:val="005F3024"/>
    <w:rsid w:val="0066779A"/>
    <w:rsid w:val="00707617"/>
    <w:rsid w:val="007236FA"/>
    <w:rsid w:val="007B10ED"/>
    <w:rsid w:val="007F6484"/>
    <w:rsid w:val="008079F3"/>
    <w:rsid w:val="00876BD6"/>
    <w:rsid w:val="009F7E7F"/>
    <w:rsid w:val="00AD0593"/>
    <w:rsid w:val="00AE12C8"/>
    <w:rsid w:val="00C61472"/>
    <w:rsid w:val="00C64155"/>
    <w:rsid w:val="00CE57CB"/>
    <w:rsid w:val="00DF743D"/>
    <w:rsid w:val="00E238E5"/>
    <w:rsid w:val="00F25A5F"/>
    <w:rsid w:val="00F954B1"/>
    <w:rsid w:val="00F97098"/>
    <w:rsid w:val="00FB0CFD"/>
    <w:rsid w:val="09C6CB21"/>
    <w:rsid w:val="0C542E77"/>
    <w:rsid w:val="1040ADF9"/>
    <w:rsid w:val="10CA5043"/>
    <w:rsid w:val="1128AB7F"/>
    <w:rsid w:val="16DF0FED"/>
    <w:rsid w:val="1859D800"/>
    <w:rsid w:val="18870ED2"/>
    <w:rsid w:val="24E81351"/>
    <w:rsid w:val="264BD143"/>
    <w:rsid w:val="2BDFAECC"/>
    <w:rsid w:val="2D83E85A"/>
    <w:rsid w:val="2ED7C0F5"/>
    <w:rsid w:val="2F98FF4D"/>
    <w:rsid w:val="2FAF8FA3"/>
    <w:rsid w:val="2FB5F648"/>
    <w:rsid w:val="32FCED41"/>
    <w:rsid w:val="37395A56"/>
    <w:rsid w:val="373E04C2"/>
    <w:rsid w:val="3BC18EA1"/>
    <w:rsid w:val="3CA7DD81"/>
    <w:rsid w:val="3F033326"/>
    <w:rsid w:val="4091BAED"/>
    <w:rsid w:val="40A6FA4D"/>
    <w:rsid w:val="4190C7DF"/>
    <w:rsid w:val="4679AD51"/>
    <w:rsid w:val="4718B67D"/>
    <w:rsid w:val="472596A7"/>
    <w:rsid w:val="47A18A68"/>
    <w:rsid w:val="47CFF757"/>
    <w:rsid w:val="4890351D"/>
    <w:rsid w:val="4CE14A9B"/>
    <w:rsid w:val="50FF5A50"/>
    <w:rsid w:val="539DF1AC"/>
    <w:rsid w:val="55C15774"/>
    <w:rsid w:val="5A19A934"/>
    <w:rsid w:val="602EEC25"/>
    <w:rsid w:val="65556B31"/>
    <w:rsid w:val="6CBEBF44"/>
    <w:rsid w:val="6D241CA8"/>
    <w:rsid w:val="70C23CAB"/>
    <w:rsid w:val="72E2F648"/>
    <w:rsid w:val="7502FF46"/>
    <w:rsid w:val="79CD2CEE"/>
    <w:rsid w:val="7B271FF0"/>
    <w:rsid w:val="7D86B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BEBF44"/>
  <w15:chartTrackingRefBased/>
  <w15:docId w15:val="{ED268550-4A2F-452B-AAD4-CFFFFEEE8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05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0593"/>
  </w:style>
  <w:style w:type="paragraph" w:styleId="Footer">
    <w:name w:val="footer"/>
    <w:basedOn w:val="Normal"/>
    <w:link w:val="FooterChar"/>
    <w:uiPriority w:val="99"/>
    <w:unhideWhenUsed/>
    <w:rsid w:val="00AD05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0593"/>
  </w:style>
  <w:style w:type="character" w:styleId="PageNumber">
    <w:name w:val="page number"/>
    <w:basedOn w:val="DefaultParagraphFont"/>
    <w:uiPriority w:val="99"/>
    <w:semiHidden/>
    <w:unhideWhenUsed/>
    <w:rsid w:val="00AD0593"/>
  </w:style>
  <w:style w:type="paragraph" w:styleId="Revision">
    <w:name w:val="Revision"/>
    <w:hidden/>
    <w:uiPriority w:val="99"/>
    <w:semiHidden/>
    <w:rsid w:val="007B10E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4e8677e-c989-47b9-8619-d83d5a5f6c67}" enabled="0" method="" siteId="{04e8677e-c989-47b9-8619-d83d5a5f6c6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369</Words>
  <Characters>2105</Characters>
  <Application>Microsoft Office Word</Application>
  <DocSecurity>0</DocSecurity>
  <Lines>17</Lines>
  <Paragraphs>4</Paragraphs>
  <ScaleCrop>false</ScaleCrop>
  <Company/>
  <LinksUpToDate>false</LinksUpToDate>
  <CharactersWithSpaces>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Chloe White</dc:creator>
  <cp:keywords/>
  <dc:description/>
  <cp:lastModifiedBy>Emily Henry</cp:lastModifiedBy>
  <cp:revision>3</cp:revision>
  <dcterms:created xsi:type="dcterms:W3CDTF">2026-08-16T19:19:00Z</dcterms:created>
  <dcterms:modified xsi:type="dcterms:W3CDTF">2026-08-16T19:19:00Z</dcterms:modified>
</cp:coreProperties>
</file>