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908AE" w14:textId="47899E1F" w:rsidR="00154E53" w:rsidRDefault="00154E53" w:rsidP="00154E53">
      <w:pPr>
        <w:spacing w:line="480" w:lineRule="auto"/>
        <w:rPr>
          <w:rFonts w:ascii="Times" w:hAnsi="Times" w:cs="Times"/>
          <w:b/>
          <w:bCs/>
        </w:rPr>
      </w:pPr>
      <w:r>
        <w:rPr>
          <w:rFonts w:ascii="Times" w:hAnsi="Times" w:cs="Times"/>
          <w:b/>
          <w:bCs/>
        </w:rPr>
        <w:t>CAPTION: Quality Appraisal Summary Table</w:t>
      </w:r>
    </w:p>
    <w:p w14:paraId="341EC910" w14:textId="2F4381A3" w:rsidR="00154E53" w:rsidRDefault="00154E53" w:rsidP="00154E53">
      <w:pPr>
        <w:spacing w:line="480" w:lineRule="auto"/>
        <w:rPr>
          <w:rFonts w:ascii="Times" w:hAnsi="Times" w:cs="Times"/>
          <w:b/>
          <w:bCs/>
        </w:rPr>
      </w:pPr>
      <w:r w:rsidRPr="006C7CA5">
        <w:rPr>
          <w:rFonts w:ascii="Times" w:hAnsi="Times" w:cs="Times"/>
          <w:b/>
          <w:bCs/>
        </w:rPr>
        <w:t>Online supplementary material for Bomben et al. (2020) Barriers to Help-Seeking for Eating Disorders in Men: A Mixed-Methods Systematic Review</w:t>
      </w:r>
    </w:p>
    <w:p w14:paraId="10EAD09E" w14:textId="725DE8FD" w:rsidR="00154E53" w:rsidRPr="00154E53" w:rsidRDefault="00154E53" w:rsidP="00154E53">
      <w:pPr>
        <w:spacing w:line="480" w:lineRule="auto"/>
        <w:rPr>
          <w:rFonts w:ascii="Times" w:hAnsi="Times" w:cs="Times"/>
          <w:b/>
          <w:bCs/>
        </w:rPr>
      </w:pPr>
      <w:r w:rsidRPr="00382F39">
        <w:rPr>
          <w:rFonts w:ascii="Times New Roman" w:hAnsi="Times New Roman" w:cs="Times New Roman"/>
          <w:i/>
          <w:iCs/>
        </w:rPr>
        <w:t xml:space="preserve">Quality Appraisal  Table  </w:t>
      </w:r>
      <w:bookmarkStart w:id="0" w:name="_Hlk43124359"/>
      <w:r w:rsidRPr="00382F39">
        <w:rPr>
          <w:rFonts w:ascii="Times New Roman" w:hAnsi="Times New Roman" w:cs="Times New Roman"/>
          <w:i/>
          <w:iCs/>
        </w:rPr>
        <w:t>(informed by the MMAT;</w:t>
      </w:r>
      <w:r w:rsidRPr="00382F39">
        <w:rPr>
          <w:rFonts w:ascii="Times New Roman" w:hAnsi="Times New Roman" w:cs="Times New Roman"/>
        </w:rPr>
        <w:t xml:space="preserve"> </w:t>
      </w:r>
      <w:r w:rsidRPr="00382F39">
        <w:rPr>
          <w:rFonts w:ascii="Times New Roman" w:hAnsi="Times New Roman" w:cs="Times New Roman"/>
          <w:i/>
          <w:iCs/>
        </w:rPr>
        <w:t>Hong et al., 2018)</w:t>
      </w:r>
      <w:bookmarkEnd w:id="0"/>
    </w:p>
    <w:tbl>
      <w:tblPr>
        <w:tblStyle w:val="TableGrid1"/>
        <w:tblW w:w="14066" w:type="dxa"/>
        <w:tblBorders>
          <w:left w:val="none" w:sz="0" w:space="0" w:color="auto"/>
          <w:right w:val="none" w:sz="0" w:space="0" w:color="auto"/>
          <w:insideV w:val="none" w:sz="0" w:space="0" w:color="auto"/>
        </w:tblBorders>
        <w:tblLook w:val="04A0" w:firstRow="1" w:lastRow="0" w:firstColumn="1" w:lastColumn="0" w:noHBand="0" w:noVBand="1"/>
      </w:tblPr>
      <w:tblGrid>
        <w:gridCol w:w="2118"/>
        <w:gridCol w:w="533"/>
        <w:gridCol w:w="528"/>
        <w:gridCol w:w="528"/>
        <w:gridCol w:w="528"/>
        <w:gridCol w:w="528"/>
        <w:gridCol w:w="556"/>
        <w:gridCol w:w="528"/>
        <w:gridCol w:w="556"/>
        <w:gridCol w:w="661"/>
        <w:gridCol w:w="564"/>
        <w:gridCol w:w="6438"/>
      </w:tblGrid>
      <w:tr w:rsidR="00154E53" w:rsidRPr="00627746" w14:paraId="79B0A361" w14:textId="77777777" w:rsidTr="00FC42BD">
        <w:trPr>
          <w:trHeight w:val="125"/>
        </w:trPr>
        <w:tc>
          <w:tcPr>
            <w:tcW w:w="2118" w:type="dxa"/>
            <w:vMerge w:val="restart"/>
          </w:tcPr>
          <w:p w14:paraId="48DFBF0A" w14:textId="77777777" w:rsidR="00154E53" w:rsidRPr="00627746" w:rsidRDefault="00154E53" w:rsidP="00FC42BD">
            <w:pPr>
              <w:jc w:val="center"/>
              <w:rPr>
                <w:rFonts w:ascii="Times New Roman" w:hAnsi="Times New Roman" w:cs="Times New Roman"/>
                <w:sz w:val="20"/>
                <w:szCs w:val="20"/>
              </w:rPr>
            </w:pPr>
            <w:bookmarkStart w:id="1" w:name="_Hlk43124472"/>
            <w:bookmarkStart w:id="2" w:name="_Hlk43124327"/>
            <w:r w:rsidRPr="00627746">
              <w:rPr>
                <w:rFonts w:ascii="Times New Roman" w:hAnsi="Times New Roman" w:cs="Times New Roman"/>
                <w:sz w:val="20"/>
                <w:szCs w:val="20"/>
              </w:rPr>
              <w:t>Author (Publication year)</w:t>
            </w:r>
          </w:p>
        </w:tc>
        <w:tc>
          <w:tcPr>
            <w:tcW w:w="2645" w:type="dxa"/>
            <w:gridSpan w:val="5"/>
          </w:tcPr>
          <w:p w14:paraId="4AB0BCFF" w14:textId="173A6316" w:rsidR="00154E53" w:rsidRPr="00627746" w:rsidRDefault="00154E53" w:rsidP="00154E53">
            <w:pPr>
              <w:numPr>
                <w:ilvl w:val="0"/>
                <w:numId w:val="1"/>
              </w:numPr>
              <w:contextualSpacing/>
              <w:jc w:val="center"/>
              <w:rPr>
                <w:rFonts w:ascii="Times New Roman" w:hAnsi="Times New Roman" w:cs="Times New Roman"/>
                <w:sz w:val="20"/>
                <w:szCs w:val="20"/>
              </w:rPr>
            </w:pPr>
            <w:r w:rsidRPr="00627746">
              <w:rPr>
                <w:rFonts w:ascii="Times New Roman" w:hAnsi="Times New Roman" w:cs="Times New Roman"/>
                <w:sz w:val="20"/>
                <w:szCs w:val="20"/>
              </w:rPr>
              <w:t>Qualitative</w:t>
            </w:r>
            <w:r w:rsidR="00505C06" w:rsidRPr="00505C06">
              <w:rPr>
                <w:rFonts w:ascii="Times New Roman" w:hAnsi="Times New Roman" w:cs="Times New Roman"/>
                <w:color w:val="FF0000"/>
                <w:sz w:val="20"/>
                <w:szCs w:val="20"/>
              </w:rPr>
              <w:t>*</w:t>
            </w:r>
          </w:p>
        </w:tc>
        <w:tc>
          <w:tcPr>
            <w:tcW w:w="2865" w:type="dxa"/>
            <w:gridSpan w:val="5"/>
          </w:tcPr>
          <w:p w14:paraId="794F5EB8" w14:textId="3E312CE2"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4. Quantitative Descriptive</w:t>
            </w:r>
            <w:r w:rsidR="00505C06" w:rsidRPr="00505C06">
              <w:rPr>
                <w:rFonts w:ascii="Times New Roman" w:hAnsi="Times New Roman" w:cs="Times New Roman"/>
                <w:color w:val="FF0000"/>
                <w:sz w:val="20"/>
                <w:szCs w:val="20"/>
              </w:rPr>
              <w:t>*</w:t>
            </w:r>
            <w:r w:rsidR="00505C06">
              <w:rPr>
                <w:rFonts w:ascii="Times New Roman" w:hAnsi="Times New Roman" w:cs="Times New Roman"/>
                <w:color w:val="FF0000"/>
                <w:sz w:val="20"/>
                <w:szCs w:val="20"/>
              </w:rPr>
              <w:t>*</w:t>
            </w:r>
          </w:p>
        </w:tc>
        <w:tc>
          <w:tcPr>
            <w:tcW w:w="6438" w:type="dxa"/>
            <w:vMerge w:val="restart"/>
          </w:tcPr>
          <w:p w14:paraId="74F1C21C"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Quality Appraisal Comments</w:t>
            </w:r>
          </w:p>
        </w:tc>
      </w:tr>
      <w:tr w:rsidR="00154E53" w:rsidRPr="00627746" w14:paraId="4DACBE1D" w14:textId="77777777" w:rsidTr="00FC42BD">
        <w:trPr>
          <w:trHeight w:val="125"/>
        </w:trPr>
        <w:tc>
          <w:tcPr>
            <w:tcW w:w="2118" w:type="dxa"/>
            <w:vMerge/>
          </w:tcPr>
          <w:p w14:paraId="0878C025" w14:textId="77777777" w:rsidR="00154E53" w:rsidRPr="00627746" w:rsidRDefault="00154E53" w:rsidP="00FC42BD">
            <w:pPr>
              <w:jc w:val="center"/>
              <w:rPr>
                <w:rFonts w:ascii="Times New Roman" w:hAnsi="Times New Roman" w:cs="Times New Roman"/>
                <w:sz w:val="20"/>
                <w:szCs w:val="20"/>
              </w:rPr>
            </w:pPr>
          </w:p>
        </w:tc>
        <w:tc>
          <w:tcPr>
            <w:tcW w:w="533" w:type="dxa"/>
          </w:tcPr>
          <w:p w14:paraId="1B700151"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1.1</w:t>
            </w:r>
          </w:p>
        </w:tc>
        <w:tc>
          <w:tcPr>
            <w:tcW w:w="528" w:type="dxa"/>
          </w:tcPr>
          <w:p w14:paraId="32EF4AE8"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1.2</w:t>
            </w:r>
          </w:p>
        </w:tc>
        <w:tc>
          <w:tcPr>
            <w:tcW w:w="528" w:type="dxa"/>
          </w:tcPr>
          <w:p w14:paraId="21196EE4"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1.3</w:t>
            </w:r>
          </w:p>
        </w:tc>
        <w:tc>
          <w:tcPr>
            <w:tcW w:w="528" w:type="dxa"/>
          </w:tcPr>
          <w:p w14:paraId="67BFD4A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1.4</w:t>
            </w:r>
          </w:p>
        </w:tc>
        <w:tc>
          <w:tcPr>
            <w:tcW w:w="528" w:type="dxa"/>
          </w:tcPr>
          <w:p w14:paraId="454EE55C"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1.5</w:t>
            </w:r>
          </w:p>
        </w:tc>
        <w:tc>
          <w:tcPr>
            <w:tcW w:w="556" w:type="dxa"/>
          </w:tcPr>
          <w:p w14:paraId="7EC1E591"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4.1</w:t>
            </w:r>
          </w:p>
        </w:tc>
        <w:tc>
          <w:tcPr>
            <w:tcW w:w="528" w:type="dxa"/>
          </w:tcPr>
          <w:p w14:paraId="6F90E223"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4.2</w:t>
            </w:r>
          </w:p>
        </w:tc>
        <w:tc>
          <w:tcPr>
            <w:tcW w:w="556" w:type="dxa"/>
          </w:tcPr>
          <w:p w14:paraId="2440394D"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4.3</w:t>
            </w:r>
          </w:p>
        </w:tc>
        <w:tc>
          <w:tcPr>
            <w:tcW w:w="661" w:type="dxa"/>
          </w:tcPr>
          <w:p w14:paraId="4EE2F7B1"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4.4</w:t>
            </w:r>
          </w:p>
        </w:tc>
        <w:tc>
          <w:tcPr>
            <w:tcW w:w="564" w:type="dxa"/>
          </w:tcPr>
          <w:p w14:paraId="74452E65"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4.5</w:t>
            </w:r>
          </w:p>
        </w:tc>
        <w:tc>
          <w:tcPr>
            <w:tcW w:w="6438" w:type="dxa"/>
            <w:vMerge/>
          </w:tcPr>
          <w:p w14:paraId="1D11C484" w14:textId="77777777" w:rsidR="00154E53" w:rsidRPr="00627746" w:rsidRDefault="00154E53" w:rsidP="00FC42BD">
            <w:pPr>
              <w:jc w:val="center"/>
              <w:rPr>
                <w:rFonts w:ascii="Times New Roman" w:hAnsi="Times New Roman" w:cs="Times New Roman"/>
              </w:rPr>
            </w:pPr>
          </w:p>
        </w:tc>
      </w:tr>
      <w:tr w:rsidR="00154E53" w:rsidRPr="00627746" w14:paraId="17CF2E8F" w14:textId="77777777" w:rsidTr="00FC42BD">
        <w:tc>
          <w:tcPr>
            <w:tcW w:w="2118" w:type="dxa"/>
          </w:tcPr>
          <w:p w14:paraId="77064748" w14:textId="77777777" w:rsidR="00154E53" w:rsidRPr="00627746" w:rsidRDefault="00154E53" w:rsidP="00FC42BD">
            <w:pPr>
              <w:rPr>
                <w:rFonts w:ascii="Times New Roman" w:hAnsi="Times New Roman" w:cs="Times New Roman"/>
                <w:sz w:val="20"/>
                <w:szCs w:val="20"/>
              </w:rPr>
            </w:pPr>
            <w:proofErr w:type="spellStart"/>
            <w:r w:rsidRPr="00627746">
              <w:rPr>
                <w:rFonts w:ascii="Times New Roman" w:hAnsi="Times New Roman" w:cs="Times New Roman"/>
                <w:sz w:val="20"/>
                <w:szCs w:val="20"/>
              </w:rPr>
              <w:t>Grillot</w:t>
            </w:r>
            <w:proofErr w:type="spellEnd"/>
            <w:r w:rsidRPr="00627746">
              <w:rPr>
                <w:rFonts w:ascii="Times New Roman" w:hAnsi="Times New Roman" w:cs="Times New Roman"/>
                <w:sz w:val="20"/>
                <w:szCs w:val="20"/>
              </w:rPr>
              <w:t xml:space="preserve"> &amp; Keel (2018)</w:t>
            </w:r>
          </w:p>
          <w:p w14:paraId="46E992D0" w14:textId="77777777" w:rsidR="00154E53" w:rsidRPr="00627746" w:rsidRDefault="00154E53" w:rsidP="00FC42BD">
            <w:pPr>
              <w:rPr>
                <w:rFonts w:ascii="Times New Roman" w:hAnsi="Times New Roman" w:cs="Times New Roman"/>
                <w:sz w:val="20"/>
                <w:szCs w:val="20"/>
              </w:rPr>
            </w:pPr>
          </w:p>
        </w:tc>
        <w:tc>
          <w:tcPr>
            <w:tcW w:w="533" w:type="dxa"/>
          </w:tcPr>
          <w:p w14:paraId="09B20092"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0CCC8DB3"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1E64C965"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1B8EF877"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56DEBFBA"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3A6E1BE3"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2D309AB9"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No</w:t>
            </w:r>
          </w:p>
        </w:tc>
        <w:tc>
          <w:tcPr>
            <w:tcW w:w="556" w:type="dxa"/>
          </w:tcPr>
          <w:p w14:paraId="3CAC7B15"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No</w:t>
            </w:r>
          </w:p>
        </w:tc>
        <w:tc>
          <w:tcPr>
            <w:tcW w:w="661" w:type="dxa"/>
          </w:tcPr>
          <w:p w14:paraId="3FFAA03B"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Yes</w:t>
            </w:r>
          </w:p>
        </w:tc>
        <w:tc>
          <w:tcPr>
            <w:tcW w:w="564" w:type="dxa"/>
          </w:tcPr>
          <w:p w14:paraId="0CE1DBD7"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Yes</w:t>
            </w:r>
          </w:p>
        </w:tc>
        <w:tc>
          <w:tcPr>
            <w:tcW w:w="6438" w:type="dxa"/>
          </w:tcPr>
          <w:p w14:paraId="4FBB89DE" w14:textId="7777777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Authors used a validated measure to screen for probable ED cases but did not comment on its gender sensitivity. Treatment seeking was not adequately defined to participants and responses regarding self-recognition may have been influenced by other forms of bias. The study had a majority female sample which may have led to an underestimation of the gender associations found (Type II error). Good effort was made to reduce survey nonresponse and the method of statistical analysis was justified, albeit briefly.</w:t>
            </w:r>
          </w:p>
          <w:p w14:paraId="68A4DD6B" w14:textId="77777777" w:rsidR="00154E53" w:rsidRPr="00627746" w:rsidRDefault="00154E53" w:rsidP="00FC42BD">
            <w:pPr>
              <w:rPr>
                <w:rFonts w:ascii="Times New Roman" w:hAnsi="Times New Roman" w:cs="Times New Roman"/>
                <w:sz w:val="20"/>
                <w:szCs w:val="20"/>
              </w:rPr>
            </w:pPr>
          </w:p>
        </w:tc>
      </w:tr>
      <w:tr w:rsidR="00154E53" w:rsidRPr="00627746" w14:paraId="6EDB00B0" w14:textId="77777777" w:rsidTr="00FC42BD">
        <w:tc>
          <w:tcPr>
            <w:tcW w:w="2118" w:type="dxa"/>
          </w:tcPr>
          <w:p w14:paraId="0239F1E1"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Griffiths et al., (2015)</w:t>
            </w:r>
          </w:p>
        </w:tc>
        <w:tc>
          <w:tcPr>
            <w:tcW w:w="533" w:type="dxa"/>
          </w:tcPr>
          <w:p w14:paraId="0400F49F"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33B52DDD"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48AD474D"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3A951F44"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05DD3E09"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13A199F1"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No</w:t>
            </w:r>
          </w:p>
        </w:tc>
        <w:tc>
          <w:tcPr>
            <w:tcW w:w="528" w:type="dxa"/>
          </w:tcPr>
          <w:p w14:paraId="399B6EA5"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No</w:t>
            </w:r>
          </w:p>
        </w:tc>
        <w:tc>
          <w:tcPr>
            <w:tcW w:w="556" w:type="dxa"/>
          </w:tcPr>
          <w:p w14:paraId="1AF07D58"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Yes</w:t>
            </w:r>
          </w:p>
        </w:tc>
        <w:tc>
          <w:tcPr>
            <w:tcW w:w="661" w:type="dxa"/>
          </w:tcPr>
          <w:p w14:paraId="170564CD" w14:textId="77777777" w:rsidR="00154E53" w:rsidRPr="00627746" w:rsidRDefault="00154E53" w:rsidP="00FC42BD">
            <w:pPr>
              <w:jc w:val="center"/>
              <w:rPr>
                <w:rFonts w:ascii="Times New Roman" w:hAnsi="Times New Roman" w:cs="Times New Roman"/>
                <w:sz w:val="20"/>
                <w:szCs w:val="20"/>
              </w:rPr>
            </w:pPr>
            <w:proofErr w:type="gramStart"/>
            <w:r w:rsidRPr="00627746">
              <w:rPr>
                <w:rFonts w:ascii="Times New Roman" w:hAnsi="Times New Roman" w:cs="Times New Roman"/>
                <w:sz w:val="20"/>
                <w:szCs w:val="20"/>
              </w:rPr>
              <w:t>Can’t</w:t>
            </w:r>
            <w:proofErr w:type="gramEnd"/>
            <w:r w:rsidRPr="00627746">
              <w:rPr>
                <w:rFonts w:ascii="Times New Roman" w:hAnsi="Times New Roman" w:cs="Times New Roman"/>
                <w:sz w:val="20"/>
                <w:szCs w:val="20"/>
              </w:rPr>
              <w:t xml:space="preserve"> tell</w:t>
            </w:r>
          </w:p>
        </w:tc>
        <w:tc>
          <w:tcPr>
            <w:tcW w:w="564" w:type="dxa"/>
          </w:tcPr>
          <w:p w14:paraId="44F8B90E" w14:textId="77777777" w:rsidR="00154E53" w:rsidRPr="00627746" w:rsidRDefault="00154E53" w:rsidP="00FC42BD">
            <w:pPr>
              <w:jc w:val="center"/>
              <w:rPr>
                <w:rFonts w:ascii="Times New Roman" w:hAnsi="Times New Roman" w:cs="Times New Roman"/>
                <w:sz w:val="20"/>
                <w:szCs w:val="20"/>
              </w:rPr>
            </w:pPr>
            <w:r w:rsidRPr="00627746">
              <w:rPr>
                <w:rFonts w:ascii="Times New Roman" w:hAnsi="Times New Roman" w:cs="Times New Roman"/>
                <w:sz w:val="20"/>
                <w:szCs w:val="20"/>
              </w:rPr>
              <w:t>Yes</w:t>
            </w:r>
          </w:p>
        </w:tc>
        <w:tc>
          <w:tcPr>
            <w:tcW w:w="6438" w:type="dxa"/>
          </w:tcPr>
          <w:p w14:paraId="14E02ADA" w14:textId="05C98C3E"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Participants were recruited on a voluntary basis through ED organisations; the authors did not describe efforts to recruit from other services/settings to reach underrepresented groups. Only a small number of m</w:t>
            </w:r>
            <w:r w:rsidR="003760C7">
              <w:rPr>
                <w:rFonts w:ascii="Times New Roman" w:hAnsi="Times New Roman" w:cs="Times New Roman"/>
                <w:sz w:val="20"/>
                <w:szCs w:val="20"/>
              </w:rPr>
              <w:t>en</w:t>
            </w:r>
            <w:r w:rsidRPr="00627746">
              <w:rPr>
                <w:rFonts w:ascii="Times New Roman" w:hAnsi="Times New Roman" w:cs="Times New Roman"/>
                <w:sz w:val="20"/>
                <w:szCs w:val="20"/>
              </w:rPr>
              <w:t xml:space="preserve"> participated and those identifying as transgender were excluded from the study (with no justification). The sample characteristics were not well described however a range of validated measures were used to assess the variables studied and some thought was given to reliability statistics.</w:t>
            </w:r>
          </w:p>
          <w:p w14:paraId="76D89BB9" w14:textId="77777777" w:rsidR="00154E53" w:rsidRPr="00627746" w:rsidRDefault="00154E53" w:rsidP="00FC42BD">
            <w:pPr>
              <w:jc w:val="both"/>
              <w:rPr>
                <w:rFonts w:ascii="Times New Roman" w:hAnsi="Times New Roman" w:cs="Times New Roman"/>
                <w:sz w:val="20"/>
                <w:szCs w:val="20"/>
              </w:rPr>
            </w:pPr>
          </w:p>
        </w:tc>
      </w:tr>
      <w:tr w:rsidR="00154E53" w:rsidRPr="00627746" w14:paraId="07C9A3CC" w14:textId="77777777" w:rsidTr="00FC42BD">
        <w:tc>
          <w:tcPr>
            <w:tcW w:w="2118" w:type="dxa"/>
          </w:tcPr>
          <w:p w14:paraId="62B66323"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Griffiths et al., (2014)</w:t>
            </w:r>
          </w:p>
        </w:tc>
        <w:tc>
          <w:tcPr>
            <w:tcW w:w="533" w:type="dxa"/>
          </w:tcPr>
          <w:p w14:paraId="0A0611A8"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25E008A3"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1EB82E4F"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1AD53F0E"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01E0B1F7"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2417F4D9"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No</w:t>
            </w:r>
          </w:p>
        </w:tc>
        <w:tc>
          <w:tcPr>
            <w:tcW w:w="528" w:type="dxa"/>
          </w:tcPr>
          <w:p w14:paraId="4618F171"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No</w:t>
            </w:r>
          </w:p>
        </w:tc>
        <w:tc>
          <w:tcPr>
            <w:tcW w:w="556" w:type="dxa"/>
          </w:tcPr>
          <w:p w14:paraId="45F346E7"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661" w:type="dxa"/>
          </w:tcPr>
          <w:p w14:paraId="20F3F75E" w14:textId="77777777" w:rsidR="00154E53" w:rsidRPr="00627746" w:rsidRDefault="00154E53" w:rsidP="00FC42BD">
            <w:pPr>
              <w:rPr>
                <w:rFonts w:ascii="Times New Roman" w:hAnsi="Times New Roman" w:cs="Times New Roman"/>
                <w:sz w:val="20"/>
                <w:szCs w:val="20"/>
              </w:rPr>
            </w:pPr>
            <w:proofErr w:type="gramStart"/>
            <w:r w:rsidRPr="00627746">
              <w:rPr>
                <w:rFonts w:ascii="Times New Roman" w:hAnsi="Times New Roman" w:cs="Times New Roman"/>
                <w:sz w:val="20"/>
                <w:szCs w:val="20"/>
              </w:rPr>
              <w:t>Can’t</w:t>
            </w:r>
            <w:proofErr w:type="gramEnd"/>
            <w:r w:rsidRPr="00627746">
              <w:rPr>
                <w:rFonts w:ascii="Times New Roman" w:hAnsi="Times New Roman" w:cs="Times New Roman"/>
                <w:sz w:val="20"/>
                <w:szCs w:val="20"/>
              </w:rPr>
              <w:t xml:space="preserve"> tell</w:t>
            </w:r>
          </w:p>
        </w:tc>
        <w:tc>
          <w:tcPr>
            <w:tcW w:w="564" w:type="dxa"/>
          </w:tcPr>
          <w:p w14:paraId="4A6596C2"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6438" w:type="dxa"/>
          </w:tcPr>
          <w:p w14:paraId="36556080" w14:textId="6524A6C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 xml:space="preserve">This study used the same sample and sampling strategy as the above 2015 study, therefore many of the same critiques regarding representativeness apply. </w:t>
            </w:r>
            <w:r w:rsidR="003760C7">
              <w:rPr>
                <w:rFonts w:ascii="Times New Roman" w:hAnsi="Times New Roman" w:cs="Times New Roman"/>
                <w:sz w:val="20"/>
                <w:szCs w:val="20"/>
              </w:rPr>
              <w:t>M</w:t>
            </w:r>
            <w:r w:rsidRPr="00627746">
              <w:rPr>
                <w:rFonts w:ascii="Times New Roman" w:hAnsi="Times New Roman" w:cs="Times New Roman"/>
                <w:sz w:val="20"/>
                <w:szCs w:val="20"/>
              </w:rPr>
              <w:t xml:space="preserve">easures used were generally appropriate for answering the research question and valid-responding checks were embedded into the survey to ensure meaningful participation. A range of statistical analyses were conducted with the data but were reported in only limited detail; </w:t>
            </w:r>
            <w:proofErr w:type="gramStart"/>
            <w:r w:rsidRPr="00627746">
              <w:rPr>
                <w:rFonts w:ascii="Times New Roman" w:hAnsi="Times New Roman" w:cs="Times New Roman"/>
                <w:sz w:val="20"/>
                <w:szCs w:val="20"/>
              </w:rPr>
              <w:t>however</w:t>
            </w:r>
            <w:proofErr w:type="gramEnd"/>
            <w:r w:rsidRPr="00627746">
              <w:rPr>
                <w:rFonts w:ascii="Times New Roman" w:hAnsi="Times New Roman" w:cs="Times New Roman"/>
                <w:sz w:val="20"/>
                <w:szCs w:val="20"/>
              </w:rPr>
              <w:t xml:space="preserve"> issues relating to statistical power were acknowledged in the discussion.</w:t>
            </w:r>
          </w:p>
          <w:p w14:paraId="0463E80B" w14:textId="77777777" w:rsidR="00154E53" w:rsidRPr="00627746" w:rsidRDefault="00154E53" w:rsidP="00FC42BD">
            <w:pPr>
              <w:jc w:val="both"/>
              <w:rPr>
                <w:rFonts w:ascii="Times New Roman" w:hAnsi="Times New Roman" w:cs="Times New Roman"/>
                <w:sz w:val="20"/>
                <w:szCs w:val="20"/>
              </w:rPr>
            </w:pPr>
          </w:p>
        </w:tc>
      </w:tr>
      <w:tr w:rsidR="00154E53" w:rsidRPr="00627746" w14:paraId="1BDC4D3D" w14:textId="77777777" w:rsidTr="00FC42BD">
        <w:tc>
          <w:tcPr>
            <w:tcW w:w="2118" w:type="dxa"/>
          </w:tcPr>
          <w:p w14:paraId="5D9D8C9E"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Raisanen &amp; Hunt (2014)</w:t>
            </w:r>
          </w:p>
        </w:tc>
        <w:tc>
          <w:tcPr>
            <w:tcW w:w="533" w:type="dxa"/>
          </w:tcPr>
          <w:p w14:paraId="00287C7E"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2C3CA140"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2D02E5E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633B7682"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7B3E4904"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56" w:type="dxa"/>
          </w:tcPr>
          <w:p w14:paraId="1F841EF5"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2AA46443"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7FA72E36"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661" w:type="dxa"/>
          </w:tcPr>
          <w:p w14:paraId="4BA4BF95"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64" w:type="dxa"/>
          </w:tcPr>
          <w:p w14:paraId="0A569B9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6438" w:type="dxa"/>
          </w:tcPr>
          <w:p w14:paraId="379C7967" w14:textId="7777777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 xml:space="preserve">The chosen phenomenological approach was appropriate for the research question and data collection methods (in-depth interviews collected via </w:t>
            </w:r>
            <w:r w:rsidRPr="00627746">
              <w:rPr>
                <w:rFonts w:ascii="Times New Roman" w:hAnsi="Times New Roman" w:cs="Times New Roman"/>
                <w:sz w:val="20"/>
                <w:szCs w:val="20"/>
              </w:rPr>
              <w:lastRenderedPageBreak/>
              <w:t>audio/video recording) were adequate and described in detail. Data analysis appeared to follow a methodologically robust structure but could have been more exhaustively reported to improve transparency of the process. Interpretation of the results was clear, and quotes were well used to justify themes. Greater acknowledgement of the researchers’ professional backgrounds and reflexivity would have been helpful.</w:t>
            </w:r>
          </w:p>
          <w:p w14:paraId="08EA3412" w14:textId="77777777" w:rsidR="00154E53" w:rsidRPr="00627746" w:rsidRDefault="00154E53" w:rsidP="00FC42BD">
            <w:pPr>
              <w:jc w:val="both"/>
              <w:rPr>
                <w:rFonts w:ascii="Times New Roman" w:hAnsi="Times New Roman" w:cs="Times New Roman"/>
                <w:sz w:val="20"/>
                <w:szCs w:val="20"/>
              </w:rPr>
            </w:pPr>
          </w:p>
        </w:tc>
      </w:tr>
      <w:tr w:rsidR="00154E53" w:rsidRPr="00627746" w14:paraId="534D1DD9" w14:textId="77777777" w:rsidTr="00FC42BD">
        <w:tc>
          <w:tcPr>
            <w:tcW w:w="2118" w:type="dxa"/>
          </w:tcPr>
          <w:p w14:paraId="6D8BE790" w14:textId="77777777" w:rsidR="00154E53" w:rsidRPr="00627746" w:rsidRDefault="00154E53" w:rsidP="00FC42BD">
            <w:pPr>
              <w:rPr>
                <w:rFonts w:ascii="Times New Roman" w:hAnsi="Times New Roman" w:cs="Times New Roman"/>
                <w:sz w:val="20"/>
                <w:szCs w:val="20"/>
              </w:rPr>
            </w:pPr>
            <w:bookmarkStart w:id="3" w:name="_Hlk43124585"/>
            <w:bookmarkEnd w:id="1"/>
            <w:r w:rsidRPr="00627746">
              <w:rPr>
                <w:rFonts w:ascii="Times New Roman" w:hAnsi="Times New Roman" w:cs="Times New Roman"/>
                <w:sz w:val="20"/>
                <w:szCs w:val="20"/>
              </w:rPr>
              <w:lastRenderedPageBreak/>
              <w:t>Dearden &amp; Mulgrew (2013)</w:t>
            </w:r>
          </w:p>
        </w:tc>
        <w:tc>
          <w:tcPr>
            <w:tcW w:w="533" w:type="dxa"/>
          </w:tcPr>
          <w:p w14:paraId="2B3F6751"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3A6B4666"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407884D5"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6A8CA7AF"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No</w:t>
            </w:r>
          </w:p>
        </w:tc>
        <w:tc>
          <w:tcPr>
            <w:tcW w:w="528" w:type="dxa"/>
          </w:tcPr>
          <w:p w14:paraId="3109C947"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56" w:type="dxa"/>
          </w:tcPr>
          <w:p w14:paraId="5F7B876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21074A40"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2FB83113"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661" w:type="dxa"/>
          </w:tcPr>
          <w:p w14:paraId="483F65BE"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64" w:type="dxa"/>
          </w:tcPr>
          <w:p w14:paraId="432EFA92"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6438" w:type="dxa"/>
          </w:tcPr>
          <w:p w14:paraId="7C4F96FD" w14:textId="7777777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Ecological triangulation was helpfully used to explore and compare three levels of experience (individual, professional, organisational) regarding eating issues in men. Surveys were tailored to capture specific information about each participant group however it was not clear how the surveys were distributed or completed. Regarding the study findings, sample characteristics could have been presented visually (</w:t>
            </w:r>
            <w:proofErr w:type="gramStart"/>
            <w:r w:rsidRPr="00627746">
              <w:rPr>
                <w:rFonts w:ascii="Times New Roman" w:hAnsi="Times New Roman" w:cs="Times New Roman"/>
                <w:sz w:val="20"/>
                <w:szCs w:val="20"/>
              </w:rPr>
              <w:t>i.e.</w:t>
            </w:r>
            <w:proofErr w:type="gramEnd"/>
            <w:r w:rsidRPr="00627746">
              <w:rPr>
                <w:rFonts w:ascii="Times New Roman" w:hAnsi="Times New Roman" w:cs="Times New Roman"/>
                <w:sz w:val="20"/>
                <w:szCs w:val="20"/>
              </w:rPr>
              <w:t xml:space="preserve"> in a chart or table) to improve readability and interpretation, and a thematic map created to more clearly depict the main themes and subthemes.</w:t>
            </w:r>
          </w:p>
          <w:p w14:paraId="146073F4" w14:textId="77777777" w:rsidR="00154E53" w:rsidRPr="00627746" w:rsidRDefault="00154E53" w:rsidP="00FC42BD">
            <w:pPr>
              <w:jc w:val="both"/>
              <w:rPr>
                <w:rFonts w:ascii="Times New Roman" w:hAnsi="Times New Roman" w:cs="Times New Roman"/>
                <w:sz w:val="20"/>
                <w:szCs w:val="20"/>
              </w:rPr>
            </w:pPr>
          </w:p>
        </w:tc>
      </w:tr>
      <w:tr w:rsidR="00154E53" w:rsidRPr="00627746" w14:paraId="68A69F05" w14:textId="77777777" w:rsidTr="00FC42BD">
        <w:tc>
          <w:tcPr>
            <w:tcW w:w="2118" w:type="dxa"/>
          </w:tcPr>
          <w:p w14:paraId="507EEF3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McArdle &amp; Moore (2013)</w:t>
            </w:r>
          </w:p>
        </w:tc>
        <w:tc>
          <w:tcPr>
            <w:tcW w:w="533" w:type="dxa"/>
          </w:tcPr>
          <w:p w14:paraId="30ACD618" w14:textId="77777777" w:rsidR="00154E53" w:rsidRPr="00627746" w:rsidRDefault="00154E53" w:rsidP="00FC42BD">
            <w:r w:rsidRPr="00627746">
              <w:t>-</w:t>
            </w:r>
          </w:p>
        </w:tc>
        <w:tc>
          <w:tcPr>
            <w:tcW w:w="528" w:type="dxa"/>
          </w:tcPr>
          <w:p w14:paraId="719E35E0" w14:textId="77777777" w:rsidR="00154E53" w:rsidRPr="00627746" w:rsidRDefault="00154E53" w:rsidP="00FC42BD">
            <w:r w:rsidRPr="00627746">
              <w:t>-</w:t>
            </w:r>
          </w:p>
        </w:tc>
        <w:tc>
          <w:tcPr>
            <w:tcW w:w="528" w:type="dxa"/>
          </w:tcPr>
          <w:p w14:paraId="5D85C670" w14:textId="77777777" w:rsidR="00154E53" w:rsidRPr="00627746" w:rsidRDefault="00154E53" w:rsidP="00FC42BD">
            <w:r w:rsidRPr="00627746">
              <w:t>-</w:t>
            </w:r>
          </w:p>
        </w:tc>
        <w:tc>
          <w:tcPr>
            <w:tcW w:w="528" w:type="dxa"/>
          </w:tcPr>
          <w:p w14:paraId="701A9E76" w14:textId="77777777" w:rsidR="00154E53" w:rsidRPr="00627746" w:rsidRDefault="00154E53" w:rsidP="00FC42BD">
            <w:r w:rsidRPr="00627746">
              <w:t>-</w:t>
            </w:r>
          </w:p>
        </w:tc>
        <w:tc>
          <w:tcPr>
            <w:tcW w:w="528" w:type="dxa"/>
          </w:tcPr>
          <w:p w14:paraId="483E04A9" w14:textId="77777777" w:rsidR="00154E53" w:rsidRPr="00627746" w:rsidRDefault="00154E53" w:rsidP="00FC42BD">
            <w:r w:rsidRPr="00627746">
              <w:t>-</w:t>
            </w:r>
          </w:p>
        </w:tc>
        <w:tc>
          <w:tcPr>
            <w:tcW w:w="556" w:type="dxa"/>
          </w:tcPr>
          <w:p w14:paraId="0E45A189"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2052CBF4"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56" w:type="dxa"/>
          </w:tcPr>
          <w:p w14:paraId="2367188C"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661" w:type="dxa"/>
          </w:tcPr>
          <w:p w14:paraId="45258295"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No</w:t>
            </w:r>
          </w:p>
        </w:tc>
        <w:tc>
          <w:tcPr>
            <w:tcW w:w="564" w:type="dxa"/>
          </w:tcPr>
          <w:p w14:paraId="4B0F7228"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6438" w:type="dxa"/>
          </w:tcPr>
          <w:p w14:paraId="2A9B552E" w14:textId="7777777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 xml:space="preserve">The sampling strategy and procedures were relevant to the target population and suitably reported, and the challenges of collecting data (via online survey) were acknowledged. Although males were adequately represented, the sample was mostly </w:t>
            </w:r>
            <w:proofErr w:type="gramStart"/>
            <w:r w:rsidRPr="00627746">
              <w:rPr>
                <w:rFonts w:ascii="Times New Roman" w:hAnsi="Times New Roman" w:cs="Times New Roman"/>
                <w:sz w:val="20"/>
                <w:szCs w:val="20"/>
              </w:rPr>
              <w:t>female</w:t>
            </w:r>
            <w:proofErr w:type="gramEnd"/>
            <w:r w:rsidRPr="00627746">
              <w:rPr>
                <w:rFonts w:ascii="Times New Roman" w:hAnsi="Times New Roman" w:cs="Times New Roman"/>
                <w:sz w:val="20"/>
                <w:szCs w:val="20"/>
              </w:rPr>
              <w:t xml:space="preserve"> and no reference was made to statistical power in relation to detecting gender differences. Measures (and their adaptations) were clearly described with appropriate mention of reliability, though not validity, statistics. Face validity of measures appeared adequate and issues of nonresponse were discussed. Pre-analysis data checks were </w:t>
            </w:r>
            <w:proofErr w:type="gramStart"/>
            <w:r w:rsidRPr="00627746">
              <w:rPr>
                <w:rFonts w:ascii="Times New Roman" w:hAnsi="Times New Roman" w:cs="Times New Roman"/>
                <w:sz w:val="20"/>
                <w:szCs w:val="20"/>
              </w:rPr>
              <w:t>conducted</w:t>
            </w:r>
            <w:proofErr w:type="gramEnd"/>
            <w:r w:rsidRPr="00627746">
              <w:rPr>
                <w:rFonts w:ascii="Times New Roman" w:hAnsi="Times New Roman" w:cs="Times New Roman"/>
                <w:sz w:val="20"/>
                <w:szCs w:val="20"/>
              </w:rPr>
              <w:t xml:space="preserve"> and statistical analysis methods were appropriate to the design/research question.</w:t>
            </w:r>
          </w:p>
          <w:p w14:paraId="241F87BA" w14:textId="7777777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 xml:space="preserve">  </w:t>
            </w:r>
          </w:p>
        </w:tc>
      </w:tr>
      <w:tr w:rsidR="00154E53" w:rsidRPr="00627746" w14:paraId="49AD77FC" w14:textId="77777777" w:rsidTr="00FC42BD">
        <w:tc>
          <w:tcPr>
            <w:tcW w:w="2118" w:type="dxa"/>
          </w:tcPr>
          <w:p w14:paraId="5B2F6259"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Robinson et al., (2012)</w:t>
            </w:r>
          </w:p>
        </w:tc>
        <w:tc>
          <w:tcPr>
            <w:tcW w:w="533" w:type="dxa"/>
          </w:tcPr>
          <w:p w14:paraId="43DCE0E0"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0BABC479"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579D1A4A"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 xml:space="preserve">Yes </w:t>
            </w:r>
          </w:p>
        </w:tc>
        <w:tc>
          <w:tcPr>
            <w:tcW w:w="528" w:type="dxa"/>
          </w:tcPr>
          <w:p w14:paraId="41067BE6"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30CBF96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56" w:type="dxa"/>
          </w:tcPr>
          <w:p w14:paraId="1C2CA065"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7711F557"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06FE02B8"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661" w:type="dxa"/>
          </w:tcPr>
          <w:p w14:paraId="59BB06E9"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64" w:type="dxa"/>
          </w:tcPr>
          <w:p w14:paraId="77051014"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6438" w:type="dxa"/>
          </w:tcPr>
          <w:p w14:paraId="1846BDA3" w14:textId="77777777" w:rsidR="00154E53" w:rsidRPr="00627746" w:rsidRDefault="00154E53" w:rsidP="00FC42BD">
            <w:pPr>
              <w:autoSpaceDE w:val="0"/>
              <w:autoSpaceDN w:val="0"/>
              <w:adjustRightInd w:val="0"/>
              <w:jc w:val="both"/>
              <w:rPr>
                <w:rFonts w:ascii="Times New Roman" w:hAnsi="Times New Roman" w:cs="Times New Roman"/>
                <w:sz w:val="20"/>
                <w:szCs w:val="20"/>
              </w:rPr>
            </w:pPr>
            <w:r w:rsidRPr="00627746">
              <w:rPr>
                <w:rFonts w:ascii="Times New Roman" w:hAnsi="Times New Roman" w:cs="Times New Roman"/>
                <w:sz w:val="20"/>
                <w:szCs w:val="20"/>
              </w:rPr>
              <w:t xml:space="preserve">A methodologically rigorous qualitative </w:t>
            </w:r>
            <w:proofErr w:type="gramStart"/>
            <w:r w:rsidRPr="00627746">
              <w:rPr>
                <w:rFonts w:ascii="Times New Roman" w:hAnsi="Times New Roman" w:cs="Times New Roman"/>
                <w:sz w:val="20"/>
                <w:szCs w:val="20"/>
              </w:rPr>
              <w:t>study;</w:t>
            </w:r>
            <w:proofErr w:type="gramEnd"/>
            <w:r w:rsidRPr="00627746">
              <w:rPr>
                <w:rFonts w:ascii="Times New Roman" w:hAnsi="Times New Roman" w:cs="Times New Roman"/>
                <w:sz w:val="20"/>
                <w:szCs w:val="20"/>
              </w:rPr>
              <w:t xml:space="preserve"> the subjective experience of men living with an ED were appropriately captured by a phenomenological approach and data collection methods (i.e. interview schedule) were thoughtfully developed in accordance with existing literature and participant feedback. High attention was paid to ensuring validity and reliability of the research, particularly with regards to</w:t>
            </w:r>
            <w:r w:rsidRPr="00627746">
              <w:rPr>
                <w:rFonts w:ascii="Times New Roman" w:hAnsi="Times New Roman" w:cs="Times New Roman"/>
                <w:color w:val="000000"/>
                <w:sz w:val="20"/>
                <w:szCs w:val="20"/>
              </w:rPr>
              <w:t xml:space="preserve"> quality of analysis (e.g. reflexive journaling, acknowl</w:t>
            </w:r>
            <w:r w:rsidRPr="00627746">
              <w:rPr>
                <w:rFonts w:ascii="Times New Roman" w:hAnsi="Times New Roman" w:cs="Times New Roman"/>
                <w:color w:val="000000"/>
                <w:sz w:val="20"/>
                <w:szCs w:val="20"/>
              </w:rPr>
              <w:softHyphen/>
              <w:t>edgement of researcher perspective and use of transcript extracts to support interpretations). L</w:t>
            </w:r>
            <w:r w:rsidRPr="00627746">
              <w:rPr>
                <w:rFonts w:ascii="Times New Roman" w:hAnsi="Times New Roman" w:cs="Times New Roman"/>
                <w:sz w:val="20"/>
                <w:szCs w:val="20"/>
              </w:rPr>
              <w:t xml:space="preserve">inks between data sources, collection, </w:t>
            </w:r>
            <w:proofErr w:type="gramStart"/>
            <w:r w:rsidRPr="00627746">
              <w:rPr>
                <w:rFonts w:ascii="Times New Roman" w:hAnsi="Times New Roman" w:cs="Times New Roman"/>
                <w:sz w:val="20"/>
                <w:szCs w:val="20"/>
              </w:rPr>
              <w:t>analysis</w:t>
            </w:r>
            <w:proofErr w:type="gramEnd"/>
            <w:r w:rsidRPr="00627746">
              <w:rPr>
                <w:rFonts w:ascii="Times New Roman" w:hAnsi="Times New Roman" w:cs="Times New Roman"/>
                <w:sz w:val="20"/>
                <w:szCs w:val="20"/>
              </w:rPr>
              <w:t xml:space="preserve"> and interpretation were clear throughout.</w:t>
            </w:r>
          </w:p>
          <w:p w14:paraId="6CE5DF1E" w14:textId="77777777" w:rsidR="00154E53" w:rsidRPr="00627746" w:rsidRDefault="00154E53" w:rsidP="00FC42BD">
            <w:pPr>
              <w:autoSpaceDE w:val="0"/>
              <w:autoSpaceDN w:val="0"/>
              <w:adjustRightInd w:val="0"/>
              <w:jc w:val="both"/>
              <w:rPr>
                <w:rFonts w:ascii="Times New Roman" w:hAnsi="Times New Roman" w:cs="Times New Roman"/>
                <w:sz w:val="20"/>
                <w:szCs w:val="20"/>
              </w:rPr>
            </w:pPr>
          </w:p>
        </w:tc>
      </w:tr>
      <w:tr w:rsidR="00154E53" w:rsidRPr="00627746" w14:paraId="26CD37D2" w14:textId="77777777" w:rsidTr="00FC42BD">
        <w:tc>
          <w:tcPr>
            <w:tcW w:w="2118" w:type="dxa"/>
          </w:tcPr>
          <w:p w14:paraId="1EE0E294"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Hackler et al., (2010)</w:t>
            </w:r>
          </w:p>
        </w:tc>
        <w:tc>
          <w:tcPr>
            <w:tcW w:w="533" w:type="dxa"/>
          </w:tcPr>
          <w:p w14:paraId="34610E0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0A64CABD"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57C2691C"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584736B4"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28" w:type="dxa"/>
          </w:tcPr>
          <w:p w14:paraId="3F0A87EF"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w:t>
            </w:r>
          </w:p>
        </w:tc>
        <w:tc>
          <w:tcPr>
            <w:tcW w:w="556" w:type="dxa"/>
          </w:tcPr>
          <w:p w14:paraId="120DAEEC"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528" w:type="dxa"/>
          </w:tcPr>
          <w:p w14:paraId="31FC5812"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No</w:t>
            </w:r>
          </w:p>
        </w:tc>
        <w:tc>
          <w:tcPr>
            <w:tcW w:w="556" w:type="dxa"/>
          </w:tcPr>
          <w:p w14:paraId="38CB7731"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661" w:type="dxa"/>
          </w:tcPr>
          <w:p w14:paraId="70A865AB" w14:textId="77777777" w:rsidR="00154E53" w:rsidRPr="00627746" w:rsidRDefault="00154E53" w:rsidP="00FC42BD">
            <w:pPr>
              <w:rPr>
                <w:rFonts w:ascii="Times New Roman" w:hAnsi="Times New Roman" w:cs="Times New Roman"/>
                <w:sz w:val="20"/>
                <w:szCs w:val="20"/>
              </w:rPr>
            </w:pPr>
            <w:proofErr w:type="gramStart"/>
            <w:r w:rsidRPr="00627746">
              <w:rPr>
                <w:rFonts w:ascii="Times New Roman" w:hAnsi="Times New Roman" w:cs="Times New Roman"/>
                <w:sz w:val="20"/>
                <w:szCs w:val="20"/>
              </w:rPr>
              <w:t>Can’t</w:t>
            </w:r>
            <w:proofErr w:type="gramEnd"/>
            <w:r w:rsidRPr="00627746">
              <w:rPr>
                <w:rFonts w:ascii="Times New Roman" w:hAnsi="Times New Roman" w:cs="Times New Roman"/>
                <w:sz w:val="20"/>
                <w:szCs w:val="20"/>
              </w:rPr>
              <w:t xml:space="preserve"> tell</w:t>
            </w:r>
          </w:p>
        </w:tc>
        <w:tc>
          <w:tcPr>
            <w:tcW w:w="564" w:type="dxa"/>
          </w:tcPr>
          <w:p w14:paraId="07514D48" w14:textId="77777777" w:rsidR="00154E53" w:rsidRPr="00627746" w:rsidRDefault="00154E53" w:rsidP="00FC42BD">
            <w:pPr>
              <w:rPr>
                <w:rFonts w:ascii="Times New Roman" w:hAnsi="Times New Roman" w:cs="Times New Roman"/>
                <w:sz w:val="20"/>
                <w:szCs w:val="20"/>
              </w:rPr>
            </w:pPr>
            <w:r w:rsidRPr="00627746">
              <w:rPr>
                <w:rFonts w:ascii="Times New Roman" w:hAnsi="Times New Roman" w:cs="Times New Roman"/>
                <w:sz w:val="20"/>
                <w:szCs w:val="20"/>
              </w:rPr>
              <w:t>Yes</w:t>
            </w:r>
          </w:p>
        </w:tc>
        <w:tc>
          <w:tcPr>
            <w:tcW w:w="6438" w:type="dxa"/>
          </w:tcPr>
          <w:p w14:paraId="550E75E2" w14:textId="77777777" w:rsidR="00154E53" w:rsidRPr="00627746" w:rsidRDefault="00154E53" w:rsidP="00FC42BD">
            <w:pPr>
              <w:jc w:val="both"/>
              <w:rPr>
                <w:rFonts w:ascii="Times New Roman" w:hAnsi="Times New Roman" w:cs="Times New Roman"/>
                <w:sz w:val="20"/>
                <w:szCs w:val="20"/>
              </w:rPr>
            </w:pPr>
            <w:r w:rsidRPr="00627746">
              <w:rPr>
                <w:rFonts w:ascii="Times New Roman" w:hAnsi="Times New Roman" w:cs="Times New Roman"/>
                <w:sz w:val="20"/>
                <w:szCs w:val="20"/>
              </w:rPr>
              <w:t xml:space="preserve">A convenience sampling strategy was appropriately used to collect study data however the authors did not consider the potential confounding effects of the </w:t>
            </w:r>
            <w:r w:rsidRPr="00627746">
              <w:rPr>
                <w:rFonts w:ascii="Times New Roman" w:hAnsi="Times New Roman" w:cs="Times New Roman"/>
                <w:sz w:val="20"/>
                <w:szCs w:val="20"/>
              </w:rPr>
              <w:lastRenderedPageBreak/>
              <w:t xml:space="preserve">sample (psychology students) on the research aims (to assess attitudes toward seeking counselling). Issues with age and cultural representativeness were however noted, as was the possible impact on findings (e.g. with regards to the moderating effect of gender on anticipated risks). Measures included in the study were validated, suitable for the research questions and well explained. Not enough information was provided to make a judgement about nonresponse bias. Statistical analysis was conducted rigorously, and power calculations were made to ensure an adequate sample size.  </w:t>
            </w:r>
          </w:p>
        </w:tc>
      </w:tr>
    </w:tbl>
    <w:bookmarkEnd w:id="2"/>
    <w:bookmarkEnd w:id="3"/>
    <w:p w14:paraId="25197DFE" w14:textId="2C601C2B" w:rsidR="00505C06" w:rsidRPr="00505C06" w:rsidRDefault="00505C06">
      <w:pPr>
        <w:rPr>
          <w:rFonts w:ascii="Times New Roman" w:hAnsi="Times New Roman" w:cs="Times New Roman"/>
          <w:color w:val="FF0000"/>
          <w:sz w:val="20"/>
          <w:szCs w:val="20"/>
        </w:rPr>
      </w:pPr>
      <w:r w:rsidRPr="00505C06">
        <w:rPr>
          <w:rFonts w:ascii="Times New Roman" w:hAnsi="Times New Roman" w:cs="Times New Roman"/>
          <w:color w:val="FF0000"/>
          <w:sz w:val="20"/>
          <w:szCs w:val="20"/>
        </w:rPr>
        <w:lastRenderedPageBreak/>
        <w:t>*</w:t>
      </w:r>
      <w:r w:rsidR="008D0290">
        <w:rPr>
          <w:rFonts w:ascii="Times New Roman" w:hAnsi="Times New Roman" w:cs="Times New Roman"/>
          <w:color w:val="FF0000"/>
          <w:sz w:val="20"/>
          <w:szCs w:val="20"/>
        </w:rPr>
        <w:t>M</w:t>
      </w:r>
      <w:r w:rsidRPr="00505C06">
        <w:rPr>
          <w:rFonts w:ascii="Times New Roman" w:hAnsi="Times New Roman" w:cs="Times New Roman"/>
          <w:color w:val="FF0000"/>
          <w:sz w:val="20"/>
          <w:szCs w:val="20"/>
        </w:rPr>
        <w:t>ethodological quality criteria</w:t>
      </w:r>
      <w:r w:rsidR="008D0290">
        <w:rPr>
          <w:rFonts w:ascii="Times New Roman" w:hAnsi="Times New Roman" w:cs="Times New Roman"/>
          <w:color w:val="FF0000"/>
          <w:sz w:val="20"/>
          <w:szCs w:val="20"/>
        </w:rPr>
        <w:t xml:space="preserve"> for qualitative studies</w:t>
      </w:r>
      <w:r w:rsidRPr="00505C06">
        <w:rPr>
          <w:rFonts w:ascii="Times New Roman" w:hAnsi="Times New Roman" w:cs="Times New Roman"/>
          <w:color w:val="FF0000"/>
          <w:sz w:val="20"/>
          <w:szCs w:val="20"/>
        </w:rPr>
        <w:t xml:space="preserve"> (Hong et al., 2018): 1.1: Is the qualitative approach appropriate to answer the research question? 1.2: </w:t>
      </w:r>
      <w:r w:rsidRPr="00505C06">
        <w:rPr>
          <w:rFonts w:ascii="Times New Roman" w:hAnsi="Times New Roman" w:cs="Times New Roman"/>
          <w:color w:val="FF0000"/>
          <w:sz w:val="20"/>
          <w:szCs w:val="20"/>
        </w:rPr>
        <w:t>Are the qualitative data collection methods adequate to address the research question?</w:t>
      </w:r>
      <w:r w:rsidRPr="00505C06">
        <w:rPr>
          <w:rFonts w:ascii="Times New Roman" w:hAnsi="Times New Roman" w:cs="Times New Roman"/>
          <w:color w:val="FF0000"/>
          <w:sz w:val="20"/>
          <w:szCs w:val="20"/>
        </w:rPr>
        <w:t xml:space="preserve"> 1.3: </w:t>
      </w:r>
      <w:r w:rsidRPr="00505C06">
        <w:rPr>
          <w:rFonts w:ascii="Times New Roman" w:hAnsi="Times New Roman" w:cs="Times New Roman"/>
          <w:color w:val="FF0000"/>
          <w:sz w:val="20"/>
          <w:szCs w:val="20"/>
        </w:rPr>
        <w:t>Are the findings adequately derived from the data?</w:t>
      </w:r>
      <w:r w:rsidRPr="00505C06">
        <w:rPr>
          <w:rFonts w:ascii="Times New Roman" w:hAnsi="Times New Roman" w:cs="Times New Roman"/>
          <w:color w:val="FF0000"/>
          <w:sz w:val="20"/>
          <w:szCs w:val="20"/>
        </w:rPr>
        <w:t xml:space="preserve"> 1.4: </w:t>
      </w:r>
      <w:r w:rsidRPr="00505C06">
        <w:rPr>
          <w:rFonts w:ascii="Times New Roman" w:hAnsi="Times New Roman" w:cs="Times New Roman"/>
          <w:color w:val="FF0000"/>
          <w:sz w:val="20"/>
          <w:szCs w:val="20"/>
        </w:rPr>
        <w:t>Is the interpretation of results sufficiently substantiated by data?</w:t>
      </w:r>
      <w:r w:rsidRPr="00505C06">
        <w:rPr>
          <w:rFonts w:ascii="Times New Roman" w:hAnsi="Times New Roman" w:cs="Times New Roman"/>
          <w:color w:val="FF0000"/>
          <w:sz w:val="20"/>
          <w:szCs w:val="20"/>
        </w:rPr>
        <w:t xml:space="preserve"> 1.5: </w:t>
      </w:r>
      <w:r w:rsidRPr="00505C06">
        <w:rPr>
          <w:rFonts w:ascii="Times New Roman" w:hAnsi="Times New Roman" w:cs="Times New Roman"/>
          <w:color w:val="FF0000"/>
          <w:sz w:val="20"/>
          <w:szCs w:val="20"/>
        </w:rPr>
        <w:t xml:space="preserve">Is there coherence between qualitative data sources, collection, </w:t>
      </w:r>
      <w:proofErr w:type="gramStart"/>
      <w:r w:rsidRPr="00505C06">
        <w:rPr>
          <w:rFonts w:ascii="Times New Roman" w:hAnsi="Times New Roman" w:cs="Times New Roman"/>
          <w:color w:val="FF0000"/>
          <w:sz w:val="20"/>
          <w:szCs w:val="20"/>
        </w:rPr>
        <w:t>analysis</w:t>
      </w:r>
      <w:proofErr w:type="gramEnd"/>
      <w:r w:rsidRPr="00505C06">
        <w:rPr>
          <w:rFonts w:ascii="Times New Roman" w:hAnsi="Times New Roman" w:cs="Times New Roman"/>
          <w:color w:val="FF0000"/>
          <w:sz w:val="20"/>
          <w:szCs w:val="20"/>
        </w:rPr>
        <w:t xml:space="preserve"> and interpretation?</w:t>
      </w:r>
    </w:p>
    <w:p w14:paraId="058CEEC9" w14:textId="6B72C2E6" w:rsidR="00505C06" w:rsidRPr="008D0290" w:rsidRDefault="00505C06" w:rsidP="00505C06">
      <w:pPr>
        <w:rPr>
          <w:rFonts w:ascii="Times New Roman" w:hAnsi="Times New Roman" w:cs="Times New Roman"/>
          <w:color w:val="FF0000"/>
          <w:sz w:val="20"/>
          <w:szCs w:val="20"/>
        </w:rPr>
      </w:pPr>
      <w:r w:rsidRPr="008D0290">
        <w:rPr>
          <w:rFonts w:ascii="Times New Roman" w:hAnsi="Times New Roman" w:cs="Times New Roman"/>
          <w:color w:val="FF0000"/>
          <w:sz w:val="20"/>
          <w:szCs w:val="20"/>
        </w:rPr>
        <w:t>**</w:t>
      </w:r>
      <w:r w:rsidR="008D0290" w:rsidRPr="008D0290">
        <w:rPr>
          <w:rFonts w:ascii="Times New Roman" w:hAnsi="Times New Roman" w:cs="Times New Roman"/>
          <w:color w:val="FF0000"/>
          <w:sz w:val="20"/>
          <w:szCs w:val="20"/>
        </w:rPr>
        <w:t xml:space="preserve">Methodological quality criteria for quantitative descriptive studies </w:t>
      </w:r>
      <w:r w:rsidR="008D0290" w:rsidRPr="008D0290">
        <w:rPr>
          <w:rFonts w:ascii="Times New Roman" w:hAnsi="Times New Roman" w:cs="Times New Roman"/>
          <w:color w:val="FF0000"/>
          <w:sz w:val="20"/>
          <w:szCs w:val="20"/>
        </w:rPr>
        <w:t>(Hong et al., 2018):</w:t>
      </w:r>
      <w:r w:rsidR="008D0290" w:rsidRPr="008D0290">
        <w:rPr>
          <w:rFonts w:ascii="Times New Roman" w:hAnsi="Times New Roman" w:cs="Times New Roman"/>
          <w:color w:val="FF0000"/>
          <w:sz w:val="20"/>
          <w:szCs w:val="20"/>
        </w:rPr>
        <w:t xml:space="preserve"> 4.1: </w:t>
      </w:r>
      <w:r w:rsidR="008D0290" w:rsidRPr="008D0290">
        <w:rPr>
          <w:rFonts w:ascii="Times New Roman" w:hAnsi="Times New Roman" w:cs="Times New Roman"/>
          <w:color w:val="FF0000"/>
          <w:sz w:val="20"/>
          <w:szCs w:val="20"/>
        </w:rPr>
        <w:t>Is the sampling strategy relevant to address the research question?</w:t>
      </w:r>
      <w:r w:rsidR="008D0290" w:rsidRPr="008D0290">
        <w:rPr>
          <w:rFonts w:ascii="Times New Roman" w:hAnsi="Times New Roman" w:cs="Times New Roman"/>
          <w:color w:val="FF0000"/>
          <w:sz w:val="20"/>
          <w:szCs w:val="20"/>
        </w:rPr>
        <w:t xml:space="preserve"> 4.2: </w:t>
      </w:r>
      <w:r w:rsidR="008D0290" w:rsidRPr="008D0290">
        <w:rPr>
          <w:rFonts w:ascii="Times New Roman" w:hAnsi="Times New Roman" w:cs="Times New Roman"/>
          <w:color w:val="FF0000"/>
          <w:sz w:val="20"/>
          <w:szCs w:val="20"/>
        </w:rPr>
        <w:t>Is the sample representative of the target population?</w:t>
      </w:r>
      <w:r w:rsidR="008D0290" w:rsidRPr="008D0290">
        <w:rPr>
          <w:rFonts w:ascii="Times New Roman" w:hAnsi="Times New Roman" w:cs="Times New Roman"/>
          <w:color w:val="FF0000"/>
          <w:sz w:val="20"/>
          <w:szCs w:val="20"/>
        </w:rPr>
        <w:t xml:space="preserve"> 4.3: </w:t>
      </w:r>
      <w:r w:rsidR="008D0290" w:rsidRPr="008D0290">
        <w:rPr>
          <w:rFonts w:ascii="Times New Roman" w:hAnsi="Times New Roman" w:cs="Times New Roman"/>
          <w:color w:val="FF0000"/>
          <w:sz w:val="20"/>
          <w:szCs w:val="20"/>
        </w:rPr>
        <w:t>Are the measurements appropriate?</w:t>
      </w:r>
      <w:r w:rsidR="008D0290" w:rsidRPr="008D0290">
        <w:rPr>
          <w:rFonts w:ascii="Times New Roman" w:hAnsi="Times New Roman" w:cs="Times New Roman"/>
          <w:color w:val="FF0000"/>
          <w:sz w:val="20"/>
          <w:szCs w:val="20"/>
        </w:rPr>
        <w:t xml:space="preserve"> 4.4: </w:t>
      </w:r>
      <w:r w:rsidR="008D0290" w:rsidRPr="008D0290">
        <w:rPr>
          <w:rFonts w:ascii="Times New Roman" w:hAnsi="Times New Roman" w:cs="Times New Roman"/>
          <w:color w:val="FF0000"/>
          <w:sz w:val="20"/>
          <w:szCs w:val="20"/>
        </w:rPr>
        <w:t>Is the risk of nonresponse bias low?</w:t>
      </w:r>
      <w:r w:rsidR="008D0290" w:rsidRPr="008D0290">
        <w:rPr>
          <w:rFonts w:ascii="Times New Roman" w:hAnsi="Times New Roman" w:cs="Times New Roman"/>
          <w:color w:val="FF0000"/>
          <w:sz w:val="20"/>
          <w:szCs w:val="20"/>
        </w:rPr>
        <w:t xml:space="preserve"> 4.5: </w:t>
      </w:r>
      <w:r w:rsidR="008D0290" w:rsidRPr="008D0290">
        <w:rPr>
          <w:rFonts w:ascii="Times New Roman" w:hAnsi="Times New Roman" w:cs="Times New Roman"/>
          <w:color w:val="FF0000"/>
          <w:sz w:val="20"/>
          <w:szCs w:val="20"/>
        </w:rPr>
        <w:t>Is the statistical analysis appropriate to answer the research question?</w:t>
      </w:r>
    </w:p>
    <w:p w14:paraId="22FD479E" w14:textId="0AB136AA" w:rsidR="00505C06" w:rsidRPr="00505C06" w:rsidRDefault="00505C06">
      <w:pPr>
        <w:rPr>
          <w:color w:val="FF0000"/>
        </w:rPr>
      </w:pPr>
    </w:p>
    <w:sectPr w:rsidR="00505C06" w:rsidRPr="00505C06" w:rsidSect="00154E5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CA1BF" w14:textId="77777777" w:rsidR="00FD46C5" w:rsidRDefault="00FD46C5" w:rsidP="00154E53">
      <w:pPr>
        <w:spacing w:after="0" w:line="240" w:lineRule="auto"/>
      </w:pPr>
      <w:r>
        <w:separator/>
      </w:r>
    </w:p>
  </w:endnote>
  <w:endnote w:type="continuationSeparator" w:id="0">
    <w:p w14:paraId="3E89ED1A" w14:textId="77777777" w:rsidR="00FD46C5" w:rsidRDefault="00FD46C5" w:rsidP="00154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2AB3E" w14:textId="77777777" w:rsidR="00FD46C5" w:rsidRDefault="00FD46C5" w:rsidP="00154E53">
      <w:pPr>
        <w:spacing w:after="0" w:line="240" w:lineRule="auto"/>
      </w:pPr>
      <w:r>
        <w:separator/>
      </w:r>
    </w:p>
  </w:footnote>
  <w:footnote w:type="continuationSeparator" w:id="0">
    <w:p w14:paraId="63C98E92" w14:textId="77777777" w:rsidR="00FD46C5" w:rsidRDefault="00FD46C5" w:rsidP="00154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C622A"/>
    <w:multiLevelType w:val="hybridMultilevel"/>
    <w:tmpl w:val="A7784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53"/>
    <w:rsid w:val="00154E53"/>
    <w:rsid w:val="003760C7"/>
    <w:rsid w:val="00505C06"/>
    <w:rsid w:val="008D0290"/>
    <w:rsid w:val="00BE2318"/>
    <w:rsid w:val="00D93C30"/>
    <w:rsid w:val="00FD4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80D25"/>
  <w15:chartTrackingRefBased/>
  <w15:docId w15:val="{B0904D96-D225-48D3-A588-A8D6A941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154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54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4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E53"/>
  </w:style>
  <w:style w:type="paragraph" w:styleId="Footer">
    <w:name w:val="footer"/>
    <w:basedOn w:val="Normal"/>
    <w:link w:val="FooterChar"/>
    <w:uiPriority w:val="99"/>
    <w:unhideWhenUsed/>
    <w:rsid w:val="00154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Bomben</dc:creator>
  <cp:keywords/>
  <dc:description/>
  <cp:lastModifiedBy>Rebecca Bomben</cp:lastModifiedBy>
  <cp:revision>2</cp:revision>
  <dcterms:created xsi:type="dcterms:W3CDTF">2020-11-14T20:35:00Z</dcterms:created>
  <dcterms:modified xsi:type="dcterms:W3CDTF">2021-07-11T19:27:00Z</dcterms:modified>
</cp:coreProperties>
</file>