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7EB52" w14:textId="3A3555E9" w:rsidR="00240710" w:rsidRPr="0012750E" w:rsidRDefault="0056688C" w:rsidP="008856FA">
      <w:pPr>
        <w:spacing w:line="480" w:lineRule="auto"/>
        <w:ind w:firstLine="720"/>
        <w:jc w:val="center"/>
        <w:textAlignment w:val="baseline"/>
        <w:rPr>
          <w:rFonts w:ascii="Times New Roman" w:eastAsia="Times New Roman" w:hAnsi="Times New Roman" w:cs="Times New Roman"/>
        </w:rPr>
      </w:pPr>
      <w:r w:rsidRPr="00FE759A">
        <w:rPr>
          <w:rFonts w:ascii="Times New Roman" w:eastAsia="Times New Roman" w:hAnsi="Times New Roman" w:cs="Times New Roman"/>
          <w:b/>
          <w:bCs/>
        </w:rPr>
        <w:t>Supplemental File</w:t>
      </w:r>
      <w:r w:rsidRPr="00FE759A">
        <w:rPr>
          <w:rFonts w:ascii="Times New Roman" w:eastAsia="Times New Roman" w:hAnsi="Times New Roman" w:cs="Times New Roman"/>
        </w:rPr>
        <w:t> </w:t>
      </w:r>
    </w:p>
    <w:p w14:paraId="5CED5474" w14:textId="5724F787" w:rsidR="0056688C" w:rsidRPr="00FE759A" w:rsidRDefault="0056688C" w:rsidP="0056688C">
      <w:pPr>
        <w:spacing w:line="480" w:lineRule="auto"/>
        <w:textAlignment w:val="baseline"/>
        <w:rPr>
          <w:rFonts w:ascii="Segoe UI" w:eastAsia="Times New Roman" w:hAnsi="Segoe UI" w:cs="Segoe UI"/>
          <w:sz w:val="18"/>
          <w:szCs w:val="18"/>
        </w:rPr>
      </w:pPr>
      <w:r w:rsidRPr="00FE759A">
        <w:rPr>
          <w:rFonts w:ascii="Times New Roman" w:eastAsia="Times New Roman" w:hAnsi="Times New Roman" w:cs="Times New Roman"/>
          <w:b/>
          <w:bCs/>
        </w:rPr>
        <w:t>AI Model Information</w:t>
      </w:r>
      <w:r w:rsidRPr="00FE759A">
        <w:rPr>
          <w:rFonts w:ascii="Times New Roman" w:eastAsia="Times New Roman" w:hAnsi="Times New Roman" w:cs="Times New Roman"/>
        </w:rPr>
        <w:t> </w:t>
      </w:r>
    </w:p>
    <w:p w14:paraId="17CDDB8E" w14:textId="77777777" w:rsidR="0056688C" w:rsidRPr="00FE759A" w:rsidRDefault="0056688C" w:rsidP="0056688C">
      <w:pPr>
        <w:spacing w:line="480" w:lineRule="auto"/>
        <w:ind w:firstLine="720"/>
        <w:textAlignment w:val="baseline"/>
        <w:rPr>
          <w:rFonts w:ascii="Segoe UI" w:eastAsia="Times New Roman" w:hAnsi="Segoe UI" w:cs="Segoe UI"/>
          <w:sz w:val="18"/>
          <w:szCs w:val="18"/>
        </w:rPr>
      </w:pPr>
      <w:r w:rsidRPr="00FE759A">
        <w:rPr>
          <w:rFonts w:ascii="Times New Roman" w:eastAsia="Times New Roman" w:hAnsi="Times New Roman" w:cs="Times New Roman"/>
        </w:rPr>
        <w:t>In the present experiments, we used the composite Hit-vs-False-Alarms (HFA) classifier trained by Ayala, Smith, Ying, et al. (2025) as our AI model. The authors videorecorded eyewitnesses as they completed lineup procedures in the presence of a condition-blind research assistant. Afterwards, a team of condition-blind raters evaluated the videorecordings on</w:t>
      </w:r>
      <w:r>
        <w:rPr>
          <w:rFonts w:ascii="Times New Roman" w:eastAsia="Times New Roman" w:hAnsi="Times New Roman" w:cs="Times New Roman"/>
        </w:rPr>
        <w:t xml:space="preserve"> </w:t>
      </w:r>
      <w:r w:rsidRPr="00FE759A">
        <w:rPr>
          <w:rFonts w:ascii="Times New Roman" w:eastAsia="Times New Roman" w:hAnsi="Times New Roman" w:cs="Times New Roman"/>
        </w:rPr>
        <w:t>theoretically informed reflector variables (see Table S1) and the authors subjected the resulting data to machine learning analyses. The purpose of this experiment was to identify the witness behaviors that demonstrated a significant capacity to predict culprit presence and the extent to which these behaviors provide added predictive value over confidence and decision speed.  </w:t>
      </w:r>
    </w:p>
    <w:p w14:paraId="4F6CA243" w14:textId="77777777" w:rsidR="0056688C" w:rsidRPr="00FE759A" w:rsidRDefault="0056688C" w:rsidP="0056688C">
      <w:pPr>
        <w:spacing w:line="480" w:lineRule="auto"/>
        <w:ind w:firstLine="720"/>
        <w:textAlignment w:val="baseline"/>
        <w:rPr>
          <w:rFonts w:ascii="Segoe UI" w:eastAsia="Times New Roman" w:hAnsi="Segoe UI" w:cs="Segoe UI"/>
          <w:sz w:val="18"/>
          <w:szCs w:val="18"/>
        </w:rPr>
      </w:pPr>
      <w:r w:rsidRPr="00FE759A">
        <w:rPr>
          <w:rFonts w:ascii="Times New Roman" w:eastAsia="Times New Roman" w:hAnsi="Times New Roman" w:cs="Times New Roman"/>
        </w:rPr>
        <w:t xml:space="preserve">To accomplish this, the authors conducted a logistic regression analysis with a LASSO (Least Absolute Shrinkage and Selection Operator) constraint (Ayala, Smith, &amp; Wells, 2025; Dobbins &amp; Kantner, 2019; </w:t>
      </w:r>
      <w:proofErr w:type="spellStart"/>
      <w:r w:rsidRPr="00FE759A">
        <w:rPr>
          <w:rFonts w:ascii="Times New Roman" w:eastAsia="Times New Roman" w:hAnsi="Times New Roman" w:cs="Times New Roman"/>
        </w:rPr>
        <w:t>Tibshirani</w:t>
      </w:r>
      <w:proofErr w:type="spellEnd"/>
      <w:r w:rsidRPr="00FE759A">
        <w:rPr>
          <w:rFonts w:ascii="Times New Roman" w:eastAsia="Times New Roman" w:hAnsi="Times New Roman" w:cs="Times New Roman"/>
        </w:rPr>
        <w:t>, 1996). The LASSO constraint buffers against the potential that the parameter estimates in the regression models reflect patterns of noise in the dataset (</w:t>
      </w:r>
      <w:r w:rsidRPr="00FE759A">
        <w:rPr>
          <w:rFonts w:ascii="Times New Roman" w:eastAsia="Times New Roman" w:hAnsi="Times New Roman" w:cs="Times New Roman"/>
          <w:i/>
          <w:iCs/>
        </w:rPr>
        <w:t>overfitting</w:t>
      </w:r>
      <w:r w:rsidRPr="00FE759A">
        <w:rPr>
          <w:rFonts w:ascii="Times New Roman" w:eastAsia="Times New Roman" w:hAnsi="Times New Roman" w:cs="Times New Roman"/>
        </w:rPr>
        <w:t>; McNeish, 2015), a phenomenon that is likely in cases where a model contains numerous predictor variables. The LASSO constraint guards against overfitting by (1) shrinking inflated parameter estimates towards zero and (2) shrinking predictor variables with near-zero parameter estimates to zero and effectively removing them from the model.  </w:t>
      </w:r>
    </w:p>
    <w:p w14:paraId="1599CFB7" w14:textId="6475105C" w:rsidR="0056688C" w:rsidRPr="0012750E" w:rsidRDefault="0056688C" w:rsidP="00D445BC">
      <w:pPr>
        <w:spacing w:line="480" w:lineRule="auto"/>
        <w:ind w:firstLine="720"/>
        <w:textAlignment w:val="baseline"/>
        <w:rPr>
          <w:rFonts w:ascii="Times New Roman" w:eastAsia="Times New Roman" w:hAnsi="Times New Roman" w:cs="Times New Roman"/>
        </w:rPr>
      </w:pPr>
      <w:r w:rsidRPr="00FE759A">
        <w:rPr>
          <w:rFonts w:ascii="Times New Roman" w:eastAsia="Times New Roman" w:hAnsi="Times New Roman" w:cs="Times New Roman"/>
        </w:rPr>
        <w:t xml:space="preserve">The extent to which the LASSO procedure constrains the model’s parameter estimates was determined via a 10-fold cross-validation training process. The dataset was partitioned into 10 subsets (folds), and the authors trained the classifier on nine folds and validated (predicted culprit presence) on the remaining fold. They repeated this process 10 times, with each tenth of the data serving as the validation dataset. Through this iterative process, the LASSO procedure </w:t>
      </w:r>
      <w:r w:rsidRPr="00FE759A">
        <w:rPr>
          <w:rFonts w:ascii="Times New Roman" w:eastAsia="Times New Roman" w:hAnsi="Times New Roman" w:cs="Times New Roman"/>
        </w:rPr>
        <w:lastRenderedPageBreak/>
        <w:t>reduced coefficients derived from noise and removed predictors that did not contribute to the model’s predictive accuracy. The behaviors that the classifier deemed as predictive and accordingly retained in the model are presented in Figure S1.  </w:t>
      </w:r>
    </w:p>
    <w:p w14:paraId="48C25E1F" w14:textId="77777777" w:rsidR="0056688C" w:rsidRPr="00FE759A" w:rsidRDefault="0056688C" w:rsidP="0056688C">
      <w:pPr>
        <w:spacing w:line="480" w:lineRule="auto"/>
        <w:textAlignment w:val="baseline"/>
        <w:rPr>
          <w:rFonts w:ascii="Segoe UI" w:eastAsia="Times New Roman" w:hAnsi="Segoe UI" w:cs="Segoe UI"/>
          <w:sz w:val="18"/>
          <w:szCs w:val="18"/>
        </w:rPr>
      </w:pPr>
      <w:r w:rsidRPr="00FE759A">
        <w:rPr>
          <w:rFonts w:ascii="Times New Roman" w:eastAsia="Times New Roman" w:hAnsi="Times New Roman" w:cs="Times New Roman"/>
          <w:b/>
          <w:bCs/>
          <w:color w:val="000000"/>
        </w:rPr>
        <w:t>Table S1</w:t>
      </w:r>
      <w:r>
        <w:rPr>
          <w:rFonts w:ascii="Times New Roman" w:eastAsia="Times New Roman" w:hAnsi="Times New Roman" w:cs="Times New Roman"/>
          <w:color w:val="000000"/>
        </w:rPr>
        <w:t>.</w:t>
      </w:r>
    </w:p>
    <w:p w14:paraId="63A19F68" w14:textId="77777777" w:rsidR="0056688C" w:rsidRPr="00FE759A" w:rsidRDefault="0056688C" w:rsidP="0056688C">
      <w:pPr>
        <w:spacing w:line="480" w:lineRule="auto"/>
        <w:textAlignment w:val="baseline"/>
        <w:rPr>
          <w:rFonts w:ascii="Segoe UI" w:eastAsia="Times New Roman" w:hAnsi="Segoe UI" w:cs="Segoe UI"/>
          <w:sz w:val="18"/>
          <w:szCs w:val="18"/>
        </w:rPr>
      </w:pPr>
      <w:r w:rsidRPr="00FE759A">
        <w:rPr>
          <w:rFonts w:ascii="Times New Roman" w:eastAsia="Times New Roman" w:hAnsi="Times New Roman" w:cs="Times New Roman"/>
          <w:i/>
          <w:iCs/>
          <w:color w:val="000000"/>
        </w:rPr>
        <w:t>Reflector Variables in Ayala, Smith, Ying, et al. (2025)</w:t>
      </w:r>
    </w:p>
    <w:tbl>
      <w:tblPr>
        <w:tblW w:w="8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40"/>
        <w:gridCol w:w="98"/>
        <w:gridCol w:w="3752"/>
      </w:tblGrid>
      <w:tr w:rsidR="0056688C" w:rsidRPr="00FE759A" w14:paraId="29399EE2" w14:textId="77777777" w:rsidTr="00DE5D8D">
        <w:trPr>
          <w:trHeight w:val="275"/>
        </w:trPr>
        <w:tc>
          <w:tcPr>
            <w:tcW w:w="4640" w:type="dxa"/>
            <w:tcBorders>
              <w:top w:val="single" w:sz="18" w:space="0" w:color="auto"/>
              <w:left w:val="nil"/>
              <w:bottom w:val="single" w:sz="18" w:space="0" w:color="auto"/>
              <w:right w:val="nil"/>
            </w:tcBorders>
            <w:hideMark/>
          </w:tcPr>
          <w:p w14:paraId="4A6D31F2"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b/>
                <w:bCs/>
              </w:rPr>
              <w:t>Variable Name</w:t>
            </w:r>
            <w:r w:rsidRPr="00FE759A">
              <w:rPr>
                <w:rFonts w:ascii="Times New Roman" w:eastAsia="Times New Roman" w:hAnsi="Times New Roman" w:cs="Times New Roman"/>
              </w:rPr>
              <w:t> </w:t>
            </w:r>
          </w:p>
        </w:tc>
        <w:tc>
          <w:tcPr>
            <w:tcW w:w="98" w:type="dxa"/>
            <w:tcBorders>
              <w:top w:val="single" w:sz="18" w:space="0" w:color="auto"/>
              <w:left w:val="nil"/>
              <w:bottom w:val="single" w:sz="18" w:space="0" w:color="auto"/>
              <w:right w:val="nil"/>
            </w:tcBorders>
            <w:hideMark/>
          </w:tcPr>
          <w:p w14:paraId="5A21F099" w14:textId="77777777" w:rsidR="0056688C" w:rsidRPr="00FE759A" w:rsidRDefault="0056688C" w:rsidP="00DE5D8D">
            <w:pPr>
              <w:rPr>
                <w:rFonts w:ascii="Times New Roman" w:eastAsia="Times New Roman" w:hAnsi="Times New Roman" w:cs="Times New Roman"/>
              </w:rPr>
            </w:pPr>
          </w:p>
        </w:tc>
        <w:tc>
          <w:tcPr>
            <w:tcW w:w="3752" w:type="dxa"/>
            <w:tcBorders>
              <w:top w:val="single" w:sz="18" w:space="0" w:color="auto"/>
              <w:left w:val="nil"/>
              <w:bottom w:val="single" w:sz="18" w:space="0" w:color="auto"/>
              <w:right w:val="nil"/>
            </w:tcBorders>
            <w:hideMark/>
          </w:tcPr>
          <w:p w14:paraId="6317F5B2"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b/>
                <w:bCs/>
              </w:rPr>
              <w:t>Variable Scoring</w:t>
            </w:r>
            <w:r w:rsidRPr="00FE759A">
              <w:rPr>
                <w:rFonts w:ascii="Times New Roman" w:eastAsia="Times New Roman" w:hAnsi="Times New Roman" w:cs="Times New Roman"/>
              </w:rPr>
              <w:t> </w:t>
            </w:r>
          </w:p>
        </w:tc>
      </w:tr>
      <w:tr w:rsidR="0056688C" w:rsidRPr="00FE759A" w14:paraId="4A775124" w14:textId="77777777" w:rsidTr="00DE5D8D">
        <w:trPr>
          <w:trHeight w:val="313"/>
        </w:trPr>
        <w:tc>
          <w:tcPr>
            <w:tcW w:w="4640" w:type="dxa"/>
            <w:tcBorders>
              <w:top w:val="single" w:sz="18" w:space="0" w:color="auto"/>
              <w:left w:val="nil"/>
              <w:bottom w:val="dotted" w:sz="6" w:space="0" w:color="auto"/>
              <w:right w:val="nil"/>
            </w:tcBorders>
            <w:vAlign w:val="center"/>
            <w:hideMark/>
          </w:tcPr>
          <w:p w14:paraId="22910930"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Visual Fluency: Facial Expressions</w:t>
            </w:r>
          </w:p>
        </w:tc>
        <w:tc>
          <w:tcPr>
            <w:tcW w:w="98" w:type="dxa"/>
            <w:tcBorders>
              <w:top w:val="single" w:sz="18" w:space="0" w:color="auto"/>
              <w:left w:val="nil"/>
              <w:bottom w:val="dotted" w:sz="6" w:space="0" w:color="auto"/>
              <w:right w:val="nil"/>
            </w:tcBorders>
            <w:hideMark/>
          </w:tcPr>
          <w:p w14:paraId="311A3C0C" w14:textId="77777777" w:rsidR="0056688C" w:rsidRPr="00FE759A" w:rsidRDefault="0056688C" w:rsidP="00DE5D8D">
            <w:pPr>
              <w:rPr>
                <w:rFonts w:ascii="Times New Roman" w:eastAsia="Times New Roman" w:hAnsi="Times New Roman" w:cs="Times New Roman"/>
              </w:rPr>
            </w:pPr>
          </w:p>
        </w:tc>
        <w:tc>
          <w:tcPr>
            <w:tcW w:w="3752" w:type="dxa"/>
            <w:vMerge w:val="restart"/>
            <w:tcBorders>
              <w:top w:val="single" w:sz="18" w:space="0" w:color="auto"/>
              <w:left w:val="nil"/>
              <w:bottom w:val="single" w:sz="6" w:space="0" w:color="auto"/>
              <w:right w:val="nil"/>
            </w:tcBorders>
            <w:hideMark/>
          </w:tcPr>
          <w:p w14:paraId="567E6862"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On a scale from little to no effort (1), moderate effort (2), or high effort (3) </w:t>
            </w:r>
          </w:p>
        </w:tc>
      </w:tr>
      <w:tr w:rsidR="0056688C" w:rsidRPr="00FE759A" w14:paraId="519EE57A" w14:textId="77777777" w:rsidTr="00DE5D8D">
        <w:trPr>
          <w:trHeight w:val="33"/>
        </w:trPr>
        <w:tc>
          <w:tcPr>
            <w:tcW w:w="4640" w:type="dxa"/>
            <w:tcBorders>
              <w:top w:val="dotted" w:sz="6" w:space="0" w:color="auto"/>
              <w:left w:val="nil"/>
              <w:bottom w:val="single" w:sz="6" w:space="0" w:color="auto"/>
              <w:right w:val="nil"/>
            </w:tcBorders>
            <w:vAlign w:val="center"/>
            <w:hideMark/>
          </w:tcPr>
          <w:p w14:paraId="5E70AE3D"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Visual Fluency: Movements and Gestures</w:t>
            </w:r>
          </w:p>
        </w:tc>
        <w:tc>
          <w:tcPr>
            <w:tcW w:w="98" w:type="dxa"/>
            <w:tcBorders>
              <w:top w:val="dotted" w:sz="6" w:space="0" w:color="auto"/>
              <w:left w:val="nil"/>
              <w:bottom w:val="single" w:sz="6" w:space="0" w:color="auto"/>
              <w:right w:val="nil"/>
            </w:tcBorders>
            <w:hideMark/>
          </w:tcPr>
          <w:p w14:paraId="23D94409" w14:textId="77777777" w:rsidR="0056688C" w:rsidRPr="00FE759A" w:rsidRDefault="0056688C" w:rsidP="00DE5D8D">
            <w:pPr>
              <w:rPr>
                <w:rFonts w:ascii="Times New Roman" w:eastAsia="Times New Roman" w:hAnsi="Times New Roman" w:cs="Times New Roman"/>
              </w:rPr>
            </w:pPr>
          </w:p>
        </w:tc>
        <w:tc>
          <w:tcPr>
            <w:tcW w:w="3752" w:type="dxa"/>
            <w:vMerge/>
            <w:tcBorders>
              <w:top w:val="single" w:sz="18" w:space="0" w:color="auto"/>
              <w:left w:val="nil"/>
              <w:bottom w:val="single" w:sz="6" w:space="0" w:color="auto"/>
              <w:right w:val="nil"/>
            </w:tcBorders>
            <w:vAlign w:val="center"/>
            <w:hideMark/>
          </w:tcPr>
          <w:p w14:paraId="6113D9FF" w14:textId="77777777" w:rsidR="0056688C" w:rsidRPr="00FE759A" w:rsidRDefault="0056688C" w:rsidP="00DE5D8D">
            <w:pPr>
              <w:rPr>
                <w:rFonts w:ascii="Times New Roman" w:eastAsia="Times New Roman" w:hAnsi="Times New Roman" w:cs="Times New Roman"/>
              </w:rPr>
            </w:pPr>
          </w:p>
        </w:tc>
      </w:tr>
      <w:tr w:rsidR="0056688C" w:rsidRPr="00FE759A" w14:paraId="0DA1BD4E" w14:textId="77777777" w:rsidTr="00DE5D8D">
        <w:trPr>
          <w:trHeight w:val="275"/>
        </w:trPr>
        <w:tc>
          <w:tcPr>
            <w:tcW w:w="4640" w:type="dxa"/>
            <w:tcBorders>
              <w:top w:val="single" w:sz="6" w:space="0" w:color="auto"/>
              <w:left w:val="nil"/>
              <w:bottom w:val="dotted" w:sz="6" w:space="0" w:color="auto"/>
              <w:right w:val="nil"/>
            </w:tcBorders>
            <w:hideMark/>
          </w:tcPr>
          <w:p w14:paraId="57D64AFE"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Uncertain </w:t>
            </w:r>
          </w:p>
        </w:tc>
        <w:tc>
          <w:tcPr>
            <w:tcW w:w="98" w:type="dxa"/>
            <w:tcBorders>
              <w:top w:val="single" w:sz="6" w:space="0" w:color="auto"/>
              <w:left w:val="nil"/>
              <w:bottom w:val="dotted" w:sz="6" w:space="0" w:color="auto"/>
              <w:right w:val="nil"/>
            </w:tcBorders>
            <w:hideMark/>
          </w:tcPr>
          <w:p w14:paraId="5307CBA9" w14:textId="77777777" w:rsidR="0056688C" w:rsidRPr="00FE759A" w:rsidRDefault="0056688C" w:rsidP="00DE5D8D">
            <w:pPr>
              <w:rPr>
                <w:rFonts w:ascii="Times New Roman" w:eastAsia="Times New Roman" w:hAnsi="Times New Roman" w:cs="Times New Roman"/>
              </w:rPr>
            </w:pPr>
          </w:p>
        </w:tc>
        <w:tc>
          <w:tcPr>
            <w:tcW w:w="3752" w:type="dxa"/>
            <w:tcBorders>
              <w:top w:val="single" w:sz="6" w:space="0" w:color="auto"/>
              <w:left w:val="nil"/>
              <w:bottom w:val="nil"/>
              <w:right w:val="nil"/>
            </w:tcBorders>
            <w:hideMark/>
          </w:tcPr>
          <w:p w14:paraId="6D1D06FB"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 </w:t>
            </w:r>
          </w:p>
        </w:tc>
      </w:tr>
      <w:tr w:rsidR="0056688C" w:rsidRPr="00FE759A" w14:paraId="654E565A" w14:textId="77777777" w:rsidTr="00DE5D8D">
        <w:trPr>
          <w:trHeight w:val="275"/>
        </w:trPr>
        <w:tc>
          <w:tcPr>
            <w:tcW w:w="4640" w:type="dxa"/>
            <w:tcBorders>
              <w:top w:val="dotted" w:sz="6" w:space="0" w:color="auto"/>
              <w:left w:val="nil"/>
              <w:bottom w:val="dotted" w:sz="6" w:space="0" w:color="auto"/>
              <w:right w:val="nil"/>
            </w:tcBorders>
            <w:hideMark/>
          </w:tcPr>
          <w:p w14:paraId="10E7FF07"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Certain </w:t>
            </w:r>
          </w:p>
        </w:tc>
        <w:tc>
          <w:tcPr>
            <w:tcW w:w="98" w:type="dxa"/>
            <w:tcBorders>
              <w:top w:val="dotted" w:sz="6" w:space="0" w:color="auto"/>
              <w:left w:val="nil"/>
              <w:bottom w:val="dotted" w:sz="6" w:space="0" w:color="auto"/>
              <w:right w:val="nil"/>
            </w:tcBorders>
            <w:hideMark/>
          </w:tcPr>
          <w:p w14:paraId="2F2F7108"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nil"/>
              <w:right w:val="nil"/>
            </w:tcBorders>
            <w:hideMark/>
          </w:tcPr>
          <w:p w14:paraId="4A10104E"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 </w:t>
            </w:r>
          </w:p>
        </w:tc>
      </w:tr>
      <w:tr w:rsidR="0056688C" w:rsidRPr="00FE759A" w14:paraId="1DA9209F" w14:textId="77777777" w:rsidTr="00DE5D8D">
        <w:trPr>
          <w:trHeight w:val="275"/>
        </w:trPr>
        <w:tc>
          <w:tcPr>
            <w:tcW w:w="4640" w:type="dxa"/>
            <w:tcBorders>
              <w:top w:val="dotted" w:sz="6" w:space="0" w:color="auto"/>
              <w:left w:val="nil"/>
              <w:bottom w:val="dotted" w:sz="6" w:space="0" w:color="auto"/>
              <w:right w:val="nil"/>
            </w:tcBorders>
            <w:hideMark/>
          </w:tcPr>
          <w:p w14:paraId="0953A89E"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Easy </w:t>
            </w:r>
          </w:p>
        </w:tc>
        <w:tc>
          <w:tcPr>
            <w:tcW w:w="98" w:type="dxa"/>
            <w:tcBorders>
              <w:top w:val="dotted" w:sz="6" w:space="0" w:color="auto"/>
              <w:left w:val="nil"/>
              <w:bottom w:val="dotted" w:sz="6" w:space="0" w:color="auto"/>
              <w:right w:val="nil"/>
            </w:tcBorders>
            <w:hideMark/>
          </w:tcPr>
          <w:p w14:paraId="69787AC8"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nil"/>
              <w:right w:val="nil"/>
            </w:tcBorders>
            <w:hideMark/>
          </w:tcPr>
          <w:p w14:paraId="4E0B2C23"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 </w:t>
            </w:r>
          </w:p>
        </w:tc>
      </w:tr>
      <w:tr w:rsidR="0056688C" w:rsidRPr="00FE759A" w14:paraId="328AAB09" w14:textId="77777777" w:rsidTr="00DE5D8D">
        <w:trPr>
          <w:trHeight w:val="275"/>
        </w:trPr>
        <w:tc>
          <w:tcPr>
            <w:tcW w:w="4640" w:type="dxa"/>
            <w:tcBorders>
              <w:top w:val="dotted" w:sz="6" w:space="0" w:color="auto"/>
              <w:left w:val="nil"/>
              <w:bottom w:val="dotted" w:sz="6" w:space="0" w:color="auto"/>
              <w:right w:val="nil"/>
            </w:tcBorders>
            <w:hideMark/>
          </w:tcPr>
          <w:p w14:paraId="7C55286F"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Difficult </w:t>
            </w:r>
          </w:p>
        </w:tc>
        <w:tc>
          <w:tcPr>
            <w:tcW w:w="98" w:type="dxa"/>
            <w:tcBorders>
              <w:top w:val="dotted" w:sz="6" w:space="0" w:color="auto"/>
              <w:left w:val="nil"/>
              <w:bottom w:val="dotted" w:sz="6" w:space="0" w:color="auto"/>
              <w:right w:val="nil"/>
            </w:tcBorders>
            <w:hideMark/>
          </w:tcPr>
          <w:p w14:paraId="69FD1EC3"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nil"/>
              <w:right w:val="nil"/>
            </w:tcBorders>
            <w:hideMark/>
          </w:tcPr>
          <w:p w14:paraId="2E920305"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 </w:t>
            </w:r>
          </w:p>
        </w:tc>
      </w:tr>
      <w:tr w:rsidR="0056688C" w:rsidRPr="00FE759A" w14:paraId="6883072D" w14:textId="77777777" w:rsidTr="00DE5D8D">
        <w:trPr>
          <w:trHeight w:val="275"/>
        </w:trPr>
        <w:tc>
          <w:tcPr>
            <w:tcW w:w="4640" w:type="dxa"/>
            <w:tcBorders>
              <w:top w:val="dotted" w:sz="6" w:space="0" w:color="auto"/>
              <w:left w:val="nil"/>
              <w:bottom w:val="dotted" w:sz="6" w:space="0" w:color="auto"/>
              <w:right w:val="nil"/>
            </w:tcBorders>
            <w:hideMark/>
          </w:tcPr>
          <w:p w14:paraId="0CD05868"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Weak Memory </w:t>
            </w:r>
          </w:p>
        </w:tc>
        <w:tc>
          <w:tcPr>
            <w:tcW w:w="98" w:type="dxa"/>
            <w:tcBorders>
              <w:top w:val="dotted" w:sz="6" w:space="0" w:color="auto"/>
              <w:left w:val="nil"/>
              <w:bottom w:val="dotted" w:sz="6" w:space="0" w:color="auto"/>
              <w:right w:val="nil"/>
            </w:tcBorders>
            <w:hideMark/>
          </w:tcPr>
          <w:p w14:paraId="2FDC42FB"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nil"/>
              <w:right w:val="nil"/>
            </w:tcBorders>
            <w:hideMark/>
          </w:tcPr>
          <w:p w14:paraId="30026FAD"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 </w:t>
            </w:r>
          </w:p>
        </w:tc>
      </w:tr>
      <w:tr w:rsidR="0056688C" w:rsidRPr="00FE759A" w14:paraId="5B824B3E" w14:textId="77777777" w:rsidTr="00DE5D8D">
        <w:trPr>
          <w:trHeight w:val="275"/>
        </w:trPr>
        <w:tc>
          <w:tcPr>
            <w:tcW w:w="4640" w:type="dxa"/>
            <w:tcBorders>
              <w:top w:val="dotted" w:sz="6" w:space="0" w:color="auto"/>
              <w:left w:val="nil"/>
              <w:bottom w:val="dotted" w:sz="6" w:space="0" w:color="auto"/>
              <w:right w:val="nil"/>
            </w:tcBorders>
            <w:hideMark/>
          </w:tcPr>
          <w:p w14:paraId="05B7468F"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Strong Memory </w:t>
            </w:r>
          </w:p>
        </w:tc>
        <w:tc>
          <w:tcPr>
            <w:tcW w:w="98" w:type="dxa"/>
            <w:tcBorders>
              <w:top w:val="dotted" w:sz="6" w:space="0" w:color="auto"/>
              <w:left w:val="nil"/>
              <w:bottom w:val="dotted" w:sz="6" w:space="0" w:color="auto"/>
              <w:right w:val="nil"/>
            </w:tcBorders>
            <w:hideMark/>
          </w:tcPr>
          <w:p w14:paraId="631A7D11"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nil"/>
              <w:right w:val="nil"/>
            </w:tcBorders>
            <w:hideMark/>
          </w:tcPr>
          <w:p w14:paraId="0A3CD9F5"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 </w:t>
            </w:r>
          </w:p>
        </w:tc>
      </w:tr>
      <w:tr w:rsidR="0056688C" w:rsidRPr="00FE759A" w14:paraId="02B8B40D" w14:textId="77777777" w:rsidTr="00DE5D8D">
        <w:trPr>
          <w:trHeight w:val="275"/>
        </w:trPr>
        <w:tc>
          <w:tcPr>
            <w:tcW w:w="4640" w:type="dxa"/>
            <w:tcBorders>
              <w:top w:val="dotted" w:sz="6" w:space="0" w:color="auto"/>
              <w:left w:val="nil"/>
              <w:bottom w:val="dotted" w:sz="6" w:space="0" w:color="auto"/>
              <w:right w:val="nil"/>
            </w:tcBorders>
            <w:hideMark/>
          </w:tcPr>
          <w:p w14:paraId="308D6F0D"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Elimination </w:t>
            </w:r>
          </w:p>
        </w:tc>
        <w:tc>
          <w:tcPr>
            <w:tcW w:w="98" w:type="dxa"/>
            <w:tcBorders>
              <w:top w:val="dotted" w:sz="6" w:space="0" w:color="auto"/>
              <w:left w:val="nil"/>
              <w:bottom w:val="dotted" w:sz="6" w:space="0" w:color="auto"/>
              <w:right w:val="nil"/>
            </w:tcBorders>
            <w:hideMark/>
          </w:tcPr>
          <w:p w14:paraId="3CEA2448"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nil"/>
              <w:right w:val="nil"/>
            </w:tcBorders>
            <w:hideMark/>
          </w:tcPr>
          <w:p w14:paraId="7D7EC0D5"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 </w:t>
            </w:r>
          </w:p>
        </w:tc>
      </w:tr>
      <w:tr w:rsidR="0056688C" w:rsidRPr="00FE759A" w14:paraId="4BB2B154" w14:textId="77777777" w:rsidTr="00DE5D8D">
        <w:trPr>
          <w:trHeight w:val="275"/>
        </w:trPr>
        <w:tc>
          <w:tcPr>
            <w:tcW w:w="4640" w:type="dxa"/>
            <w:tcBorders>
              <w:top w:val="dotted" w:sz="6" w:space="0" w:color="auto"/>
              <w:left w:val="nil"/>
              <w:bottom w:val="dotted" w:sz="6" w:space="0" w:color="auto"/>
              <w:right w:val="nil"/>
            </w:tcBorders>
            <w:hideMark/>
          </w:tcPr>
          <w:p w14:paraId="02E01631"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Automatic </w:t>
            </w:r>
          </w:p>
        </w:tc>
        <w:tc>
          <w:tcPr>
            <w:tcW w:w="98" w:type="dxa"/>
            <w:tcBorders>
              <w:top w:val="dotted" w:sz="6" w:space="0" w:color="auto"/>
              <w:left w:val="nil"/>
              <w:bottom w:val="dotted" w:sz="6" w:space="0" w:color="auto"/>
              <w:right w:val="nil"/>
            </w:tcBorders>
            <w:hideMark/>
          </w:tcPr>
          <w:p w14:paraId="69C00382"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nil"/>
              <w:right w:val="nil"/>
            </w:tcBorders>
            <w:hideMark/>
          </w:tcPr>
          <w:p w14:paraId="06537B6D"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Binary (Present or Absent) </w:t>
            </w:r>
          </w:p>
        </w:tc>
      </w:tr>
      <w:tr w:rsidR="0056688C" w:rsidRPr="00FE759A" w14:paraId="54A08400" w14:textId="77777777" w:rsidTr="00DE5D8D">
        <w:trPr>
          <w:trHeight w:val="275"/>
        </w:trPr>
        <w:tc>
          <w:tcPr>
            <w:tcW w:w="4640" w:type="dxa"/>
            <w:tcBorders>
              <w:top w:val="dotted" w:sz="6" w:space="0" w:color="auto"/>
              <w:left w:val="nil"/>
              <w:bottom w:val="dotted" w:sz="6" w:space="0" w:color="auto"/>
              <w:right w:val="nil"/>
            </w:tcBorders>
            <w:hideMark/>
          </w:tcPr>
          <w:p w14:paraId="2149CE37"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Waver </w:t>
            </w:r>
          </w:p>
        </w:tc>
        <w:tc>
          <w:tcPr>
            <w:tcW w:w="98" w:type="dxa"/>
            <w:tcBorders>
              <w:top w:val="dotted" w:sz="6" w:space="0" w:color="auto"/>
              <w:left w:val="nil"/>
              <w:bottom w:val="dotted" w:sz="6" w:space="0" w:color="auto"/>
              <w:right w:val="nil"/>
            </w:tcBorders>
            <w:hideMark/>
          </w:tcPr>
          <w:p w14:paraId="2778E0A2"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nil"/>
              <w:right w:val="nil"/>
            </w:tcBorders>
            <w:hideMark/>
          </w:tcPr>
          <w:p w14:paraId="634E79B8"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 </w:t>
            </w:r>
          </w:p>
        </w:tc>
      </w:tr>
      <w:tr w:rsidR="0056688C" w:rsidRPr="00FE759A" w14:paraId="0FB2C692" w14:textId="77777777" w:rsidTr="00DE5D8D">
        <w:trPr>
          <w:trHeight w:val="275"/>
        </w:trPr>
        <w:tc>
          <w:tcPr>
            <w:tcW w:w="4640" w:type="dxa"/>
            <w:tcBorders>
              <w:top w:val="dotted" w:sz="6" w:space="0" w:color="auto"/>
              <w:left w:val="nil"/>
              <w:bottom w:val="dotted" w:sz="6" w:space="0" w:color="auto"/>
              <w:right w:val="nil"/>
            </w:tcBorders>
            <w:hideMark/>
          </w:tcPr>
          <w:p w14:paraId="2CF4CD04"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Compare </w:t>
            </w:r>
          </w:p>
        </w:tc>
        <w:tc>
          <w:tcPr>
            <w:tcW w:w="98" w:type="dxa"/>
            <w:tcBorders>
              <w:top w:val="dotted" w:sz="6" w:space="0" w:color="auto"/>
              <w:left w:val="nil"/>
              <w:bottom w:val="dotted" w:sz="6" w:space="0" w:color="auto"/>
              <w:right w:val="nil"/>
            </w:tcBorders>
            <w:hideMark/>
          </w:tcPr>
          <w:p w14:paraId="4669E433"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nil"/>
              <w:right w:val="nil"/>
            </w:tcBorders>
            <w:hideMark/>
          </w:tcPr>
          <w:p w14:paraId="676458E2"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 </w:t>
            </w:r>
          </w:p>
        </w:tc>
      </w:tr>
      <w:tr w:rsidR="0056688C" w:rsidRPr="00FE759A" w14:paraId="365DFAE4" w14:textId="77777777" w:rsidTr="00DE5D8D">
        <w:trPr>
          <w:trHeight w:val="275"/>
        </w:trPr>
        <w:tc>
          <w:tcPr>
            <w:tcW w:w="4640" w:type="dxa"/>
            <w:tcBorders>
              <w:top w:val="dotted" w:sz="6" w:space="0" w:color="auto"/>
              <w:left w:val="nil"/>
              <w:bottom w:val="dotted" w:sz="6" w:space="0" w:color="auto"/>
              <w:right w:val="nil"/>
            </w:tcBorders>
            <w:hideMark/>
          </w:tcPr>
          <w:p w14:paraId="58789B2A"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Feature Match </w:t>
            </w:r>
          </w:p>
        </w:tc>
        <w:tc>
          <w:tcPr>
            <w:tcW w:w="98" w:type="dxa"/>
            <w:tcBorders>
              <w:top w:val="dotted" w:sz="6" w:space="0" w:color="auto"/>
              <w:left w:val="nil"/>
              <w:bottom w:val="dotted" w:sz="6" w:space="0" w:color="auto"/>
              <w:right w:val="nil"/>
            </w:tcBorders>
            <w:hideMark/>
          </w:tcPr>
          <w:p w14:paraId="25E58914"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nil"/>
              <w:right w:val="nil"/>
            </w:tcBorders>
            <w:hideMark/>
          </w:tcPr>
          <w:p w14:paraId="71C8908A"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 </w:t>
            </w:r>
          </w:p>
        </w:tc>
      </w:tr>
      <w:tr w:rsidR="0056688C" w:rsidRPr="00FE759A" w14:paraId="2C8B2A24" w14:textId="77777777" w:rsidTr="00DE5D8D">
        <w:trPr>
          <w:trHeight w:val="275"/>
        </w:trPr>
        <w:tc>
          <w:tcPr>
            <w:tcW w:w="4640" w:type="dxa"/>
            <w:tcBorders>
              <w:top w:val="dotted" w:sz="6" w:space="0" w:color="auto"/>
              <w:left w:val="nil"/>
              <w:bottom w:val="dotted" w:sz="6" w:space="0" w:color="auto"/>
              <w:right w:val="nil"/>
            </w:tcBorders>
            <w:hideMark/>
          </w:tcPr>
          <w:p w14:paraId="4E6EC0F0"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Holistic Match </w:t>
            </w:r>
          </w:p>
        </w:tc>
        <w:tc>
          <w:tcPr>
            <w:tcW w:w="98" w:type="dxa"/>
            <w:tcBorders>
              <w:top w:val="dotted" w:sz="6" w:space="0" w:color="auto"/>
              <w:left w:val="nil"/>
              <w:bottom w:val="dotted" w:sz="6" w:space="0" w:color="auto"/>
              <w:right w:val="nil"/>
            </w:tcBorders>
            <w:hideMark/>
          </w:tcPr>
          <w:p w14:paraId="09EC954D"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nil"/>
              <w:right w:val="nil"/>
            </w:tcBorders>
            <w:hideMark/>
          </w:tcPr>
          <w:p w14:paraId="542863D8"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 </w:t>
            </w:r>
          </w:p>
        </w:tc>
      </w:tr>
      <w:tr w:rsidR="0056688C" w:rsidRPr="00FE759A" w14:paraId="2E04AABC" w14:textId="77777777" w:rsidTr="00DE5D8D">
        <w:trPr>
          <w:trHeight w:val="275"/>
        </w:trPr>
        <w:tc>
          <w:tcPr>
            <w:tcW w:w="4640" w:type="dxa"/>
            <w:tcBorders>
              <w:top w:val="dotted" w:sz="6" w:space="0" w:color="auto"/>
              <w:left w:val="nil"/>
              <w:bottom w:val="dotted" w:sz="6" w:space="0" w:color="auto"/>
              <w:right w:val="nil"/>
            </w:tcBorders>
            <w:hideMark/>
          </w:tcPr>
          <w:p w14:paraId="71DC644B"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Feature Rejection </w:t>
            </w:r>
          </w:p>
        </w:tc>
        <w:tc>
          <w:tcPr>
            <w:tcW w:w="98" w:type="dxa"/>
            <w:tcBorders>
              <w:top w:val="dotted" w:sz="6" w:space="0" w:color="auto"/>
              <w:left w:val="nil"/>
              <w:bottom w:val="dotted" w:sz="6" w:space="0" w:color="auto"/>
              <w:right w:val="nil"/>
            </w:tcBorders>
            <w:hideMark/>
          </w:tcPr>
          <w:p w14:paraId="2F007A72"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nil"/>
              <w:right w:val="nil"/>
            </w:tcBorders>
            <w:hideMark/>
          </w:tcPr>
          <w:p w14:paraId="40664227"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 </w:t>
            </w:r>
          </w:p>
        </w:tc>
      </w:tr>
      <w:tr w:rsidR="0056688C" w:rsidRPr="00FE759A" w14:paraId="53EB3D22" w14:textId="77777777" w:rsidTr="00DE5D8D">
        <w:trPr>
          <w:trHeight w:val="275"/>
        </w:trPr>
        <w:tc>
          <w:tcPr>
            <w:tcW w:w="4640" w:type="dxa"/>
            <w:tcBorders>
              <w:top w:val="dotted" w:sz="6" w:space="0" w:color="auto"/>
              <w:left w:val="nil"/>
              <w:bottom w:val="dotted" w:sz="6" w:space="0" w:color="auto"/>
              <w:right w:val="nil"/>
            </w:tcBorders>
            <w:hideMark/>
          </w:tcPr>
          <w:p w14:paraId="0416BC9A"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Holistic Rejection </w:t>
            </w:r>
          </w:p>
        </w:tc>
        <w:tc>
          <w:tcPr>
            <w:tcW w:w="98" w:type="dxa"/>
            <w:tcBorders>
              <w:top w:val="dotted" w:sz="6" w:space="0" w:color="auto"/>
              <w:left w:val="nil"/>
              <w:bottom w:val="dotted" w:sz="6" w:space="0" w:color="auto"/>
              <w:right w:val="nil"/>
            </w:tcBorders>
            <w:hideMark/>
          </w:tcPr>
          <w:p w14:paraId="774E0C4D"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nil"/>
              <w:right w:val="nil"/>
            </w:tcBorders>
            <w:hideMark/>
          </w:tcPr>
          <w:p w14:paraId="083AD432"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 </w:t>
            </w:r>
          </w:p>
        </w:tc>
      </w:tr>
      <w:tr w:rsidR="0056688C" w:rsidRPr="00FE759A" w14:paraId="43444D7E" w14:textId="77777777" w:rsidTr="00DE5D8D">
        <w:trPr>
          <w:trHeight w:val="275"/>
        </w:trPr>
        <w:tc>
          <w:tcPr>
            <w:tcW w:w="4640" w:type="dxa"/>
            <w:tcBorders>
              <w:top w:val="dotted" w:sz="6" w:space="0" w:color="auto"/>
              <w:left w:val="nil"/>
              <w:bottom w:val="dotted" w:sz="6" w:space="0" w:color="auto"/>
              <w:right w:val="nil"/>
            </w:tcBorders>
            <w:hideMark/>
          </w:tcPr>
          <w:p w14:paraId="02951952"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Familiar/Similar </w:t>
            </w:r>
          </w:p>
        </w:tc>
        <w:tc>
          <w:tcPr>
            <w:tcW w:w="98" w:type="dxa"/>
            <w:tcBorders>
              <w:top w:val="dotted" w:sz="6" w:space="0" w:color="auto"/>
              <w:left w:val="nil"/>
              <w:bottom w:val="dotted" w:sz="6" w:space="0" w:color="auto"/>
              <w:right w:val="nil"/>
            </w:tcBorders>
            <w:hideMark/>
          </w:tcPr>
          <w:p w14:paraId="2CF91BB5"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nil"/>
              <w:right w:val="nil"/>
            </w:tcBorders>
            <w:hideMark/>
          </w:tcPr>
          <w:p w14:paraId="6BA8BC14"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 </w:t>
            </w:r>
          </w:p>
        </w:tc>
      </w:tr>
      <w:tr w:rsidR="0056688C" w:rsidRPr="00FE759A" w14:paraId="2369EAA2" w14:textId="77777777" w:rsidTr="00DE5D8D">
        <w:trPr>
          <w:trHeight w:val="275"/>
        </w:trPr>
        <w:tc>
          <w:tcPr>
            <w:tcW w:w="4640" w:type="dxa"/>
            <w:tcBorders>
              <w:top w:val="dotted" w:sz="6" w:space="0" w:color="auto"/>
              <w:left w:val="nil"/>
              <w:bottom w:val="single" w:sz="6" w:space="0" w:color="auto"/>
              <w:right w:val="nil"/>
            </w:tcBorders>
            <w:hideMark/>
          </w:tcPr>
          <w:p w14:paraId="2E5DA8C6"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Nobody’s Familiar </w:t>
            </w:r>
          </w:p>
        </w:tc>
        <w:tc>
          <w:tcPr>
            <w:tcW w:w="98" w:type="dxa"/>
            <w:tcBorders>
              <w:top w:val="dotted" w:sz="6" w:space="0" w:color="auto"/>
              <w:left w:val="nil"/>
              <w:bottom w:val="single" w:sz="6" w:space="0" w:color="auto"/>
              <w:right w:val="nil"/>
            </w:tcBorders>
            <w:hideMark/>
          </w:tcPr>
          <w:p w14:paraId="5A209124" w14:textId="77777777" w:rsidR="0056688C" w:rsidRPr="00FE759A" w:rsidRDefault="0056688C" w:rsidP="00DE5D8D">
            <w:pPr>
              <w:rPr>
                <w:rFonts w:ascii="Times New Roman" w:eastAsia="Times New Roman" w:hAnsi="Times New Roman" w:cs="Times New Roman"/>
              </w:rPr>
            </w:pPr>
          </w:p>
        </w:tc>
        <w:tc>
          <w:tcPr>
            <w:tcW w:w="3752" w:type="dxa"/>
            <w:tcBorders>
              <w:top w:val="nil"/>
              <w:left w:val="nil"/>
              <w:bottom w:val="single" w:sz="6" w:space="0" w:color="auto"/>
              <w:right w:val="nil"/>
            </w:tcBorders>
            <w:hideMark/>
          </w:tcPr>
          <w:p w14:paraId="2E6CEA6C"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color w:val="000000"/>
              </w:rPr>
              <w:t> </w:t>
            </w:r>
          </w:p>
        </w:tc>
      </w:tr>
      <w:tr w:rsidR="0056688C" w:rsidRPr="00FE759A" w14:paraId="322FB770" w14:textId="77777777" w:rsidTr="00DE5D8D">
        <w:trPr>
          <w:trHeight w:val="275"/>
        </w:trPr>
        <w:tc>
          <w:tcPr>
            <w:tcW w:w="4640" w:type="dxa"/>
            <w:tcBorders>
              <w:top w:val="single" w:sz="6" w:space="0" w:color="auto"/>
              <w:left w:val="nil"/>
              <w:bottom w:val="single" w:sz="6" w:space="0" w:color="auto"/>
              <w:right w:val="nil"/>
            </w:tcBorders>
            <w:hideMark/>
          </w:tcPr>
          <w:p w14:paraId="315B0193"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Decision Time </w:t>
            </w:r>
          </w:p>
        </w:tc>
        <w:tc>
          <w:tcPr>
            <w:tcW w:w="98" w:type="dxa"/>
            <w:tcBorders>
              <w:top w:val="single" w:sz="6" w:space="0" w:color="auto"/>
              <w:left w:val="nil"/>
              <w:bottom w:val="single" w:sz="6" w:space="0" w:color="auto"/>
              <w:right w:val="nil"/>
            </w:tcBorders>
            <w:hideMark/>
          </w:tcPr>
          <w:p w14:paraId="0B582B23" w14:textId="77777777" w:rsidR="0056688C" w:rsidRPr="00FE759A" w:rsidRDefault="0056688C" w:rsidP="00DE5D8D">
            <w:pPr>
              <w:rPr>
                <w:rFonts w:ascii="Times New Roman" w:eastAsia="Times New Roman" w:hAnsi="Times New Roman" w:cs="Times New Roman"/>
              </w:rPr>
            </w:pPr>
          </w:p>
        </w:tc>
        <w:tc>
          <w:tcPr>
            <w:tcW w:w="3752" w:type="dxa"/>
            <w:tcBorders>
              <w:top w:val="single" w:sz="6" w:space="0" w:color="auto"/>
              <w:left w:val="nil"/>
              <w:bottom w:val="single" w:sz="6" w:space="0" w:color="auto"/>
              <w:right w:val="nil"/>
            </w:tcBorders>
            <w:hideMark/>
          </w:tcPr>
          <w:p w14:paraId="507BA32C"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Continuous (in seconds) </w:t>
            </w:r>
          </w:p>
        </w:tc>
      </w:tr>
      <w:tr w:rsidR="0056688C" w:rsidRPr="00FE759A" w14:paraId="1E8E14EB" w14:textId="77777777" w:rsidTr="00DE5D8D">
        <w:trPr>
          <w:trHeight w:val="275"/>
        </w:trPr>
        <w:tc>
          <w:tcPr>
            <w:tcW w:w="4640" w:type="dxa"/>
            <w:tcBorders>
              <w:top w:val="single" w:sz="6" w:space="0" w:color="auto"/>
              <w:left w:val="nil"/>
              <w:bottom w:val="single" w:sz="6" w:space="0" w:color="auto"/>
              <w:right w:val="nil"/>
            </w:tcBorders>
            <w:hideMark/>
          </w:tcPr>
          <w:p w14:paraId="6B9CFF1A"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Confidence </w:t>
            </w:r>
          </w:p>
        </w:tc>
        <w:tc>
          <w:tcPr>
            <w:tcW w:w="98" w:type="dxa"/>
            <w:tcBorders>
              <w:top w:val="single" w:sz="6" w:space="0" w:color="auto"/>
              <w:left w:val="nil"/>
              <w:bottom w:val="single" w:sz="6" w:space="0" w:color="auto"/>
              <w:right w:val="nil"/>
            </w:tcBorders>
            <w:hideMark/>
          </w:tcPr>
          <w:p w14:paraId="00F38A3A"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 </w:t>
            </w:r>
          </w:p>
        </w:tc>
        <w:tc>
          <w:tcPr>
            <w:tcW w:w="3752" w:type="dxa"/>
            <w:tcBorders>
              <w:top w:val="single" w:sz="6" w:space="0" w:color="auto"/>
              <w:left w:val="nil"/>
              <w:bottom w:val="single" w:sz="6" w:space="0" w:color="auto"/>
              <w:right w:val="nil"/>
            </w:tcBorders>
            <w:hideMark/>
          </w:tcPr>
          <w:p w14:paraId="1A0A7743" w14:textId="77777777" w:rsidR="0056688C" w:rsidRPr="00FE759A" w:rsidRDefault="0056688C" w:rsidP="00DE5D8D">
            <w:pPr>
              <w:jc w:val="center"/>
              <w:textAlignment w:val="baseline"/>
              <w:rPr>
                <w:rFonts w:ascii="Times New Roman" w:eastAsia="Times New Roman" w:hAnsi="Times New Roman" w:cs="Times New Roman"/>
              </w:rPr>
            </w:pPr>
            <w:r w:rsidRPr="00FE759A">
              <w:rPr>
                <w:rFonts w:ascii="Times New Roman" w:eastAsia="Times New Roman" w:hAnsi="Times New Roman" w:cs="Times New Roman"/>
              </w:rPr>
              <w:t>Continuous (0-100%) </w:t>
            </w:r>
          </w:p>
        </w:tc>
      </w:tr>
    </w:tbl>
    <w:p w14:paraId="4BC5369A" w14:textId="77777777" w:rsidR="0056688C" w:rsidRPr="00FE759A" w:rsidRDefault="0056688C" w:rsidP="0056688C">
      <w:pPr>
        <w:spacing w:line="480" w:lineRule="auto"/>
        <w:textAlignment w:val="baseline"/>
        <w:rPr>
          <w:rFonts w:ascii="Segoe UI" w:eastAsia="Times New Roman" w:hAnsi="Segoe UI" w:cs="Segoe UI"/>
          <w:sz w:val="18"/>
          <w:szCs w:val="18"/>
        </w:rPr>
      </w:pPr>
      <w:r w:rsidRPr="00FE759A">
        <w:rPr>
          <w:rFonts w:ascii="Times New Roman" w:eastAsia="Times New Roman" w:hAnsi="Times New Roman" w:cs="Times New Roman"/>
        </w:rPr>
        <w:t> </w:t>
      </w:r>
    </w:p>
    <w:p w14:paraId="67CC8F1E" w14:textId="77777777" w:rsidR="0056688C" w:rsidRDefault="0056688C" w:rsidP="0056688C">
      <w:pPr>
        <w:rPr>
          <w:rFonts w:ascii="Times New Roman" w:eastAsia="Times New Roman" w:hAnsi="Times New Roman" w:cs="Times New Roman"/>
          <w:b/>
          <w:bCs/>
        </w:rPr>
      </w:pPr>
      <w:r>
        <w:rPr>
          <w:rFonts w:ascii="Times New Roman" w:eastAsia="Times New Roman" w:hAnsi="Times New Roman" w:cs="Times New Roman"/>
          <w:b/>
          <w:bCs/>
        </w:rPr>
        <w:br w:type="page"/>
      </w:r>
    </w:p>
    <w:p w14:paraId="2D9B59FA" w14:textId="77777777" w:rsidR="0056688C" w:rsidRPr="00FE759A" w:rsidRDefault="0056688C" w:rsidP="0056688C">
      <w:pPr>
        <w:spacing w:line="480" w:lineRule="auto"/>
        <w:textAlignment w:val="baseline"/>
        <w:rPr>
          <w:rFonts w:ascii="Segoe UI" w:eastAsia="Times New Roman" w:hAnsi="Segoe UI" w:cs="Segoe UI"/>
          <w:sz w:val="18"/>
          <w:szCs w:val="18"/>
        </w:rPr>
      </w:pPr>
      <w:r w:rsidRPr="00FE759A">
        <w:rPr>
          <w:rFonts w:ascii="Times New Roman" w:eastAsia="Times New Roman" w:hAnsi="Times New Roman" w:cs="Times New Roman"/>
          <w:b/>
          <w:bCs/>
        </w:rPr>
        <w:lastRenderedPageBreak/>
        <w:t>Figure S1</w:t>
      </w:r>
      <w:r>
        <w:rPr>
          <w:rFonts w:ascii="Times New Roman" w:eastAsia="Times New Roman" w:hAnsi="Times New Roman" w:cs="Times New Roman"/>
          <w:b/>
          <w:bCs/>
        </w:rPr>
        <w:t>.</w:t>
      </w:r>
      <w:r w:rsidRPr="00FE759A">
        <w:rPr>
          <w:rFonts w:ascii="Times New Roman" w:eastAsia="Times New Roman" w:hAnsi="Times New Roman" w:cs="Times New Roman"/>
          <w:b/>
          <w:bCs/>
        </w:rPr>
        <w:t> </w:t>
      </w:r>
      <w:r w:rsidRPr="00FE759A">
        <w:rPr>
          <w:rFonts w:ascii="Times New Roman" w:eastAsia="Times New Roman" w:hAnsi="Times New Roman" w:cs="Times New Roman"/>
        </w:rPr>
        <w:t> </w:t>
      </w:r>
    </w:p>
    <w:p w14:paraId="3BD78AC3" w14:textId="77777777" w:rsidR="0056688C" w:rsidRPr="00FE759A" w:rsidRDefault="0056688C" w:rsidP="0056688C">
      <w:pPr>
        <w:spacing w:line="480" w:lineRule="auto"/>
        <w:textAlignment w:val="baseline"/>
        <w:rPr>
          <w:rFonts w:ascii="Segoe UI" w:eastAsia="Times New Roman" w:hAnsi="Segoe UI" w:cs="Segoe UI"/>
          <w:sz w:val="18"/>
          <w:szCs w:val="18"/>
        </w:rPr>
      </w:pPr>
      <w:r w:rsidRPr="00FE759A">
        <w:rPr>
          <w:rFonts w:ascii="Times New Roman" w:eastAsia="Times New Roman" w:hAnsi="Times New Roman" w:cs="Times New Roman"/>
          <w:i/>
          <w:iCs/>
        </w:rPr>
        <w:t>Retained Behaviors for the Hits-False Alarms Classifier from Ayala, Smith, Ying, et al. (2025) </w:t>
      </w:r>
      <w:r w:rsidRPr="00FE759A">
        <w:rPr>
          <w:rFonts w:ascii="Times New Roman" w:eastAsia="Times New Roman" w:hAnsi="Times New Roman" w:cs="Times New Roman"/>
        </w:rPr>
        <w:t> </w:t>
      </w:r>
    </w:p>
    <w:p w14:paraId="56F3247E" w14:textId="77777777" w:rsidR="0056688C" w:rsidRPr="00FE759A" w:rsidRDefault="0056688C" w:rsidP="0056688C">
      <w:pPr>
        <w:spacing w:line="480" w:lineRule="auto"/>
        <w:textAlignment w:val="baseline"/>
        <w:rPr>
          <w:rFonts w:ascii="Segoe UI" w:eastAsia="Times New Roman" w:hAnsi="Segoe UI" w:cs="Segoe UI"/>
          <w:sz w:val="18"/>
          <w:szCs w:val="18"/>
        </w:rPr>
      </w:pPr>
      <w:r w:rsidRPr="00FE759A">
        <w:rPr>
          <w:rFonts w:ascii="Segoe UI" w:eastAsia="Times New Roman" w:hAnsi="Segoe UI" w:cs="Segoe UI"/>
          <w:noProof/>
          <w:sz w:val="18"/>
          <w:szCs w:val="18"/>
        </w:rPr>
        <w:drawing>
          <wp:inline distT="0" distB="0" distL="0" distR="0" wp14:anchorId="4FC313D2" wp14:editId="09DC3563">
            <wp:extent cx="4378325" cy="2456180"/>
            <wp:effectExtent l="0" t="0" r="3175" b="0"/>
            <wp:docPr id="1852311585" name="Picture 4" descr="A diagram of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bar chart&#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78325" cy="2456180"/>
                    </a:xfrm>
                    <a:prstGeom prst="rect">
                      <a:avLst/>
                    </a:prstGeom>
                    <a:noFill/>
                    <a:ln>
                      <a:noFill/>
                    </a:ln>
                  </pic:spPr>
                </pic:pic>
              </a:graphicData>
            </a:graphic>
          </wp:inline>
        </w:drawing>
      </w:r>
      <w:r w:rsidRPr="00FE759A">
        <w:rPr>
          <w:rFonts w:ascii="Times New Roman" w:eastAsia="Times New Roman" w:hAnsi="Times New Roman" w:cs="Times New Roman"/>
        </w:rPr>
        <w:t> </w:t>
      </w:r>
    </w:p>
    <w:p w14:paraId="48CBE4D1" w14:textId="77777777" w:rsidR="0056688C" w:rsidRDefault="0056688C" w:rsidP="0056688C">
      <w:pPr>
        <w:spacing w:line="480" w:lineRule="auto"/>
        <w:ind w:firstLine="720"/>
        <w:textAlignment w:val="baseline"/>
        <w:rPr>
          <w:rFonts w:ascii="Times New Roman" w:eastAsia="Times New Roman" w:hAnsi="Times New Roman" w:cs="Times New Roman"/>
        </w:rPr>
      </w:pPr>
      <w:r w:rsidRPr="00FE759A">
        <w:rPr>
          <w:rFonts w:ascii="Times New Roman" w:eastAsia="Times New Roman" w:hAnsi="Times New Roman" w:cs="Times New Roman"/>
        </w:rPr>
        <w:t>To create a composite classifier, Ayala, Smith, Ying, and colleagues (2025) fit a series of non-regularized hierarchical logistic regression models. The authors first ran three base models, in which culprit presence was regressed on one of three classes of behaviors: confidence, decision time, and the log odds estimates obtained from the behavior classifier (Figure S1). The authors saved the model-predicted log odds of culprit presence for each observation obtained from each base model in order to run a composite regression model including confidence, decision speed, and witness behaviors. In the current studies, we used this composite classifier as our AI model because it led to better classification performance than the confidence-only, speed-only, or behavior-only models (see Figure S2).   </w:t>
      </w:r>
    </w:p>
    <w:p w14:paraId="798B0184" w14:textId="4FC304CA" w:rsidR="00D445BC" w:rsidRDefault="00D445BC" w:rsidP="00BE3A94">
      <w:pPr>
        <w:spacing w:line="480" w:lineRule="auto"/>
        <w:ind w:firstLine="720"/>
        <w:textAlignment w:val="baseline"/>
        <w:rPr>
          <w:rFonts w:ascii="Times New Roman" w:eastAsia="Times New Roman" w:hAnsi="Times New Roman" w:cs="Times New Roman"/>
        </w:rPr>
      </w:pPr>
      <w:r>
        <w:rPr>
          <w:rFonts w:ascii="Times New Roman" w:eastAsia="Times New Roman" w:hAnsi="Times New Roman" w:cs="Times New Roman"/>
        </w:rPr>
        <w:t xml:space="preserve">Importantly, because the authors </w:t>
      </w:r>
      <w:r w:rsidR="00BD2590">
        <w:rPr>
          <w:rFonts w:ascii="Times New Roman" w:eastAsia="Times New Roman" w:hAnsi="Times New Roman" w:cs="Times New Roman"/>
        </w:rPr>
        <w:t>employ</w:t>
      </w:r>
      <w:r>
        <w:rPr>
          <w:rFonts w:ascii="Times New Roman" w:eastAsia="Times New Roman" w:hAnsi="Times New Roman" w:cs="Times New Roman"/>
        </w:rPr>
        <w:t>ed a cross-validation technique for training this AI model, the receiver-operating characteristic analyses likely provide a</w:t>
      </w:r>
      <w:r w:rsidR="00BD2590">
        <w:rPr>
          <w:rFonts w:ascii="Times New Roman" w:eastAsia="Times New Roman" w:hAnsi="Times New Roman" w:cs="Times New Roman"/>
        </w:rPr>
        <w:t>n upper-bou</w:t>
      </w:r>
      <w:r>
        <w:rPr>
          <w:rFonts w:ascii="Times New Roman" w:eastAsia="Times New Roman" w:hAnsi="Times New Roman" w:cs="Times New Roman"/>
        </w:rPr>
        <w:t xml:space="preserve">nd estimate of its </w:t>
      </w:r>
      <w:r w:rsidR="0059521B">
        <w:rPr>
          <w:rFonts w:ascii="Times New Roman" w:eastAsia="Times New Roman" w:hAnsi="Times New Roman" w:cs="Times New Roman"/>
        </w:rPr>
        <w:t xml:space="preserve">likely </w:t>
      </w:r>
      <w:r>
        <w:rPr>
          <w:rFonts w:ascii="Times New Roman" w:eastAsia="Times New Roman" w:hAnsi="Times New Roman" w:cs="Times New Roman"/>
        </w:rPr>
        <w:t>performance</w:t>
      </w:r>
      <w:r w:rsidR="0059521B">
        <w:rPr>
          <w:rFonts w:ascii="Times New Roman" w:eastAsia="Times New Roman" w:hAnsi="Times New Roman" w:cs="Times New Roman"/>
        </w:rPr>
        <w:t xml:space="preserve"> in real-world contexts</w:t>
      </w:r>
      <w:r>
        <w:rPr>
          <w:rFonts w:ascii="Times New Roman" w:eastAsia="Times New Roman" w:hAnsi="Times New Roman" w:cs="Times New Roman"/>
        </w:rPr>
        <w:t>. The</w:t>
      </w:r>
      <w:r w:rsidR="00C06DB7">
        <w:rPr>
          <w:rFonts w:ascii="Times New Roman" w:eastAsia="Times New Roman" w:hAnsi="Times New Roman" w:cs="Times New Roman"/>
        </w:rPr>
        <w:t xml:space="preserve"> AI model was trained and tested on videos</w:t>
      </w:r>
      <w:r>
        <w:rPr>
          <w:rFonts w:ascii="Times New Roman" w:eastAsia="Times New Roman" w:hAnsi="Times New Roman" w:cs="Times New Roman"/>
        </w:rPr>
        <w:t xml:space="preserve"> </w:t>
      </w:r>
      <w:r w:rsidR="00C33F34">
        <w:rPr>
          <w:rFonts w:ascii="Times New Roman" w:eastAsia="Times New Roman" w:hAnsi="Times New Roman" w:cs="Times New Roman"/>
        </w:rPr>
        <w:t>that followed</w:t>
      </w:r>
      <w:r>
        <w:rPr>
          <w:rFonts w:ascii="Times New Roman" w:eastAsia="Times New Roman" w:hAnsi="Times New Roman" w:cs="Times New Roman"/>
        </w:rPr>
        <w:t xml:space="preserve"> the same general protocol</w:t>
      </w:r>
      <w:r w:rsidR="0012750E">
        <w:rPr>
          <w:rFonts w:ascii="Times New Roman" w:eastAsia="Times New Roman" w:hAnsi="Times New Roman" w:cs="Times New Roman"/>
        </w:rPr>
        <w:t xml:space="preserve"> with the same set of stimuli</w:t>
      </w:r>
      <w:r w:rsidR="00BD2590">
        <w:rPr>
          <w:rFonts w:ascii="Times New Roman" w:eastAsia="Times New Roman" w:hAnsi="Times New Roman" w:cs="Times New Roman"/>
        </w:rPr>
        <w:t xml:space="preserve"> (Kapoor &amp; Narayanan, </w:t>
      </w:r>
      <w:r w:rsidR="00BD2590">
        <w:rPr>
          <w:rFonts w:ascii="Times New Roman" w:eastAsia="Times New Roman" w:hAnsi="Times New Roman" w:cs="Times New Roman"/>
        </w:rPr>
        <w:lastRenderedPageBreak/>
        <w:t xml:space="preserve">2023). </w:t>
      </w:r>
      <w:r w:rsidR="00315DE6">
        <w:rPr>
          <w:rFonts w:ascii="Times New Roman" w:eastAsia="Times New Roman" w:hAnsi="Times New Roman" w:cs="Times New Roman"/>
        </w:rPr>
        <w:t>The</w:t>
      </w:r>
      <w:r>
        <w:rPr>
          <w:rFonts w:ascii="Times New Roman" w:eastAsia="Times New Roman" w:hAnsi="Times New Roman" w:cs="Times New Roman"/>
        </w:rPr>
        <w:t xml:space="preserve"> utility of behavioral cues for predicting accuracy</w:t>
      </w:r>
      <w:r w:rsidR="00315DE6">
        <w:rPr>
          <w:rFonts w:ascii="Times New Roman" w:eastAsia="Times New Roman" w:hAnsi="Times New Roman" w:cs="Times New Roman"/>
        </w:rPr>
        <w:t xml:space="preserve"> would likely vary much more widely in practice, which would lower the AI model’s performance.</w:t>
      </w:r>
    </w:p>
    <w:p w14:paraId="551B8733" w14:textId="77777777" w:rsidR="0056688C" w:rsidRPr="00FE759A" w:rsidRDefault="0056688C" w:rsidP="0012750E">
      <w:pPr>
        <w:spacing w:line="480" w:lineRule="auto"/>
        <w:rPr>
          <w:rFonts w:ascii="Segoe UI" w:eastAsia="Times New Roman" w:hAnsi="Segoe UI" w:cs="Segoe UI"/>
          <w:sz w:val="18"/>
          <w:szCs w:val="18"/>
        </w:rPr>
      </w:pPr>
      <w:r w:rsidRPr="00FE759A">
        <w:rPr>
          <w:rFonts w:ascii="Times New Roman" w:eastAsia="Times New Roman" w:hAnsi="Times New Roman" w:cs="Times New Roman"/>
          <w:b/>
          <w:bCs/>
        </w:rPr>
        <w:t>Figure S2</w:t>
      </w:r>
      <w:r>
        <w:rPr>
          <w:rFonts w:ascii="Times New Roman" w:eastAsia="Times New Roman" w:hAnsi="Times New Roman" w:cs="Times New Roman"/>
        </w:rPr>
        <w:t>.</w:t>
      </w:r>
    </w:p>
    <w:p w14:paraId="1C1E9B0D" w14:textId="77777777" w:rsidR="0056688C" w:rsidRPr="00FE759A" w:rsidRDefault="0056688C" w:rsidP="00BE3A94">
      <w:pPr>
        <w:spacing w:line="480" w:lineRule="auto"/>
        <w:textAlignment w:val="baseline"/>
        <w:rPr>
          <w:rFonts w:ascii="Segoe UI" w:eastAsia="Times New Roman" w:hAnsi="Segoe UI" w:cs="Segoe UI"/>
          <w:sz w:val="18"/>
          <w:szCs w:val="18"/>
        </w:rPr>
      </w:pPr>
      <w:r w:rsidRPr="00FE759A">
        <w:rPr>
          <w:rFonts w:ascii="Times New Roman" w:eastAsia="Times New Roman" w:hAnsi="Times New Roman" w:cs="Times New Roman"/>
          <w:i/>
          <w:iCs/>
        </w:rPr>
        <w:t>Training Receiver Operating Characteristic (ROC) Curves for the Suspect-Identification Model from Ayala, Smith, Ying, et al. (2025).</w:t>
      </w:r>
      <w:r w:rsidRPr="00FE759A">
        <w:rPr>
          <w:rFonts w:ascii="Times New Roman" w:eastAsia="Times New Roman" w:hAnsi="Times New Roman" w:cs="Times New Roman"/>
        </w:rPr>
        <w:t>  </w:t>
      </w:r>
    </w:p>
    <w:p w14:paraId="5D2F0E4C" w14:textId="77777777" w:rsidR="0056688C" w:rsidRPr="00FE759A" w:rsidRDefault="0056688C" w:rsidP="0056688C">
      <w:pPr>
        <w:spacing w:line="480" w:lineRule="auto"/>
        <w:textAlignment w:val="baseline"/>
        <w:rPr>
          <w:rFonts w:ascii="Segoe UI" w:eastAsia="Times New Roman" w:hAnsi="Segoe UI" w:cs="Segoe UI"/>
          <w:sz w:val="18"/>
          <w:szCs w:val="18"/>
        </w:rPr>
      </w:pPr>
      <w:r w:rsidRPr="00FE759A">
        <w:rPr>
          <w:rFonts w:ascii="Segoe UI" w:eastAsia="Times New Roman" w:hAnsi="Segoe UI" w:cs="Segoe UI"/>
          <w:noProof/>
          <w:sz w:val="18"/>
          <w:szCs w:val="18"/>
        </w:rPr>
        <w:drawing>
          <wp:inline distT="0" distB="0" distL="0" distR="0" wp14:anchorId="5FF8BF20" wp14:editId="64C91640">
            <wp:extent cx="3811270" cy="3123565"/>
            <wp:effectExtent l="0" t="0" r="0" b="635"/>
            <wp:docPr id="1583514960" name="Picture 3"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 of a function&#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1270" cy="3123565"/>
                    </a:xfrm>
                    <a:prstGeom prst="rect">
                      <a:avLst/>
                    </a:prstGeom>
                    <a:noFill/>
                    <a:ln>
                      <a:noFill/>
                    </a:ln>
                  </pic:spPr>
                </pic:pic>
              </a:graphicData>
            </a:graphic>
          </wp:inline>
        </w:drawing>
      </w:r>
      <w:r w:rsidRPr="00FE759A">
        <w:rPr>
          <w:rFonts w:ascii="Times New Roman" w:eastAsia="Times New Roman" w:hAnsi="Times New Roman" w:cs="Times New Roman"/>
        </w:rPr>
        <w:t>  </w:t>
      </w:r>
    </w:p>
    <w:p w14:paraId="71446BDF" w14:textId="77777777" w:rsidR="0056688C" w:rsidRPr="00FE759A" w:rsidRDefault="0056688C" w:rsidP="0056688C">
      <w:pPr>
        <w:spacing w:line="480" w:lineRule="auto"/>
        <w:textAlignment w:val="baseline"/>
        <w:rPr>
          <w:rFonts w:ascii="Segoe UI" w:eastAsia="Times New Roman" w:hAnsi="Segoe UI" w:cs="Segoe UI"/>
          <w:sz w:val="18"/>
          <w:szCs w:val="18"/>
        </w:rPr>
      </w:pPr>
      <w:r w:rsidRPr="00FE759A">
        <w:rPr>
          <w:rFonts w:ascii="Times New Roman" w:eastAsia="Times New Roman" w:hAnsi="Times New Roman" w:cs="Times New Roman"/>
          <w:b/>
          <w:bCs/>
        </w:rPr>
        <w:t>Multi-level Ordinal Regression Analyses</w:t>
      </w:r>
      <w:r w:rsidRPr="00FE759A">
        <w:rPr>
          <w:rFonts w:ascii="Times New Roman" w:eastAsia="Times New Roman" w:hAnsi="Times New Roman" w:cs="Times New Roman"/>
        </w:rPr>
        <w:t> </w:t>
      </w:r>
    </w:p>
    <w:p w14:paraId="68EB4A49" w14:textId="77777777" w:rsidR="0056688C" w:rsidRPr="00FE759A" w:rsidRDefault="0056688C" w:rsidP="0056688C">
      <w:pPr>
        <w:spacing w:line="480" w:lineRule="auto"/>
        <w:textAlignment w:val="baseline"/>
        <w:rPr>
          <w:rFonts w:ascii="Times New Roman" w:eastAsia="Times New Roman" w:hAnsi="Times New Roman" w:cs="Times New Roman"/>
        </w:rPr>
      </w:pPr>
      <w:r w:rsidRPr="00FE759A">
        <w:rPr>
          <w:rFonts w:ascii="Times New Roman" w:eastAsia="Times New Roman" w:hAnsi="Times New Roman" w:cs="Times New Roman"/>
        </w:rPr>
        <w:tab/>
        <w:t>In the primary analyses in the main text of this paper, we conducted empirical ROC analyses to examine differences in discriminability across evaluation-approach conditions. Because participants in the control and simple-scoring conditions completed eight trials each, we conducted multi-level ordinal regression analyses with a random intercept for evaluator to compare the intuition and simple-scoring approach ROCs while controlling for potential nesting effects. We used a probit link function because it assumes that the evidence strength is normally distributed and</w:t>
      </w:r>
      <w:r>
        <w:rPr>
          <w:rFonts w:ascii="Times New Roman" w:eastAsia="Times New Roman" w:hAnsi="Times New Roman" w:cs="Times New Roman"/>
        </w:rPr>
        <w:t>,</w:t>
      </w:r>
      <w:r w:rsidRPr="00FE759A">
        <w:rPr>
          <w:rFonts w:ascii="Times New Roman" w:eastAsia="Times New Roman" w:hAnsi="Times New Roman" w:cs="Times New Roman"/>
        </w:rPr>
        <w:t xml:space="preserve"> therefore</w:t>
      </w:r>
      <w:r>
        <w:rPr>
          <w:rFonts w:ascii="Times New Roman" w:eastAsia="Times New Roman" w:hAnsi="Times New Roman" w:cs="Times New Roman"/>
        </w:rPr>
        <w:t>,</w:t>
      </w:r>
      <w:r w:rsidRPr="00FE759A">
        <w:rPr>
          <w:rFonts w:ascii="Times New Roman" w:eastAsia="Times New Roman" w:hAnsi="Times New Roman" w:cs="Times New Roman"/>
        </w:rPr>
        <w:t xml:space="preserve"> the regression coefficients can be interpreted in </w:t>
      </w:r>
      <w:r w:rsidRPr="00FE759A">
        <w:rPr>
          <w:rFonts w:ascii="Times New Roman" w:eastAsia="Times New Roman" w:hAnsi="Times New Roman" w:cs="Times New Roman"/>
          <w:i/>
          <w:iCs/>
        </w:rPr>
        <w:t>d</w:t>
      </w:r>
      <w:r w:rsidRPr="00FE759A">
        <w:rPr>
          <w:rFonts w:ascii="Times New Roman" w:eastAsia="Times New Roman" w:hAnsi="Times New Roman" w:cs="Times New Roman"/>
        </w:rPr>
        <w:t xml:space="preserve">′ units (DeCarlo, 1998). Because some confidence bins only included a small number of observations, I collapsed </w:t>
      </w:r>
      <w:r w:rsidRPr="00FE759A">
        <w:rPr>
          <w:rFonts w:ascii="Times New Roman" w:eastAsia="Times New Roman" w:hAnsi="Times New Roman" w:cs="Times New Roman"/>
        </w:rPr>
        <w:lastRenderedPageBreak/>
        <w:t xml:space="preserve">responses into 11 bins: Accurate 100%, Accurate 90%, Accurate 80%, Accurate 60-70%, Accurate 10-50%, Accurate/Inaccurate 0%, </w:t>
      </w:r>
      <w:r w:rsidRPr="00E877DB">
        <w:rPr>
          <w:rFonts w:ascii="Times New Roman" w:eastAsia="Times New Roman" w:hAnsi="Times New Roman" w:cs="Times New Roman"/>
        </w:rPr>
        <w:t>Inaccurate 10-</w:t>
      </w:r>
      <w:r w:rsidRPr="00FE759A">
        <w:rPr>
          <w:rFonts w:ascii="Times New Roman" w:eastAsia="Times New Roman" w:hAnsi="Times New Roman" w:cs="Times New Roman"/>
        </w:rPr>
        <w:t>50%, Inaccurate 60-70%, Inaccurate 80%, Inaccurate 90%, and Inaccurate 100%. I calculated AUCs using the following formula (Wickens, 2002): </w:t>
      </w:r>
    </w:p>
    <w:p w14:paraId="258DD186" w14:textId="77777777" w:rsidR="0056688C" w:rsidRPr="00FE759A" w:rsidRDefault="00000000" w:rsidP="0056688C">
      <w:pPr>
        <w:spacing w:line="480" w:lineRule="auto"/>
        <w:ind w:firstLine="720"/>
        <w:rPr>
          <w:rFonts w:ascii="Times New Roman" w:hAnsi="Times New Roman" w:cs="Times New Roman"/>
          <w:iCs/>
        </w:rPr>
      </w:pPr>
      <m:oMathPara>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z</m:t>
              </m:r>
            </m:sub>
          </m:sSub>
          <m:r>
            <w:rPr>
              <w:rFonts w:ascii="Cambria Math" w:hAnsi="Cambria Math" w:cs="Times New Roman"/>
            </w:rPr>
            <m:t>=</m:t>
          </m:r>
          <m:r>
            <m:rPr>
              <m:sty m:val="p"/>
            </m:rPr>
            <w:rPr>
              <w:rFonts w:ascii="Cambria Math" w:hAnsi="Cambria Math" w:cs="Times New Roman"/>
            </w:rPr>
            <m:t>Φ</m:t>
          </m:r>
          <m:d>
            <m:dPr>
              <m:ctrlPr>
                <w:rPr>
                  <w:rFonts w:ascii="Cambria Math" w:hAnsi="Cambria Math" w:cs="Times New Roman"/>
                  <w:iCs/>
                </w:rPr>
              </m:ctrlPr>
            </m:dPr>
            <m:e>
              <m:f>
                <m:fPr>
                  <m:ctrlPr>
                    <w:rPr>
                      <w:rFonts w:ascii="Cambria Math" w:hAnsi="Cambria Math" w:cs="Times New Roman"/>
                      <w:iCs/>
                    </w:rPr>
                  </m:ctrlPr>
                </m:fPr>
                <m:num>
                  <m:sSub>
                    <m:sSubPr>
                      <m:ctrlPr>
                        <w:rPr>
                          <w:rFonts w:ascii="Cambria Math" w:hAnsi="Cambria Math" w:cs="Times New Roman"/>
                          <w:i/>
                          <w:iCs/>
                        </w:rPr>
                      </m:ctrlPr>
                    </m:sSubPr>
                    <m:e>
                      <m:r>
                        <w:rPr>
                          <w:rFonts w:ascii="Cambria Math" w:hAnsi="Cambria Math" w:cs="Times New Roman"/>
                        </w:rPr>
                        <m:t>μ</m:t>
                      </m:r>
                    </m:e>
                    <m:sub>
                      <m:r>
                        <w:rPr>
                          <w:rFonts w:ascii="Cambria Math" w:hAnsi="Cambria Math" w:cs="Times New Roman"/>
                        </w:rPr>
                        <m:t>s</m:t>
                      </m:r>
                    </m:sub>
                  </m:sSub>
                </m:num>
                <m:den>
                  <m:rad>
                    <m:radPr>
                      <m:degHide m:val="1"/>
                      <m:ctrlPr>
                        <w:rPr>
                          <w:rFonts w:ascii="Cambria Math" w:hAnsi="Cambria Math" w:cs="Times New Roman"/>
                          <w:i/>
                          <w:iCs/>
                        </w:rPr>
                      </m:ctrlPr>
                    </m:radPr>
                    <m:deg/>
                    <m:e>
                      <m:r>
                        <w:rPr>
                          <w:rFonts w:ascii="Cambria Math" w:hAnsi="Cambria Math" w:cs="Times New Roman"/>
                        </w:rPr>
                        <m:t xml:space="preserve">1+ </m:t>
                      </m:r>
                      <m:sSubSup>
                        <m:sSubSupPr>
                          <m:ctrlPr>
                            <w:rPr>
                              <w:rFonts w:ascii="Cambria Math" w:hAnsi="Cambria Math" w:cs="Times New Roman"/>
                              <w:i/>
                              <w:iCs/>
                            </w:rPr>
                          </m:ctrlPr>
                        </m:sSubSupPr>
                        <m:e>
                          <m:r>
                            <w:rPr>
                              <w:rFonts w:ascii="Cambria Math" w:hAnsi="Cambria Math" w:cs="Times New Roman"/>
                            </w:rPr>
                            <m:t>σ</m:t>
                          </m:r>
                        </m:e>
                        <m:sub>
                          <m:r>
                            <w:rPr>
                              <w:rFonts w:ascii="Cambria Math" w:hAnsi="Cambria Math" w:cs="Times New Roman"/>
                            </w:rPr>
                            <m:t>s</m:t>
                          </m:r>
                        </m:sub>
                        <m:sup>
                          <m:r>
                            <w:rPr>
                              <w:rFonts w:ascii="Cambria Math" w:hAnsi="Cambria Math" w:cs="Times New Roman"/>
                            </w:rPr>
                            <m:t>2</m:t>
                          </m:r>
                        </m:sup>
                      </m:sSubSup>
                    </m:e>
                  </m:rad>
                </m:den>
              </m:f>
            </m:e>
          </m:d>
        </m:oMath>
      </m:oMathPara>
    </w:p>
    <w:p w14:paraId="4CABD6F3" w14:textId="3D0D6B11" w:rsidR="0056688C" w:rsidRPr="00FE759A" w:rsidRDefault="0056688C" w:rsidP="0056688C">
      <w:pPr>
        <w:spacing w:line="480" w:lineRule="auto"/>
        <w:ind w:firstLine="720"/>
        <w:textAlignment w:val="baseline"/>
        <w:rPr>
          <w:rFonts w:ascii="Times New Roman" w:eastAsia="Times New Roman" w:hAnsi="Times New Roman" w:cs="Times New Roman"/>
        </w:rPr>
      </w:pPr>
      <w:r w:rsidRPr="00FE759A">
        <w:rPr>
          <w:rFonts w:ascii="Times New Roman" w:eastAsia="Times New Roman" w:hAnsi="Times New Roman" w:cs="Times New Roman"/>
        </w:rPr>
        <w:t xml:space="preserve">In Experiment 1, we found that </w:t>
      </w:r>
      <w:r w:rsidRPr="00704C54">
        <w:rPr>
          <w:rFonts w:ascii="Times New Roman" w:eastAsia="Times New Roman" w:hAnsi="Times New Roman" w:cs="Times New Roman"/>
        </w:rPr>
        <w:t>evaluators who used the simple-scoring approach (AUC = .73) better discriminated between accurate witnesses and inaccurate witnesses than evaluators who provided intuitive judgments (AUC = .6</w:t>
      </w:r>
      <w:r w:rsidR="00615A0E">
        <w:rPr>
          <w:rFonts w:ascii="Times New Roman" w:eastAsia="Times New Roman" w:hAnsi="Times New Roman" w:cs="Times New Roman"/>
        </w:rPr>
        <w:t>5</w:t>
      </w:r>
      <w:r w:rsidRPr="00704C54">
        <w:rPr>
          <w:rFonts w:ascii="Times New Roman" w:eastAsia="Times New Roman" w:hAnsi="Times New Roman" w:cs="Times New Roman"/>
        </w:rPr>
        <w:t xml:space="preserve">), </w:t>
      </w:r>
      <w:r w:rsidRPr="00704C54">
        <w:rPr>
          <w:rFonts w:ascii="Times New Roman" w:eastAsia="Times New Roman" w:hAnsi="Times New Roman" w:cs="Times New Roman"/>
          <w:i/>
          <w:iCs/>
        </w:rPr>
        <w:t>B</w:t>
      </w:r>
      <w:r w:rsidRPr="00704C54">
        <w:rPr>
          <w:rFonts w:ascii="Times New Roman" w:eastAsia="Times New Roman" w:hAnsi="Times New Roman" w:cs="Times New Roman"/>
        </w:rPr>
        <w:t xml:space="preserve"> = .26, </w:t>
      </w:r>
      <w:r w:rsidRPr="00704C54">
        <w:rPr>
          <w:rFonts w:ascii="Times New Roman" w:eastAsia="Times New Roman" w:hAnsi="Times New Roman" w:cs="Times New Roman"/>
          <w:i/>
          <w:iCs/>
        </w:rPr>
        <w:t>SE</w:t>
      </w:r>
      <w:r w:rsidRPr="00704C54">
        <w:rPr>
          <w:rFonts w:ascii="Times New Roman" w:eastAsia="Times New Roman" w:hAnsi="Times New Roman" w:cs="Times New Roman"/>
        </w:rPr>
        <w:t xml:space="preserve"> = .08, Wald’s </w:t>
      </w:r>
      <w:r w:rsidRPr="00704C54">
        <w:rPr>
          <w:rFonts w:ascii="Times New Roman" w:eastAsia="Times New Roman" w:hAnsi="Times New Roman" w:cs="Times New Roman"/>
          <w:i/>
          <w:iCs/>
        </w:rPr>
        <w:t>z</w:t>
      </w:r>
      <w:r w:rsidRPr="00704C54">
        <w:rPr>
          <w:rFonts w:ascii="Times New Roman" w:eastAsia="Times New Roman" w:hAnsi="Times New Roman" w:cs="Times New Roman"/>
        </w:rPr>
        <w:t xml:space="preserve"> = 3.37, </w:t>
      </w:r>
      <w:r w:rsidRPr="00704C54">
        <w:rPr>
          <w:rFonts w:ascii="Times New Roman" w:eastAsia="Times New Roman" w:hAnsi="Times New Roman" w:cs="Times New Roman"/>
          <w:i/>
          <w:iCs/>
        </w:rPr>
        <w:t>p</w:t>
      </w:r>
      <w:r w:rsidRPr="00704C54">
        <w:rPr>
          <w:rFonts w:ascii="Times New Roman" w:eastAsia="Times New Roman" w:hAnsi="Times New Roman" w:cs="Times New Roman"/>
        </w:rPr>
        <w:t xml:space="preserve"> &lt; .001 (see Figure S3). These findings are consistent with those from the empirical ROC analyses presented in the main text. In Experiment 2, we found no difference in discriminability between evaluators in the simple-scoring condition (AUC = .71) and those in the informed-judgment condition (AUC = .71), </w:t>
      </w:r>
      <w:r w:rsidRPr="00704C54">
        <w:rPr>
          <w:rFonts w:ascii="Times New Roman" w:eastAsia="Times New Roman" w:hAnsi="Times New Roman" w:cs="Times New Roman"/>
          <w:i/>
          <w:iCs/>
        </w:rPr>
        <w:t>B</w:t>
      </w:r>
      <w:r w:rsidRPr="00704C54">
        <w:rPr>
          <w:rFonts w:ascii="Times New Roman" w:eastAsia="Times New Roman" w:hAnsi="Times New Roman" w:cs="Times New Roman"/>
        </w:rPr>
        <w:t xml:space="preserve"> = .0</w:t>
      </w:r>
      <w:r w:rsidR="00AD34D8">
        <w:rPr>
          <w:rFonts w:ascii="Times New Roman" w:eastAsia="Times New Roman" w:hAnsi="Times New Roman" w:cs="Times New Roman"/>
        </w:rPr>
        <w:t>1</w:t>
      </w:r>
      <w:r w:rsidRPr="00704C54">
        <w:rPr>
          <w:rFonts w:ascii="Times New Roman" w:eastAsia="Times New Roman" w:hAnsi="Times New Roman" w:cs="Times New Roman"/>
        </w:rPr>
        <w:t xml:space="preserve">, </w:t>
      </w:r>
      <w:r w:rsidRPr="00704C54">
        <w:rPr>
          <w:rFonts w:ascii="Times New Roman" w:eastAsia="Times New Roman" w:hAnsi="Times New Roman" w:cs="Times New Roman"/>
          <w:i/>
          <w:iCs/>
        </w:rPr>
        <w:t>SE</w:t>
      </w:r>
      <w:r w:rsidRPr="00704C54">
        <w:rPr>
          <w:rFonts w:ascii="Times New Roman" w:eastAsia="Times New Roman" w:hAnsi="Times New Roman" w:cs="Times New Roman"/>
        </w:rPr>
        <w:t xml:space="preserve"> = .08, Wald’s </w:t>
      </w:r>
      <w:r w:rsidRPr="00704C54">
        <w:rPr>
          <w:rFonts w:ascii="Times New Roman" w:eastAsia="Times New Roman" w:hAnsi="Times New Roman" w:cs="Times New Roman"/>
          <w:i/>
          <w:iCs/>
        </w:rPr>
        <w:t>z</w:t>
      </w:r>
      <w:r w:rsidRPr="00704C54">
        <w:rPr>
          <w:rFonts w:ascii="Times New Roman" w:eastAsia="Times New Roman" w:hAnsi="Times New Roman" w:cs="Times New Roman"/>
        </w:rPr>
        <w:t xml:space="preserve"> = </w:t>
      </w:r>
      <w:r>
        <w:rPr>
          <w:rFonts w:ascii="Times New Roman" w:eastAsia="Times New Roman" w:hAnsi="Times New Roman" w:cs="Times New Roman"/>
        </w:rPr>
        <w:t>.1</w:t>
      </w:r>
      <w:r w:rsidR="00AD34D8">
        <w:rPr>
          <w:rFonts w:ascii="Times New Roman" w:eastAsia="Times New Roman" w:hAnsi="Times New Roman" w:cs="Times New Roman"/>
        </w:rPr>
        <w:t>8</w:t>
      </w:r>
      <w:r w:rsidRPr="00704C54">
        <w:rPr>
          <w:rFonts w:ascii="Times New Roman" w:eastAsia="Times New Roman" w:hAnsi="Times New Roman" w:cs="Times New Roman"/>
        </w:rPr>
        <w:t xml:space="preserve">, </w:t>
      </w:r>
      <w:r w:rsidRPr="00704C54">
        <w:rPr>
          <w:rFonts w:ascii="Times New Roman" w:eastAsia="Times New Roman" w:hAnsi="Times New Roman" w:cs="Times New Roman"/>
          <w:i/>
          <w:iCs/>
        </w:rPr>
        <w:t>p</w:t>
      </w:r>
      <w:r w:rsidRPr="00704C54">
        <w:rPr>
          <w:rFonts w:ascii="Times New Roman" w:eastAsia="Times New Roman" w:hAnsi="Times New Roman" w:cs="Times New Roman"/>
        </w:rPr>
        <w:t xml:space="preserve"> = .8</w:t>
      </w:r>
      <w:r w:rsidR="00AD34D8">
        <w:rPr>
          <w:rFonts w:ascii="Times New Roman" w:eastAsia="Times New Roman" w:hAnsi="Times New Roman" w:cs="Times New Roman"/>
        </w:rPr>
        <w:t>6</w:t>
      </w:r>
      <w:r w:rsidRPr="00704C54">
        <w:rPr>
          <w:rFonts w:ascii="Times New Roman" w:eastAsia="Times New Roman" w:hAnsi="Times New Roman" w:cs="Times New Roman"/>
        </w:rPr>
        <w:t xml:space="preserve"> (see Figure S4). This is, again, consistent with the results from the empirical ROC comparison presented in the main</w:t>
      </w:r>
      <w:r w:rsidRPr="00FE759A">
        <w:rPr>
          <w:rFonts w:ascii="Times New Roman" w:eastAsia="Times New Roman" w:hAnsi="Times New Roman" w:cs="Times New Roman"/>
        </w:rPr>
        <w:t xml:space="preserve"> text. </w:t>
      </w:r>
    </w:p>
    <w:p w14:paraId="7761F6E0" w14:textId="77777777" w:rsidR="0056688C" w:rsidRDefault="0056688C" w:rsidP="0056688C">
      <w:pPr>
        <w:spacing w:line="480" w:lineRule="auto"/>
        <w:textAlignment w:val="baseline"/>
        <w:rPr>
          <w:rFonts w:ascii="Times New Roman" w:eastAsia="Times New Roman" w:hAnsi="Times New Roman" w:cs="Times New Roman"/>
          <w:b/>
          <w:bCs/>
        </w:rPr>
      </w:pPr>
      <w:r w:rsidRPr="00FE759A">
        <w:rPr>
          <w:rFonts w:ascii="Times New Roman" w:eastAsia="Times New Roman" w:hAnsi="Times New Roman" w:cs="Times New Roman"/>
          <w:b/>
          <w:bCs/>
        </w:rPr>
        <w:t xml:space="preserve">Figure S3. </w:t>
      </w:r>
    </w:p>
    <w:p w14:paraId="0448DDF9" w14:textId="77777777" w:rsidR="0056688C" w:rsidRPr="00FE759A" w:rsidRDefault="0056688C" w:rsidP="0056688C">
      <w:pPr>
        <w:spacing w:line="480" w:lineRule="auto"/>
        <w:textAlignment w:val="baseline"/>
        <w:rPr>
          <w:rFonts w:ascii="Segoe UI" w:eastAsia="Times New Roman" w:hAnsi="Segoe UI" w:cs="Segoe UI"/>
          <w:sz w:val="18"/>
          <w:szCs w:val="18"/>
        </w:rPr>
      </w:pPr>
      <w:r w:rsidRPr="00FE759A">
        <w:rPr>
          <w:rFonts w:ascii="Times New Roman" w:eastAsia="Times New Roman" w:hAnsi="Times New Roman" w:cs="Times New Roman"/>
          <w:i/>
          <w:iCs/>
        </w:rPr>
        <w:t>Model-Predicted ROC Curves for Intuition Versus the Simple-Scoring Approach (Experiment 1)</w:t>
      </w:r>
      <w:r w:rsidRPr="00FE759A">
        <w:rPr>
          <w:rFonts w:ascii="Times New Roman" w:eastAsia="Times New Roman" w:hAnsi="Times New Roman" w:cs="Times New Roman"/>
        </w:rPr>
        <w:t> </w:t>
      </w:r>
    </w:p>
    <w:p w14:paraId="46B3E9D7" w14:textId="77DDCE05" w:rsidR="0056688C" w:rsidRDefault="0056688C" w:rsidP="0056688C">
      <w:pPr>
        <w:spacing w:line="480" w:lineRule="auto"/>
        <w:textAlignment w:val="baseline"/>
        <w:rPr>
          <w:rFonts w:ascii="Times New Roman" w:eastAsia="Times New Roman" w:hAnsi="Times New Roman" w:cs="Times New Roman"/>
          <w:b/>
          <w:bCs/>
        </w:rPr>
      </w:pPr>
      <w:r w:rsidRPr="00FE759A">
        <w:rPr>
          <w:rFonts w:ascii="Times New Roman" w:eastAsia="Times New Roman" w:hAnsi="Times New Roman" w:cs="Times New Roman"/>
        </w:rPr>
        <w:t> </w:t>
      </w:r>
      <w:r w:rsidR="002926C1">
        <w:rPr>
          <w:rFonts w:ascii="Times New Roman" w:eastAsia="Times New Roman" w:hAnsi="Times New Roman" w:cs="Times New Roman"/>
          <w:b/>
          <w:bCs/>
          <w:noProof/>
          <w14:ligatures w14:val="standardContextual"/>
        </w:rPr>
        <w:drawing>
          <wp:inline distT="0" distB="0" distL="0" distR="0" wp14:anchorId="133583BD" wp14:editId="08C68D6A">
            <wp:extent cx="4572000" cy="2612781"/>
            <wp:effectExtent l="0" t="0" r="0" b="3810"/>
            <wp:docPr id="1840977015" name="Picture 4" descr="A graph of negative and negative positi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77015" name="Picture 4" descr="A graph of negative and negative positiv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2000" cy="2612781"/>
                    </a:xfrm>
                    <a:prstGeom prst="rect">
                      <a:avLst/>
                    </a:prstGeom>
                  </pic:spPr>
                </pic:pic>
              </a:graphicData>
            </a:graphic>
          </wp:inline>
        </w:drawing>
      </w:r>
    </w:p>
    <w:p w14:paraId="7F1EBEE2" w14:textId="77777777" w:rsidR="0056688C" w:rsidRDefault="0056688C" w:rsidP="0056688C">
      <w:pPr>
        <w:spacing w:line="480" w:lineRule="auto"/>
        <w:textAlignment w:val="baseline"/>
        <w:rPr>
          <w:rFonts w:ascii="Times New Roman" w:eastAsia="Times New Roman" w:hAnsi="Times New Roman" w:cs="Times New Roman"/>
        </w:rPr>
      </w:pPr>
      <w:r w:rsidRPr="00FE759A">
        <w:rPr>
          <w:rFonts w:ascii="Times New Roman" w:eastAsia="Times New Roman" w:hAnsi="Times New Roman" w:cs="Times New Roman"/>
          <w:b/>
          <w:bCs/>
        </w:rPr>
        <w:lastRenderedPageBreak/>
        <w:t>Figure S4.</w:t>
      </w:r>
      <w:r w:rsidRPr="00FE759A">
        <w:rPr>
          <w:rFonts w:ascii="Times New Roman" w:eastAsia="Times New Roman" w:hAnsi="Times New Roman" w:cs="Times New Roman"/>
        </w:rPr>
        <w:t xml:space="preserve"> </w:t>
      </w:r>
    </w:p>
    <w:p w14:paraId="598DE5E0" w14:textId="77777777" w:rsidR="0056688C" w:rsidRPr="00FF790C" w:rsidRDefault="0056688C" w:rsidP="0056688C">
      <w:pPr>
        <w:spacing w:line="480" w:lineRule="auto"/>
        <w:textAlignment w:val="baseline"/>
        <w:rPr>
          <w:rFonts w:ascii="Segoe UI" w:eastAsia="Times New Roman" w:hAnsi="Segoe UI" w:cs="Segoe UI"/>
          <w:sz w:val="18"/>
          <w:szCs w:val="18"/>
        </w:rPr>
      </w:pPr>
      <w:r w:rsidRPr="00FE759A">
        <w:rPr>
          <w:rFonts w:ascii="Times New Roman" w:eastAsia="Times New Roman" w:hAnsi="Times New Roman" w:cs="Times New Roman"/>
          <w:i/>
          <w:iCs/>
        </w:rPr>
        <w:t>Model-Predicted ROC Curves for Informed Judgments Versus the Simple-Scoring Approach (Experiment 2)</w:t>
      </w:r>
      <w:r w:rsidRPr="00FF790C">
        <w:rPr>
          <w:rFonts w:ascii="Times New Roman" w:eastAsia="Times New Roman" w:hAnsi="Times New Roman" w:cs="Times New Roman"/>
        </w:rPr>
        <w:t> </w:t>
      </w:r>
    </w:p>
    <w:p w14:paraId="33B8B34B" w14:textId="6DD5E57B" w:rsidR="0056688C" w:rsidRPr="004558D6" w:rsidRDefault="002926C1" w:rsidP="0056688C">
      <w:pPr>
        <w:spacing w:line="480" w:lineRule="auto"/>
        <w:rPr>
          <w:rFonts w:ascii="Times New Roman" w:hAnsi="Times New Roman" w:cs="Times New Roman"/>
        </w:rPr>
      </w:pPr>
      <w:r>
        <w:rPr>
          <w:rFonts w:ascii="Times New Roman" w:hAnsi="Times New Roman" w:cs="Times New Roman"/>
          <w:noProof/>
          <w14:ligatures w14:val="standardContextual"/>
        </w:rPr>
        <w:drawing>
          <wp:inline distT="0" distB="0" distL="0" distR="0" wp14:anchorId="41D19938" wp14:editId="4263C698">
            <wp:extent cx="4572000" cy="2612781"/>
            <wp:effectExtent l="0" t="0" r="0" b="3810"/>
            <wp:docPr id="50494442" name="Picture 5" descr="A diagram of a simple and false positive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94442" name="Picture 5" descr="A diagram of a simple and false positive curv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2000" cy="2612781"/>
                    </a:xfrm>
                    <a:prstGeom prst="rect">
                      <a:avLst/>
                    </a:prstGeom>
                  </pic:spPr>
                </pic:pic>
              </a:graphicData>
            </a:graphic>
          </wp:inline>
        </w:drawing>
      </w:r>
    </w:p>
    <w:p w14:paraId="44B7EA69" w14:textId="77777777" w:rsidR="00C566D4" w:rsidRDefault="00C566D4" w:rsidP="00C566D4">
      <w:pPr>
        <w:spacing w:line="480" w:lineRule="auto"/>
        <w:textAlignment w:val="baseline"/>
        <w:rPr>
          <w:rFonts w:ascii="Times New Roman" w:eastAsia="Times New Roman" w:hAnsi="Times New Roman" w:cs="Times New Roman"/>
          <w:b/>
          <w:bCs/>
        </w:rPr>
      </w:pPr>
      <w:r>
        <w:rPr>
          <w:rFonts w:ascii="Times New Roman" w:eastAsia="Times New Roman" w:hAnsi="Times New Roman" w:cs="Times New Roman"/>
          <w:b/>
          <w:bCs/>
        </w:rPr>
        <w:t>Model-Fitted Predictive Value</w:t>
      </w:r>
      <w:r w:rsidRPr="00FE759A">
        <w:rPr>
          <w:rFonts w:ascii="Times New Roman" w:eastAsia="Times New Roman" w:hAnsi="Times New Roman" w:cs="Times New Roman"/>
          <w:b/>
          <w:bCs/>
        </w:rPr>
        <w:t xml:space="preserve"> </w:t>
      </w:r>
      <w:r>
        <w:rPr>
          <w:rFonts w:ascii="Times New Roman" w:eastAsia="Times New Roman" w:hAnsi="Times New Roman" w:cs="Times New Roman"/>
          <w:b/>
          <w:bCs/>
        </w:rPr>
        <w:t>Curves</w:t>
      </w:r>
    </w:p>
    <w:p w14:paraId="5FD1C163" w14:textId="1B93F1A0" w:rsidR="00C566D4" w:rsidRDefault="00E343C1" w:rsidP="00C566D4">
      <w:pPr>
        <w:spacing w:line="480" w:lineRule="auto"/>
        <w:textAlignment w:val="baseline"/>
        <w:rPr>
          <w:rFonts w:ascii="Times New Roman" w:hAnsi="Times New Roman" w:cs="Times New Roman"/>
        </w:rPr>
      </w:pPr>
      <w:r>
        <w:rPr>
          <w:rFonts w:ascii="Times New Roman" w:eastAsia="Times New Roman" w:hAnsi="Times New Roman" w:cs="Times New Roman"/>
          <w:b/>
          <w:bCs/>
        </w:rPr>
        <w:tab/>
      </w:r>
      <w:r>
        <w:rPr>
          <w:rFonts w:ascii="Times New Roman" w:eastAsia="Times New Roman" w:hAnsi="Times New Roman" w:cs="Times New Roman"/>
        </w:rPr>
        <w:t>In the primary analyses in the main text of the paper, we conducted empirical predictive value curves, which show suspect-identification accuracy</w:t>
      </w:r>
      <w:r w:rsidR="00877FA8">
        <w:rPr>
          <w:rFonts w:ascii="Times New Roman" w:eastAsia="Times New Roman" w:hAnsi="Times New Roman" w:cs="Times New Roman"/>
        </w:rPr>
        <w:t xml:space="preserve"> </w:t>
      </w:r>
      <w:r w:rsidR="00877FA8" w:rsidRPr="00FE759A">
        <w:rPr>
          <w:rFonts w:ascii="Times New Roman" w:hAnsi="Times New Roman" w:cs="Times New Roman"/>
        </w:rPr>
        <w:t>(Culprit IDs / Culprit IDs + Innocent Suspect IDs) on the vertical axis against evaluator ratings on the horizontal axis (Figure 3).</w:t>
      </w:r>
      <w:r w:rsidR="00877FA8">
        <w:rPr>
          <w:rFonts w:ascii="Times New Roman" w:hAnsi="Times New Roman" w:cs="Times New Roman"/>
        </w:rPr>
        <w:t xml:space="preserve"> Here, we constructed model-fitted </w:t>
      </w:r>
      <w:r w:rsidR="00D125C2">
        <w:rPr>
          <w:rFonts w:ascii="Times New Roman" w:hAnsi="Times New Roman" w:cs="Times New Roman"/>
        </w:rPr>
        <w:t>predictive-value curves.</w:t>
      </w:r>
      <w:r w:rsidR="00884742">
        <w:rPr>
          <w:rFonts w:ascii="Times New Roman" w:hAnsi="Times New Roman" w:cs="Times New Roman"/>
        </w:rPr>
        <w:t xml:space="preserve"> We fit a logistic </w:t>
      </w:r>
      <w:r w:rsidR="0026285D">
        <w:rPr>
          <w:rFonts w:ascii="Times New Roman" w:hAnsi="Times New Roman" w:cs="Times New Roman"/>
        </w:rPr>
        <w:t>regression model in which we regressed assessment rating on culprit presence (witness accuracy)</w:t>
      </w:r>
      <w:r w:rsidR="00F23A8F">
        <w:rPr>
          <w:rFonts w:ascii="Times New Roman" w:hAnsi="Times New Roman" w:cs="Times New Roman"/>
        </w:rPr>
        <w:t xml:space="preserve"> separately for each evaluation-approach condition</w:t>
      </w:r>
      <w:r w:rsidR="0026285D">
        <w:rPr>
          <w:rFonts w:ascii="Times New Roman" w:hAnsi="Times New Roman" w:cs="Times New Roman"/>
        </w:rPr>
        <w:t>.</w:t>
      </w:r>
      <w:r w:rsidR="00234DFA">
        <w:rPr>
          <w:rFonts w:ascii="Times New Roman" w:hAnsi="Times New Roman" w:cs="Times New Roman"/>
        </w:rPr>
        <w:t xml:space="preserve"> </w:t>
      </w:r>
      <w:r w:rsidR="0026285D">
        <w:rPr>
          <w:rFonts w:ascii="Times New Roman" w:hAnsi="Times New Roman" w:cs="Times New Roman"/>
        </w:rPr>
        <w:t>We then plotted model-predicted values and calculated 95% confidence intervals</w:t>
      </w:r>
      <w:r w:rsidR="00BC0647">
        <w:rPr>
          <w:rFonts w:ascii="Times New Roman" w:hAnsi="Times New Roman" w:cs="Times New Roman"/>
        </w:rPr>
        <w:t xml:space="preserve"> </w:t>
      </w:r>
      <w:r w:rsidR="006C521B">
        <w:rPr>
          <w:rFonts w:ascii="Times New Roman" w:hAnsi="Times New Roman" w:cs="Times New Roman"/>
        </w:rPr>
        <w:t>for both Experiment 1 (Figure S</w:t>
      </w:r>
      <w:r w:rsidR="00D4468D">
        <w:rPr>
          <w:rFonts w:ascii="Times New Roman" w:hAnsi="Times New Roman" w:cs="Times New Roman"/>
        </w:rPr>
        <w:t>5</w:t>
      </w:r>
      <w:r w:rsidR="006C521B">
        <w:rPr>
          <w:rFonts w:ascii="Times New Roman" w:hAnsi="Times New Roman" w:cs="Times New Roman"/>
        </w:rPr>
        <w:t>) and Experiment 2 (Figure S</w:t>
      </w:r>
      <w:r w:rsidR="00D4468D">
        <w:rPr>
          <w:rFonts w:ascii="Times New Roman" w:hAnsi="Times New Roman" w:cs="Times New Roman"/>
        </w:rPr>
        <w:t>6</w:t>
      </w:r>
      <w:r w:rsidR="006C521B">
        <w:rPr>
          <w:rFonts w:ascii="Times New Roman" w:hAnsi="Times New Roman" w:cs="Times New Roman"/>
        </w:rPr>
        <w:t>).</w:t>
      </w:r>
      <w:r w:rsidR="0026285D">
        <w:rPr>
          <w:rFonts w:ascii="Times New Roman" w:hAnsi="Times New Roman" w:cs="Times New Roman"/>
        </w:rPr>
        <w:t xml:space="preserve"> </w:t>
      </w:r>
      <w:r w:rsidR="00652EA4">
        <w:rPr>
          <w:rFonts w:ascii="Times New Roman" w:hAnsi="Times New Roman" w:cs="Times New Roman"/>
        </w:rPr>
        <w:t xml:space="preserve">We </w:t>
      </w:r>
      <w:r w:rsidR="00BC0647">
        <w:rPr>
          <w:rFonts w:ascii="Times New Roman" w:hAnsi="Times New Roman" w:cs="Times New Roman"/>
        </w:rPr>
        <w:t>found</w:t>
      </w:r>
      <w:r w:rsidR="00652EA4">
        <w:rPr>
          <w:rFonts w:ascii="Times New Roman" w:hAnsi="Times New Roman" w:cs="Times New Roman"/>
        </w:rPr>
        <w:t xml:space="preserve"> the same pattern as we do with</w:t>
      </w:r>
      <w:r w:rsidR="00D41761">
        <w:rPr>
          <w:rFonts w:ascii="Times New Roman" w:hAnsi="Times New Roman" w:cs="Times New Roman"/>
        </w:rPr>
        <w:t xml:space="preserve"> the empirical curves: the AI model and the simple-scoring approach</w:t>
      </w:r>
      <w:r w:rsidR="00A2622E">
        <w:rPr>
          <w:rFonts w:ascii="Times New Roman" w:hAnsi="Times New Roman" w:cs="Times New Roman"/>
        </w:rPr>
        <w:t xml:space="preserve"> provide a benefit over intuition when predicting accuracy </w:t>
      </w:r>
      <w:r w:rsidR="00D270AC">
        <w:rPr>
          <w:rFonts w:ascii="Times New Roman" w:hAnsi="Times New Roman" w:cs="Times New Roman"/>
        </w:rPr>
        <w:t xml:space="preserve">(Experiment </w:t>
      </w:r>
      <w:r w:rsidR="00A2622E">
        <w:rPr>
          <w:rFonts w:ascii="Times New Roman" w:hAnsi="Times New Roman" w:cs="Times New Roman"/>
        </w:rPr>
        <w:t>1</w:t>
      </w:r>
      <w:r w:rsidR="00D270AC">
        <w:rPr>
          <w:rFonts w:ascii="Times New Roman" w:hAnsi="Times New Roman" w:cs="Times New Roman"/>
        </w:rPr>
        <w:t>)</w:t>
      </w:r>
      <w:r w:rsidR="00A2622E">
        <w:rPr>
          <w:rFonts w:ascii="Times New Roman" w:hAnsi="Times New Roman" w:cs="Times New Roman"/>
        </w:rPr>
        <w:t xml:space="preserve">, </w:t>
      </w:r>
      <w:r w:rsidR="00D270AC">
        <w:rPr>
          <w:rFonts w:ascii="Times New Roman" w:hAnsi="Times New Roman" w:cs="Times New Roman"/>
        </w:rPr>
        <w:t>which was somewhat (but not entirely) attenuated when we informed participants on valid cues to accuracy (Experiment 2).</w:t>
      </w:r>
    </w:p>
    <w:p w14:paraId="3B20B1AA" w14:textId="77777777" w:rsidR="00686207" w:rsidRPr="0012750E" w:rsidRDefault="00686207" w:rsidP="00C566D4">
      <w:pPr>
        <w:spacing w:line="480" w:lineRule="auto"/>
        <w:textAlignment w:val="baseline"/>
        <w:rPr>
          <w:rFonts w:ascii="Times New Roman" w:eastAsia="Times New Roman" w:hAnsi="Times New Roman" w:cs="Times New Roman"/>
        </w:rPr>
      </w:pPr>
    </w:p>
    <w:p w14:paraId="0D04EA87" w14:textId="438214AF" w:rsidR="00C566D4" w:rsidRDefault="00C566D4" w:rsidP="00C566D4">
      <w:pPr>
        <w:spacing w:line="480" w:lineRule="auto"/>
        <w:textAlignment w:val="baseline"/>
        <w:rPr>
          <w:rFonts w:ascii="Times New Roman" w:eastAsia="Times New Roman" w:hAnsi="Times New Roman" w:cs="Times New Roman"/>
          <w:b/>
          <w:bCs/>
        </w:rPr>
      </w:pPr>
      <w:r w:rsidRPr="00FE759A">
        <w:rPr>
          <w:rFonts w:ascii="Times New Roman" w:eastAsia="Times New Roman" w:hAnsi="Times New Roman" w:cs="Times New Roman"/>
          <w:b/>
          <w:bCs/>
        </w:rPr>
        <w:lastRenderedPageBreak/>
        <w:t>Figure S</w:t>
      </w:r>
      <w:r w:rsidR="00D4468D">
        <w:rPr>
          <w:rFonts w:ascii="Times New Roman" w:eastAsia="Times New Roman" w:hAnsi="Times New Roman" w:cs="Times New Roman"/>
          <w:b/>
          <w:bCs/>
        </w:rPr>
        <w:t>5</w:t>
      </w:r>
      <w:r w:rsidRPr="00FE759A">
        <w:rPr>
          <w:rFonts w:ascii="Times New Roman" w:eastAsia="Times New Roman" w:hAnsi="Times New Roman" w:cs="Times New Roman"/>
          <w:b/>
          <w:bCs/>
        </w:rPr>
        <w:t xml:space="preserve">. </w:t>
      </w:r>
    </w:p>
    <w:p w14:paraId="10A605A7" w14:textId="4B535B1C" w:rsidR="00C566D4" w:rsidRPr="00FE759A" w:rsidRDefault="00C566D4" w:rsidP="00C566D4">
      <w:pPr>
        <w:spacing w:line="480" w:lineRule="auto"/>
        <w:textAlignment w:val="baseline"/>
        <w:rPr>
          <w:rFonts w:ascii="Segoe UI" w:eastAsia="Times New Roman" w:hAnsi="Segoe UI" w:cs="Segoe UI"/>
          <w:sz w:val="18"/>
          <w:szCs w:val="18"/>
        </w:rPr>
      </w:pPr>
      <w:r w:rsidRPr="00FE759A">
        <w:rPr>
          <w:rFonts w:ascii="Times New Roman" w:eastAsia="Times New Roman" w:hAnsi="Times New Roman" w:cs="Times New Roman"/>
          <w:i/>
          <w:iCs/>
        </w:rPr>
        <w:t xml:space="preserve">Model-Predicted </w:t>
      </w:r>
      <w:r>
        <w:rPr>
          <w:rFonts w:ascii="Times New Roman" w:eastAsia="Times New Roman" w:hAnsi="Times New Roman" w:cs="Times New Roman"/>
          <w:i/>
          <w:iCs/>
        </w:rPr>
        <w:t>Predictive Value</w:t>
      </w:r>
      <w:r w:rsidRPr="00FE759A">
        <w:rPr>
          <w:rFonts w:ascii="Times New Roman" w:eastAsia="Times New Roman" w:hAnsi="Times New Roman" w:cs="Times New Roman"/>
          <w:i/>
          <w:iCs/>
        </w:rPr>
        <w:t xml:space="preserve"> Curves </w:t>
      </w:r>
      <w:r w:rsidR="005556EE">
        <w:rPr>
          <w:rFonts w:ascii="Times New Roman" w:eastAsia="Times New Roman" w:hAnsi="Times New Roman" w:cs="Times New Roman"/>
          <w:i/>
          <w:iCs/>
        </w:rPr>
        <w:t xml:space="preserve">for </w:t>
      </w:r>
      <w:r w:rsidRPr="00FE759A">
        <w:rPr>
          <w:rFonts w:ascii="Times New Roman" w:eastAsia="Times New Roman" w:hAnsi="Times New Roman" w:cs="Times New Roman"/>
          <w:i/>
          <w:iCs/>
        </w:rPr>
        <w:t>Experiment 1</w:t>
      </w:r>
    </w:p>
    <w:p w14:paraId="6B104779" w14:textId="1C696110" w:rsidR="00A26B35" w:rsidRDefault="00167437">
      <w:r>
        <w:rPr>
          <w:noProof/>
          <w14:ligatures w14:val="standardContextual"/>
        </w:rPr>
        <w:drawing>
          <wp:inline distT="0" distB="0" distL="0" distR="0" wp14:anchorId="11BD6FFE" wp14:editId="451818C7">
            <wp:extent cx="4572000" cy="2612781"/>
            <wp:effectExtent l="0" t="0" r="0" b="3810"/>
            <wp:docPr id="773847588" name="Picture 8" descr="A diagram of a variety of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47588" name="Picture 8" descr="A diagram of a variety of color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0" cy="2612781"/>
                    </a:xfrm>
                    <a:prstGeom prst="rect">
                      <a:avLst/>
                    </a:prstGeom>
                  </pic:spPr>
                </pic:pic>
              </a:graphicData>
            </a:graphic>
          </wp:inline>
        </w:drawing>
      </w:r>
    </w:p>
    <w:p w14:paraId="11368FBF" w14:textId="0372D70A" w:rsidR="00A26B35" w:rsidRDefault="00A26B35" w:rsidP="00A26B35">
      <w:pPr>
        <w:spacing w:line="480" w:lineRule="auto"/>
        <w:textAlignment w:val="baseline"/>
        <w:rPr>
          <w:rFonts w:ascii="Times New Roman" w:eastAsia="Times New Roman" w:hAnsi="Times New Roman" w:cs="Times New Roman"/>
          <w:b/>
          <w:bCs/>
        </w:rPr>
      </w:pPr>
      <w:r w:rsidRPr="00FE759A">
        <w:rPr>
          <w:rFonts w:ascii="Times New Roman" w:eastAsia="Times New Roman" w:hAnsi="Times New Roman" w:cs="Times New Roman"/>
          <w:b/>
          <w:bCs/>
        </w:rPr>
        <w:t>Figure S</w:t>
      </w:r>
      <w:r w:rsidR="00D4468D">
        <w:rPr>
          <w:rFonts w:ascii="Times New Roman" w:eastAsia="Times New Roman" w:hAnsi="Times New Roman" w:cs="Times New Roman"/>
          <w:b/>
          <w:bCs/>
        </w:rPr>
        <w:t>6</w:t>
      </w:r>
      <w:r w:rsidRPr="00FE759A">
        <w:rPr>
          <w:rFonts w:ascii="Times New Roman" w:eastAsia="Times New Roman" w:hAnsi="Times New Roman" w:cs="Times New Roman"/>
          <w:b/>
          <w:bCs/>
        </w:rPr>
        <w:t xml:space="preserve">. </w:t>
      </w:r>
    </w:p>
    <w:p w14:paraId="75354E8D" w14:textId="02953815" w:rsidR="00A26B35" w:rsidRPr="00FE759A" w:rsidRDefault="00A26B35" w:rsidP="00A26B35">
      <w:pPr>
        <w:spacing w:line="480" w:lineRule="auto"/>
        <w:textAlignment w:val="baseline"/>
        <w:rPr>
          <w:rFonts w:ascii="Segoe UI" w:eastAsia="Times New Roman" w:hAnsi="Segoe UI" w:cs="Segoe UI"/>
          <w:sz w:val="18"/>
          <w:szCs w:val="18"/>
        </w:rPr>
      </w:pPr>
      <w:r w:rsidRPr="00FE759A">
        <w:rPr>
          <w:rFonts w:ascii="Times New Roman" w:eastAsia="Times New Roman" w:hAnsi="Times New Roman" w:cs="Times New Roman"/>
          <w:i/>
          <w:iCs/>
        </w:rPr>
        <w:t xml:space="preserve">Model-Predicted </w:t>
      </w:r>
      <w:r>
        <w:rPr>
          <w:rFonts w:ascii="Times New Roman" w:eastAsia="Times New Roman" w:hAnsi="Times New Roman" w:cs="Times New Roman"/>
          <w:i/>
          <w:iCs/>
        </w:rPr>
        <w:t>Predictive Value</w:t>
      </w:r>
      <w:r w:rsidRPr="00FE759A">
        <w:rPr>
          <w:rFonts w:ascii="Times New Roman" w:eastAsia="Times New Roman" w:hAnsi="Times New Roman" w:cs="Times New Roman"/>
          <w:i/>
          <w:iCs/>
        </w:rPr>
        <w:t xml:space="preserve"> Curves </w:t>
      </w:r>
      <w:r w:rsidR="005556EE">
        <w:rPr>
          <w:rFonts w:ascii="Times New Roman" w:eastAsia="Times New Roman" w:hAnsi="Times New Roman" w:cs="Times New Roman"/>
          <w:i/>
          <w:iCs/>
        </w:rPr>
        <w:t>for</w:t>
      </w:r>
      <w:r w:rsidRPr="00FE759A">
        <w:rPr>
          <w:rFonts w:ascii="Times New Roman" w:eastAsia="Times New Roman" w:hAnsi="Times New Roman" w:cs="Times New Roman"/>
          <w:i/>
          <w:iCs/>
        </w:rPr>
        <w:t xml:space="preserve"> Experiment </w:t>
      </w:r>
      <w:r>
        <w:rPr>
          <w:rFonts w:ascii="Times New Roman" w:eastAsia="Times New Roman" w:hAnsi="Times New Roman" w:cs="Times New Roman"/>
          <w:i/>
          <w:iCs/>
        </w:rPr>
        <w:t>2</w:t>
      </w:r>
    </w:p>
    <w:p w14:paraId="1AC31DB1" w14:textId="6DADD568" w:rsidR="00A26B35" w:rsidRDefault="00BC346C">
      <w:r>
        <w:rPr>
          <w:noProof/>
          <w14:ligatures w14:val="standardContextual"/>
        </w:rPr>
        <w:drawing>
          <wp:inline distT="0" distB="0" distL="0" distR="0" wp14:anchorId="40E0EA65" wp14:editId="3A896C9A">
            <wp:extent cx="4572000" cy="2612781"/>
            <wp:effectExtent l="0" t="0" r="0" b="3810"/>
            <wp:docPr id="764363985" name="Picture 11" descr="A diagram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363985" name="Picture 11" descr="A diagram of different colored lin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2000" cy="2612781"/>
                    </a:xfrm>
                    <a:prstGeom prst="rect">
                      <a:avLst/>
                    </a:prstGeom>
                  </pic:spPr>
                </pic:pic>
              </a:graphicData>
            </a:graphic>
          </wp:inline>
        </w:drawing>
      </w:r>
    </w:p>
    <w:p w14:paraId="6636ED6B" w14:textId="079B904E" w:rsidR="00411942" w:rsidRDefault="00411942"/>
    <w:sectPr w:rsidR="004119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6267D" w14:textId="77777777" w:rsidR="006F47A9" w:rsidRDefault="006F47A9" w:rsidP="00BD2590">
      <w:r>
        <w:separator/>
      </w:r>
    </w:p>
  </w:endnote>
  <w:endnote w:type="continuationSeparator" w:id="0">
    <w:p w14:paraId="28C93EC2" w14:textId="77777777" w:rsidR="006F47A9" w:rsidRDefault="006F47A9" w:rsidP="00BD2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3588B" w14:textId="77777777" w:rsidR="006F47A9" w:rsidRDefault="006F47A9" w:rsidP="00BD2590">
      <w:r>
        <w:separator/>
      </w:r>
    </w:p>
  </w:footnote>
  <w:footnote w:type="continuationSeparator" w:id="0">
    <w:p w14:paraId="6CBD0604" w14:textId="77777777" w:rsidR="006F47A9" w:rsidRDefault="006F47A9" w:rsidP="00BD25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8C"/>
    <w:rsid w:val="00112AF2"/>
    <w:rsid w:val="0012750E"/>
    <w:rsid w:val="00167437"/>
    <w:rsid w:val="001C3951"/>
    <w:rsid w:val="00214433"/>
    <w:rsid w:val="00234DFA"/>
    <w:rsid w:val="00240710"/>
    <w:rsid w:val="0026285D"/>
    <w:rsid w:val="00264037"/>
    <w:rsid w:val="002926C1"/>
    <w:rsid w:val="002B61D6"/>
    <w:rsid w:val="002D27BC"/>
    <w:rsid w:val="00307A1B"/>
    <w:rsid w:val="00315DE6"/>
    <w:rsid w:val="00381A25"/>
    <w:rsid w:val="003926E5"/>
    <w:rsid w:val="003C1B46"/>
    <w:rsid w:val="003D5AC3"/>
    <w:rsid w:val="003E4906"/>
    <w:rsid w:val="00410288"/>
    <w:rsid w:val="00411942"/>
    <w:rsid w:val="004127DA"/>
    <w:rsid w:val="00460474"/>
    <w:rsid w:val="005556EE"/>
    <w:rsid w:val="0056688C"/>
    <w:rsid w:val="0059521B"/>
    <w:rsid w:val="00615A0E"/>
    <w:rsid w:val="00652EA4"/>
    <w:rsid w:val="00686207"/>
    <w:rsid w:val="006C521B"/>
    <w:rsid w:val="006F1079"/>
    <w:rsid w:val="006F47A9"/>
    <w:rsid w:val="007C20B8"/>
    <w:rsid w:val="00877FA8"/>
    <w:rsid w:val="00884742"/>
    <w:rsid w:val="008856FA"/>
    <w:rsid w:val="008975E6"/>
    <w:rsid w:val="00923DCE"/>
    <w:rsid w:val="009751A9"/>
    <w:rsid w:val="00A1562D"/>
    <w:rsid w:val="00A2622E"/>
    <w:rsid w:val="00A26B35"/>
    <w:rsid w:val="00A5479F"/>
    <w:rsid w:val="00AD34D8"/>
    <w:rsid w:val="00B80076"/>
    <w:rsid w:val="00BB45AE"/>
    <w:rsid w:val="00BC0647"/>
    <w:rsid w:val="00BC346C"/>
    <w:rsid w:val="00BD2590"/>
    <w:rsid w:val="00BE3A94"/>
    <w:rsid w:val="00BE6180"/>
    <w:rsid w:val="00C06DB7"/>
    <w:rsid w:val="00C17136"/>
    <w:rsid w:val="00C33F34"/>
    <w:rsid w:val="00C566D4"/>
    <w:rsid w:val="00C74939"/>
    <w:rsid w:val="00CA7D7D"/>
    <w:rsid w:val="00D125C2"/>
    <w:rsid w:val="00D270AC"/>
    <w:rsid w:val="00D41761"/>
    <w:rsid w:val="00D445BC"/>
    <w:rsid w:val="00D4468D"/>
    <w:rsid w:val="00DA350B"/>
    <w:rsid w:val="00E343C1"/>
    <w:rsid w:val="00E40522"/>
    <w:rsid w:val="00E57007"/>
    <w:rsid w:val="00F23A8F"/>
    <w:rsid w:val="00F35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42C124"/>
  <w15:chartTrackingRefBased/>
  <w15:docId w15:val="{BA825F97-3CA9-0345-AF53-E36918801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88C"/>
    <w:pPr>
      <w:spacing w:after="0" w:line="240" w:lineRule="auto"/>
    </w:pPr>
    <w:rPr>
      <w:kern w:val="0"/>
      <w14:ligatures w14:val="none"/>
    </w:rPr>
  </w:style>
  <w:style w:type="paragraph" w:styleId="Heading1">
    <w:name w:val="heading 1"/>
    <w:basedOn w:val="Normal"/>
    <w:next w:val="Normal"/>
    <w:link w:val="Heading1Char"/>
    <w:uiPriority w:val="9"/>
    <w:qFormat/>
    <w:rsid w:val="0056688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6688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6688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6688C"/>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6688C"/>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6688C"/>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6688C"/>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6688C"/>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6688C"/>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68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68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68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68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68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68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68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68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688C"/>
    <w:rPr>
      <w:rFonts w:eastAsiaTheme="majorEastAsia" w:cstheme="majorBidi"/>
      <w:color w:val="272727" w:themeColor="text1" w:themeTint="D8"/>
    </w:rPr>
  </w:style>
  <w:style w:type="paragraph" w:styleId="Title">
    <w:name w:val="Title"/>
    <w:basedOn w:val="Normal"/>
    <w:next w:val="Normal"/>
    <w:link w:val="TitleChar"/>
    <w:uiPriority w:val="10"/>
    <w:qFormat/>
    <w:rsid w:val="0056688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668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688C"/>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668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688C"/>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56688C"/>
    <w:rPr>
      <w:i/>
      <w:iCs/>
      <w:color w:val="404040" w:themeColor="text1" w:themeTint="BF"/>
    </w:rPr>
  </w:style>
  <w:style w:type="paragraph" w:styleId="ListParagraph">
    <w:name w:val="List Paragraph"/>
    <w:basedOn w:val="Normal"/>
    <w:uiPriority w:val="34"/>
    <w:qFormat/>
    <w:rsid w:val="0056688C"/>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56688C"/>
    <w:rPr>
      <w:i/>
      <w:iCs/>
      <w:color w:val="0F4761" w:themeColor="accent1" w:themeShade="BF"/>
    </w:rPr>
  </w:style>
  <w:style w:type="paragraph" w:styleId="IntenseQuote">
    <w:name w:val="Intense Quote"/>
    <w:basedOn w:val="Normal"/>
    <w:next w:val="Normal"/>
    <w:link w:val="IntenseQuoteChar"/>
    <w:uiPriority w:val="30"/>
    <w:qFormat/>
    <w:rsid w:val="0056688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6688C"/>
    <w:rPr>
      <w:i/>
      <w:iCs/>
      <w:color w:val="0F4761" w:themeColor="accent1" w:themeShade="BF"/>
    </w:rPr>
  </w:style>
  <w:style w:type="character" w:styleId="IntenseReference">
    <w:name w:val="Intense Reference"/>
    <w:basedOn w:val="DefaultParagraphFont"/>
    <w:uiPriority w:val="32"/>
    <w:qFormat/>
    <w:rsid w:val="0056688C"/>
    <w:rPr>
      <w:b/>
      <w:bCs/>
      <w:smallCaps/>
      <w:color w:val="0F4761" w:themeColor="accent1" w:themeShade="BF"/>
      <w:spacing w:val="5"/>
    </w:rPr>
  </w:style>
  <w:style w:type="paragraph" w:styleId="Revision">
    <w:name w:val="Revision"/>
    <w:hidden/>
    <w:uiPriority w:val="99"/>
    <w:semiHidden/>
    <w:rsid w:val="00240710"/>
    <w:pPr>
      <w:spacing w:after="0" w:line="240" w:lineRule="auto"/>
    </w:pPr>
    <w:rPr>
      <w:kern w:val="0"/>
      <w14:ligatures w14:val="none"/>
    </w:rPr>
  </w:style>
  <w:style w:type="paragraph" w:styleId="Header">
    <w:name w:val="header"/>
    <w:basedOn w:val="Normal"/>
    <w:link w:val="HeaderChar"/>
    <w:uiPriority w:val="99"/>
    <w:unhideWhenUsed/>
    <w:rsid w:val="00BD2590"/>
    <w:pPr>
      <w:tabs>
        <w:tab w:val="center" w:pos="4680"/>
        <w:tab w:val="right" w:pos="9360"/>
      </w:tabs>
    </w:pPr>
  </w:style>
  <w:style w:type="character" w:customStyle="1" w:styleId="HeaderChar">
    <w:name w:val="Header Char"/>
    <w:basedOn w:val="DefaultParagraphFont"/>
    <w:link w:val="Header"/>
    <w:uiPriority w:val="99"/>
    <w:rsid w:val="00BD2590"/>
    <w:rPr>
      <w:kern w:val="0"/>
      <w14:ligatures w14:val="none"/>
    </w:rPr>
  </w:style>
  <w:style w:type="paragraph" w:styleId="Footer">
    <w:name w:val="footer"/>
    <w:basedOn w:val="Normal"/>
    <w:link w:val="FooterChar"/>
    <w:uiPriority w:val="99"/>
    <w:unhideWhenUsed/>
    <w:rsid w:val="00BD2590"/>
    <w:pPr>
      <w:tabs>
        <w:tab w:val="center" w:pos="4680"/>
        <w:tab w:val="right" w:pos="9360"/>
      </w:tabs>
    </w:pPr>
  </w:style>
  <w:style w:type="character" w:customStyle="1" w:styleId="FooterChar">
    <w:name w:val="Footer Char"/>
    <w:basedOn w:val="DefaultParagraphFont"/>
    <w:link w:val="Footer"/>
    <w:uiPriority w:val="99"/>
    <w:rsid w:val="00BD259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7</Pages>
  <Words>1111</Words>
  <Characters>6546</Characters>
  <Application>Microsoft Office Word</Application>
  <DocSecurity>0</DocSecurity>
  <Lines>97</Lines>
  <Paragraphs>25</Paragraphs>
  <ScaleCrop>false</ScaleCrop>
  <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 Rebecca C [PSYCH]</dc:creator>
  <cp:keywords/>
  <dc:description/>
  <cp:lastModifiedBy>Ying, Rebecca C [PSYCH]</cp:lastModifiedBy>
  <cp:revision>64</cp:revision>
  <dcterms:created xsi:type="dcterms:W3CDTF">2025-09-21T13:27:00Z</dcterms:created>
  <dcterms:modified xsi:type="dcterms:W3CDTF">2025-12-29T20:58:00Z</dcterms:modified>
</cp:coreProperties>
</file>