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36A8" w14:textId="37582E23" w:rsidR="000C6229" w:rsidRDefault="000C6229" w:rsidP="001F64BB">
      <w:pPr>
        <w:spacing w:line="276" w:lineRule="auto"/>
        <w:jc w:val="cente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Supplemental Material</w:t>
      </w:r>
    </w:p>
    <w:p w14:paraId="6FDB9D00" w14:textId="1A187549" w:rsidR="001F64BB" w:rsidRPr="00B64990" w:rsidRDefault="000C6229" w:rsidP="001F64BB">
      <w:pPr>
        <w:spacing w:line="276" w:lineRule="auto"/>
        <w:jc w:val="cente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Section A</w:t>
      </w:r>
      <w:r w:rsidR="001F64BB" w:rsidRPr="00B64990">
        <w:rPr>
          <w:rFonts w:ascii="Times New Roman" w:hAnsi="Times New Roman" w:cs="Times New Roman"/>
          <w:b/>
          <w:bCs/>
          <w:color w:val="000000" w:themeColor="text1"/>
          <w:sz w:val="22"/>
          <w:szCs w:val="22"/>
        </w:rPr>
        <w:t xml:space="preserve">: Risk of Bias analysis. </w:t>
      </w:r>
    </w:p>
    <w:p w14:paraId="57230B00" w14:textId="77777777" w:rsidR="001F64BB" w:rsidRPr="00B64990" w:rsidRDefault="001F64BB" w:rsidP="001F64BB">
      <w:pPr>
        <w:spacing w:line="276" w:lineRule="auto"/>
        <w:rPr>
          <w:rFonts w:ascii="Times New Roman" w:hAnsi="Times New Roman" w:cs="Times New Roman"/>
          <w:color w:val="000000" w:themeColor="text1"/>
          <w:sz w:val="22"/>
          <w:szCs w:val="22"/>
        </w:rPr>
      </w:pPr>
    </w:p>
    <w:p w14:paraId="7669DE88" w14:textId="77777777" w:rsidR="001F64BB" w:rsidRPr="00B64990" w:rsidRDefault="001F64BB" w:rsidP="001F64BB">
      <w:pPr>
        <w:spacing w:after="120" w:line="276" w:lineRule="auto"/>
        <w:rPr>
          <w:rFonts w:ascii="Times New Roman" w:hAnsi="Times New Roman" w:cs="Times New Roman"/>
          <w:color w:val="000000" w:themeColor="text1"/>
          <w:sz w:val="22"/>
          <w:szCs w:val="22"/>
        </w:rPr>
      </w:pPr>
      <w:r w:rsidRPr="00B64990">
        <w:rPr>
          <w:rFonts w:ascii="Times New Roman" w:hAnsi="Times New Roman" w:cs="Times New Roman"/>
          <w:color w:val="000000" w:themeColor="text1"/>
          <w:sz w:val="22"/>
          <w:szCs w:val="22"/>
        </w:rPr>
        <w:t xml:space="preserve">This project assessed risk of bias across 8 domains, adapted from </w:t>
      </w:r>
      <w:r w:rsidRPr="00C76C96">
        <w:rPr>
          <w:rFonts w:ascii="Times New Roman" w:hAnsi="Times New Roman" w:cs="Times New Roman"/>
          <w:color w:val="000000" w:themeColor="text1"/>
          <w:sz w:val="22"/>
          <w:szCs w:val="22"/>
        </w:rPr>
        <w:t xml:space="preserve">the </w:t>
      </w:r>
      <w:r w:rsidRPr="00B64990">
        <w:rPr>
          <w:rFonts w:ascii="Times New Roman" w:hAnsi="Times New Roman" w:cs="Times New Roman"/>
          <w:color w:val="000000" w:themeColor="text1"/>
          <w:sz w:val="22"/>
          <w:szCs w:val="22"/>
        </w:rPr>
        <w:t xml:space="preserve">Johanna Briggs Institute Critical Appraisal Tool for Analytical Cross-Sectional Studies </w:t>
      </w:r>
      <w:r w:rsidRPr="00B64990">
        <w:rPr>
          <w:rFonts w:ascii="Times New Roman" w:hAnsi="Times New Roman" w:cs="Times New Roman"/>
          <w:color w:val="000000" w:themeColor="text1"/>
          <w:sz w:val="22"/>
          <w:szCs w:val="22"/>
        </w:rPr>
        <w:fldChar w:fldCharType="begin" w:fldLock="1"/>
      </w:r>
      <w:r w:rsidRPr="00B64990">
        <w:rPr>
          <w:rFonts w:ascii="Times New Roman" w:hAnsi="Times New Roman" w:cs="Times New Roman"/>
          <w:color w:val="000000" w:themeColor="text1"/>
          <w:sz w:val="22"/>
          <w:szCs w:val="22"/>
        </w:rPr>
        <w:instrText>ADDIN CSL_CITATION {"citationItems":[{"id":"ITEM-1","itemData":{"DOI":"10.11124/JBIES-22-00224","ISSN":"26898381","PMID":"36476419","abstract":"A key step in the systematic review process is the assessment of the methodological quality (or risk of bias) of the included studies. At JBI, we have developed several tools to assist with this evaluation. As evidence synthesis methods continue to evolve, it has been necessary to revise and reflect on JBI's current approach to critical appraisal and to plan a strategy for the future. In this first paper of a series focusing on risk of bias assessment, we introduce our vision for risk of bias assessment for JBI. In future papers in this series, the methodological approach taken for this revision process will be discussed, along with the revised tools and guidance for using these tools.","author":[{"dropping-particle":"","family":"Munn","given":"Zachary","non-dropping-particle":"","parse-names":false,"suffix":""},{"dropping-particle":"","family":"Stone","given":"Jennifer C.","non-dropping-particle":"","parse-names":false,"suffix":""},{"dropping-particle":"","family":"Aromataris","given":"Edoardo","non-dropping-particle":"","parse-names":false,"suffix":""},{"dropping-particle":"","family":"Klugar","given":"Miloslav","non-dropping-particle":"","parse-names":false,"suffix":""},{"dropping-particle":"","family":"Sears","given":"Kim","non-dropping-particle":"","parse-names":false,"suffix":""},{"dropping-particle":"","family":"Leonardi-Bee","given":"Jo","non-dropping-particle":"","parse-names":false,"suffix":""},{"dropping-particle":"","family":"Barker","given":"Timothy Hugh","non-dropping-particle":"","parse-names":false,"suffix":""}],"container-title":"JBI evidence synthesis","id":"ITEM-1","issue":"3","issued":{"date-parts":[["2023"]]},"page":"467-471","title":"Assessing the risk of bias of quantitative analytical studies: introducing the vision for critical appraisal within JBI systematic reviews","type":"article-journal","volume":"21"},"uris":["http://www.mendeley.com/documents/?uuid=fb21fdde-e147-40ba-a8fd-63dd7964164b"]}],"mendeley":{"formattedCitation":"(Munn et al., 2023)","plainTextFormattedCitation":"(Munn et al., 2023)","previouslyFormattedCitation":"(Munn et al., 2023)"},"properties":{"noteIndex":0},"schema":"https://github.com/citation-style-language/schema/raw/master/csl-citation.json"}</w:instrText>
      </w:r>
      <w:r w:rsidRPr="00B64990">
        <w:rPr>
          <w:rFonts w:ascii="Times New Roman" w:hAnsi="Times New Roman" w:cs="Times New Roman"/>
          <w:color w:val="000000" w:themeColor="text1"/>
          <w:sz w:val="22"/>
          <w:szCs w:val="22"/>
        </w:rPr>
        <w:fldChar w:fldCharType="separate"/>
      </w:r>
      <w:r w:rsidRPr="00B64990">
        <w:rPr>
          <w:rFonts w:ascii="Times New Roman" w:hAnsi="Times New Roman" w:cs="Times New Roman"/>
          <w:noProof/>
          <w:color w:val="000000" w:themeColor="text1"/>
          <w:sz w:val="22"/>
          <w:szCs w:val="22"/>
        </w:rPr>
        <w:t>(Munn et al., 2023)</w:t>
      </w:r>
      <w:r w:rsidRPr="00B64990">
        <w:rPr>
          <w:rFonts w:ascii="Times New Roman" w:hAnsi="Times New Roman" w:cs="Times New Roman"/>
          <w:color w:val="000000" w:themeColor="text1"/>
          <w:sz w:val="22"/>
          <w:szCs w:val="22"/>
        </w:rPr>
        <w:fldChar w:fldCharType="end"/>
      </w:r>
      <w:r w:rsidRPr="00B64990">
        <w:rPr>
          <w:rFonts w:ascii="Times New Roman" w:hAnsi="Times New Roman" w:cs="Times New Roman"/>
          <w:color w:val="000000" w:themeColor="text1"/>
          <w:sz w:val="22"/>
          <w:szCs w:val="22"/>
        </w:rPr>
        <w:t xml:space="preserve"> </w:t>
      </w:r>
      <w:r w:rsidRPr="00C76C96">
        <w:rPr>
          <w:rFonts w:ascii="Times New Roman" w:hAnsi="Times New Roman" w:cs="Times New Roman"/>
          <w:color w:val="000000" w:themeColor="text1"/>
          <w:sz w:val="22"/>
          <w:szCs w:val="22"/>
        </w:rPr>
        <w:t xml:space="preserve">and (b) the Cochrane Risk of Bias </w:t>
      </w:r>
      <w:r w:rsidRPr="00B64990">
        <w:rPr>
          <w:rFonts w:ascii="Times New Roman" w:hAnsi="Times New Roman" w:cs="Times New Roman"/>
          <w:color w:val="000000" w:themeColor="text1"/>
          <w:sz w:val="22"/>
          <w:szCs w:val="22"/>
        </w:rPr>
        <w:t xml:space="preserve">Tool </w:t>
      </w:r>
      <w:r w:rsidRPr="00B64990">
        <w:rPr>
          <w:rFonts w:ascii="Times New Roman" w:hAnsi="Times New Roman" w:cs="Times New Roman"/>
          <w:color w:val="000000" w:themeColor="text1"/>
          <w:sz w:val="22"/>
          <w:szCs w:val="22"/>
        </w:rPr>
        <w:fldChar w:fldCharType="begin" w:fldLock="1"/>
      </w:r>
      <w:r w:rsidRPr="00B64990">
        <w:rPr>
          <w:rFonts w:ascii="Times New Roman" w:hAnsi="Times New Roman" w:cs="Times New Roman"/>
          <w:color w:val="000000" w:themeColor="text1"/>
          <w:sz w:val="22"/>
          <w:szCs w:val="22"/>
        </w:rPr>
        <w:instrText>ADDIN CSL_CITATION {"citationItems":[{"id":"ITEM-1","itemData":{"DOI":"10.1136/bmj.d5928","ISSN":"09598146","PMID":"22008217","author":[{"dropping-particle":"","family":"Higgins","given":"Julian P.T.","non-dropping-particle":"","parse-names":false,"suffix":""},{"dropping-particle":"","family":"Altman","given":"Douglas G.","non-dropping-particle":"","parse-names":false,"suffix":""},{"dropping-particle":"","family":"Gøtzsche","given":"Peter C.","non-dropping-particle":"","parse-names":false,"suffix":""},{"dropping-particle":"","family":"Jüni","given":"Peter","non-dropping-particle":"","parse-names":false,"suffix":""},{"dropping-particle":"","family":"Moher","given":"David","non-dropping-particle":"","parse-names":false,"suffix":""},{"dropping-particle":"","family":"Oxman","given":"Andrew D.","non-dropping-particle":"","parse-names":false,"suffix":""},{"dropping-particle":"","family":"Savović","given":"Jelena","non-dropping-particle":"","parse-names":false,"suffix":""},{"dropping-particle":"","family":"Schulz","given":"Kenneth F.","non-dropping-particle":"","parse-names":false,"suffix":""},{"dropping-particle":"","family":"Weeks","given":"Laura","non-dropping-particle":"","parse-names":false,"suffix":""},{"dropping-particle":"","family":"Sterne","given":"Jonathan A.C.","non-dropping-particle":"","parse-names":false,"suffix":""}],"container-title":"BMJ (Online)","id":"ITEM-1","issue":"7829","issued":{"date-parts":[["2011"]]},"page":"1-9","title":"The Cochrane Collaboration's tool for assessing risk of bias in randomised trials","type":"article-journal","volume":"343"},"uris":["http://www.mendeley.com/documents/?uuid=1b216420-e4d3-491e-8a87-b2bfb62641e1"]}],"mendeley":{"formattedCitation":"(Higgins et al., 2011)","plainTextFormattedCitation":"(Higgins et al., 2011)","previouslyFormattedCitation":"(Higgins et al., 2011)"},"properties":{"noteIndex":0},"schema":"https://github.com/citation-style-language/schema/raw/master/csl-citation.json"}</w:instrText>
      </w:r>
      <w:r w:rsidRPr="00B64990">
        <w:rPr>
          <w:rFonts w:ascii="Times New Roman" w:hAnsi="Times New Roman" w:cs="Times New Roman"/>
          <w:color w:val="000000" w:themeColor="text1"/>
          <w:sz w:val="22"/>
          <w:szCs w:val="22"/>
        </w:rPr>
        <w:fldChar w:fldCharType="separate"/>
      </w:r>
      <w:r w:rsidRPr="00B64990">
        <w:rPr>
          <w:rFonts w:ascii="Times New Roman" w:hAnsi="Times New Roman" w:cs="Times New Roman"/>
          <w:noProof/>
          <w:color w:val="000000" w:themeColor="text1"/>
          <w:sz w:val="22"/>
          <w:szCs w:val="22"/>
        </w:rPr>
        <w:t>(Higgins et al., 2011)</w:t>
      </w:r>
      <w:r w:rsidRPr="00B64990">
        <w:rPr>
          <w:rFonts w:ascii="Times New Roman" w:hAnsi="Times New Roman" w:cs="Times New Roman"/>
          <w:color w:val="000000" w:themeColor="text1"/>
          <w:sz w:val="22"/>
          <w:szCs w:val="22"/>
        </w:rPr>
        <w:fldChar w:fldCharType="end"/>
      </w:r>
      <w:r w:rsidRPr="00B64990">
        <w:rPr>
          <w:rFonts w:ascii="Times New Roman" w:hAnsi="Times New Roman" w:cs="Times New Roman"/>
          <w:color w:val="000000" w:themeColor="text1"/>
          <w:sz w:val="22"/>
          <w:szCs w:val="22"/>
        </w:rPr>
        <w:t xml:space="preserve">. This approach of integrating across multiple tools (following Donald et al., 2021) was taken because no existing tool was found to be suitable for comparing across multiple study types. In each domain, the risk of bias was assessed as low, high, or some concerns, with the latter category used for both minor issues that were identified or when the risk of bias was unclear from the manuscript. </w:t>
      </w:r>
    </w:p>
    <w:p w14:paraId="568AF7F3" w14:textId="77777777" w:rsidR="001F64BB" w:rsidRPr="00C76C96" w:rsidRDefault="001F64BB" w:rsidP="001F64BB">
      <w:pPr>
        <w:spacing w:after="120" w:line="276" w:lineRule="auto"/>
        <w:rPr>
          <w:rFonts w:ascii="Times New Roman" w:hAnsi="Times New Roman" w:cs="Times New Roman"/>
          <w:color w:val="000000" w:themeColor="text1"/>
          <w:sz w:val="22"/>
          <w:szCs w:val="22"/>
        </w:rPr>
      </w:pPr>
      <w:r w:rsidRPr="00C76C96">
        <w:rPr>
          <w:rFonts w:ascii="Times New Roman" w:hAnsi="Times New Roman" w:cs="Times New Roman"/>
          <w:b/>
          <w:bCs/>
          <w:color w:val="000000" w:themeColor="text1"/>
          <w:sz w:val="22"/>
          <w:szCs w:val="22"/>
        </w:rPr>
        <w:t>(1) The eligibility criteria were clearly specified.</w:t>
      </w:r>
      <w:r w:rsidRPr="00C76C96">
        <w:rPr>
          <w:rFonts w:ascii="Times New Roman" w:hAnsi="Times New Roman" w:cs="Times New Roman"/>
          <w:color w:val="000000" w:themeColor="text1"/>
          <w:sz w:val="22"/>
          <w:szCs w:val="22"/>
        </w:rPr>
        <w:t xml:space="preserve"> Studies which clearly described their sample and recruitment methodology were scored as low risk in this domain if the inclusion criteria could be inferred from this contextual information. </w:t>
      </w:r>
    </w:p>
    <w:p w14:paraId="2C56F860" w14:textId="77777777" w:rsidR="001F64BB" w:rsidRPr="00C76C96" w:rsidRDefault="001F64BB" w:rsidP="001F64BB">
      <w:pPr>
        <w:pStyle w:val="Heading1"/>
        <w:spacing w:before="0" w:line="276" w:lineRule="auto"/>
        <w:rPr>
          <w:rFonts w:ascii="Times New Roman" w:hAnsi="Times New Roman" w:cs="Times New Roman"/>
          <w:color w:val="000000" w:themeColor="text1"/>
          <w:sz w:val="22"/>
          <w:szCs w:val="22"/>
        </w:rPr>
      </w:pPr>
      <w:r w:rsidRPr="00C76C96">
        <w:rPr>
          <w:rFonts w:ascii="Times New Roman" w:hAnsi="Times New Roman" w:cs="Times New Roman"/>
          <w:bCs/>
          <w:color w:val="000000" w:themeColor="text1"/>
          <w:sz w:val="22"/>
          <w:szCs w:val="22"/>
        </w:rPr>
        <w:t>(2) The exposure (social identity) was assessed or manipulated in a way that was valid and reliable.</w:t>
      </w:r>
      <w:r w:rsidRPr="00C76C96">
        <w:rPr>
          <w:rFonts w:ascii="Times New Roman" w:hAnsi="Times New Roman" w:cs="Times New Roman"/>
          <w:color w:val="000000" w:themeColor="text1"/>
          <w:sz w:val="22"/>
          <w:szCs w:val="22"/>
        </w:rPr>
        <w:t xml:space="preserve"> </w:t>
      </w:r>
      <w:r w:rsidRPr="00C76C96">
        <w:rPr>
          <w:rFonts w:ascii="Times New Roman" w:hAnsi="Times New Roman" w:cs="Times New Roman"/>
          <w:bCs/>
          <w:color w:val="000000" w:themeColor="text1"/>
          <w:sz w:val="22"/>
          <w:szCs w:val="22"/>
        </w:rPr>
        <w:t xml:space="preserve">For example, the use of a widely verified paradigm for manipulating social identity salience (e.g., </w:t>
      </w:r>
      <w:proofErr w:type="spellStart"/>
      <w:r w:rsidRPr="00C76C96">
        <w:rPr>
          <w:rFonts w:ascii="Times New Roman" w:hAnsi="Times New Roman" w:cs="Times New Roman"/>
          <w:bCs/>
          <w:color w:val="000000" w:themeColor="text1"/>
          <w:sz w:val="22"/>
          <w:szCs w:val="22"/>
        </w:rPr>
        <w:t>Häusser</w:t>
      </w:r>
      <w:proofErr w:type="spellEnd"/>
      <w:r w:rsidRPr="00C76C96">
        <w:rPr>
          <w:rFonts w:ascii="Times New Roman" w:hAnsi="Times New Roman" w:cs="Times New Roman"/>
          <w:bCs/>
          <w:color w:val="000000" w:themeColor="text1"/>
          <w:sz w:val="22"/>
          <w:szCs w:val="22"/>
        </w:rPr>
        <w:t xml:space="preserve"> et al., 2012), or a measure of social identification that had previously undergone formal verification.</w:t>
      </w:r>
      <w:r w:rsidRPr="00C76C96">
        <w:rPr>
          <w:rFonts w:ascii="Times New Roman" w:hAnsi="Times New Roman" w:cs="Times New Roman"/>
          <w:color w:val="000000" w:themeColor="text1"/>
          <w:sz w:val="22"/>
          <w:szCs w:val="22"/>
        </w:rPr>
        <w:t xml:space="preserve">  </w:t>
      </w:r>
    </w:p>
    <w:p w14:paraId="1F833F36" w14:textId="77777777" w:rsidR="001F64BB" w:rsidRPr="00C76C96" w:rsidRDefault="001F64BB" w:rsidP="001F64BB">
      <w:pPr>
        <w:spacing w:after="120" w:line="276" w:lineRule="auto"/>
        <w:rPr>
          <w:rFonts w:ascii="Times New Roman" w:hAnsi="Times New Roman" w:cs="Times New Roman"/>
          <w:color w:val="000000" w:themeColor="text1"/>
          <w:sz w:val="22"/>
          <w:szCs w:val="22"/>
          <w:lang w:val="en-GB"/>
        </w:rPr>
      </w:pPr>
      <w:r w:rsidRPr="00C76C96">
        <w:rPr>
          <w:rFonts w:ascii="Times New Roman" w:hAnsi="Times New Roman" w:cs="Times New Roman"/>
          <w:b/>
          <w:bCs/>
          <w:color w:val="000000" w:themeColor="text1"/>
          <w:sz w:val="22"/>
          <w:szCs w:val="22"/>
        </w:rPr>
        <w:t>(3) Confounds were identified and managed appropriately.</w:t>
      </w:r>
      <w:r w:rsidRPr="00C76C96">
        <w:rPr>
          <w:rFonts w:ascii="Times New Roman" w:hAnsi="Times New Roman" w:cs="Times New Roman"/>
          <w:color w:val="000000" w:themeColor="text1"/>
          <w:sz w:val="22"/>
          <w:szCs w:val="22"/>
        </w:rPr>
        <w:t xml:space="preserve"> E</w:t>
      </w:r>
      <w:proofErr w:type="spellStart"/>
      <w:r w:rsidRPr="00C76C96">
        <w:rPr>
          <w:rFonts w:ascii="Times New Roman" w:hAnsi="Times New Roman" w:cs="Times New Roman"/>
          <w:color w:val="000000" w:themeColor="text1"/>
          <w:sz w:val="22"/>
          <w:szCs w:val="22"/>
          <w:lang w:val="en-GB"/>
        </w:rPr>
        <w:t>xperimental</w:t>
      </w:r>
      <w:proofErr w:type="spellEnd"/>
      <w:r w:rsidRPr="00C76C96">
        <w:rPr>
          <w:rFonts w:ascii="Times New Roman" w:hAnsi="Times New Roman" w:cs="Times New Roman"/>
          <w:color w:val="000000" w:themeColor="text1"/>
          <w:sz w:val="22"/>
          <w:szCs w:val="22"/>
          <w:lang w:val="en-GB"/>
        </w:rPr>
        <w:t xml:space="preserve"> studies were scored as low risk because an experiment in the most effective way to deal with confounds. A non-experimental study could also be classified as low risk if they either (a) include appropriate covariates in their analysis, or (b) had a non-experimental matched control group (e.g., Stevens &amp; Cruwys 2020).  </w:t>
      </w:r>
    </w:p>
    <w:p w14:paraId="091CC746" w14:textId="77777777" w:rsidR="001F64BB" w:rsidRPr="00C76C96" w:rsidRDefault="001F64BB" w:rsidP="001F64BB">
      <w:pPr>
        <w:spacing w:after="120" w:line="276" w:lineRule="auto"/>
        <w:rPr>
          <w:rFonts w:ascii="Times New Roman" w:hAnsi="Times New Roman" w:cs="Times New Roman"/>
          <w:color w:val="000000" w:themeColor="text1"/>
          <w:sz w:val="22"/>
          <w:szCs w:val="22"/>
        </w:rPr>
      </w:pPr>
      <w:r w:rsidRPr="00C76C96">
        <w:rPr>
          <w:rFonts w:ascii="Times New Roman" w:hAnsi="Times New Roman" w:cs="Times New Roman"/>
          <w:b/>
          <w:bCs/>
          <w:color w:val="000000" w:themeColor="text1"/>
          <w:sz w:val="22"/>
          <w:szCs w:val="22"/>
        </w:rPr>
        <w:t>(4) Randomisation occurred and was conducted adequately</w:t>
      </w:r>
      <w:r w:rsidRPr="00C76C96">
        <w:rPr>
          <w:rFonts w:ascii="Times New Roman" w:hAnsi="Times New Roman" w:cs="Times New Roman"/>
          <w:color w:val="000000" w:themeColor="text1"/>
          <w:sz w:val="22"/>
          <w:szCs w:val="22"/>
        </w:rPr>
        <w:t xml:space="preserve">. </w:t>
      </w:r>
      <w:r w:rsidRPr="00C76C96">
        <w:rPr>
          <w:rFonts w:ascii="Times New Roman" w:hAnsi="Times New Roman" w:cs="Times New Roman"/>
          <w:color w:val="000000" w:themeColor="text1"/>
          <w:sz w:val="22"/>
          <w:szCs w:val="22"/>
          <w:lang w:val="en-GB"/>
        </w:rPr>
        <w:t xml:space="preserve">Experimental studies were scored as low risk unless there were concerns about bias in the randomisation strategy or strategic drop-out. </w:t>
      </w:r>
    </w:p>
    <w:p w14:paraId="301574F0" w14:textId="77777777" w:rsidR="001F64BB" w:rsidRPr="00C76C96" w:rsidRDefault="001F64BB" w:rsidP="001F64BB">
      <w:pPr>
        <w:spacing w:after="120" w:line="276" w:lineRule="auto"/>
        <w:rPr>
          <w:rFonts w:ascii="Times New Roman" w:hAnsi="Times New Roman" w:cs="Times New Roman"/>
          <w:b/>
          <w:bCs/>
          <w:color w:val="000000" w:themeColor="text1"/>
          <w:sz w:val="22"/>
          <w:szCs w:val="22"/>
        </w:rPr>
      </w:pPr>
      <w:r w:rsidRPr="00C76C96">
        <w:rPr>
          <w:rFonts w:ascii="Times New Roman" w:hAnsi="Times New Roman" w:cs="Times New Roman"/>
          <w:b/>
          <w:bCs/>
          <w:color w:val="000000" w:themeColor="text1"/>
          <w:sz w:val="22"/>
          <w:szCs w:val="22"/>
        </w:rPr>
        <w:t>(5) Participants were blinded</w:t>
      </w:r>
      <w:r w:rsidRPr="00C76C96">
        <w:rPr>
          <w:rFonts w:ascii="Times New Roman" w:hAnsi="Times New Roman" w:cs="Times New Roman"/>
          <w:color w:val="000000" w:themeColor="text1"/>
          <w:sz w:val="22"/>
          <w:szCs w:val="22"/>
        </w:rPr>
        <w:t xml:space="preserve">. This criterion assessed the transparency of the researchers’ hypotheses and the risk of this influencing their responses (e.g., demand characteristics from participants). Experiments with a plausible cover story were most likely to be scored a slow risk. </w:t>
      </w:r>
    </w:p>
    <w:p w14:paraId="4233F0FB" w14:textId="77777777" w:rsidR="001F64BB" w:rsidRPr="00C76C96" w:rsidRDefault="001F64BB" w:rsidP="001F64BB">
      <w:pPr>
        <w:spacing w:after="120" w:line="276" w:lineRule="auto"/>
        <w:rPr>
          <w:rFonts w:ascii="Times New Roman" w:hAnsi="Times New Roman" w:cs="Times New Roman"/>
          <w:color w:val="000000" w:themeColor="text1"/>
          <w:sz w:val="22"/>
          <w:szCs w:val="22"/>
        </w:rPr>
      </w:pPr>
      <w:r w:rsidRPr="00C76C96">
        <w:rPr>
          <w:rFonts w:ascii="Times New Roman" w:hAnsi="Times New Roman" w:cs="Times New Roman"/>
          <w:b/>
          <w:bCs/>
          <w:color w:val="000000" w:themeColor="text1"/>
          <w:sz w:val="22"/>
          <w:szCs w:val="22"/>
        </w:rPr>
        <w:t xml:space="preserve">(6) The outcome assessment was protected from assessor bias. </w:t>
      </w:r>
      <w:r w:rsidRPr="00C76C96">
        <w:rPr>
          <w:rFonts w:ascii="Times New Roman" w:hAnsi="Times New Roman" w:cs="Times New Roman"/>
          <w:color w:val="000000" w:themeColor="text1"/>
          <w:sz w:val="22"/>
          <w:szCs w:val="22"/>
          <w:lang w:val="en-GB"/>
        </w:rPr>
        <w:t>If the DV is measured in a way that is not open to assessor interpretation (e.g. heart rate), studies were likely to be assessed as low risk. If assessors’ interpretation could play a role in the scoring of the outcome and they were not blind to allocation, then the study would likely be scored high risk.</w:t>
      </w:r>
      <w:r w:rsidRPr="00C76C96">
        <w:rPr>
          <w:rFonts w:ascii="Times New Roman" w:hAnsi="Times New Roman" w:cs="Times New Roman"/>
          <w:b/>
          <w:bCs/>
          <w:color w:val="000000" w:themeColor="text1"/>
          <w:sz w:val="22"/>
          <w:szCs w:val="22"/>
          <w:lang w:val="en-GB"/>
        </w:rPr>
        <w:t xml:space="preserve"> </w:t>
      </w:r>
    </w:p>
    <w:p w14:paraId="5DB0A632" w14:textId="77777777" w:rsidR="001F64BB" w:rsidRPr="00B64990" w:rsidRDefault="001F64BB" w:rsidP="001F64BB">
      <w:pPr>
        <w:spacing w:after="120" w:line="276" w:lineRule="auto"/>
        <w:rPr>
          <w:rFonts w:ascii="Times New Roman" w:hAnsi="Times New Roman" w:cs="Times New Roman"/>
          <w:color w:val="000000" w:themeColor="text1"/>
          <w:sz w:val="22"/>
          <w:szCs w:val="22"/>
        </w:rPr>
      </w:pPr>
      <w:r w:rsidRPr="00C76C96">
        <w:rPr>
          <w:rFonts w:ascii="Times New Roman" w:hAnsi="Times New Roman" w:cs="Times New Roman"/>
          <w:b/>
          <w:bCs/>
          <w:color w:val="000000" w:themeColor="text1"/>
          <w:sz w:val="22"/>
          <w:szCs w:val="22"/>
        </w:rPr>
        <w:t>(7) Any missing data was disclosed and unlikely to be systematic.</w:t>
      </w:r>
      <w:r w:rsidRPr="00B64990">
        <w:rPr>
          <w:rFonts w:ascii="Times New Roman" w:hAnsi="Times New Roman" w:cs="Times New Roman"/>
          <w:color w:val="000000" w:themeColor="text1"/>
          <w:sz w:val="22"/>
          <w:szCs w:val="22"/>
          <w:lang w:val="en-GB"/>
        </w:rPr>
        <w:t xml:space="preserve"> This criterion assessed the degree of dropout/missing data, and </w:t>
      </w:r>
      <w:r w:rsidRPr="00C76C96">
        <w:rPr>
          <w:rFonts w:ascii="Times New Roman" w:hAnsi="Times New Roman" w:cs="Times New Roman"/>
          <w:color w:val="000000" w:themeColor="text1"/>
          <w:sz w:val="22"/>
          <w:szCs w:val="22"/>
          <w:lang w:val="en-GB"/>
        </w:rPr>
        <w:t>whether it was patterned in any way that may have affected the results. For example, if people were more likely to drop out in one experimental condition than the other, that would likely receive a score of high risk.</w:t>
      </w:r>
    </w:p>
    <w:p w14:paraId="5CE4C446" w14:textId="77777777" w:rsidR="001F64BB" w:rsidRPr="00B64990" w:rsidRDefault="001F64BB" w:rsidP="001F64BB">
      <w:pPr>
        <w:spacing w:line="276" w:lineRule="auto"/>
        <w:rPr>
          <w:rFonts w:ascii="Times New Roman" w:hAnsi="Times New Roman" w:cs="Times New Roman"/>
          <w:sz w:val="20"/>
          <w:szCs w:val="20"/>
        </w:rPr>
        <w:sectPr w:rsidR="001F64BB" w:rsidRPr="00B64990" w:rsidSect="001F64BB">
          <w:pgSz w:w="11900" w:h="16840"/>
          <w:pgMar w:top="1247" w:right="1247" w:bottom="1247" w:left="1247" w:header="708" w:footer="708" w:gutter="0"/>
          <w:cols w:space="708"/>
          <w:docGrid w:linePitch="360"/>
        </w:sectPr>
      </w:pPr>
      <w:r w:rsidRPr="00C76C96">
        <w:rPr>
          <w:rFonts w:ascii="Times New Roman" w:hAnsi="Times New Roman" w:cs="Times New Roman"/>
          <w:b/>
          <w:bCs/>
          <w:color w:val="000000" w:themeColor="text1"/>
          <w:sz w:val="22"/>
          <w:szCs w:val="22"/>
        </w:rPr>
        <w:t xml:space="preserve">(8) The outcomes (objective health indicators) were assessed using valid, reliable measures. </w:t>
      </w:r>
      <w:r w:rsidRPr="00C76C96">
        <w:rPr>
          <w:rFonts w:ascii="Times New Roman" w:hAnsi="Times New Roman" w:cs="Times New Roman"/>
          <w:color w:val="000000" w:themeColor="text1"/>
          <w:sz w:val="22"/>
          <w:szCs w:val="22"/>
        </w:rPr>
        <w:t>This</w:t>
      </w:r>
      <w:r w:rsidRPr="00C76C96">
        <w:rPr>
          <w:rFonts w:ascii="Times New Roman" w:hAnsi="Times New Roman" w:cs="Times New Roman"/>
          <w:b/>
          <w:bCs/>
          <w:color w:val="000000" w:themeColor="text1"/>
          <w:sz w:val="22"/>
          <w:szCs w:val="22"/>
        </w:rPr>
        <w:t xml:space="preserve"> </w:t>
      </w:r>
      <w:r w:rsidRPr="00C76C96">
        <w:rPr>
          <w:rFonts w:ascii="Times New Roman" w:hAnsi="Times New Roman" w:cs="Times New Roman"/>
          <w:color w:val="000000" w:themeColor="text1"/>
          <w:sz w:val="22"/>
          <w:szCs w:val="22"/>
          <w:lang w:val="en-GB"/>
        </w:rPr>
        <w:t xml:space="preserve">criterion assessed whether the dependent variable was an appropriate operationalisation of the construct of interest. For example, if an indicator was widely used, calculated using established methods, and interpreted in the standard way it would be evaluated as low risk. If the authors interpreted a cardiovascular measure differently to other </w:t>
      </w:r>
      <w:proofErr w:type="gramStart"/>
      <w:r w:rsidRPr="00C76C96">
        <w:rPr>
          <w:rFonts w:ascii="Times New Roman" w:hAnsi="Times New Roman" w:cs="Times New Roman"/>
          <w:color w:val="000000" w:themeColor="text1"/>
          <w:sz w:val="22"/>
          <w:szCs w:val="22"/>
          <w:lang w:val="en-GB"/>
        </w:rPr>
        <w:t>papers, or</w:t>
      </w:r>
      <w:proofErr w:type="gramEnd"/>
      <w:r w:rsidRPr="00C76C96">
        <w:rPr>
          <w:rFonts w:ascii="Times New Roman" w:hAnsi="Times New Roman" w:cs="Times New Roman"/>
          <w:color w:val="000000" w:themeColor="text1"/>
          <w:sz w:val="22"/>
          <w:szCs w:val="22"/>
          <w:lang w:val="en-GB"/>
        </w:rPr>
        <w:t xml:space="preserve"> were the first to use a particular indicator without presenting validation evidence, it would be assessed as high risk. </w:t>
      </w:r>
    </w:p>
    <w:p w14:paraId="4F4A91C9" w14:textId="77777777" w:rsidR="001F64BB" w:rsidRPr="001A6918" w:rsidRDefault="001F64BB" w:rsidP="001F64BB">
      <w:pPr>
        <w:rPr>
          <w:rFonts w:ascii="Times New Roman" w:hAnsi="Times New Roman" w:cs="Times New Roman"/>
          <w:sz w:val="21"/>
          <w:szCs w:val="21"/>
        </w:rPr>
      </w:pPr>
      <w:r w:rsidRPr="001A6918">
        <w:rPr>
          <w:rFonts w:ascii="Times New Roman" w:hAnsi="Times New Roman" w:cs="Times New Roman"/>
          <w:b/>
          <w:bCs/>
          <w:sz w:val="20"/>
          <w:szCs w:val="20"/>
        </w:rPr>
        <w:lastRenderedPageBreak/>
        <w:t>Table S1.</w:t>
      </w:r>
      <w:r w:rsidRPr="001A6918">
        <w:rPr>
          <w:rFonts w:ascii="Times New Roman" w:hAnsi="Times New Roman" w:cs="Times New Roman"/>
          <w:sz w:val="20"/>
          <w:szCs w:val="20"/>
        </w:rPr>
        <w:t xml:space="preserve"> Risk of bias assessment for each study included in the review.</w:t>
      </w:r>
      <w:r w:rsidRPr="001A6918">
        <w:rPr>
          <w:rFonts w:ascii="Times New Roman" w:hAnsi="Times New Roman" w:cs="Times New Roman"/>
          <w:sz w:val="21"/>
          <w:szCs w:val="21"/>
        </w:rPr>
        <w:br/>
        <w:t xml:space="preserve"> </w:t>
      </w:r>
    </w:p>
    <w:tbl>
      <w:tblPr>
        <w:tblW w:w="14082" w:type="dxa"/>
        <w:tblInd w:w="-431" w:type="dxa"/>
        <w:tblBorders>
          <w:top w:val="single" w:sz="4" w:space="0" w:color="auto"/>
          <w:bottom w:val="single" w:sz="4" w:space="0" w:color="auto"/>
        </w:tblBorders>
        <w:tblLook w:val="04A0" w:firstRow="1" w:lastRow="0" w:firstColumn="1" w:lastColumn="0" w:noHBand="0" w:noVBand="1"/>
      </w:tblPr>
      <w:tblGrid>
        <w:gridCol w:w="2553"/>
        <w:gridCol w:w="1281"/>
        <w:gridCol w:w="1281"/>
        <w:gridCol w:w="1281"/>
        <w:gridCol w:w="1281"/>
        <w:gridCol w:w="1281"/>
        <w:gridCol w:w="1281"/>
        <w:gridCol w:w="1281"/>
        <w:gridCol w:w="1281"/>
        <w:gridCol w:w="1281"/>
      </w:tblGrid>
      <w:tr w:rsidR="001F64BB" w:rsidRPr="001A6918" w14:paraId="382925ED" w14:textId="77777777" w:rsidTr="008605AD">
        <w:trPr>
          <w:trHeight w:val="221"/>
        </w:trPr>
        <w:tc>
          <w:tcPr>
            <w:tcW w:w="2553" w:type="dxa"/>
            <w:tcBorders>
              <w:top w:val="single" w:sz="4" w:space="0" w:color="auto"/>
              <w:bottom w:val="single" w:sz="4" w:space="0" w:color="auto"/>
            </w:tcBorders>
            <w:shd w:val="clear" w:color="auto" w:fill="auto"/>
            <w:vAlign w:val="bottom"/>
            <w:hideMark/>
          </w:tcPr>
          <w:p w14:paraId="7AC7BC7C"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br/>
              <w:t xml:space="preserve">Study </w:t>
            </w:r>
          </w:p>
        </w:tc>
        <w:tc>
          <w:tcPr>
            <w:tcW w:w="1281" w:type="dxa"/>
            <w:tcBorders>
              <w:top w:val="single" w:sz="4" w:space="0" w:color="auto"/>
              <w:bottom w:val="single" w:sz="4" w:space="0" w:color="auto"/>
            </w:tcBorders>
            <w:shd w:val="clear" w:color="auto" w:fill="auto"/>
            <w:vAlign w:val="bottom"/>
            <w:hideMark/>
          </w:tcPr>
          <w:p w14:paraId="5B96D389"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1. Eligibility criteria</w:t>
            </w:r>
          </w:p>
        </w:tc>
        <w:tc>
          <w:tcPr>
            <w:tcW w:w="1281" w:type="dxa"/>
            <w:tcBorders>
              <w:top w:val="single" w:sz="4" w:space="0" w:color="auto"/>
              <w:bottom w:val="single" w:sz="4" w:space="0" w:color="auto"/>
            </w:tcBorders>
            <w:shd w:val="clear" w:color="auto" w:fill="auto"/>
            <w:vAlign w:val="bottom"/>
            <w:hideMark/>
          </w:tcPr>
          <w:p w14:paraId="443E1D97"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2. IV valid and reliable</w:t>
            </w:r>
          </w:p>
        </w:tc>
        <w:tc>
          <w:tcPr>
            <w:tcW w:w="1281" w:type="dxa"/>
            <w:tcBorders>
              <w:top w:val="single" w:sz="4" w:space="0" w:color="auto"/>
              <w:bottom w:val="single" w:sz="4" w:space="0" w:color="auto"/>
            </w:tcBorders>
            <w:shd w:val="clear" w:color="auto" w:fill="auto"/>
            <w:vAlign w:val="bottom"/>
            <w:hideMark/>
          </w:tcPr>
          <w:p w14:paraId="1E01F623"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3. Confound management</w:t>
            </w:r>
          </w:p>
        </w:tc>
        <w:tc>
          <w:tcPr>
            <w:tcW w:w="1281" w:type="dxa"/>
            <w:tcBorders>
              <w:top w:val="single" w:sz="4" w:space="0" w:color="auto"/>
              <w:bottom w:val="single" w:sz="4" w:space="0" w:color="auto"/>
            </w:tcBorders>
            <w:shd w:val="clear" w:color="auto" w:fill="auto"/>
            <w:vAlign w:val="bottom"/>
            <w:hideMark/>
          </w:tcPr>
          <w:p w14:paraId="4C4C4CBE"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4. Randomisation</w:t>
            </w:r>
          </w:p>
        </w:tc>
        <w:tc>
          <w:tcPr>
            <w:tcW w:w="1281" w:type="dxa"/>
            <w:tcBorders>
              <w:top w:val="single" w:sz="4" w:space="0" w:color="auto"/>
              <w:bottom w:val="single" w:sz="4" w:space="0" w:color="auto"/>
            </w:tcBorders>
            <w:shd w:val="clear" w:color="auto" w:fill="auto"/>
            <w:vAlign w:val="bottom"/>
            <w:hideMark/>
          </w:tcPr>
          <w:p w14:paraId="2628FF6C"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5. Participant blinding</w:t>
            </w:r>
          </w:p>
        </w:tc>
        <w:tc>
          <w:tcPr>
            <w:tcW w:w="1281" w:type="dxa"/>
            <w:tcBorders>
              <w:top w:val="single" w:sz="4" w:space="0" w:color="auto"/>
              <w:bottom w:val="single" w:sz="4" w:space="0" w:color="auto"/>
            </w:tcBorders>
            <w:shd w:val="clear" w:color="auto" w:fill="auto"/>
            <w:vAlign w:val="bottom"/>
            <w:hideMark/>
          </w:tcPr>
          <w:p w14:paraId="0DDBA961"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6. Assessor bias</w:t>
            </w:r>
          </w:p>
        </w:tc>
        <w:tc>
          <w:tcPr>
            <w:tcW w:w="1281" w:type="dxa"/>
            <w:tcBorders>
              <w:top w:val="single" w:sz="4" w:space="0" w:color="auto"/>
              <w:bottom w:val="single" w:sz="4" w:space="0" w:color="auto"/>
            </w:tcBorders>
            <w:shd w:val="clear" w:color="auto" w:fill="auto"/>
            <w:vAlign w:val="bottom"/>
            <w:hideMark/>
          </w:tcPr>
          <w:p w14:paraId="3EFDAB3B"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7. Missing data</w:t>
            </w:r>
          </w:p>
        </w:tc>
        <w:tc>
          <w:tcPr>
            <w:tcW w:w="1281" w:type="dxa"/>
            <w:tcBorders>
              <w:top w:val="single" w:sz="4" w:space="0" w:color="auto"/>
              <w:bottom w:val="single" w:sz="4" w:space="0" w:color="auto"/>
            </w:tcBorders>
            <w:shd w:val="clear" w:color="auto" w:fill="auto"/>
            <w:vAlign w:val="bottom"/>
            <w:hideMark/>
          </w:tcPr>
          <w:p w14:paraId="249ECABB"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8. DV valid and reliable</w:t>
            </w:r>
          </w:p>
        </w:tc>
        <w:tc>
          <w:tcPr>
            <w:tcW w:w="1281" w:type="dxa"/>
            <w:tcBorders>
              <w:top w:val="single" w:sz="4" w:space="0" w:color="auto"/>
              <w:bottom w:val="single" w:sz="4" w:space="0" w:color="auto"/>
            </w:tcBorders>
            <w:shd w:val="clear" w:color="auto" w:fill="auto"/>
            <w:vAlign w:val="bottom"/>
            <w:hideMark/>
          </w:tcPr>
          <w:p w14:paraId="7AD428AB" w14:textId="77777777" w:rsidR="001F64BB" w:rsidRPr="001A6918" w:rsidRDefault="001F64BB" w:rsidP="008605AD">
            <w:pPr>
              <w:rPr>
                <w:rFonts w:ascii="Times New Roman" w:hAnsi="Times New Roman" w:cs="Times New Roman"/>
                <w:b/>
                <w:bCs/>
                <w:color w:val="000000"/>
                <w:sz w:val="16"/>
                <w:szCs w:val="16"/>
              </w:rPr>
            </w:pPr>
            <w:r w:rsidRPr="001A6918">
              <w:rPr>
                <w:rFonts w:ascii="Times New Roman" w:hAnsi="Times New Roman" w:cs="Times New Roman"/>
                <w:b/>
                <w:bCs/>
                <w:color w:val="000000"/>
                <w:sz w:val="16"/>
                <w:szCs w:val="16"/>
              </w:rPr>
              <w:t>Overall score</w:t>
            </w:r>
          </w:p>
        </w:tc>
      </w:tr>
      <w:tr w:rsidR="001F64BB" w:rsidRPr="001A6918" w14:paraId="401DCF33" w14:textId="77777777" w:rsidTr="008605AD">
        <w:trPr>
          <w:trHeight w:val="221"/>
        </w:trPr>
        <w:tc>
          <w:tcPr>
            <w:tcW w:w="2553" w:type="dxa"/>
            <w:tcBorders>
              <w:top w:val="single" w:sz="4" w:space="0" w:color="auto"/>
            </w:tcBorders>
            <w:shd w:val="clear" w:color="auto" w:fill="auto"/>
            <w:vAlign w:val="bottom"/>
            <w:hideMark/>
          </w:tcPr>
          <w:p w14:paraId="1DA0CE0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Banas et al. (2016) [Study 2]</w:t>
            </w:r>
          </w:p>
        </w:tc>
        <w:tc>
          <w:tcPr>
            <w:tcW w:w="1281" w:type="dxa"/>
            <w:tcBorders>
              <w:top w:val="single" w:sz="4" w:space="0" w:color="auto"/>
            </w:tcBorders>
            <w:shd w:val="clear" w:color="auto" w:fill="auto"/>
            <w:vAlign w:val="bottom"/>
            <w:hideMark/>
          </w:tcPr>
          <w:p w14:paraId="3D0D206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3BA140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343903D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0A55B83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1588A6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36613BD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4B411C0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1BDCA3C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tcBorders>
              <w:top w:val="single" w:sz="4" w:space="0" w:color="auto"/>
            </w:tcBorders>
            <w:shd w:val="clear" w:color="auto" w:fill="auto"/>
            <w:vAlign w:val="bottom"/>
            <w:hideMark/>
          </w:tcPr>
          <w:p w14:paraId="7A844A2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0CD3074B" w14:textId="77777777" w:rsidTr="008605AD">
        <w:trPr>
          <w:trHeight w:val="221"/>
        </w:trPr>
        <w:tc>
          <w:tcPr>
            <w:tcW w:w="2553" w:type="dxa"/>
            <w:shd w:val="clear" w:color="auto" w:fill="auto"/>
            <w:vAlign w:val="bottom"/>
            <w:hideMark/>
          </w:tcPr>
          <w:p w14:paraId="52A2BC4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Beauchamp et al 2021</w:t>
            </w:r>
          </w:p>
        </w:tc>
        <w:tc>
          <w:tcPr>
            <w:tcW w:w="1281" w:type="dxa"/>
            <w:shd w:val="clear" w:color="auto" w:fill="auto"/>
            <w:vAlign w:val="bottom"/>
            <w:hideMark/>
          </w:tcPr>
          <w:p w14:paraId="481EE1F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3CE99B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7EBE00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EFEC24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E71595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2D7E50F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1F55AE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CACAF0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7C35CF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672C75D6" w14:textId="77777777" w:rsidTr="008605AD">
        <w:trPr>
          <w:trHeight w:val="221"/>
        </w:trPr>
        <w:tc>
          <w:tcPr>
            <w:tcW w:w="2553" w:type="dxa"/>
            <w:shd w:val="clear" w:color="auto" w:fill="auto"/>
            <w:vAlign w:val="bottom"/>
            <w:hideMark/>
          </w:tcPr>
          <w:p w14:paraId="16CB704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Beckwith et al. (2015)</w:t>
            </w:r>
          </w:p>
        </w:tc>
        <w:tc>
          <w:tcPr>
            <w:tcW w:w="1281" w:type="dxa"/>
            <w:shd w:val="clear" w:color="auto" w:fill="auto"/>
            <w:vAlign w:val="bottom"/>
            <w:hideMark/>
          </w:tcPr>
          <w:p w14:paraId="159E6DA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9E1FCD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DAE3F3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0BB085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23C3E8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4C37DF7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683CB7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9207C4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E4C7B8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36CCF187" w14:textId="77777777" w:rsidTr="008605AD">
        <w:trPr>
          <w:trHeight w:val="221"/>
        </w:trPr>
        <w:tc>
          <w:tcPr>
            <w:tcW w:w="2553" w:type="dxa"/>
            <w:shd w:val="clear" w:color="auto" w:fill="auto"/>
            <w:vAlign w:val="bottom"/>
            <w:hideMark/>
          </w:tcPr>
          <w:p w14:paraId="2FB173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Berger &amp; Rand (2008) [Study 3]</w:t>
            </w:r>
          </w:p>
        </w:tc>
        <w:tc>
          <w:tcPr>
            <w:tcW w:w="1281" w:type="dxa"/>
            <w:shd w:val="clear" w:color="auto" w:fill="auto"/>
            <w:vAlign w:val="bottom"/>
            <w:hideMark/>
          </w:tcPr>
          <w:p w14:paraId="45AD95A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2F52B09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24D359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70CFC0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82D782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67415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B418F6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D27272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214E61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7E177691" w14:textId="77777777" w:rsidTr="008605AD">
        <w:trPr>
          <w:trHeight w:val="221"/>
        </w:trPr>
        <w:tc>
          <w:tcPr>
            <w:tcW w:w="2553" w:type="dxa"/>
            <w:shd w:val="clear" w:color="auto" w:fill="auto"/>
            <w:vAlign w:val="bottom"/>
            <w:hideMark/>
          </w:tcPr>
          <w:p w14:paraId="6F5A9FB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Blanton et al. (2012)</w:t>
            </w:r>
          </w:p>
        </w:tc>
        <w:tc>
          <w:tcPr>
            <w:tcW w:w="1281" w:type="dxa"/>
            <w:shd w:val="clear" w:color="auto" w:fill="auto"/>
            <w:vAlign w:val="bottom"/>
            <w:hideMark/>
          </w:tcPr>
          <w:p w14:paraId="02ADD08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12582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70EBF0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BC2816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FEAFF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55686A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780D5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FA441D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B7F4F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1CB7C28F" w14:textId="77777777" w:rsidTr="008605AD">
        <w:trPr>
          <w:trHeight w:val="221"/>
        </w:trPr>
        <w:tc>
          <w:tcPr>
            <w:tcW w:w="2553" w:type="dxa"/>
            <w:shd w:val="clear" w:color="auto" w:fill="auto"/>
            <w:vAlign w:val="bottom"/>
            <w:hideMark/>
          </w:tcPr>
          <w:p w14:paraId="652C94A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Branscombe &amp; Wann (1992) </w:t>
            </w:r>
          </w:p>
        </w:tc>
        <w:tc>
          <w:tcPr>
            <w:tcW w:w="1281" w:type="dxa"/>
            <w:shd w:val="clear" w:color="auto" w:fill="auto"/>
            <w:vAlign w:val="bottom"/>
            <w:hideMark/>
          </w:tcPr>
          <w:p w14:paraId="7A50C8B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831688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A83DE8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FFCD8E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21AEDE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E26007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2ED135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C0B412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6D0361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640F108E" w14:textId="77777777" w:rsidTr="008605AD">
        <w:trPr>
          <w:trHeight w:val="221"/>
        </w:trPr>
        <w:tc>
          <w:tcPr>
            <w:tcW w:w="2553" w:type="dxa"/>
            <w:shd w:val="clear" w:color="auto" w:fill="auto"/>
            <w:vAlign w:val="bottom"/>
            <w:hideMark/>
          </w:tcPr>
          <w:p w14:paraId="50AFB64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Brown, Bradley &amp; Lang (2006)</w:t>
            </w:r>
          </w:p>
        </w:tc>
        <w:tc>
          <w:tcPr>
            <w:tcW w:w="1281" w:type="dxa"/>
            <w:shd w:val="clear" w:color="auto" w:fill="auto"/>
            <w:vAlign w:val="bottom"/>
            <w:hideMark/>
          </w:tcPr>
          <w:p w14:paraId="7FEF87F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34023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E97956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4B1BA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470DF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933CD6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5B3A3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6DD41A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D0C831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2C26AAA3" w14:textId="77777777" w:rsidTr="008605AD">
        <w:trPr>
          <w:trHeight w:val="221"/>
        </w:trPr>
        <w:tc>
          <w:tcPr>
            <w:tcW w:w="2553" w:type="dxa"/>
            <w:shd w:val="clear" w:color="auto" w:fill="auto"/>
            <w:vAlign w:val="bottom"/>
            <w:hideMark/>
          </w:tcPr>
          <w:p w14:paraId="30FAFEC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Choi et al. (2022)</w:t>
            </w:r>
          </w:p>
        </w:tc>
        <w:tc>
          <w:tcPr>
            <w:tcW w:w="1281" w:type="dxa"/>
            <w:shd w:val="clear" w:color="auto" w:fill="auto"/>
            <w:vAlign w:val="bottom"/>
            <w:hideMark/>
          </w:tcPr>
          <w:p w14:paraId="280C5D4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D6234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B97DE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C4C035E"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HIgh</w:t>
            </w:r>
            <w:proofErr w:type="spellEnd"/>
          </w:p>
        </w:tc>
        <w:tc>
          <w:tcPr>
            <w:tcW w:w="1281" w:type="dxa"/>
            <w:shd w:val="clear" w:color="auto" w:fill="auto"/>
            <w:vAlign w:val="bottom"/>
            <w:hideMark/>
          </w:tcPr>
          <w:p w14:paraId="1B2A084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68BC76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B6CDAA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A0D59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D421B8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2847A9A6" w14:textId="77777777" w:rsidTr="008605AD">
        <w:trPr>
          <w:trHeight w:val="221"/>
        </w:trPr>
        <w:tc>
          <w:tcPr>
            <w:tcW w:w="2553" w:type="dxa"/>
            <w:shd w:val="clear" w:color="auto" w:fill="auto"/>
            <w:vAlign w:val="bottom"/>
            <w:hideMark/>
          </w:tcPr>
          <w:p w14:paraId="626D09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Cleveland et al. (2012)</w:t>
            </w:r>
          </w:p>
        </w:tc>
        <w:tc>
          <w:tcPr>
            <w:tcW w:w="1281" w:type="dxa"/>
            <w:shd w:val="clear" w:color="auto" w:fill="auto"/>
            <w:vAlign w:val="bottom"/>
            <w:hideMark/>
          </w:tcPr>
          <w:p w14:paraId="0C154ED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87EE41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27018A4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12338B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F43735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9AB8BB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51B037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8615B0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9EDF1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46D8FE4B" w14:textId="77777777" w:rsidTr="008605AD">
        <w:trPr>
          <w:trHeight w:val="221"/>
        </w:trPr>
        <w:tc>
          <w:tcPr>
            <w:tcW w:w="2553" w:type="dxa"/>
            <w:shd w:val="clear" w:color="auto" w:fill="auto"/>
            <w:vAlign w:val="bottom"/>
            <w:hideMark/>
          </w:tcPr>
          <w:p w14:paraId="6043FD0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Cruwys et al. (2012)</w:t>
            </w:r>
          </w:p>
        </w:tc>
        <w:tc>
          <w:tcPr>
            <w:tcW w:w="1281" w:type="dxa"/>
            <w:shd w:val="clear" w:color="auto" w:fill="auto"/>
            <w:vAlign w:val="bottom"/>
            <w:hideMark/>
          </w:tcPr>
          <w:p w14:paraId="2B4FBAF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CC41DA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AB3331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7BAD60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5B10BD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41F9C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BC6CE6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4EA24A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8E156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56D1A9C8" w14:textId="77777777" w:rsidTr="008605AD">
        <w:trPr>
          <w:trHeight w:val="221"/>
        </w:trPr>
        <w:tc>
          <w:tcPr>
            <w:tcW w:w="2553" w:type="dxa"/>
            <w:shd w:val="clear" w:color="auto" w:fill="auto"/>
            <w:vAlign w:val="bottom"/>
            <w:hideMark/>
          </w:tcPr>
          <w:p w14:paraId="0DA05B3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Cruwys et al. (2018) [Study 1]</w:t>
            </w:r>
          </w:p>
        </w:tc>
        <w:tc>
          <w:tcPr>
            <w:tcW w:w="1281" w:type="dxa"/>
            <w:shd w:val="clear" w:color="auto" w:fill="auto"/>
            <w:noWrap/>
            <w:vAlign w:val="bottom"/>
            <w:hideMark/>
          </w:tcPr>
          <w:p w14:paraId="5BD809E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A0089E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51B667F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5DBF1F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825C1B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2B853B8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3149B72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74036E5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42ABE08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6C4E2001" w14:textId="77777777" w:rsidTr="008605AD">
        <w:trPr>
          <w:trHeight w:val="221"/>
        </w:trPr>
        <w:tc>
          <w:tcPr>
            <w:tcW w:w="2553" w:type="dxa"/>
            <w:shd w:val="clear" w:color="auto" w:fill="auto"/>
            <w:vAlign w:val="bottom"/>
          </w:tcPr>
          <w:p w14:paraId="446B387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Cruwys et al. (2023) [Study 1]</w:t>
            </w:r>
          </w:p>
        </w:tc>
        <w:tc>
          <w:tcPr>
            <w:tcW w:w="1281" w:type="dxa"/>
            <w:shd w:val="clear" w:color="auto" w:fill="auto"/>
            <w:noWrap/>
            <w:vAlign w:val="bottom"/>
          </w:tcPr>
          <w:p w14:paraId="6062332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3250432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noWrap/>
            <w:vAlign w:val="bottom"/>
          </w:tcPr>
          <w:p w14:paraId="4C2D9BB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High </w:t>
            </w:r>
          </w:p>
        </w:tc>
        <w:tc>
          <w:tcPr>
            <w:tcW w:w="1281" w:type="dxa"/>
            <w:shd w:val="clear" w:color="auto" w:fill="auto"/>
            <w:noWrap/>
            <w:vAlign w:val="bottom"/>
          </w:tcPr>
          <w:p w14:paraId="0CBBA62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15E2FF5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tcPr>
          <w:p w14:paraId="406B65A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7327B3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tcPr>
          <w:p w14:paraId="552A7EA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5A4A37D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4637E8A6" w14:textId="77777777" w:rsidTr="008605AD">
        <w:trPr>
          <w:trHeight w:val="221"/>
        </w:trPr>
        <w:tc>
          <w:tcPr>
            <w:tcW w:w="2553" w:type="dxa"/>
            <w:shd w:val="clear" w:color="auto" w:fill="auto"/>
            <w:vAlign w:val="bottom"/>
          </w:tcPr>
          <w:p w14:paraId="0C2EB6D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Cruwys et al. (2023) [Study 2]</w:t>
            </w:r>
          </w:p>
        </w:tc>
        <w:tc>
          <w:tcPr>
            <w:tcW w:w="1281" w:type="dxa"/>
            <w:shd w:val="clear" w:color="auto" w:fill="auto"/>
            <w:noWrap/>
            <w:vAlign w:val="bottom"/>
          </w:tcPr>
          <w:p w14:paraId="7728D5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7496848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4D6803B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2A6466D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68CB1A2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tcPr>
          <w:p w14:paraId="52B648C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36126CC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tcPr>
          <w:p w14:paraId="7BE5005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1B4BCE5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3D4FE45F" w14:textId="77777777" w:rsidTr="008605AD">
        <w:trPr>
          <w:trHeight w:val="221"/>
        </w:trPr>
        <w:tc>
          <w:tcPr>
            <w:tcW w:w="2553" w:type="dxa"/>
            <w:shd w:val="clear" w:color="auto" w:fill="auto"/>
            <w:vAlign w:val="bottom"/>
            <w:hideMark/>
          </w:tcPr>
          <w:p w14:paraId="69E50A9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Dariusz (2022)</w:t>
            </w:r>
          </w:p>
        </w:tc>
        <w:tc>
          <w:tcPr>
            <w:tcW w:w="1281" w:type="dxa"/>
            <w:shd w:val="clear" w:color="auto" w:fill="auto"/>
            <w:vAlign w:val="bottom"/>
            <w:hideMark/>
          </w:tcPr>
          <w:p w14:paraId="12D4E88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CE84A9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681953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447029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33BA5A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2501F6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6D0F99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A052EB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3DF01A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358262B3" w14:textId="77777777" w:rsidTr="008605AD">
        <w:trPr>
          <w:trHeight w:val="221"/>
        </w:trPr>
        <w:tc>
          <w:tcPr>
            <w:tcW w:w="2553" w:type="dxa"/>
            <w:shd w:val="clear" w:color="auto" w:fill="auto"/>
            <w:vAlign w:val="bottom"/>
            <w:hideMark/>
          </w:tcPr>
          <w:p w14:paraId="3CF8F5E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De Silva &amp; Harpham (2007)</w:t>
            </w:r>
          </w:p>
        </w:tc>
        <w:tc>
          <w:tcPr>
            <w:tcW w:w="1281" w:type="dxa"/>
            <w:shd w:val="clear" w:color="auto" w:fill="auto"/>
            <w:noWrap/>
            <w:vAlign w:val="bottom"/>
            <w:hideMark/>
          </w:tcPr>
          <w:p w14:paraId="35FDFC7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BCAB2B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5A365E9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72D766F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4C9741E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1C8A2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91B32F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hideMark/>
          </w:tcPr>
          <w:p w14:paraId="537E53E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306533D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5FDF8AC7" w14:textId="77777777" w:rsidTr="008605AD">
        <w:trPr>
          <w:trHeight w:val="221"/>
        </w:trPr>
        <w:tc>
          <w:tcPr>
            <w:tcW w:w="2553" w:type="dxa"/>
            <w:shd w:val="clear" w:color="auto" w:fill="auto"/>
            <w:vAlign w:val="bottom"/>
            <w:hideMark/>
          </w:tcPr>
          <w:p w14:paraId="66112B3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Derks et al. (2011)</w:t>
            </w:r>
          </w:p>
        </w:tc>
        <w:tc>
          <w:tcPr>
            <w:tcW w:w="1281" w:type="dxa"/>
            <w:shd w:val="clear" w:color="auto" w:fill="auto"/>
            <w:vAlign w:val="bottom"/>
            <w:hideMark/>
          </w:tcPr>
          <w:p w14:paraId="3BB3D40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CDA758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3DB73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4DC0CD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8E607E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BCAC4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CED8F3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09B420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F40468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4ACCFC71" w14:textId="77777777" w:rsidTr="008605AD">
        <w:trPr>
          <w:trHeight w:val="221"/>
        </w:trPr>
        <w:tc>
          <w:tcPr>
            <w:tcW w:w="2553" w:type="dxa"/>
            <w:shd w:val="clear" w:color="auto" w:fill="auto"/>
            <w:vAlign w:val="bottom"/>
          </w:tcPr>
          <w:p w14:paraId="1DDBE25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Doherty et al. (2023) </w:t>
            </w:r>
          </w:p>
        </w:tc>
        <w:tc>
          <w:tcPr>
            <w:tcW w:w="1281" w:type="dxa"/>
            <w:shd w:val="clear" w:color="auto" w:fill="auto"/>
            <w:vAlign w:val="bottom"/>
          </w:tcPr>
          <w:p w14:paraId="1787DD1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23A2E0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D05690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739A6C1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High </w:t>
            </w:r>
          </w:p>
        </w:tc>
        <w:tc>
          <w:tcPr>
            <w:tcW w:w="1281" w:type="dxa"/>
            <w:shd w:val="clear" w:color="auto" w:fill="auto"/>
            <w:vAlign w:val="bottom"/>
          </w:tcPr>
          <w:p w14:paraId="0631533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D52734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F1CF5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tcPr>
          <w:p w14:paraId="2500753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D9DD3A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75CC6249" w14:textId="77777777" w:rsidTr="008605AD">
        <w:trPr>
          <w:trHeight w:val="221"/>
        </w:trPr>
        <w:tc>
          <w:tcPr>
            <w:tcW w:w="2553" w:type="dxa"/>
            <w:shd w:val="clear" w:color="auto" w:fill="auto"/>
            <w:vAlign w:val="bottom"/>
          </w:tcPr>
          <w:p w14:paraId="34FD47E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Domen et al. (2022) [Study 2]</w:t>
            </w:r>
          </w:p>
        </w:tc>
        <w:tc>
          <w:tcPr>
            <w:tcW w:w="1281" w:type="dxa"/>
            <w:shd w:val="clear" w:color="auto" w:fill="auto"/>
            <w:vAlign w:val="bottom"/>
          </w:tcPr>
          <w:p w14:paraId="73BD36D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CEEF8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36CBD0F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41CCE0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017C54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4AF7B7C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C52A46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97A3CC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17AF9C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45FDDC4A" w14:textId="77777777" w:rsidTr="008605AD">
        <w:trPr>
          <w:trHeight w:val="221"/>
        </w:trPr>
        <w:tc>
          <w:tcPr>
            <w:tcW w:w="2553" w:type="dxa"/>
            <w:shd w:val="clear" w:color="auto" w:fill="auto"/>
            <w:vAlign w:val="bottom"/>
            <w:hideMark/>
          </w:tcPr>
          <w:p w14:paraId="3CE3906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Dover et al. (2015)</w:t>
            </w:r>
          </w:p>
        </w:tc>
        <w:tc>
          <w:tcPr>
            <w:tcW w:w="1281" w:type="dxa"/>
            <w:shd w:val="clear" w:color="auto" w:fill="auto"/>
            <w:vAlign w:val="bottom"/>
            <w:hideMark/>
          </w:tcPr>
          <w:p w14:paraId="0128232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BD85CA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668B28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9954A7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1F55BEC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7837C3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A41AAE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446B7C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8057F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14B4551B" w14:textId="77777777" w:rsidTr="008605AD">
        <w:trPr>
          <w:trHeight w:val="221"/>
        </w:trPr>
        <w:tc>
          <w:tcPr>
            <w:tcW w:w="2553" w:type="dxa"/>
            <w:shd w:val="clear" w:color="auto" w:fill="auto"/>
            <w:vAlign w:val="bottom"/>
            <w:hideMark/>
          </w:tcPr>
          <w:p w14:paraId="36F8E171"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Dreisoerner</w:t>
            </w:r>
            <w:proofErr w:type="spellEnd"/>
            <w:r w:rsidRPr="001A6918">
              <w:rPr>
                <w:rFonts w:ascii="Times New Roman" w:hAnsi="Times New Roman" w:cs="Times New Roman"/>
                <w:color w:val="000000"/>
                <w:sz w:val="16"/>
                <w:szCs w:val="16"/>
              </w:rPr>
              <w:t xml:space="preserve"> et al. (2021)</w:t>
            </w:r>
          </w:p>
        </w:tc>
        <w:tc>
          <w:tcPr>
            <w:tcW w:w="1281" w:type="dxa"/>
            <w:shd w:val="clear" w:color="auto" w:fill="auto"/>
            <w:vAlign w:val="bottom"/>
            <w:hideMark/>
          </w:tcPr>
          <w:p w14:paraId="04ED8EB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8897E3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DBCCFF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F83F0F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C09F6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FAF300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ED2ED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CF73A0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7A44F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0F5E96B2" w14:textId="77777777" w:rsidTr="008605AD">
        <w:trPr>
          <w:trHeight w:val="221"/>
        </w:trPr>
        <w:tc>
          <w:tcPr>
            <w:tcW w:w="2553" w:type="dxa"/>
            <w:shd w:val="clear" w:color="auto" w:fill="auto"/>
            <w:vAlign w:val="bottom"/>
            <w:hideMark/>
          </w:tcPr>
          <w:p w14:paraId="6531A81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Eliezer et al. (2010)</w:t>
            </w:r>
          </w:p>
        </w:tc>
        <w:tc>
          <w:tcPr>
            <w:tcW w:w="1281" w:type="dxa"/>
            <w:shd w:val="clear" w:color="auto" w:fill="auto"/>
            <w:vAlign w:val="bottom"/>
            <w:hideMark/>
          </w:tcPr>
          <w:p w14:paraId="3D09D4B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D334F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489FA1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C4D07A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622C22E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244EF6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9A0642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92F3F6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4A0295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411A3729" w14:textId="77777777" w:rsidTr="008605AD">
        <w:trPr>
          <w:trHeight w:val="221"/>
        </w:trPr>
        <w:tc>
          <w:tcPr>
            <w:tcW w:w="2553" w:type="dxa"/>
            <w:shd w:val="clear" w:color="auto" w:fill="auto"/>
            <w:vAlign w:val="bottom"/>
            <w:hideMark/>
          </w:tcPr>
          <w:p w14:paraId="3AC7E4F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Erkens et al. (2019)</w:t>
            </w:r>
          </w:p>
        </w:tc>
        <w:tc>
          <w:tcPr>
            <w:tcW w:w="1281" w:type="dxa"/>
            <w:shd w:val="clear" w:color="auto" w:fill="auto"/>
            <w:vAlign w:val="bottom"/>
            <w:hideMark/>
          </w:tcPr>
          <w:p w14:paraId="21A770F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FA62F3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56D34C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98DB4A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C58D4D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6E947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E74FA5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B588A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7748DB8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5B8D81A8" w14:textId="77777777" w:rsidTr="008605AD">
        <w:trPr>
          <w:trHeight w:val="221"/>
        </w:trPr>
        <w:tc>
          <w:tcPr>
            <w:tcW w:w="2553" w:type="dxa"/>
            <w:shd w:val="clear" w:color="auto" w:fill="auto"/>
            <w:vAlign w:val="bottom"/>
            <w:hideMark/>
          </w:tcPr>
          <w:p w14:paraId="25C3026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Franco et al. (2021)</w:t>
            </w:r>
          </w:p>
        </w:tc>
        <w:tc>
          <w:tcPr>
            <w:tcW w:w="1281" w:type="dxa"/>
            <w:shd w:val="clear" w:color="auto" w:fill="auto"/>
            <w:vAlign w:val="bottom"/>
            <w:hideMark/>
          </w:tcPr>
          <w:p w14:paraId="4540E3F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57668C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A9F53C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D5E6BF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4A61893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AD93D8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B1A08E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0D4943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6468C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66D95F6A" w14:textId="77777777" w:rsidTr="008605AD">
        <w:trPr>
          <w:trHeight w:val="221"/>
        </w:trPr>
        <w:tc>
          <w:tcPr>
            <w:tcW w:w="2553" w:type="dxa"/>
            <w:shd w:val="clear" w:color="auto" w:fill="auto"/>
            <w:vAlign w:val="bottom"/>
            <w:hideMark/>
          </w:tcPr>
          <w:p w14:paraId="5EB3F85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Frisch et al. (2014)</w:t>
            </w:r>
          </w:p>
        </w:tc>
        <w:tc>
          <w:tcPr>
            <w:tcW w:w="1281" w:type="dxa"/>
            <w:shd w:val="clear" w:color="auto" w:fill="auto"/>
            <w:vAlign w:val="bottom"/>
            <w:hideMark/>
          </w:tcPr>
          <w:p w14:paraId="394A706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7C606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2E56E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6C5BC9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ADFE7C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ACBE41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5AF9E03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F1B1E4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E657F8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52639F6D" w14:textId="77777777" w:rsidTr="008605AD">
        <w:trPr>
          <w:trHeight w:val="221"/>
        </w:trPr>
        <w:tc>
          <w:tcPr>
            <w:tcW w:w="2553" w:type="dxa"/>
            <w:shd w:val="clear" w:color="auto" w:fill="auto"/>
            <w:vAlign w:val="bottom"/>
            <w:hideMark/>
          </w:tcPr>
          <w:p w14:paraId="3C2E4065"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Galinha</w:t>
            </w:r>
            <w:proofErr w:type="spellEnd"/>
            <w:r w:rsidRPr="001A6918">
              <w:rPr>
                <w:rFonts w:ascii="Times New Roman" w:hAnsi="Times New Roman" w:cs="Times New Roman"/>
                <w:color w:val="000000"/>
                <w:sz w:val="16"/>
                <w:szCs w:val="16"/>
              </w:rPr>
              <w:t xml:space="preserve"> et al. (2022)</w:t>
            </w:r>
          </w:p>
        </w:tc>
        <w:tc>
          <w:tcPr>
            <w:tcW w:w="1281" w:type="dxa"/>
            <w:shd w:val="clear" w:color="auto" w:fill="auto"/>
            <w:vAlign w:val="bottom"/>
            <w:hideMark/>
          </w:tcPr>
          <w:p w14:paraId="5569493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329C93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519632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9FE9C8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7C79F1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02F0A1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7A34BA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E9944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8E849C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3C20A670" w14:textId="77777777" w:rsidTr="008605AD">
        <w:trPr>
          <w:trHeight w:val="221"/>
        </w:trPr>
        <w:tc>
          <w:tcPr>
            <w:tcW w:w="2553" w:type="dxa"/>
            <w:shd w:val="clear" w:color="auto" w:fill="auto"/>
            <w:vAlign w:val="bottom"/>
            <w:hideMark/>
          </w:tcPr>
          <w:p w14:paraId="52E7F8A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Gallagher et al. (2014)</w:t>
            </w:r>
          </w:p>
        </w:tc>
        <w:tc>
          <w:tcPr>
            <w:tcW w:w="1281" w:type="dxa"/>
            <w:shd w:val="clear" w:color="auto" w:fill="auto"/>
            <w:vAlign w:val="bottom"/>
            <w:hideMark/>
          </w:tcPr>
          <w:p w14:paraId="283B19A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E52EBB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4E2A789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E621FD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56C37C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3A56BE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C29016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C28157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8CBC3B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1E8B29D0" w14:textId="77777777" w:rsidTr="008605AD">
        <w:trPr>
          <w:trHeight w:val="221"/>
        </w:trPr>
        <w:tc>
          <w:tcPr>
            <w:tcW w:w="2553" w:type="dxa"/>
            <w:shd w:val="clear" w:color="auto" w:fill="auto"/>
            <w:vAlign w:val="bottom"/>
            <w:hideMark/>
          </w:tcPr>
          <w:p w14:paraId="4B9DF7D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Gallagher et al. (2021)</w:t>
            </w:r>
          </w:p>
        </w:tc>
        <w:tc>
          <w:tcPr>
            <w:tcW w:w="1281" w:type="dxa"/>
            <w:shd w:val="clear" w:color="auto" w:fill="auto"/>
            <w:vAlign w:val="bottom"/>
            <w:hideMark/>
          </w:tcPr>
          <w:p w14:paraId="063AF00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E179B2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AA81A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DFE701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1E62D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9C1C49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99EC3F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ACFE98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53E352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6F05118F" w14:textId="77777777" w:rsidTr="008605AD">
        <w:trPr>
          <w:trHeight w:val="221"/>
        </w:trPr>
        <w:tc>
          <w:tcPr>
            <w:tcW w:w="2553" w:type="dxa"/>
            <w:shd w:val="clear" w:color="auto" w:fill="auto"/>
            <w:vAlign w:val="bottom"/>
          </w:tcPr>
          <w:p w14:paraId="5BCFCCF4"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Giesebrecht</w:t>
            </w:r>
            <w:proofErr w:type="spellEnd"/>
            <w:r w:rsidRPr="001A6918">
              <w:rPr>
                <w:rFonts w:ascii="Times New Roman" w:hAnsi="Times New Roman" w:cs="Times New Roman"/>
                <w:color w:val="000000"/>
                <w:sz w:val="16"/>
                <w:szCs w:val="16"/>
              </w:rPr>
              <w:t xml:space="preserve"> et al. (2024)</w:t>
            </w:r>
          </w:p>
        </w:tc>
        <w:tc>
          <w:tcPr>
            <w:tcW w:w="1281" w:type="dxa"/>
            <w:shd w:val="clear" w:color="auto" w:fill="auto"/>
            <w:vAlign w:val="bottom"/>
          </w:tcPr>
          <w:p w14:paraId="4DF695E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7E213B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071B27E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7D77DC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6100E42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7A3C9F9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2C3BA1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9C650B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813EA0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503019A1" w14:textId="77777777" w:rsidTr="008605AD">
        <w:trPr>
          <w:trHeight w:val="221"/>
        </w:trPr>
        <w:tc>
          <w:tcPr>
            <w:tcW w:w="2553" w:type="dxa"/>
            <w:shd w:val="clear" w:color="auto" w:fill="auto"/>
            <w:vAlign w:val="bottom"/>
            <w:hideMark/>
          </w:tcPr>
          <w:p w14:paraId="307F9C0D"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Gleibs</w:t>
            </w:r>
            <w:proofErr w:type="spellEnd"/>
            <w:r w:rsidRPr="001A6918">
              <w:rPr>
                <w:rFonts w:ascii="Times New Roman" w:hAnsi="Times New Roman" w:cs="Times New Roman"/>
                <w:color w:val="000000"/>
                <w:sz w:val="16"/>
                <w:szCs w:val="16"/>
              </w:rPr>
              <w:t xml:space="preserve"> et al. (2011)</w:t>
            </w:r>
          </w:p>
        </w:tc>
        <w:tc>
          <w:tcPr>
            <w:tcW w:w="1281" w:type="dxa"/>
            <w:shd w:val="clear" w:color="auto" w:fill="auto"/>
            <w:vAlign w:val="bottom"/>
            <w:hideMark/>
          </w:tcPr>
          <w:p w14:paraId="2A92775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FFA000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4E0E7B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325132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05D365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2FB23D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799E2D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5A02AB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C94B6A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352E5F25" w14:textId="77777777" w:rsidTr="008605AD">
        <w:trPr>
          <w:trHeight w:val="221"/>
        </w:trPr>
        <w:tc>
          <w:tcPr>
            <w:tcW w:w="2553" w:type="dxa"/>
            <w:shd w:val="clear" w:color="auto" w:fill="auto"/>
            <w:vAlign w:val="bottom"/>
            <w:hideMark/>
          </w:tcPr>
          <w:p w14:paraId="6054241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Gregson et al. (2011)</w:t>
            </w:r>
          </w:p>
        </w:tc>
        <w:tc>
          <w:tcPr>
            <w:tcW w:w="1281" w:type="dxa"/>
            <w:shd w:val="clear" w:color="auto" w:fill="auto"/>
            <w:vAlign w:val="bottom"/>
            <w:hideMark/>
          </w:tcPr>
          <w:p w14:paraId="16F9175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hideMark/>
          </w:tcPr>
          <w:p w14:paraId="6D022D8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0799F06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37A8A7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5C311AB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2DB1C1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hideMark/>
          </w:tcPr>
          <w:p w14:paraId="0AD2C73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330C59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11A334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7</w:t>
            </w:r>
          </w:p>
        </w:tc>
      </w:tr>
      <w:tr w:rsidR="001F64BB" w:rsidRPr="001A6918" w14:paraId="33591C1A" w14:textId="77777777" w:rsidTr="008605AD">
        <w:trPr>
          <w:trHeight w:val="221"/>
        </w:trPr>
        <w:tc>
          <w:tcPr>
            <w:tcW w:w="2553" w:type="dxa"/>
            <w:shd w:val="clear" w:color="auto" w:fill="auto"/>
            <w:vAlign w:val="bottom"/>
          </w:tcPr>
          <w:p w14:paraId="4F04F04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Griffin et al. (2025)</w:t>
            </w:r>
          </w:p>
        </w:tc>
        <w:tc>
          <w:tcPr>
            <w:tcW w:w="1281" w:type="dxa"/>
            <w:shd w:val="clear" w:color="auto" w:fill="auto"/>
            <w:vAlign w:val="bottom"/>
          </w:tcPr>
          <w:p w14:paraId="0B8375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D5257B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AFB8AB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F04EDF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0B29D6A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F1C87C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492BA1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6BF9A61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6364F6B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36F02101" w14:textId="77777777" w:rsidTr="008605AD">
        <w:trPr>
          <w:trHeight w:val="221"/>
        </w:trPr>
        <w:tc>
          <w:tcPr>
            <w:tcW w:w="2553" w:type="dxa"/>
            <w:shd w:val="clear" w:color="auto" w:fill="auto"/>
            <w:vAlign w:val="bottom"/>
          </w:tcPr>
          <w:p w14:paraId="7C97DA92"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Grunseit</w:t>
            </w:r>
            <w:proofErr w:type="spellEnd"/>
            <w:r w:rsidRPr="001A6918">
              <w:rPr>
                <w:rFonts w:ascii="Times New Roman" w:hAnsi="Times New Roman" w:cs="Times New Roman"/>
                <w:color w:val="000000"/>
                <w:sz w:val="16"/>
                <w:szCs w:val="16"/>
              </w:rPr>
              <w:t xml:space="preserve"> et al. (2024a)</w:t>
            </w:r>
          </w:p>
        </w:tc>
        <w:tc>
          <w:tcPr>
            <w:tcW w:w="1281" w:type="dxa"/>
            <w:shd w:val="clear" w:color="auto" w:fill="auto"/>
            <w:vAlign w:val="bottom"/>
          </w:tcPr>
          <w:p w14:paraId="68A91E0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AF1F0A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EA9DEA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05D092E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2DA06BB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E51A72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1D870C5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0F138D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11ED57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12DCB617" w14:textId="77777777" w:rsidTr="008605AD">
        <w:trPr>
          <w:trHeight w:val="221"/>
        </w:trPr>
        <w:tc>
          <w:tcPr>
            <w:tcW w:w="2553" w:type="dxa"/>
            <w:shd w:val="clear" w:color="auto" w:fill="auto"/>
            <w:vAlign w:val="bottom"/>
          </w:tcPr>
          <w:p w14:paraId="352EF6FC"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Grunseit</w:t>
            </w:r>
            <w:proofErr w:type="spellEnd"/>
            <w:r w:rsidRPr="001A6918">
              <w:rPr>
                <w:rFonts w:ascii="Times New Roman" w:hAnsi="Times New Roman" w:cs="Times New Roman"/>
                <w:color w:val="000000"/>
                <w:sz w:val="16"/>
                <w:szCs w:val="16"/>
              </w:rPr>
              <w:t xml:space="preserve"> et al. (2024b)</w:t>
            </w:r>
          </w:p>
        </w:tc>
        <w:tc>
          <w:tcPr>
            <w:tcW w:w="1281" w:type="dxa"/>
            <w:shd w:val="clear" w:color="auto" w:fill="auto"/>
            <w:vAlign w:val="bottom"/>
          </w:tcPr>
          <w:p w14:paraId="65C5F04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5A069C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606CCC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6DEB1E9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7001BCC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DB41F6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52253E5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79D5182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F0C386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035B5202" w14:textId="77777777" w:rsidTr="008605AD">
        <w:trPr>
          <w:trHeight w:val="221"/>
        </w:trPr>
        <w:tc>
          <w:tcPr>
            <w:tcW w:w="2553" w:type="dxa"/>
            <w:shd w:val="clear" w:color="auto" w:fill="auto"/>
            <w:vAlign w:val="bottom"/>
            <w:hideMark/>
          </w:tcPr>
          <w:p w14:paraId="38424EC6"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Guendelman</w:t>
            </w:r>
            <w:proofErr w:type="spellEnd"/>
            <w:r w:rsidRPr="001A6918">
              <w:rPr>
                <w:rFonts w:ascii="Times New Roman" w:hAnsi="Times New Roman" w:cs="Times New Roman"/>
                <w:color w:val="000000"/>
                <w:sz w:val="16"/>
                <w:szCs w:val="16"/>
              </w:rPr>
              <w:t xml:space="preserve"> </w:t>
            </w:r>
            <w:proofErr w:type="gramStart"/>
            <w:r w:rsidRPr="001A6918">
              <w:rPr>
                <w:rFonts w:ascii="Times New Roman" w:hAnsi="Times New Roman" w:cs="Times New Roman"/>
                <w:color w:val="000000"/>
                <w:sz w:val="16"/>
                <w:szCs w:val="16"/>
              </w:rPr>
              <w:t>et al.(</w:t>
            </w:r>
            <w:proofErr w:type="gramEnd"/>
            <w:r w:rsidRPr="001A6918">
              <w:rPr>
                <w:rFonts w:ascii="Times New Roman" w:hAnsi="Times New Roman" w:cs="Times New Roman"/>
                <w:color w:val="000000"/>
                <w:sz w:val="16"/>
                <w:szCs w:val="16"/>
              </w:rPr>
              <w:t>2011) [Study 2]</w:t>
            </w:r>
          </w:p>
        </w:tc>
        <w:tc>
          <w:tcPr>
            <w:tcW w:w="1281" w:type="dxa"/>
            <w:shd w:val="clear" w:color="auto" w:fill="auto"/>
            <w:vAlign w:val="bottom"/>
            <w:hideMark/>
          </w:tcPr>
          <w:p w14:paraId="62D4C12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703742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A8BB45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C93367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69D559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CEA2E7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F05818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147841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FA2607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6564A9A0" w14:textId="77777777" w:rsidTr="008605AD">
        <w:trPr>
          <w:trHeight w:val="221"/>
        </w:trPr>
        <w:tc>
          <w:tcPr>
            <w:tcW w:w="2553" w:type="dxa"/>
            <w:shd w:val="clear" w:color="auto" w:fill="auto"/>
            <w:vAlign w:val="bottom"/>
            <w:hideMark/>
          </w:tcPr>
          <w:p w14:paraId="6165CC1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Halbeisen et al. (2023)</w:t>
            </w:r>
          </w:p>
        </w:tc>
        <w:tc>
          <w:tcPr>
            <w:tcW w:w="1281" w:type="dxa"/>
            <w:shd w:val="clear" w:color="auto" w:fill="auto"/>
            <w:vAlign w:val="bottom"/>
            <w:hideMark/>
          </w:tcPr>
          <w:p w14:paraId="19544B4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1D83FF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01A3BB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971F80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44429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5F676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B39148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7D6634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6AA7C0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78B67F71" w14:textId="77777777" w:rsidTr="008605AD">
        <w:trPr>
          <w:trHeight w:val="221"/>
        </w:trPr>
        <w:tc>
          <w:tcPr>
            <w:tcW w:w="2553" w:type="dxa"/>
            <w:shd w:val="clear" w:color="auto" w:fill="auto"/>
            <w:vAlign w:val="bottom"/>
            <w:hideMark/>
          </w:tcPr>
          <w:p w14:paraId="61CC48D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Harpham et al. (2006)</w:t>
            </w:r>
          </w:p>
        </w:tc>
        <w:tc>
          <w:tcPr>
            <w:tcW w:w="1281" w:type="dxa"/>
            <w:shd w:val="clear" w:color="auto" w:fill="auto"/>
            <w:noWrap/>
            <w:vAlign w:val="bottom"/>
            <w:hideMark/>
          </w:tcPr>
          <w:p w14:paraId="751391F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AD452A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E72BB7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28F6B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3319E7B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3DBB9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1F611D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BBE8FC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89FE23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35119165" w14:textId="77777777" w:rsidTr="008605AD">
        <w:trPr>
          <w:trHeight w:val="221"/>
        </w:trPr>
        <w:tc>
          <w:tcPr>
            <w:tcW w:w="2553" w:type="dxa"/>
            <w:shd w:val="clear" w:color="auto" w:fill="auto"/>
            <w:vAlign w:val="bottom"/>
            <w:hideMark/>
          </w:tcPr>
          <w:p w14:paraId="0C4410F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Haslam &amp; Reicher (2006)</w:t>
            </w:r>
          </w:p>
        </w:tc>
        <w:tc>
          <w:tcPr>
            <w:tcW w:w="1281" w:type="dxa"/>
            <w:shd w:val="clear" w:color="auto" w:fill="auto"/>
            <w:vAlign w:val="bottom"/>
            <w:hideMark/>
          </w:tcPr>
          <w:p w14:paraId="2A4C3B7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992D6C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1460B6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7310F7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502C25C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48B1DDF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A9D400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DAED4B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724425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5BD75BB4" w14:textId="77777777" w:rsidTr="008605AD">
        <w:trPr>
          <w:trHeight w:val="221"/>
        </w:trPr>
        <w:tc>
          <w:tcPr>
            <w:tcW w:w="2553" w:type="dxa"/>
            <w:shd w:val="clear" w:color="auto" w:fill="auto"/>
            <w:vAlign w:val="bottom"/>
            <w:hideMark/>
          </w:tcPr>
          <w:p w14:paraId="7E039359"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Häusser</w:t>
            </w:r>
            <w:proofErr w:type="spellEnd"/>
            <w:r w:rsidRPr="001A6918">
              <w:rPr>
                <w:rFonts w:ascii="Times New Roman" w:hAnsi="Times New Roman" w:cs="Times New Roman"/>
                <w:color w:val="000000"/>
                <w:sz w:val="16"/>
                <w:szCs w:val="16"/>
              </w:rPr>
              <w:t xml:space="preserve"> et al. (2012) </w:t>
            </w:r>
          </w:p>
        </w:tc>
        <w:tc>
          <w:tcPr>
            <w:tcW w:w="1281" w:type="dxa"/>
            <w:shd w:val="clear" w:color="auto" w:fill="auto"/>
            <w:vAlign w:val="bottom"/>
            <w:hideMark/>
          </w:tcPr>
          <w:p w14:paraId="6A38BE5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DEBA10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38D0F3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8E698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3726BA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799C8A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1B4863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8DBF0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9E546B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4F5F6402" w14:textId="77777777" w:rsidTr="008605AD">
        <w:trPr>
          <w:trHeight w:val="221"/>
        </w:trPr>
        <w:tc>
          <w:tcPr>
            <w:tcW w:w="2553" w:type="dxa"/>
            <w:shd w:val="clear" w:color="auto" w:fill="auto"/>
            <w:vAlign w:val="bottom"/>
            <w:hideMark/>
          </w:tcPr>
          <w:p w14:paraId="6FE5F08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lastRenderedPageBreak/>
              <w:t>Hunger et al. (2018)</w:t>
            </w:r>
          </w:p>
        </w:tc>
        <w:tc>
          <w:tcPr>
            <w:tcW w:w="1281" w:type="dxa"/>
            <w:shd w:val="clear" w:color="auto" w:fill="auto"/>
            <w:vAlign w:val="bottom"/>
            <w:hideMark/>
          </w:tcPr>
          <w:p w14:paraId="6349CA6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0E6BD6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4EFC755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62ED73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E03F4F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D944E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234387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867071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3870F3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640CC7A7" w14:textId="77777777" w:rsidTr="008605AD">
        <w:trPr>
          <w:trHeight w:val="221"/>
        </w:trPr>
        <w:tc>
          <w:tcPr>
            <w:tcW w:w="2553" w:type="dxa"/>
            <w:shd w:val="clear" w:color="auto" w:fill="auto"/>
            <w:vAlign w:val="bottom"/>
          </w:tcPr>
          <w:p w14:paraId="198C6EF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Inoue et al. (2024)</w:t>
            </w:r>
          </w:p>
        </w:tc>
        <w:tc>
          <w:tcPr>
            <w:tcW w:w="1281" w:type="dxa"/>
            <w:shd w:val="clear" w:color="auto" w:fill="auto"/>
            <w:noWrap/>
            <w:vAlign w:val="bottom"/>
          </w:tcPr>
          <w:p w14:paraId="3B89526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1E2AB8A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67FB590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High </w:t>
            </w:r>
          </w:p>
        </w:tc>
        <w:tc>
          <w:tcPr>
            <w:tcW w:w="1281" w:type="dxa"/>
            <w:shd w:val="clear" w:color="auto" w:fill="auto"/>
            <w:noWrap/>
            <w:vAlign w:val="bottom"/>
          </w:tcPr>
          <w:p w14:paraId="30924FE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780F66B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01E5787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5B4B473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71F80EF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54628EC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0B1113CC" w14:textId="77777777" w:rsidTr="008605AD">
        <w:trPr>
          <w:trHeight w:val="221"/>
        </w:trPr>
        <w:tc>
          <w:tcPr>
            <w:tcW w:w="2553" w:type="dxa"/>
            <w:shd w:val="clear" w:color="auto" w:fill="auto"/>
            <w:vAlign w:val="bottom"/>
            <w:hideMark/>
          </w:tcPr>
          <w:p w14:paraId="59543D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Jones &amp; Jetten (2011) [Study 1]</w:t>
            </w:r>
          </w:p>
        </w:tc>
        <w:tc>
          <w:tcPr>
            <w:tcW w:w="1281" w:type="dxa"/>
            <w:shd w:val="clear" w:color="auto" w:fill="auto"/>
            <w:noWrap/>
            <w:vAlign w:val="bottom"/>
            <w:hideMark/>
          </w:tcPr>
          <w:p w14:paraId="0FCAACB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D515F9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hideMark/>
          </w:tcPr>
          <w:p w14:paraId="65CD260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A37E1D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1CDF90A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47BE370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752F7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74F6FDD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427484A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5AE01420" w14:textId="77777777" w:rsidTr="008605AD">
        <w:trPr>
          <w:trHeight w:val="221"/>
        </w:trPr>
        <w:tc>
          <w:tcPr>
            <w:tcW w:w="2553" w:type="dxa"/>
            <w:shd w:val="clear" w:color="auto" w:fill="auto"/>
            <w:vAlign w:val="bottom"/>
            <w:hideMark/>
          </w:tcPr>
          <w:p w14:paraId="29311D8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Jones &amp; Jetten (2011) [Study 2]</w:t>
            </w:r>
          </w:p>
        </w:tc>
        <w:tc>
          <w:tcPr>
            <w:tcW w:w="1281" w:type="dxa"/>
            <w:shd w:val="clear" w:color="auto" w:fill="auto"/>
            <w:noWrap/>
            <w:vAlign w:val="bottom"/>
            <w:hideMark/>
          </w:tcPr>
          <w:p w14:paraId="5C46822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17FC28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3FAF51C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43E0F5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2849DBA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347D63D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496C5A2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5CCBF16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16F89E5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0159923F" w14:textId="77777777" w:rsidTr="008605AD">
        <w:trPr>
          <w:trHeight w:val="221"/>
        </w:trPr>
        <w:tc>
          <w:tcPr>
            <w:tcW w:w="2553" w:type="dxa"/>
            <w:shd w:val="clear" w:color="auto" w:fill="auto"/>
            <w:vAlign w:val="bottom"/>
            <w:hideMark/>
          </w:tcPr>
          <w:p w14:paraId="6170EE42"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Ketturat</w:t>
            </w:r>
            <w:proofErr w:type="spellEnd"/>
            <w:r w:rsidRPr="001A6918">
              <w:rPr>
                <w:rFonts w:ascii="Times New Roman" w:hAnsi="Times New Roman" w:cs="Times New Roman"/>
                <w:color w:val="000000"/>
                <w:sz w:val="16"/>
                <w:szCs w:val="16"/>
              </w:rPr>
              <w:t xml:space="preserve"> et al. (2016)</w:t>
            </w:r>
          </w:p>
        </w:tc>
        <w:tc>
          <w:tcPr>
            <w:tcW w:w="1281" w:type="dxa"/>
            <w:shd w:val="clear" w:color="auto" w:fill="auto"/>
            <w:vAlign w:val="bottom"/>
            <w:hideMark/>
          </w:tcPr>
          <w:p w14:paraId="447143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3C2F4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7EFCFE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607A17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7DCA362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518D8EC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AA485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5A5533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275841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1184AA6A" w14:textId="77777777" w:rsidTr="008605AD">
        <w:trPr>
          <w:trHeight w:val="221"/>
        </w:trPr>
        <w:tc>
          <w:tcPr>
            <w:tcW w:w="2553" w:type="dxa"/>
            <w:shd w:val="clear" w:color="auto" w:fill="auto"/>
            <w:vAlign w:val="bottom"/>
            <w:hideMark/>
          </w:tcPr>
          <w:p w14:paraId="644C223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Khan et al. (2020)</w:t>
            </w:r>
          </w:p>
        </w:tc>
        <w:tc>
          <w:tcPr>
            <w:tcW w:w="1281" w:type="dxa"/>
            <w:shd w:val="clear" w:color="auto" w:fill="auto"/>
            <w:vAlign w:val="bottom"/>
            <w:hideMark/>
          </w:tcPr>
          <w:p w14:paraId="57C9CC6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3B3A61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DF6D6C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19A933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720DA52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085A7A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27D8D7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A8888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D8AD11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64CB63F8" w14:textId="77777777" w:rsidTr="008605AD">
        <w:trPr>
          <w:trHeight w:val="221"/>
        </w:trPr>
        <w:tc>
          <w:tcPr>
            <w:tcW w:w="2553" w:type="dxa"/>
            <w:shd w:val="clear" w:color="auto" w:fill="auto"/>
            <w:vAlign w:val="bottom"/>
            <w:hideMark/>
          </w:tcPr>
          <w:p w14:paraId="298A616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Liu &amp; Higgs (2019) [Study 1]</w:t>
            </w:r>
          </w:p>
        </w:tc>
        <w:tc>
          <w:tcPr>
            <w:tcW w:w="1281" w:type="dxa"/>
            <w:shd w:val="clear" w:color="auto" w:fill="auto"/>
            <w:vAlign w:val="bottom"/>
            <w:hideMark/>
          </w:tcPr>
          <w:p w14:paraId="3CC85FE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E14CBF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EE14D1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45687E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6A9678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BF4F3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F27456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09DD4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1EB8E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73E6098E" w14:textId="77777777" w:rsidTr="008605AD">
        <w:trPr>
          <w:trHeight w:val="221"/>
        </w:trPr>
        <w:tc>
          <w:tcPr>
            <w:tcW w:w="2553" w:type="dxa"/>
            <w:shd w:val="clear" w:color="auto" w:fill="auto"/>
            <w:vAlign w:val="bottom"/>
            <w:hideMark/>
          </w:tcPr>
          <w:p w14:paraId="69C704B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Liu &amp; Higgs (2019) [Study 2]</w:t>
            </w:r>
          </w:p>
        </w:tc>
        <w:tc>
          <w:tcPr>
            <w:tcW w:w="1281" w:type="dxa"/>
            <w:shd w:val="clear" w:color="auto" w:fill="auto"/>
            <w:vAlign w:val="bottom"/>
            <w:hideMark/>
          </w:tcPr>
          <w:p w14:paraId="130E038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BAB353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224E4D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C6B8A2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4A0050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9ED0DD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63800F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D88D45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46458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362B6117" w14:textId="77777777" w:rsidTr="008605AD">
        <w:trPr>
          <w:trHeight w:val="221"/>
        </w:trPr>
        <w:tc>
          <w:tcPr>
            <w:tcW w:w="2553" w:type="dxa"/>
            <w:shd w:val="clear" w:color="auto" w:fill="auto"/>
            <w:vAlign w:val="bottom"/>
            <w:hideMark/>
          </w:tcPr>
          <w:p w14:paraId="5B0991A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Liu, Thomas &amp; Higgs (2019) [Study 3]</w:t>
            </w:r>
          </w:p>
        </w:tc>
        <w:tc>
          <w:tcPr>
            <w:tcW w:w="1281" w:type="dxa"/>
            <w:shd w:val="clear" w:color="auto" w:fill="auto"/>
            <w:vAlign w:val="bottom"/>
            <w:hideMark/>
          </w:tcPr>
          <w:p w14:paraId="1925CAA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9DC1C5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C3928B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7DC349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DAA0E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F5CB20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225F7F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A7185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65CEE3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0DBFE64C" w14:textId="77777777" w:rsidTr="008605AD">
        <w:trPr>
          <w:trHeight w:val="221"/>
        </w:trPr>
        <w:tc>
          <w:tcPr>
            <w:tcW w:w="2553" w:type="dxa"/>
            <w:shd w:val="clear" w:color="auto" w:fill="auto"/>
            <w:vAlign w:val="bottom"/>
          </w:tcPr>
          <w:p w14:paraId="3938702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Ma, Chen &amp; Wang (2024)</w:t>
            </w:r>
          </w:p>
        </w:tc>
        <w:tc>
          <w:tcPr>
            <w:tcW w:w="1281" w:type="dxa"/>
            <w:shd w:val="clear" w:color="auto" w:fill="auto"/>
            <w:vAlign w:val="bottom"/>
          </w:tcPr>
          <w:p w14:paraId="4534000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6F207A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3E1C55D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016714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5804658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BB85A8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2A76403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5896C6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54103B4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015451E8" w14:textId="77777777" w:rsidTr="008605AD">
        <w:trPr>
          <w:trHeight w:val="221"/>
        </w:trPr>
        <w:tc>
          <w:tcPr>
            <w:tcW w:w="2553" w:type="dxa"/>
            <w:shd w:val="clear" w:color="auto" w:fill="auto"/>
            <w:vAlign w:val="bottom"/>
            <w:hideMark/>
          </w:tcPr>
          <w:p w14:paraId="15F2A59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Matheson &amp; Cole (2004)</w:t>
            </w:r>
          </w:p>
        </w:tc>
        <w:tc>
          <w:tcPr>
            <w:tcW w:w="1281" w:type="dxa"/>
            <w:shd w:val="clear" w:color="auto" w:fill="auto"/>
            <w:vAlign w:val="bottom"/>
            <w:hideMark/>
          </w:tcPr>
          <w:p w14:paraId="18C82DC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2904E6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51BD67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7FED33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5FAC6B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0A6487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6373CA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01F6FD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11297B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64C8F83B" w14:textId="77777777" w:rsidTr="008605AD">
        <w:trPr>
          <w:trHeight w:val="221"/>
        </w:trPr>
        <w:tc>
          <w:tcPr>
            <w:tcW w:w="2553" w:type="dxa"/>
            <w:shd w:val="clear" w:color="auto" w:fill="auto"/>
            <w:vAlign w:val="bottom"/>
            <w:hideMark/>
          </w:tcPr>
          <w:p w14:paraId="1AD6EAC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McCleary-Gaddy </w:t>
            </w:r>
            <w:proofErr w:type="gramStart"/>
            <w:r w:rsidRPr="001A6918">
              <w:rPr>
                <w:rFonts w:ascii="Times New Roman" w:hAnsi="Times New Roman" w:cs="Times New Roman"/>
                <w:color w:val="000000"/>
                <w:sz w:val="16"/>
                <w:szCs w:val="16"/>
              </w:rPr>
              <w:t>et al.(</w:t>
            </w:r>
            <w:proofErr w:type="gramEnd"/>
            <w:r w:rsidRPr="001A6918">
              <w:rPr>
                <w:rFonts w:ascii="Times New Roman" w:hAnsi="Times New Roman" w:cs="Times New Roman"/>
                <w:color w:val="000000"/>
                <w:sz w:val="16"/>
                <w:szCs w:val="16"/>
              </w:rPr>
              <w:t>2019)</w:t>
            </w:r>
          </w:p>
        </w:tc>
        <w:tc>
          <w:tcPr>
            <w:tcW w:w="1281" w:type="dxa"/>
            <w:shd w:val="clear" w:color="auto" w:fill="auto"/>
            <w:vAlign w:val="bottom"/>
            <w:hideMark/>
          </w:tcPr>
          <w:p w14:paraId="41F8AD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C3085F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6C8F8FC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A8C5AC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5582694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70D36A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0F6CCE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71ECB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37684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4C4D767A" w14:textId="77777777" w:rsidTr="008605AD">
        <w:trPr>
          <w:trHeight w:val="221"/>
        </w:trPr>
        <w:tc>
          <w:tcPr>
            <w:tcW w:w="2553" w:type="dxa"/>
            <w:shd w:val="clear" w:color="auto" w:fill="auto"/>
            <w:vAlign w:val="bottom"/>
          </w:tcPr>
          <w:p w14:paraId="0CE7E0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McCree et al. (2023)</w:t>
            </w:r>
          </w:p>
        </w:tc>
        <w:tc>
          <w:tcPr>
            <w:tcW w:w="1281" w:type="dxa"/>
            <w:shd w:val="clear" w:color="auto" w:fill="auto"/>
            <w:vAlign w:val="bottom"/>
          </w:tcPr>
          <w:p w14:paraId="36A7EB7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302248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643F39A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6892F4B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68C2C36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2D0409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A4A640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tcPr>
          <w:p w14:paraId="72EB45F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6E7F92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35821D28" w14:textId="77777777" w:rsidTr="008605AD">
        <w:trPr>
          <w:trHeight w:val="221"/>
        </w:trPr>
        <w:tc>
          <w:tcPr>
            <w:tcW w:w="2553" w:type="dxa"/>
            <w:shd w:val="clear" w:color="auto" w:fill="auto"/>
            <w:vAlign w:val="bottom"/>
            <w:hideMark/>
          </w:tcPr>
          <w:p w14:paraId="52C6FA1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McLamore et al. (2021)</w:t>
            </w:r>
          </w:p>
        </w:tc>
        <w:tc>
          <w:tcPr>
            <w:tcW w:w="1281" w:type="dxa"/>
            <w:shd w:val="clear" w:color="auto" w:fill="auto"/>
            <w:vAlign w:val="bottom"/>
            <w:hideMark/>
          </w:tcPr>
          <w:p w14:paraId="3675210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68170E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ED5E3F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E97CA4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0380B8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11F8F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2DA20F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530C09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A590E3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0680EC17" w14:textId="77777777" w:rsidTr="008605AD">
        <w:trPr>
          <w:trHeight w:val="221"/>
        </w:trPr>
        <w:tc>
          <w:tcPr>
            <w:tcW w:w="2553" w:type="dxa"/>
            <w:shd w:val="clear" w:color="auto" w:fill="auto"/>
            <w:vAlign w:val="bottom"/>
            <w:hideMark/>
          </w:tcPr>
          <w:p w14:paraId="5BA559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McMahon et al (unpublished)</w:t>
            </w:r>
          </w:p>
        </w:tc>
        <w:tc>
          <w:tcPr>
            <w:tcW w:w="1281" w:type="dxa"/>
            <w:shd w:val="clear" w:color="auto" w:fill="auto"/>
            <w:vAlign w:val="bottom"/>
            <w:hideMark/>
          </w:tcPr>
          <w:p w14:paraId="716A58A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7D71ED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2C6C5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E9167C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7B46199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B4FFAA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65012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8E5111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6CDF6C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5C395305" w14:textId="77777777" w:rsidTr="008605AD">
        <w:trPr>
          <w:trHeight w:val="221"/>
        </w:trPr>
        <w:tc>
          <w:tcPr>
            <w:tcW w:w="2553" w:type="dxa"/>
            <w:shd w:val="clear" w:color="auto" w:fill="auto"/>
            <w:vAlign w:val="bottom"/>
          </w:tcPr>
          <w:p w14:paraId="1AEDDFE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McMahon et al. (2024a)</w:t>
            </w:r>
          </w:p>
        </w:tc>
        <w:tc>
          <w:tcPr>
            <w:tcW w:w="1281" w:type="dxa"/>
            <w:shd w:val="clear" w:color="auto" w:fill="auto"/>
            <w:vAlign w:val="bottom"/>
          </w:tcPr>
          <w:p w14:paraId="32B2BD6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E195CF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7E0FE77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330810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36D1A7B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41B81E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E5348C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C1B7CD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59124A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69D37B53" w14:textId="77777777" w:rsidTr="008605AD">
        <w:trPr>
          <w:trHeight w:val="221"/>
        </w:trPr>
        <w:tc>
          <w:tcPr>
            <w:tcW w:w="2553" w:type="dxa"/>
            <w:shd w:val="clear" w:color="auto" w:fill="auto"/>
            <w:vAlign w:val="bottom"/>
          </w:tcPr>
          <w:p w14:paraId="1E32D3F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McMahon et al. (2024b)</w:t>
            </w:r>
          </w:p>
        </w:tc>
        <w:tc>
          <w:tcPr>
            <w:tcW w:w="1281" w:type="dxa"/>
            <w:shd w:val="clear" w:color="auto" w:fill="auto"/>
            <w:vAlign w:val="bottom"/>
          </w:tcPr>
          <w:p w14:paraId="1EFB5D5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C38909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110F133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A603D0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29131E6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D82008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F5A195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E8B45E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6006395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365C3C84" w14:textId="77777777" w:rsidTr="008605AD">
        <w:trPr>
          <w:trHeight w:val="221"/>
        </w:trPr>
        <w:tc>
          <w:tcPr>
            <w:tcW w:w="2553" w:type="dxa"/>
            <w:shd w:val="clear" w:color="auto" w:fill="auto"/>
            <w:vAlign w:val="bottom"/>
            <w:hideMark/>
          </w:tcPr>
          <w:p w14:paraId="712F177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Mendes et al. (2007)</w:t>
            </w:r>
          </w:p>
        </w:tc>
        <w:tc>
          <w:tcPr>
            <w:tcW w:w="1281" w:type="dxa"/>
            <w:shd w:val="clear" w:color="auto" w:fill="auto"/>
            <w:vAlign w:val="bottom"/>
            <w:hideMark/>
          </w:tcPr>
          <w:p w14:paraId="36A4E55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EFDEBE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E4EEAF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498992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D37AF4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C4C0F4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CF32AE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7C2A3E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116E50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15CCFCDF" w14:textId="77777777" w:rsidTr="008605AD">
        <w:trPr>
          <w:trHeight w:val="221"/>
        </w:trPr>
        <w:tc>
          <w:tcPr>
            <w:tcW w:w="2553" w:type="dxa"/>
            <w:shd w:val="clear" w:color="auto" w:fill="auto"/>
            <w:vAlign w:val="bottom"/>
          </w:tcPr>
          <w:p w14:paraId="0B8A760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Miller et al. (2021a)</w:t>
            </w:r>
          </w:p>
        </w:tc>
        <w:tc>
          <w:tcPr>
            <w:tcW w:w="1281" w:type="dxa"/>
            <w:shd w:val="clear" w:color="auto" w:fill="auto"/>
            <w:vAlign w:val="bottom"/>
          </w:tcPr>
          <w:p w14:paraId="59DF083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C4A203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22C36ED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3E81290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High </w:t>
            </w:r>
          </w:p>
        </w:tc>
        <w:tc>
          <w:tcPr>
            <w:tcW w:w="1281" w:type="dxa"/>
            <w:shd w:val="clear" w:color="auto" w:fill="auto"/>
            <w:vAlign w:val="bottom"/>
          </w:tcPr>
          <w:p w14:paraId="7C0F6DA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76EE420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D6921A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53DB6C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B9A9ED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7D75E5F5" w14:textId="77777777" w:rsidTr="008605AD">
        <w:trPr>
          <w:trHeight w:val="221"/>
        </w:trPr>
        <w:tc>
          <w:tcPr>
            <w:tcW w:w="2553" w:type="dxa"/>
            <w:shd w:val="clear" w:color="auto" w:fill="auto"/>
            <w:vAlign w:val="bottom"/>
          </w:tcPr>
          <w:p w14:paraId="740DAB2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Miller et al. (2021b) [Study 1]</w:t>
            </w:r>
          </w:p>
        </w:tc>
        <w:tc>
          <w:tcPr>
            <w:tcW w:w="1281" w:type="dxa"/>
            <w:shd w:val="clear" w:color="auto" w:fill="auto"/>
            <w:vAlign w:val="bottom"/>
          </w:tcPr>
          <w:p w14:paraId="4B6C2DE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02A6B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tcPr>
          <w:p w14:paraId="465BE9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F22C5F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411411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24FAD73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61F13E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14A496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9EDA8E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6F63D524" w14:textId="77777777" w:rsidTr="008605AD">
        <w:trPr>
          <w:trHeight w:val="221"/>
        </w:trPr>
        <w:tc>
          <w:tcPr>
            <w:tcW w:w="2553" w:type="dxa"/>
            <w:shd w:val="clear" w:color="auto" w:fill="auto"/>
            <w:vAlign w:val="bottom"/>
          </w:tcPr>
          <w:p w14:paraId="2F03D6C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Miller et al. (2021b) [Study 2]</w:t>
            </w:r>
          </w:p>
        </w:tc>
        <w:tc>
          <w:tcPr>
            <w:tcW w:w="1281" w:type="dxa"/>
            <w:shd w:val="clear" w:color="auto" w:fill="auto"/>
            <w:vAlign w:val="bottom"/>
          </w:tcPr>
          <w:p w14:paraId="4152490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CC99EF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tcPr>
          <w:p w14:paraId="2DE42D6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5AE2F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2673F4D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985E1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02631A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44C5ED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0E013C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5E3A399F" w14:textId="77777777" w:rsidTr="008605AD">
        <w:trPr>
          <w:trHeight w:val="221"/>
        </w:trPr>
        <w:tc>
          <w:tcPr>
            <w:tcW w:w="2553" w:type="dxa"/>
            <w:shd w:val="clear" w:color="auto" w:fill="auto"/>
            <w:vAlign w:val="bottom"/>
            <w:hideMark/>
          </w:tcPr>
          <w:p w14:paraId="63F4BF1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Minagawa &amp; Saito (2015)</w:t>
            </w:r>
          </w:p>
        </w:tc>
        <w:tc>
          <w:tcPr>
            <w:tcW w:w="1281" w:type="dxa"/>
            <w:shd w:val="clear" w:color="auto" w:fill="auto"/>
            <w:vAlign w:val="bottom"/>
            <w:hideMark/>
          </w:tcPr>
          <w:p w14:paraId="3F53965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4BA8DC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03DDB1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AECB44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5CC260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DB196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76B70B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hideMark/>
          </w:tcPr>
          <w:p w14:paraId="0FD021E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B26E3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5FE8E649" w14:textId="77777777" w:rsidTr="008605AD">
        <w:trPr>
          <w:trHeight w:val="221"/>
        </w:trPr>
        <w:tc>
          <w:tcPr>
            <w:tcW w:w="2553" w:type="dxa"/>
            <w:shd w:val="clear" w:color="auto" w:fill="auto"/>
            <w:vAlign w:val="bottom"/>
            <w:hideMark/>
          </w:tcPr>
          <w:p w14:paraId="7AC1713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Murata et al. (2005) </w:t>
            </w:r>
          </w:p>
        </w:tc>
        <w:tc>
          <w:tcPr>
            <w:tcW w:w="1281" w:type="dxa"/>
            <w:shd w:val="clear" w:color="auto" w:fill="auto"/>
            <w:vAlign w:val="bottom"/>
            <w:hideMark/>
          </w:tcPr>
          <w:p w14:paraId="6A21066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FFF528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510E700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1EC3B4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4EAA9C8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243FEC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91C4F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43D820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6B16E8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7A20CE8F" w14:textId="77777777" w:rsidTr="008605AD">
        <w:trPr>
          <w:trHeight w:val="221"/>
        </w:trPr>
        <w:tc>
          <w:tcPr>
            <w:tcW w:w="2553" w:type="dxa"/>
            <w:shd w:val="clear" w:color="auto" w:fill="auto"/>
            <w:vAlign w:val="bottom"/>
            <w:hideMark/>
          </w:tcPr>
          <w:p w14:paraId="04D76AC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Murphy et al. (2007)</w:t>
            </w:r>
          </w:p>
        </w:tc>
        <w:tc>
          <w:tcPr>
            <w:tcW w:w="1281" w:type="dxa"/>
            <w:shd w:val="clear" w:color="auto" w:fill="auto"/>
            <w:vAlign w:val="bottom"/>
            <w:hideMark/>
          </w:tcPr>
          <w:p w14:paraId="5728B34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F729A3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7A92E74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0BF6A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A689D3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A64EF2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D3845E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2DD628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219280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3393B06A" w14:textId="77777777" w:rsidTr="008605AD">
        <w:trPr>
          <w:trHeight w:val="221"/>
        </w:trPr>
        <w:tc>
          <w:tcPr>
            <w:tcW w:w="2553" w:type="dxa"/>
            <w:shd w:val="clear" w:color="auto" w:fill="auto"/>
            <w:vAlign w:val="bottom"/>
            <w:hideMark/>
          </w:tcPr>
          <w:p w14:paraId="57A12B2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Newson et al. (2020)</w:t>
            </w:r>
          </w:p>
        </w:tc>
        <w:tc>
          <w:tcPr>
            <w:tcW w:w="1281" w:type="dxa"/>
            <w:shd w:val="clear" w:color="auto" w:fill="auto"/>
            <w:vAlign w:val="bottom"/>
            <w:hideMark/>
          </w:tcPr>
          <w:p w14:paraId="5D00491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F0192E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A6CCE8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B3BF69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66F1D9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FCF594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0A041A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F033CC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A3F25A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3C70B103" w14:textId="77777777" w:rsidTr="008605AD">
        <w:trPr>
          <w:trHeight w:val="221"/>
        </w:trPr>
        <w:tc>
          <w:tcPr>
            <w:tcW w:w="2553" w:type="dxa"/>
            <w:shd w:val="clear" w:color="auto" w:fill="auto"/>
            <w:vAlign w:val="bottom"/>
            <w:hideMark/>
          </w:tcPr>
          <w:p w14:paraId="43E38FF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Page-Gould et al. (2010)</w:t>
            </w:r>
          </w:p>
        </w:tc>
        <w:tc>
          <w:tcPr>
            <w:tcW w:w="1281" w:type="dxa"/>
            <w:shd w:val="clear" w:color="auto" w:fill="auto"/>
            <w:vAlign w:val="bottom"/>
            <w:hideMark/>
          </w:tcPr>
          <w:p w14:paraId="0C16350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AFCCF3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FA5647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70CF98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7CCD1D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79BB26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B17C5D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A0E0B0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7C99BF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09AAEE48" w14:textId="77777777" w:rsidTr="008605AD">
        <w:trPr>
          <w:trHeight w:val="221"/>
        </w:trPr>
        <w:tc>
          <w:tcPr>
            <w:tcW w:w="2553" w:type="dxa"/>
            <w:shd w:val="clear" w:color="auto" w:fill="auto"/>
            <w:vAlign w:val="bottom"/>
            <w:hideMark/>
          </w:tcPr>
          <w:p w14:paraId="4A43A3F8"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Platow</w:t>
            </w:r>
            <w:proofErr w:type="spellEnd"/>
            <w:r w:rsidRPr="001A6918">
              <w:rPr>
                <w:rFonts w:ascii="Times New Roman" w:hAnsi="Times New Roman" w:cs="Times New Roman"/>
                <w:color w:val="000000"/>
                <w:sz w:val="16"/>
                <w:szCs w:val="16"/>
              </w:rPr>
              <w:t xml:space="preserve"> et al. (2007)</w:t>
            </w:r>
          </w:p>
        </w:tc>
        <w:tc>
          <w:tcPr>
            <w:tcW w:w="1281" w:type="dxa"/>
            <w:shd w:val="clear" w:color="auto" w:fill="auto"/>
            <w:vAlign w:val="bottom"/>
            <w:hideMark/>
          </w:tcPr>
          <w:p w14:paraId="1FF63F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4FA8C1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ADD286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16477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64743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701052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D30C3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2CDAC0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74CD59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2288366E" w14:textId="77777777" w:rsidTr="008605AD">
        <w:trPr>
          <w:trHeight w:val="221"/>
        </w:trPr>
        <w:tc>
          <w:tcPr>
            <w:tcW w:w="2553" w:type="dxa"/>
            <w:shd w:val="clear" w:color="auto" w:fill="auto"/>
            <w:vAlign w:val="bottom"/>
          </w:tcPr>
          <w:p w14:paraId="7D83ED4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Reeves et al. (2024)</w:t>
            </w:r>
          </w:p>
        </w:tc>
        <w:tc>
          <w:tcPr>
            <w:tcW w:w="1281" w:type="dxa"/>
            <w:shd w:val="clear" w:color="auto" w:fill="auto"/>
            <w:vAlign w:val="bottom"/>
          </w:tcPr>
          <w:p w14:paraId="49320A8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FCA487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2E49CC6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0334B7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2AE3932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7907D4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tcPr>
          <w:p w14:paraId="7D24002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92620A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6BF435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6B014CF6" w14:textId="77777777" w:rsidTr="008605AD">
        <w:trPr>
          <w:trHeight w:val="221"/>
        </w:trPr>
        <w:tc>
          <w:tcPr>
            <w:tcW w:w="2553" w:type="dxa"/>
            <w:shd w:val="clear" w:color="auto" w:fill="auto"/>
            <w:vAlign w:val="bottom"/>
            <w:hideMark/>
          </w:tcPr>
          <w:p w14:paraId="5E9CE62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Reis et al. (2023)</w:t>
            </w:r>
          </w:p>
        </w:tc>
        <w:tc>
          <w:tcPr>
            <w:tcW w:w="1281" w:type="dxa"/>
            <w:shd w:val="clear" w:color="auto" w:fill="auto"/>
            <w:vAlign w:val="bottom"/>
            <w:hideMark/>
          </w:tcPr>
          <w:p w14:paraId="4436A8A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FF209B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36C21B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655B6E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156A4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3FDCB2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A67803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FAEBCB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D89655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0D071528" w14:textId="77777777" w:rsidTr="008605AD">
        <w:trPr>
          <w:trHeight w:val="221"/>
        </w:trPr>
        <w:tc>
          <w:tcPr>
            <w:tcW w:w="2553" w:type="dxa"/>
            <w:shd w:val="clear" w:color="auto" w:fill="auto"/>
            <w:vAlign w:val="bottom"/>
            <w:hideMark/>
          </w:tcPr>
          <w:p w14:paraId="2BF26677"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Sampasivam</w:t>
            </w:r>
            <w:proofErr w:type="spellEnd"/>
            <w:r w:rsidRPr="001A6918">
              <w:rPr>
                <w:rFonts w:ascii="Times New Roman" w:hAnsi="Times New Roman" w:cs="Times New Roman"/>
                <w:color w:val="000000"/>
                <w:sz w:val="16"/>
                <w:szCs w:val="16"/>
              </w:rPr>
              <w:t xml:space="preserve"> et al. (2016)</w:t>
            </w:r>
          </w:p>
        </w:tc>
        <w:tc>
          <w:tcPr>
            <w:tcW w:w="1281" w:type="dxa"/>
            <w:shd w:val="clear" w:color="auto" w:fill="auto"/>
            <w:vAlign w:val="bottom"/>
            <w:hideMark/>
          </w:tcPr>
          <w:p w14:paraId="0D51A8B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0C1506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335C7B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13CC5C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37D140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07620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EBAF4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5582C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C87B3B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5B98DF5B" w14:textId="77777777" w:rsidTr="008605AD">
        <w:trPr>
          <w:trHeight w:val="221"/>
        </w:trPr>
        <w:tc>
          <w:tcPr>
            <w:tcW w:w="2553" w:type="dxa"/>
            <w:shd w:val="clear" w:color="auto" w:fill="auto"/>
            <w:vAlign w:val="bottom"/>
            <w:hideMark/>
          </w:tcPr>
          <w:p w14:paraId="63C35B8C"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Sampasivam</w:t>
            </w:r>
            <w:proofErr w:type="spellEnd"/>
            <w:r w:rsidRPr="001A6918">
              <w:rPr>
                <w:rFonts w:ascii="Times New Roman" w:hAnsi="Times New Roman" w:cs="Times New Roman"/>
                <w:color w:val="000000"/>
                <w:sz w:val="16"/>
                <w:szCs w:val="16"/>
              </w:rPr>
              <w:t xml:space="preserve"> et al. (2018)</w:t>
            </w:r>
          </w:p>
        </w:tc>
        <w:tc>
          <w:tcPr>
            <w:tcW w:w="1281" w:type="dxa"/>
            <w:shd w:val="clear" w:color="auto" w:fill="auto"/>
            <w:vAlign w:val="bottom"/>
            <w:hideMark/>
          </w:tcPr>
          <w:p w14:paraId="589BF6A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2525AF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C7921C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E10C96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0B113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49F550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F8E9BC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CFBFDA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A3E1AD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366CD8E1" w14:textId="77777777" w:rsidTr="008605AD">
        <w:trPr>
          <w:trHeight w:val="221"/>
        </w:trPr>
        <w:tc>
          <w:tcPr>
            <w:tcW w:w="2553" w:type="dxa"/>
            <w:shd w:val="clear" w:color="auto" w:fill="auto"/>
            <w:vAlign w:val="bottom"/>
            <w:hideMark/>
          </w:tcPr>
          <w:p w14:paraId="12BD8ED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Sani et al. (2015)</w:t>
            </w:r>
          </w:p>
        </w:tc>
        <w:tc>
          <w:tcPr>
            <w:tcW w:w="1281" w:type="dxa"/>
            <w:shd w:val="clear" w:color="auto" w:fill="auto"/>
            <w:noWrap/>
            <w:vAlign w:val="bottom"/>
            <w:hideMark/>
          </w:tcPr>
          <w:p w14:paraId="0D1C727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176116B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2B0C3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5246ADE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7C8A47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5FDEDB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0395895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AC2C22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C9EE2B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3251091F" w14:textId="77777777" w:rsidTr="008605AD">
        <w:trPr>
          <w:trHeight w:val="221"/>
        </w:trPr>
        <w:tc>
          <w:tcPr>
            <w:tcW w:w="2553" w:type="dxa"/>
            <w:shd w:val="clear" w:color="auto" w:fill="auto"/>
            <w:vAlign w:val="bottom"/>
            <w:hideMark/>
          </w:tcPr>
          <w:p w14:paraId="08C90B6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(2009)</w:t>
            </w:r>
          </w:p>
        </w:tc>
        <w:tc>
          <w:tcPr>
            <w:tcW w:w="1281" w:type="dxa"/>
            <w:shd w:val="clear" w:color="auto" w:fill="auto"/>
            <w:vAlign w:val="bottom"/>
            <w:hideMark/>
          </w:tcPr>
          <w:p w14:paraId="23C6415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7C5437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5B9905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AE3DD6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2B0C8C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133B6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3DAD8B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DB84CA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26185A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6AAE8B21" w14:textId="77777777" w:rsidTr="008605AD">
        <w:trPr>
          <w:trHeight w:val="221"/>
        </w:trPr>
        <w:tc>
          <w:tcPr>
            <w:tcW w:w="2553" w:type="dxa"/>
            <w:shd w:val="clear" w:color="auto" w:fill="auto"/>
            <w:vAlign w:val="bottom"/>
            <w:hideMark/>
          </w:tcPr>
          <w:p w14:paraId="69D7BF9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(2017)</w:t>
            </w:r>
          </w:p>
        </w:tc>
        <w:tc>
          <w:tcPr>
            <w:tcW w:w="1281" w:type="dxa"/>
            <w:shd w:val="clear" w:color="auto" w:fill="auto"/>
            <w:vAlign w:val="bottom"/>
            <w:hideMark/>
          </w:tcPr>
          <w:p w14:paraId="14DE72E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4E9E5D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C2393F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BEF63C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39D3EAB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1DF458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D7AC22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9772CE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C0298D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64C93359" w14:textId="77777777" w:rsidTr="008605AD">
        <w:trPr>
          <w:trHeight w:val="221"/>
        </w:trPr>
        <w:tc>
          <w:tcPr>
            <w:tcW w:w="2553" w:type="dxa"/>
            <w:shd w:val="clear" w:color="auto" w:fill="auto"/>
            <w:vAlign w:val="bottom"/>
            <w:hideMark/>
          </w:tcPr>
          <w:p w14:paraId="451C6A1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(unpublished) [Study 1]</w:t>
            </w:r>
          </w:p>
        </w:tc>
        <w:tc>
          <w:tcPr>
            <w:tcW w:w="1281" w:type="dxa"/>
            <w:shd w:val="clear" w:color="auto" w:fill="auto"/>
            <w:vAlign w:val="bottom"/>
            <w:hideMark/>
          </w:tcPr>
          <w:p w14:paraId="6E1E22C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5284D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463AF64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F0782A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2BE74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553975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2E269B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22FF057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C80D07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5589F45A" w14:textId="77777777" w:rsidTr="008605AD">
        <w:trPr>
          <w:trHeight w:val="221"/>
        </w:trPr>
        <w:tc>
          <w:tcPr>
            <w:tcW w:w="2553" w:type="dxa"/>
            <w:shd w:val="clear" w:color="auto" w:fill="auto"/>
            <w:vAlign w:val="bottom"/>
            <w:hideMark/>
          </w:tcPr>
          <w:p w14:paraId="15C3D54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(unpublished) [Study 2]</w:t>
            </w:r>
          </w:p>
        </w:tc>
        <w:tc>
          <w:tcPr>
            <w:tcW w:w="1281" w:type="dxa"/>
            <w:shd w:val="clear" w:color="auto" w:fill="auto"/>
            <w:vAlign w:val="bottom"/>
            <w:hideMark/>
          </w:tcPr>
          <w:p w14:paraId="14DA70A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B21227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613420F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7E1BFF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A8DE92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13569A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922531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4DAF1D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E7BFC4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21A8518E" w14:textId="77777777" w:rsidTr="008605AD">
        <w:trPr>
          <w:trHeight w:val="221"/>
        </w:trPr>
        <w:tc>
          <w:tcPr>
            <w:tcW w:w="2553" w:type="dxa"/>
            <w:shd w:val="clear" w:color="auto" w:fill="auto"/>
            <w:vAlign w:val="bottom"/>
            <w:hideMark/>
          </w:tcPr>
          <w:p w14:paraId="2870024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(unpublished) [Study 3]</w:t>
            </w:r>
          </w:p>
        </w:tc>
        <w:tc>
          <w:tcPr>
            <w:tcW w:w="1281" w:type="dxa"/>
            <w:shd w:val="clear" w:color="auto" w:fill="auto"/>
            <w:vAlign w:val="bottom"/>
            <w:hideMark/>
          </w:tcPr>
          <w:p w14:paraId="6C133E1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943022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5AB76D2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9E39E8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C466D3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4D81F8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23E94B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5DC61D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2A2266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7B65FAEC" w14:textId="77777777" w:rsidTr="008605AD">
        <w:trPr>
          <w:trHeight w:val="221"/>
        </w:trPr>
        <w:tc>
          <w:tcPr>
            <w:tcW w:w="2553" w:type="dxa"/>
            <w:shd w:val="clear" w:color="auto" w:fill="auto"/>
            <w:vAlign w:val="bottom"/>
            <w:hideMark/>
          </w:tcPr>
          <w:p w14:paraId="514D6C0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(unpublished) [Study 4]</w:t>
            </w:r>
          </w:p>
        </w:tc>
        <w:tc>
          <w:tcPr>
            <w:tcW w:w="1281" w:type="dxa"/>
            <w:shd w:val="clear" w:color="auto" w:fill="auto"/>
            <w:vAlign w:val="bottom"/>
            <w:hideMark/>
          </w:tcPr>
          <w:p w14:paraId="22366FA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D6575F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586A5B1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335789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55F2C2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F2D364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487FA1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F91217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DBD8A0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3412DDE1" w14:textId="77777777" w:rsidTr="008605AD">
        <w:trPr>
          <w:trHeight w:val="221"/>
        </w:trPr>
        <w:tc>
          <w:tcPr>
            <w:tcW w:w="2553" w:type="dxa"/>
            <w:shd w:val="clear" w:color="auto" w:fill="auto"/>
            <w:vAlign w:val="bottom"/>
            <w:hideMark/>
          </w:tcPr>
          <w:p w14:paraId="125826A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(unpublished) [Study 5]</w:t>
            </w:r>
          </w:p>
        </w:tc>
        <w:tc>
          <w:tcPr>
            <w:tcW w:w="1281" w:type="dxa"/>
            <w:shd w:val="clear" w:color="auto" w:fill="auto"/>
            <w:vAlign w:val="bottom"/>
            <w:hideMark/>
          </w:tcPr>
          <w:p w14:paraId="5ACF6BF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26DF5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2F793C0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901001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66D052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F6BE6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97429C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873C8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CDCF79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61EA3B9B" w14:textId="77777777" w:rsidTr="008605AD">
        <w:trPr>
          <w:trHeight w:val="221"/>
        </w:trPr>
        <w:tc>
          <w:tcPr>
            <w:tcW w:w="2553" w:type="dxa"/>
            <w:shd w:val="clear" w:color="auto" w:fill="auto"/>
            <w:vAlign w:val="bottom"/>
            <w:hideMark/>
          </w:tcPr>
          <w:p w14:paraId="52D6D6E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(unpublished) [Study 6]</w:t>
            </w:r>
          </w:p>
        </w:tc>
        <w:tc>
          <w:tcPr>
            <w:tcW w:w="1281" w:type="dxa"/>
            <w:shd w:val="clear" w:color="auto" w:fill="auto"/>
            <w:vAlign w:val="bottom"/>
            <w:hideMark/>
          </w:tcPr>
          <w:p w14:paraId="16FF57C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CD72A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4583C68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B65147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FCE319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451D93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3068E3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D89894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0651BD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3FCCEC05" w14:textId="77777777" w:rsidTr="008605AD">
        <w:trPr>
          <w:trHeight w:val="221"/>
        </w:trPr>
        <w:tc>
          <w:tcPr>
            <w:tcW w:w="2553" w:type="dxa"/>
            <w:shd w:val="clear" w:color="auto" w:fill="auto"/>
            <w:vAlign w:val="bottom"/>
            <w:hideMark/>
          </w:tcPr>
          <w:p w14:paraId="71FD991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Scheepers &amp; </w:t>
            </w:r>
            <w:proofErr w:type="spellStart"/>
            <w:r w:rsidRPr="001A6918">
              <w:rPr>
                <w:rFonts w:ascii="Times New Roman" w:hAnsi="Times New Roman" w:cs="Times New Roman"/>
                <w:color w:val="000000"/>
                <w:sz w:val="16"/>
                <w:szCs w:val="16"/>
              </w:rPr>
              <w:t>Ellemers</w:t>
            </w:r>
            <w:proofErr w:type="spellEnd"/>
            <w:r w:rsidRPr="001A6918">
              <w:rPr>
                <w:rFonts w:ascii="Times New Roman" w:hAnsi="Times New Roman" w:cs="Times New Roman"/>
                <w:color w:val="000000"/>
                <w:sz w:val="16"/>
                <w:szCs w:val="16"/>
              </w:rPr>
              <w:t xml:space="preserve"> (2005)</w:t>
            </w:r>
          </w:p>
        </w:tc>
        <w:tc>
          <w:tcPr>
            <w:tcW w:w="1281" w:type="dxa"/>
            <w:shd w:val="clear" w:color="auto" w:fill="auto"/>
            <w:vAlign w:val="bottom"/>
            <w:hideMark/>
          </w:tcPr>
          <w:p w14:paraId="28E7549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DA4C5C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hideMark/>
          </w:tcPr>
          <w:p w14:paraId="454326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C2D93B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B892AF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8427B9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98BD6E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4C0123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788A27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08B41306" w14:textId="77777777" w:rsidTr="008605AD">
        <w:trPr>
          <w:trHeight w:val="221"/>
        </w:trPr>
        <w:tc>
          <w:tcPr>
            <w:tcW w:w="2553" w:type="dxa"/>
            <w:shd w:val="clear" w:color="auto" w:fill="auto"/>
            <w:vAlign w:val="bottom"/>
            <w:hideMark/>
          </w:tcPr>
          <w:p w14:paraId="3387584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lastRenderedPageBreak/>
              <w:t>Scheepers et al. (2009) [Study 1]</w:t>
            </w:r>
          </w:p>
        </w:tc>
        <w:tc>
          <w:tcPr>
            <w:tcW w:w="1281" w:type="dxa"/>
            <w:shd w:val="clear" w:color="auto" w:fill="auto"/>
            <w:vAlign w:val="bottom"/>
            <w:hideMark/>
          </w:tcPr>
          <w:p w14:paraId="6A527B2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794C4FF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Low </w:t>
            </w:r>
          </w:p>
        </w:tc>
        <w:tc>
          <w:tcPr>
            <w:tcW w:w="1281" w:type="dxa"/>
            <w:shd w:val="clear" w:color="auto" w:fill="auto"/>
            <w:vAlign w:val="bottom"/>
            <w:hideMark/>
          </w:tcPr>
          <w:p w14:paraId="7FA41EF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64546D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ABBA73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C0A74D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306A9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475F59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C5AF69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7CCCC3EC" w14:textId="77777777" w:rsidTr="008605AD">
        <w:trPr>
          <w:trHeight w:val="221"/>
        </w:trPr>
        <w:tc>
          <w:tcPr>
            <w:tcW w:w="2553" w:type="dxa"/>
            <w:shd w:val="clear" w:color="auto" w:fill="auto"/>
            <w:vAlign w:val="bottom"/>
            <w:hideMark/>
          </w:tcPr>
          <w:p w14:paraId="7F4A77C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et al. (2009) [Study 2]</w:t>
            </w:r>
          </w:p>
        </w:tc>
        <w:tc>
          <w:tcPr>
            <w:tcW w:w="1281" w:type="dxa"/>
            <w:shd w:val="clear" w:color="auto" w:fill="auto"/>
            <w:vAlign w:val="bottom"/>
            <w:hideMark/>
          </w:tcPr>
          <w:p w14:paraId="66E34DF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932C9A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C7006F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0C7AA5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6DD99A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E5C664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9CD482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355D22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E6B7DF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2E43F4E0" w14:textId="77777777" w:rsidTr="008605AD">
        <w:trPr>
          <w:trHeight w:val="221"/>
        </w:trPr>
        <w:tc>
          <w:tcPr>
            <w:tcW w:w="2553" w:type="dxa"/>
            <w:shd w:val="clear" w:color="auto" w:fill="auto"/>
            <w:vAlign w:val="bottom"/>
            <w:hideMark/>
          </w:tcPr>
          <w:p w14:paraId="5685285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Scheepers et al. (2014) [Study 1]</w:t>
            </w:r>
          </w:p>
        </w:tc>
        <w:tc>
          <w:tcPr>
            <w:tcW w:w="1281" w:type="dxa"/>
            <w:shd w:val="clear" w:color="auto" w:fill="auto"/>
            <w:vAlign w:val="bottom"/>
            <w:hideMark/>
          </w:tcPr>
          <w:p w14:paraId="4D69C2A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D5DAF8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248C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B2010E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836062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B96C68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24B2A5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8A5459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76CA6B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3096F637" w14:textId="77777777" w:rsidTr="008605AD">
        <w:trPr>
          <w:trHeight w:val="221"/>
        </w:trPr>
        <w:tc>
          <w:tcPr>
            <w:tcW w:w="2553" w:type="dxa"/>
            <w:shd w:val="clear" w:color="auto" w:fill="auto"/>
            <w:vAlign w:val="bottom"/>
            <w:hideMark/>
          </w:tcPr>
          <w:p w14:paraId="0015F2A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Scheepers et al. (2014) [Study 2] </w:t>
            </w:r>
          </w:p>
        </w:tc>
        <w:tc>
          <w:tcPr>
            <w:tcW w:w="1281" w:type="dxa"/>
            <w:shd w:val="clear" w:color="auto" w:fill="auto"/>
            <w:vAlign w:val="bottom"/>
            <w:hideMark/>
          </w:tcPr>
          <w:p w14:paraId="650B53E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E9F81B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4840300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1807C8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937038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E8FA88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842779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F2256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C90F86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5CDB22B1" w14:textId="77777777" w:rsidTr="008605AD">
        <w:trPr>
          <w:trHeight w:val="221"/>
        </w:trPr>
        <w:tc>
          <w:tcPr>
            <w:tcW w:w="2553" w:type="dxa"/>
            <w:shd w:val="clear" w:color="auto" w:fill="auto"/>
            <w:vAlign w:val="bottom"/>
            <w:hideMark/>
          </w:tcPr>
          <w:p w14:paraId="2A70718D"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Schury</w:t>
            </w:r>
            <w:proofErr w:type="spellEnd"/>
            <w:r w:rsidRPr="001A6918">
              <w:rPr>
                <w:rFonts w:ascii="Times New Roman" w:hAnsi="Times New Roman" w:cs="Times New Roman"/>
                <w:color w:val="000000"/>
                <w:sz w:val="16"/>
                <w:szCs w:val="16"/>
              </w:rPr>
              <w:t xml:space="preserve"> et al. (2020)</w:t>
            </w:r>
          </w:p>
        </w:tc>
        <w:tc>
          <w:tcPr>
            <w:tcW w:w="1281" w:type="dxa"/>
            <w:shd w:val="clear" w:color="auto" w:fill="auto"/>
            <w:vAlign w:val="bottom"/>
            <w:hideMark/>
          </w:tcPr>
          <w:p w14:paraId="36C0F25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31D84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83BD2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EFC091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F65AC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70460F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E08250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980E30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092051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7A2EB9E7" w14:textId="77777777" w:rsidTr="008605AD">
        <w:trPr>
          <w:trHeight w:val="221"/>
        </w:trPr>
        <w:tc>
          <w:tcPr>
            <w:tcW w:w="2553" w:type="dxa"/>
            <w:shd w:val="clear" w:color="auto" w:fill="auto"/>
            <w:vAlign w:val="bottom"/>
            <w:hideMark/>
          </w:tcPr>
          <w:p w14:paraId="5DCED57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Seaton &amp; Zeiders (2021)</w:t>
            </w:r>
          </w:p>
        </w:tc>
        <w:tc>
          <w:tcPr>
            <w:tcW w:w="1281" w:type="dxa"/>
            <w:shd w:val="clear" w:color="auto" w:fill="auto"/>
            <w:vAlign w:val="bottom"/>
            <w:hideMark/>
          </w:tcPr>
          <w:p w14:paraId="62E0F98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BD2413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C1D584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CD1D3D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8B8FD2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BD3B7E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442D56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30100D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8A3C0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1C8E899F" w14:textId="77777777" w:rsidTr="008605AD">
        <w:trPr>
          <w:trHeight w:val="221"/>
        </w:trPr>
        <w:tc>
          <w:tcPr>
            <w:tcW w:w="2553" w:type="dxa"/>
            <w:shd w:val="clear" w:color="auto" w:fill="auto"/>
            <w:vAlign w:val="bottom"/>
            <w:hideMark/>
          </w:tcPr>
          <w:p w14:paraId="6D9EC46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Siedlik et al. (2016)</w:t>
            </w:r>
          </w:p>
        </w:tc>
        <w:tc>
          <w:tcPr>
            <w:tcW w:w="1281" w:type="dxa"/>
            <w:shd w:val="clear" w:color="auto" w:fill="auto"/>
            <w:vAlign w:val="bottom"/>
            <w:hideMark/>
          </w:tcPr>
          <w:p w14:paraId="7EE2B75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AA1009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DA0754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FC0D9A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46A848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56A227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3B9857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F41728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CD3988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9</w:t>
            </w:r>
          </w:p>
        </w:tc>
      </w:tr>
      <w:tr w:rsidR="001F64BB" w:rsidRPr="001A6918" w14:paraId="5FD3967C" w14:textId="77777777" w:rsidTr="008605AD">
        <w:trPr>
          <w:trHeight w:val="221"/>
        </w:trPr>
        <w:tc>
          <w:tcPr>
            <w:tcW w:w="2553" w:type="dxa"/>
            <w:shd w:val="clear" w:color="auto" w:fill="auto"/>
            <w:vAlign w:val="bottom"/>
          </w:tcPr>
          <w:p w14:paraId="23425CC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Skelton et al. (2024)</w:t>
            </w:r>
          </w:p>
        </w:tc>
        <w:tc>
          <w:tcPr>
            <w:tcW w:w="1281" w:type="dxa"/>
            <w:shd w:val="clear" w:color="auto" w:fill="auto"/>
            <w:vAlign w:val="bottom"/>
          </w:tcPr>
          <w:p w14:paraId="43EED54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C77DB9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D309D9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D1B040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07717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3D8EC5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3EF896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7779B9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29817B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17BD704F" w14:textId="77777777" w:rsidTr="008605AD">
        <w:trPr>
          <w:trHeight w:val="221"/>
        </w:trPr>
        <w:tc>
          <w:tcPr>
            <w:tcW w:w="2553" w:type="dxa"/>
            <w:shd w:val="clear" w:color="auto" w:fill="auto"/>
            <w:vAlign w:val="bottom"/>
            <w:hideMark/>
          </w:tcPr>
          <w:p w14:paraId="5340F14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Skilton et al (unpublished)</w:t>
            </w:r>
          </w:p>
        </w:tc>
        <w:tc>
          <w:tcPr>
            <w:tcW w:w="1281" w:type="dxa"/>
            <w:shd w:val="clear" w:color="auto" w:fill="auto"/>
            <w:vAlign w:val="bottom"/>
            <w:hideMark/>
          </w:tcPr>
          <w:p w14:paraId="7D762A8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94989A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32AFF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496ABC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34962A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159E38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07A837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7133D4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821E79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44729206" w14:textId="77777777" w:rsidTr="008605AD">
        <w:trPr>
          <w:trHeight w:val="221"/>
        </w:trPr>
        <w:tc>
          <w:tcPr>
            <w:tcW w:w="2553" w:type="dxa"/>
            <w:shd w:val="clear" w:color="auto" w:fill="auto"/>
            <w:vAlign w:val="bottom"/>
            <w:hideMark/>
          </w:tcPr>
          <w:p w14:paraId="598A36E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Slater et al. (2018) [Study 3]</w:t>
            </w:r>
          </w:p>
        </w:tc>
        <w:tc>
          <w:tcPr>
            <w:tcW w:w="1281" w:type="dxa"/>
            <w:shd w:val="clear" w:color="auto" w:fill="auto"/>
            <w:vAlign w:val="bottom"/>
            <w:hideMark/>
          </w:tcPr>
          <w:p w14:paraId="266827B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4C8400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14CBD8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10E43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B0F5CC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7673FD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F091D7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BBCD39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60F4FB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258FA1C4" w14:textId="77777777" w:rsidTr="008605AD">
        <w:trPr>
          <w:trHeight w:val="221"/>
        </w:trPr>
        <w:tc>
          <w:tcPr>
            <w:tcW w:w="2553" w:type="dxa"/>
            <w:shd w:val="clear" w:color="auto" w:fill="auto"/>
            <w:vAlign w:val="bottom"/>
            <w:hideMark/>
          </w:tcPr>
          <w:p w14:paraId="7A58C8F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Steffens et al. (2016)</w:t>
            </w:r>
          </w:p>
        </w:tc>
        <w:tc>
          <w:tcPr>
            <w:tcW w:w="1281" w:type="dxa"/>
            <w:shd w:val="clear" w:color="auto" w:fill="auto"/>
            <w:vAlign w:val="bottom"/>
            <w:hideMark/>
          </w:tcPr>
          <w:p w14:paraId="3B22B54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D92115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27AFB2D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A6D789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4B8FEF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819509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E34D5F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C01585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AA70C4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64105C30" w14:textId="77777777" w:rsidTr="008605AD">
        <w:trPr>
          <w:trHeight w:val="221"/>
        </w:trPr>
        <w:tc>
          <w:tcPr>
            <w:tcW w:w="2553" w:type="dxa"/>
            <w:shd w:val="clear" w:color="auto" w:fill="auto"/>
            <w:vAlign w:val="bottom"/>
            <w:hideMark/>
          </w:tcPr>
          <w:p w14:paraId="123DB41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Stevens and Cruwys (2020)</w:t>
            </w:r>
          </w:p>
        </w:tc>
        <w:tc>
          <w:tcPr>
            <w:tcW w:w="1281" w:type="dxa"/>
            <w:shd w:val="clear" w:color="auto" w:fill="auto"/>
            <w:vAlign w:val="bottom"/>
            <w:hideMark/>
          </w:tcPr>
          <w:p w14:paraId="6432D90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DBCD95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20EB3C8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B7E7B1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E44C59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F5E3B4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D15F15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DD7329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3BCFBA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5A0AEFCF" w14:textId="77777777" w:rsidTr="008605AD">
        <w:trPr>
          <w:trHeight w:val="221"/>
        </w:trPr>
        <w:tc>
          <w:tcPr>
            <w:tcW w:w="2553" w:type="dxa"/>
            <w:shd w:val="clear" w:color="auto" w:fill="auto"/>
            <w:vAlign w:val="bottom"/>
            <w:hideMark/>
          </w:tcPr>
          <w:p w14:paraId="62AD81B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Stevens et al. (2021)</w:t>
            </w:r>
          </w:p>
        </w:tc>
        <w:tc>
          <w:tcPr>
            <w:tcW w:w="1281" w:type="dxa"/>
            <w:shd w:val="clear" w:color="auto" w:fill="auto"/>
            <w:vAlign w:val="bottom"/>
            <w:hideMark/>
          </w:tcPr>
          <w:p w14:paraId="35553E7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24B1D6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6B4942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8A530F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0453D9B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FD4B3A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DFCC38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4E675F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3848C06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10119521" w14:textId="77777777" w:rsidTr="008605AD">
        <w:trPr>
          <w:trHeight w:val="221"/>
        </w:trPr>
        <w:tc>
          <w:tcPr>
            <w:tcW w:w="2553" w:type="dxa"/>
            <w:shd w:val="clear" w:color="auto" w:fill="auto"/>
            <w:vAlign w:val="bottom"/>
          </w:tcPr>
          <w:p w14:paraId="709ECCB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Stevens, Fitzpatrick, et al. (2022)</w:t>
            </w:r>
          </w:p>
        </w:tc>
        <w:tc>
          <w:tcPr>
            <w:tcW w:w="1281" w:type="dxa"/>
            <w:shd w:val="clear" w:color="auto" w:fill="auto"/>
            <w:vAlign w:val="bottom"/>
          </w:tcPr>
          <w:p w14:paraId="17204D4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4D40F9C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0BC0DF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9712E3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6072AF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C07C23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10B256D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24BABCB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2AE78C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40AFBBB1" w14:textId="77777777" w:rsidTr="008605AD">
        <w:trPr>
          <w:trHeight w:val="221"/>
        </w:trPr>
        <w:tc>
          <w:tcPr>
            <w:tcW w:w="2553" w:type="dxa"/>
            <w:shd w:val="clear" w:color="auto" w:fill="auto"/>
            <w:vAlign w:val="bottom"/>
          </w:tcPr>
          <w:p w14:paraId="0D92C1B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Stevens, White, et al. (2022)</w:t>
            </w:r>
          </w:p>
        </w:tc>
        <w:tc>
          <w:tcPr>
            <w:tcW w:w="1281" w:type="dxa"/>
            <w:shd w:val="clear" w:color="auto" w:fill="auto"/>
            <w:vAlign w:val="bottom"/>
          </w:tcPr>
          <w:p w14:paraId="521F7D0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tcPr>
          <w:p w14:paraId="1D0D2C3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D65572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53CD369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02B49E1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6620D02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3DDA00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3850870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4580B2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1BEBB60F" w14:textId="77777777" w:rsidTr="008605AD">
        <w:trPr>
          <w:trHeight w:val="221"/>
        </w:trPr>
        <w:tc>
          <w:tcPr>
            <w:tcW w:w="2553" w:type="dxa"/>
            <w:shd w:val="clear" w:color="auto" w:fill="auto"/>
            <w:vAlign w:val="bottom"/>
          </w:tcPr>
          <w:p w14:paraId="30C052D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Stevens et al. (2023)</w:t>
            </w:r>
          </w:p>
        </w:tc>
        <w:tc>
          <w:tcPr>
            <w:tcW w:w="1281" w:type="dxa"/>
            <w:shd w:val="clear" w:color="auto" w:fill="auto"/>
            <w:vAlign w:val="bottom"/>
          </w:tcPr>
          <w:p w14:paraId="5D35C36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29688C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40A413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875A03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0391579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79DB343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tcPr>
          <w:p w14:paraId="696F30C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69AFBD8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tcPr>
          <w:p w14:paraId="1606BF7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14</w:t>
            </w:r>
          </w:p>
        </w:tc>
      </w:tr>
      <w:tr w:rsidR="001F64BB" w:rsidRPr="001A6918" w14:paraId="127E945A" w14:textId="77777777" w:rsidTr="008605AD">
        <w:trPr>
          <w:trHeight w:val="221"/>
        </w:trPr>
        <w:tc>
          <w:tcPr>
            <w:tcW w:w="2553" w:type="dxa"/>
            <w:shd w:val="clear" w:color="auto" w:fill="auto"/>
            <w:vAlign w:val="bottom"/>
            <w:hideMark/>
          </w:tcPr>
          <w:p w14:paraId="3CB42D0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Stevens, Rees &amp; Polman (2019)</w:t>
            </w:r>
          </w:p>
        </w:tc>
        <w:tc>
          <w:tcPr>
            <w:tcW w:w="1281" w:type="dxa"/>
            <w:shd w:val="clear" w:color="auto" w:fill="auto"/>
            <w:vAlign w:val="bottom"/>
            <w:hideMark/>
          </w:tcPr>
          <w:p w14:paraId="6730154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AACECF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70B344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23E0F6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085FAE5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59AFB94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565020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F0AFFA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3FED6A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22FBF701" w14:textId="77777777" w:rsidTr="008605AD">
        <w:trPr>
          <w:trHeight w:val="221"/>
        </w:trPr>
        <w:tc>
          <w:tcPr>
            <w:tcW w:w="2553" w:type="dxa"/>
            <w:shd w:val="clear" w:color="auto" w:fill="auto"/>
            <w:vAlign w:val="bottom"/>
            <w:hideMark/>
          </w:tcPr>
          <w:p w14:paraId="1D0DEA9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Su et al. (2022)</w:t>
            </w:r>
          </w:p>
        </w:tc>
        <w:tc>
          <w:tcPr>
            <w:tcW w:w="1281" w:type="dxa"/>
            <w:shd w:val="clear" w:color="auto" w:fill="auto"/>
            <w:vAlign w:val="bottom"/>
            <w:hideMark/>
          </w:tcPr>
          <w:p w14:paraId="39ED1E3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8ACCD6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7851468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610AAB6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15DDDC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39126CA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2DEBCC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FBDE2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A8748A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5C226501" w14:textId="77777777" w:rsidTr="008605AD">
        <w:trPr>
          <w:trHeight w:val="221"/>
        </w:trPr>
        <w:tc>
          <w:tcPr>
            <w:tcW w:w="2553" w:type="dxa"/>
            <w:shd w:val="clear" w:color="auto" w:fill="auto"/>
            <w:vAlign w:val="bottom"/>
            <w:hideMark/>
          </w:tcPr>
          <w:p w14:paraId="373FB94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Thomas et al. (2006)</w:t>
            </w:r>
          </w:p>
        </w:tc>
        <w:tc>
          <w:tcPr>
            <w:tcW w:w="1281" w:type="dxa"/>
            <w:shd w:val="clear" w:color="auto" w:fill="auto"/>
            <w:vAlign w:val="bottom"/>
            <w:hideMark/>
          </w:tcPr>
          <w:p w14:paraId="22B2CEE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0B92B8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hideMark/>
          </w:tcPr>
          <w:p w14:paraId="1AC85E5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3D8308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7CBA89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0B0F0C5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B5804A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AB8096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14CD8B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r w:rsidR="001F64BB" w:rsidRPr="001A6918" w14:paraId="405912E9" w14:textId="77777777" w:rsidTr="008605AD">
        <w:trPr>
          <w:trHeight w:val="221"/>
        </w:trPr>
        <w:tc>
          <w:tcPr>
            <w:tcW w:w="2553" w:type="dxa"/>
            <w:shd w:val="clear" w:color="auto" w:fill="auto"/>
            <w:vAlign w:val="bottom"/>
            <w:hideMark/>
          </w:tcPr>
          <w:p w14:paraId="2E89BB9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Townsend et al. (2011) [Study 1]</w:t>
            </w:r>
          </w:p>
        </w:tc>
        <w:tc>
          <w:tcPr>
            <w:tcW w:w="1281" w:type="dxa"/>
            <w:shd w:val="clear" w:color="auto" w:fill="auto"/>
            <w:vAlign w:val="bottom"/>
            <w:hideMark/>
          </w:tcPr>
          <w:p w14:paraId="74EF779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1CB918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1999DDC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DED67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D5862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B87EBC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86DA6F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1ABDC1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927A10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67BC6CA7" w14:textId="77777777" w:rsidTr="008605AD">
        <w:trPr>
          <w:trHeight w:val="221"/>
        </w:trPr>
        <w:tc>
          <w:tcPr>
            <w:tcW w:w="2553" w:type="dxa"/>
            <w:shd w:val="clear" w:color="auto" w:fill="auto"/>
            <w:vAlign w:val="bottom"/>
            <w:hideMark/>
          </w:tcPr>
          <w:p w14:paraId="34375A2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Townsend et al. (2011) [Study 2]</w:t>
            </w:r>
          </w:p>
        </w:tc>
        <w:tc>
          <w:tcPr>
            <w:tcW w:w="1281" w:type="dxa"/>
            <w:shd w:val="clear" w:color="auto" w:fill="auto"/>
            <w:vAlign w:val="bottom"/>
            <w:hideMark/>
          </w:tcPr>
          <w:p w14:paraId="4A8B288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79F3F2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Some concerns </w:t>
            </w:r>
          </w:p>
        </w:tc>
        <w:tc>
          <w:tcPr>
            <w:tcW w:w="1281" w:type="dxa"/>
            <w:shd w:val="clear" w:color="auto" w:fill="auto"/>
            <w:vAlign w:val="bottom"/>
            <w:hideMark/>
          </w:tcPr>
          <w:p w14:paraId="134783A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992837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4CB733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C0F8A7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B3F419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4C3C8D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5FDE16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3B1EABDC" w14:textId="77777777" w:rsidTr="008605AD">
        <w:trPr>
          <w:trHeight w:val="221"/>
        </w:trPr>
        <w:tc>
          <w:tcPr>
            <w:tcW w:w="2553" w:type="dxa"/>
            <w:shd w:val="clear" w:color="auto" w:fill="auto"/>
            <w:vAlign w:val="bottom"/>
            <w:hideMark/>
          </w:tcPr>
          <w:p w14:paraId="42A12CC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Tucker et al. (1999)</w:t>
            </w:r>
          </w:p>
        </w:tc>
        <w:tc>
          <w:tcPr>
            <w:tcW w:w="1281" w:type="dxa"/>
            <w:shd w:val="clear" w:color="auto" w:fill="auto"/>
            <w:vAlign w:val="bottom"/>
            <w:hideMark/>
          </w:tcPr>
          <w:p w14:paraId="3C3F3CD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10DAB3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46E562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7EB71E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E7D880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0D9528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C40164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1A2963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569138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63728108" w14:textId="77777777" w:rsidTr="008605AD">
        <w:trPr>
          <w:trHeight w:val="221"/>
        </w:trPr>
        <w:tc>
          <w:tcPr>
            <w:tcW w:w="2553" w:type="dxa"/>
            <w:shd w:val="clear" w:color="auto" w:fill="auto"/>
            <w:vAlign w:val="bottom"/>
            <w:hideMark/>
          </w:tcPr>
          <w:p w14:paraId="22B3F45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van Rossum (unpublished)</w:t>
            </w:r>
          </w:p>
        </w:tc>
        <w:tc>
          <w:tcPr>
            <w:tcW w:w="1281" w:type="dxa"/>
            <w:shd w:val="clear" w:color="auto" w:fill="auto"/>
            <w:vAlign w:val="bottom"/>
            <w:hideMark/>
          </w:tcPr>
          <w:p w14:paraId="6CB2344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B8D67B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AD1513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B25947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BBE02E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38352E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0105E1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F6104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0DAC2D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16</w:t>
            </w:r>
          </w:p>
        </w:tc>
      </w:tr>
      <w:tr w:rsidR="001F64BB" w:rsidRPr="001A6918" w14:paraId="75D5B437" w14:textId="77777777" w:rsidTr="008605AD">
        <w:trPr>
          <w:trHeight w:val="221"/>
        </w:trPr>
        <w:tc>
          <w:tcPr>
            <w:tcW w:w="2553" w:type="dxa"/>
            <w:shd w:val="clear" w:color="auto" w:fill="auto"/>
            <w:vAlign w:val="bottom"/>
            <w:hideMark/>
          </w:tcPr>
          <w:p w14:paraId="3ACD0D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Wegge et al. (2012)</w:t>
            </w:r>
          </w:p>
        </w:tc>
        <w:tc>
          <w:tcPr>
            <w:tcW w:w="1281" w:type="dxa"/>
            <w:shd w:val="clear" w:color="auto" w:fill="auto"/>
            <w:vAlign w:val="bottom"/>
            <w:hideMark/>
          </w:tcPr>
          <w:p w14:paraId="678E23B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2FC9AC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FCB0E8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BF90E0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4C9C43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1D8D27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60FE3D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AA3C408"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7A4517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13</w:t>
            </w:r>
          </w:p>
        </w:tc>
      </w:tr>
      <w:tr w:rsidR="001F64BB" w:rsidRPr="001A6918" w14:paraId="77453849" w14:textId="77777777" w:rsidTr="008605AD">
        <w:trPr>
          <w:trHeight w:val="221"/>
        </w:trPr>
        <w:tc>
          <w:tcPr>
            <w:tcW w:w="2553" w:type="dxa"/>
            <w:shd w:val="clear" w:color="auto" w:fill="auto"/>
            <w:vAlign w:val="bottom"/>
          </w:tcPr>
          <w:p w14:paraId="226FA389" w14:textId="77777777" w:rsidR="001F64BB" w:rsidRPr="001A6918" w:rsidRDefault="001F64BB" w:rsidP="008605AD">
            <w:pPr>
              <w:rPr>
                <w:rFonts w:ascii="Times New Roman" w:hAnsi="Times New Roman" w:cs="Times New Roman"/>
                <w:color w:val="000000"/>
                <w:sz w:val="16"/>
                <w:szCs w:val="16"/>
              </w:rPr>
            </w:pPr>
            <w:proofErr w:type="spellStart"/>
            <w:r w:rsidRPr="001A6918">
              <w:rPr>
                <w:rFonts w:ascii="Times New Roman" w:hAnsi="Times New Roman" w:cs="Times New Roman"/>
                <w:color w:val="000000"/>
                <w:sz w:val="16"/>
                <w:szCs w:val="16"/>
              </w:rPr>
              <w:t>Wierts</w:t>
            </w:r>
            <w:proofErr w:type="spellEnd"/>
            <w:r w:rsidRPr="001A6918">
              <w:rPr>
                <w:rFonts w:ascii="Times New Roman" w:hAnsi="Times New Roman" w:cs="Times New Roman"/>
                <w:color w:val="000000"/>
                <w:sz w:val="16"/>
                <w:szCs w:val="16"/>
              </w:rPr>
              <w:t xml:space="preserve"> et al. (2023)</w:t>
            </w:r>
          </w:p>
        </w:tc>
        <w:tc>
          <w:tcPr>
            <w:tcW w:w="1281" w:type="dxa"/>
            <w:shd w:val="clear" w:color="auto" w:fill="auto"/>
            <w:noWrap/>
            <w:vAlign w:val="bottom"/>
          </w:tcPr>
          <w:p w14:paraId="2FE1747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773EE8A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43712C0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67B414F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02960A1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tcPr>
          <w:p w14:paraId="510D3E6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0420353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tcPr>
          <w:p w14:paraId="62A72FA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tcPr>
          <w:p w14:paraId="42DB6F2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9</w:t>
            </w:r>
          </w:p>
        </w:tc>
      </w:tr>
      <w:tr w:rsidR="001F64BB" w:rsidRPr="001A6918" w14:paraId="42E09EDB" w14:textId="77777777" w:rsidTr="008605AD">
        <w:trPr>
          <w:trHeight w:val="221"/>
        </w:trPr>
        <w:tc>
          <w:tcPr>
            <w:tcW w:w="2553" w:type="dxa"/>
            <w:shd w:val="clear" w:color="auto" w:fill="auto"/>
            <w:vAlign w:val="bottom"/>
            <w:hideMark/>
          </w:tcPr>
          <w:p w14:paraId="358D3D0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Wilson et al. (2021)</w:t>
            </w:r>
          </w:p>
        </w:tc>
        <w:tc>
          <w:tcPr>
            <w:tcW w:w="1281" w:type="dxa"/>
            <w:shd w:val="clear" w:color="auto" w:fill="auto"/>
            <w:noWrap/>
            <w:vAlign w:val="bottom"/>
            <w:hideMark/>
          </w:tcPr>
          <w:p w14:paraId="066B472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5C94940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noWrap/>
            <w:vAlign w:val="bottom"/>
            <w:hideMark/>
          </w:tcPr>
          <w:p w14:paraId="4B00B97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75D82F5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019E363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noWrap/>
            <w:vAlign w:val="bottom"/>
            <w:hideMark/>
          </w:tcPr>
          <w:p w14:paraId="2D939D3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13027B9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614CB2A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noWrap/>
            <w:vAlign w:val="bottom"/>
            <w:hideMark/>
          </w:tcPr>
          <w:p w14:paraId="566D86F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11</w:t>
            </w:r>
          </w:p>
        </w:tc>
      </w:tr>
      <w:tr w:rsidR="001F64BB" w:rsidRPr="001A6918" w14:paraId="171B4281" w14:textId="77777777" w:rsidTr="008605AD">
        <w:trPr>
          <w:trHeight w:val="221"/>
        </w:trPr>
        <w:tc>
          <w:tcPr>
            <w:tcW w:w="2553" w:type="dxa"/>
            <w:shd w:val="clear" w:color="auto" w:fill="auto"/>
            <w:vAlign w:val="bottom"/>
            <w:hideMark/>
          </w:tcPr>
          <w:p w14:paraId="3E3B169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Wingard (1982)</w:t>
            </w:r>
          </w:p>
        </w:tc>
        <w:tc>
          <w:tcPr>
            <w:tcW w:w="1281" w:type="dxa"/>
            <w:shd w:val="clear" w:color="auto" w:fill="auto"/>
            <w:vAlign w:val="bottom"/>
            <w:hideMark/>
          </w:tcPr>
          <w:p w14:paraId="7BDD9EC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0220E6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58FE09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BA7996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17B60F5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3E784D1C"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832FB59"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6E14672"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B58575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12</w:t>
            </w:r>
          </w:p>
        </w:tc>
      </w:tr>
      <w:tr w:rsidR="001F64BB" w:rsidRPr="001A6918" w14:paraId="4BCD5203" w14:textId="77777777" w:rsidTr="008605AD">
        <w:trPr>
          <w:trHeight w:val="221"/>
        </w:trPr>
        <w:tc>
          <w:tcPr>
            <w:tcW w:w="2553" w:type="dxa"/>
            <w:shd w:val="clear" w:color="auto" w:fill="auto"/>
            <w:vAlign w:val="bottom"/>
            <w:hideMark/>
          </w:tcPr>
          <w:p w14:paraId="0BD3148D"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 xml:space="preserve">Wisse &amp; </w:t>
            </w:r>
            <w:proofErr w:type="spellStart"/>
            <w:r w:rsidRPr="001A6918">
              <w:rPr>
                <w:rFonts w:ascii="Times New Roman" w:hAnsi="Times New Roman" w:cs="Times New Roman"/>
                <w:color w:val="000000"/>
                <w:sz w:val="16"/>
                <w:szCs w:val="16"/>
              </w:rPr>
              <w:t>Sleebos</w:t>
            </w:r>
            <w:proofErr w:type="spellEnd"/>
            <w:r w:rsidRPr="001A6918">
              <w:rPr>
                <w:rFonts w:ascii="Times New Roman" w:hAnsi="Times New Roman" w:cs="Times New Roman"/>
                <w:color w:val="000000"/>
                <w:sz w:val="16"/>
                <w:szCs w:val="16"/>
              </w:rPr>
              <w:t xml:space="preserve"> (2016) [Study 1]</w:t>
            </w:r>
          </w:p>
        </w:tc>
        <w:tc>
          <w:tcPr>
            <w:tcW w:w="1281" w:type="dxa"/>
            <w:shd w:val="clear" w:color="auto" w:fill="auto"/>
            <w:vAlign w:val="bottom"/>
            <w:hideMark/>
          </w:tcPr>
          <w:p w14:paraId="3BC815DA"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5FB219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0E45609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1696A76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CA085D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253A5847"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4A595BD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125C60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012A38A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15</w:t>
            </w:r>
          </w:p>
        </w:tc>
      </w:tr>
      <w:tr w:rsidR="001F64BB" w:rsidRPr="001A6918" w14:paraId="382C1E03" w14:textId="77777777" w:rsidTr="008605AD">
        <w:trPr>
          <w:trHeight w:val="221"/>
        </w:trPr>
        <w:tc>
          <w:tcPr>
            <w:tcW w:w="2553" w:type="dxa"/>
            <w:shd w:val="clear" w:color="auto" w:fill="auto"/>
            <w:vAlign w:val="bottom"/>
            <w:hideMark/>
          </w:tcPr>
          <w:p w14:paraId="1ED01F06"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Ysseldyk et al. (2018) [Study 2]</w:t>
            </w:r>
          </w:p>
        </w:tc>
        <w:tc>
          <w:tcPr>
            <w:tcW w:w="1281" w:type="dxa"/>
            <w:shd w:val="clear" w:color="auto" w:fill="auto"/>
            <w:vAlign w:val="bottom"/>
            <w:hideMark/>
          </w:tcPr>
          <w:p w14:paraId="3142F7A1"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7122BC2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Some concerns</w:t>
            </w:r>
          </w:p>
        </w:tc>
        <w:tc>
          <w:tcPr>
            <w:tcW w:w="1281" w:type="dxa"/>
            <w:shd w:val="clear" w:color="auto" w:fill="auto"/>
            <w:vAlign w:val="bottom"/>
            <w:hideMark/>
          </w:tcPr>
          <w:p w14:paraId="5C98BD6B"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6AA793F3"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High</w:t>
            </w:r>
          </w:p>
        </w:tc>
        <w:tc>
          <w:tcPr>
            <w:tcW w:w="1281" w:type="dxa"/>
            <w:shd w:val="clear" w:color="auto" w:fill="auto"/>
            <w:vAlign w:val="bottom"/>
            <w:hideMark/>
          </w:tcPr>
          <w:p w14:paraId="39E3C890"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72921CBE"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A659C75"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573022DF"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Low</w:t>
            </w:r>
          </w:p>
        </w:tc>
        <w:tc>
          <w:tcPr>
            <w:tcW w:w="1281" w:type="dxa"/>
            <w:shd w:val="clear" w:color="auto" w:fill="auto"/>
            <w:vAlign w:val="bottom"/>
            <w:hideMark/>
          </w:tcPr>
          <w:p w14:paraId="6CB6B434" w14:textId="77777777" w:rsidR="001F64BB" w:rsidRPr="001A6918" w:rsidRDefault="001F64BB" w:rsidP="008605AD">
            <w:pPr>
              <w:rPr>
                <w:rFonts w:ascii="Times New Roman" w:hAnsi="Times New Roman" w:cs="Times New Roman"/>
                <w:color w:val="000000"/>
                <w:sz w:val="16"/>
                <w:szCs w:val="16"/>
              </w:rPr>
            </w:pPr>
            <w:r w:rsidRPr="001A6918">
              <w:rPr>
                <w:rFonts w:ascii="Times New Roman" w:hAnsi="Times New Roman" w:cs="Times New Roman"/>
                <w:color w:val="000000"/>
                <w:sz w:val="16"/>
                <w:szCs w:val="16"/>
              </w:rPr>
              <w:t>10</w:t>
            </w:r>
          </w:p>
        </w:tc>
      </w:tr>
    </w:tbl>
    <w:p w14:paraId="0F881AF5" w14:textId="77777777" w:rsidR="001F64BB" w:rsidRPr="001A6918" w:rsidRDefault="001F64BB" w:rsidP="001F64BB">
      <w:pPr>
        <w:rPr>
          <w:rFonts w:ascii="Times New Roman" w:hAnsi="Times New Roman" w:cs="Times New Roman"/>
          <w:i/>
          <w:iCs/>
        </w:rPr>
      </w:pPr>
    </w:p>
    <w:p w14:paraId="737ECF84" w14:textId="77777777" w:rsidR="001F64BB" w:rsidRPr="001A6918" w:rsidRDefault="001F64BB" w:rsidP="001F64BB">
      <w:pPr>
        <w:rPr>
          <w:rFonts w:ascii="Times New Roman" w:hAnsi="Times New Roman" w:cs="Times New Roman"/>
          <w:i/>
          <w:iCs/>
        </w:rPr>
      </w:pPr>
    </w:p>
    <w:p w14:paraId="62EBE2BA" w14:textId="77777777" w:rsidR="001F64BB" w:rsidRPr="001A6918" w:rsidRDefault="001F64BB" w:rsidP="001F64BB">
      <w:pPr>
        <w:rPr>
          <w:rFonts w:ascii="Times New Roman" w:hAnsi="Times New Roman" w:cs="Times New Roman"/>
          <w:i/>
          <w:iCs/>
        </w:rPr>
        <w:sectPr w:rsidR="001F64BB" w:rsidRPr="001A6918" w:rsidSect="001F64BB">
          <w:type w:val="nextColumn"/>
          <w:pgSz w:w="16840" w:h="11900" w:orient="landscape"/>
          <w:pgMar w:top="1247" w:right="1247" w:bottom="1247" w:left="1247" w:header="708" w:footer="708" w:gutter="0"/>
          <w:cols w:space="708"/>
          <w:docGrid w:linePitch="360"/>
        </w:sectPr>
      </w:pPr>
    </w:p>
    <w:p w14:paraId="0E65E971" w14:textId="77777777" w:rsidR="001F64BB" w:rsidRPr="001A6918" w:rsidRDefault="001F64BB" w:rsidP="001F64BB">
      <w:pPr>
        <w:rPr>
          <w:rFonts w:ascii="Times New Roman" w:hAnsi="Times New Roman" w:cs="Times New Roman"/>
          <w:i/>
          <w:iCs/>
          <w:sz w:val="20"/>
          <w:szCs w:val="20"/>
        </w:rPr>
      </w:pPr>
      <w:r w:rsidRPr="001A6918">
        <w:rPr>
          <w:rFonts w:ascii="Times New Roman" w:hAnsi="Times New Roman" w:cs="Times New Roman"/>
          <w:i/>
          <w:iCs/>
          <w:noProof/>
          <w:sz w:val="20"/>
          <w:szCs w:val="20"/>
        </w:rPr>
        <w:lastRenderedPageBreak/>
        <w:drawing>
          <wp:inline distT="0" distB="0" distL="0" distR="0" wp14:anchorId="76FD576E" wp14:editId="70101B22">
            <wp:extent cx="3492786" cy="2587061"/>
            <wp:effectExtent l="0" t="0" r="0" b="3810"/>
            <wp:docPr id="1368304179" name="Picture 1" descr="A green and red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04179" name="Picture 1" descr="A green and red bar graph&#10;&#10;AI-generated content may be incorrect."/>
                    <pic:cNvPicPr/>
                  </pic:nvPicPr>
                  <pic:blipFill>
                    <a:blip r:embed="rId5"/>
                    <a:stretch>
                      <a:fillRect/>
                    </a:stretch>
                  </pic:blipFill>
                  <pic:spPr>
                    <a:xfrm>
                      <a:off x="0" y="0"/>
                      <a:ext cx="3603050" cy="2668732"/>
                    </a:xfrm>
                    <a:prstGeom prst="rect">
                      <a:avLst/>
                    </a:prstGeom>
                  </pic:spPr>
                </pic:pic>
              </a:graphicData>
            </a:graphic>
          </wp:inline>
        </w:drawing>
      </w:r>
    </w:p>
    <w:p w14:paraId="76B94ECB" w14:textId="77777777" w:rsidR="001F64BB" w:rsidRPr="001A6918" w:rsidRDefault="001F64BB" w:rsidP="001F64BB">
      <w:pPr>
        <w:rPr>
          <w:rFonts w:ascii="Times New Roman" w:hAnsi="Times New Roman" w:cs="Times New Roman"/>
          <w:i/>
          <w:iCs/>
          <w:sz w:val="20"/>
          <w:szCs w:val="20"/>
        </w:rPr>
      </w:pPr>
      <w:r w:rsidRPr="001A6918">
        <w:rPr>
          <w:rFonts w:ascii="Times New Roman" w:hAnsi="Times New Roman" w:cs="Times New Roman"/>
          <w:i/>
          <w:iCs/>
          <w:sz w:val="20"/>
          <w:szCs w:val="20"/>
        </w:rPr>
        <w:t>Figure S</w:t>
      </w:r>
      <w:r>
        <w:rPr>
          <w:rFonts w:ascii="Times New Roman" w:hAnsi="Times New Roman" w:cs="Times New Roman"/>
          <w:i/>
          <w:iCs/>
          <w:sz w:val="20"/>
          <w:szCs w:val="20"/>
        </w:rPr>
        <w:t>1</w:t>
      </w:r>
      <w:r w:rsidRPr="001A6918">
        <w:rPr>
          <w:rFonts w:ascii="Times New Roman" w:hAnsi="Times New Roman" w:cs="Times New Roman"/>
          <w:i/>
          <w:iCs/>
          <w:sz w:val="20"/>
          <w:szCs w:val="20"/>
        </w:rPr>
        <w:t>. Cluster 1 Risk of bias</w:t>
      </w:r>
      <w:r w:rsidRPr="001A6918">
        <w:rPr>
          <w:rFonts w:ascii="Times New Roman" w:hAnsi="Times New Roman" w:cs="Times New Roman"/>
          <w:i/>
          <w:iCs/>
          <w:sz w:val="20"/>
          <w:szCs w:val="20"/>
        </w:rPr>
        <w:br/>
      </w:r>
      <w:r w:rsidRPr="001A6918">
        <w:rPr>
          <w:rFonts w:ascii="Times New Roman" w:hAnsi="Times New Roman" w:cs="Times New Roman"/>
          <w:i/>
          <w:iCs/>
          <w:sz w:val="20"/>
          <w:szCs w:val="20"/>
        </w:rPr>
        <w:br/>
      </w:r>
    </w:p>
    <w:p w14:paraId="3E10AB2C" w14:textId="77777777" w:rsidR="001F64BB" w:rsidRPr="001A6918" w:rsidRDefault="001F64BB" w:rsidP="001F64BB">
      <w:pPr>
        <w:rPr>
          <w:rFonts w:ascii="Times New Roman" w:hAnsi="Times New Roman" w:cs="Times New Roman"/>
          <w:i/>
          <w:iCs/>
          <w:noProof/>
          <w:sz w:val="20"/>
          <w:szCs w:val="20"/>
        </w:rPr>
      </w:pPr>
      <w:r w:rsidRPr="001A6918">
        <w:rPr>
          <w:rFonts w:ascii="Times New Roman" w:hAnsi="Times New Roman" w:cs="Times New Roman"/>
          <w:noProof/>
          <w:sz w:val="20"/>
          <w:szCs w:val="20"/>
        </w:rPr>
        <w:t xml:space="preserve"> </w:t>
      </w:r>
      <w:r w:rsidRPr="001A6918">
        <w:rPr>
          <w:rFonts w:ascii="Times New Roman" w:hAnsi="Times New Roman" w:cs="Times New Roman"/>
          <w:noProof/>
          <w:sz w:val="20"/>
          <w:szCs w:val="20"/>
        </w:rPr>
        <w:drawing>
          <wp:inline distT="0" distB="0" distL="0" distR="0" wp14:anchorId="34EDD114" wp14:editId="227AAB22">
            <wp:extent cx="3498573" cy="2591348"/>
            <wp:effectExtent l="0" t="0" r="0" b="0"/>
            <wp:docPr id="1056975102"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75102" name="Picture 1" descr="A graph with different colored bars&#10;&#10;AI-generated content may be incorrect."/>
                    <pic:cNvPicPr/>
                  </pic:nvPicPr>
                  <pic:blipFill>
                    <a:blip r:embed="rId6"/>
                    <a:stretch>
                      <a:fillRect/>
                    </a:stretch>
                  </pic:blipFill>
                  <pic:spPr>
                    <a:xfrm>
                      <a:off x="0" y="0"/>
                      <a:ext cx="3575159" cy="2648074"/>
                    </a:xfrm>
                    <a:prstGeom prst="rect">
                      <a:avLst/>
                    </a:prstGeom>
                  </pic:spPr>
                </pic:pic>
              </a:graphicData>
            </a:graphic>
          </wp:inline>
        </w:drawing>
      </w:r>
      <w:r w:rsidRPr="001A6918">
        <w:rPr>
          <w:rFonts w:ascii="Times New Roman" w:hAnsi="Times New Roman" w:cs="Times New Roman"/>
          <w:noProof/>
          <w:sz w:val="20"/>
          <w:szCs w:val="20"/>
        </w:rPr>
        <w:br/>
      </w:r>
      <w:r w:rsidRPr="001A6918">
        <w:rPr>
          <w:rFonts w:ascii="Times New Roman" w:hAnsi="Times New Roman" w:cs="Times New Roman"/>
          <w:i/>
          <w:iCs/>
          <w:sz w:val="20"/>
          <w:szCs w:val="20"/>
        </w:rPr>
        <w:t xml:space="preserve">Figure </w:t>
      </w:r>
      <w:r>
        <w:rPr>
          <w:rFonts w:ascii="Times New Roman" w:hAnsi="Times New Roman" w:cs="Times New Roman"/>
          <w:i/>
          <w:iCs/>
          <w:sz w:val="20"/>
          <w:szCs w:val="20"/>
        </w:rPr>
        <w:t>S2</w:t>
      </w:r>
      <w:r w:rsidRPr="001A6918">
        <w:rPr>
          <w:rFonts w:ascii="Times New Roman" w:hAnsi="Times New Roman" w:cs="Times New Roman"/>
          <w:i/>
          <w:iCs/>
          <w:sz w:val="20"/>
          <w:szCs w:val="20"/>
        </w:rPr>
        <w:t>. Cluster 2</w:t>
      </w:r>
      <w:r w:rsidRPr="001A6918">
        <w:rPr>
          <w:rFonts w:ascii="Times New Roman" w:hAnsi="Times New Roman" w:cs="Times New Roman"/>
          <w:i/>
          <w:iCs/>
          <w:noProof/>
          <w:sz w:val="20"/>
          <w:szCs w:val="20"/>
        </w:rPr>
        <w:t xml:space="preserve"> </w:t>
      </w:r>
      <w:r w:rsidRPr="001A6918">
        <w:rPr>
          <w:rFonts w:ascii="Times New Roman" w:hAnsi="Times New Roman" w:cs="Times New Roman"/>
          <w:i/>
          <w:iCs/>
          <w:sz w:val="20"/>
          <w:szCs w:val="20"/>
        </w:rPr>
        <w:t>Risk of bias</w:t>
      </w:r>
      <w:r w:rsidRPr="001A6918">
        <w:rPr>
          <w:rFonts w:ascii="Times New Roman" w:hAnsi="Times New Roman" w:cs="Times New Roman"/>
          <w:i/>
          <w:iCs/>
          <w:sz w:val="20"/>
          <w:szCs w:val="20"/>
        </w:rPr>
        <w:br/>
      </w:r>
    </w:p>
    <w:p w14:paraId="20838057" w14:textId="77777777" w:rsidR="001F64BB" w:rsidRPr="001A6918" w:rsidRDefault="001F64BB" w:rsidP="001F64BB">
      <w:pPr>
        <w:rPr>
          <w:rFonts w:ascii="Times New Roman" w:hAnsi="Times New Roman" w:cs="Times New Roman"/>
          <w:sz w:val="20"/>
          <w:szCs w:val="20"/>
        </w:rPr>
      </w:pPr>
      <w:r w:rsidRPr="001A6918">
        <w:rPr>
          <w:rFonts w:ascii="Times New Roman" w:hAnsi="Times New Roman" w:cs="Times New Roman"/>
          <w:noProof/>
          <w:sz w:val="20"/>
          <w:szCs w:val="20"/>
        </w:rPr>
        <w:drawing>
          <wp:inline distT="0" distB="0" distL="0" distR="0" wp14:anchorId="5703FA09" wp14:editId="4E9C1E6F">
            <wp:extent cx="3537972" cy="2620529"/>
            <wp:effectExtent l="0" t="0" r="5715" b="0"/>
            <wp:docPr id="430447412" name="Picture 1" descr="A green and red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47412" name="Picture 1" descr="A green and red bar graph&#10;&#10;AI-generated content may be incorrect."/>
                    <pic:cNvPicPr/>
                  </pic:nvPicPr>
                  <pic:blipFill>
                    <a:blip r:embed="rId7"/>
                    <a:stretch>
                      <a:fillRect/>
                    </a:stretch>
                  </pic:blipFill>
                  <pic:spPr>
                    <a:xfrm>
                      <a:off x="0" y="0"/>
                      <a:ext cx="3608165" cy="2672520"/>
                    </a:xfrm>
                    <a:prstGeom prst="rect">
                      <a:avLst/>
                    </a:prstGeom>
                  </pic:spPr>
                </pic:pic>
              </a:graphicData>
            </a:graphic>
          </wp:inline>
        </w:drawing>
      </w:r>
    </w:p>
    <w:p w14:paraId="6FDF5CC6" w14:textId="77777777" w:rsidR="001F64BB" w:rsidRPr="001A6918" w:rsidRDefault="001F64BB" w:rsidP="001F64BB">
      <w:pPr>
        <w:rPr>
          <w:rFonts w:ascii="Times New Roman" w:hAnsi="Times New Roman" w:cs="Times New Roman"/>
          <w:sz w:val="20"/>
          <w:szCs w:val="20"/>
        </w:rPr>
      </w:pPr>
      <w:r w:rsidRPr="001A6918">
        <w:rPr>
          <w:rFonts w:ascii="Times New Roman" w:hAnsi="Times New Roman" w:cs="Times New Roman"/>
          <w:i/>
          <w:iCs/>
          <w:sz w:val="20"/>
          <w:szCs w:val="20"/>
        </w:rPr>
        <w:t>Figure S</w:t>
      </w:r>
      <w:r>
        <w:rPr>
          <w:rFonts w:ascii="Times New Roman" w:hAnsi="Times New Roman" w:cs="Times New Roman"/>
          <w:i/>
          <w:iCs/>
          <w:sz w:val="20"/>
          <w:szCs w:val="20"/>
        </w:rPr>
        <w:t>3</w:t>
      </w:r>
      <w:r w:rsidRPr="001A6918">
        <w:rPr>
          <w:rFonts w:ascii="Times New Roman" w:hAnsi="Times New Roman" w:cs="Times New Roman"/>
          <w:i/>
          <w:iCs/>
          <w:sz w:val="20"/>
          <w:szCs w:val="20"/>
        </w:rPr>
        <w:t>. Cluster 3 Risk of bias</w:t>
      </w:r>
      <w:r w:rsidRPr="001A6918">
        <w:rPr>
          <w:rFonts w:ascii="Times New Roman" w:hAnsi="Times New Roman" w:cs="Times New Roman"/>
          <w:i/>
          <w:iCs/>
          <w:sz w:val="20"/>
          <w:szCs w:val="20"/>
        </w:rPr>
        <w:br/>
      </w:r>
    </w:p>
    <w:p w14:paraId="66F70998" w14:textId="77777777" w:rsidR="001F64BB" w:rsidRPr="001A6918" w:rsidRDefault="001F64BB" w:rsidP="001F64BB">
      <w:pPr>
        <w:rPr>
          <w:rFonts w:ascii="Times New Roman" w:hAnsi="Times New Roman" w:cs="Times New Roman"/>
          <w:sz w:val="20"/>
          <w:szCs w:val="20"/>
        </w:rPr>
      </w:pPr>
      <w:r w:rsidRPr="001A6918">
        <w:rPr>
          <w:rFonts w:ascii="Times New Roman" w:hAnsi="Times New Roman" w:cs="Times New Roman"/>
          <w:noProof/>
          <w:sz w:val="20"/>
          <w:szCs w:val="20"/>
        </w:rPr>
        <w:drawing>
          <wp:inline distT="0" distB="0" distL="0" distR="0" wp14:anchorId="56486921" wp14:editId="32F60AE7">
            <wp:extent cx="3538330" cy="2620797"/>
            <wp:effectExtent l="0" t="0" r="5080" b="0"/>
            <wp:docPr id="318955953" name="Picture 1" descr="A graph with different colored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55953" name="Picture 1" descr="A graph with different colored rectangles&#10;&#10;AI-generated content may be incorrect."/>
                    <pic:cNvPicPr/>
                  </pic:nvPicPr>
                  <pic:blipFill>
                    <a:blip r:embed="rId8"/>
                    <a:stretch>
                      <a:fillRect/>
                    </a:stretch>
                  </pic:blipFill>
                  <pic:spPr>
                    <a:xfrm>
                      <a:off x="0" y="0"/>
                      <a:ext cx="3582613" cy="2653597"/>
                    </a:xfrm>
                    <a:prstGeom prst="rect">
                      <a:avLst/>
                    </a:prstGeom>
                  </pic:spPr>
                </pic:pic>
              </a:graphicData>
            </a:graphic>
          </wp:inline>
        </w:drawing>
      </w:r>
    </w:p>
    <w:p w14:paraId="2E37FB30" w14:textId="77777777" w:rsidR="001F64BB" w:rsidRPr="001A6918" w:rsidRDefault="001F64BB" w:rsidP="001F64BB">
      <w:pPr>
        <w:rPr>
          <w:rFonts w:ascii="Times New Roman" w:hAnsi="Times New Roman" w:cs="Times New Roman"/>
          <w:i/>
          <w:iCs/>
          <w:sz w:val="20"/>
          <w:szCs w:val="20"/>
        </w:rPr>
      </w:pPr>
      <w:r w:rsidRPr="001A6918">
        <w:rPr>
          <w:rFonts w:ascii="Times New Roman" w:hAnsi="Times New Roman" w:cs="Times New Roman"/>
          <w:i/>
          <w:iCs/>
          <w:sz w:val="20"/>
          <w:szCs w:val="20"/>
        </w:rPr>
        <w:t>Figure S</w:t>
      </w:r>
      <w:r>
        <w:rPr>
          <w:rFonts w:ascii="Times New Roman" w:hAnsi="Times New Roman" w:cs="Times New Roman"/>
          <w:i/>
          <w:iCs/>
          <w:sz w:val="20"/>
          <w:szCs w:val="20"/>
        </w:rPr>
        <w:t>4</w:t>
      </w:r>
      <w:r w:rsidRPr="001A6918">
        <w:rPr>
          <w:rFonts w:ascii="Times New Roman" w:hAnsi="Times New Roman" w:cs="Times New Roman"/>
          <w:i/>
          <w:iCs/>
          <w:sz w:val="20"/>
          <w:szCs w:val="20"/>
        </w:rPr>
        <w:t>. Cluster 4 Risk of bias</w:t>
      </w:r>
      <w:r w:rsidRPr="001A6918">
        <w:rPr>
          <w:rFonts w:ascii="Times New Roman" w:hAnsi="Times New Roman" w:cs="Times New Roman"/>
          <w:i/>
          <w:iCs/>
          <w:sz w:val="20"/>
          <w:szCs w:val="20"/>
        </w:rPr>
        <w:br/>
      </w:r>
    </w:p>
    <w:p w14:paraId="34AC3AA7" w14:textId="77777777" w:rsidR="001F64BB" w:rsidRPr="001A6918" w:rsidRDefault="001F64BB" w:rsidP="001F64BB">
      <w:pPr>
        <w:rPr>
          <w:rFonts w:ascii="Times New Roman" w:hAnsi="Times New Roman" w:cs="Times New Roman"/>
          <w:sz w:val="20"/>
          <w:szCs w:val="20"/>
        </w:rPr>
      </w:pPr>
    </w:p>
    <w:p w14:paraId="4E52E6D1" w14:textId="77777777" w:rsidR="001F64BB" w:rsidRPr="001A6918" w:rsidRDefault="001F64BB" w:rsidP="001F64BB">
      <w:pPr>
        <w:rPr>
          <w:rFonts w:ascii="Times New Roman" w:hAnsi="Times New Roman" w:cs="Times New Roman"/>
          <w:sz w:val="20"/>
          <w:szCs w:val="20"/>
        </w:rPr>
      </w:pPr>
    </w:p>
    <w:p w14:paraId="5D6DCB12" w14:textId="77777777" w:rsidR="001F64BB" w:rsidRPr="001A6918" w:rsidRDefault="001F64BB" w:rsidP="001F64BB">
      <w:pPr>
        <w:rPr>
          <w:rFonts w:ascii="Times New Roman" w:hAnsi="Times New Roman" w:cs="Times New Roman"/>
          <w:sz w:val="20"/>
          <w:szCs w:val="20"/>
        </w:rPr>
      </w:pPr>
      <w:r w:rsidRPr="001A6918">
        <w:rPr>
          <w:rFonts w:ascii="Times New Roman" w:hAnsi="Times New Roman" w:cs="Times New Roman"/>
          <w:noProof/>
          <w:sz w:val="20"/>
          <w:szCs w:val="20"/>
        </w:rPr>
        <w:drawing>
          <wp:inline distT="0" distB="0" distL="0" distR="0" wp14:anchorId="240D19AF" wp14:editId="259F1948">
            <wp:extent cx="3538220" cy="2620715"/>
            <wp:effectExtent l="0" t="0" r="5080" b="0"/>
            <wp:docPr id="812999790"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99790" name="Picture 1" descr="A graph with different colored bars&#10;&#10;AI-generated content may be incorrect."/>
                    <pic:cNvPicPr/>
                  </pic:nvPicPr>
                  <pic:blipFill>
                    <a:blip r:embed="rId9"/>
                    <a:stretch>
                      <a:fillRect/>
                    </a:stretch>
                  </pic:blipFill>
                  <pic:spPr>
                    <a:xfrm>
                      <a:off x="0" y="0"/>
                      <a:ext cx="3577067" cy="2649489"/>
                    </a:xfrm>
                    <a:prstGeom prst="rect">
                      <a:avLst/>
                    </a:prstGeom>
                  </pic:spPr>
                </pic:pic>
              </a:graphicData>
            </a:graphic>
          </wp:inline>
        </w:drawing>
      </w:r>
    </w:p>
    <w:p w14:paraId="58146800" w14:textId="77777777" w:rsidR="001F64BB" w:rsidRPr="001A6918" w:rsidRDefault="001F64BB" w:rsidP="001F64BB">
      <w:pPr>
        <w:rPr>
          <w:rFonts w:ascii="Times New Roman" w:hAnsi="Times New Roman" w:cs="Times New Roman"/>
          <w:i/>
          <w:iCs/>
          <w:sz w:val="20"/>
          <w:szCs w:val="20"/>
        </w:rPr>
        <w:sectPr w:rsidR="001F64BB" w:rsidRPr="001A6918" w:rsidSect="001F64BB">
          <w:type w:val="nextColumn"/>
          <w:pgSz w:w="16840" w:h="11900" w:orient="landscape"/>
          <w:pgMar w:top="1247" w:right="1247" w:bottom="1247" w:left="1247" w:header="708" w:footer="708" w:gutter="0"/>
          <w:cols w:num="2" w:space="708"/>
          <w:docGrid w:linePitch="360"/>
        </w:sectPr>
      </w:pPr>
      <w:r w:rsidRPr="001A6918">
        <w:rPr>
          <w:rFonts w:ascii="Times New Roman" w:hAnsi="Times New Roman" w:cs="Times New Roman"/>
          <w:i/>
          <w:iCs/>
          <w:sz w:val="20"/>
          <w:szCs w:val="20"/>
        </w:rPr>
        <w:t xml:space="preserve">Figure </w:t>
      </w:r>
      <w:r>
        <w:rPr>
          <w:rFonts w:ascii="Times New Roman" w:hAnsi="Times New Roman" w:cs="Times New Roman"/>
          <w:i/>
          <w:iCs/>
          <w:sz w:val="20"/>
          <w:szCs w:val="20"/>
        </w:rPr>
        <w:t>S5</w:t>
      </w:r>
      <w:r w:rsidRPr="001A6918">
        <w:rPr>
          <w:rFonts w:ascii="Times New Roman" w:hAnsi="Times New Roman" w:cs="Times New Roman"/>
          <w:i/>
          <w:iCs/>
          <w:sz w:val="20"/>
          <w:szCs w:val="20"/>
        </w:rPr>
        <w:t>. Cluster 5 Risk of bias</w:t>
      </w:r>
    </w:p>
    <w:p w14:paraId="21E6A883" w14:textId="6ED9DB0F" w:rsidR="001F64BB" w:rsidRDefault="000C6229" w:rsidP="001F64BB">
      <w:pPr>
        <w:ind w:left="720" w:hanging="720"/>
        <w:jc w:val="center"/>
        <w:rPr>
          <w:rFonts w:ascii="Times New Roman" w:hAnsi="Times New Roman" w:cs="Times New Roman"/>
          <w:b/>
          <w:bCs/>
        </w:rPr>
      </w:pPr>
      <w:r>
        <w:rPr>
          <w:rFonts w:ascii="Times New Roman" w:hAnsi="Times New Roman" w:cs="Times New Roman"/>
          <w:b/>
          <w:bCs/>
        </w:rPr>
        <w:lastRenderedPageBreak/>
        <w:t>Section</w:t>
      </w:r>
      <w:r w:rsidR="001F64BB" w:rsidRPr="001A6918">
        <w:rPr>
          <w:rFonts w:ascii="Times New Roman" w:hAnsi="Times New Roman" w:cs="Times New Roman"/>
          <w:b/>
          <w:bCs/>
        </w:rPr>
        <w:t xml:space="preserve"> B: Supplementary</w:t>
      </w:r>
      <w:r w:rsidR="001F64BB">
        <w:rPr>
          <w:rFonts w:ascii="Times New Roman" w:hAnsi="Times New Roman" w:cs="Times New Roman"/>
          <w:b/>
          <w:bCs/>
        </w:rPr>
        <w:t xml:space="preserve"> Tables and</w:t>
      </w:r>
      <w:r w:rsidR="001F64BB" w:rsidRPr="001A6918">
        <w:rPr>
          <w:rFonts w:ascii="Times New Roman" w:hAnsi="Times New Roman" w:cs="Times New Roman"/>
          <w:b/>
          <w:bCs/>
        </w:rPr>
        <w:t xml:space="preserve"> Figures </w:t>
      </w:r>
    </w:p>
    <w:p w14:paraId="28DB5B45" w14:textId="77777777" w:rsidR="001F64BB" w:rsidRPr="00B64990" w:rsidRDefault="001F64BB" w:rsidP="001F64BB">
      <w:pPr>
        <w:ind w:left="720" w:hanging="720"/>
        <w:jc w:val="center"/>
        <w:rPr>
          <w:rFonts w:ascii="Times New Roman" w:hAnsi="Times New Roman" w:cs="Times New Roman"/>
          <w:b/>
          <w:bCs/>
          <w:sz w:val="22"/>
          <w:szCs w:val="22"/>
        </w:rPr>
      </w:pPr>
    </w:p>
    <w:p w14:paraId="024929F5" w14:textId="77777777" w:rsidR="001F64BB" w:rsidRPr="0057735C" w:rsidRDefault="001F64BB" w:rsidP="001F64BB">
      <w:pPr>
        <w:rPr>
          <w:rFonts w:ascii="Times New Roman" w:hAnsi="Times New Roman" w:cs="Times New Roman"/>
          <w:b/>
          <w:bCs/>
          <w:sz w:val="20"/>
          <w:szCs w:val="20"/>
        </w:rPr>
      </w:pPr>
      <w:r w:rsidRPr="002C0AE3">
        <w:rPr>
          <w:rFonts w:ascii="Times New Roman" w:hAnsi="Times New Roman" w:cs="Times New Roman"/>
          <w:b/>
          <w:bCs/>
          <w:sz w:val="20"/>
          <w:szCs w:val="20"/>
        </w:rPr>
        <w:t xml:space="preserve">Table </w:t>
      </w:r>
      <w:r w:rsidRPr="0057735C">
        <w:rPr>
          <w:rFonts w:ascii="Times New Roman" w:hAnsi="Times New Roman" w:cs="Times New Roman"/>
          <w:b/>
          <w:bCs/>
          <w:sz w:val="20"/>
          <w:szCs w:val="20"/>
        </w:rPr>
        <w:t>S2. The hypotheses associated with the social identity approach to health (reproduced from Haslam et a</w:t>
      </w:r>
      <w:r>
        <w:rPr>
          <w:rFonts w:ascii="Times New Roman" w:hAnsi="Times New Roman" w:cs="Times New Roman"/>
          <w:b/>
          <w:bCs/>
          <w:sz w:val="20"/>
          <w:szCs w:val="20"/>
        </w:rPr>
        <w:t>l</w:t>
      </w:r>
      <w:r w:rsidRPr="0057735C">
        <w:rPr>
          <w:rFonts w:ascii="Times New Roman" w:hAnsi="Times New Roman" w:cs="Times New Roman"/>
          <w:b/>
          <w:bCs/>
          <w:sz w:val="20"/>
          <w:szCs w:val="20"/>
        </w:rPr>
        <w:t xml:space="preserve">., 2018). </w:t>
      </w:r>
    </w:p>
    <w:p w14:paraId="4BDB3ED8" w14:textId="77777777" w:rsidR="001F64BB" w:rsidRPr="0057735C" w:rsidRDefault="001F64BB" w:rsidP="001F64BB">
      <w:pPr>
        <w:spacing w:line="276" w:lineRule="auto"/>
        <w:rPr>
          <w:rFonts w:ascii="Times New Roman" w:hAnsi="Times New Roman" w:cs="Times New Roman"/>
          <w:sz w:val="20"/>
          <w:szCs w:val="20"/>
        </w:rPr>
      </w:pPr>
    </w:p>
    <w:p w14:paraId="3506D012"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1  (</w:t>
      </w:r>
      <w:proofErr w:type="gramEnd"/>
      <w:r w:rsidRPr="0057735C">
        <w:rPr>
          <w:rFonts w:ascii="Times New Roman" w:hAnsi="Times New Roman" w:cs="Times New Roman"/>
          <w:i/>
          <w:iCs/>
          <w:sz w:val="20"/>
          <w:szCs w:val="20"/>
        </w:rPr>
        <w:t>the social identity hypothesis</w:t>
      </w:r>
      <w:r w:rsidRPr="0057735C">
        <w:rPr>
          <w:rFonts w:ascii="Times New Roman" w:hAnsi="Times New Roman" w:cs="Times New Roman"/>
          <w:sz w:val="20"/>
          <w:szCs w:val="20"/>
        </w:rPr>
        <w:t xml:space="preserve">): Because it is the basis for meaningful group life, social identity is central to both good and ill health. </w:t>
      </w:r>
    </w:p>
    <w:p w14:paraId="616906B9"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2  (</w:t>
      </w:r>
      <w:proofErr w:type="gramEnd"/>
      <w:r w:rsidRPr="0057735C">
        <w:rPr>
          <w:rFonts w:ascii="Times New Roman" w:hAnsi="Times New Roman" w:cs="Times New Roman"/>
          <w:i/>
          <w:iCs/>
          <w:sz w:val="20"/>
          <w:szCs w:val="20"/>
        </w:rPr>
        <w:t>the identification hypothesis</w:t>
      </w:r>
      <w:r w:rsidRPr="0057735C">
        <w:rPr>
          <w:rFonts w:ascii="Times New Roman" w:hAnsi="Times New Roman" w:cs="Times New Roman"/>
          <w:sz w:val="20"/>
          <w:szCs w:val="20"/>
        </w:rPr>
        <w:t xml:space="preserve">): A person will generally experience the health-related benefits or costs of a given group membership only to the extent that they identify with that group. </w:t>
      </w:r>
    </w:p>
    <w:p w14:paraId="1533CC4A"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3  (</w:t>
      </w:r>
      <w:proofErr w:type="gramEnd"/>
      <w:r w:rsidRPr="0057735C">
        <w:rPr>
          <w:rFonts w:ascii="Times New Roman" w:hAnsi="Times New Roman" w:cs="Times New Roman"/>
          <w:i/>
          <w:iCs/>
          <w:sz w:val="20"/>
          <w:szCs w:val="20"/>
        </w:rPr>
        <w:t>the group circumstance hypothesis</w:t>
      </w:r>
      <w:r w:rsidRPr="0057735C">
        <w:rPr>
          <w:rFonts w:ascii="Times New Roman" w:hAnsi="Times New Roman" w:cs="Times New Roman"/>
          <w:sz w:val="20"/>
          <w:szCs w:val="20"/>
        </w:rPr>
        <w:t xml:space="preserve">): When and to the extent that a person defines themselves in terms of a given social identity, their well-being will be affected by the state and circum- stances of the group with which that identity is associated. </w:t>
      </w:r>
    </w:p>
    <w:p w14:paraId="7F30E7A1" w14:textId="77777777" w:rsidR="001F64BB" w:rsidRPr="0057735C" w:rsidRDefault="001F64BB" w:rsidP="001F64BB">
      <w:pPr>
        <w:spacing w:line="276" w:lineRule="auto"/>
        <w:ind w:left="720" w:hanging="340"/>
        <w:rPr>
          <w:rFonts w:ascii="Times New Roman" w:hAnsi="Times New Roman" w:cs="Times New Roman"/>
          <w:sz w:val="20"/>
          <w:szCs w:val="20"/>
        </w:rPr>
      </w:pPr>
      <w:r w:rsidRPr="0057735C">
        <w:rPr>
          <w:rFonts w:ascii="Times New Roman" w:hAnsi="Times New Roman" w:cs="Times New Roman"/>
          <w:sz w:val="20"/>
          <w:szCs w:val="20"/>
        </w:rPr>
        <w:t xml:space="preserve">H3a.  When the group that defines a person’s social identity is enhanced in some way (e.g., by success, high status, or advancement), social identity becomes a beneficial psychological resource and tends to have positive consequences for their well-being. </w:t>
      </w:r>
    </w:p>
    <w:p w14:paraId="123306E6" w14:textId="77777777" w:rsidR="001F64BB" w:rsidRPr="0057735C" w:rsidRDefault="001F64BB" w:rsidP="001F64BB">
      <w:pPr>
        <w:spacing w:line="276" w:lineRule="auto"/>
        <w:ind w:left="720" w:hanging="340"/>
        <w:rPr>
          <w:rFonts w:ascii="Times New Roman" w:hAnsi="Times New Roman" w:cs="Times New Roman"/>
          <w:sz w:val="20"/>
          <w:szCs w:val="20"/>
        </w:rPr>
      </w:pPr>
      <w:r w:rsidRPr="0057735C">
        <w:rPr>
          <w:rFonts w:ascii="Times New Roman" w:hAnsi="Times New Roman" w:cs="Times New Roman"/>
          <w:sz w:val="20"/>
          <w:szCs w:val="20"/>
        </w:rPr>
        <w:t xml:space="preserve">H3b.  When the group that defines a person’s social identity is compromised in some way (e.g., by stigma, low status, or failure), the capacity for social identity to function as a beneficial psychological resource is reduced, and this will tend to have negative consequences for their well-being. </w:t>
      </w:r>
    </w:p>
    <w:p w14:paraId="4A9C5F53"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4  (</w:t>
      </w:r>
      <w:proofErr w:type="gramEnd"/>
      <w:r w:rsidRPr="0057735C">
        <w:rPr>
          <w:rFonts w:ascii="Times New Roman" w:hAnsi="Times New Roman" w:cs="Times New Roman"/>
          <w:i/>
          <w:iCs/>
          <w:sz w:val="20"/>
          <w:szCs w:val="20"/>
        </w:rPr>
        <w:t>the identity restoration hypothesis</w:t>
      </w:r>
      <w:r w:rsidRPr="0057735C">
        <w:rPr>
          <w:rFonts w:ascii="Times New Roman" w:hAnsi="Times New Roman" w:cs="Times New Roman"/>
          <w:sz w:val="20"/>
          <w:szCs w:val="20"/>
        </w:rPr>
        <w:t xml:space="preserve">): People will be motivated to restore positive identity when this is compromised by events that threaten or undermine their social identities (e.g., group failure, stigma, low status, or loss of group membership). </w:t>
      </w:r>
    </w:p>
    <w:p w14:paraId="6C01CEB6"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5  (</w:t>
      </w:r>
      <w:proofErr w:type="gramEnd"/>
      <w:r w:rsidRPr="0057735C">
        <w:rPr>
          <w:rFonts w:ascii="Times New Roman" w:hAnsi="Times New Roman" w:cs="Times New Roman"/>
          <w:i/>
          <w:iCs/>
          <w:sz w:val="20"/>
          <w:szCs w:val="20"/>
        </w:rPr>
        <w:t>the mobility hypothesis</w:t>
      </w:r>
      <w:r w:rsidRPr="0057735C">
        <w:rPr>
          <w:rFonts w:ascii="Times New Roman" w:hAnsi="Times New Roman" w:cs="Times New Roman"/>
          <w:sz w:val="20"/>
          <w:szCs w:val="20"/>
        </w:rPr>
        <w:t xml:space="preserve">): When circumstances threaten, undermine, or preclude positive social identity, if people perceive group boundaries to be permeable, they are likely to respond to the threat to positive identity through strategies of personal mobility. </w:t>
      </w:r>
    </w:p>
    <w:p w14:paraId="1C641AF9"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6  (</w:t>
      </w:r>
      <w:proofErr w:type="gramEnd"/>
      <w:r w:rsidRPr="0057735C">
        <w:rPr>
          <w:rFonts w:ascii="Times New Roman" w:hAnsi="Times New Roman" w:cs="Times New Roman"/>
          <w:i/>
          <w:iCs/>
          <w:sz w:val="20"/>
          <w:szCs w:val="20"/>
        </w:rPr>
        <w:t>the creativity hypothesis</w:t>
      </w:r>
      <w:r w:rsidRPr="0057735C">
        <w:rPr>
          <w:rFonts w:ascii="Times New Roman" w:hAnsi="Times New Roman" w:cs="Times New Roman"/>
          <w:sz w:val="20"/>
          <w:szCs w:val="20"/>
        </w:rPr>
        <w:t xml:space="preserve">): When circumstances threaten, undermine, or preclude positive social identity, if people perceive group boundaries to be impermeable but group relations to be secure, they are likely to respond to the threat to positive identity through strategies of social creativity. </w:t>
      </w:r>
    </w:p>
    <w:p w14:paraId="476B89DD"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7  (</w:t>
      </w:r>
      <w:proofErr w:type="gramEnd"/>
      <w:r w:rsidRPr="0057735C">
        <w:rPr>
          <w:rFonts w:ascii="Times New Roman" w:hAnsi="Times New Roman" w:cs="Times New Roman"/>
          <w:i/>
          <w:iCs/>
          <w:sz w:val="20"/>
          <w:szCs w:val="20"/>
        </w:rPr>
        <w:t>the competition hypothesis</w:t>
      </w:r>
      <w:r w:rsidRPr="0057735C">
        <w:rPr>
          <w:rFonts w:ascii="Times New Roman" w:hAnsi="Times New Roman" w:cs="Times New Roman"/>
          <w:sz w:val="20"/>
          <w:szCs w:val="20"/>
        </w:rPr>
        <w:t xml:space="preserve">): When circumstances threaten, undermine, or preclude positive social identity, if people perceive group boundaries to be impermeable and group relations to be insecure, they are likely to respond to the threat to positive identity through strategies of social competition. </w:t>
      </w:r>
    </w:p>
    <w:p w14:paraId="0394C119"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8  (</w:t>
      </w:r>
      <w:proofErr w:type="gramEnd"/>
      <w:r w:rsidRPr="0057735C">
        <w:rPr>
          <w:rFonts w:ascii="Times New Roman" w:hAnsi="Times New Roman" w:cs="Times New Roman"/>
          <w:i/>
          <w:iCs/>
          <w:sz w:val="20"/>
          <w:szCs w:val="20"/>
        </w:rPr>
        <w:t>the norm enactment hypothesis</w:t>
      </w:r>
      <w:r w:rsidRPr="0057735C">
        <w:rPr>
          <w:rFonts w:ascii="Times New Roman" w:hAnsi="Times New Roman" w:cs="Times New Roman"/>
          <w:sz w:val="20"/>
          <w:szCs w:val="20"/>
        </w:rPr>
        <w:t xml:space="preserve">): When and to the extent that a person defines themselves in terms of a given social identity, they will enact – or at least strive to enact – the norms and values associated with that identity. </w:t>
      </w:r>
    </w:p>
    <w:p w14:paraId="7CC09F70"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9  (</w:t>
      </w:r>
      <w:proofErr w:type="gramEnd"/>
      <w:r w:rsidRPr="0057735C">
        <w:rPr>
          <w:rFonts w:ascii="Times New Roman" w:hAnsi="Times New Roman" w:cs="Times New Roman"/>
          <w:i/>
          <w:iCs/>
          <w:sz w:val="20"/>
          <w:szCs w:val="20"/>
        </w:rPr>
        <w:t>the influence hypothesis</w:t>
      </w:r>
      <w:r w:rsidRPr="0057735C">
        <w:rPr>
          <w:rFonts w:ascii="Times New Roman" w:hAnsi="Times New Roman" w:cs="Times New Roman"/>
          <w:sz w:val="20"/>
          <w:szCs w:val="20"/>
        </w:rPr>
        <w:t xml:space="preserve">): When and to the extent that people define themselves in terms of shared social identity, they will be more likely to influence each other. </w:t>
      </w:r>
    </w:p>
    <w:p w14:paraId="04B19735"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10  (</w:t>
      </w:r>
      <w:proofErr w:type="gramEnd"/>
      <w:r w:rsidRPr="0057735C">
        <w:rPr>
          <w:rFonts w:ascii="Times New Roman" w:hAnsi="Times New Roman" w:cs="Times New Roman"/>
          <w:i/>
          <w:iCs/>
          <w:sz w:val="20"/>
          <w:szCs w:val="20"/>
        </w:rPr>
        <w:t>the prototypicality hypothesis</w:t>
      </w:r>
      <w:r w:rsidRPr="0057735C">
        <w:rPr>
          <w:rFonts w:ascii="Times New Roman" w:hAnsi="Times New Roman" w:cs="Times New Roman"/>
          <w:sz w:val="20"/>
          <w:szCs w:val="20"/>
        </w:rPr>
        <w:t xml:space="preserve">): People will have more influence in defining the meaning of a given social identity to the extent that they are seen to be representative of that identity. </w:t>
      </w:r>
    </w:p>
    <w:p w14:paraId="2C0287F9"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11  (</w:t>
      </w:r>
      <w:proofErr w:type="gramEnd"/>
      <w:r w:rsidRPr="0057735C">
        <w:rPr>
          <w:rFonts w:ascii="Times New Roman" w:hAnsi="Times New Roman" w:cs="Times New Roman"/>
          <w:i/>
          <w:iCs/>
          <w:sz w:val="20"/>
          <w:szCs w:val="20"/>
        </w:rPr>
        <w:t>the multiple identities hypothesis</w:t>
      </w:r>
      <w:r w:rsidRPr="0057735C">
        <w:rPr>
          <w:rFonts w:ascii="Times New Roman" w:hAnsi="Times New Roman" w:cs="Times New Roman"/>
          <w:sz w:val="20"/>
          <w:szCs w:val="20"/>
        </w:rPr>
        <w:t xml:space="preserve">): Providing they are compatible with each other, important to them, and positive, the more social identities a person has access to, the more psychological resources they can draw upon and the more beneficial this will be for their health. </w:t>
      </w:r>
    </w:p>
    <w:p w14:paraId="78272C60"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12  (</w:t>
      </w:r>
      <w:proofErr w:type="gramEnd"/>
      <w:r w:rsidRPr="0057735C">
        <w:rPr>
          <w:rFonts w:ascii="Times New Roman" w:hAnsi="Times New Roman" w:cs="Times New Roman"/>
          <w:i/>
          <w:iCs/>
          <w:sz w:val="20"/>
          <w:szCs w:val="20"/>
        </w:rPr>
        <w:t>the connection hypothesis</w:t>
      </w:r>
      <w:r w:rsidRPr="0057735C">
        <w:rPr>
          <w:rFonts w:ascii="Times New Roman" w:hAnsi="Times New Roman" w:cs="Times New Roman"/>
          <w:sz w:val="20"/>
          <w:szCs w:val="20"/>
        </w:rPr>
        <w:t>): When and to the extent that people define themselves in terms of shared social identity, they will be more likely to perceive themselves as similar and connected and to be positively oriented towards (e.g., trusting of) each other. H</w:t>
      </w:r>
      <w:proofErr w:type="gramStart"/>
      <w:r w:rsidRPr="0057735C">
        <w:rPr>
          <w:rFonts w:ascii="Times New Roman" w:hAnsi="Times New Roman" w:cs="Times New Roman"/>
          <w:sz w:val="20"/>
          <w:szCs w:val="20"/>
        </w:rPr>
        <w:t>13  (</w:t>
      </w:r>
      <w:proofErr w:type="gramEnd"/>
      <w:r w:rsidRPr="0057735C">
        <w:rPr>
          <w:rFonts w:ascii="Times New Roman" w:hAnsi="Times New Roman" w:cs="Times New Roman"/>
          <w:i/>
          <w:iCs/>
          <w:sz w:val="20"/>
          <w:szCs w:val="20"/>
        </w:rPr>
        <w:t>the meaning hypothesis</w:t>
      </w:r>
      <w:r w:rsidRPr="0057735C">
        <w:rPr>
          <w:rFonts w:ascii="Times New Roman" w:hAnsi="Times New Roman" w:cs="Times New Roman"/>
          <w:sz w:val="20"/>
          <w:szCs w:val="20"/>
        </w:rPr>
        <w:t xml:space="preserve">): When and to the extent that people define themselves in terms of shared social identity, that identity will focus their energies and imbue them with a sense of meaning, purpose, and worth. </w:t>
      </w:r>
    </w:p>
    <w:p w14:paraId="11DE65AD"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14  (</w:t>
      </w:r>
      <w:proofErr w:type="gramEnd"/>
      <w:r w:rsidRPr="0057735C">
        <w:rPr>
          <w:rFonts w:ascii="Times New Roman" w:hAnsi="Times New Roman" w:cs="Times New Roman"/>
          <w:i/>
          <w:iCs/>
          <w:sz w:val="20"/>
          <w:szCs w:val="20"/>
        </w:rPr>
        <w:t>the support hypothesis</w:t>
      </w:r>
      <w:r w:rsidRPr="0057735C">
        <w:rPr>
          <w:rFonts w:ascii="Times New Roman" w:hAnsi="Times New Roman" w:cs="Times New Roman"/>
          <w:sz w:val="20"/>
          <w:szCs w:val="20"/>
        </w:rPr>
        <w:t xml:space="preserve">): When and to the extent that people define themselves in terms of shared social identity, they will (1) expect to give each other support, (2) </w:t>
      </w:r>
      <w:proofErr w:type="gramStart"/>
      <w:r w:rsidRPr="0057735C">
        <w:rPr>
          <w:rFonts w:ascii="Times New Roman" w:hAnsi="Times New Roman" w:cs="Times New Roman"/>
          <w:sz w:val="20"/>
          <w:szCs w:val="20"/>
        </w:rPr>
        <w:t>actually give</w:t>
      </w:r>
      <w:proofErr w:type="gramEnd"/>
      <w:r w:rsidRPr="0057735C">
        <w:rPr>
          <w:rFonts w:ascii="Times New Roman" w:hAnsi="Times New Roman" w:cs="Times New Roman"/>
          <w:sz w:val="20"/>
          <w:szCs w:val="20"/>
        </w:rPr>
        <w:t xml:space="preserve"> each other support, and (3) construe the support they receive more positively. </w:t>
      </w:r>
    </w:p>
    <w:p w14:paraId="1BEF48A2" w14:textId="77777777" w:rsidR="001F64BB" w:rsidRPr="0057735C" w:rsidRDefault="001F64BB" w:rsidP="001F64BB">
      <w:pPr>
        <w:spacing w:line="276" w:lineRule="auto"/>
        <w:ind w:hanging="340"/>
        <w:rPr>
          <w:rFonts w:ascii="Times New Roman" w:hAnsi="Times New Roman" w:cs="Times New Roman"/>
          <w:sz w:val="20"/>
          <w:szCs w:val="20"/>
        </w:rPr>
      </w:pPr>
      <w:r w:rsidRPr="0057735C">
        <w:rPr>
          <w:rFonts w:ascii="Times New Roman" w:hAnsi="Times New Roman" w:cs="Times New Roman"/>
          <w:sz w:val="20"/>
          <w:szCs w:val="20"/>
        </w:rPr>
        <w:t>H</w:t>
      </w:r>
      <w:proofErr w:type="gramStart"/>
      <w:r w:rsidRPr="0057735C">
        <w:rPr>
          <w:rFonts w:ascii="Times New Roman" w:hAnsi="Times New Roman" w:cs="Times New Roman"/>
          <w:sz w:val="20"/>
          <w:szCs w:val="20"/>
        </w:rPr>
        <w:t>15  (</w:t>
      </w:r>
      <w:proofErr w:type="gramEnd"/>
      <w:r w:rsidRPr="0057735C">
        <w:rPr>
          <w:rFonts w:ascii="Times New Roman" w:hAnsi="Times New Roman" w:cs="Times New Roman"/>
          <w:i/>
          <w:iCs/>
          <w:sz w:val="20"/>
          <w:szCs w:val="20"/>
        </w:rPr>
        <w:t>the agency hypothesis</w:t>
      </w:r>
      <w:proofErr w:type="gramStart"/>
      <w:r w:rsidRPr="0057735C">
        <w:rPr>
          <w:rFonts w:ascii="Times New Roman" w:hAnsi="Times New Roman" w:cs="Times New Roman"/>
          <w:sz w:val="20"/>
          <w:szCs w:val="20"/>
        </w:rPr>
        <w:t>):When</w:t>
      </w:r>
      <w:proofErr w:type="gramEnd"/>
      <w:r w:rsidRPr="0057735C">
        <w:rPr>
          <w:rFonts w:ascii="Times New Roman" w:hAnsi="Times New Roman" w:cs="Times New Roman"/>
          <w:sz w:val="20"/>
          <w:szCs w:val="20"/>
        </w:rPr>
        <w:t xml:space="preserve"> and to the extent that people define themselves in terms of shared social identity, they will develop a sense of efficacy, agency, and power. </w:t>
      </w:r>
    </w:p>
    <w:p w14:paraId="45C23DD3" w14:textId="77777777" w:rsidR="001F64BB" w:rsidRPr="001A6918" w:rsidRDefault="001F64BB" w:rsidP="001F64BB">
      <w:pPr>
        <w:ind w:left="720" w:hanging="720"/>
        <w:rPr>
          <w:rFonts w:ascii="Times New Roman" w:hAnsi="Times New Roman" w:cs="Times New Roman"/>
        </w:rPr>
      </w:pPr>
      <w:r w:rsidRPr="001A6918">
        <w:rPr>
          <w:rFonts w:ascii="Times New Roman" w:hAnsi="Times New Roman" w:cs="Times New Roman"/>
          <w:noProof/>
        </w:rPr>
        <w:lastRenderedPageBreak/>
        <w:drawing>
          <wp:inline distT="0" distB="0" distL="0" distR="0" wp14:anchorId="6399964D" wp14:editId="1627FC30">
            <wp:extent cx="3620125" cy="2681381"/>
            <wp:effectExtent l="0" t="0" r="0" b="0"/>
            <wp:docPr id="910490102" name="Picture 1" descr="A graph with a triangle and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90102" name="Picture 1" descr="A graph with a triangle and black dots&#10;&#10;AI-generated content may be incorrect."/>
                    <pic:cNvPicPr/>
                  </pic:nvPicPr>
                  <pic:blipFill>
                    <a:blip r:embed="rId10"/>
                    <a:stretch>
                      <a:fillRect/>
                    </a:stretch>
                  </pic:blipFill>
                  <pic:spPr>
                    <a:xfrm>
                      <a:off x="0" y="0"/>
                      <a:ext cx="3680987" cy="2726460"/>
                    </a:xfrm>
                    <a:prstGeom prst="rect">
                      <a:avLst/>
                    </a:prstGeom>
                  </pic:spPr>
                </pic:pic>
              </a:graphicData>
            </a:graphic>
          </wp:inline>
        </w:drawing>
      </w:r>
    </w:p>
    <w:p w14:paraId="47CAB2BA" w14:textId="77777777" w:rsidR="001F64BB" w:rsidRPr="001A6918" w:rsidRDefault="001F64BB" w:rsidP="001F64BB">
      <w:pPr>
        <w:ind w:left="720" w:hanging="720"/>
        <w:rPr>
          <w:rFonts w:ascii="Times New Roman" w:hAnsi="Times New Roman" w:cs="Times New Roman"/>
          <w:sz w:val="22"/>
          <w:szCs w:val="22"/>
        </w:rPr>
      </w:pPr>
      <w:r w:rsidRPr="001A6918">
        <w:rPr>
          <w:rFonts w:ascii="Times New Roman" w:hAnsi="Times New Roman" w:cs="Times New Roman"/>
          <w:i/>
          <w:iCs/>
          <w:sz w:val="22"/>
          <w:szCs w:val="22"/>
        </w:rPr>
        <w:t>Figure S</w:t>
      </w:r>
      <w:r>
        <w:rPr>
          <w:rFonts w:ascii="Times New Roman" w:hAnsi="Times New Roman" w:cs="Times New Roman"/>
          <w:i/>
          <w:iCs/>
          <w:sz w:val="22"/>
          <w:szCs w:val="22"/>
        </w:rPr>
        <w:t>6</w:t>
      </w:r>
      <w:r w:rsidRPr="001A6918">
        <w:rPr>
          <w:rFonts w:ascii="Times New Roman" w:hAnsi="Times New Roman" w:cs="Times New Roman"/>
          <w:sz w:val="22"/>
          <w:szCs w:val="22"/>
        </w:rPr>
        <w:t xml:space="preserve">. Funnel plot for Cluster 1 studies indicated asymmetry, such that studies with smaller standard errors (which tend to be larger studies) tended to have effect sizes closer to 0. </w:t>
      </w:r>
    </w:p>
    <w:p w14:paraId="463752B3" w14:textId="77777777" w:rsidR="001F64BB" w:rsidRPr="001A6918" w:rsidRDefault="001F64BB" w:rsidP="001F64BB">
      <w:pPr>
        <w:ind w:left="720" w:hanging="720"/>
        <w:rPr>
          <w:rFonts w:ascii="Times New Roman" w:hAnsi="Times New Roman" w:cs="Times New Roman"/>
          <w:sz w:val="22"/>
          <w:szCs w:val="22"/>
        </w:rPr>
      </w:pPr>
    </w:p>
    <w:p w14:paraId="536C81A8" w14:textId="77777777" w:rsidR="001F64BB" w:rsidRPr="001A6918" w:rsidRDefault="001F64BB" w:rsidP="001F64BB">
      <w:pPr>
        <w:ind w:left="720" w:hanging="720"/>
        <w:rPr>
          <w:rFonts w:ascii="Times New Roman" w:hAnsi="Times New Roman" w:cs="Times New Roman"/>
          <w:sz w:val="22"/>
          <w:szCs w:val="22"/>
        </w:rPr>
      </w:pPr>
      <w:r w:rsidRPr="001A6918">
        <w:rPr>
          <w:rFonts w:ascii="Times New Roman" w:hAnsi="Times New Roman" w:cs="Times New Roman"/>
          <w:noProof/>
          <w:sz w:val="22"/>
          <w:szCs w:val="22"/>
        </w:rPr>
        <w:drawing>
          <wp:inline distT="0" distB="0" distL="0" distR="0" wp14:anchorId="17028CB7" wp14:editId="57DD02B3">
            <wp:extent cx="3619500" cy="2474348"/>
            <wp:effectExtent l="0" t="0" r="0" b="2540"/>
            <wp:docPr id="1210989895" name="Picture 1" descr="A graph with a triangle and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89895" name="Picture 1" descr="A graph with a triangle and a number of dots&#10;&#10;AI-generated content may be incorrect."/>
                    <pic:cNvPicPr/>
                  </pic:nvPicPr>
                  <pic:blipFill rotWithShape="1">
                    <a:blip r:embed="rId11"/>
                    <a:srcRect t="7705"/>
                    <a:stretch/>
                  </pic:blipFill>
                  <pic:spPr bwMode="auto">
                    <a:xfrm>
                      <a:off x="0" y="0"/>
                      <a:ext cx="3647557" cy="2493528"/>
                    </a:xfrm>
                    <a:prstGeom prst="rect">
                      <a:avLst/>
                    </a:prstGeom>
                    <a:ln>
                      <a:noFill/>
                    </a:ln>
                    <a:extLst>
                      <a:ext uri="{53640926-AAD7-44D8-BBD7-CCE9431645EC}">
                        <a14:shadowObscured xmlns:a14="http://schemas.microsoft.com/office/drawing/2010/main"/>
                      </a:ext>
                    </a:extLst>
                  </pic:spPr>
                </pic:pic>
              </a:graphicData>
            </a:graphic>
          </wp:inline>
        </w:drawing>
      </w:r>
    </w:p>
    <w:p w14:paraId="04B6E1B4" w14:textId="77777777" w:rsidR="001F64BB" w:rsidRPr="001A6918" w:rsidRDefault="001F64BB" w:rsidP="001F64BB">
      <w:pPr>
        <w:ind w:left="720" w:hanging="720"/>
        <w:rPr>
          <w:rFonts w:ascii="Times New Roman" w:hAnsi="Times New Roman" w:cs="Times New Roman"/>
          <w:i/>
          <w:iCs/>
        </w:rPr>
      </w:pPr>
      <w:r w:rsidRPr="001A6918">
        <w:rPr>
          <w:rFonts w:ascii="Times New Roman" w:hAnsi="Times New Roman" w:cs="Times New Roman"/>
          <w:i/>
          <w:iCs/>
          <w:sz w:val="22"/>
          <w:szCs w:val="22"/>
        </w:rPr>
        <w:t>Figure S</w:t>
      </w:r>
      <w:r>
        <w:rPr>
          <w:rFonts w:ascii="Times New Roman" w:hAnsi="Times New Roman" w:cs="Times New Roman"/>
          <w:i/>
          <w:iCs/>
          <w:sz w:val="22"/>
          <w:szCs w:val="22"/>
        </w:rPr>
        <w:t>7</w:t>
      </w:r>
      <w:r w:rsidRPr="001A6918">
        <w:rPr>
          <w:rFonts w:ascii="Times New Roman" w:hAnsi="Times New Roman" w:cs="Times New Roman"/>
          <w:i/>
          <w:iCs/>
          <w:sz w:val="22"/>
          <w:szCs w:val="22"/>
        </w:rPr>
        <w:t xml:space="preserve">. </w:t>
      </w:r>
      <w:r w:rsidRPr="001A6918">
        <w:rPr>
          <w:rFonts w:ascii="Times New Roman" w:hAnsi="Times New Roman" w:cs="Times New Roman"/>
          <w:sz w:val="22"/>
          <w:szCs w:val="22"/>
        </w:rPr>
        <w:t xml:space="preserve">Funnel plot for Cluster 2 studies indicated asymmetry, such that studies with smaller standard errors (which tend to be larger studies) tended to have effect sizes closer to 0. </w:t>
      </w:r>
    </w:p>
    <w:p w14:paraId="4E2DCDF5" w14:textId="77777777" w:rsidR="00BB2655" w:rsidRDefault="00BB2655"/>
    <w:sectPr w:rsidR="00BB2655" w:rsidSect="007E0B5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318"/>
    <w:multiLevelType w:val="multilevel"/>
    <w:tmpl w:val="9B72EC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02249"/>
    <w:multiLevelType w:val="hybridMultilevel"/>
    <w:tmpl w:val="1FEE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1372E"/>
    <w:multiLevelType w:val="hybridMultilevel"/>
    <w:tmpl w:val="339EA2D0"/>
    <w:lvl w:ilvl="0" w:tplc="A68A7B4E">
      <w:start w:val="1"/>
      <w:numFmt w:val="decimal"/>
      <w:lvlText w:val="%1."/>
      <w:lvlJc w:val="left"/>
      <w:pPr>
        <w:ind w:left="783" w:hanging="360"/>
      </w:pPr>
      <w:rPr>
        <w:rFonts w:hint="default"/>
      </w:r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3" w15:restartNumberingAfterBreak="0">
    <w:nsid w:val="0F043C3D"/>
    <w:multiLevelType w:val="hybridMultilevel"/>
    <w:tmpl w:val="FA88E946"/>
    <w:lvl w:ilvl="0" w:tplc="A68A7B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EE0A70"/>
    <w:multiLevelType w:val="multilevel"/>
    <w:tmpl w:val="47667D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D2C5B"/>
    <w:multiLevelType w:val="hybridMultilevel"/>
    <w:tmpl w:val="B582BA7C"/>
    <w:lvl w:ilvl="0" w:tplc="A68A7B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324ED5"/>
    <w:multiLevelType w:val="hybridMultilevel"/>
    <w:tmpl w:val="9AAEA9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74979"/>
    <w:multiLevelType w:val="hybridMultilevel"/>
    <w:tmpl w:val="F4643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3272FF"/>
    <w:multiLevelType w:val="hybridMultilevel"/>
    <w:tmpl w:val="EEAC05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B24243"/>
    <w:multiLevelType w:val="hybridMultilevel"/>
    <w:tmpl w:val="77C2EB30"/>
    <w:lvl w:ilvl="0" w:tplc="54525BFE">
      <w:start w:val="1"/>
      <w:numFmt w:val="bullet"/>
      <w:lvlText w:val="•"/>
      <w:lvlJc w:val="left"/>
      <w:pPr>
        <w:tabs>
          <w:tab w:val="num" w:pos="720"/>
        </w:tabs>
        <w:ind w:left="720" w:hanging="360"/>
      </w:pPr>
      <w:rPr>
        <w:rFonts w:ascii="Arial" w:hAnsi="Arial" w:hint="default"/>
      </w:rPr>
    </w:lvl>
    <w:lvl w:ilvl="1" w:tplc="B6AA10FE" w:tentative="1">
      <w:start w:val="1"/>
      <w:numFmt w:val="bullet"/>
      <w:lvlText w:val="•"/>
      <w:lvlJc w:val="left"/>
      <w:pPr>
        <w:tabs>
          <w:tab w:val="num" w:pos="1440"/>
        </w:tabs>
        <w:ind w:left="1440" w:hanging="360"/>
      </w:pPr>
      <w:rPr>
        <w:rFonts w:ascii="Arial" w:hAnsi="Arial" w:hint="default"/>
      </w:rPr>
    </w:lvl>
    <w:lvl w:ilvl="2" w:tplc="35AC71D4" w:tentative="1">
      <w:start w:val="1"/>
      <w:numFmt w:val="bullet"/>
      <w:lvlText w:val="•"/>
      <w:lvlJc w:val="left"/>
      <w:pPr>
        <w:tabs>
          <w:tab w:val="num" w:pos="2160"/>
        </w:tabs>
        <w:ind w:left="2160" w:hanging="360"/>
      </w:pPr>
      <w:rPr>
        <w:rFonts w:ascii="Arial" w:hAnsi="Arial" w:hint="default"/>
      </w:rPr>
    </w:lvl>
    <w:lvl w:ilvl="3" w:tplc="52F05344" w:tentative="1">
      <w:start w:val="1"/>
      <w:numFmt w:val="bullet"/>
      <w:lvlText w:val="•"/>
      <w:lvlJc w:val="left"/>
      <w:pPr>
        <w:tabs>
          <w:tab w:val="num" w:pos="2880"/>
        </w:tabs>
        <w:ind w:left="2880" w:hanging="360"/>
      </w:pPr>
      <w:rPr>
        <w:rFonts w:ascii="Arial" w:hAnsi="Arial" w:hint="default"/>
      </w:rPr>
    </w:lvl>
    <w:lvl w:ilvl="4" w:tplc="F26C98B6" w:tentative="1">
      <w:start w:val="1"/>
      <w:numFmt w:val="bullet"/>
      <w:lvlText w:val="•"/>
      <w:lvlJc w:val="left"/>
      <w:pPr>
        <w:tabs>
          <w:tab w:val="num" w:pos="3600"/>
        </w:tabs>
        <w:ind w:left="3600" w:hanging="360"/>
      </w:pPr>
      <w:rPr>
        <w:rFonts w:ascii="Arial" w:hAnsi="Arial" w:hint="default"/>
      </w:rPr>
    </w:lvl>
    <w:lvl w:ilvl="5" w:tplc="139EEAA4" w:tentative="1">
      <w:start w:val="1"/>
      <w:numFmt w:val="bullet"/>
      <w:lvlText w:val="•"/>
      <w:lvlJc w:val="left"/>
      <w:pPr>
        <w:tabs>
          <w:tab w:val="num" w:pos="4320"/>
        </w:tabs>
        <w:ind w:left="4320" w:hanging="360"/>
      </w:pPr>
      <w:rPr>
        <w:rFonts w:ascii="Arial" w:hAnsi="Arial" w:hint="default"/>
      </w:rPr>
    </w:lvl>
    <w:lvl w:ilvl="6" w:tplc="52C6CEDC" w:tentative="1">
      <w:start w:val="1"/>
      <w:numFmt w:val="bullet"/>
      <w:lvlText w:val="•"/>
      <w:lvlJc w:val="left"/>
      <w:pPr>
        <w:tabs>
          <w:tab w:val="num" w:pos="5040"/>
        </w:tabs>
        <w:ind w:left="5040" w:hanging="360"/>
      </w:pPr>
      <w:rPr>
        <w:rFonts w:ascii="Arial" w:hAnsi="Arial" w:hint="default"/>
      </w:rPr>
    </w:lvl>
    <w:lvl w:ilvl="7" w:tplc="84068310" w:tentative="1">
      <w:start w:val="1"/>
      <w:numFmt w:val="bullet"/>
      <w:lvlText w:val="•"/>
      <w:lvlJc w:val="left"/>
      <w:pPr>
        <w:tabs>
          <w:tab w:val="num" w:pos="5760"/>
        </w:tabs>
        <w:ind w:left="5760" w:hanging="360"/>
      </w:pPr>
      <w:rPr>
        <w:rFonts w:ascii="Arial" w:hAnsi="Arial" w:hint="default"/>
      </w:rPr>
    </w:lvl>
    <w:lvl w:ilvl="8" w:tplc="8EDAD4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431A73"/>
    <w:multiLevelType w:val="hybridMultilevel"/>
    <w:tmpl w:val="CEF2B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1622F"/>
    <w:multiLevelType w:val="hybridMultilevel"/>
    <w:tmpl w:val="C8BE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7907E7"/>
    <w:multiLevelType w:val="hybridMultilevel"/>
    <w:tmpl w:val="7E3685F4"/>
    <w:lvl w:ilvl="0" w:tplc="A68A7B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1B70AB"/>
    <w:multiLevelType w:val="hybridMultilevel"/>
    <w:tmpl w:val="31AC10B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F66BE"/>
    <w:multiLevelType w:val="hybridMultilevel"/>
    <w:tmpl w:val="24B0C21C"/>
    <w:lvl w:ilvl="0" w:tplc="35C094B4">
      <w:start w:val="1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050F27"/>
    <w:multiLevelType w:val="hybridMultilevel"/>
    <w:tmpl w:val="E9308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EE0387"/>
    <w:multiLevelType w:val="hybridMultilevel"/>
    <w:tmpl w:val="FFD2DFD2"/>
    <w:lvl w:ilvl="0" w:tplc="BEB6F582">
      <w:start w:val="1"/>
      <w:numFmt w:val="bullet"/>
      <w:lvlText w:val=""/>
      <w:lvlJc w:val="left"/>
      <w:pPr>
        <w:ind w:left="720" w:hanging="360"/>
      </w:pPr>
      <w:rPr>
        <w:rFonts w:ascii="Wingdings" w:eastAsia="Times New Roman"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732AD"/>
    <w:multiLevelType w:val="hybridMultilevel"/>
    <w:tmpl w:val="2048D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F13B90"/>
    <w:multiLevelType w:val="multilevel"/>
    <w:tmpl w:val="7E12D6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6586197">
    <w:abstractNumId w:val="10"/>
  </w:num>
  <w:num w:numId="2" w16cid:durableId="176433055">
    <w:abstractNumId w:val="11"/>
  </w:num>
  <w:num w:numId="3" w16cid:durableId="1669558603">
    <w:abstractNumId w:val="13"/>
  </w:num>
  <w:num w:numId="4" w16cid:durableId="914433596">
    <w:abstractNumId w:val="1"/>
  </w:num>
  <w:num w:numId="5" w16cid:durableId="276915086">
    <w:abstractNumId w:val="9"/>
  </w:num>
  <w:num w:numId="6" w16cid:durableId="118646172">
    <w:abstractNumId w:val="17"/>
  </w:num>
  <w:num w:numId="7" w16cid:durableId="87044770">
    <w:abstractNumId w:val="14"/>
  </w:num>
  <w:num w:numId="8" w16cid:durableId="1688404075">
    <w:abstractNumId w:val="18"/>
  </w:num>
  <w:num w:numId="9" w16cid:durableId="785973846">
    <w:abstractNumId w:val="6"/>
  </w:num>
  <w:num w:numId="10" w16cid:durableId="1076167229">
    <w:abstractNumId w:val="15"/>
  </w:num>
  <w:num w:numId="11" w16cid:durableId="69355588">
    <w:abstractNumId w:val="3"/>
  </w:num>
  <w:num w:numId="12" w16cid:durableId="432671232">
    <w:abstractNumId w:val="2"/>
  </w:num>
  <w:num w:numId="13" w16cid:durableId="1729111587">
    <w:abstractNumId w:val="12"/>
  </w:num>
  <w:num w:numId="14" w16cid:durableId="340592602">
    <w:abstractNumId w:val="16"/>
  </w:num>
  <w:num w:numId="15" w16cid:durableId="180509375">
    <w:abstractNumId w:val="5"/>
  </w:num>
  <w:num w:numId="16" w16cid:durableId="1246457501">
    <w:abstractNumId w:val="0"/>
  </w:num>
  <w:num w:numId="17" w16cid:durableId="1909800019">
    <w:abstractNumId w:val="4"/>
  </w:num>
  <w:num w:numId="18" w16cid:durableId="1156846475">
    <w:abstractNumId w:val="8"/>
  </w:num>
  <w:num w:numId="19" w16cid:durableId="195193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4BB"/>
    <w:rsid w:val="000C6229"/>
    <w:rsid w:val="001F64BB"/>
    <w:rsid w:val="006F2FA7"/>
    <w:rsid w:val="007E0B5B"/>
    <w:rsid w:val="00994D31"/>
    <w:rsid w:val="00AF7A89"/>
    <w:rsid w:val="00B307B0"/>
    <w:rsid w:val="00B949D3"/>
    <w:rsid w:val="00BB2655"/>
    <w:rsid w:val="00F30657"/>
    <w:rsid w:val="00FC6E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D4DA37B"/>
  <w15:chartTrackingRefBased/>
  <w15:docId w15:val="{CE68CD3B-F3E4-734B-A277-5A97A6E3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BB"/>
  </w:style>
  <w:style w:type="paragraph" w:styleId="Heading1">
    <w:name w:val="heading 1"/>
    <w:basedOn w:val="Normal"/>
    <w:next w:val="Normal"/>
    <w:link w:val="Heading1Char"/>
    <w:uiPriority w:val="9"/>
    <w:qFormat/>
    <w:rsid w:val="001F6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4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4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4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4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4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4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4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4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4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4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4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4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4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4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4BB"/>
    <w:rPr>
      <w:rFonts w:eastAsiaTheme="majorEastAsia" w:cstheme="majorBidi"/>
      <w:color w:val="272727" w:themeColor="text1" w:themeTint="D8"/>
    </w:rPr>
  </w:style>
  <w:style w:type="paragraph" w:styleId="Title">
    <w:name w:val="Title"/>
    <w:basedOn w:val="Normal"/>
    <w:next w:val="Normal"/>
    <w:link w:val="TitleChar"/>
    <w:uiPriority w:val="10"/>
    <w:qFormat/>
    <w:rsid w:val="001F64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4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4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4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4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64BB"/>
    <w:rPr>
      <w:i/>
      <w:iCs/>
      <w:color w:val="404040" w:themeColor="text1" w:themeTint="BF"/>
    </w:rPr>
  </w:style>
  <w:style w:type="paragraph" w:styleId="ListParagraph">
    <w:name w:val="List Paragraph"/>
    <w:basedOn w:val="Normal"/>
    <w:uiPriority w:val="34"/>
    <w:qFormat/>
    <w:rsid w:val="001F64BB"/>
    <w:pPr>
      <w:ind w:left="720"/>
      <w:contextualSpacing/>
    </w:pPr>
  </w:style>
  <w:style w:type="character" w:styleId="IntenseEmphasis">
    <w:name w:val="Intense Emphasis"/>
    <w:basedOn w:val="DefaultParagraphFont"/>
    <w:uiPriority w:val="21"/>
    <w:qFormat/>
    <w:rsid w:val="001F64BB"/>
    <w:rPr>
      <w:i/>
      <w:iCs/>
      <w:color w:val="0F4761" w:themeColor="accent1" w:themeShade="BF"/>
    </w:rPr>
  </w:style>
  <w:style w:type="paragraph" w:styleId="IntenseQuote">
    <w:name w:val="Intense Quote"/>
    <w:basedOn w:val="Normal"/>
    <w:next w:val="Normal"/>
    <w:link w:val="IntenseQuoteChar"/>
    <w:uiPriority w:val="30"/>
    <w:qFormat/>
    <w:rsid w:val="001F6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4BB"/>
    <w:rPr>
      <w:i/>
      <w:iCs/>
      <w:color w:val="0F4761" w:themeColor="accent1" w:themeShade="BF"/>
    </w:rPr>
  </w:style>
  <w:style w:type="character" w:styleId="IntenseReference">
    <w:name w:val="Intense Reference"/>
    <w:basedOn w:val="DefaultParagraphFont"/>
    <w:uiPriority w:val="32"/>
    <w:qFormat/>
    <w:rsid w:val="001F64BB"/>
    <w:rPr>
      <w:b/>
      <w:bCs/>
      <w:smallCaps/>
      <w:color w:val="0F4761" w:themeColor="accent1" w:themeShade="BF"/>
      <w:spacing w:val="5"/>
    </w:rPr>
  </w:style>
  <w:style w:type="character" w:styleId="CommentReference">
    <w:name w:val="annotation reference"/>
    <w:basedOn w:val="DefaultParagraphFont"/>
    <w:uiPriority w:val="99"/>
    <w:semiHidden/>
    <w:unhideWhenUsed/>
    <w:rsid w:val="001F64BB"/>
    <w:rPr>
      <w:sz w:val="16"/>
      <w:szCs w:val="16"/>
    </w:rPr>
  </w:style>
  <w:style w:type="paragraph" w:styleId="CommentText">
    <w:name w:val="annotation text"/>
    <w:basedOn w:val="Normal"/>
    <w:link w:val="CommentTextChar"/>
    <w:uiPriority w:val="99"/>
    <w:unhideWhenUsed/>
    <w:rsid w:val="001F64BB"/>
    <w:rPr>
      <w:sz w:val="20"/>
      <w:szCs w:val="20"/>
    </w:rPr>
  </w:style>
  <w:style w:type="character" w:customStyle="1" w:styleId="CommentTextChar">
    <w:name w:val="Comment Text Char"/>
    <w:basedOn w:val="DefaultParagraphFont"/>
    <w:link w:val="CommentText"/>
    <w:uiPriority w:val="99"/>
    <w:rsid w:val="001F64BB"/>
    <w:rPr>
      <w:sz w:val="20"/>
      <w:szCs w:val="20"/>
    </w:rPr>
  </w:style>
  <w:style w:type="paragraph" w:styleId="CommentSubject">
    <w:name w:val="annotation subject"/>
    <w:basedOn w:val="CommentText"/>
    <w:next w:val="CommentText"/>
    <w:link w:val="CommentSubjectChar"/>
    <w:uiPriority w:val="99"/>
    <w:semiHidden/>
    <w:unhideWhenUsed/>
    <w:rsid w:val="001F64BB"/>
    <w:rPr>
      <w:b/>
      <w:bCs/>
    </w:rPr>
  </w:style>
  <w:style w:type="character" w:customStyle="1" w:styleId="CommentSubjectChar">
    <w:name w:val="Comment Subject Char"/>
    <w:basedOn w:val="CommentTextChar"/>
    <w:link w:val="CommentSubject"/>
    <w:uiPriority w:val="99"/>
    <w:semiHidden/>
    <w:rsid w:val="001F64BB"/>
    <w:rPr>
      <w:b/>
      <w:bCs/>
      <w:sz w:val="20"/>
      <w:szCs w:val="20"/>
    </w:rPr>
  </w:style>
  <w:style w:type="character" w:styleId="Hyperlink">
    <w:name w:val="Hyperlink"/>
    <w:basedOn w:val="DefaultParagraphFont"/>
    <w:uiPriority w:val="99"/>
    <w:unhideWhenUsed/>
    <w:rsid w:val="001F64BB"/>
    <w:rPr>
      <w:color w:val="467886" w:themeColor="hyperlink"/>
      <w:u w:val="single"/>
    </w:rPr>
  </w:style>
  <w:style w:type="character" w:styleId="UnresolvedMention">
    <w:name w:val="Unresolved Mention"/>
    <w:basedOn w:val="DefaultParagraphFont"/>
    <w:uiPriority w:val="99"/>
    <w:semiHidden/>
    <w:unhideWhenUsed/>
    <w:rsid w:val="001F64BB"/>
    <w:rPr>
      <w:color w:val="605E5C"/>
      <w:shd w:val="clear" w:color="auto" w:fill="E1DFDD"/>
    </w:rPr>
  </w:style>
  <w:style w:type="paragraph" w:styleId="Header">
    <w:name w:val="header"/>
    <w:basedOn w:val="Normal"/>
    <w:link w:val="HeaderChar"/>
    <w:uiPriority w:val="99"/>
    <w:unhideWhenUsed/>
    <w:rsid w:val="001F64BB"/>
    <w:pPr>
      <w:tabs>
        <w:tab w:val="center" w:pos="4680"/>
        <w:tab w:val="right" w:pos="9360"/>
      </w:tabs>
    </w:pPr>
  </w:style>
  <w:style w:type="character" w:customStyle="1" w:styleId="HeaderChar">
    <w:name w:val="Header Char"/>
    <w:basedOn w:val="DefaultParagraphFont"/>
    <w:link w:val="Header"/>
    <w:uiPriority w:val="99"/>
    <w:rsid w:val="001F64BB"/>
  </w:style>
  <w:style w:type="paragraph" w:styleId="Footer">
    <w:name w:val="footer"/>
    <w:basedOn w:val="Normal"/>
    <w:link w:val="FooterChar"/>
    <w:uiPriority w:val="99"/>
    <w:unhideWhenUsed/>
    <w:rsid w:val="001F64BB"/>
    <w:pPr>
      <w:tabs>
        <w:tab w:val="center" w:pos="4680"/>
        <w:tab w:val="right" w:pos="9360"/>
      </w:tabs>
    </w:pPr>
  </w:style>
  <w:style w:type="character" w:customStyle="1" w:styleId="FooterChar">
    <w:name w:val="Footer Char"/>
    <w:basedOn w:val="DefaultParagraphFont"/>
    <w:link w:val="Footer"/>
    <w:uiPriority w:val="99"/>
    <w:rsid w:val="001F64BB"/>
  </w:style>
  <w:style w:type="character" w:styleId="FollowedHyperlink">
    <w:name w:val="FollowedHyperlink"/>
    <w:basedOn w:val="DefaultParagraphFont"/>
    <w:uiPriority w:val="99"/>
    <w:semiHidden/>
    <w:unhideWhenUsed/>
    <w:rsid w:val="001F64BB"/>
    <w:rPr>
      <w:color w:val="96607D" w:themeColor="followedHyperlink"/>
      <w:u w:val="single"/>
    </w:rPr>
  </w:style>
  <w:style w:type="paragraph" w:styleId="Revision">
    <w:name w:val="Revision"/>
    <w:hidden/>
    <w:uiPriority w:val="99"/>
    <w:semiHidden/>
    <w:rsid w:val="001F64BB"/>
  </w:style>
  <w:style w:type="table" w:styleId="TableGrid">
    <w:name w:val="Table Grid"/>
    <w:basedOn w:val="TableNormal"/>
    <w:uiPriority w:val="39"/>
    <w:rsid w:val="001F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64BB"/>
    <w:rPr>
      <w:sz w:val="20"/>
      <w:szCs w:val="20"/>
    </w:rPr>
  </w:style>
  <w:style w:type="character" w:customStyle="1" w:styleId="FootnoteTextChar">
    <w:name w:val="Footnote Text Char"/>
    <w:basedOn w:val="DefaultParagraphFont"/>
    <w:link w:val="FootnoteText"/>
    <w:uiPriority w:val="99"/>
    <w:semiHidden/>
    <w:rsid w:val="001F64BB"/>
    <w:rPr>
      <w:sz w:val="20"/>
      <w:szCs w:val="20"/>
    </w:rPr>
  </w:style>
  <w:style w:type="character" w:styleId="FootnoteReference">
    <w:name w:val="footnote reference"/>
    <w:basedOn w:val="DefaultParagraphFont"/>
    <w:uiPriority w:val="99"/>
    <w:semiHidden/>
    <w:unhideWhenUsed/>
    <w:rsid w:val="001F64BB"/>
    <w:rPr>
      <w:vertAlign w:val="superscript"/>
    </w:rPr>
  </w:style>
  <w:style w:type="character" w:customStyle="1" w:styleId="mord">
    <w:name w:val="mord"/>
    <w:basedOn w:val="DefaultParagraphFont"/>
    <w:rsid w:val="001F64BB"/>
  </w:style>
  <w:style w:type="character" w:customStyle="1" w:styleId="mrel">
    <w:name w:val="mrel"/>
    <w:basedOn w:val="DefaultParagraphFont"/>
    <w:rsid w:val="001F64BB"/>
  </w:style>
  <w:style w:type="character" w:customStyle="1" w:styleId="mopen">
    <w:name w:val="mopen"/>
    <w:basedOn w:val="DefaultParagraphFont"/>
    <w:rsid w:val="001F64BB"/>
  </w:style>
  <w:style w:type="character" w:customStyle="1" w:styleId="mbin">
    <w:name w:val="mbin"/>
    <w:basedOn w:val="DefaultParagraphFont"/>
    <w:rsid w:val="001F64BB"/>
  </w:style>
  <w:style w:type="character" w:customStyle="1" w:styleId="mclose">
    <w:name w:val="mclose"/>
    <w:basedOn w:val="DefaultParagraphFont"/>
    <w:rsid w:val="001F64BB"/>
  </w:style>
  <w:style w:type="character" w:styleId="Strong">
    <w:name w:val="Strong"/>
    <w:basedOn w:val="DefaultParagraphFont"/>
    <w:uiPriority w:val="22"/>
    <w:qFormat/>
    <w:rsid w:val="001F64BB"/>
    <w:rPr>
      <w:b/>
      <w:bCs/>
    </w:rPr>
  </w:style>
  <w:style w:type="character" w:styleId="Emphasis">
    <w:name w:val="Emphasis"/>
    <w:basedOn w:val="DefaultParagraphFont"/>
    <w:uiPriority w:val="20"/>
    <w:qFormat/>
    <w:rsid w:val="001F64BB"/>
    <w:rPr>
      <w:i/>
      <w:iCs/>
    </w:rPr>
  </w:style>
  <w:style w:type="paragraph" w:styleId="NormalWeb">
    <w:name w:val="Normal (Web)"/>
    <w:basedOn w:val="Normal"/>
    <w:uiPriority w:val="99"/>
    <w:semiHidden/>
    <w:unhideWhenUsed/>
    <w:rsid w:val="001F64BB"/>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msonormal0">
    <w:name w:val="msonormal"/>
    <w:basedOn w:val="Normal"/>
    <w:rsid w:val="001F64BB"/>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3">
    <w:name w:val="xl63"/>
    <w:basedOn w:val="Normal"/>
    <w:rsid w:val="001F64BB"/>
    <w:pPr>
      <w:pBdr>
        <w:left w:val="single" w:sz="4" w:space="0" w:color="000000"/>
        <w:bottom w:val="single" w:sz="4" w:space="0" w:color="000000"/>
      </w:pBdr>
      <w:spacing w:before="100" w:beforeAutospacing="1" w:after="100" w:afterAutospacing="1"/>
    </w:pPr>
    <w:rPr>
      <w:rFonts w:ascii="Calibri" w:eastAsia="Times New Roman" w:hAnsi="Calibri" w:cs="Calibri"/>
      <w:kern w:val="0"/>
      <w:sz w:val="22"/>
      <w:szCs w:val="22"/>
      <w:lang w:eastAsia="en-GB"/>
      <w14:ligatures w14:val="none"/>
    </w:rPr>
  </w:style>
  <w:style w:type="paragraph" w:customStyle="1" w:styleId="xl64">
    <w:name w:val="xl64"/>
    <w:basedOn w:val="Normal"/>
    <w:rsid w:val="001F64BB"/>
    <w:pPr>
      <w:pBdr>
        <w:bottom w:val="single" w:sz="4" w:space="0" w:color="000000"/>
      </w:pBdr>
      <w:spacing w:before="100" w:beforeAutospacing="1" w:after="100" w:afterAutospacing="1"/>
    </w:pPr>
    <w:rPr>
      <w:rFonts w:ascii="Calibri" w:eastAsia="Times New Roman" w:hAnsi="Calibri" w:cs="Calibri"/>
      <w:kern w:val="0"/>
      <w:sz w:val="22"/>
      <w:szCs w:val="22"/>
      <w:lang w:eastAsia="en-GB"/>
      <w14:ligatures w14:val="none"/>
    </w:rPr>
  </w:style>
  <w:style w:type="paragraph" w:customStyle="1" w:styleId="xl65">
    <w:name w:val="xl65"/>
    <w:basedOn w:val="Normal"/>
    <w:rsid w:val="001F64BB"/>
    <w:pPr>
      <w:spacing w:before="100" w:beforeAutospacing="1" w:after="100" w:afterAutospacing="1"/>
    </w:pPr>
    <w:rPr>
      <w:rFonts w:ascii="Calibri" w:eastAsia="Times New Roman" w:hAnsi="Calibri" w:cs="Calibri"/>
      <w:kern w:val="0"/>
      <w:sz w:val="22"/>
      <w:szCs w:val="22"/>
      <w:lang w:eastAsia="en-GB"/>
      <w14:ligatures w14:val="none"/>
    </w:rPr>
  </w:style>
  <w:style w:type="paragraph" w:customStyle="1" w:styleId="xl66">
    <w:name w:val="xl66"/>
    <w:basedOn w:val="Normal"/>
    <w:rsid w:val="001F64BB"/>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7">
    <w:name w:val="xl67"/>
    <w:basedOn w:val="Normal"/>
    <w:rsid w:val="001F64BB"/>
    <w:pPr>
      <w:pBdr>
        <w:left w:val="single" w:sz="4" w:space="0" w:color="000000"/>
      </w:pBdr>
      <w:spacing w:before="100" w:beforeAutospacing="1" w:after="100" w:afterAutospacing="1"/>
    </w:pPr>
    <w:rPr>
      <w:rFonts w:ascii="Calibri" w:eastAsia="Times New Roman" w:hAnsi="Calibri" w:cs="Calibri"/>
      <w:kern w:val="0"/>
      <w:sz w:val="22"/>
      <w:szCs w:val="22"/>
      <w:lang w:eastAsia="en-GB"/>
      <w14:ligatures w14:val="none"/>
    </w:rPr>
  </w:style>
  <w:style w:type="paragraph" w:customStyle="1" w:styleId="xl68">
    <w:name w:val="xl68"/>
    <w:basedOn w:val="Normal"/>
    <w:rsid w:val="001F64BB"/>
    <w:pPr>
      <w:pBdr>
        <w:left w:val="single" w:sz="4" w:space="0" w:color="000000"/>
      </w:pBd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9">
    <w:name w:val="xl69"/>
    <w:basedOn w:val="Normal"/>
    <w:rsid w:val="001F64BB"/>
    <w:pPr>
      <w:spacing w:before="100" w:beforeAutospacing="1" w:after="100" w:afterAutospacing="1"/>
    </w:pPr>
    <w:rPr>
      <w:rFonts w:ascii="Calibri" w:eastAsia="Times New Roman" w:hAnsi="Calibri" w:cs="Calibri"/>
      <w:kern w:val="0"/>
      <w:sz w:val="22"/>
      <w:szCs w:val="22"/>
      <w:lang w:eastAsia="en-GB"/>
      <w14:ligatures w14:val="none"/>
    </w:rPr>
  </w:style>
  <w:style w:type="paragraph" w:customStyle="1" w:styleId="xl70">
    <w:name w:val="xl70"/>
    <w:basedOn w:val="Normal"/>
    <w:rsid w:val="001F64BB"/>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71">
    <w:name w:val="xl71"/>
    <w:basedOn w:val="Normal"/>
    <w:rsid w:val="001F64BB"/>
    <w:pPr>
      <w:pBdr>
        <w:top w:val="single" w:sz="4" w:space="0" w:color="000000"/>
        <w:left w:val="single" w:sz="4" w:space="0" w:color="000000"/>
        <w:bottom w:val="single" w:sz="4" w:space="0" w:color="000000"/>
      </w:pBdr>
      <w:spacing w:before="100" w:beforeAutospacing="1" w:after="100" w:afterAutospacing="1"/>
    </w:pPr>
    <w:rPr>
      <w:rFonts w:ascii="Calibri" w:eastAsia="Times New Roman" w:hAnsi="Calibri" w:cs="Calibri"/>
      <w:b/>
      <w:bCs/>
      <w:kern w:val="0"/>
      <w:sz w:val="22"/>
      <w:szCs w:val="22"/>
      <w:lang w:eastAsia="en-GB"/>
      <w14:ligatures w14:val="none"/>
    </w:rPr>
  </w:style>
  <w:style w:type="paragraph" w:customStyle="1" w:styleId="xl72">
    <w:name w:val="xl72"/>
    <w:basedOn w:val="Normal"/>
    <w:rsid w:val="001F64BB"/>
    <w:pPr>
      <w:pBdr>
        <w:left w:val="single" w:sz="4" w:space="0" w:color="000000"/>
        <w:bottom w:val="single" w:sz="4" w:space="0" w:color="000000"/>
      </w:pBdr>
      <w:spacing w:before="100" w:beforeAutospacing="1" w:after="100" w:afterAutospacing="1"/>
    </w:pPr>
    <w:rPr>
      <w:rFonts w:ascii="Calibri" w:eastAsia="Times New Roman" w:hAnsi="Calibri" w:cs="Calibri"/>
      <w:b/>
      <w:bCs/>
      <w:kern w:val="0"/>
      <w:sz w:val="22"/>
      <w:szCs w:val="22"/>
      <w:lang w:eastAsia="en-GB"/>
      <w14:ligatures w14:val="none"/>
    </w:rPr>
  </w:style>
  <w:style w:type="paragraph" w:customStyle="1" w:styleId="xl73">
    <w:name w:val="xl73"/>
    <w:basedOn w:val="Normal"/>
    <w:rsid w:val="001F64BB"/>
    <w:pPr>
      <w:pBdr>
        <w:bottom w:val="single" w:sz="4" w:space="0" w:color="000000"/>
      </w:pBdr>
      <w:spacing w:before="100" w:beforeAutospacing="1" w:after="100" w:afterAutospacing="1"/>
    </w:pPr>
    <w:rPr>
      <w:rFonts w:ascii="Calibri" w:eastAsia="Times New Roman" w:hAnsi="Calibri" w:cs="Calibri"/>
      <w:b/>
      <w:bCs/>
      <w:kern w:val="0"/>
      <w:sz w:val="22"/>
      <w:szCs w:val="22"/>
      <w:lang w:eastAsia="en-GB"/>
      <w14:ligatures w14:val="none"/>
    </w:rPr>
  </w:style>
  <w:style w:type="paragraph" w:customStyle="1" w:styleId="xl74">
    <w:name w:val="xl74"/>
    <w:basedOn w:val="Normal"/>
    <w:rsid w:val="001F64BB"/>
    <w:pPr>
      <w:spacing w:before="100" w:beforeAutospacing="1" w:after="100" w:afterAutospacing="1"/>
    </w:pPr>
    <w:rPr>
      <w:rFonts w:ascii="Calibri" w:eastAsia="Times New Roman" w:hAnsi="Calibri" w:cs="Calibri"/>
      <w:b/>
      <w:bCs/>
      <w:kern w:val="0"/>
      <w:sz w:val="22"/>
      <w:szCs w:val="22"/>
      <w:lang w:eastAsia="en-GB"/>
      <w14:ligatures w14:val="none"/>
    </w:rPr>
  </w:style>
  <w:style w:type="paragraph" w:customStyle="1" w:styleId="xl75">
    <w:name w:val="xl75"/>
    <w:basedOn w:val="Normal"/>
    <w:rsid w:val="001F64BB"/>
    <w:pPr>
      <w:pBdr>
        <w:bottom w:val="single" w:sz="4" w:space="0" w:color="000000"/>
      </w:pBdr>
      <w:spacing w:before="100" w:beforeAutospacing="1" w:after="100" w:afterAutospacing="1"/>
    </w:pPr>
    <w:rPr>
      <w:rFonts w:ascii="Calibri" w:eastAsia="Times New Roman" w:hAnsi="Calibri" w:cs="Calibri"/>
      <w:b/>
      <w:bCs/>
      <w:kern w:val="0"/>
      <w:sz w:val="22"/>
      <w:szCs w:val="22"/>
      <w:lang w:eastAsia="en-GB"/>
      <w14:ligatures w14:val="none"/>
    </w:rPr>
  </w:style>
  <w:style w:type="paragraph" w:customStyle="1" w:styleId="xl76">
    <w:name w:val="xl76"/>
    <w:basedOn w:val="Normal"/>
    <w:rsid w:val="001F64BB"/>
    <w:pPr>
      <w:spacing w:before="100" w:beforeAutospacing="1" w:after="100" w:afterAutospacing="1"/>
    </w:pPr>
    <w:rPr>
      <w:rFonts w:ascii="Calibri" w:eastAsia="Times New Roman" w:hAnsi="Calibri" w:cs="Calibri"/>
      <w:b/>
      <w:bCs/>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3062</Words>
  <Characters>17456</Characters>
  <Application>Microsoft Office Word</Application>
  <DocSecurity>0</DocSecurity>
  <Lines>145</Lines>
  <Paragraphs>40</Paragraphs>
  <ScaleCrop>false</ScaleCrop>
  <Company>Australian National University</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Tegan Cruwys</dc:creator>
  <cp:keywords/>
  <dc:description/>
  <cp:lastModifiedBy>Tegan Cruwys</cp:lastModifiedBy>
  <cp:revision>2</cp:revision>
  <dcterms:created xsi:type="dcterms:W3CDTF">2025-06-24T05:46:00Z</dcterms:created>
  <dcterms:modified xsi:type="dcterms:W3CDTF">2025-06-24T05:51:00Z</dcterms:modified>
</cp:coreProperties>
</file>