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E77FF" w14:textId="060CD6F6" w:rsidR="007E632E" w:rsidRDefault="004613EC" w:rsidP="007E632E">
      <w:pPr>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Online Supplement</w:t>
      </w:r>
    </w:p>
    <w:p w14:paraId="3D7FE4CD" w14:textId="6E7953BA" w:rsidR="002C77C6" w:rsidRDefault="002C77C6" w:rsidP="007E632E">
      <w:pPr>
        <w:spacing w:after="0" w:line="240" w:lineRule="auto"/>
        <w:jc w:val="center"/>
        <w:rPr>
          <w:rFonts w:ascii="Times New Roman" w:hAnsi="Times New Roman" w:cs="Times New Roman"/>
          <w:b/>
          <w:bCs/>
          <w:sz w:val="23"/>
          <w:szCs w:val="23"/>
        </w:rPr>
      </w:pPr>
    </w:p>
    <w:p w14:paraId="6E6F5ACA" w14:textId="77777777" w:rsidR="008B188B" w:rsidRDefault="00E14774" w:rsidP="00E14774">
      <w:pPr>
        <w:spacing w:after="0" w:line="240" w:lineRule="auto"/>
        <w:jc w:val="center"/>
        <w:rPr>
          <w:rFonts w:ascii="Times New Roman" w:hAnsi="Times New Roman" w:cs="Times New Roman"/>
          <w:b/>
          <w:bCs/>
          <w:sz w:val="23"/>
          <w:szCs w:val="23"/>
        </w:rPr>
      </w:pPr>
      <w:r w:rsidRPr="00E14774">
        <w:rPr>
          <w:rFonts w:ascii="Times New Roman" w:hAnsi="Times New Roman" w:cs="Times New Roman"/>
          <w:b/>
          <w:bCs/>
          <w:sz w:val="23"/>
          <w:szCs w:val="23"/>
        </w:rPr>
        <w:t xml:space="preserve">Structural </w:t>
      </w:r>
      <w:r w:rsidR="008B188B">
        <w:rPr>
          <w:rFonts w:ascii="Times New Roman" w:hAnsi="Times New Roman" w:cs="Times New Roman"/>
          <w:b/>
          <w:bCs/>
          <w:sz w:val="23"/>
          <w:szCs w:val="23"/>
        </w:rPr>
        <w:t xml:space="preserve">Inequality Modifies Midlife Outcomes of a Multisystemic </w:t>
      </w:r>
    </w:p>
    <w:p w14:paraId="3F8DFCCF" w14:textId="3AF1EF1F" w:rsidR="002C77C6" w:rsidRPr="00E14774" w:rsidRDefault="008B188B" w:rsidP="00E14774">
      <w:pPr>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Early Childhood Program</w:t>
      </w:r>
    </w:p>
    <w:p w14:paraId="630123AA" w14:textId="77777777" w:rsidR="007E632E" w:rsidRDefault="007E632E" w:rsidP="007E632E">
      <w:pPr>
        <w:spacing w:after="0" w:line="240" w:lineRule="auto"/>
        <w:jc w:val="center"/>
        <w:rPr>
          <w:rFonts w:ascii="Times New Roman" w:hAnsi="Times New Roman" w:cs="Times New Roman"/>
          <w:b/>
          <w:bCs/>
          <w:sz w:val="23"/>
          <w:szCs w:val="23"/>
        </w:rPr>
      </w:pPr>
    </w:p>
    <w:p w14:paraId="1A9A7982" w14:textId="609D564B" w:rsidR="002D61DA" w:rsidRDefault="00E4465F" w:rsidP="002D61DA">
      <w:pPr>
        <w:spacing w:after="0" w:line="240" w:lineRule="auto"/>
        <w:rPr>
          <w:rFonts w:ascii="Times New Roman" w:hAnsi="Times New Roman" w:cs="Times New Roman"/>
          <w:b/>
          <w:bCs/>
          <w:sz w:val="23"/>
          <w:szCs w:val="23"/>
        </w:rPr>
      </w:pPr>
      <w:r>
        <w:rPr>
          <w:rFonts w:ascii="Times New Roman" w:hAnsi="Times New Roman" w:cs="Times New Roman"/>
          <w:b/>
          <w:bCs/>
          <w:sz w:val="23"/>
          <w:szCs w:val="23"/>
        </w:rPr>
        <w:t xml:space="preserve">A. </w:t>
      </w:r>
      <w:r w:rsidR="002D61DA">
        <w:rPr>
          <w:rFonts w:ascii="Times New Roman" w:hAnsi="Times New Roman" w:cs="Times New Roman"/>
          <w:b/>
          <w:bCs/>
          <w:sz w:val="23"/>
          <w:szCs w:val="23"/>
        </w:rPr>
        <w:t>Child-Parent Center (CPC) Education Program</w:t>
      </w:r>
    </w:p>
    <w:p w14:paraId="33342367" w14:textId="06932AEB" w:rsidR="002D61DA" w:rsidRDefault="00387C4E" w:rsidP="00387C4E">
      <w:pPr>
        <w:tabs>
          <w:tab w:val="left" w:pos="360"/>
          <w:tab w:val="left" w:pos="45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4319D9">
        <w:rPr>
          <w:rFonts w:ascii="Times New Roman" w:eastAsia="Times New Roman" w:hAnsi="Times New Roman" w:cs="Times New Roman"/>
          <w:sz w:val="23"/>
          <w:szCs w:val="23"/>
        </w:rPr>
        <w:t xml:space="preserve">As an evidence-based early childhood program model, </w:t>
      </w:r>
      <w:r w:rsidR="002D61DA" w:rsidRPr="00387889">
        <w:rPr>
          <w:rFonts w:ascii="Times New Roman" w:eastAsia="Times New Roman" w:hAnsi="Times New Roman" w:cs="Times New Roman"/>
          <w:sz w:val="23"/>
          <w:szCs w:val="23"/>
        </w:rPr>
        <w:t>CPC provides comprehensive, multi-systemic services in education and schooling, family support, health, and community outreach.</w:t>
      </w:r>
      <w:r w:rsidR="002D61DA">
        <w:rPr>
          <w:rFonts w:ascii="Times New Roman" w:eastAsia="Times New Roman" w:hAnsi="Times New Roman" w:cs="Times New Roman"/>
          <w:sz w:val="23"/>
          <w:szCs w:val="23"/>
          <w:vertAlign w:val="superscript"/>
        </w:rPr>
        <w:t>1,2</w:t>
      </w:r>
      <w:r w:rsidR="002D61DA" w:rsidRPr="00387889">
        <w:rPr>
          <w:rFonts w:ascii="Times New Roman" w:eastAsia="Times New Roman" w:hAnsi="Times New Roman" w:cs="Times New Roman"/>
          <w:sz w:val="23"/>
          <w:szCs w:val="23"/>
        </w:rPr>
        <w:t xml:space="preserve"> Under the direction of the Head Teacher at each site and in collaboration with the Principal, CPC </w:t>
      </w:r>
      <w:r w:rsidR="002D61DA">
        <w:rPr>
          <w:rFonts w:ascii="Times New Roman" w:eastAsia="Times New Roman" w:hAnsi="Times New Roman" w:cs="Times New Roman"/>
          <w:sz w:val="23"/>
          <w:szCs w:val="23"/>
        </w:rPr>
        <w:t xml:space="preserve">is designed to </w:t>
      </w:r>
      <w:r w:rsidR="002D61DA" w:rsidRPr="00387889">
        <w:rPr>
          <w:rFonts w:ascii="Times New Roman" w:eastAsia="Times New Roman" w:hAnsi="Times New Roman" w:cs="Times New Roman"/>
          <w:sz w:val="23"/>
          <w:szCs w:val="23"/>
        </w:rPr>
        <w:t>enhance school readiness and achievement, promote</w:t>
      </w:r>
      <w:r w:rsidR="002D61DA">
        <w:rPr>
          <w:rFonts w:ascii="Times New Roman" w:eastAsia="Times New Roman" w:hAnsi="Times New Roman" w:cs="Times New Roman"/>
          <w:sz w:val="23"/>
          <w:szCs w:val="23"/>
        </w:rPr>
        <w:t xml:space="preserve"> </w:t>
      </w:r>
      <w:r w:rsidR="002D61DA" w:rsidRPr="00387889">
        <w:rPr>
          <w:rFonts w:ascii="Times New Roman" w:eastAsia="Times New Roman" w:hAnsi="Times New Roman" w:cs="Times New Roman"/>
          <w:sz w:val="23"/>
          <w:szCs w:val="23"/>
        </w:rPr>
        <w:t>parent involvement and engagement in the school and community, and enhance socio-emotional learning with an emphasis on self-control, self-efficacy, and personal responsibility. Breakfasts and lunches are provided, school nurses work with families on site, and referrals to health centers, speech therapy and other supports are provided</w:t>
      </w:r>
      <w:r w:rsidR="002D61DA">
        <w:rPr>
          <w:rFonts w:ascii="Times New Roman" w:eastAsia="Times New Roman" w:hAnsi="Times New Roman" w:cs="Times New Roman"/>
          <w:sz w:val="23"/>
          <w:szCs w:val="23"/>
        </w:rPr>
        <w:t xml:space="preserve">. </w:t>
      </w:r>
      <w:r w:rsidR="002D61DA" w:rsidRPr="00387889">
        <w:rPr>
          <w:rFonts w:ascii="Times New Roman" w:eastAsia="Times New Roman" w:hAnsi="Times New Roman" w:cs="Times New Roman"/>
          <w:sz w:val="23"/>
          <w:szCs w:val="23"/>
        </w:rPr>
        <w:t xml:space="preserve">CPCs are in a stand-alone school or center in which all children receive services. </w:t>
      </w:r>
    </w:p>
    <w:p w14:paraId="723F0294" w14:textId="3E18CFEB" w:rsidR="002D61DA" w:rsidRDefault="00387C4E" w:rsidP="00387C4E">
      <w:pPr>
        <w:tabs>
          <w:tab w:val="left" w:pos="360"/>
        </w:tabs>
        <w:spacing w:after="0" w:line="240" w:lineRule="auto"/>
        <w:rPr>
          <w:rFonts w:ascii="Times New Roman" w:hAnsi="Times New Roman" w:cs="Times New Roman"/>
          <w:sz w:val="23"/>
          <w:szCs w:val="23"/>
        </w:rPr>
      </w:pPr>
      <w:r>
        <w:rPr>
          <w:rFonts w:ascii="Times New Roman" w:eastAsia="Times New Roman" w:hAnsi="Times New Roman" w:cs="Times New Roman"/>
          <w:sz w:val="23"/>
          <w:szCs w:val="23"/>
        </w:rPr>
        <w:tab/>
      </w:r>
      <w:r w:rsidR="002D61DA" w:rsidRPr="00387889">
        <w:rPr>
          <w:rFonts w:ascii="Times New Roman" w:hAnsi="Times New Roman" w:cs="Times New Roman"/>
          <w:sz w:val="23"/>
          <w:szCs w:val="23"/>
        </w:rPr>
        <w:t>Based on the goals and foci of the program, participants’ experiences, and impacts to date,</w:t>
      </w:r>
      <w:r w:rsidR="003215EA">
        <w:rPr>
          <w:rFonts w:ascii="Times New Roman" w:hAnsi="Times New Roman" w:cs="Times New Roman"/>
          <w:sz w:val="23"/>
          <w:szCs w:val="23"/>
          <w:vertAlign w:val="superscript"/>
        </w:rPr>
        <w:t>3-5</w:t>
      </w:r>
      <w:r w:rsidR="006E1975">
        <w:rPr>
          <w:rFonts w:ascii="Times New Roman" w:hAnsi="Times New Roman" w:cs="Times New Roman"/>
          <w:sz w:val="23"/>
          <w:szCs w:val="23"/>
          <w:vertAlign w:val="superscript"/>
        </w:rPr>
        <w:t xml:space="preserve"> </w:t>
      </w:r>
      <w:r w:rsidR="002D61DA" w:rsidRPr="00387889">
        <w:rPr>
          <w:rFonts w:ascii="Times New Roman" w:hAnsi="Times New Roman" w:cs="Times New Roman"/>
          <w:sz w:val="23"/>
          <w:szCs w:val="23"/>
        </w:rPr>
        <w:t xml:space="preserve">the program is expected to promote </w:t>
      </w:r>
      <w:r w:rsidR="006E1975">
        <w:rPr>
          <w:rFonts w:ascii="Times New Roman" w:hAnsi="Times New Roman" w:cs="Times New Roman"/>
          <w:sz w:val="23"/>
          <w:szCs w:val="23"/>
        </w:rPr>
        <w:t>health and well-being over the life course through</w:t>
      </w:r>
      <w:r w:rsidR="002D61DA">
        <w:rPr>
          <w:rFonts w:ascii="Times New Roman" w:hAnsi="Times New Roman" w:cs="Times New Roman"/>
          <w:sz w:val="23"/>
          <w:szCs w:val="23"/>
        </w:rPr>
        <w:t xml:space="preserve"> </w:t>
      </w:r>
      <w:r w:rsidR="00831FB0">
        <w:rPr>
          <w:rFonts w:ascii="Times New Roman" w:hAnsi="Times New Roman" w:cs="Times New Roman"/>
          <w:sz w:val="23"/>
          <w:szCs w:val="23"/>
        </w:rPr>
        <w:t>sets of behaviors</w:t>
      </w:r>
      <w:r w:rsidR="002D61DA" w:rsidRPr="00387889">
        <w:rPr>
          <w:rFonts w:ascii="Times New Roman" w:hAnsi="Times New Roman" w:cs="Times New Roman"/>
          <w:sz w:val="23"/>
          <w:szCs w:val="23"/>
        </w:rPr>
        <w:t>:</w:t>
      </w:r>
    </w:p>
    <w:p w14:paraId="7652D1A3" w14:textId="77777777" w:rsidR="002D61DA" w:rsidRPr="00387889" w:rsidRDefault="002D61DA" w:rsidP="002D61DA">
      <w:pPr>
        <w:spacing w:after="0"/>
        <w:rPr>
          <w:rFonts w:ascii="Times New Roman" w:hAnsi="Times New Roman" w:cs="Times New Roman"/>
          <w:sz w:val="23"/>
          <w:szCs w:val="23"/>
        </w:rPr>
      </w:pPr>
      <w:r w:rsidRPr="00387889">
        <w:rPr>
          <w:rFonts w:ascii="Times New Roman" w:hAnsi="Times New Roman" w:cs="Times New Roman"/>
          <w:sz w:val="23"/>
          <w:szCs w:val="23"/>
        </w:rPr>
        <w:tab/>
        <w:t>a. educational success and attainment</w:t>
      </w:r>
    </w:p>
    <w:p w14:paraId="62414D61" w14:textId="77777777" w:rsidR="002D61DA" w:rsidRPr="00387889" w:rsidRDefault="002D61DA" w:rsidP="002D61DA">
      <w:pPr>
        <w:spacing w:after="0"/>
        <w:rPr>
          <w:rFonts w:ascii="Times New Roman" w:hAnsi="Times New Roman" w:cs="Times New Roman"/>
          <w:sz w:val="23"/>
          <w:szCs w:val="23"/>
        </w:rPr>
      </w:pPr>
      <w:r w:rsidRPr="00387889">
        <w:rPr>
          <w:rFonts w:ascii="Times New Roman" w:hAnsi="Times New Roman" w:cs="Times New Roman"/>
          <w:sz w:val="23"/>
          <w:szCs w:val="23"/>
        </w:rPr>
        <w:tab/>
        <w:t xml:space="preserve">b. self-control and self-efficacy behaviors </w:t>
      </w:r>
    </w:p>
    <w:p w14:paraId="7E42631E" w14:textId="77777777" w:rsidR="002D61DA" w:rsidRPr="00387889" w:rsidRDefault="002D61DA" w:rsidP="002D61DA">
      <w:pPr>
        <w:spacing w:after="0"/>
        <w:rPr>
          <w:rFonts w:ascii="Times New Roman" w:hAnsi="Times New Roman" w:cs="Times New Roman"/>
          <w:sz w:val="23"/>
          <w:szCs w:val="23"/>
        </w:rPr>
      </w:pPr>
      <w:r w:rsidRPr="00387889">
        <w:rPr>
          <w:rFonts w:ascii="Times New Roman" w:hAnsi="Times New Roman" w:cs="Times New Roman"/>
          <w:sz w:val="23"/>
          <w:szCs w:val="23"/>
        </w:rPr>
        <w:tab/>
        <w:t>c. health literacy and practices</w:t>
      </w:r>
    </w:p>
    <w:p w14:paraId="53E170C8" w14:textId="77777777" w:rsidR="002D61DA" w:rsidRPr="00387889" w:rsidRDefault="002D61DA" w:rsidP="002D61DA">
      <w:pPr>
        <w:spacing w:after="0"/>
        <w:rPr>
          <w:rFonts w:ascii="Times New Roman" w:hAnsi="Times New Roman" w:cs="Times New Roman"/>
          <w:sz w:val="23"/>
          <w:szCs w:val="23"/>
        </w:rPr>
      </w:pPr>
      <w:r w:rsidRPr="00387889">
        <w:rPr>
          <w:rFonts w:ascii="Times New Roman" w:hAnsi="Times New Roman" w:cs="Times New Roman"/>
          <w:sz w:val="23"/>
          <w:szCs w:val="23"/>
        </w:rPr>
        <w:tab/>
        <w:t>d. social support and engagement.</w:t>
      </w:r>
    </w:p>
    <w:p w14:paraId="46AD6F0D" w14:textId="2072E7E5" w:rsidR="00F72611" w:rsidRPr="00D05482" w:rsidRDefault="00387C4E" w:rsidP="00387C4E">
      <w:pPr>
        <w:tabs>
          <w:tab w:val="left" w:pos="360"/>
        </w:tabs>
        <w:spacing w:after="0" w:line="240" w:lineRule="auto"/>
        <w:rPr>
          <w:rFonts w:ascii="Times New Roman" w:eastAsia="Times New Roman" w:hAnsi="Times New Roman" w:cs="Times New Roman"/>
          <w:sz w:val="23"/>
          <w:szCs w:val="23"/>
          <w:vertAlign w:val="superscript"/>
        </w:rPr>
      </w:pPr>
      <w:r>
        <w:rPr>
          <w:rFonts w:ascii="Times New Roman" w:eastAsia="Times New Roman" w:hAnsi="Times New Roman" w:cs="Times New Roman"/>
          <w:sz w:val="23"/>
          <w:szCs w:val="23"/>
        </w:rPr>
        <w:tab/>
      </w:r>
      <w:r w:rsidR="002D61DA">
        <w:rPr>
          <w:rFonts w:ascii="Times New Roman" w:eastAsia="Times New Roman" w:hAnsi="Times New Roman" w:cs="Times New Roman"/>
          <w:sz w:val="23"/>
          <w:szCs w:val="23"/>
        </w:rPr>
        <w:t xml:space="preserve">These </w:t>
      </w:r>
      <w:r w:rsidR="00D05482">
        <w:rPr>
          <w:rFonts w:ascii="Times New Roman" w:eastAsia="Times New Roman" w:hAnsi="Times New Roman" w:cs="Times New Roman"/>
          <w:sz w:val="23"/>
          <w:szCs w:val="23"/>
        </w:rPr>
        <w:t>behaviors</w:t>
      </w:r>
      <w:r w:rsidR="002D61DA">
        <w:rPr>
          <w:rFonts w:ascii="Times New Roman" w:eastAsia="Times New Roman" w:hAnsi="Times New Roman" w:cs="Times New Roman"/>
          <w:sz w:val="23"/>
          <w:szCs w:val="23"/>
        </w:rPr>
        <w:t xml:space="preserve"> are interconnected yet, based on the theory of the program</w:t>
      </w:r>
      <w:r w:rsidR="00D05482">
        <w:rPr>
          <w:rFonts w:ascii="Times New Roman" w:eastAsia="Times New Roman" w:hAnsi="Times New Roman" w:cs="Times New Roman"/>
          <w:sz w:val="23"/>
          <w:szCs w:val="23"/>
          <w:vertAlign w:val="superscript"/>
        </w:rPr>
        <w:t>1,2</w:t>
      </w:r>
      <w:r w:rsidR="002D61DA">
        <w:rPr>
          <w:rFonts w:ascii="Times New Roman" w:eastAsia="Times New Roman" w:hAnsi="Times New Roman" w:cs="Times New Roman"/>
          <w:sz w:val="23"/>
          <w:szCs w:val="23"/>
        </w:rPr>
        <w:t>, educational success and attainment</w:t>
      </w:r>
      <w:r w:rsidR="008C1E8C">
        <w:rPr>
          <w:rFonts w:ascii="Times New Roman" w:eastAsia="Times New Roman" w:hAnsi="Times New Roman" w:cs="Times New Roman"/>
          <w:sz w:val="23"/>
          <w:szCs w:val="23"/>
        </w:rPr>
        <w:t xml:space="preserve"> are most</w:t>
      </w:r>
      <w:r w:rsidR="003215EA">
        <w:rPr>
          <w:rFonts w:ascii="Times New Roman" w:eastAsia="Times New Roman" w:hAnsi="Times New Roman" w:cs="Times New Roman"/>
          <w:sz w:val="23"/>
          <w:szCs w:val="23"/>
        </w:rPr>
        <w:t xml:space="preserve"> critical</w:t>
      </w:r>
      <w:r w:rsidR="002D61DA">
        <w:rPr>
          <w:rFonts w:ascii="Times New Roman" w:eastAsia="Times New Roman" w:hAnsi="Times New Roman" w:cs="Times New Roman"/>
          <w:sz w:val="23"/>
          <w:szCs w:val="23"/>
        </w:rPr>
        <w:t>.</w:t>
      </w:r>
      <w:r w:rsidR="00BD2D36">
        <w:rPr>
          <w:rFonts w:ascii="Times New Roman" w:eastAsia="Times New Roman" w:hAnsi="Times New Roman" w:cs="Times New Roman"/>
          <w:sz w:val="23"/>
          <w:szCs w:val="23"/>
        </w:rPr>
        <w:t xml:space="preserve"> The influence of each </w:t>
      </w:r>
      <w:r w:rsidR="00D05482">
        <w:rPr>
          <w:rFonts w:ascii="Times New Roman" w:eastAsia="Times New Roman" w:hAnsi="Times New Roman" w:cs="Times New Roman"/>
          <w:sz w:val="23"/>
          <w:szCs w:val="23"/>
        </w:rPr>
        <w:t>one</w:t>
      </w:r>
      <w:r w:rsidR="00BD2D36">
        <w:rPr>
          <w:rFonts w:ascii="Times New Roman" w:eastAsia="Times New Roman" w:hAnsi="Times New Roman" w:cs="Times New Roman"/>
          <w:sz w:val="23"/>
          <w:szCs w:val="23"/>
        </w:rPr>
        <w:t xml:space="preserve"> derives from the organizational and leadership </w:t>
      </w:r>
      <w:r w:rsidR="004420EE">
        <w:rPr>
          <w:rFonts w:ascii="Times New Roman" w:eastAsia="Times New Roman" w:hAnsi="Times New Roman" w:cs="Times New Roman"/>
          <w:sz w:val="23"/>
          <w:szCs w:val="23"/>
        </w:rPr>
        <w:t xml:space="preserve">structure of the school to foster a </w:t>
      </w:r>
      <w:r w:rsidR="008C1E8C">
        <w:rPr>
          <w:rFonts w:ascii="Times New Roman" w:eastAsia="Times New Roman" w:hAnsi="Times New Roman" w:cs="Times New Roman"/>
          <w:sz w:val="23"/>
          <w:szCs w:val="23"/>
        </w:rPr>
        <w:t xml:space="preserve">supportive </w:t>
      </w:r>
      <w:r w:rsidR="004420EE">
        <w:rPr>
          <w:rFonts w:ascii="Times New Roman" w:eastAsia="Times New Roman" w:hAnsi="Times New Roman" w:cs="Times New Roman"/>
          <w:sz w:val="23"/>
          <w:szCs w:val="23"/>
        </w:rPr>
        <w:t>continuum of learning</w:t>
      </w:r>
      <w:r w:rsidR="008C1E8C">
        <w:rPr>
          <w:rFonts w:ascii="Times New Roman" w:eastAsia="Times New Roman" w:hAnsi="Times New Roman" w:cs="Times New Roman"/>
          <w:sz w:val="23"/>
          <w:szCs w:val="23"/>
        </w:rPr>
        <w:t xml:space="preserve"> tailored to child and family needs.</w:t>
      </w:r>
      <w:r w:rsidR="00F72611">
        <w:rPr>
          <w:rFonts w:ascii="Times New Roman" w:eastAsia="Times New Roman" w:hAnsi="Times New Roman" w:cs="Times New Roman"/>
          <w:sz w:val="23"/>
          <w:szCs w:val="23"/>
        </w:rPr>
        <w:t xml:space="preserve"> Consistent with h</w:t>
      </w:r>
      <w:r w:rsidR="00F72611" w:rsidRPr="00F72611">
        <w:rPr>
          <w:rFonts w:ascii="Times New Roman" w:eastAsia="Times New Roman" w:hAnsi="Times New Roman" w:cs="Times New Roman"/>
          <w:sz w:val="23"/>
          <w:szCs w:val="23"/>
        </w:rPr>
        <w:t>igh quality and comprehensive programs</w:t>
      </w:r>
      <w:r w:rsidR="00F72611">
        <w:rPr>
          <w:rFonts w:ascii="Times New Roman" w:eastAsia="Times New Roman" w:hAnsi="Times New Roman" w:cs="Times New Roman"/>
          <w:sz w:val="23"/>
          <w:szCs w:val="23"/>
        </w:rPr>
        <w:t>,</w:t>
      </w:r>
      <w:r w:rsidR="00F72611" w:rsidRPr="00F72611">
        <w:rPr>
          <w:rFonts w:ascii="Times New Roman" w:eastAsia="Times New Roman" w:hAnsi="Times New Roman" w:cs="Times New Roman"/>
          <w:sz w:val="23"/>
          <w:szCs w:val="23"/>
        </w:rPr>
        <w:t xml:space="preserve"> CPC work</w:t>
      </w:r>
      <w:r w:rsidR="00F72611">
        <w:rPr>
          <w:rFonts w:ascii="Times New Roman" w:eastAsia="Times New Roman" w:hAnsi="Times New Roman" w:cs="Times New Roman"/>
          <w:sz w:val="23"/>
          <w:szCs w:val="23"/>
        </w:rPr>
        <w:t>s</w:t>
      </w:r>
      <w:r w:rsidR="00F72611" w:rsidRPr="00F72611">
        <w:rPr>
          <w:rFonts w:ascii="Times New Roman" w:eastAsia="Times New Roman" w:hAnsi="Times New Roman" w:cs="Times New Roman"/>
          <w:sz w:val="23"/>
          <w:szCs w:val="23"/>
        </w:rPr>
        <w:t xml:space="preserve"> to enrich learning experiences at home and school, promote racial identity, social integration, and engage family members in social action and advocacy in service to the community and for their personal development.</w:t>
      </w:r>
      <w:r w:rsidR="00F72611" w:rsidRPr="00F72611">
        <w:rPr>
          <w:rFonts w:ascii="Times New Roman" w:eastAsia="Times New Roman" w:hAnsi="Times New Roman" w:cs="Times New Roman"/>
          <w:sz w:val="23"/>
          <w:szCs w:val="23"/>
          <w:vertAlign w:val="superscript"/>
        </w:rPr>
        <w:t>1</w:t>
      </w:r>
      <w:r w:rsidR="00F72611">
        <w:rPr>
          <w:rFonts w:ascii="Times New Roman" w:eastAsia="Times New Roman" w:hAnsi="Times New Roman" w:cs="Times New Roman"/>
          <w:sz w:val="23"/>
          <w:szCs w:val="23"/>
          <w:vertAlign w:val="superscript"/>
        </w:rPr>
        <w:t>,2</w:t>
      </w:r>
      <w:r w:rsidR="00D05482">
        <w:rPr>
          <w:rFonts w:ascii="Times New Roman" w:eastAsia="Times New Roman" w:hAnsi="Times New Roman" w:cs="Times New Roman"/>
          <w:sz w:val="23"/>
          <w:szCs w:val="23"/>
        </w:rPr>
        <w:t xml:space="preserve"> Five generative mechanisms of long-term effects have been empirically corroborated</w:t>
      </w:r>
      <w:r w:rsidR="002828F1">
        <w:rPr>
          <w:rFonts w:ascii="Times New Roman" w:eastAsia="Times New Roman" w:hAnsi="Times New Roman" w:cs="Times New Roman"/>
          <w:sz w:val="23"/>
          <w:szCs w:val="23"/>
        </w:rPr>
        <w:t xml:space="preserve"> across outcomes</w:t>
      </w:r>
      <w:r w:rsidR="00D05482">
        <w:rPr>
          <w:rFonts w:ascii="Times New Roman" w:eastAsia="Times New Roman" w:hAnsi="Times New Roman" w:cs="Times New Roman"/>
          <w:sz w:val="23"/>
          <w:szCs w:val="23"/>
        </w:rPr>
        <w:t>.</w:t>
      </w:r>
      <w:r w:rsidR="00D05482">
        <w:rPr>
          <w:rFonts w:ascii="Times New Roman" w:eastAsia="Times New Roman" w:hAnsi="Times New Roman" w:cs="Times New Roman"/>
          <w:sz w:val="23"/>
          <w:szCs w:val="23"/>
          <w:vertAlign w:val="superscript"/>
        </w:rPr>
        <w:t>1,5</w:t>
      </w:r>
    </w:p>
    <w:p w14:paraId="30DEB3EA" w14:textId="222A1008" w:rsidR="00D57118" w:rsidRPr="00D57118" w:rsidRDefault="00387C4E" w:rsidP="00387C4E">
      <w:pPr>
        <w:tabs>
          <w:tab w:val="left" w:pos="3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D57118" w:rsidRPr="00D57118">
        <w:rPr>
          <w:rFonts w:ascii="Times New Roman" w:eastAsia="Times New Roman" w:hAnsi="Times New Roman" w:cs="Times New Roman"/>
          <w:sz w:val="23"/>
          <w:szCs w:val="23"/>
        </w:rPr>
        <w:t>Like other community action initiatives of the Great Society/War on Poverty era, CPC innovated a systemic reform for the goals of promoting child and family well-being, alleviating intergenerational poverty, and breaking the barriers of racial discrimination in schooling, housing, and employment.</w:t>
      </w:r>
      <w:r w:rsidR="0028087D">
        <w:rPr>
          <w:rFonts w:ascii="Times New Roman" w:eastAsia="Times New Roman" w:hAnsi="Times New Roman" w:cs="Times New Roman"/>
          <w:sz w:val="23"/>
          <w:szCs w:val="23"/>
        </w:rPr>
        <w:t xml:space="preserve"> The pandemic and persistent structural inequalities </w:t>
      </w:r>
      <w:r w:rsidR="00072DE0">
        <w:rPr>
          <w:rFonts w:ascii="Times New Roman" w:eastAsia="Times New Roman" w:hAnsi="Times New Roman" w:cs="Times New Roman"/>
          <w:sz w:val="23"/>
          <w:szCs w:val="23"/>
        </w:rPr>
        <w:t>of racism, segregation, and neighborhood poverty have accentuated the need for eliminating health disparities.</w:t>
      </w:r>
      <w:r w:rsidR="00DA6941">
        <w:rPr>
          <w:rFonts w:ascii="Times New Roman" w:eastAsia="Times New Roman" w:hAnsi="Times New Roman" w:cs="Times New Roman"/>
          <w:sz w:val="23"/>
          <w:szCs w:val="23"/>
          <w:vertAlign w:val="superscript"/>
        </w:rPr>
        <w:t>1,6,7</w:t>
      </w:r>
      <w:r w:rsidR="00D57118" w:rsidRPr="00D57118">
        <w:rPr>
          <w:rFonts w:ascii="Times New Roman" w:eastAsia="Times New Roman" w:hAnsi="Times New Roman" w:cs="Times New Roman"/>
          <w:sz w:val="23"/>
          <w:szCs w:val="23"/>
        </w:rPr>
        <w:t xml:space="preserve"> Within a whole-child philosophy centered in African American history and culture, the </w:t>
      </w:r>
      <w:r w:rsidR="00072DE0">
        <w:rPr>
          <w:rFonts w:ascii="Times New Roman" w:eastAsia="Times New Roman" w:hAnsi="Times New Roman" w:cs="Times New Roman"/>
          <w:sz w:val="23"/>
          <w:szCs w:val="23"/>
        </w:rPr>
        <w:t xml:space="preserve">CPC </w:t>
      </w:r>
      <w:r w:rsidR="00D57118" w:rsidRPr="00D57118">
        <w:rPr>
          <w:rFonts w:ascii="Times New Roman" w:eastAsia="Times New Roman" w:hAnsi="Times New Roman" w:cs="Times New Roman"/>
          <w:sz w:val="23"/>
          <w:szCs w:val="23"/>
        </w:rPr>
        <w:t>curriculum emphasizes reading, math, and socio-emotional learning. To sustain gains and fully establish an inclusive and integrative social environment, the program continues through 3</w:t>
      </w:r>
      <w:r w:rsidR="00D57118" w:rsidRPr="00D57118">
        <w:rPr>
          <w:rFonts w:ascii="Times New Roman" w:eastAsia="Times New Roman" w:hAnsi="Times New Roman" w:cs="Times New Roman"/>
          <w:sz w:val="23"/>
          <w:szCs w:val="23"/>
          <w:vertAlign w:val="superscript"/>
        </w:rPr>
        <w:t>rd</w:t>
      </w:r>
      <w:r w:rsidR="00D57118" w:rsidRPr="00D57118">
        <w:rPr>
          <w:rFonts w:ascii="Times New Roman" w:eastAsia="Times New Roman" w:hAnsi="Times New Roman" w:cs="Times New Roman"/>
          <w:sz w:val="23"/>
          <w:szCs w:val="23"/>
        </w:rPr>
        <w:t xml:space="preserve"> grade in elementary schools (see manual for complete services</w:t>
      </w:r>
      <w:r w:rsidR="00072DE0">
        <w:rPr>
          <w:rFonts w:ascii="Times New Roman" w:eastAsia="Times New Roman" w:hAnsi="Times New Roman" w:cs="Times New Roman"/>
          <w:sz w:val="23"/>
          <w:szCs w:val="23"/>
          <w:vertAlign w:val="superscript"/>
        </w:rPr>
        <w:t>8</w:t>
      </w:r>
      <w:r w:rsidR="00D57118" w:rsidRPr="00D57118">
        <w:rPr>
          <w:rFonts w:ascii="Times New Roman" w:eastAsia="Times New Roman" w:hAnsi="Times New Roman" w:cs="Times New Roman"/>
          <w:sz w:val="23"/>
          <w:szCs w:val="23"/>
        </w:rPr>
        <w:t>). This P-3 structure provide</w:t>
      </w:r>
      <w:r w:rsidR="00072DE0">
        <w:rPr>
          <w:rFonts w:ascii="Times New Roman" w:eastAsia="Times New Roman" w:hAnsi="Times New Roman" w:cs="Times New Roman"/>
          <w:sz w:val="23"/>
          <w:szCs w:val="23"/>
        </w:rPr>
        <w:t>s</w:t>
      </w:r>
      <w:r w:rsidR="00D57118" w:rsidRPr="00D57118">
        <w:rPr>
          <w:rFonts w:ascii="Times New Roman" w:eastAsia="Times New Roman" w:hAnsi="Times New Roman" w:cs="Times New Roman"/>
          <w:sz w:val="23"/>
          <w:szCs w:val="23"/>
        </w:rPr>
        <w:t xml:space="preserve"> the dosage and continuity necessary for long-run benefits to participants, schools, and communities. </w:t>
      </w:r>
    </w:p>
    <w:p w14:paraId="0AB07E4E" w14:textId="607F0F65" w:rsidR="002D61DA" w:rsidRDefault="00387C4E" w:rsidP="00387C4E">
      <w:pPr>
        <w:tabs>
          <w:tab w:val="left" w:pos="3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002D61DA">
        <w:rPr>
          <w:rFonts w:ascii="Times New Roman" w:eastAsia="Times New Roman" w:hAnsi="Times New Roman" w:cs="Times New Roman"/>
          <w:sz w:val="23"/>
          <w:szCs w:val="23"/>
        </w:rPr>
        <w:t>Operationally, a</w:t>
      </w:r>
      <w:r w:rsidR="002D61DA" w:rsidRPr="00387889">
        <w:rPr>
          <w:rFonts w:ascii="Times New Roman" w:eastAsia="Times New Roman" w:hAnsi="Times New Roman" w:cs="Times New Roman"/>
          <w:sz w:val="23"/>
          <w:szCs w:val="23"/>
        </w:rPr>
        <w:t xml:space="preserve">fter a part-day program (3 hours, 5 days per week) at ages 3 and/or 4 in small classes with child-teacher ratios of 17:2, </w:t>
      </w:r>
      <w:r w:rsidR="002D61DA">
        <w:rPr>
          <w:rFonts w:ascii="Times New Roman" w:eastAsia="Times New Roman" w:hAnsi="Times New Roman" w:cs="Times New Roman"/>
          <w:sz w:val="23"/>
          <w:szCs w:val="23"/>
        </w:rPr>
        <w:t xml:space="preserve">CPC </w:t>
      </w:r>
      <w:r w:rsidR="002D61DA" w:rsidRPr="00387889">
        <w:rPr>
          <w:rFonts w:ascii="Times New Roman" w:eastAsia="Times New Roman" w:hAnsi="Times New Roman" w:cs="Times New Roman"/>
          <w:sz w:val="23"/>
          <w:szCs w:val="23"/>
        </w:rPr>
        <w:t>K–3rd components provide reduced class sizes (maximum of 25), teacher aides for each class, health services, continued parent involvement opportunities, and enriched classroom environments for strengthening language and literacy, math, science, and social-emotional learning.</w:t>
      </w:r>
      <w:r w:rsidR="002D61DA">
        <w:rPr>
          <w:rFonts w:ascii="Times New Roman" w:eastAsia="Times New Roman" w:hAnsi="Times New Roman" w:cs="Times New Roman"/>
          <w:sz w:val="23"/>
          <w:szCs w:val="23"/>
        </w:rPr>
        <w:t xml:space="preserve"> </w:t>
      </w:r>
      <w:r w:rsidR="00955C45">
        <w:rPr>
          <w:rFonts w:ascii="Times New Roman" w:eastAsia="Times New Roman" w:hAnsi="Times New Roman" w:cs="Times New Roman"/>
          <w:sz w:val="23"/>
          <w:szCs w:val="23"/>
        </w:rPr>
        <w:t xml:space="preserve">Although the K-3 component was full-day, in kindergarten only 60% attended full-day classes. </w:t>
      </w:r>
      <w:r w:rsidR="002D61DA" w:rsidRPr="00387889">
        <w:rPr>
          <w:rFonts w:ascii="Times New Roman" w:eastAsia="Times New Roman" w:hAnsi="Times New Roman" w:cs="Times New Roman"/>
          <w:sz w:val="23"/>
          <w:szCs w:val="23"/>
        </w:rPr>
        <w:t xml:space="preserve">To promote wholistic well-being, including physical health, each center has a parent resource room and family program run by the Parent-Resource Teacher in collaboration with the School-Community Representative. </w:t>
      </w:r>
      <w:r w:rsidR="002D61DA">
        <w:rPr>
          <w:rFonts w:ascii="Times New Roman" w:eastAsia="Times New Roman" w:hAnsi="Times New Roman" w:cs="Times New Roman"/>
          <w:sz w:val="23"/>
          <w:szCs w:val="23"/>
        </w:rPr>
        <w:tab/>
      </w:r>
    </w:p>
    <w:p w14:paraId="2FEA1B0D" w14:textId="79E6BD90" w:rsidR="002D61DA" w:rsidRDefault="002D61DA" w:rsidP="00387C4E">
      <w:pPr>
        <w:tabs>
          <w:tab w:val="left" w:pos="360"/>
        </w:tabs>
        <w:spacing w:after="0" w:line="240" w:lineRule="auto"/>
        <w:rPr>
          <w:rFonts w:ascii="Times New Roman" w:eastAsia="Times New Roman" w:hAnsi="Times New Roman" w:cs="Times New Roman"/>
          <w:sz w:val="23"/>
          <w:szCs w:val="23"/>
          <w:vertAlign w:val="superscript"/>
        </w:rPr>
      </w:pPr>
      <w:r>
        <w:rPr>
          <w:rFonts w:ascii="Times New Roman" w:eastAsia="Times New Roman" w:hAnsi="Times New Roman" w:cs="Times New Roman"/>
          <w:sz w:val="23"/>
          <w:szCs w:val="23"/>
        </w:rPr>
        <w:tab/>
      </w:r>
      <w:r w:rsidRPr="00387889">
        <w:rPr>
          <w:rFonts w:ascii="Times New Roman" w:eastAsia="Times New Roman" w:hAnsi="Times New Roman" w:cs="Times New Roman"/>
          <w:sz w:val="23"/>
          <w:szCs w:val="23"/>
        </w:rPr>
        <w:t>The lat</w:t>
      </w:r>
      <w:r w:rsidR="0012655F">
        <w:rPr>
          <w:rFonts w:ascii="Times New Roman" w:eastAsia="Times New Roman" w:hAnsi="Times New Roman" w:cs="Times New Roman"/>
          <w:sz w:val="23"/>
          <w:szCs w:val="23"/>
        </w:rPr>
        <w:t>t</w:t>
      </w:r>
      <w:r w:rsidRPr="00387889">
        <w:rPr>
          <w:rFonts w:ascii="Times New Roman" w:eastAsia="Times New Roman" w:hAnsi="Times New Roman" w:cs="Times New Roman"/>
          <w:sz w:val="23"/>
          <w:szCs w:val="23"/>
        </w:rPr>
        <w:t xml:space="preserve">er conducts home visits, engages parents in the school, mobilizes resources in the community and provides referrals to health, employment and job training, </w:t>
      </w:r>
      <w:r w:rsidR="00C829BB">
        <w:rPr>
          <w:rFonts w:ascii="Times New Roman" w:eastAsia="Times New Roman" w:hAnsi="Times New Roman" w:cs="Times New Roman"/>
          <w:sz w:val="23"/>
          <w:szCs w:val="23"/>
        </w:rPr>
        <w:t xml:space="preserve">housing assistance, mental health, </w:t>
      </w:r>
      <w:r w:rsidRPr="00387889">
        <w:rPr>
          <w:rFonts w:ascii="Times New Roman" w:eastAsia="Times New Roman" w:hAnsi="Times New Roman" w:cs="Times New Roman"/>
          <w:sz w:val="23"/>
          <w:szCs w:val="23"/>
        </w:rPr>
        <w:t xml:space="preserve">and related services. Parent workshops and trainings are a predominant element of the program, and they most frequently include child development, health literacy, nutrition, financial literacy, and personal development topics. GED courses are often provided on site and parents volunteer in the classroom and in community organizations. Given the physically located resource room in the centers, peer support among </w:t>
      </w:r>
      <w:r w:rsidRPr="00387889">
        <w:rPr>
          <w:rFonts w:ascii="Times New Roman" w:eastAsia="Times New Roman" w:hAnsi="Times New Roman" w:cs="Times New Roman"/>
          <w:sz w:val="23"/>
          <w:szCs w:val="23"/>
        </w:rPr>
        <w:lastRenderedPageBreak/>
        <w:t>parents and family members is another key feature.</w:t>
      </w:r>
      <w:r>
        <w:rPr>
          <w:rFonts w:ascii="Times New Roman" w:eastAsia="Times New Roman" w:hAnsi="Times New Roman" w:cs="Times New Roman"/>
          <w:sz w:val="23"/>
          <w:szCs w:val="23"/>
        </w:rPr>
        <w:t xml:space="preserve"> Many reports are available describing program history, key elements and principles, and implementation.</w:t>
      </w:r>
      <w:r>
        <w:rPr>
          <w:rFonts w:ascii="Times New Roman" w:eastAsia="Times New Roman" w:hAnsi="Times New Roman" w:cs="Times New Roman"/>
          <w:sz w:val="23"/>
          <w:szCs w:val="23"/>
          <w:vertAlign w:val="superscript"/>
        </w:rPr>
        <w:t>1</w:t>
      </w:r>
      <w:r w:rsidR="003215EA">
        <w:rPr>
          <w:rFonts w:ascii="Times New Roman" w:eastAsia="Times New Roman" w:hAnsi="Times New Roman" w:cs="Times New Roman"/>
          <w:sz w:val="23"/>
          <w:szCs w:val="23"/>
          <w:vertAlign w:val="superscript"/>
        </w:rPr>
        <w:t>-5</w:t>
      </w:r>
      <w:r w:rsidR="00072DE0">
        <w:rPr>
          <w:rFonts w:ascii="Times New Roman" w:eastAsia="Times New Roman" w:hAnsi="Times New Roman" w:cs="Times New Roman"/>
          <w:sz w:val="23"/>
          <w:szCs w:val="23"/>
          <w:vertAlign w:val="superscript"/>
        </w:rPr>
        <w:t>,8-1</w:t>
      </w:r>
      <w:r w:rsidR="007503A0">
        <w:rPr>
          <w:rFonts w:ascii="Times New Roman" w:eastAsia="Times New Roman" w:hAnsi="Times New Roman" w:cs="Times New Roman"/>
          <w:sz w:val="23"/>
          <w:szCs w:val="23"/>
          <w:vertAlign w:val="superscript"/>
        </w:rPr>
        <w:t>4</w:t>
      </w:r>
    </w:p>
    <w:p w14:paraId="134FAED6" w14:textId="62572584" w:rsidR="00BB70FA" w:rsidRDefault="00C4034F" w:rsidP="00C4034F">
      <w:pPr>
        <w:tabs>
          <w:tab w:val="left" w:pos="3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vertAlign w:val="superscript"/>
        </w:rPr>
        <w:tab/>
      </w:r>
      <w:r w:rsidR="00DD27B4">
        <w:rPr>
          <w:rFonts w:ascii="Times New Roman" w:eastAsia="Times New Roman" w:hAnsi="Times New Roman" w:cs="Times New Roman"/>
          <w:sz w:val="23"/>
          <w:szCs w:val="23"/>
        </w:rPr>
        <w:t xml:space="preserve">Three program measures were used in the analysis: </w:t>
      </w:r>
      <w:r w:rsidR="00FE4B28">
        <w:rPr>
          <w:rFonts w:ascii="Times New Roman" w:eastAsia="Times New Roman" w:hAnsi="Times New Roman" w:cs="Times New Roman"/>
          <w:sz w:val="23"/>
          <w:szCs w:val="23"/>
        </w:rPr>
        <w:t xml:space="preserve">CPC </w:t>
      </w:r>
      <w:r w:rsidR="00DD27B4">
        <w:rPr>
          <w:rFonts w:ascii="Times New Roman" w:eastAsia="Times New Roman" w:hAnsi="Times New Roman" w:cs="Times New Roman"/>
          <w:sz w:val="23"/>
          <w:szCs w:val="23"/>
        </w:rPr>
        <w:t xml:space="preserve">preschool participation </w:t>
      </w:r>
      <w:r w:rsidR="00FE4B28">
        <w:rPr>
          <w:rFonts w:ascii="Times New Roman" w:eastAsia="Times New Roman" w:hAnsi="Times New Roman" w:cs="Times New Roman"/>
          <w:sz w:val="23"/>
          <w:szCs w:val="23"/>
        </w:rPr>
        <w:t xml:space="preserve">at ages 3 and/or 4 </w:t>
      </w:r>
      <w:r w:rsidR="00DD27B4">
        <w:rPr>
          <w:rFonts w:ascii="Times New Roman" w:eastAsia="Times New Roman" w:hAnsi="Times New Roman" w:cs="Times New Roman"/>
          <w:sz w:val="23"/>
          <w:szCs w:val="23"/>
        </w:rPr>
        <w:t>(adjusted for school-age participation</w:t>
      </w:r>
      <w:r w:rsidR="00FE4B28">
        <w:rPr>
          <w:rFonts w:ascii="Times New Roman" w:eastAsia="Times New Roman" w:hAnsi="Times New Roman" w:cs="Times New Roman"/>
          <w:sz w:val="23"/>
          <w:szCs w:val="23"/>
        </w:rPr>
        <w:t xml:space="preserve"> in first to third grades</w:t>
      </w:r>
      <w:r w:rsidR="00DD27B4">
        <w:rPr>
          <w:rFonts w:ascii="Times New Roman" w:eastAsia="Times New Roman" w:hAnsi="Times New Roman" w:cs="Times New Roman"/>
          <w:sz w:val="23"/>
          <w:szCs w:val="23"/>
        </w:rPr>
        <w:t>), preschool to 3</w:t>
      </w:r>
      <w:r w:rsidR="00DD27B4" w:rsidRPr="00DD27B4">
        <w:rPr>
          <w:rFonts w:ascii="Times New Roman" w:eastAsia="Times New Roman" w:hAnsi="Times New Roman" w:cs="Times New Roman"/>
          <w:sz w:val="23"/>
          <w:szCs w:val="23"/>
          <w:vertAlign w:val="superscript"/>
        </w:rPr>
        <w:t>rd</w:t>
      </w:r>
      <w:r w:rsidR="00DD27B4">
        <w:rPr>
          <w:rFonts w:ascii="Times New Roman" w:eastAsia="Times New Roman" w:hAnsi="Times New Roman" w:cs="Times New Roman"/>
          <w:sz w:val="23"/>
          <w:szCs w:val="23"/>
        </w:rPr>
        <w:t xml:space="preserve"> grade for 4 to 6 years relative to lesser participation</w:t>
      </w:r>
      <w:r w:rsidR="00FE4B28">
        <w:rPr>
          <w:rFonts w:ascii="Times New Roman" w:eastAsia="Times New Roman" w:hAnsi="Times New Roman" w:cs="Times New Roman"/>
          <w:sz w:val="23"/>
          <w:szCs w:val="23"/>
        </w:rPr>
        <w:t xml:space="preserve"> (CPC-P3)</w:t>
      </w:r>
      <w:r w:rsidR="00DD27B4">
        <w:rPr>
          <w:rFonts w:ascii="Times New Roman" w:eastAsia="Times New Roman" w:hAnsi="Times New Roman" w:cs="Times New Roman"/>
          <w:sz w:val="23"/>
          <w:szCs w:val="23"/>
        </w:rPr>
        <w:t>, and total years of CPC participation (0 to 6).</w:t>
      </w:r>
    </w:p>
    <w:p w14:paraId="6397910E" w14:textId="6FB4ABF7" w:rsidR="00D57118" w:rsidRPr="00D57118" w:rsidRDefault="00D57118" w:rsidP="00C4034F">
      <w:pPr>
        <w:tabs>
          <w:tab w:val="left" w:pos="360"/>
        </w:tabs>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57118">
        <w:rPr>
          <w:rFonts w:ascii="Times New Roman" w:eastAsia="Times New Roman" w:hAnsi="Times New Roman" w:cs="Times New Roman"/>
          <w:sz w:val="23"/>
          <w:szCs w:val="23"/>
        </w:rPr>
        <w:t>Although participants grew up in high-poverty neighborhoods and experience persistent structural inequalities as Black adults, wide variability exists in well-being. This has increased over time as a function of educational attainment, occupations, family status, and life events with differential experiences of neighborhood poverty (26% currently reside in high-poverty neighborhoods) and discrimination (25% report no such experiences, 38% report 1-2, and 37% 3+ out of 10).</w:t>
      </w:r>
    </w:p>
    <w:p w14:paraId="287F5574" w14:textId="77777777" w:rsidR="00D57118" w:rsidRPr="00DD27B4" w:rsidRDefault="00D57118" w:rsidP="002D61DA">
      <w:pPr>
        <w:spacing w:after="0" w:line="240" w:lineRule="auto"/>
        <w:rPr>
          <w:rFonts w:ascii="Times New Roman" w:eastAsia="Times New Roman" w:hAnsi="Times New Roman" w:cs="Times New Roman"/>
          <w:sz w:val="23"/>
          <w:szCs w:val="23"/>
        </w:rPr>
      </w:pPr>
    </w:p>
    <w:p w14:paraId="1548BA0E" w14:textId="0FAE0AB7" w:rsidR="002D61DA" w:rsidRPr="00C8159E" w:rsidRDefault="00E4465F" w:rsidP="002D61DA">
      <w:pPr>
        <w:spacing w:after="0" w:line="240" w:lineRule="auto"/>
        <w:rPr>
          <w:rFonts w:ascii="Times New Roman" w:hAnsi="Times New Roman" w:cs="Times New Roman"/>
          <w:b/>
          <w:bCs/>
          <w:sz w:val="23"/>
          <w:szCs w:val="23"/>
        </w:rPr>
      </w:pPr>
      <w:r>
        <w:rPr>
          <w:rFonts w:ascii="Times New Roman" w:hAnsi="Times New Roman" w:cs="Times New Roman"/>
          <w:b/>
          <w:bCs/>
          <w:sz w:val="23"/>
          <w:szCs w:val="23"/>
        </w:rPr>
        <w:t xml:space="preserve">B. </w:t>
      </w:r>
      <w:r w:rsidR="00D52AA2">
        <w:rPr>
          <w:rFonts w:ascii="Times New Roman" w:hAnsi="Times New Roman" w:cs="Times New Roman"/>
          <w:b/>
          <w:bCs/>
          <w:sz w:val="23"/>
          <w:szCs w:val="23"/>
        </w:rPr>
        <w:t>Outcome</w:t>
      </w:r>
      <w:r w:rsidR="00A720AE">
        <w:rPr>
          <w:rFonts w:ascii="Times New Roman" w:hAnsi="Times New Roman" w:cs="Times New Roman"/>
          <w:b/>
          <w:bCs/>
          <w:sz w:val="23"/>
          <w:szCs w:val="23"/>
        </w:rPr>
        <w:t xml:space="preserve"> Measures</w:t>
      </w:r>
    </w:p>
    <w:p w14:paraId="3B1055EF" w14:textId="16EBCAB3" w:rsidR="003034BE" w:rsidRDefault="009E7EE6"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i/>
          <w:iCs/>
          <w:sz w:val="23"/>
          <w:szCs w:val="23"/>
        </w:rPr>
        <w:t>Framingham Risk Score</w:t>
      </w:r>
      <w:r>
        <w:rPr>
          <w:rFonts w:ascii="Times New Roman" w:hAnsi="Times New Roman" w:cs="Times New Roman"/>
          <w:sz w:val="23"/>
          <w:szCs w:val="23"/>
        </w:rPr>
        <w:t xml:space="preserve"> (FRS).</w:t>
      </w:r>
      <w:r w:rsidR="003034BE" w:rsidRPr="003034BE">
        <w:rPr>
          <w:rFonts w:ascii="Times New Roman" w:hAnsi="Times New Roman" w:cs="Times New Roman"/>
          <w:sz w:val="23"/>
          <w:szCs w:val="23"/>
        </w:rPr>
        <w:t xml:space="preserve"> </w:t>
      </w:r>
      <w:r w:rsidR="003034BE">
        <w:rPr>
          <w:rFonts w:ascii="Times New Roman" w:hAnsi="Times New Roman" w:cs="Times New Roman"/>
          <w:sz w:val="23"/>
          <w:szCs w:val="23"/>
        </w:rPr>
        <w:t xml:space="preserve">To calculate the 30-year “general” risk of having a major cardiovascular disease event or die from the disease, we used the Framingham Heart Study’s scoring calculator </w:t>
      </w:r>
      <w:r w:rsidR="00FA1BD4">
        <w:rPr>
          <w:rFonts w:ascii="Times New Roman" w:hAnsi="Times New Roman" w:cs="Times New Roman"/>
          <w:sz w:val="23"/>
          <w:szCs w:val="23"/>
        </w:rPr>
        <w:t>(</w:t>
      </w:r>
      <w:hyperlink r:id="rId7" w:history="1">
        <w:r w:rsidR="00FA1BD4" w:rsidRPr="00C920D3">
          <w:rPr>
            <w:rStyle w:val="Hyperlink"/>
            <w:rFonts w:ascii="Times New Roman" w:hAnsi="Times New Roman" w:cs="Times New Roman"/>
            <w:sz w:val="23"/>
            <w:szCs w:val="23"/>
          </w:rPr>
          <w:t>https://www.framinghamheartstudy.org/fhs-risk-functions/cardiovascular-disease-30-year-risk/</w:t>
        </w:r>
      </w:hyperlink>
      <w:r w:rsidR="00FA1BD4">
        <w:rPr>
          <w:rFonts w:ascii="Times New Roman" w:hAnsi="Times New Roman" w:cs="Times New Roman"/>
          <w:sz w:val="23"/>
          <w:szCs w:val="23"/>
        </w:rPr>
        <w:t xml:space="preserve">). </w:t>
      </w:r>
      <w:r w:rsidR="00FA1BD4" w:rsidRPr="00FA1BD4">
        <w:rPr>
          <w:rFonts w:ascii="Times New Roman" w:hAnsi="Times New Roman" w:cs="Times New Roman"/>
          <w:sz w:val="23"/>
          <w:szCs w:val="23"/>
          <w:vertAlign w:val="superscript"/>
        </w:rPr>
        <w:t>15</w:t>
      </w:r>
      <w:r w:rsidR="00FA1BD4">
        <w:rPr>
          <w:rFonts w:ascii="Times New Roman" w:hAnsi="Times New Roman" w:cs="Times New Roman"/>
          <w:sz w:val="23"/>
          <w:szCs w:val="23"/>
          <w:vertAlign w:val="superscript"/>
        </w:rPr>
        <w:t xml:space="preserve">-17 </w:t>
      </w:r>
      <w:r w:rsidR="00FA1BD4">
        <w:rPr>
          <w:rFonts w:ascii="Times New Roman" w:hAnsi="Times New Roman" w:cs="Times New Roman"/>
          <w:sz w:val="23"/>
          <w:szCs w:val="23"/>
        </w:rPr>
        <w:t>The</w:t>
      </w:r>
      <w:r w:rsidR="003034BE">
        <w:rPr>
          <w:rFonts w:ascii="Times New Roman" w:hAnsi="Times New Roman" w:cs="Times New Roman"/>
          <w:sz w:val="23"/>
          <w:szCs w:val="23"/>
        </w:rPr>
        <w:t xml:space="preserve"> prediction factors for the 1060 individuals with complete data from the midlife interview were:</w:t>
      </w:r>
    </w:p>
    <w:p w14:paraId="7CBD74A8"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1. Male sex (a risk factor)</w:t>
      </w:r>
    </w:p>
    <w:p w14:paraId="0B315223"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2. Age at the time of interview in years and months.</w:t>
      </w:r>
    </w:p>
    <w:p w14:paraId="7E28BAFD"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3. Systolic blood pressure (report of hypertension/treatment used if value not provided)</w:t>
      </w:r>
    </w:p>
    <w:p w14:paraId="7B9A778A"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4. Treated for hypertension</w:t>
      </w:r>
    </w:p>
    <w:p w14:paraId="6FE8DE3E"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5. Diabetes (reported in interview as being diagnosed)</w:t>
      </w:r>
    </w:p>
    <w:p w14:paraId="53A2ED21"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6. Smoker (with any frequency currently)</w:t>
      </w:r>
    </w:p>
    <w:p w14:paraId="2C6FE787" w14:textId="77777777" w:rsidR="003034BE" w:rsidRDefault="003034BE" w:rsidP="003034BE">
      <w:pPr>
        <w:spacing w:after="0" w:line="240" w:lineRule="auto"/>
        <w:rPr>
          <w:rFonts w:ascii="Times New Roman" w:hAnsi="Times New Roman" w:cs="Times New Roman"/>
          <w:sz w:val="23"/>
          <w:szCs w:val="23"/>
        </w:rPr>
      </w:pPr>
      <w:r>
        <w:rPr>
          <w:rFonts w:ascii="Times New Roman" w:hAnsi="Times New Roman" w:cs="Times New Roman"/>
          <w:sz w:val="23"/>
          <w:szCs w:val="23"/>
        </w:rPr>
        <w:tab/>
        <w:t>7. Body Mass Index (calculated from height and weight) in lieu of cholesterol levels.</w:t>
      </w:r>
    </w:p>
    <w:p w14:paraId="463258A7" w14:textId="20A7967F" w:rsidR="003034BE" w:rsidRDefault="003034BE"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t>The score is a probability value between 0 and 1.</w:t>
      </w:r>
      <w:r w:rsidR="007503A0">
        <w:rPr>
          <w:rFonts w:ascii="Times New Roman" w:hAnsi="Times New Roman" w:cs="Times New Roman"/>
          <w:sz w:val="23"/>
          <w:szCs w:val="23"/>
          <w:vertAlign w:val="superscript"/>
        </w:rPr>
        <w:t>12</w:t>
      </w:r>
      <w:r>
        <w:rPr>
          <w:rFonts w:ascii="Times New Roman" w:hAnsi="Times New Roman" w:cs="Times New Roman"/>
          <w:sz w:val="23"/>
          <w:szCs w:val="23"/>
        </w:rPr>
        <w:t xml:space="preserve"> Converted to percentages, the normal and optimal values for the ages of the study sample are 11.0% and 8.9%.</w:t>
      </w:r>
      <w:r w:rsidR="00812F1B">
        <w:rPr>
          <w:rFonts w:ascii="Times New Roman" w:hAnsi="Times New Roman" w:cs="Times New Roman"/>
          <w:sz w:val="23"/>
          <w:szCs w:val="23"/>
        </w:rPr>
        <w:t xml:space="preserve"> These scores correlated highly with in-person FRS exam scores (r = .85; N = 286) regardless of whether cholesterol or BMI was used. The in-person exam had a total sample of 301 participants and was completed at the Northwestern University Department of Preventive Medicine Clinic from 2017-2019 (Feinberg School of Medicine).</w:t>
      </w:r>
    </w:p>
    <w:p w14:paraId="4E2E17E2" w14:textId="770A1C4D" w:rsidR="002D61DA" w:rsidRDefault="002D61DA"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r>
      <w:r w:rsidR="00D52AA2" w:rsidRPr="009E7EE6">
        <w:rPr>
          <w:rFonts w:ascii="Times New Roman" w:hAnsi="Times New Roman" w:cs="Times New Roman"/>
          <w:i/>
          <w:iCs/>
          <w:sz w:val="23"/>
          <w:szCs w:val="23"/>
        </w:rPr>
        <w:t>Body Mass Index (BMI)</w:t>
      </w:r>
      <w:r w:rsidR="009E7EE6">
        <w:rPr>
          <w:rFonts w:ascii="Times New Roman" w:hAnsi="Times New Roman" w:cs="Times New Roman"/>
          <w:sz w:val="23"/>
          <w:szCs w:val="23"/>
        </w:rPr>
        <w:t xml:space="preserve">. </w:t>
      </w:r>
      <w:r w:rsidR="00D52AA2">
        <w:rPr>
          <w:rFonts w:ascii="Times New Roman" w:hAnsi="Times New Roman" w:cs="Times New Roman"/>
          <w:sz w:val="23"/>
          <w:szCs w:val="23"/>
        </w:rPr>
        <w:t xml:space="preserve">This general measure of body fat was assessed by </w:t>
      </w:r>
      <w:r w:rsidR="009E7EE6">
        <w:rPr>
          <w:rFonts w:ascii="Times New Roman" w:hAnsi="Times New Roman" w:cs="Times New Roman"/>
          <w:sz w:val="23"/>
          <w:szCs w:val="23"/>
        </w:rPr>
        <w:t xml:space="preserve">midlife </w:t>
      </w:r>
      <w:r w:rsidR="00D52AA2">
        <w:rPr>
          <w:rFonts w:ascii="Times New Roman" w:hAnsi="Times New Roman" w:cs="Times New Roman"/>
          <w:sz w:val="23"/>
          <w:szCs w:val="23"/>
        </w:rPr>
        <w:t>interview report</w:t>
      </w:r>
      <w:r w:rsidR="009E7EE6">
        <w:rPr>
          <w:rFonts w:ascii="Times New Roman" w:hAnsi="Times New Roman" w:cs="Times New Roman"/>
          <w:sz w:val="23"/>
          <w:szCs w:val="23"/>
        </w:rPr>
        <w:t xml:space="preserve"> </w:t>
      </w:r>
      <w:r w:rsidR="00D52AA2">
        <w:rPr>
          <w:rFonts w:ascii="Times New Roman" w:hAnsi="Times New Roman" w:cs="Times New Roman"/>
          <w:sz w:val="23"/>
          <w:szCs w:val="23"/>
        </w:rPr>
        <w:t>of height and weight</w:t>
      </w:r>
      <w:r w:rsidR="009E7EE6">
        <w:rPr>
          <w:rFonts w:ascii="Times New Roman" w:hAnsi="Times New Roman" w:cs="Times New Roman"/>
          <w:sz w:val="23"/>
          <w:szCs w:val="23"/>
        </w:rPr>
        <w:t xml:space="preserve"> (mean age = 34.9 years)</w:t>
      </w:r>
      <w:r w:rsidR="00D52AA2">
        <w:rPr>
          <w:rFonts w:ascii="Times New Roman" w:hAnsi="Times New Roman" w:cs="Times New Roman"/>
          <w:sz w:val="23"/>
          <w:szCs w:val="23"/>
        </w:rPr>
        <w:t xml:space="preserve">, with the index calculated as </w:t>
      </w:r>
      <w:r w:rsidRPr="00C8159E">
        <w:rPr>
          <w:rFonts w:ascii="Times New Roman" w:hAnsi="Times New Roman" w:cs="Times New Roman"/>
          <w:sz w:val="23"/>
          <w:szCs w:val="23"/>
        </w:rPr>
        <w:t>height (in meters) divided by weight (in kilograms) squared.</w:t>
      </w:r>
      <w:r w:rsidR="007503A0">
        <w:rPr>
          <w:rFonts w:ascii="Times New Roman" w:hAnsi="Times New Roman" w:cs="Times New Roman"/>
          <w:sz w:val="23"/>
          <w:szCs w:val="23"/>
          <w:vertAlign w:val="superscript"/>
        </w:rPr>
        <w:t>13</w:t>
      </w:r>
      <w:r w:rsidRPr="00C8159E">
        <w:rPr>
          <w:rFonts w:ascii="Times New Roman" w:hAnsi="Times New Roman" w:cs="Times New Roman"/>
          <w:sz w:val="23"/>
          <w:szCs w:val="23"/>
        </w:rPr>
        <w:t xml:space="preserve">  </w:t>
      </w:r>
      <w:r w:rsidR="00D52AA2">
        <w:rPr>
          <w:rFonts w:ascii="Times New Roman" w:hAnsi="Times New Roman" w:cs="Times New Roman"/>
          <w:sz w:val="23"/>
          <w:szCs w:val="23"/>
        </w:rPr>
        <w:t>The analysis sample was 1042 with missing/excluded cases due to survey and item nonresponse or pregnancy at the time of interview. Since 268 individual</w:t>
      </w:r>
      <w:r w:rsidR="009E7EE6">
        <w:rPr>
          <w:rFonts w:ascii="Times New Roman" w:hAnsi="Times New Roman" w:cs="Times New Roman"/>
          <w:sz w:val="23"/>
          <w:szCs w:val="23"/>
        </w:rPr>
        <w:t xml:space="preserve">s </w:t>
      </w:r>
      <w:r w:rsidR="00D52AA2">
        <w:rPr>
          <w:rFonts w:ascii="Times New Roman" w:hAnsi="Times New Roman" w:cs="Times New Roman"/>
          <w:sz w:val="23"/>
          <w:szCs w:val="23"/>
        </w:rPr>
        <w:t>from the survey participated in an in-person health exam from 2017-2019</w:t>
      </w:r>
      <w:r w:rsidR="009E7EE6">
        <w:rPr>
          <w:rFonts w:ascii="Times New Roman" w:hAnsi="Times New Roman" w:cs="Times New Roman"/>
          <w:sz w:val="23"/>
          <w:szCs w:val="23"/>
        </w:rPr>
        <w:t xml:space="preserve"> at the Northwestern University Department of Preventive Medicine Clinic in Chicago,</w:t>
      </w:r>
      <w:r w:rsidR="00D52AA2">
        <w:rPr>
          <w:rFonts w:ascii="Times New Roman" w:hAnsi="Times New Roman" w:cs="Times New Roman"/>
          <w:sz w:val="23"/>
          <w:szCs w:val="23"/>
        </w:rPr>
        <w:t xml:space="preserve"> the correlation between self</w:t>
      </w:r>
      <w:r w:rsidR="003034BE">
        <w:rPr>
          <w:rFonts w:ascii="Times New Roman" w:hAnsi="Times New Roman" w:cs="Times New Roman"/>
          <w:sz w:val="23"/>
          <w:szCs w:val="23"/>
        </w:rPr>
        <w:t>-</w:t>
      </w:r>
      <w:r w:rsidR="00D52AA2">
        <w:rPr>
          <w:rFonts w:ascii="Times New Roman" w:hAnsi="Times New Roman" w:cs="Times New Roman"/>
          <w:sz w:val="23"/>
          <w:szCs w:val="23"/>
        </w:rPr>
        <w:t>report and examination (based on 268 individuals)</w:t>
      </w:r>
      <w:r w:rsidR="009E7EE6">
        <w:rPr>
          <w:rFonts w:ascii="Times New Roman" w:hAnsi="Times New Roman" w:cs="Times New Roman"/>
          <w:sz w:val="23"/>
          <w:szCs w:val="23"/>
        </w:rPr>
        <w:t xml:space="preserve"> was. 0.85</w:t>
      </w:r>
      <w:r>
        <w:rPr>
          <w:rFonts w:ascii="Times New Roman" w:hAnsi="Times New Roman" w:cs="Times New Roman"/>
          <w:sz w:val="23"/>
          <w:szCs w:val="23"/>
        </w:rPr>
        <w:t xml:space="preserve">. </w:t>
      </w:r>
      <w:r w:rsidRPr="00C8159E">
        <w:rPr>
          <w:rFonts w:ascii="Times New Roman" w:hAnsi="Times New Roman" w:cs="Times New Roman"/>
          <w:sz w:val="23"/>
          <w:szCs w:val="23"/>
        </w:rPr>
        <w:t xml:space="preserve">Self-reported BMI </w:t>
      </w:r>
      <w:r w:rsidR="009E7EE6">
        <w:rPr>
          <w:rFonts w:ascii="Times New Roman" w:hAnsi="Times New Roman" w:cs="Times New Roman"/>
          <w:sz w:val="23"/>
          <w:szCs w:val="23"/>
        </w:rPr>
        <w:t>also was</w:t>
      </w:r>
      <w:r w:rsidRPr="00C8159E">
        <w:rPr>
          <w:rFonts w:ascii="Times New Roman" w:hAnsi="Times New Roman" w:cs="Times New Roman"/>
          <w:sz w:val="23"/>
          <w:szCs w:val="23"/>
        </w:rPr>
        <w:t xml:space="preserve"> highly correlated with the in-person body composition score (r = .65) and waist circumference (r =  .78). The correlation between self-reported BMI and the in-person exam was similar for females and males (0.81 and 0.90) and for those in the bottom and top half of the self-report distribution (0.70 and 0.66). </w:t>
      </w:r>
    </w:p>
    <w:p w14:paraId="16EAD5E6" w14:textId="2E5A7F9D" w:rsidR="00812F1B" w:rsidRDefault="00812F1B"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i/>
          <w:iCs/>
          <w:sz w:val="23"/>
          <w:szCs w:val="23"/>
        </w:rPr>
        <w:tab/>
      </w:r>
      <w:r w:rsidRPr="000F7C93">
        <w:rPr>
          <w:rFonts w:ascii="Times New Roman" w:hAnsi="Times New Roman" w:cs="Times New Roman"/>
          <w:i/>
          <w:iCs/>
          <w:sz w:val="23"/>
          <w:szCs w:val="23"/>
        </w:rPr>
        <w:t xml:space="preserve">Years of education and earned </w:t>
      </w:r>
      <w:r w:rsidR="00387C4E">
        <w:rPr>
          <w:rFonts w:ascii="Times New Roman" w:hAnsi="Times New Roman" w:cs="Times New Roman"/>
          <w:i/>
          <w:iCs/>
          <w:sz w:val="23"/>
          <w:szCs w:val="23"/>
        </w:rPr>
        <w:t>Associate’s degree or higher</w:t>
      </w:r>
      <w:r>
        <w:rPr>
          <w:rFonts w:ascii="Times New Roman" w:hAnsi="Times New Roman" w:cs="Times New Roman"/>
          <w:sz w:val="23"/>
          <w:szCs w:val="23"/>
        </w:rPr>
        <w:t>. Based on multiple sources of data collected since high school, educational attainment by age 34 (mean age of 34.1 years by May 31, 2014) was analyzed.</w:t>
      </w:r>
      <w:r w:rsidR="007503A0">
        <w:rPr>
          <w:rFonts w:ascii="Times New Roman" w:hAnsi="Times New Roman" w:cs="Times New Roman"/>
          <w:sz w:val="23"/>
          <w:szCs w:val="23"/>
          <w:vertAlign w:val="superscript"/>
        </w:rPr>
        <w:t>3</w:t>
      </w:r>
      <w:r>
        <w:rPr>
          <w:rFonts w:ascii="Times New Roman" w:hAnsi="Times New Roman" w:cs="Times New Roman"/>
          <w:sz w:val="23"/>
          <w:szCs w:val="23"/>
        </w:rPr>
        <w:t xml:space="preserve"> As the leading individual-level social determinant of health, years of completed education ranged from 7 to 22. The value 12 denotes  a high school diploma or equivalent credential; and 14, 16, 18, and 20 Associate’s through Doctorate degree (</w:t>
      </w:r>
      <w:proofErr w:type="spellStart"/>
      <w:r>
        <w:rPr>
          <w:rFonts w:ascii="Times New Roman" w:hAnsi="Times New Roman" w:cs="Times New Roman"/>
          <w:sz w:val="23"/>
          <w:szCs w:val="23"/>
        </w:rPr>
        <w:t>Postdoctorate</w:t>
      </w:r>
      <w:proofErr w:type="spellEnd"/>
      <w:r>
        <w:rPr>
          <w:rFonts w:ascii="Times New Roman" w:hAnsi="Times New Roman" w:cs="Times New Roman"/>
          <w:sz w:val="23"/>
          <w:szCs w:val="23"/>
        </w:rPr>
        <w:t xml:space="preserve"> is possible). Values of 14 and above measured </w:t>
      </w:r>
      <w:r w:rsidR="00387C4E">
        <w:rPr>
          <w:rFonts w:ascii="Times New Roman" w:hAnsi="Times New Roman" w:cs="Times New Roman"/>
          <w:sz w:val="23"/>
          <w:szCs w:val="23"/>
        </w:rPr>
        <w:t>completion of an</w:t>
      </w:r>
      <w:r>
        <w:rPr>
          <w:rFonts w:ascii="Times New Roman" w:hAnsi="Times New Roman" w:cs="Times New Roman"/>
          <w:sz w:val="23"/>
          <w:szCs w:val="23"/>
        </w:rPr>
        <w:t xml:space="preserve"> Associate’s</w:t>
      </w:r>
      <w:r w:rsidR="00387C4E">
        <w:rPr>
          <w:rFonts w:ascii="Times New Roman" w:hAnsi="Times New Roman" w:cs="Times New Roman"/>
          <w:sz w:val="23"/>
          <w:szCs w:val="23"/>
        </w:rPr>
        <w:t xml:space="preserve"> degree or higher</w:t>
      </w:r>
      <w:r>
        <w:rPr>
          <w:rFonts w:ascii="Times New Roman" w:hAnsi="Times New Roman" w:cs="Times New Roman"/>
          <w:sz w:val="23"/>
          <w:szCs w:val="23"/>
        </w:rPr>
        <w:t xml:space="preserve">. </w:t>
      </w:r>
      <w:r w:rsidR="00955C45">
        <w:rPr>
          <w:rFonts w:ascii="Times New Roman" w:hAnsi="Times New Roman" w:cs="Times New Roman"/>
          <w:sz w:val="23"/>
          <w:szCs w:val="23"/>
        </w:rPr>
        <w:t>Postsecondary d</w:t>
      </w:r>
      <w:r w:rsidR="00387C4E">
        <w:rPr>
          <w:rFonts w:ascii="Times New Roman" w:hAnsi="Times New Roman" w:cs="Times New Roman"/>
          <w:sz w:val="23"/>
          <w:szCs w:val="23"/>
        </w:rPr>
        <w:t>egree completion is a key requirement for</w:t>
      </w:r>
      <w:r w:rsidR="00955C45">
        <w:rPr>
          <w:rFonts w:ascii="Times New Roman" w:hAnsi="Times New Roman" w:cs="Times New Roman"/>
          <w:sz w:val="23"/>
          <w:szCs w:val="23"/>
        </w:rPr>
        <w:t xml:space="preserve"> most well-paying jobs.</w:t>
      </w:r>
    </w:p>
    <w:p w14:paraId="4A1CA2CF" w14:textId="3B8E291F" w:rsidR="00812F1B" w:rsidRDefault="00812F1B"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t xml:space="preserve">The primary source of data was the National Student Clearinghouse supplemented with the following: </w:t>
      </w:r>
      <w:r w:rsidRPr="00BC7587">
        <w:rPr>
          <w:rFonts w:ascii="Times New Roman" w:hAnsi="Times New Roman" w:cs="Times New Roman"/>
          <w:sz w:val="23"/>
          <w:szCs w:val="23"/>
        </w:rPr>
        <w:t>Chicago Public School</w:t>
      </w:r>
      <w:r>
        <w:rPr>
          <w:rFonts w:ascii="Times New Roman" w:hAnsi="Times New Roman" w:cs="Times New Roman"/>
          <w:sz w:val="23"/>
          <w:szCs w:val="23"/>
        </w:rPr>
        <w:t>s,</w:t>
      </w:r>
      <w:r w:rsidRPr="00BC7587">
        <w:rPr>
          <w:rFonts w:ascii="Times New Roman" w:hAnsi="Times New Roman" w:cs="Times New Roman"/>
          <w:sz w:val="23"/>
          <w:szCs w:val="23"/>
        </w:rPr>
        <w:t xml:space="preserve"> Illinois Department of Child and Family Services</w:t>
      </w:r>
      <w:r>
        <w:rPr>
          <w:rFonts w:ascii="Times New Roman" w:hAnsi="Times New Roman" w:cs="Times New Roman"/>
          <w:sz w:val="23"/>
          <w:szCs w:val="23"/>
        </w:rPr>
        <w:t>,</w:t>
      </w:r>
      <w:r w:rsidRPr="00BC7587">
        <w:rPr>
          <w:rFonts w:ascii="Times New Roman" w:hAnsi="Times New Roman" w:cs="Times New Roman"/>
          <w:sz w:val="23"/>
          <w:szCs w:val="23"/>
        </w:rPr>
        <w:t xml:space="preserve"> Illinois Shared Enrollment and Graduation Consortium</w:t>
      </w:r>
      <w:r>
        <w:rPr>
          <w:rFonts w:ascii="Times New Roman" w:hAnsi="Times New Roman" w:cs="Times New Roman"/>
          <w:sz w:val="23"/>
          <w:szCs w:val="23"/>
        </w:rPr>
        <w:t>, C</w:t>
      </w:r>
      <w:r w:rsidRPr="00BC7587">
        <w:rPr>
          <w:rFonts w:ascii="Times New Roman" w:hAnsi="Times New Roman" w:cs="Times New Roman"/>
          <w:sz w:val="23"/>
          <w:szCs w:val="23"/>
        </w:rPr>
        <w:t>ity</w:t>
      </w:r>
      <w:r>
        <w:rPr>
          <w:rFonts w:ascii="Times New Roman" w:hAnsi="Times New Roman" w:cs="Times New Roman"/>
          <w:sz w:val="23"/>
          <w:szCs w:val="23"/>
        </w:rPr>
        <w:t xml:space="preserve"> C</w:t>
      </w:r>
      <w:r w:rsidRPr="00BC7587">
        <w:rPr>
          <w:rFonts w:ascii="Times New Roman" w:hAnsi="Times New Roman" w:cs="Times New Roman"/>
          <w:sz w:val="23"/>
          <w:szCs w:val="23"/>
        </w:rPr>
        <w:t xml:space="preserve">olleges of Chicago, Illinois GED </w:t>
      </w:r>
      <w:r>
        <w:rPr>
          <w:rFonts w:ascii="Times New Roman" w:hAnsi="Times New Roman" w:cs="Times New Roman"/>
          <w:sz w:val="23"/>
          <w:szCs w:val="23"/>
        </w:rPr>
        <w:t>T</w:t>
      </w:r>
      <w:r w:rsidRPr="00BC7587">
        <w:rPr>
          <w:rFonts w:ascii="Times New Roman" w:hAnsi="Times New Roman" w:cs="Times New Roman"/>
          <w:sz w:val="23"/>
          <w:szCs w:val="23"/>
        </w:rPr>
        <w:t xml:space="preserve">esting </w:t>
      </w:r>
      <w:r>
        <w:rPr>
          <w:rFonts w:ascii="Times New Roman" w:hAnsi="Times New Roman" w:cs="Times New Roman"/>
          <w:sz w:val="23"/>
          <w:szCs w:val="23"/>
        </w:rPr>
        <w:t xml:space="preserve">Program, and adult surveys/interview at ages 22-24 and ages 32-24 (midlife interview). For the analysis, 1,073 participants were included who also completed the midlife interview, with 324 cases excluded. </w:t>
      </w:r>
    </w:p>
    <w:p w14:paraId="57CC6274" w14:textId="56E9CDF6" w:rsidR="00E336BA" w:rsidRDefault="00E336BA" w:rsidP="00812F1B">
      <w:pPr>
        <w:spacing w:after="0" w:line="240" w:lineRule="auto"/>
        <w:rPr>
          <w:rFonts w:ascii="Times New Roman" w:hAnsi="Times New Roman" w:cs="Times New Roman"/>
          <w:sz w:val="23"/>
          <w:szCs w:val="23"/>
        </w:rPr>
      </w:pPr>
    </w:p>
    <w:p w14:paraId="628F3DB1" w14:textId="1042C65A" w:rsidR="00E336BA" w:rsidRDefault="00E4465F" w:rsidP="00812F1B">
      <w:pPr>
        <w:spacing w:after="0" w:line="240" w:lineRule="auto"/>
        <w:rPr>
          <w:rFonts w:ascii="Times New Roman" w:hAnsi="Times New Roman" w:cs="Times New Roman"/>
          <w:sz w:val="23"/>
          <w:szCs w:val="23"/>
        </w:rPr>
      </w:pPr>
      <w:r>
        <w:rPr>
          <w:rFonts w:ascii="Times New Roman" w:hAnsi="Times New Roman" w:cs="Times New Roman"/>
          <w:b/>
          <w:bCs/>
          <w:sz w:val="23"/>
          <w:szCs w:val="23"/>
        </w:rPr>
        <w:lastRenderedPageBreak/>
        <w:t xml:space="preserve">C. </w:t>
      </w:r>
      <w:r w:rsidR="00E336BA">
        <w:rPr>
          <w:rFonts w:ascii="Times New Roman" w:hAnsi="Times New Roman" w:cs="Times New Roman"/>
          <w:b/>
          <w:bCs/>
          <w:sz w:val="23"/>
          <w:szCs w:val="23"/>
        </w:rPr>
        <w:t>Socio-Structural Moderators/Predictors</w:t>
      </w:r>
    </w:p>
    <w:p w14:paraId="4E9805E1" w14:textId="4A1A0C9E" w:rsidR="008A7D7C" w:rsidRDefault="008A7D7C"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t>Two indicators of the social and community context</w:t>
      </w:r>
      <w:r w:rsidR="003A4454">
        <w:rPr>
          <w:rFonts w:ascii="Times New Roman" w:hAnsi="Times New Roman" w:cs="Times New Roman"/>
          <w:sz w:val="23"/>
          <w:szCs w:val="23"/>
        </w:rPr>
        <w:t>--</w:t>
      </w:r>
      <w:r>
        <w:rPr>
          <w:rFonts w:ascii="Times New Roman" w:hAnsi="Times New Roman" w:cs="Times New Roman"/>
          <w:sz w:val="23"/>
          <w:szCs w:val="23"/>
        </w:rPr>
        <w:t>one of five components of social determinants of health in Healthy People 2030</w:t>
      </w:r>
      <w:r w:rsidR="001F712E">
        <w:rPr>
          <w:rFonts w:ascii="Times New Roman" w:hAnsi="Times New Roman" w:cs="Times New Roman"/>
          <w:sz w:val="23"/>
          <w:szCs w:val="23"/>
          <w:vertAlign w:val="superscript"/>
        </w:rPr>
        <w:t>1</w:t>
      </w:r>
      <w:r w:rsidR="007503A0">
        <w:rPr>
          <w:rFonts w:ascii="Times New Roman" w:hAnsi="Times New Roman" w:cs="Times New Roman"/>
          <w:sz w:val="23"/>
          <w:szCs w:val="23"/>
          <w:vertAlign w:val="superscript"/>
        </w:rPr>
        <w:t>8</w:t>
      </w:r>
      <w:r w:rsidR="003A4454">
        <w:rPr>
          <w:rFonts w:ascii="Times New Roman" w:hAnsi="Times New Roman" w:cs="Times New Roman"/>
          <w:sz w:val="23"/>
          <w:szCs w:val="23"/>
        </w:rPr>
        <w:t>--</w:t>
      </w:r>
      <w:r>
        <w:rPr>
          <w:rFonts w:ascii="Times New Roman" w:hAnsi="Times New Roman" w:cs="Times New Roman"/>
          <w:sz w:val="23"/>
          <w:szCs w:val="23"/>
        </w:rPr>
        <w:t>were assessed</w:t>
      </w:r>
      <w:r w:rsidR="00555ADA">
        <w:rPr>
          <w:rFonts w:ascii="Times New Roman" w:hAnsi="Times New Roman" w:cs="Times New Roman"/>
          <w:sz w:val="23"/>
          <w:szCs w:val="23"/>
        </w:rPr>
        <w:t xml:space="preserve"> in the midlife survey</w:t>
      </w:r>
      <w:r>
        <w:rPr>
          <w:rFonts w:ascii="Times New Roman" w:hAnsi="Times New Roman" w:cs="Times New Roman"/>
          <w:sz w:val="23"/>
          <w:szCs w:val="23"/>
        </w:rPr>
        <w:t xml:space="preserve"> as follows. </w:t>
      </w:r>
    </w:p>
    <w:p w14:paraId="67C09F8C" w14:textId="44A50A4D" w:rsidR="00B007B6" w:rsidRDefault="003A59EF"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i/>
          <w:iCs/>
          <w:sz w:val="23"/>
          <w:szCs w:val="23"/>
        </w:rPr>
        <w:tab/>
      </w:r>
      <w:r w:rsidR="00B007B6">
        <w:rPr>
          <w:rFonts w:ascii="Times New Roman" w:hAnsi="Times New Roman" w:cs="Times New Roman"/>
          <w:i/>
          <w:iCs/>
          <w:sz w:val="23"/>
          <w:szCs w:val="23"/>
        </w:rPr>
        <w:t>Neighborhood poverty concentration</w:t>
      </w:r>
      <w:r w:rsidR="00B007B6">
        <w:rPr>
          <w:rFonts w:ascii="Times New Roman" w:hAnsi="Times New Roman" w:cs="Times New Roman"/>
          <w:sz w:val="23"/>
          <w:szCs w:val="23"/>
        </w:rPr>
        <w:t xml:space="preserve">. Based on the 2010 Census, the percentage of residents who were below the federal poverty level in the neighborhood as defined by participants’ residential zip code at the time of the survey was assessed. Data were obtained from </w:t>
      </w:r>
      <w:proofErr w:type="spellStart"/>
      <w:r>
        <w:rPr>
          <w:rFonts w:ascii="Times New Roman" w:hAnsi="Times New Roman" w:cs="Times New Roman"/>
          <w:sz w:val="23"/>
          <w:szCs w:val="23"/>
        </w:rPr>
        <w:t>ZIP</w:t>
      </w:r>
      <w:r w:rsidR="00B007B6">
        <w:rPr>
          <w:rFonts w:ascii="Times New Roman" w:hAnsi="Times New Roman" w:cs="Times New Roman"/>
          <w:sz w:val="23"/>
          <w:szCs w:val="23"/>
        </w:rPr>
        <w:t>atlas</w:t>
      </w:r>
      <w:proofErr w:type="spellEnd"/>
      <w:r>
        <w:rPr>
          <w:rFonts w:ascii="Times New Roman" w:hAnsi="Times New Roman" w:cs="Times New Roman"/>
          <w:sz w:val="23"/>
          <w:szCs w:val="23"/>
        </w:rPr>
        <w:t xml:space="preserve"> (“Percentage of population below poverty level in the United States by zip code; </w:t>
      </w:r>
      <w:r w:rsidRPr="003A59EF">
        <w:rPr>
          <w:rFonts w:ascii="Times New Roman" w:hAnsi="Times New Roman" w:cs="Times New Roman"/>
          <w:sz w:val="23"/>
          <w:szCs w:val="23"/>
        </w:rPr>
        <w:t>http://zipatlas.com/us/city-comparison/population-below-poverty-level.htm</w:t>
      </w:r>
      <w:r>
        <w:rPr>
          <w:rFonts w:ascii="Times New Roman" w:hAnsi="Times New Roman" w:cs="Times New Roman"/>
          <w:sz w:val="23"/>
          <w:szCs w:val="23"/>
        </w:rPr>
        <w:t>)</w:t>
      </w:r>
      <w:r w:rsidR="00B007B6">
        <w:rPr>
          <w:rFonts w:ascii="Times New Roman" w:hAnsi="Times New Roman" w:cs="Times New Roman"/>
          <w:sz w:val="23"/>
          <w:szCs w:val="23"/>
        </w:rPr>
        <w:t xml:space="preserve">. The values for 20 sample members with missing address information were imputed </w:t>
      </w:r>
      <w:r w:rsidR="005D3AB2">
        <w:rPr>
          <w:rFonts w:ascii="Times New Roman" w:hAnsi="Times New Roman" w:cs="Times New Roman"/>
          <w:sz w:val="23"/>
          <w:szCs w:val="23"/>
        </w:rPr>
        <w:t xml:space="preserve">via the expectation-maximization algorithm </w:t>
      </w:r>
      <w:r w:rsidR="00B007B6">
        <w:rPr>
          <w:rFonts w:ascii="Times New Roman" w:hAnsi="Times New Roman" w:cs="Times New Roman"/>
          <w:sz w:val="23"/>
          <w:szCs w:val="23"/>
        </w:rPr>
        <w:t>using a comprehensive set of family and individual characteristics growing up.</w:t>
      </w:r>
    </w:p>
    <w:p w14:paraId="1C706087" w14:textId="4B805D8F" w:rsidR="00B007B6" w:rsidRDefault="00B007B6"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i/>
          <w:iCs/>
          <w:sz w:val="23"/>
          <w:szCs w:val="23"/>
        </w:rPr>
        <w:t>History of discrimination.</w:t>
      </w:r>
      <w:r>
        <w:rPr>
          <w:rFonts w:ascii="Times New Roman" w:hAnsi="Times New Roman" w:cs="Times New Roman"/>
          <w:sz w:val="23"/>
          <w:szCs w:val="23"/>
        </w:rPr>
        <w:t xml:space="preserve"> In  the midlife survey of participant experiences in education, employment, health, family, and community contexts growing up, Question 34 was as follows:</w:t>
      </w:r>
      <w:r w:rsidRPr="00B95F39">
        <w:rPr>
          <w:rFonts w:ascii="Times New Roman" w:hAnsi="Times New Roman" w:cs="Times New Roman"/>
          <w:bCs/>
          <w:sz w:val="23"/>
          <w:szCs w:val="23"/>
        </w:rPr>
        <w:t xml:space="preserve">  </w:t>
      </w:r>
      <w:r>
        <w:rPr>
          <w:rFonts w:ascii="Times New Roman" w:hAnsi="Times New Roman" w:cs="Times New Roman"/>
          <w:bCs/>
          <w:sz w:val="23"/>
          <w:szCs w:val="23"/>
        </w:rPr>
        <w:t>“</w:t>
      </w:r>
      <w:r w:rsidRPr="00B95F39">
        <w:rPr>
          <w:rFonts w:ascii="Times New Roman" w:hAnsi="Times New Roman" w:cs="Times New Roman"/>
          <w:bCs/>
          <w:sz w:val="23"/>
          <w:szCs w:val="23"/>
        </w:rPr>
        <w:t>Have you experienced any of the following forms of discrimination in your life because of your race, ethnicity, gender, age, religion, physical appearance, or other characteristics?</w:t>
      </w:r>
      <w:r>
        <w:rPr>
          <w:rFonts w:ascii="Times New Roman" w:hAnsi="Times New Roman" w:cs="Times New Roman"/>
          <w:bCs/>
          <w:sz w:val="23"/>
          <w:szCs w:val="23"/>
        </w:rPr>
        <w:t>” The “yes” responses to the 10 items shown below were summed to form the life event discrimination index.</w:t>
      </w:r>
    </w:p>
    <w:tbl>
      <w:tblPr>
        <w:tblpPr w:leftFromText="180" w:rightFromText="180" w:vertAnchor="text" w:horzAnchor="margin" w:tblpX="-136" w:tblpY="507"/>
        <w:tblW w:w="10530" w:type="dxa"/>
        <w:tblBorders>
          <w:top w:val="single" w:sz="18" w:space="0" w:color="auto"/>
          <w:left w:val="single" w:sz="18" w:space="0" w:color="auto"/>
          <w:bottom w:val="single" w:sz="18" w:space="0" w:color="auto"/>
          <w:right w:val="single" w:sz="18" w:space="0" w:color="auto"/>
          <w:insideH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86"/>
        <w:gridCol w:w="5850"/>
        <w:gridCol w:w="900"/>
        <w:gridCol w:w="1087"/>
        <w:gridCol w:w="1087"/>
        <w:gridCol w:w="1020"/>
      </w:tblGrid>
      <w:tr w:rsidR="002D4F58" w:rsidRPr="00B95F39" w14:paraId="080EA407" w14:textId="77777777" w:rsidTr="007D01E9">
        <w:tc>
          <w:tcPr>
            <w:tcW w:w="6436" w:type="dxa"/>
            <w:gridSpan w:val="2"/>
            <w:tcBorders>
              <w:top w:val="single" w:sz="18" w:space="0" w:color="auto"/>
              <w:bottom w:val="single" w:sz="18" w:space="0" w:color="auto"/>
              <w:right w:val="single" w:sz="18" w:space="0" w:color="auto"/>
            </w:tcBorders>
          </w:tcPr>
          <w:p w14:paraId="21B9847B" w14:textId="77777777" w:rsidR="002D4F58" w:rsidRPr="00B95F39" w:rsidRDefault="002D4F58" w:rsidP="007D01E9">
            <w:pPr>
              <w:spacing w:after="0" w:line="240" w:lineRule="auto"/>
              <w:rPr>
                <w:rFonts w:ascii="Times New Roman" w:hAnsi="Times New Roman" w:cs="Times New Roman"/>
                <w:i/>
                <w:sz w:val="23"/>
                <w:szCs w:val="23"/>
              </w:rPr>
            </w:pPr>
            <w:r w:rsidRPr="00B95F39">
              <w:rPr>
                <w:rFonts w:ascii="Times New Roman" w:hAnsi="Times New Roman" w:cs="Times New Roman"/>
                <w:i/>
                <w:sz w:val="23"/>
                <w:szCs w:val="23"/>
              </w:rPr>
              <w:t>(Please circle one BEST  answer for each item); Percentage values</w:t>
            </w:r>
          </w:p>
          <w:p w14:paraId="651C1FE6" w14:textId="1B88BD45"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i/>
                <w:sz w:val="23"/>
                <w:szCs w:val="23"/>
              </w:rPr>
              <w:t>are reported for total interview/survey sample of 1124</w:t>
            </w:r>
            <w:r w:rsidR="00893470">
              <w:rPr>
                <w:rFonts w:ascii="Times New Roman" w:hAnsi="Times New Roman" w:cs="Times New Roman"/>
                <w:i/>
                <w:sz w:val="23"/>
                <w:szCs w:val="23"/>
              </w:rPr>
              <w:t xml:space="preserve"> (Ns for Yes/No, Other=1104, 20)</w:t>
            </w:r>
          </w:p>
        </w:tc>
        <w:tc>
          <w:tcPr>
            <w:tcW w:w="900" w:type="dxa"/>
            <w:tcBorders>
              <w:top w:val="single" w:sz="18" w:space="0" w:color="auto"/>
              <w:left w:val="single" w:sz="18" w:space="0" w:color="auto"/>
              <w:bottom w:val="single" w:sz="18" w:space="0" w:color="auto"/>
            </w:tcBorders>
            <w:vAlign w:val="center"/>
          </w:tcPr>
          <w:p w14:paraId="0300A3C2" w14:textId="1747E7AF" w:rsidR="002D4F58" w:rsidRPr="00B95F39" w:rsidRDefault="002C32B4" w:rsidP="007D01E9">
            <w:pPr>
              <w:spacing w:after="0" w:line="240" w:lineRule="auto"/>
              <w:rPr>
                <w:rFonts w:ascii="Times New Roman" w:hAnsi="Times New Roman" w:cs="Times New Roman"/>
                <w:sz w:val="23"/>
                <w:szCs w:val="23"/>
              </w:rPr>
            </w:pPr>
            <w:r>
              <w:rPr>
                <w:rFonts w:ascii="Times New Roman" w:hAnsi="Times New Roman" w:cs="Times New Roman"/>
                <w:sz w:val="23"/>
                <w:szCs w:val="23"/>
              </w:rPr>
              <w:t>Yes (%)</w:t>
            </w:r>
          </w:p>
        </w:tc>
        <w:tc>
          <w:tcPr>
            <w:tcW w:w="1087" w:type="dxa"/>
            <w:tcBorders>
              <w:top w:val="single" w:sz="18" w:space="0" w:color="auto"/>
              <w:bottom w:val="single" w:sz="18" w:space="0" w:color="auto"/>
            </w:tcBorders>
            <w:vAlign w:val="center"/>
          </w:tcPr>
          <w:p w14:paraId="6FA1F737" w14:textId="77777777" w:rsidR="002C32B4"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No</w:t>
            </w:r>
            <w:r w:rsidR="002C32B4">
              <w:rPr>
                <w:rFonts w:ascii="Times New Roman" w:hAnsi="Times New Roman" w:cs="Times New Roman"/>
                <w:sz w:val="23"/>
                <w:szCs w:val="23"/>
              </w:rPr>
              <w:t xml:space="preserve"> </w:t>
            </w:r>
          </w:p>
          <w:p w14:paraId="4A96FDDA" w14:textId="798EA020" w:rsidR="002D4F58" w:rsidRPr="00B95F39" w:rsidRDefault="002C32B4" w:rsidP="007D01E9">
            <w:pPr>
              <w:spacing w:after="0" w:line="240" w:lineRule="auto"/>
              <w:rPr>
                <w:rFonts w:ascii="Times New Roman" w:hAnsi="Times New Roman" w:cs="Times New Roman"/>
                <w:sz w:val="23"/>
                <w:szCs w:val="23"/>
              </w:rPr>
            </w:pPr>
            <w:r>
              <w:rPr>
                <w:rFonts w:ascii="Times New Roman" w:hAnsi="Times New Roman" w:cs="Times New Roman"/>
                <w:sz w:val="23"/>
                <w:szCs w:val="23"/>
              </w:rPr>
              <w:t>(%)</w:t>
            </w:r>
          </w:p>
        </w:tc>
        <w:tc>
          <w:tcPr>
            <w:tcW w:w="1087" w:type="dxa"/>
            <w:tcBorders>
              <w:top w:val="single" w:sz="18" w:space="0" w:color="auto"/>
              <w:bottom w:val="single" w:sz="18" w:space="0" w:color="auto"/>
            </w:tcBorders>
          </w:tcPr>
          <w:p w14:paraId="180FF9A8" w14:textId="77777777" w:rsidR="002C32B4" w:rsidRDefault="002C32B4" w:rsidP="007D01E9">
            <w:pPr>
              <w:spacing w:after="0" w:line="240" w:lineRule="auto"/>
              <w:rPr>
                <w:rFonts w:ascii="Times New Roman" w:hAnsi="Times New Roman" w:cs="Times New Roman"/>
                <w:sz w:val="23"/>
                <w:szCs w:val="23"/>
              </w:rPr>
            </w:pPr>
          </w:p>
          <w:p w14:paraId="1D956CC4" w14:textId="3395E21B"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Refused/</w:t>
            </w:r>
          </w:p>
          <w:p w14:paraId="087A5A2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Unsure</w:t>
            </w:r>
          </w:p>
        </w:tc>
        <w:tc>
          <w:tcPr>
            <w:tcW w:w="1020" w:type="dxa"/>
            <w:tcBorders>
              <w:top w:val="single" w:sz="18" w:space="0" w:color="auto"/>
              <w:bottom w:val="single" w:sz="18" w:space="0" w:color="auto"/>
            </w:tcBorders>
          </w:tcPr>
          <w:p w14:paraId="58E10718" w14:textId="77777777" w:rsidR="002D4F58" w:rsidRPr="00B95F39" w:rsidRDefault="002D4F58" w:rsidP="007D01E9">
            <w:pPr>
              <w:spacing w:after="0" w:line="240" w:lineRule="auto"/>
              <w:rPr>
                <w:rFonts w:ascii="Times New Roman" w:hAnsi="Times New Roman" w:cs="Times New Roman"/>
                <w:sz w:val="23"/>
                <w:szCs w:val="23"/>
              </w:rPr>
            </w:pPr>
          </w:p>
          <w:p w14:paraId="0EFABCF6" w14:textId="77777777" w:rsidR="002C32B4" w:rsidRDefault="002C32B4" w:rsidP="007D01E9">
            <w:pPr>
              <w:spacing w:after="0" w:line="240" w:lineRule="auto"/>
              <w:rPr>
                <w:rFonts w:ascii="Times New Roman" w:hAnsi="Times New Roman" w:cs="Times New Roman"/>
                <w:sz w:val="23"/>
                <w:szCs w:val="23"/>
              </w:rPr>
            </w:pPr>
          </w:p>
          <w:p w14:paraId="4BDA12C3" w14:textId="37E95F53"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Missing</w:t>
            </w:r>
          </w:p>
        </w:tc>
      </w:tr>
      <w:tr w:rsidR="002D4F58" w:rsidRPr="00B95F39" w14:paraId="6B5BF696" w14:textId="77777777" w:rsidTr="007D01E9">
        <w:tc>
          <w:tcPr>
            <w:tcW w:w="586" w:type="dxa"/>
            <w:tcBorders>
              <w:top w:val="single" w:sz="18" w:space="0" w:color="auto"/>
            </w:tcBorders>
            <w:vAlign w:val="center"/>
          </w:tcPr>
          <w:p w14:paraId="34B74436"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a.</w:t>
            </w:r>
          </w:p>
        </w:tc>
        <w:tc>
          <w:tcPr>
            <w:tcW w:w="5850" w:type="dxa"/>
            <w:tcBorders>
              <w:top w:val="single" w:sz="18" w:space="0" w:color="auto"/>
              <w:right w:val="single" w:sz="18" w:space="0" w:color="auto"/>
            </w:tcBorders>
          </w:tcPr>
          <w:p w14:paraId="75C090C6" w14:textId="08035511"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Denied a job offer</w:t>
            </w:r>
          </w:p>
        </w:tc>
        <w:tc>
          <w:tcPr>
            <w:tcW w:w="900" w:type="dxa"/>
            <w:tcBorders>
              <w:top w:val="single" w:sz="18" w:space="0" w:color="auto"/>
              <w:left w:val="single" w:sz="18" w:space="0" w:color="auto"/>
              <w:bottom w:val="single" w:sz="4" w:space="0" w:color="auto"/>
            </w:tcBorders>
            <w:vAlign w:val="center"/>
          </w:tcPr>
          <w:p w14:paraId="777EEEDE"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36.7</w:t>
            </w:r>
          </w:p>
        </w:tc>
        <w:tc>
          <w:tcPr>
            <w:tcW w:w="1087" w:type="dxa"/>
            <w:tcBorders>
              <w:top w:val="single" w:sz="18" w:space="0" w:color="auto"/>
              <w:bottom w:val="single" w:sz="4" w:space="0" w:color="auto"/>
            </w:tcBorders>
            <w:vAlign w:val="center"/>
          </w:tcPr>
          <w:p w14:paraId="5B9EAD10"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61.6</w:t>
            </w:r>
          </w:p>
        </w:tc>
        <w:tc>
          <w:tcPr>
            <w:tcW w:w="1087" w:type="dxa"/>
            <w:tcBorders>
              <w:top w:val="single" w:sz="18" w:space="0" w:color="auto"/>
              <w:bottom w:val="single" w:sz="4" w:space="0" w:color="auto"/>
            </w:tcBorders>
          </w:tcPr>
          <w:p w14:paraId="716226BC"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0.7</w:t>
            </w:r>
          </w:p>
        </w:tc>
        <w:tc>
          <w:tcPr>
            <w:tcW w:w="1020" w:type="dxa"/>
            <w:tcBorders>
              <w:top w:val="single" w:sz="18" w:space="0" w:color="auto"/>
              <w:bottom w:val="single" w:sz="4" w:space="0" w:color="auto"/>
            </w:tcBorders>
          </w:tcPr>
          <w:p w14:paraId="5D74F80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08032FAA" w14:textId="77777777" w:rsidTr="007D01E9">
        <w:tc>
          <w:tcPr>
            <w:tcW w:w="586" w:type="dxa"/>
            <w:vAlign w:val="center"/>
          </w:tcPr>
          <w:p w14:paraId="420FD4B9"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b.</w:t>
            </w:r>
          </w:p>
        </w:tc>
        <w:tc>
          <w:tcPr>
            <w:tcW w:w="5850" w:type="dxa"/>
            <w:tcBorders>
              <w:right w:val="single" w:sz="18" w:space="0" w:color="auto"/>
            </w:tcBorders>
          </w:tcPr>
          <w:p w14:paraId="74609D56"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Denied a job promotion</w:t>
            </w:r>
          </w:p>
        </w:tc>
        <w:tc>
          <w:tcPr>
            <w:tcW w:w="900" w:type="dxa"/>
            <w:tcBorders>
              <w:top w:val="single" w:sz="4" w:space="0" w:color="auto"/>
              <w:left w:val="single" w:sz="18" w:space="0" w:color="auto"/>
              <w:bottom w:val="single" w:sz="4" w:space="0" w:color="auto"/>
            </w:tcBorders>
            <w:vAlign w:val="center"/>
          </w:tcPr>
          <w:p w14:paraId="3980EE2B"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28.7</w:t>
            </w:r>
          </w:p>
        </w:tc>
        <w:tc>
          <w:tcPr>
            <w:tcW w:w="1087" w:type="dxa"/>
            <w:tcBorders>
              <w:top w:val="single" w:sz="4" w:space="0" w:color="auto"/>
              <w:bottom w:val="single" w:sz="4" w:space="0" w:color="auto"/>
            </w:tcBorders>
            <w:vAlign w:val="center"/>
          </w:tcPr>
          <w:p w14:paraId="223DC043"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69.5</w:t>
            </w:r>
          </w:p>
        </w:tc>
        <w:tc>
          <w:tcPr>
            <w:tcW w:w="1087" w:type="dxa"/>
            <w:tcBorders>
              <w:top w:val="single" w:sz="4" w:space="0" w:color="auto"/>
              <w:bottom w:val="single" w:sz="4" w:space="0" w:color="auto"/>
            </w:tcBorders>
          </w:tcPr>
          <w:p w14:paraId="36059F9C"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0.6</w:t>
            </w:r>
          </w:p>
        </w:tc>
        <w:tc>
          <w:tcPr>
            <w:tcW w:w="1020" w:type="dxa"/>
            <w:tcBorders>
              <w:top w:val="single" w:sz="4" w:space="0" w:color="auto"/>
              <w:bottom w:val="single" w:sz="4" w:space="0" w:color="auto"/>
            </w:tcBorders>
          </w:tcPr>
          <w:p w14:paraId="10C8F24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58B6C4E0" w14:textId="77777777" w:rsidTr="007D01E9">
        <w:tc>
          <w:tcPr>
            <w:tcW w:w="586" w:type="dxa"/>
            <w:vAlign w:val="center"/>
          </w:tcPr>
          <w:p w14:paraId="7D484420"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c.</w:t>
            </w:r>
          </w:p>
        </w:tc>
        <w:tc>
          <w:tcPr>
            <w:tcW w:w="5850" w:type="dxa"/>
            <w:tcBorders>
              <w:right w:val="single" w:sz="18" w:space="0" w:color="auto"/>
            </w:tcBorders>
          </w:tcPr>
          <w:p w14:paraId="586A88BE"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Denied a bank loan</w:t>
            </w:r>
          </w:p>
        </w:tc>
        <w:tc>
          <w:tcPr>
            <w:tcW w:w="900" w:type="dxa"/>
            <w:tcBorders>
              <w:top w:val="single" w:sz="4" w:space="0" w:color="auto"/>
              <w:left w:val="single" w:sz="18" w:space="0" w:color="auto"/>
              <w:bottom w:val="single" w:sz="4" w:space="0" w:color="auto"/>
            </w:tcBorders>
            <w:vAlign w:val="center"/>
          </w:tcPr>
          <w:p w14:paraId="0A0CCA73"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17.7</w:t>
            </w:r>
          </w:p>
        </w:tc>
        <w:tc>
          <w:tcPr>
            <w:tcW w:w="1087" w:type="dxa"/>
            <w:tcBorders>
              <w:top w:val="single" w:sz="4" w:space="0" w:color="auto"/>
              <w:bottom w:val="single" w:sz="4" w:space="0" w:color="auto"/>
            </w:tcBorders>
            <w:vAlign w:val="center"/>
          </w:tcPr>
          <w:p w14:paraId="27BF670F"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80.0</w:t>
            </w:r>
          </w:p>
        </w:tc>
        <w:tc>
          <w:tcPr>
            <w:tcW w:w="1087" w:type="dxa"/>
            <w:tcBorders>
              <w:top w:val="single" w:sz="4" w:space="0" w:color="auto"/>
              <w:bottom w:val="single" w:sz="4" w:space="0" w:color="auto"/>
            </w:tcBorders>
          </w:tcPr>
          <w:p w14:paraId="74E176A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0.8</w:t>
            </w:r>
          </w:p>
        </w:tc>
        <w:tc>
          <w:tcPr>
            <w:tcW w:w="1020" w:type="dxa"/>
            <w:tcBorders>
              <w:top w:val="single" w:sz="4" w:space="0" w:color="auto"/>
              <w:bottom w:val="single" w:sz="4" w:space="0" w:color="auto"/>
            </w:tcBorders>
          </w:tcPr>
          <w:p w14:paraId="0891B418"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3.8</w:t>
            </w:r>
          </w:p>
        </w:tc>
      </w:tr>
      <w:tr w:rsidR="002D4F58" w:rsidRPr="00B95F39" w14:paraId="0FD36CA9" w14:textId="77777777" w:rsidTr="007D01E9">
        <w:tc>
          <w:tcPr>
            <w:tcW w:w="586" w:type="dxa"/>
            <w:vAlign w:val="center"/>
          </w:tcPr>
          <w:p w14:paraId="76AB9C24"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w:t>
            </w:r>
          </w:p>
        </w:tc>
        <w:tc>
          <w:tcPr>
            <w:tcW w:w="5850" w:type="dxa"/>
            <w:tcBorders>
              <w:right w:val="single" w:sz="18" w:space="0" w:color="auto"/>
            </w:tcBorders>
          </w:tcPr>
          <w:p w14:paraId="3091F7F5"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Hassled by police</w:t>
            </w:r>
          </w:p>
        </w:tc>
        <w:tc>
          <w:tcPr>
            <w:tcW w:w="900" w:type="dxa"/>
            <w:tcBorders>
              <w:top w:val="single" w:sz="4" w:space="0" w:color="auto"/>
              <w:left w:val="single" w:sz="18" w:space="0" w:color="auto"/>
              <w:bottom w:val="single" w:sz="4" w:space="0" w:color="auto"/>
            </w:tcBorders>
            <w:vAlign w:val="center"/>
          </w:tcPr>
          <w:p w14:paraId="6AE2349D"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54.4</w:t>
            </w:r>
          </w:p>
        </w:tc>
        <w:tc>
          <w:tcPr>
            <w:tcW w:w="1087" w:type="dxa"/>
            <w:tcBorders>
              <w:top w:val="single" w:sz="4" w:space="0" w:color="auto"/>
              <w:bottom w:val="single" w:sz="4" w:space="0" w:color="auto"/>
            </w:tcBorders>
            <w:vAlign w:val="center"/>
          </w:tcPr>
          <w:p w14:paraId="0309573C"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44.2</w:t>
            </w:r>
          </w:p>
        </w:tc>
        <w:tc>
          <w:tcPr>
            <w:tcW w:w="1087" w:type="dxa"/>
            <w:tcBorders>
              <w:top w:val="single" w:sz="4" w:space="0" w:color="auto"/>
              <w:bottom w:val="single" w:sz="4" w:space="0" w:color="auto"/>
            </w:tcBorders>
          </w:tcPr>
          <w:p w14:paraId="1864575D"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0.3</w:t>
            </w:r>
          </w:p>
        </w:tc>
        <w:tc>
          <w:tcPr>
            <w:tcW w:w="1020" w:type="dxa"/>
            <w:tcBorders>
              <w:top w:val="single" w:sz="4" w:space="0" w:color="auto"/>
              <w:bottom w:val="single" w:sz="4" w:space="0" w:color="auto"/>
            </w:tcBorders>
          </w:tcPr>
          <w:p w14:paraId="5C7857F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74C1B89B" w14:textId="77777777" w:rsidTr="007D01E9">
        <w:tc>
          <w:tcPr>
            <w:tcW w:w="586" w:type="dxa"/>
            <w:vAlign w:val="center"/>
          </w:tcPr>
          <w:p w14:paraId="3CFC3F46"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e.</w:t>
            </w:r>
          </w:p>
        </w:tc>
        <w:tc>
          <w:tcPr>
            <w:tcW w:w="5850" w:type="dxa"/>
            <w:tcBorders>
              <w:right w:val="single" w:sz="18" w:space="0" w:color="auto"/>
            </w:tcBorders>
          </w:tcPr>
          <w:p w14:paraId="34143CE4"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Fired from a job</w:t>
            </w:r>
          </w:p>
        </w:tc>
        <w:tc>
          <w:tcPr>
            <w:tcW w:w="900" w:type="dxa"/>
            <w:tcBorders>
              <w:top w:val="single" w:sz="4" w:space="0" w:color="auto"/>
              <w:left w:val="single" w:sz="18" w:space="0" w:color="auto"/>
              <w:bottom w:val="single" w:sz="4" w:space="0" w:color="auto"/>
            </w:tcBorders>
            <w:vAlign w:val="center"/>
          </w:tcPr>
          <w:p w14:paraId="0770D637"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21.4</w:t>
            </w:r>
          </w:p>
        </w:tc>
        <w:tc>
          <w:tcPr>
            <w:tcW w:w="1087" w:type="dxa"/>
            <w:tcBorders>
              <w:top w:val="single" w:sz="4" w:space="0" w:color="auto"/>
              <w:bottom w:val="single" w:sz="4" w:space="0" w:color="auto"/>
            </w:tcBorders>
            <w:vAlign w:val="center"/>
          </w:tcPr>
          <w:p w14:paraId="0ED6B83A"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77.3</w:t>
            </w:r>
          </w:p>
        </w:tc>
        <w:tc>
          <w:tcPr>
            <w:tcW w:w="1087" w:type="dxa"/>
            <w:tcBorders>
              <w:top w:val="single" w:sz="4" w:space="0" w:color="auto"/>
              <w:bottom w:val="single" w:sz="4" w:space="0" w:color="auto"/>
            </w:tcBorders>
          </w:tcPr>
          <w:p w14:paraId="5E663E0B"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0.2</w:t>
            </w:r>
          </w:p>
        </w:tc>
        <w:tc>
          <w:tcPr>
            <w:tcW w:w="1020" w:type="dxa"/>
            <w:tcBorders>
              <w:top w:val="single" w:sz="4" w:space="0" w:color="auto"/>
              <w:bottom w:val="single" w:sz="4" w:space="0" w:color="auto"/>
            </w:tcBorders>
          </w:tcPr>
          <w:p w14:paraId="136715F3"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762CFE8A" w14:textId="77777777" w:rsidTr="007D01E9">
        <w:tc>
          <w:tcPr>
            <w:tcW w:w="586" w:type="dxa"/>
            <w:vAlign w:val="center"/>
          </w:tcPr>
          <w:p w14:paraId="46D40E64"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f.</w:t>
            </w:r>
          </w:p>
        </w:tc>
        <w:tc>
          <w:tcPr>
            <w:tcW w:w="5850" w:type="dxa"/>
            <w:tcBorders>
              <w:right w:val="single" w:sz="18" w:space="0" w:color="auto"/>
            </w:tcBorders>
          </w:tcPr>
          <w:p w14:paraId="5038E460"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Discouraged by a teacher from seeking higher education</w:t>
            </w:r>
          </w:p>
        </w:tc>
        <w:tc>
          <w:tcPr>
            <w:tcW w:w="900" w:type="dxa"/>
            <w:tcBorders>
              <w:top w:val="single" w:sz="4" w:space="0" w:color="auto"/>
              <w:left w:val="single" w:sz="18" w:space="0" w:color="auto"/>
              <w:bottom w:val="single" w:sz="4" w:space="0" w:color="auto"/>
            </w:tcBorders>
            <w:vAlign w:val="center"/>
          </w:tcPr>
          <w:p w14:paraId="319E0CBE"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17.2</w:t>
            </w:r>
          </w:p>
        </w:tc>
        <w:tc>
          <w:tcPr>
            <w:tcW w:w="1087" w:type="dxa"/>
            <w:tcBorders>
              <w:top w:val="single" w:sz="4" w:space="0" w:color="auto"/>
              <w:bottom w:val="single" w:sz="4" w:space="0" w:color="auto"/>
            </w:tcBorders>
            <w:vAlign w:val="center"/>
          </w:tcPr>
          <w:p w14:paraId="175BB502"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81.5</w:t>
            </w:r>
          </w:p>
        </w:tc>
        <w:tc>
          <w:tcPr>
            <w:tcW w:w="1087" w:type="dxa"/>
            <w:tcBorders>
              <w:top w:val="single" w:sz="4" w:space="0" w:color="auto"/>
              <w:bottom w:val="single" w:sz="4" w:space="0" w:color="auto"/>
            </w:tcBorders>
          </w:tcPr>
          <w:p w14:paraId="343BDB5A"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0.1</w:t>
            </w:r>
          </w:p>
        </w:tc>
        <w:tc>
          <w:tcPr>
            <w:tcW w:w="1020" w:type="dxa"/>
            <w:tcBorders>
              <w:top w:val="single" w:sz="4" w:space="0" w:color="auto"/>
              <w:bottom w:val="single" w:sz="4" w:space="0" w:color="auto"/>
            </w:tcBorders>
          </w:tcPr>
          <w:p w14:paraId="775AEC6D"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1A0CB09C" w14:textId="77777777" w:rsidTr="007D01E9">
        <w:tc>
          <w:tcPr>
            <w:tcW w:w="586" w:type="dxa"/>
            <w:vAlign w:val="center"/>
          </w:tcPr>
          <w:p w14:paraId="372DF888"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g.</w:t>
            </w:r>
          </w:p>
        </w:tc>
        <w:tc>
          <w:tcPr>
            <w:tcW w:w="5850" w:type="dxa"/>
            <w:tcBorders>
              <w:right w:val="single" w:sz="18" w:space="0" w:color="auto"/>
            </w:tcBorders>
          </w:tcPr>
          <w:p w14:paraId="79A451BE"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Denied a scholarship</w:t>
            </w:r>
          </w:p>
        </w:tc>
        <w:tc>
          <w:tcPr>
            <w:tcW w:w="900" w:type="dxa"/>
            <w:tcBorders>
              <w:top w:val="single" w:sz="4" w:space="0" w:color="auto"/>
              <w:left w:val="single" w:sz="18" w:space="0" w:color="auto"/>
              <w:bottom w:val="single" w:sz="4" w:space="0" w:color="auto"/>
            </w:tcBorders>
            <w:vAlign w:val="center"/>
          </w:tcPr>
          <w:p w14:paraId="2FE0EC25"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4.6</w:t>
            </w:r>
          </w:p>
        </w:tc>
        <w:tc>
          <w:tcPr>
            <w:tcW w:w="1087" w:type="dxa"/>
            <w:tcBorders>
              <w:top w:val="single" w:sz="4" w:space="0" w:color="auto"/>
              <w:bottom w:val="single" w:sz="4" w:space="0" w:color="auto"/>
            </w:tcBorders>
            <w:vAlign w:val="center"/>
          </w:tcPr>
          <w:p w14:paraId="62D026AC"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93.8</w:t>
            </w:r>
          </w:p>
        </w:tc>
        <w:tc>
          <w:tcPr>
            <w:tcW w:w="1087" w:type="dxa"/>
            <w:tcBorders>
              <w:top w:val="single" w:sz="4" w:space="0" w:color="auto"/>
              <w:bottom w:val="single" w:sz="4" w:space="0" w:color="auto"/>
            </w:tcBorders>
          </w:tcPr>
          <w:p w14:paraId="66688F84"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0.4</w:t>
            </w:r>
          </w:p>
        </w:tc>
        <w:tc>
          <w:tcPr>
            <w:tcW w:w="1020" w:type="dxa"/>
            <w:tcBorders>
              <w:top w:val="single" w:sz="4" w:space="0" w:color="auto"/>
              <w:bottom w:val="single" w:sz="4" w:space="0" w:color="auto"/>
            </w:tcBorders>
          </w:tcPr>
          <w:p w14:paraId="54569E88"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455D107E" w14:textId="77777777" w:rsidTr="007D01E9">
        <w:tc>
          <w:tcPr>
            <w:tcW w:w="586" w:type="dxa"/>
            <w:vAlign w:val="center"/>
          </w:tcPr>
          <w:p w14:paraId="73E0050B"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h.</w:t>
            </w:r>
          </w:p>
        </w:tc>
        <w:tc>
          <w:tcPr>
            <w:tcW w:w="5850" w:type="dxa"/>
            <w:tcBorders>
              <w:right w:val="single" w:sz="18" w:space="0" w:color="auto"/>
            </w:tcBorders>
          </w:tcPr>
          <w:p w14:paraId="742E75EC"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Denied medical care or received inferior medical care</w:t>
            </w:r>
          </w:p>
        </w:tc>
        <w:tc>
          <w:tcPr>
            <w:tcW w:w="900" w:type="dxa"/>
            <w:tcBorders>
              <w:top w:val="single" w:sz="4" w:space="0" w:color="auto"/>
              <w:left w:val="single" w:sz="18" w:space="0" w:color="auto"/>
              <w:bottom w:val="single" w:sz="4" w:space="0" w:color="auto"/>
            </w:tcBorders>
            <w:vAlign w:val="center"/>
          </w:tcPr>
          <w:p w14:paraId="356ED38C"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15.0</w:t>
            </w:r>
          </w:p>
        </w:tc>
        <w:tc>
          <w:tcPr>
            <w:tcW w:w="1087" w:type="dxa"/>
            <w:tcBorders>
              <w:top w:val="single" w:sz="4" w:space="0" w:color="auto"/>
              <w:bottom w:val="single" w:sz="4" w:space="0" w:color="auto"/>
            </w:tcBorders>
            <w:vAlign w:val="center"/>
          </w:tcPr>
          <w:p w14:paraId="77B68297"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83.6</w:t>
            </w:r>
          </w:p>
        </w:tc>
        <w:tc>
          <w:tcPr>
            <w:tcW w:w="1087" w:type="dxa"/>
            <w:tcBorders>
              <w:top w:val="single" w:sz="4" w:space="0" w:color="auto"/>
              <w:bottom w:val="single" w:sz="4" w:space="0" w:color="auto"/>
            </w:tcBorders>
          </w:tcPr>
          <w:p w14:paraId="2FBCC7CD"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0.2</w:t>
            </w:r>
          </w:p>
        </w:tc>
        <w:tc>
          <w:tcPr>
            <w:tcW w:w="1020" w:type="dxa"/>
            <w:tcBorders>
              <w:top w:val="single" w:sz="4" w:space="0" w:color="auto"/>
              <w:bottom w:val="single" w:sz="4" w:space="0" w:color="auto"/>
            </w:tcBorders>
          </w:tcPr>
          <w:p w14:paraId="7849E181"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528638B9" w14:textId="77777777" w:rsidTr="007D01E9">
        <w:tc>
          <w:tcPr>
            <w:tcW w:w="586" w:type="dxa"/>
            <w:vAlign w:val="center"/>
          </w:tcPr>
          <w:p w14:paraId="1E4E8AB7" w14:textId="77777777" w:rsidR="002D4F58" w:rsidRPr="00B95F39" w:rsidRDefault="002D4F58" w:rsidP="007D01E9">
            <w:pPr>
              <w:spacing w:after="0" w:line="240" w:lineRule="auto"/>
              <w:rPr>
                <w:rFonts w:ascii="Times New Roman" w:hAnsi="Times New Roman" w:cs="Times New Roman"/>
                <w:b/>
                <w:sz w:val="23"/>
                <w:szCs w:val="23"/>
              </w:rPr>
            </w:pPr>
            <w:proofErr w:type="spellStart"/>
            <w:r w:rsidRPr="00B95F39">
              <w:rPr>
                <w:rFonts w:ascii="Times New Roman" w:hAnsi="Times New Roman" w:cs="Times New Roman"/>
                <w:b/>
                <w:sz w:val="23"/>
                <w:szCs w:val="23"/>
              </w:rPr>
              <w:t>i</w:t>
            </w:r>
            <w:proofErr w:type="spellEnd"/>
            <w:r w:rsidRPr="00B95F39">
              <w:rPr>
                <w:rFonts w:ascii="Times New Roman" w:hAnsi="Times New Roman" w:cs="Times New Roman"/>
                <w:b/>
                <w:sz w:val="23"/>
                <w:szCs w:val="23"/>
              </w:rPr>
              <w:t>.</w:t>
            </w:r>
          </w:p>
        </w:tc>
        <w:tc>
          <w:tcPr>
            <w:tcW w:w="5850" w:type="dxa"/>
            <w:tcBorders>
              <w:right w:val="single" w:sz="18" w:space="0" w:color="auto"/>
            </w:tcBorders>
          </w:tcPr>
          <w:p w14:paraId="462C5942"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Prevented from renting or buying a home</w:t>
            </w:r>
          </w:p>
        </w:tc>
        <w:tc>
          <w:tcPr>
            <w:tcW w:w="900" w:type="dxa"/>
            <w:tcBorders>
              <w:top w:val="single" w:sz="4" w:space="0" w:color="auto"/>
              <w:left w:val="single" w:sz="18" w:space="0" w:color="auto"/>
              <w:bottom w:val="single" w:sz="4" w:space="0" w:color="auto"/>
            </w:tcBorders>
            <w:vAlign w:val="center"/>
          </w:tcPr>
          <w:p w14:paraId="2E691D75"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21.5</w:t>
            </w:r>
          </w:p>
        </w:tc>
        <w:tc>
          <w:tcPr>
            <w:tcW w:w="1087" w:type="dxa"/>
            <w:tcBorders>
              <w:top w:val="single" w:sz="4" w:space="0" w:color="auto"/>
              <w:bottom w:val="single" w:sz="4" w:space="0" w:color="auto"/>
            </w:tcBorders>
            <w:vAlign w:val="center"/>
          </w:tcPr>
          <w:p w14:paraId="119BDB3D"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77.0</w:t>
            </w:r>
          </w:p>
        </w:tc>
        <w:tc>
          <w:tcPr>
            <w:tcW w:w="1087" w:type="dxa"/>
            <w:tcBorders>
              <w:top w:val="single" w:sz="4" w:space="0" w:color="auto"/>
              <w:bottom w:val="single" w:sz="4" w:space="0" w:color="auto"/>
            </w:tcBorders>
          </w:tcPr>
          <w:p w14:paraId="23365C73"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0.4</w:t>
            </w:r>
          </w:p>
        </w:tc>
        <w:tc>
          <w:tcPr>
            <w:tcW w:w="1020" w:type="dxa"/>
            <w:tcBorders>
              <w:top w:val="single" w:sz="4" w:space="0" w:color="auto"/>
              <w:bottom w:val="single" w:sz="4" w:space="0" w:color="auto"/>
            </w:tcBorders>
          </w:tcPr>
          <w:p w14:paraId="77855E79"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3DB48804" w14:textId="77777777" w:rsidTr="007D01E9">
        <w:tc>
          <w:tcPr>
            <w:tcW w:w="586" w:type="dxa"/>
            <w:vAlign w:val="center"/>
          </w:tcPr>
          <w:p w14:paraId="023AF949"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j.</w:t>
            </w:r>
          </w:p>
        </w:tc>
        <w:tc>
          <w:tcPr>
            <w:tcW w:w="5850" w:type="dxa"/>
            <w:tcBorders>
              <w:right w:val="single" w:sz="18" w:space="0" w:color="auto"/>
            </w:tcBorders>
          </w:tcPr>
          <w:p w14:paraId="2B7A2476" w14:textId="77777777" w:rsidR="002D4F58" w:rsidRPr="00B95F39" w:rsidRDefault="002D4F58" w:rsidP="007D01E9">
            <w:pPr>
              <w:spacing w:after="0" w:line="240" w:lineRule="auto"/>
              <w:rPr>
                <w:rFonts w:ascii="Times New Roman" w:hAnsi="Times New Roman" w:cs="Times New Roman"/>
                <w:b/>
                <w:sz w:val="23"/>
                <w:szCs w:val="23"/>
              </w:rPr>
            </w:pPr>
            <w:r w:rsidRPr="00B95F39">
              <w:rPr>
                <w:rFonts w:ascii="Times New Roman" w:hAnsi="Times New Roman" w:cs="Times New Roman"/>
                <w:b/>
                <w:sz w:val="23"/>
                <w:szCs w:val="23"/>
              </w:rPr>
              <w:t>Forced to leave a neighborhood</w:t>
            </w:r>
          </w:p>
        </w:tc>
        <w:tc>
          <w:tcPr>
            <w:tcW w:w="900" w:type="dxa"/>
            <w:tcBorders>
              <w:top w:val="single" w:sz="4" w:space="0" w:color="auto"/>
              <w:left w:val="single" w:sz="18" w:space="0" w:color="auto"/>
              <w:bottom w:val="single" w:sz="4" w:space="0" w:color="auto"/>
            </w:tcBorders>
            <w:vAlign w:val="center"/>
          </w:tcPr>
          <w:p w14:paraId="07D58C87"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9.2</w:t>
            </w:r>
          </w:p>
        </w:tc>
        <w:tc>
          <w:tcPr>
            <w:tcW w:w="1087" w:type="dxa"/>
            <w:tcBorders>
              <w:top w:val="single" w:sz="4" w:space="0" w:color="auto"/>
              <w:bottom w:val="single" w:sz="4" w:space="0" w:color="auto"/>
            </w:tcBorders>
            <w:vAlign w:val="center"/>
          </w:tcPr>
          <w:p w14:paraId="267CD05D"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89.3</w:t>
            </w:r>
          </w:p>
        </w:tc>
        <w:tc>
          <w:tcPr>
            <w:tcW w:w="1087" w:type="dxa"/>
            <w:tcBorders>
              <w:top w:val="single" w:sz="4" w:space="0" w:color="auto"/>
              <w:bottom w:val="single" w:sz="4" w:space="0" w:color="auto"/>
            </w:tcBorders>
          </w:tcPr>
          <w:p w14:paraId="1D5257E7"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0.4</w:t>
            </w:r>
          </w:p>
        </w:tc>
        <w:tc>
          <w:tcPr>
            <w:tcW w:w="1020" w:type="dxa"/>
            <w:tcBorders>
              <w:top w:val="single" w:sz="4" w:space="0" w:color="auto"/>
              <w:bottom w:val="single" w:sz="4" w:space="0" w:color="auto"/>
            </w:tcBorders>
          </w:tcPr>
          <w:p w14:paraId="7B0303C5"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1.2</w:t>
            </w:r>
          </w:p>
        </w:tc>
      </w:tr>
      <w:tr w:rsidR="002D4F58" w:rsidRPr="00B95F39" w14:paraId="53D8190C" w14:textId="77777777" w:rsidTr="007D01E9">
        <w:tc>
          <w:tcPr>
            <w:tcW w:w="586" w:type="dxa"/>
            <w:vAlign w:val="center"/>
          </w:tcPr>
          <w:p w14:paraId="51D2C736" w14:textId="77777777" w:rsidR="002D4F58" w:rsidRPr="00B95F39" w:rsidRDefault="002D4F58" w:rsidP="007D01E9">
            <w:pPr>
              <w:spacing w:after="0" w:line="240" w:lineRule="auto"/>
              <w:rPr>
                <w:rFonts w:ascii="Times New Roman" w:hAnsi="Times New Roman" w:cs="Times New Roman"/>
                <w:b/>
                <w:sz w:val="23"/>
                <w:szCs w:val="23"/>
              </w:rPr>
            </w:pPr>
          </w:p>
        </w:tc>
        <w:tc>
          <w:tcPr>
            <w:tcW w:w="5850" w:type="dxa"/>
            <w:tcBorders>
              <w:right w:val="single" w:sz="18" w:space="0" w:color="auto"/>
            </w:tcBorders>
          </w:tcPr>
          <w:p w14:paraId="1E314094" w14:textId="77777777" w:rsidR="002D4F58" w:rsidRPr="00B95F39" w:rsidRDefault="002D4F58" w:rsidP="007D01E9">
            <w:pPr>
              <w:spacing w:after="0" w:line="240" w:lineRule="auto"/>
              <w:rPr>
                <w:rFonts w:ascii="Times New Roman" w:hAnsi="Times New Roman" w:cs="Times New Roman"/>
                <w:bCs/>
                <w:sz w:val="23"/>
                <w:szCs w:val="23"/>
              </w:rPr>
            </w:pPr>
            <w:r w:rsidRPr="00B95F39">
              <w:rPr>
                <w:rFonts w:ascii="Times New Roman" w:hAnsi="Times New Roman" w:cs="Times New Roman"/>
                <w:bCs/>
                <w:sz w:val="23"/>
                <w:szCs w:val="23"/>
              </w:rPr>
              <w:t>Percentage reporting 1 or more experiences (N = 1107)</w:t>
            </w:r>
          </w:p>
        </w:tc>
        <w:tc>
          <w:tcPr>
            <w:tcW w:w="900" w:type="dxa"/>
            <w:tcBorders>
              <w:top w:val="single" w:sz="4" w:space="0" w:color="auto"/>
              <w:left w:val="single" w:sz="18" w:space="0" w:color="auto"/>
              <w:bottom w:val="single" w:sz="4" w:space="0" w:color="auto"/>
            </w:tcBorders>
            <w:vAlign w:val="center"/>
          </w:tcPr>
          <w:p w14:paraId="62873F10"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74.7</w:t>
            </w:r>
          </w:p>
        </w:tc>
        <w:tc>
          <w:tcPr>
            <w:tcW w:w="1087" w:type="dxa"/>
            <w:tcBorders>
              <w:top w:val="single" w:sz="4" w:space="0" w:color="auto"/>
              <w:bottom w:val="single" w:sz="4" w:space="0" w:color="auto"/>
            </w:tcBorders>
            <w:vAlign w:val="center"/>
          </w:tcPr>
          <w:p w14:paraId="798B25B8"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25.3</w:t>
            </w:r>
          </w:p>
        </w:tc>
        <w:tc>
          <w:tcPr>
            <w:tcW w:w="1087" w:type="dxa"/>
            <w:tcBorders>
              <w:top w:val="single" w:sz="4" w:space="0" w:color="auto"/>
              <w:bottom w:val="single" w:sz="4" w:space="0" w:color="auto"/>
            </w:tcBorders>
          </w:tcPr>
          <w:p w14:paraId="6A330D09"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c>
          <w:tcPr>
            <w:tcW w:w="1020" w:type="dxa"/>
            <w:tcBorders>
              <w:top w:val="single" w:sz="4" w:space="0" w:color="auto"/>
              <w:bottom w:val="single" w:sz="4" w:space="0" w:color="auto"/>
            </w:tcBorders>
          </w:tcPr>
          <w:p w14:paraId="4388029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r>
      <w:tr w:rsidR="002D4F58" w:rsidRPr="00B95F39" w14:paraId="1C572D63" w14:textId="77777777" w:rsidTr="007D01E9">
        <w:tc>
          <w:tcPr>
            <w:tcW w:w="586" w:type="dxa"/>
            <w:vAlign w:val="center"/>
          </w:tcPr>
          <w:p w14:paraId="2445B20F" w14:textId="77777777" w:rsidR="002D4F58" w:rsidRPr="00B95F39" w:rsidRDefault="002D4F58" w:rsidP="007D01E9">
            <w:pPr>
              <w:spacing w:after="0" w:line="240" w:lineRule="auto"/>
              <w:rPr>
                <w:rFonts w:ascii="Times New Roman" w:hAnsi="Times New Roman" w:cs="Times New Roman"/>
                <w:b/>
                <w:sz w:val="23"/>
                <w:szCs w:val="23"/>
              </w:rPr>
            </w:pPr>
          </w:p>
        </w:tc>
        <w:tc>
          <w:tcPr>
            <w:tcW w:w="5850" w:type="dxa"/>
            <w:tcBorders>
              <w:right w:val="single" w:sz="18" w:space="0" w:color="auto"/>
            </w:tcBorders>
          </w:tcPr>
          <w:p w14:paraId="20CCB4FB" w14:textId="77777777" w:rsidR="002D4F58" w:rsidRPr="00B95F39" w:rsidRDefault="002D4F58" w:rsidP="007D01E9">
            <w:pPr>
              <w:spacing w:after="0" w:line="240" w:lineRule="auto"/>
              <w:rPr>
                <w:rFonts w:ascii="Times New Roman" w:hAnsi="Times New Roman" w:cs="Times New Roman"/>
                <w:bCs/>
                <w:sz w:val="23"/>
                <w:szCs w:val="23"/>
              </w:rPr>
            </w:pPr>
            <w:r w:rsidRPr="00B95F39">
              <w:rPr>
                <w:rFonts w:ascii="Times New Roman" w:hAnsi="Times New Roman" w:cs="Times New Roman"/>
                <w:bCs/>
                <w:sz w:val="23"/>
                <w:szCs w:val="23"/>
              </w:rPr>
              <w:t xml:space="preserve">    2 or more experiences</w:t>
            </w:r>
          </w:p>
        </w:tc>
        <w:tc>
          <w:tcPr>
            <w:tcW w:w="900" w:type="dxa"/>
            <w:tcBorders>
              <w:top w:val="single" w:sz="4" w:space="0" w:color="auto"/>
              <w:left w:val="single" w:sz="18" w:space="0" w:color="auto"/>
              <w:bottom w:val="single" w:sz="4" w:space="0" w:color="auto"/>
            </w:tcBorders>
            <w:vAlign w:val="center"/>
          </w:tcPr>
          <w:p w14:paraId="6847B841"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52.2</w:t>
            </w:r>
          </w:p>
        </w:tc>
        <w:tc>
          <w:tcPr>
            <w:tcW w:w="1087" w:type="dxa"/>
            <w:tcBorders>
              <w:top w:val="single" w:sz="4" w:space="0" w:color="auto"/>
              <w:bottom w:val="single" w:sz="4" w:space="0" w:color="auto"/>
            </w:tcBorders>
            <w:vAlign w:val="center"/>
          </w:tcPr>
          <w:p w14:paraId="227482DC"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47.8</w:t>
            </w:r>
          </w:p>
        </w:tc>
        <w:tc>
          <w:tcPr>
            <w:tcW w:w="1087" w:type="dxa"/>
            <w:tcBorders>
              <w:top w:val="single" w:sz="4" w:space="0" w:color="auto"/>
              <w:bottom w:val="single" w:sz="4" w:space="0" w:color="auto"/>
            </w:tcBorders>
          </w:tcPr>
          <w:p w14:paraId="6ACD0551"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c>
          <w:tcPr>
            <w:tcW w:w="1020" w:type="dxa"/>
            <w:tcBorders>
              <w:top w:val="single" w:sz="4" w:space="0" w:color="auto"/>
              <w:bottom w:val="single" w:sz="4" w:space="0" w:color="auto"/>
            </w:tcBorders>
          </w:tcPr>
          <w:p w14:paraId="5651D4A2"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r>
      <w:tr w:rsidR="002D4F58" w:rsidRPr="00B95F39" w14:paraId="47BAF638" w14:textId="77777777" w:rsidTr="007D01E9">
        <w:tc>
          <w:tcPr>
            <w:tcW w:w="586" w:type="dxa"/>
            <w:vAlign w:val="center"/>
          </w:tcPr>
          <w:p w14:paraId="5774DCF8" w14:textId="77777777" w:rsidR="002D4F58" w:rsidRPr="00B95F39" w:rsidRDefault="002D4F58" w:rsidP="007D01E9">
            <w:pPr>
              <w:spacing w:after="0" w:line="240" w:lineRule="auto"/>
              <w:rPr>
                <w:rFonts w:ascii="Times New Roman" w:hAnsi="Times New Roman" w:cs="Times New Roman"/>
                <w:b/>
                <w:sz w:val="23"/>
                <w:szCs w:val="23"/>
              </w:rPr>
            </w:pPr>
          </w:p>
        </w:tc>
        <w:tc>
          <w:tcPr>
            <w:tcW w:w="5850" w:type="dxa"/>
            <w:tcBorders>
              <w:right w:val="single" w:sz="18" w:space="0" w:color="auto"/>
            </w:tcBorders>
          </w:tcPr>
          <w:p w14:paraId="394E042A" w14:textId="77777777" w:rsidR="002D4F58" w:rsidRPr="00B95F39" w:rsidRDefault="002D4F58" w:rsidP="007D01E9">
            <w:pPr>
              <w:spacing w:after="0" w:line="240" w:lineRule="auto"/>
              <w:rPr>
                <w:rFonts w:ascii="Times New Roman" w:hAnsi="Times New Roman" w:cs="Times New Roman"/>
                <w:bCs/>
                <w:sz w:val="23"/>
                <w:szCs w:val="23"/>
              </w:rPr>
            </w:pPr>
            <w:r w:rsidRPr="00B95F39">
              <w:rPr>
                <w:rFonts w:ascii="Times New Roman" w:hAnsi="Times New Roman" w:cs="Times New Roman"/>
                <w:bCs/>
                <w:sz w:val="23"/>
                <w:szCs w:val="23"/>
              </w:rPr>
              <w:t xml:space="preserve">    5 or more  experiences</w:t>
            </w:r>
          </w:p>
        </w:tc>
        <w:tc>
          <w:tcPr>
            <w:tcW w:w="900" w:type="dxa"/>
            <w:tcBorders>
              <w:top w:val="single" w:sz="4" w:space="0" w:color="auto"/>
              <w:left w:val="single" w:sz="18" w:space="0" w:color="auto"/>
              <w:bottom w:val="single" w:sz="4" w:space="0" w:color="auto"/>
            </w:tcBorders>
            <w:vAlign w:val="center"/>
          </w:tcPr>
          <w:p w14:paraId="01029295"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17.8</w:t>
            </w:r>
          </w:p>
        </w:tc>
        <w:tc>
          <w:tcPr>
            <w:tcW w:w="1087" w:type="dxa"/>
            <w:tcBorders>
              <w:top w:val="single" w:sz="4" w:space="0" w:color="auto"/>
              <w:bottom w:val="single" w:sz="4" w:space="0" w:color="auto"/>
            </w:tcBorders>
            <w:vAlign w:val="center"/>
          </w:tcPr>
          <w:p w14:paraId="5ABE1101"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82.2</w:t>
            </w:r>
          </w:p>
        </w:tc>
        <w:tc>
          <w:tcPr>
            <w:tcW w:w="1087" w:type="dxa"/>
            <w:tcBorders>
              <w:top w:val="single" w:sz="4" w:space="0" w:color="auto"/>
              <w:bottom w:val="single" w:sz="4" w:space="0" w:color="auto"/>
            </w:tcBorders>
          </w:tcPr>
          <w:p w14:paraId="489F3A04"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c>
          <w:tcPr>
            <w:tcW w:w="1020" w:type="dxa"/>
            <w:tcBorders>
              <w:top w:val="single" w:sz="4" w:space="0" w:color="auto"/>
              <w:bottom w:val="single" w:sz="4" w:space="0" w:color="auto"/>
            </w:tcBorders>
          </w:tcPr>
          <w:p w14:paraId="1F818AEA"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r>
      <w:tr w:rsidR="002D4F58" w:rsidRPr="00B95F39" w14:paraId="1CD9E17E" w14:textId="77777777" w:rsidTr="007D01E9">
        <w:tc>
          <w:tcPr>
            <w:tcW w:w="586" w:type="dxa"/>
            <w:vAlign w:val="center"/>
          </w:tcPr>
          <w:p w14:paraId="6A84998F" w14:textId="77777777" w:rsidR="002D4F58" w:rsidRPr="00B95F39" w:rsidRDefault="002D4F58" w:rsidP="007D01E9">
            <w:pPr>
              <w:spacing w:after="0" w:line="240" w:lineRule="auto"/>
              <w:rPr>
                <w:rFonts w:ascii="Times New Roman" w:hAnsi="Times New Roman" w:cs="Times New Roman"/>
                <w:b/>
                <w:sz w:val="23"/>
                <w:szCs w:val="23"/>
              </w:rPr>
            </w:pPr>
          </w:p>
        </w:tc>
        <w:tc>
          <w:tcPr>
            <w:tcW w:w="5850" w:type="dxa"/>
            <w:tcBorders>
              <w:right w:val="single" w:sz="18" w:space="0" w:color="auto"/>
            </w:tcBorders>
          </w:tcPr>
          <w:p w14:paraId="7C03ED45" w14:textId="77777777" w:rsidR="002D4F58" w:rsidRPr="00B95F39" w:rsidRDefault="002D4F58" w:rsidP="007D01E9">
            <w:pPr>
              <w:spacing w:after="0" w:line="240" w:lineRule="auto"/>
              <w:rPr>
                <w:rFonts w:ascii="Times New Roman" w:hAnsi="Times New Roman" w:cs="Times New Roman"/>
                <w:bCs/>
                <w:sz w:val="23"/>
                <w:szCs w:val="23"/>
              </w:rPr>
            </w:pPr>
            <w:r w:rsidRPr="00B95F39">
              <w:rPr>
                <w:rFonts w:ascii="Times New Roman" w:hAnsi="Times New Roman" w:cs="Times New Roman"/>
                <w:bCs/>
                <w:sz w:val="23"/>
                <w:szCs w:val="23"/>
              </w:rPr>
              <w:t>Mean number of experiences (SD; Mdn) = 2.29 (2.22; 2)</w:t>
            </w:r>
          </w:p>
        </w:tc>
        <w:tc>
          <w:tcPr>
            <w:tcW w:w="900" w:type="dxa"/>
            <w:tcBorders>
              <w:top w:val="single" w:sz="4" w:space="0" w:color="auto"/>
              <w:left w:val="single" w:sz="18" w:space="0" w:color="auto"/>
              <w:bottom w:val="single" w:sz="18" w:space="0" w:color="auto"/>
            </w:tcBorders>
            <w:vAlign w:val="center"/>
          </w:tcPr>
          <w:p w14:paraId="3DB2669A"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c>
          <w:tcPr>
            <w:tcW w:w="1087" w:type="dxa"/>
            <w:tcBorders>
              <w:top w:val="single" w:sz="4" w:space="0" w:color="auto"/>
              <w:bottom w:val="single" w:sz="18" w:space="0" w:color="auto"/>
            </w:tcBorders>
            <w:vAlign w:val="center"/>
          </w:tcPr>
          <w:p w14:paraId="00170993"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c>
          <w:tcPr>
            <w:tcW w:w="1087" w:type="dxa"/>
            <w:tcBorders>
              <w:top w:val="single" w:sz="4" w:space="0" w:color="auto"/>
              <w:bottom w:val="single" w:sz="18" w:space="0" w:color="auto"/>
            </w:tcBorders>
          </w:tcPr>
          <w:p w14:paraId="0ED707E6"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c>
          <w:tcPr>
            <w:tcW w:w="1020" w:type="dxa"/>
            <w:tcBorders>
              <w:top w:val="single" w:sz="4" w:space="0" w:color="auto"/>
              <w:bottom w:val="single" w:sz="18" w:space="0" w:color="auto"/>
            </w:tcBorders>
          </w:tcPr>
          <w:p w14:paraId="6A56BE92" w14:textId="77777777" w:rsidR="002D4F58" w:rsidRPr="00B95F39" w:rsidRDefault="002D4F58" w:rsidP="007D01E9">
            <w:pPr>
              <w:spacing w:after="0" w:line="240" w:lineRule="auto"/>
              <w:rPr>
                <w:rFonts w:ascii="Times New Roman" w:hAnsi="Times New Roman" w:cs="Times New Roman"/>
                <w:sz w:val="23"/>
                <w:szCs w:val="23"/>
              </w:rPr>
            </w:pPr>
            <w:r w:rsidRPr="00B95F39">
              <w:rPr>
                <w:rFonts w:ascii="Times New Roman" w:hAnsi="Times New Roman" w:cs="Times New Roman"/>
                <w:sz w:val="23"/>
                <w:szCs w:val="23"/>
              </w:rPr>
              <w:t>n/a</w:t>
            </w:r>
          </w:p>
        </w:tc>
      </w:tr>
    </w:tbl>
    <w:p w14:paraId="2C235C1F" w14:textId="6CB8D7E0" w:rsidR="00B95F39" w:rsidRPr="00B95F39" w:rsidRDefault="008A7D7C" w:rsidP="00B007B6">
      <w:pPr>
        <w:spacing w:after="0" w:line="240" w:lineRule="auto"/>
        <w:rPr>
          <w:rFonts w:ascii="Times New Roman" w:hAnsi="Times New Roman" w:cs="Times New Roman"/>
          <w:bCs/>
          <w:sz w:val="23"/>
          <w:szCs w:val="23"/>
        </w:rPr>
      </w:pPr>
      <w:r>
        <w:rPr>
          <w:rFonts w:ascii="Times New Roman" w:hAnsi="Times New Roman" w:cs="Times New Roman"/>
          <w:sz w:val="23"/>
          <w:szCs w:val="23"/>
        </w:rPr>
        <w:tab/>
      </w:r>
    </w:p>
    <w:p w14:paraId="0307485B" w14:textId="77777777" w:rsidR="005D3AB2" w:rsidRDefault="005D3AB2" w:rsidP="009772B5">
      <w:pPr>
        <w:spacing w:after="0" w:line="240" w:lineRule="auto"/>
        <w:rPr>
          <w:rFonts w:ascii="Times New Roman" w:hAnsi="Times New Roman" w:cs="Times New Roman"/>
          <w:sz w:val="23"/>
          <w:szCs w:val="23"/>
        </w:rPr>
      </w:pPr>
    </w:p>
    <w:p w14:paraId="15AA7478" w14:textId="6B9660AA" w:rsidR="009772B5" w:rsidRDefault="009772B5" w:rsidP="009772B5">
      <w:pPr>
        <w:spacing w:after="0" w:line="240" w:lineRule="auto"/>
        <w:rPr>
          <w:rFonts w:ascii="Times New Roman" w:hAnsi="Times New Roman" w:cs="Times New Roman"/>
          <w:sz w:val="23"/>
          <w:szCs w:val="23"/>
        </w:rPr>
      </w:pPr>
      <w:r>
        <w:rPr>
          <w:rFonts w:ascii="Times New Roman" w:hAnsi="Times New Roman" w:cs="Times New Roman"/>
          <w:sz w:val="23"/>
          <w:szCs w:val="23"/>
        </w:rPr>
        <w:t>Since more than 90% of the CLS sample are Black and the models include neighborhood poverty and many baseline characteristics, we interpret the findings of this scale as reflecting primarily racial discrimination.</w:t>
      </w:r>
    </w:p>
    <w:p w14:paraId="28A82D2C" w14:textId="77777777" w:rsidR="00812F1B" w:rsidRDefault="00812F1B" w:rsidP="002D61DA">
      <w:pPr>
        <w:spacing w:after="0" w:line="240" w:lineRule="auto"/>
        <w:rPr>
          <w:rFonts w:ascii="Times New Roman" w:hAnsi="Times New Roman" w:cs="Times New Roman"/>
          <w:sz w:val="23"/>
          <w:szCs w:val="23"/>
        </w:rPr>
      </w:pPr>
    </w:p>
    <w:p w14:paraId="5DA1000A" w14:textId="59C8E813" w:rsidR="002D61DA" w:rsidRPr="00C8159E" w:rsidRDefault="00E4465F" w:rsidP="002D61DA">
      <w:pPr>
        <w:spacing w:after="0" w:line="240" w:lineRule="auto"/>
        <w:rPr>
          <w:rFonts w:ascii="Times New Roman" w:hAnsi="Times New Roman" w:cs="Times New Roman"/>
          <w:b/>
          <w:bCs/>
          <w:sz w:val="23"/>
          <w:szCs w:val="23"/>
        </w:rPr>
      </w:pPr>
      <w:r>
        <w:rPr>
          <w:rFonts w:ascii="Times New Roman" w:hAnsi="Times New Roman" w:cs="Times New Roman"/>
          <w:b/>
          <w:bCs/>
          <w:sz w:val="23"/>
          <w:szCs w:val="23"/>
        </w:rPr>
        <w:t xml:space="preserve">D. </w:t>
      </w:r>
      <w:r w:rsidR="002D61DA">
        <w:rPr>
          <w:rFonts w:ascii="Times New Roman" w:hAnsi="Times New Roman" w:cs="Times New Roman"/>
          <w:b/>
          <w:bCs/>
          <w:sz w:val="23"/>
          <w:szCs w:val="23"/>
        </w:rPr>
        <w:t>Group Equivalence</w:t>
      </w:r>
    </w:p>
    <w:p w14:paraId="76D75A87" w14:textId="77777777" w:rsidR="00F40EC5" w:rsidRDefault="002D61DA" w:rsidP="00C4034F">
      <w:pPr>
        <w:tabs>
          <w:tab w:val="left" w:pos="360"/>
        </w:tabs>
        <w:spacing w:after="0" w:line="240" w:lineRule="auto"/>
        <w:rPr>
          <w:rFonts w:ascii="Times New Roman" w:hAnsi="Times New Roman" w:cs="Times New Roman"/>
          <w:sz w:val="23"/>
          <w:szCs w:val="23"/>
        </w:rPr>
      </w:pPr>
      <w:r w:rsidRPr="00C8159E">
        <w:rPr>
          <w:rFonts w:ascii="Times New Roman" w:hAnsi="Times New Roman" w:cs="Times New Roman"/>
          <w:sz w:val="23"/>
          <w:szCs w:val="23"/>
        </w:rPr>
        <w:tab/>
      </w:r>
      <w:r w:rsidR="002C474D">
        <w:rPr>
          <w:rFonts w:ascii="Times New Roman" w:hAnsi="Times New Roman" w:cs="Times New Roman"/>
          <w:sz w:val="23"/>
          <w:szCs w:val="23"/>
        </w:rPr>
        <w:t>Being the same age and growing up in demographically similar neighborhoods, CPC program and comparison groups were equivalent on nearly all baseline attributes at the beginning of the study and in later follow ups, including the current study. Two</w:t>
      </w:r>
      <w:r w:rsidRPr="00C8159E">
        <w:rPr>
          <w:rFonts w:ascii="Times New Roman" w:hAnsi="Times New Roman" w:cs="Times New Roman"/>
          <w:sz w:val="23"/>
          <w:szCs w:val="23"/>
        </w:rPr>
        <w:t xml:space="preserve"> significant differences were detected between groups: CPC participants grew up in higher poverty neighborhoods and their parents had higher rates of high school completion (but not college attendance).</w:t>
      </w:r>
      <w:r w:rsidR="00186EDB">
        <w:rPr>
          <w:rFonts w:ascii="Times New Roman" w:hAnsi="Times New Roman" w:cs="Times New Roman"/>
          <w:sz w:val="23"/>
          <w:szCs w:val="23"/>
        </w:rPr>
        <w:t xml:space="preserve"> Although in opposite directions, these differences are </w:t>
      </w:r>
      <w:r w:rsidR="00186EDB">
        <w:rPr>
          <w:rFonts w:ascii="Times New Roman" w:hAnsi="Times New Roman" w:cs="Times New Roman"/>
          <w:sz w:val="23"/>
          <w:szCs w:val="23"/>
        </w:rPr>
        <w:lastRenderedPageBreak/>
        <w:t xml:space="preserve">included in models and also have been </w:t>
      </w:r>
      <w:r w:rsidR="00D1621D">
        <w:rPr>
          <w:rFonts w:ascii="Times New Roman" w:hAnsi="Times New Roman" w:cs="Times New Roman"/>
          <w:sz w:val="23"/>
          <w:szCs w:val="23"/>
        </w:rPr>
        <w:t>addressed in a variety of structural and</w:t>
      </w:r>
      <w:r w:rsidR="00186EDB">
        <w:rPr>
          <w:rFonts w:ascii="Times New Roman" w:hAnsi="Times New Roman" w:cs="Times New Roman"/>
          <w:sz w:val="23"/>
          <w:szCs w:val="23"/>
        </w:rPr>
        <w:t xml:space="preserve"> propensity score models for both selection and attrition.</w:t>
      </w:r>
      <w:r w:rsidR="007358EC">
        <w:rPr>
          <w:rFonts w:ascii="Times New Roman" w:hAnsi="Times New Roman" w:cs="Times New Roman"/>
          <w:sz w:val="23"/>
          <w:szCs w:val="23"/>
          <w:vertAlign w:val="superscript"/>
        </w:rPr>
        <w:t>3-</w:t>
      </w:r>
      <w:r w:rsidR="005E6CF5">
        <w:rPr>
          <w:rFonts w:ascii="Times New Roman" w:hAnsi="Times New Roman" w:cs="Times New Roman"/>
          <w:sz w:val="23"/>
          <w:szCs w:val="23"/>
          <w:vertAlign w:val="superscript"/>
        </w:rPr>
        <w:t>5, 12-14</w:t>
      </w:r>
      <w:r w:rsidR="00CF4AC4">
        <w:rPr>
          <w:rFonts w:ascii="Times New Roman" w:hAnsi="Times New Roman" w:cs="Times New Roman"/>
          <w:sz w:val="23"/>
          <w:szCs w:val="23"/>
        </w:rPr>
        <w:t xml:space="preserve"> </w:t>
      </w:r>
    </w:p>
    <w:p w14:paraId="048B6850" w14:textId="43B9CFFD" w:rsidR="002D61DA" w:rsidRPr="00CF4AC4" w:rsidRDefault="00C4034F"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r>
      <w:r w:rsidR="00CF4AC4">
        <w:rPr>
          <w:rFonts w:ascii="Times New Roman" w:hAnsi="Times New Roman" w:cs="Times New Roman"/>
          <w:sz w:val="23"/>
          <w:szCs w:val="23"/>
        </w:rPr>
        <w:t>To adjust for observed differences between the original and follow-up samples, inverse pr</w:t>
      </w:r>
      <w:r w:rsidR="00F40EC5">
        <w:rPr>
          <w:rFonts w:ascii="Times New Roman" w:hAnsi="Times New Roman" w:cs="Times New Roman"/>
          <w:sz w:val="23"/>
          <w:szCs w:val="23"/>
        </w:rPr>
        <w:t>opensity score</w:t>
      </w:r>
      <w:r w:rsidR="00CF4AC4">
        <w:rPr>
          <w:rFonts w:ascii="Times New Roman" w:hAnsi="Times New Roman" w:cs="Times New Roman"/>
          <w:sz w:val="23"/>
          <w:szCs w:val="23"/>
        </w:rPr>
        <w:t xml:space="preserve"> weighting (IPW) for attrition was </w:t>
      </w:r>
      <w:r w:rsidR="00F40EC5">
        <w:rPr>
          <w:rFonts w:ascii="Times New Roman" w:hAnsi="Times New Roman" w:cs="Times New Roman"/>
          <w:sz w:val="23"/>
          <w:szCs w:val="23"/>
        </w:rPr>
        <w:t>implemented</w:t>
      </w:r>
      <w:r w:rsidR="00CF4AC4">
        <w:rPr>
          <w:rFonts w:ascii="Times New Roman" w:hAnsi="Times New Roman" w:cs="Times New Roman"/>
          <w:sz w:val="23"/>
          <w:szCs w:val="23"/>
        </w:rPr>
        <w:t xml:space="preserve"> in the model</w:t>
      </w:r>
      <w:r w:rsidR="00F40EC5">
        <w:rPr>
          <w:rFonts w:ascii="Times New Roman" w:hAnsi="Times New Roman" w:cs="Times New Roman"/>
          <w:sz w:val="23"/>
          <w:szCs w:val="23"/>
        </w:rPr>
        <w:t>s</w:t>
      </w:r>
      <w:r w:rsidR="00CF4AC4">
        <w:rPr>
          <w:rFonts w:ascii="Times New Roman" w:hAnsi="Times New Roman" w:cs="Times New Roman"/>
          <w:sz w:val="23"/>
          <w:szCs w:val="23"/>
        </w:rPr>
        <w:t xml:space="preserve">. </w:t>
      </w:r>
      <w:r w:rsidR="00264C42">
        <w:rPr>
          <w:rFonts w:ascii="Times New Roman" w:hAnsi="Times New Roman" w:cs="Times New Roman"/>
          <w:sz w:val="23"/>
          <w:szCs w:val="23"/>
        </w:rPr>
        <w:t>IPW is a statistical technique of bias reduction that uses observed characteristics influencing sample selection and attrition to estimate outcomes</w:t>
      </w:r>
      <w:r w:rsidR="00264C42">
        <w:rPr>
          <w:rFonts w:ascii="Times New Roman" w:hAnsi="Times New Roman" w:cs="Times New Roman"/>
          <w:sz w:val="23"/>
          <w:szCs w:val="23"/>
          <w:vertAlign w:val="superscript"/>
        </w:rPr>
        <w:t>3,4,</w:t>
      </w:r>
      <w:r w:rsidR="00250809">
        <w:rPr>
          <w:rFonts w:ascii="Times New Roman" w:hAnsi="Times New Roman" w:cs="Times New Roman"/>
          <w:sz w:val="23"/>
          <w:szCs w:val="23"/>
          <w:vertAlign w:val="superscript"/>
        </w:rPr>
        <w:t>14,</w:t>
      </w:r>
      <w:r w:rsidR="00264C42">
        <w:rPr>
          <w:rFonts w:ascii="Times New Roman" w:hAnsi="Times New Roman" w:cs="Times New Roman"/>
          <w:sz w:val="23"/>
          <w:szCs w:val="23"/>
          <w:vertAlign w:val="superscript"/>
        </w:rPr>
        <w:t>19</w:t>
      </w:r>
      <w:r w:rsidR="00264C42">
        <w:rPr>
          <w:rFonts w:ascii="Times New Roman" w:hAnsi="Times New Roman" w:cs="Times New Roman"/>
          <w:sz w:val="23"/>
          <w:szCs w:val="23"/>
        </w:rPr>
        <w:t>. In this two-step approach, the predicted probabilities of sample recovery (or sample selection) are estimated and then used as weights in the main regressions.</w:t>
      </w:r>
      <w:r w:rsidR="00264C42">
        <w:rPr>
          <w:rFonts w:ascii="Times New Roman" w:hAnsi="Times New Roman" w:cs="Times New Roman"/>
          <w:sz w:val="23"/>
          <w:szCs w:val="23"/>
          <w:vertAlign w:val="superscript"/>
        </w:rPr>
        <w:t>19</w:t>
      </w:r>
      <w:r w:rsidR="00264C42">
        <w:rPr>
          <w:rFonts w:ascii="Times New Roman" w:hAnsi="Times New Roman" w:cs="Times New Roman"/>
          <w:sz w:val="23"/>
          <w:szCs w:val="23"/>
        </w:rPr>
        <w:t xml:space="preserve"> Our </w:t>
      </w:r>
      <w:r w:rsidR="00CF4AC4">
        <w:rPr>
          <w:rFonts w:ascii="Times New Roman" w:hAnsi="Times New Roman" w:cs="Times New Roman"/>
          <w:sz w:val="23"/>
          <w:szCs w:val="23"/>
        </w:rPr>
        <w:t xml:space="preserve">input specification </w:t>
      </w:r>
      <w:r w:rsidR="00264C42">
        <w:rPr>
          <w:rFonts w:ascii="Times New Roman" w:hAnsi="Times New Roman" w:cs="Times New Roman"/>
          <w:sz w:val="23"/>
          <w:szCs w:val="23"/>
        </w:rPr>
        <w:t xml:space="preserve">to estimate predicted probabilities included </w:t>
      </w:r>
      <w:r w:rsidR="00CF4AC4">
        <w:rPr>
          <w:rFonts w:ascii="Times New Roman" w:hAnsi="Times New Roman" w:cs="Times New Roman"/>
          <w:sz w:val="23"/>
          <w:szCs w:val="23"/>
        </w:rPr>
        <w:t>16 baseline variables (child and family demographic characteristics and program participation)</w:t>
      </w:r>
      <w:r w:rsidR="00F40EC5">
        <w:rPr>
          <w:rFonts w:ascii="Times New Roman" w:hAnsi="Times New Roman" w:cs="Times New Roman"/>
          <w:sz w:val="23"/>
          <w:szCs w:val="23"/>
        </w:rPr>
        <w:t xml:space="preserve"> to predict sample retention at follow up</w:t>
      </w:r>
      <w:r w:rsidR="00CF4AC4">
        <w:rPr>
          <w:rFonts w:ascii="Times New Roman" w:hAnsi="Times New Roman" w:cs="Times New Roman"/>
          <w:sz w:val="23"/>
          <w:szCs w:val="23"/>
        </w:rPr>
        <w:t>.</w:t>
      </w:r>
      <w:r w:rsidR="00CF4AC4">
        <w:rPr>
          <w:rFonts w:ascii="Times New Roman" w:hAnsi="Times New Roman" w:cs="Times New Roman"/>
          <w:sz w:val="23"/>
          <w:szCs w:val="23"/>
          <w:vertAlign w:val="superscript"/>
        </w:rPr>
        <w:t>3,13</w:t>
      </w:r>
      <w:r w:rsidR="00F40EC5">
        <w:rPr>
          <w:rFonts w:ascii="Times New Roman" w:hAnsi="Times New Roman" w:cs="Times New Roman"/>
          <w:sz w:val="23"/>
          <w:szCs w:val="23"/>
        </w:rPr>
        <w:t xml:space="preserve"> The weighted regression analyses used 1/p*, in which *p is the predicted probability of sample retention from logit regression conditioned on the 16 baseline predictors. Higher weighted cases are counted for heavily in estimation</w:t>
      </w:r>
      <w:r w:rsidR="00DF7D19">
        <w:rPr>
          <w:rFonts w:ascii="Times New Roman" w:hAnsi="Times New Roman" w:cs="Times New Roman"/>
          <w:sz w:val="23"/>
          <w:szCs w:val="23"/>
        </w:rPr>
        <w:t xml:space="preserve"> (e.g., 1.30 vs. 1.10)</w:t>
      </w:r>
      <w:r w:rsidR="00F40EC5">
        <w:rPr>
          <w:rFonts w:ascii="Times New Roman" w:hAnsi="Times New Roman" w:cs="Times New Roman"/>
          <w:sz w:val="23"/>
          <w:szCs w:val="23"/>
        </w:rPr>
        <w:t>, thus reflecting as closely as possible the</w:t>
      </w:r>
      <w:r w:rsidR="00DF7D19">
        <w:rPr>
          <w:rFonts w:ascii="Times New Roman" w:hAnsi="Times New Roman" w:cs="Times New Roman"/>
          <w:sz w:val="23"/>
          <w:szCs w:val="23"/>
        </w:rPr>
        <w:t xml:space="preserve"> composition of the</w:t>
      </w:r>
      <w:r w:rsidR="00F40EC5">
        <w:rPr>
          <w:rFonts w:ascii="Times New Roman" w:hAnsi="Times New Roman" w:cs="Times New Roman"/>
          <w:sz w:val="23"/>
          <w:szCs w:val="23"/>
        </w:rPr>
        <w:t xml:space="preserve"> original sample.</w:t>
      </w:r>
    </w:p>
    <w:p w14:paraId="732D6F05" w14:textId="65B2C05D" w:rsidR="002D61DA" w:rsidRPr="00AD3EAB" w:rsidRDefault="002D61DA"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t xml:space="preserve">A primary explanation for equivalence between groups on most indicators was that the comparison group included all children from five randomly selected schools (out of 27 citywide) in similar low-income neighborhoods that participated in the usual early childhood program at the time: full-day kindergarten without earlier preschool participation. </w:t>
      </w:r>
      <w:r w:rsidR="00955C45">
        <w:rPr>
          <w:rFonts w:ascii="Times New Roman" w:hAnsi="Times New Roman" w:cs="Times New Roman"/>
          <w:sz w:val="23"/>
          <w:szCs w:val="23"/>
        </w:rPr>
        <w:t xml:space="preserve">Notably, only 60% of CPC participants had full-day kindergarten. </w:t>
      </w:r>
      <w:r>
        <w:rPr>
          <w:rFonts w:ascii="Times New Roman" w:hAnsi="Times New Roman" w:cs="Times New Roman"/>
          <w:sz w:val="23"/>
          <w:szCs w:val="23"/>
        </w:rPr>
        <w:t>All cohort participants enrolled in the Chicago Public School District beginning at ages 3 or 4 with nearly all comparison group participants entering in kindergarten. Fifteen percent of the comparison group attended Head Start preschool as part of the usual programming. CPC services are provided up to 2</w:t>
      </w:r>
      <w:r w:rsidRPr="00AD3EAB">
        <w:rPr>
          <w:rFonts w:ascii="Times New Roman" w:hAnsi="Times New Roman" w:cs="Times New Roman"/>
          <w:sz w:val="23"/>
          <w:szCs w:val="23"/>
          <w:vertAlign w:val="superscript"/>
        </w:rPr>
        <w:t>nd</w:t>
      </w:r>
      <w:r>
        <w:rPr>
          <w:rFonts w:ascii="Times New Roman" w:hAnsi="Times New Roman" w:cs="Times New Roman"/>
          <w:sz w:val="23"/>
          <w:szCs w:val="23"/>
        </w:rPr>
        <w:t xml:space="preserve"> or 3</w:t>
      </w:r>
      <w:r w:rsidRPr="00AD3EAB">
        <w:rPr>
          <w:rFonts w:ascii="Times New Roman" w:hAnsi="Times New Roman" w:cs="Times New Roman"/>
          <w:sz w:val="23"/>
          <w:szCs w:val="23"/>
          <w:vertAlign w:val="superscript"/>
        </w:rPr>
        <w:t>rd</w:t>
      </w:r>
      <w:r>
        <w:rPr>
          <w:rFonts w:ascii="Times New Roman" w:hAnsi="Times New Roman" w:cs="Times New Roman"/>
          <w:sz w:val="23"/>
          <w:szCs w:val="23"/>
        </w:rPr>
        <w:t xml:space="preserve"> grade in 20 schools. Program expansion has occurred in Chicago and other Midwest districts.</w:t>
      </w:r>
    </w:p>
    <w:p w14:paraId="3109083B" w14:textId="5E4F6DFF" w:rsidR="002D61DA" w:rsidRDefault="002D61DA"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t>Because the CPCs were opened in the highest poverty areas of the city</w:t>
      </w:r>
      <w:r w:rsidR="0082269C">
        <w:rPr>
          <w:rFonts w:ascii="Times New Roman" w:hAnsi="Times New Roman" w:cs="Times New Roman"/>
          <w:sz w:val="23"/>
          <w:szCs w:val="23"/>
        </w:rPr>
        <w:t xml:space="preserve"> (e.g., East and West Garfield Park, North Lawndale)</w:t>
      </w:r>
      <w:r>
        <w:rPr>
          <w:rFonts w:ascii="Times New Roman" w:hAnsi="Times New Roman" w:cs="Times New Roman"/>
          <w:sz w:val="23"/>
          <w:szCs w:val="23"/>
        </w:rPr>
        <w:t xml:space="preserve">, the neighborhoods surrounding the centers were generally more disadvantaged than other areas. This is shown in the select comparisons below. However, this provides a conservative bias in estimating impacts, since lower-resourced settings link to higher rates of educational and health problems as well as lower access to high-quality health services and preventive care. At baseline, 50% of the CLS cohort (N = 520; 522 were below threshold) resided in high-poverty neighborhoods, defined as 40% or more of the neighborhood population (census tracks) at or below the federal poverty level. At the midlife follow up, the percentage of the cohort currently residing in high-poverty neighborhoods was 26% (N = 275; 767 below threshold). Roughly two-thirds of the sample lived in </w:t>
      </w:r>
      <w:r w:rsidR="005876D5">
        <w:rPr>
          <w:rFonts w:ascii="Times New Roman" w:hAnsi="Times New Roman" w:cs="Times New Roman"/>
          <w:sz w:val="23"/>
          <w:szCs w:val="23"/>
        </w:rPr>
        <w:t xml:space="preserve">Illinois at </w:t>
      </w:r>
      <w:r>
        <w:rPr>
          <w:rFonts w:ascii="Times New Roman" w:hAnsi="Times New Roman" w:cs="Times New Roman"/>
          <w:sz w:val="23"/>
          <w:szCs w:val="23"/>
        </w:rPr>
        <w:t>follow up</w:t>
      </w:r>
      <w:r w:rsidR="005876D5">
        <w:rPr>
          <w:rFonts w:ascii="Times New Roman" w:hAnsi="Times New Roman" w:cs="Times New Roman"/>
          <w:sz w:val="23"/>
          <w:szCs w:val="23"/>
        </w:rPr>
        <w:t>, with half of this total in Chicago. Nearly 4% were incarcerated at follow up.</w:t>
      </w:r>
    </w:p>
    <w:p w14:paraId="786DB21F" w14:textId="1692028E" w:rsidR="002D61DA" w:rsidRDefault="002D61DA" w:rsidP="00B007B6">
      <w:pPr>
        <w:spacing w:after="0"/>
      </w:pPr>
    </w:p>
    <w:p w14:paraId="7A78BFA0" w14:textId="15CAA52E" w:rsidR="00B007B6" w:rsidRPr="00B007B6" w:rsidRDefault="00E4465F" w:rsidP="00604388">
      <w:pPr>
        <w:spacing w:after="0" w:line="240" w:lineRule="auto"/>
        <w:rPr>
          <w:rFonts w:ascii="Times New Roman" w:hAnsi="Times New Roman" w:cs="Times New Roman"/>
          <w:b/>
          <w:bCs/>
          <w:sz w:val="23"/>
          <w:szCs w:val="23"/>
        </w:rPr>
      </w:pPr>
      <w:r>
        <w:rPr>
          <w:rFonts w:ascii="Times New Roman" w:hAnsi="Times New Roman" w:cs="Times New Roman"/>
          <w:b/>
          <w:bCs/>
          <w:sz w:val="23"/>
          <w:szCs w:val="23"/>
        </w:rPr>
        <w:t xml:space="preserve">E. </w:t>
      </w:r>
      <w:r w:rsidR="00B007B6" w:rsidRPr="00B007B6">
        <w:rPr>
          <w:rFonts w:ascii="Times New Roman" w:hAnsi="Times New Roman" w:cs="Times New Roman"/>
          <w:b/>
          <w:bCs/>
          <w:sz w:val="23"/>
          <w:szCs w:val="23"/>
        </w:rPr>
        <w:t>Sample Characteristics</w:t>
      </w:r>
    </w:p>
    <w:p w14:paraId="3E5BF7EC" w14:textId="561442C9" w:rsidR="00CA5AE5" w:rsidRDefault="00B007B6" w:rsidP="00C4034F">
      <w:pPr>
        <w:tabs>
          <w:tab w:val="left" w:pos="360"/>
        </w:tabs>
        <w:spacing w:after="0" w:line="240" w:lineRule="auto"/>
        <w:rPr>
          <w:rFonts w:ascii="Times New Roman" w:hAnsi="Times New Roman" w:cs="Times New Roman"/>
          <w:sz w:val="23"/>
          <w:szCs w:val="23"/>
        </w:rPr>
      </w:pPr>
      <w:r w:rsidRPr="00B007B6">
        <w:rPr>
          <w:rFonts w:ascii="Times New Roman" w:hAnsi="Times New Roman" w:cs="Times New Roman"/>
          <w:b/>
          <w:bCs/>
          <w:sz w:val="23"/>
          <w:szCs w:val="23"/>
        </w:rPr>
        <w:tab/>
      </w:r>
      <w:r w:rsidRPr="00B007B6">
        <w:rPr>
          <w:rFonts w:ascii="Times New Roman" w:hAnsi="Times New Roman" w:cs="Times New Roman"/>
          <w:sz w:val="23"/>
          <w:szCs w:val="23"/>
        </w:rPr>
        <w:t xml:space="preserve">The Supplemental Table displays the </w:t>
      </w:r>
      <w:r>
        <w:rPr>
          <w:rFonts w:ascii="Times New Roman" w:hAnsi="Times New Roman" w:cs="Times New Roman"/>
          <w:sz w:val="23"/>
          <w:szCs w:val="23"/>
        </w:rPr>
        <w:t xml:space="preserve">Chicago Longitudinal Study (CLS) </w:t>
      </w:r>
      <w:r w:rsidRPr="00B007B6">
        <w:rPr>
          <w:rFonts w:ascii="Times New Roman" w:hAnsi="Times New Roman" w:cs="Times New Roman"/>
          <w:sz w:val="23"/>
          <w:szCs w:val="23"/>
        </w:rPr>
        <w:t>sample characteristics</w:t>
      </w:r>
      <w:r>
        <w:rPr>
          <w:rFonts w:ascii="Times New Roman" w:hAnsi="Times New Roman" w:cs="Times New Roman"/>
          <w:sz w:val="23"/>
          <w:szCs w:val="23"/>
        </w:rPr>
        <w:t xml:space="preserve"> at the beginning of the study and at the </w:t>
      </w:r>
      <w:r w:rsidR="001E6282">
        <w:rPr>
          <w:rFonts w:ascii="Times New Roman" w:hAnsi="Times New Roman" w:cs="Times New Roman"/>
          <w:sz w:val="23"/>
          <w:szCs w:val="23"/>
        </w:rPr>
        <w:t>midlife follo</w:t>
      </w:r>
      <w:r>
        <w:rPr>
          <w:rFonts w:ascii="Times New Roman" w:hAnsi="Times New Roman" w:cs="Times New Roman"/>
          <w:sz w:val="23"/>
          <w:szCs w:val="23"/>
        </w:rPr>
        <w:t>w up</w:t>
      </w:r>
      <w:r w:rsidR="001E6282">
        <w:rPr>
          <w:rFonts w:ascii="Times New Roman" w:hAnsi="Times New Roman" w:cs="Times New Roman"/>
          <w:sz w:val="23"/>
          <w:szCs w:val="23"/>
        </w:rPr>
        <w:t xml:space="preserve"> (mean age = 34.9 years)</w:t>
      </w:r>
      <w:r>
        <w:rPr>
          <w:rFonts w:ascii="Times New Roman" w:hAnsi="Times New Roman" w:cs="Times New Roman"/>
          <w:sz w:val="23"/>
          <w:szCs w:val="23"/>
        </w:rPr>
        <w:t xml:space="preserve">. Program and comparison groups were similar on most baseline attributes whether assessed at the beginning of the study or at follow up. </w:t>
      </w:r>
      <w:r w:rsidR="00D426EC">
        <w:rPr>
          <w:rFonts w:ascii="Times New Roman" w:hAnsi="Times New Roman" w:cs="Times New Roman"/>
          <w:sz w:val="23"/>
          <w:szCs w:val="23"/>
        </w:rPr>
        <w:t xml:space="preserve">Based on the raw differences with no adjustment, CPC participants were more likely to reside in higher poverty neighborhoods and to have mothers who attended college, although the latter difference was not significant at follow up. </w:t>
      </w:r>
    </w:p>
    <w:p w14:paraId="781DA043" w14:textId="1ACECD59" w:rsidR="00B007B6" w:rsidRDefault="00CA5AE5" w:rsidP="00C4034F">
      <w:pPr>
        <w:tabs>
          <w:tab w:val="left" w:pos="360"/>
        </w:tabs>
        <w:spacing w:after="0" w:line="240" w:lineRule="auto"/>
        <w:rPr>
          <w:rFonts w:ascii="Times New Roman" w:hAnsi="Times New Roman" w:cs="Times New Roman"/>
          <w:sz w:val="23"/>
          <w:szCs w:val="23"/>
        </w:rPr>
      </w:pPr>
      <w:r>
        <w:rPr>
          <w:rFonts w:ascii="Times New Roman" w:hAnsi="Times New Roman" w:cs="Times New Roman"/>
          <w:sz w:val="23"/>
          <w:szCs w:val="23"/>
        </w:rPr>
        <w:tab/>
      </w:r>
      <w:r w:rsidR="00B007B6">
        <w:rPr>
          <w:rFonts w:ascii="Times New Roman" w:hAnsi="Times New Roman" w:cs="Times New Roman"/>
          <w:sz w:val="23"/>
          <w:szCs w:val="23"/>
        </w:rPr>
        <w:t>The baseline attributes used as covariates in the analyses</w:t>
      </w:r>
      <w:r w:rsidR="00293E7A">
        <w:rPr>
          <w:rFonts w:ascii="Times New Roman" w:hAnsi="Times New Roman" w:cs="Times New Roman"/>
          <w:sz w:val="23"/>
          <w:szCs w:val="23"/>
        </w:rPr>
        <w:t xml:space="preserve"> (measured primarily from birth to age 3)</w:t>
      </w:r>
      <w:r w:rsidR="00B007B6">
        <w:rPr>
          <w:rFonts w:ascii="Times New Roman" w:hAnsi="Times New Roman" w:cs="Times New Roman"/>
          <w:sz w:val="23"/>
          <w:szCs w:val="23"/>
        </w:rPr>
        <w:t xml:space="preserve"> </w:t>
      </w:r>
      <w:r w:rsidR="00293E7A">
        <w:rPr>
          <w:rFonts w:ascii="Times New Roman" w:hAnsi="Times New Roman" w:cs="Times New Roman"/>
          <w:sz w:val="23"/>
          <w:szCs w:val="23"/>
        </w:rPr>
        <w:t>were birth weight in pounds, race, sex of child, receipt of child welfare services, family risk index of eight demographic attributes (e.g., parent did not graduate from high school, single parent status), family risk index squared, high-poverty neighborhood status</w:t>
      </w:r>
      <w:r w:rsidR="00D426EC">
        <w:rPr>
          <w:rFonts w:ascii="Times New Roman" w:hAnsi="Times New Roman" w:cs="Times New Roman"/>
          <w:sz w:val="23"/>
          <w:szCs w:val="23"/>
        </w:rPr>
        <w:t xml:space="preserve"> (40% or more residents were below the federal poverty line; 1980 census)</w:t>
      </w:r>
      <w:r w:rsidR="00293E7A">
        <w:rPr>
          <w:rFonts w:ascii="Times New Roman" w:hAnsi="Times New Roman" w:cs="Times New Roman"/>
          <w:sz w:val="23"/>
          <w:szCs w:val="23"/>
        </w:rPr>
        <w:t xml:space="preserve"> and participation in later CPC school-age intervention</w:t>
      </w:r>
      <w:r w:rsidR="000835E2">
        <w:rPr>
          <w:rFonts w:ascii="Times New Roman" w:hAnsi="Times New Roman" w:cs="Times New Roman"/>
          <w:sz w:val="23"/>
          <w:szCs w:val="23"/>
        </w:rPr>
        <w:t xml:space="preserve"> (only for CPC preschool estimates)</w:t>
      </w:r>
      <w:r w:rsidR="00D426EC">
        <w:rPr>
          <w:rFonts w:ascii="Times New Roman" w:hAnsi="Times New Roman" w:cs="Times New Roman"/>
          <w:sz w:val="23"/>
          <w:szCs w:val="23"/>
        </w:rPr>
        <w:t>.</w:t>
      </w:r>
      <w:r w:rsidR="00753559">
        <w:rPr>
          <w:rFonts w:ascii="Times New Roman" w:hAnsi="Times New Roman" w:cs="Times New Roman"/>
          <w:sz w:val="23"/>
          <w:szCs w:val="23"/>
        </w:rPr>
        <w:t xml:space="preserve"> </w:t>
      </w:r>
      <w:r w:rsidR="005876D5">
        <w:rPr>
          <w:rFonts w:ascii="Times New Roman" w:hAnsi="Times New Roman" w:cs="Times New Roman"/>
          <w:sz w:val="23"/>
          <w:szCs w:val="23"/>
        </w:rPr>
        <w:t xml:space="preserve">Incarceration and Chicago residential status at follow up were also included as </w:t>
      </w:r>
      <w:r w:rsidR="00143524">
        <w:rPr>
          <w:rFonts w:ascii="Times New Roman" w:hAnsi="Times New Roman" w:cs="Times New Roman"/>
          <w:sz w:val="23"/>
          <w:szCs w:val="23"/>
        </w:rPr>
        <w:t>adjustment factors to isolate independent contributions of program and structural context factors.</w:t>
      </w:r>
      <w:r w:rsidR="005876D5">
        <w:rPr>
          <w:rFonts w:ascii="Times New Roman" w:hAnsi="Times New Roman" w:cs="Times New Roman"/>
          <w:sz w:val="23"/>
          <w:szCs w:val="23"/>
        </w:rPr>
        <w:t xml:space="preserve"> </w:t>
      </w:r>
      <w:r w:rsidR="00753559">
        <w:rPr>
          <w:rFonts w:ascii="Times New Roman" w:hAnsi="Times New Roman" w:cs="Times New Roman"/>
          <w:sz w:val="23"/>
          <w:szCs w:val="23"/>
        </w:rPr>
        <w:t>Program by structural context moderators were added to the model to determine their contribution</w:t>
      </w:r>
      <w:r>
        <w:rPr>
          <w:rFonts w:ascii="Times New Roman" w:hAnsi="Times New Roman" w:cs="Times New Roman"/>
          <w:sz w:val="23"/>
          <w:szCs w:val="23"/>
        </w:rPr>
        <w:t>s. A variety of alternative analyses supported the robustness of findings.</w:t>
      </w:r>
    </w:p>
    <w:p w14:paraId="3CA09465" w14:textId="77777777" w:rsidR="00604388" w:rsidRDefault="00604388" w:rsidP="00604388">
      <w:pPr>
        <w:spacing w:after="0" w:line="240" w:lineRule="auto"/>
        <w:rPr>
          <w:rFonts w:ascii="Times New Roman" w:hAnsi="Times New Roman" w:cs="Times New Roman"/>
          <w:sz w:val="23"/>
          <w:szCs w:val="23"/>
        </w:rPr>
      </w:pPr>
    </w:p>
    <w:p w14:paraId="50E419B0" w14:textId="77777777" w:rsidR="00C4034F" w:rsidRDefault="00C4034F" w:rsidP="00604388">
      <w:pPr>
        <w:spacing w:after="0" w:line="240" w:lineRule="auto"/>
        <w:rPr>
          <w:rFonts w:ascii="Times New Roman" w:hAnsi="Times New Roman" w:cs="Times New Roman"/>
          <w:sz w:val="23"/>
          <w:szCs w:val="23"/>
        </w:rPr>
      </w:pPr>
    </w:p>
    <w:p w14:paraId="5E7DB6A8" w14:textId="77777777" w:rsidR="00C4034F" w:rsidRDefault="00C4034F" w:rsidP="00604388">
      <w:pPr>
        <w:spacing w:after="0" w:line="240" w:lineRule="auto"/>
        <w:rPr>
          <w:rFonts w:ascii="Times New Roman" w:hAnsi="Times New Roman" w:cs="Times New Roman"/>
          <w:sz w:val="23"/>
          <w:szCs w:val="23"/>
        </w:rPr>
      </w:pPr>
    </w:p>
    <w:p w14:paraId="6AC2C4D7" w14:textId="77777777" w:rsidR="00C4034F" w:rsidRDefault="00C4034F" w:rsidP="00604388">
      <w:pPr>
        <w:spacing w:after="0" w:line="240" w:lineRule="auto"/>
        <w:rPr>
          <w:rFonts w:ascii="Times New Roman" w:hAnsi="Times New Roman" w:cs="Times New Roman"/>
          <w:sz w:val="23"/>
          <w:szCs w:val="23"/>
        </w:rPr>
      </w:pPr>
    </w:p>
    <w:p w14:paraId="63565724" w14:textId="2F609241" w:rsidR="00804F7C" w:rsidRDefault="00A26908" w:rsidP="00804F7C">
      <w:pPr>
        <w:spacing w:after="0" w:line="240" w:lineRule="auto"/>
        <w:rPr>
          <w:rFonts w:ascii="Times New Roman" w:hAnsi="Times New Roman" w:cs="Times New Roman"/>
          <w:b/>
          <w:bCs/>
          <w:sz w:val="23"/>
          <w:szCs w:val="23"/>
        </w:rPr>
      </w:pPr>
      <w:r>
        <w:rPr>
          <w:rFonts w:ascii="Times New Roman" w:hAnsi="Times New Roman" w:cs="Times New Roman"/>
          <w:b/>
          <w:bCs/>
          <w:sz w:val="23"/>
          <w:szCs w:val="23"/>
        </w:rPr>
        <w:t xml:space="preserve">F. </w:t>
      </w:r>
      <w:r w:rsidR="00804F7C">
        <w:rPr>
          <w:rFonts w:ascii="Times New Roman" w:hAnsi="Times New Roman" w:cs="Times New Roman"/>
          <w:b/>
          <w:bCs/>
          <w:sz w:val="23"/>
          <w:szCs w:val="23"/>
        </w:rPr>
        <w:t>References</w:t>
      </w:r>
    </w:p>
    <w:p w14:paraId="0259F425" w14:textId="77777777" w:rsidR="00804F7C" w:rsidRDefault="00804F7C" w:rsidP="00804F7C">
      <w:pPr>
        <w:spacing w:after="0" w:line="240" w:lineRule="auto"/>
        <w:rPr>
          <w:rFonts w:ascii="Times New Roman" w:hAnsi="Times New Roman" w:cs="Times New Roman"/>
          <w:bCs/>
          <w:sz w:val="23"/>
          <w:szCs w:val="23"/>
        </w:rPr>
      </w:pPr>
    </w:p>
    <w:p w14:paraId="4FF7F0C7" w14:textId="121C559B" w:rsidR="00804F7C" w:rsidRDefault="00804F7C" w:rsidP="00804F7C">
      <w:pPr>
        <w:spacing w:after="0" w:line="240" w:lineRule="auto"/>
        <w:rPr>
          <w:rFonts w:ascii="Times New Roman" w:hAnsi="Times New Roman" w:cs="Times New Roman"/>
          <w:bCs/>
          <w:sz w:val="23"/>
          <w:szCs w:val="23"/>
        </w:rPr>
      </w:pPr>
      <w:r>
        <w:rPr>
          <w:rFonts w:ascii="Times New Roman" w:hAnsi="Times New Roman" w:cs="Times New Roman"/>
          <w:bCs/>
          <w:sz w:val="23"/>
          <w:szCs w:val="23"/>
        </w:rPr>
        <w:t>1. Reynolds A</w:t>
      </w:r>
      <w:r w:rsidR="00B43A28">
        <w:rPr>
          <w:rFonts w:ascii="Times New Roman" w:hAnsi="Times New Roman" w:cs="Times New Roman"/>
          <w:bCs/>
          <w:sz w:val="23"/>
          <w:szCs w:val="23"/>
        </w:rPr>
        <w:t xml:space="preserve">. </w:t>
      </w:r>
      <w:r>
        <w:rPr>
          <w:rFonts w:ascii="Times New Roman" w:hAnsi="Times New Roman" w:cs="Times New Roman"/>
          <w:bCs/>
          <w:sz w:val="23"/>
          <w:szCs w:val="23"/>
        </w:rPr>
        <w:t>J.</w:t>
      </w:r>
      <w:r w:rsidR="00B43A28">
        <w:rPr>
          <w:rFonts w:ascii="Times New Roman" w:hAnsi="Times New Roman" w:cs="Times New Roman"/>
          <w:bCs/>
          <w:sz w:val="23"/>
          <w:szCs w:val="23"/>
        </w:rPr>
        <w:t xml:space="preserve"> (2000).</w:t>
      </w:r>
      <w:r>
        <w:rPr>
          <w:rFonts w:ascii="Times New Roman" w:hAnsi="Times New Roman" w:cs="Times New Roman"/>
          <w:bCs/>
          <w:sz w:val="23"/>
          <w:szCs w:val="23"/>
        </w:rPr>
        <w:t xml:space="preserve"> </w:t>
      </w:r>
      <w:r>
        <w:rPr>
          <w:rFonts w:ascii="Times New Roman" w:hAnsi="Times New Roman" w:cs="Times New Roman"/>
          <w:bCs/>
          <w:i/>
          <w:sz w:val="23"/>
          <w:szCs w:val="23"/>
        </w:rPr>
        <w:t>Success in early intervention: The Chicago Child-Parent Center</w:t>
      </w:r>
      <w:r>
        <w:rPr>
          <w:rFonts w:ascii="Times New Roman" w:hAnsi="Times New Roman" w:cs="Times New Roman"/>
          <w:bCs/>
          <w:sz w:val="23"/>
          <w:szCs w:val="23"/>
        </w:rPr>
        <w:t>. Lincoln: University of Nebraska Press</w:t>
      </w:r>
      <w:r w:rsidR="00B43A28">
        <w:rPr>
          <w:rFonts w:ascii="Times New Roman" w:hAnsi="Times New Roman" w:cs="Times New Roman"/>
          <w:bCs/>
          <w:sz w:val="23"/>
          <w:szCs w:val="23"/>
        </w:rPr>
        <w:t>.</w:t>
      </w:r>
    </w:p>
    <w:p w14:paraId="75DCEB1E" w14:textId="77777777" w:rsidR="00804F7C" w:rsidRDefault="00804F7C" w:rsidP="00804F7C">
      <w:pPr>
        <w:spacing w:after="0" w:line="240" w:lineRule="auto"/>
        <w:rPr>
          <w:rFonts w:ascii="Times New Roman" w:hAnsi="Times New Roman" w:cs="Times New Roman"/>
          <w:sz w:val="23"/>
          <w:szCs w:val="23"/>
        </w:rPr>
      </w:pPr>
    </w:p>
    <w:p w14:paraId="3734D329" w14:textId="0A4B4B30" w:rsidR="00804F7C" w:rsidRDefault="00804F7C" w:rsidP="00804F7C">
      <w:pPr>
        <w:spacing w:after="0" w:line="240" w:lineRule="auto"/>
        <w:rPr>
          <w:rFonts w:ascii="Times New Roman" w:hAnsi="Times New Roman" w:cs="Times New Roman"/>
          <w:sz w:val="23"/>
          <w:szCs w:val="23"/>
        </w:rPr>
      </w:pPr>
      <w:r>
        <w:rPr>
          <w:rFonts w:ascii="Times New Roman" w:hAnsi="Times New Roman" w:cs="Times New Roman"/>
          <w:sz w:val="23"/>
          <w:szCs w:val="23"/>
        </w:rPr>
        <w:t>2. Sullivan, L. M</w:t>
      </w:r>
      <w:r w:rsidR="00B43A28">
        <w:rPr>
          <w:rFonts w:ascii="Times New Roman" w:hAnsi="Times New Roman" w:cs="Times New Roman"/>
          <w:sz w:val="23"/>
          <w:szCs w:val="23"/>
        </w:rPr>
        <w:t>. (1971)</w:t>
      </w:r>
      <w:r>
        <w:rPr>
          <w:rFonts w:ascii="Times New Roman" w:hAnsi="Times New Roman" w:cs="Times New Roman"/>
          <w:sz w:val="23"/>
          <w:szCs w:val="23"/>
        </w:rPr>
        <w:t xml:space="preserve">. </w:t>
      </w:r>
      <w:r>
        <w:rPr>
          <w:rFonts w:ascii="Times New Roman" w:hAnsi="Times New Roman" w:cs="Times New Roman"/>
          <w:i/>
          <w:iCs/>
          <w:sz w:val="23"/>
          <w:szCs w:val="23"/>
        </w:rPr>
        <w:t>Let us not underestimate the children</w:t>
      </w:r>
      <w:r>
        <w:rPr>
          <w:rFonts w:ascii="Times New Roman" w:hAnsi="Times New Roman" w:cs="Times New Roman"/>
          <w:sz w:val="23"/>
          <w:szCs w:val="23"/>
        </w:rPr>
        <w:t>. Glenview, IL: Scott Foresman</w:t>
      </w:r>
      <w:r w:rsidR="00B43A28">
        <w:rPr>
          <w:rFonts w:ascii="Times New Roman" w:hAnsi="Times New Roman" w:cs="Times New Roman"/>
          <w:sz w:val="23"/>
          <w:szCs w:val="23"/>
        </w:rPr>
        <w:t>.</w:t>
      </w:r>
    </w:p>
    <w:p w14:paraId="0095B014" w14:textId="77777777" w:rsidR="00804F7C" w:rsidRDefault="00804F7C" w:rsidP="00804F7C">
      <w:pPr>
        <w:spacing w:after="0" w:line="240" w:lineRule="auto"/>
        <w:rPr>
          <w:rFonts w:ascii="Times New Roman" w:hAnsi="Times New Roman" w:cs="Times New Roman"/>
          <w:sz w:val="23"/>
          <w:szCs w:val="23"/>
        </w:rPr>
      </w:pPr>
    </w:p>
    <w:p w14:paraId="73AB9FC1" w14:textId="3AE7B1AC" w:rsidR="00804F7C" w:rsidRDefault="00A44C05" w:rsidP="00804F7C">
      <w:pPr>
        <w:spacing w:after="0" w:line="240" w:lineRule="auto"/>
        <w:rPr>
          <w:rFonts w:ascii="Times New Roman" w:hAnsi="Times New Roman" w:cs="Times New Roman"/>
          <w:sz w:val="23"/>
          <w:szCs w:val="23"/>
        </w:rPr>
      </w:pPr>
      <w:r>
        <w:rPr>
          <w:rFonts w:ascii="Times New Roman" w:hAnsi="Times New Roman" w:cs="Times New Roman"/>
          <w:sz w:val="23"/>
          <w:szCs w:val="23"/>
        </w:rPr>
        <w:t>3</w:t>
      </w:r>
      <w:r w:rsidR="00804F7C">
        <w:rPr>
          <w:rFonts w:ascii="Times New Roman" w:hAnsi="Times New Roman" w:cs="Times New Roman"/>
          <w:sz w:val="23"/>
          <w:szCs w:val="23"/>
        </w:rPr>
        <w:t>. Reynolds, AJ., Ou, S, Temple, JA. (2018). A multicomponent, preschool to 3</w:t>
      </w:r>
      <w:r w:rsidR="00804F7C">
        <w:rPr>
          <w:rFonts w:ascii="Times New Roman" w:hAnsi="Times New Roman" w:cs="Times New Roman"/>
          <w:sz w:val="23"/>
          <w:szCs w:val="23"/>
          <w:vertAlign w:val="superscript"/>
        </w:rPr>
        <w:t>rd</w:t>
      </w:r>
      <w:r w:rsidR="00804F7C">
        <w:rPr>
          <w:rFonts w:ascii="Times New Roman" w:hAnsi="Times New Roman" w:cs="Times New Roman"/>
          <w:sz w:val="23"/>
          <w:szCs w:val="23"/>
        </w:rPr>
        <w:t xml:space="preserve"> grade preventive intervention and educational attainment at 35 years of age. </w:t>
      </w:r>
      <w:r w:rsidR="00804F7C">
        <w:rPr>
          <w:rFonts w:ascii="Times New Roman" w:hAnsi="Times New Roman" w:cs="Times New Roman"/>
          <w:i/>
          <w:sz w:val="23"/>
          <w:szCs w:val="23"/>
        </w:rPr>
        <w:t xml:space="preserve">JAMA Pediatrics. </w:t>
      </w:r>
      <w:r w:rsidR="00804F7C">
        <w:rPr>
          <w:rFonts w:ascii="Times New Roman" w:hAnsi="Times New Roman" w:cs="Times New Roman"/>
          <w:iCs/>
          <w:sz w:val="23"/>
          <w:szCs w:val="23"/>
        </w:rPr>
        <w:t>2018;</w:t>
      </w:r>
      <w:r w:rsidR="00804F7C">
        <w:rPr>
          <w:rFonts w:ascii="Times New Roman" w:hAnsi="Times New Roman" w:cs="Times New Roman"/>
          <w:sz w:val="23"/>
          <w:szCs w:val="23"/>
        </w:rPr>
        <w:t>172</w:t>
      </w:r>
      <w:r w:rsidR="00804F7C">
        <w:rPr>
          <w:rFonts w:ascii="Times New Roman" w:hAnsi="Times New Roman" w:cs="Times New Roman"/>
          <w:i/>
          <w:sz w:val="23"/>
          <w:szCs w:val="23"/>
        </w:rPr>
        <w:t xml:space="preserve">(3), </w:t>
      </w:r>
      <w:r w:rsidR="00804F7C">
        <w:rPr>
          <w:rFonts w:ascii="Times New Roman" w:hAnsi="Times New Roman" w:cs="Times New Roman"/>
          <w:sz w:val="23"/>
          <w:szCs w:val="23"/>
        </w:rPr>
        <w:t>247-256.</w:t>
      </w:r>
    </w:p>
    <w:p w14:paraId="6597DFAF" w14:textId="77777777" w:rsidR="00D01B23" w:rsidRDefault="00D01B23" w:rsidP="00804F7C">
      <w:pPr>
        <w:spacing w:after="0" w:line="240" w:lineRule="auto"/>
        <w:rPr>
          <w:rFonts w:ascii="Times New Roman" w:hAnsi="Times New Roman" w:cs="Times New Roman"/>
          <w:sz w:val="23"/>
          <w:szCs w:val="23"/>
        </w:rPr>
      </w:pPr>
    </w:p>
    <w:p w14:paraId="7FD8CAC4" w14:textId="66020DDF" w:rsidR="00D01B23" w:rsidRDefault="00D01B23" w:rsidP="00D01B23">
      <w:pPr>
        <w:spacing w:after="0" w:line="240" w:lineRule="auto"/>
        <w:rPr>
          <w:rFonts w:ascii="Times New Roman" w:hAnsi="Times New Roman" w:cs="Times New Roman"/>
          <w:bCs/>
          <w:iCs/>
          <w:sz w:val="23"/>
          <w:szCs w:val="23"/>
        </w:rPr>
      </w:pPr>
      <w:r>
        <w:rPr>
          <w:rFonts w:ascii="Times New Roman" w:hAnsi="Times New Roman" w:cs="Times New Roman"/>
          <w:bCs/>
          <w:iCs/>
          <w:sz w:val="23"/>
          <w:szCs w:val="23"/>
        </w:rPr>
        <w:t xml:space="preserve">4. Reynolds, AJ, Temple, JA, Ou, S, Arteaga, IA, White BA. (2011). School-based early childhood education and age-28 well-being: Effects by timing, dosage, and subgroups. </w:t>
      </w:r>
      <w:r>
        <w:rPr>
          <w:rFonts w:ascii="Times New Roman" w:hAnsi="Times New Roman" w:cs="Times New Roman"/>
          <w:bCs/>
          <w:i/>
          <w:iCs/>
          <w:sz w:val="23"/>
          <w:szCs w:val="23"/>
        </w:rPr>
        <w:t>Science 333</w:t>
      </w:r>
      <w:r>
        <w:rPr>
          <w:rFonts w:ascii="Times New Roman" w:hAnsi="Times New Roman" w:cs="Times New Roman"/>
          <w:bCs/>
          <w:iCs/>
          <w:sz w:val="23"/>
          <w:szCs w:val="23"/>
        </w:rPr>
        <w:t>(6040), 360-364.</w:t>
      </w:r>
    </w:p>
    <w:p w14:paraId="77DB093D" w14:textId="77777777" w:rsidR="00D01B23" w:rsidRDefault="00D01B23" w:rsidP="00D01B23">
      <w:pPr>
        <w:spacing w:after="0" w:line="240" w:lineRule="auto"/>
        <w:rPr>
          <w:rFonts w:ascii="Times New Roman" w:hAnsi="Times New Roman" w:cs="Times New Roman"/>
          <w:bCs/>
          <w:iCs/>
          <w:sz w:val="23"/>
          <w:szCs w:val="23"/>
        </w:rPr>
      </w:pPr>
    </w:p>
    <w:p w14:paraId="1760574E" w14:textId="3FA4AE92" w:rsidR="00D01B23" w:rsidRDefault="00D01B23" w:rsidP="00D01B23">
      <w:pPr>
        <w:spacing w:after="0" w:line="240" w:lineRule="auto"/>
        <w:rPr>
          <w:rFonts w:ascii="Times New Roman" w:hAnsi="Times New Roman" w:cs="Times New Roman"/>
          <w:bCs/>
          <w:i/>
          <w:iCs/>
          <w:sz w:val="23"/>
          <w:szCs w:val="23"/>
        </w:rPr>
      </w:pPr>
      <w:r>
        <w:rPr>
          <w:rFonts w:ascii="Times New Roman" w:hAnsi="Times New Roman" w:cs="Times New Roman"/>
          <w:bCs/>
          <w:sz w:val="23"/>
          <w:szCs w:val="23"/>
        </w:rPr>
        <w:t xml:space="preserve">5. Reynolds AJ, Ou, S. (2011). Paths of effects from preschool to adult well-being: A confirmatory analysis of the Child-Parent Center Program. </w:t>
      </w:r>
      <w:r>
        <w:rPr>
          <w:rFonts w:ascii="Times New Roman" w:hAnsi="Times New Roman" w:cs="Times New Roman"/>
          <w:bCs/>
          <w:i/>
          <w:iCs/>
          <w:sz w:val="23"/>
          <w:szCs w:val="23"/>
        </w:rPr>
        <w:t xml:space="preserve">Child Development, </w:t>
      </w:r>
      <w:r>
        <w:rPr>
          <w:rFonts w:ascii="Times New Roman" w:hAnsi="Times New Roman" w:cs="Times New Roman"/>
          <w:bCs/>
          <w:iCs/>
          <w:sz w:val="23"/>
          <w:szCs w:val="23"/>
        </w:rPr>
        <w:t>82(2), 555-582</w:t>
      </w:r>
      <w:r>
        <w:rPr>
          <w:rFonts w:ascii="Times New Roman" w:hAnsi="Times New Roman" w:cs="Times New Roman"/>
          <w:bCs/>
          <w:i/>
          <w:iCs/>
          <w:sz w:val="23"/>
          <w:szCs w:val="23"/>
        </w:rPr>
        <w:t>.</w:t>
      </w:r>
    </w:p>
    <w:p w14:paraId="2AB5B152" w14:textId="77777777" w:rsidR="00D01B23" w:rsidRDefault="00D01B23" w:rsidP="00D01B23">
      <w:pPr>
        <w:spacing w:after="0" w:line="240" w:lineRule="auto"/>
        <w:rPr>
          <w:rFonts w:ascii="Times New Roman" w:hAnsi="Times New Roman" w:cs="Times New Roman"/>
          <w:bCs/>
          <w:iCs/>
          <w:sz w:val="23"/>
          <w:szCs w:val="23"/>
        </w:rPr>
      </w:pPr>
    </w:p>
    <w:p w14:paraId="0B465AE9" w14:textId="487BA96A" w:rsidR="006F5497" w:rsidRPr="006F5497" w:rsidRDefault="006F5497" w:rsidP="006F5497">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6. </w:t>
      </w:r>
      <w:r w:rsidRPr="006F5497">
        <w:rPr>
          <w:rFonts w:ascii="Times New Roman" w:hAnsi="Times New Roman" w:cs="Times New Roman"/>
          <w:sz w:val="23"/>
          <w:szCs w:val="23"/>
        </w:rPr>
        <w:t xml:space="preserve">US Preventive Services Task Force. </w:t>
      </w:r>
      <w:r w:rsidR="00B43A28">
        <w:rPr>
          <w:rFonts w:ascii="Times New Roman" w:hAnsi="Times New Roman" w:cs="Times New Roman"/>
          <w:sz w:val="23"/>
          <w:szCs w:val="23"/>
        </w:rPr>
        <w:t xml:space="preserve">(2021). </w:t>
      </w:r>
      <w:r w:rsidRPr="006F5497">
        <w:rPr>
          <w:rFonts w:ascii="Times New Roman" w:hAnsi="Times New Roman" w:cs="Times New Roman"/>
          <w:sz w:val="23"/>
          <w:szCs w:val="23"/>
        </w:rPr>
        <w:t xml:space="preserve">Actions to Transform US Preventive Services Task Force Methods to Mitigate Systemic Racism in Clinical Preventive Services. </w:t>
      </w:r>
      <w:r w:rsidRPr="006F5497">
        <w:rPr>
          <w:rFonts w:ascii="Times New Roman" w:hAnsi="Times New Roman" w:cs="Times New Roman"/>
          <w:i/>
          <w:iCs/>
          <w:sz w:val="23"/>
          <w:szCs w:val="23"/>
        </w:rPr>
        <w:t>JAMA.</w:t>
      </w:r>
      <w:r w:rsidRPr="006F5497">
        <w:rPr>
          <w:rFonts w:ascii="Times New Roman" w:hAnsi="Times New Roman" w:cs="Times New Roman"/>
          <w:sz w:val="23"/>
          <w:szCs w:val="23"/>
        </w:rPr>
        <w:t xml:space="preserve"> </w:t>
      </w:r>
      <w:r w:rsidR="00B43A28">
        <w:rPr>
          <w:rFonts w:ascii="Times New Roman" w:hAnsi="Times New Roman" w:cs="Times New Roman"/>
          <w:sz w:val="23"/>
          <w:szCs w:val="23"/>
        </w:rPr>
        <w:t>P</w:t>
      </w:r>
      <w:r w:rsidRPr="006F5497">
        <w:rPr>
          <w:rFonts w:ascii="Times New Roman" w:hAnsi="Times New Roman" w:cs="Times New Roman"/>
          <w:sz w:val="23"/>
          <w:szCs w:val="23"/>
        </w:rPr>
        <w:t>ublished online November 08. doi:10.1001/jama.2021.17594</w:t>
      </w:r>
    </w:p>
    <w:p w14:paraId="7D528900" w14:textId="77777777" w:rsidR="006F5497" w:rsidRPr="006F5497" w:rsidRDefault="006F5497" w:rsidP="006F5497">
      <w:pPr>
        <w:spacing w:after="0" w:line="240" w:lineRule="auto"/>
        <w:rPr>
          <w:rFonts w:ascii="Times New Roman" w:hAnsi="Times New Roman" w:cs="Times New Roman"/>
          <w:sz w:val="23"/>
          <w:szCs w:val="23"/>
        </w:rPr>
      </w:pPr>
    </w:p>
    <w:p w14:paraId="625EB9F6" w14:textId="3DFC0FD5" w:rsidR="006F5497" w:rsidRDefault="006F5497" w:rsidP="006F5497">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7. </w:t>
      </w:r>
      <w:r w:rsidRPr="006F5497">
        <w:rPr>
          <w:rFonts w:ascii="Times New Roman" w:hAnsi="Times New Roman" w:cs="Times New Roman"/>
          <w:sz w:val="23"/>
          <w:szCs w:val="23"/>
        </w:rPr>
        <w:t xml:space="preserve">Bruno, E. P., &amp; Iruka, I. U. (2021). Reexamining the Carolina Abecedarian Project using an antiracist perspective: Implications for early care and education research. </w:t>
      </w:r>
      <w:r w:rsidRPr="006F5497">
        <w:rPr>
          <w:rFonts w:ascii="Times New Roman" w:hAnsi="Times New Roman" w:cs="Times New Roman"/>
          <w:i/>
          <w:iCs/>
          <w:sz w:val="23"/>
          <w:szCs w:val="23"/>
        </w:rPr>
        <w:t>Early Childhood Research Quarterly</w:t>
      </w:r>
      <w:r w:rsidRPr="006F5497">
        <w:rPr>
          <w:rFonts w:ascii="Times New Roman" w:hAnsi="Times New Roman" w:cs="Times New Roman"/>
          <w:sz w:val="23"/>
          <w:szCs w:val="23"/>
        </w:rPr>
        <w:t xml:space="preserve">, </w:t>
      </w:r>
      <w:r w:rsidRPr="006F5497">
        <w:rPr>
          <w:rFonts w:ascii="Times New Roman" w:hAnsi="Times New Roman" w:cs="Times New Roman"/>
          <w:i/>
          <w:iCs/>
          <w:sz w:val="23"/>
          <w:szCs w:val="23"/>
        </w:rPr>
        <w:t>58</w:t>
      </w:r>
      <w:r w:rsidRPr="006F5497">
        <w:rPr>
          <w:rFonts w:ascii="Times New Roman" w:hAnsi="Times New Roman" w:cs="Times New Roman"/>
          <w:sz w:val="23"/>
          <w:szCs w:val="23"/>
        </w:rPr>
        <w:t>(1), 165-176.</w:t>
      </w:r>
    </w:p>
    <w:p w14:paraId="09F82484" w14:textId="77777777" w:rsidR="00D01B23" w:rsidRDefault="00D01B23" w:rsidP="006F5497">
      <w:pPr>
        <w:spacing w:after="0" w:line="240" w:lineRule="auto"/>
        <w:rPr>
          <w:rFonts w:ascii="Times New Roman" w:hAnsi="Times New Roman" w:cs="Times New Roman"/>
          <w:sz w:val="23"/>
          <w:szCs w:val="23"/>
        </w:rPr>
      </w:pPr>
    </w:p>
    <w:p w14:paraId="178E0254" w14:textId="3FB3D583" w:rsidR="00D01B23" w:rsidRDefault="00D01B23" w:rsidP="00D01B23">
      <w:pPr>
        <w:spacing w:after="0" w:line="240" w:lineRule="auto"/>
        <w:rPr>
          <w:rFonts w:ascii="Times New Roman" w:hAnsi="Times New Roman" w:cs="Times New Roman"/>
          <w:sz w:val="23"/>
          <w:szCs w:val="23"/>
        </w:rPr>
      </w:pPr>
      <w:r>
        <w:rPr>
          <w:rFonts w:ascii="Times New Roman" w:hAnsi="Times New Roman" w:cs="Times New Roman"/>
          <w:sz w:val="23"/>
          <w:szCs w:val="23"/>
        </w:rPr>
        <w:t>8. Reynolds AJ, Hayakawa M, Candee, AJ, Englund, MM.</w:t>
      </w:r>
      <w:r w:rsidR="00B43A28">
        <w:rPr>
          <w:rFonts w:ascii="Times New Roman" w:hAnsi="Times New Roman" w:cs="Times New Roman"/>
          <w:sz w:val="23"/>
          <w:szCs w:val="23"/>
        </w:rPr>
        <w:t xml:space="preserve"> (2016).</w:t>
      </w:r>
      <w:r>
        <w:rPr>
          <w:rFonts w:ascii="Times New Roman" w:hAnsi="Times New Roman" w:cs="Times New Roman"/>
          <w:sz w:val="23"/>
          <w:szCs w:val="23"/>
        </w:rPr>
        <w:t xml:space="preserve"> </w:t>
      </w:r>
      <w:r>
        <w:rPr>
          <w:rFonts w:ascii="Times New Roman" w:hAnsi="Times New Roman" w:cs="Times New Roman"/>
          <w:i/>
          <w:iCs/>
          <w:sz w:val="23"/>
          <w:szCs w:val="23"/>
        </w:rPr>
        <w:t xml:space="preserve">CPC P-3 program manual: Child-Parent Center Preschool-3rd Grade Program. </w:t>
      </w:r>
      <w:r>
        <w:rPr>
          <w:rFonts w:ascii="Times New Roman" w:hAnsi="Times New Roman" w:cs="Times New Roman"/>
          <w:sz w:val="23"/>
          <w:szCs w:val="23"/>
        </w:rPr>
        <w:t>Minneapolis, MN: Human Capital Research Collaborative, University of Minnesota</w:t>
      </w:r>
      <w:r w:rsidR="00B43A28">
        <w:rPr>
          <w:rFonts w:ascii="Times New Roman" w:hAnsi="Times New Roman" w:cs="Times New Roman"/>
          <w:sz w:val="23"/>
          <w:szCs w:val="23"/>
        </w:rPr>
        <w:t>.</w:t>
      </w:r>
    </w:p>
    <w:p w14:paraId="6F1F4FB6" w14:textId="77777777" w:rsidR="00D01B23" w:rsidRDefault="00D01B23" w:rsidP="00D01B23">
      <w:pPr>
        <w:spacing w:after="0" w:line="240" w:lineRule="auto"/>
        <w:rPr>
          <w:rFonts w:ascii="Times New Roman" w:hAnsi="Times New Roman" w:cs="Times New Roman"/>
          <w:sz w:val="23"/>
          <w:szCs w:val="23"/>
        </w:rPr>
      </w:pPr>
    </w:p>
    <w:p w14:paraId="6B11FBC7" w14:textId="77777777" w:rsidR="00D01B23" w:rsidRDefault="00D01B23" w:rsidP="00D01B23">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9. Reynolds AJ, Temple JA, Robertson, DL, Mann, EA. (2001). Long-term effects of an early childhood intervention on educational achievement and juvenile arrest: A 15-year follow-up of low-income children in public schools. </w:t>
      </w:r>
      <w:r>
        <w:rPr>
          <w:rFonts w:ascii="Times New Roman" w:hAnsi="Times New Roman" w:cs="Times New Roman"/>
          <w:i/>
          <w:sz w:val="23"/>
          <w:szCs w:val="23"/>
        </w:rPr>
        <w:t>JAMA, 285</w:t>
      </w:r>
      <w:r>
        <w:rPr>
          <w:rFonts w:ascii="Times New Roman" w:hAnsi="Times New Roman" w:cs="Times New Roman"/>
          <w:sz w:val="23"/>
          <w:szCs w:val="23"/>
        </w:rPr>
        <w:t>(18), 2339-2346.</w:t>
      </w:r>
    </w:p>
    <w:p w14:paraId="19881742" w14:textId="77777777" w:rsidR="00D01B23" w:rsidRPr="006F5497" w:rsidRDefault="00D01B23" w:rsidP="006F5497">
      <w:pPr>
        <w:spacing w:after="0" w:line="240" w:lineRule="auto"/>
        <w:rPr>
          <w:rFonts w:ascii="Times New Roman" w:hAnsi="Times New Roman" w:cs="Times New Roman"/>
          <w:sz w:val="23"/>
          <w:szCs w:val="23"/>
        </w:rPr>
      </w:pPr>
    </w:p>
    <w:p w14:paraId="450A95D8" w14:textId="7905297A" w:rsidR="00804F7C" w:rsidRDefault="00D01B23" w:rsidP="00804F7C">
      <w:pPr>
        <w:spacing w:after="0" w:line="240" w:lineRule="auto"/>
        <w:rPr>
          <w:rFonts w:ascii="Times New Roman" w:hAnsi="Times New Roman" w:cs="Times New Roman"/>
          <w:bCs/>
          <w:sz w:val="23"/>
          <w:szCs w:val="23"/>
        </w:rPr>
      </w:pPr>
      <w:r>
        <w:rPr>
          <w:rFonts w:ascii="Times New Roman" w:hAnsi="Times New Roman" w:cs="Times New Roman"/>
          <w:bCs/>
          <w:iCs/>
          <w:sz w:val="23"/>
          <w:szCs w:val="23"/>
        </w:rPr>
        <w:t>10</w:t>
      </w:r>
      <w:r w:rsidR="00804F7C">
        <w:rPr>
          <w:rFonts w:ascii="Times New Roman" w:hAnsi="Times New Roman" w:cs="Times New Roman"/>
          <w:bCs/>
          <w:iCs/>
          <w:sz w:val="23"/>
          <w:szCs w:val="23"/>
        </w:rPr>
        <w:t xml:space="preserve">. Reynolds AJ, Temple  JA, White, BA, Ou S, Robertson DL. (2011). </w:t>
      </w:r>
      <w:r w:rsidR="00804F7C">
        <w:rPr>
          <w:rFonts w:ascii="Times New Roman" w:hAnsi="Times New Roman" w:cs="Times New Roman"/>
          <w:bCs/>
          <w:sz w:val="23"/>
          <w:szCs w:val="23"/>
        </w:rPr>
        <w:t xml:space="preserve">Age-26 cost-benefit analysis of the Child-Parent Center early education program. </w:t>
      </w:r>
      <w:r w:rsidR="00804F7C">
        <w:rPr>
          <w:rFonts w:ascii="Times New Roman" w:hAnsi="Times New Roman" w:cs="Times New Roman"/>
          <w:bCs/>
          <w:i/>
          <w:sz w:val="23"/>
          <w:szCs w:val="23"/>
        </w:rPr>
        <w:t>Child Development</w:t>
      </w:r>
      <w:r w:rsidR="00804F7C">
        <w:rPr>
          <w:rFonts w:ascii="Times New Roman" w:hAnsi="Times New Roman" w:cs="Times New Roman"/>
          <w:bCs/>
          <w:sz w:val="23"/>
          <w:szCs w:val="23"/>
        </w:rPr>
        <w:t xml:space="preserve">, </w:t>
      </w:r>
      <w:r w:rsidR="00804F7C">
        <w:rPr>
          <w:rFonts w:ascii="Times New Roman" w:hAnsi="Times New Roman" w:cs="Times New Roman"/>
          <w:bCs/>
          <w:i/>
          <w:sz w:val="23"/>
          <w:szCs w:val="23"/>
        </w:rPr>
        <w:t>82</w:t>
      </w:r>
      <w:r w:rsidR="00804F7C">
        <w:rPr>
          <w:rFonts w:ascii="Times New Roman" w:hAnsi="Times New Roman" w:cs="Times New Roman"/>
          <w:bCs/>
          <w:sz w:val="23"/>
          <w:szCs w:val="23"/>
        </w:rPr>
        <w:t>(1), 379-404.</w:t>
      </w:r>
    </w:p>
    <w:p w14:paraId="422347DA" w14:textId="77777777" w:rsidR="00804F7C" w:rsidRDefault="00804F7C" w:rsidP="00804F7C">
      <w:pPr>
        <w:spacing w:after="0" w:line="240" w:lineRule="auto"/>
        <w:rPr>
          <w:rFonts w:ascii="Times New Roman" w:hAnsi="Times New Roman" w:cs="Times New Roman"/>
          <w:bCs/>
          <w:sz w:val="23"/>
          <w:szCs w:val="23"/>
        </w:rPr>
      </w:pPr>
    </w:p>
    <w:p w14:paraId="254165D8" w14:textId="119D51EA" w:rsidR="00A44C05" w:rsidRDefault="00D01B23" w:rsidP="00A44C05">
      <w:pPr>
        <w:spacing w:after="0" w:line="240" w:lineRule="auto"/>
        <w:rPr>
          <w:rFonts w:ascii="Times New Roman" w:hAnsi="Times New Roman" w:cs="Times New Roman"/>
          <w:bCs/>
          <w:sz w:val="23"/>
          <w:szCs w:val="23"/>
        </w:rPr>
      </w:pPr>
      <w:r>
        <w:rPr>
          <w:rFonts w:ascii="Times New Roman" w:hAnsi="Times New Roman" w:cs="Times New Roman"/>
          <w:bCs/>
          <w:sz w:val="23"/>
          <w:szCs w:val="23"/>
        </w:rPr>
        <w:t>11</w:t>
      </w:r>
      <w:r w:rsidR="00804F7C">
        <w:rPr>
          <w:rFonts w:ascii="Times New Roman" w:hAnsi="Times New Roman" w:cs="Times New Roman"/>
          <w:bCs/>
          <w:sz w:val="23"/>
          <w:szCs w:val="23"/>
        </w:rPr>
        <w:t>. Reynolds AJ, Temple JA, Ou SR, et al</w:t>
      </w:r>
      <w:r w:rsidR="00B43A28">
        <w:rPr>
          <w:rFonts w:ascii="Times New Roman" w:hAnsi="Times New Roman" w:cs="Times New Roman"/>
          <w:bCs/>
          <w:sz w:val="23"/>
          <w:szCs w:val="23"/>
        </w:rPr>
        <w:t>.</w:t>
      </w:r>
      <w:r w:rsidR="00804F7C">
        <w:rPr>
          <w:rFonts w:ascii="Times New Roman" w:hAnsi="Times New Roman" w:cs="Times New Roman"/>
          <w:bCs/>
          <w:sz w:val="23"/>
          <w:szCs w:val="23"/>
        </w:rPr>
        <w:t xml:space="preserve"> (2007)</w:t>
      </w:r>
      <w:r w:rsidR="00B43A28">
        <w:rPr>
          <w:rFonts w:ascii="Times New Roman" w:hAnsi="Times New Roman" w:cs="Times New Roman"/>
          <w:bCs/>
          <w:sz w:val="23"/>
          <w:szCs w:val="23"/>
        </w:rPr>
        <w:t>.</w:t>
      </w:r>
      <w:r w:rsidR="00804F7C">
        <w:rPr>
          <w:rFonts w:ascii="Times New Roman" w:hAnsi="Times New Roman" w:cs="Times New Roman"/>
          <w:bCs/>
          <w:sz w:val="23"/>
          <w:szCs w:val="23"/>
        </w:rPr>
        <w:t xml:space="preserve"> Effects of a school-based, early childhood intervention on adult health and well-being: A 19-year follow-up of low-income families. </w:t>
      </w:r>
      <w:r w:rsidR="00804F7C">
        <w:rPr>
          <w:rFonts w:ascii="Times New Roman" w:hAnsi="Times New Roman" w:cs="Times New Roman"/>
          <w:bCs/>
          <w:i/>
          <w:sz w:val="23"/>
          <w:szCs w:val="23"/>
        </w:rPr>
        <w:t xml:space="preserve">Arch </w:t>
      </w:r>
      <w:proofErr w:type="spellStart"/>
      <w:r w:rsidR="00804F7C">
        <w:rPr>
          <w:rFonts w:ascii="Times New Roman" w:hAnsi="Times New Roman" w:cs="Times New Roman"/>
          <w:bCs/>
          <w:i/>
          <w:sz w:val="23"/>
          <w:szCs w:val="23"/>
        </w:rPr>
        <w:t>Pediat</w:t>
      </w:r>
      <w:proofErr w:type="spellEnd"/>
      <w:r w:rsidR="00804F7C">
        <w:rPr>
          <w:rFonts w:ascii="Times New Roman" w:hAnsi="Times New Roman" w:cs="Times New Roman"/>
          <w:bCs/>
          <w:i/>
          <w:sz w:val="23"/>
          <w:szCs w:val="23"/>
        </w:rPr>
        <w:t xml:space="preserve"> Adol Med. </w:t>
      </w:r>
      <w:r w:rsidR="00804F7C">
        <w:rPr>
          <w:rFonts w:ascii="Times New Roman" w:hAnsi="Times New Roman" w:cs="Times New Roman"/>
          <w:bCs/>
          <w:sz w:val="23"/>
          <w:szCs w:val="23"/>
        </w:rPr>
        <w:t>161(8):730-739.</w:t>
      </w:r>
    </w:p>
    <w:p w14:paraId="12E1F755" w14:textId="77777777" w:rsidR="00A44C05" w:rsidRDefault="00A44C05" w:rsidP="00A44C05">
      <w:pPr>
        <w:spacing w:after="0" w:line="240" w:lineRule="auto"/>
        <w:rPr>
          <w:rFonts w:ascii="Times New Roman" w:hAnsi="Times New Roman" w:cs="Times New Roman"/>
          <w:bCs/>
          <w:sz w:val="23"/>
          <w:szCs w:val="23"/>
        </w:rPr>
      </w:pPr>
    </w:p>
    <w:p w14:paraId="2F568C87" w14:textId="4872F213" w:rsidR="00A44C05" w:rsidRPr="00A44C05" w:rsidRDefault="00A44C05" w:rsidP="00A44C05">
      <w:pPr>
        <w:spacing w:after="0" w:line="240" w:lineRule="auto"/>
        <w:rPr>
          <w:rFonts w:ascii="Times New Roman" w:hAnsi="Times New Roman" w:cs="Times New Roman"/>
          <w:bCs/>
          <w:sz w:val="23"/>
          <w:szCs w:val="23"/>
        </w:rPr>
      </w:pPr>
      <w:r>
        <w:rPr>
          <w:rFonts w:ascii="Times New Roman" w:hAnsi="Times New Roman" w:cs="Times New Roman"/>
          <w:bCs/>
          <w:sz w:val="23"/>
          <w:szCs w:val="23"/>
        </w:rPr>
        <w:t>1</w:t>
      </w:r>
      <w:r w:rsidR="00D01B23">
        <w:rPr>
          <w:rFonts w:ascii="Times New Roman" w:hAnsi="Times New Roman" w:cs="Times New Roman"/>
          <w:bCs/>
          <w:sz w:val="23"/>
          <w:szCs w:val="23"/>
        </w:rPr>
        <w:t>2</w:t>
      </w:r>
      <w:r>
        <w:rPr>
          <w:rFonts w:ascii="Times New Roman" w:hAnsi="Times New Roman" w:cs="Times New Roman"/>
          <w:bCs/>
          <w:sz w:val="23"/>
          <w:szCs w:val="23"/>
        </w:rPr>
        <w:t xml:space="preserve">. </w:t>
      </w:r>
      <w:r w:rsidRPr="00B15122">
        <w:rPr>
          <w:rStyle w:val="authors"/>
          <w:rFonts w:ascii="Times New Roman" w:hAnsi="Times New Roman" w:cs="Times New Roman"/>
        </w:rPr>
        <w:t>Reynolds AJ, Ou SR, Eales L, Mondi CF, Giovanelli A</w:t>
      </w:r>
      <w:r w:rsidR="00B43A28">
        <w:rPr>
          <w:rStyle w:val="authors"/>
          <w:rFonts w:ascii="Times New Roman" w:hAnsi="Times New Roman" w:cs="Times New Roman"/>
        </w:rPr>
        <w:t>. (2021)</w:t>
      </w:r>
      <w:r w:rsidRPr="00B15122">
        <w:rPr>
          <w:rStyle w:val="authors"/>
          <w:rFonts w:ascii="Times New Roman" w:hAnsi="Times New Roman" w:cs="Times New Roman"/>
        </w:rPr>
        <w:t xml:space="preserve">. </w:t>
      </w:r>
      <w:hyperlink r:id="rId8" w:history="1">
        <w:r w:rsidRPr="00A44C05">
          <w:rPr>
            <w:rStyle w:val="Hyperlink"/>
            <w:rFonts w:ascii="Times New Roman" w:hAnsi="Times New Roman" w:cs="Times New Roman"/>
            <w:u w:val="none"/>
          </w:rPr>
          <w:t>Assessment of a Comprehensive Early Childhood Education Program and Cardiovascular Disease Risk in Midlife.</w:t>
        </w:r>
        <w:r w:rsidRPr="00B15122">
          <w:rPr>
            <w:rStyle w:val="Hyperlink"/>
            <w:rFonts w:ascii="Times New Roman" w:hAnsi="Times New Roman" w:cs="Times New Roman"/>
          </w:rPr>
          <w:t xml:space="preserve"> </w:t>
        </w:r>
      </w:hyperlink>
      <w:r w:rsidRPr="00B15122">
        <w:rPr>
          <w:rStyle w:val="source"/>
          <w:rFonts w:ascii="Times New Roman" w:hAnsi="Times New Roman" w:cs="Times New Roman"/>
        </w:rPr>
        <w:t>JAMA Netw</w:t>
      </w:r>
      <w:r w:rsidR="00B43A28">
        <w:rPr>
          <w:rStyle w:val="source"/>
          <w:rFonts w:ascii="Times New Roman" w:hAnsi="Times New Roman" w:cs="Times New Roman"/>
        </w:rPr>
        <w:t>ork</w:t>
      </w:r>
      <w:r w:rsidRPr="00B15122">
        <w:rPr>
          <w:rStyle w:val="source"/>
          <w:rFonts w:ascii="Times New Roman" w:hAnsi="Times New Roman" w:cs="Times New Roman"/>
        </w:rPr>
        <w:t xml:space="preserve"> Open</w:t>
      </w:r>
      <w:r w:rsidRPr="00B15122">
        <w:rPr>
          <w:rFonts w:ascii="Times New Roman" w:hAnsi="Times New Roman" w:cs="Times New Roman"/>
        </w:rPr>
        <w:t>.</w:t>
      </w:r>
      <w:r w:rsidR="00B43A28">
        <w:rPr>
          <w:rFonts w:ascii="Times New Roman" w:hAnsi="Times New Roman" w:cs="Times New Roman"/>
        </w:rPr>
        <w:t xml:space="preserve">, </w:t>
      </w:r>
      <w:r w:rsidRPr="00B15122">
        <w:rPr>
          <w:rStyle w:val="pubdate"/>
          <w:rFonts w:ascii="Times New Roman" w:hAnsi="Times New Roman" w:cs="Times New Roman"/>
        </w:rPr>
        <w:t>2;</w:t>
      </w:r>
      <w:r w:rsidRPr="00B15122">
        <w:rPr>
          <w:rStyle w:val="volume"/>
          <w:rFonts w:ascii="Times New Roman" w:hAnsi="Times New Roman" w:cs="Times New Roman"/>
        </w:rPr>
        <w:t>4</w:t>
      </w:r>
      <w:r w:rsidRPr="00B15122">
        <w:rPr>
          <w:rStyle w:val="issue"/>
          <w:rFonts w:ascii="Times New Roman" w:hAnsi="Times New Roman" w:cs="Times New Roman"/>
        </w:rPr>
        <w:t>(8)</w:t>
      </w:r>
      <w:r w:rsidRPr="00B15122">
        <w:rPr>
          <w:rStyle w:val="pages"/>
          <w:rFonts w:ascii="Times New Roman" w:hAnsi="Times New Roman" w:cs="Times New Roman"/>
        </w:rPr>
        <w:t>:e2120752</w:t>
      </w:r>
      <w:r w:rsidRPr="00B15122">
        <w:rPr>
          <w:rFonts w:ascii="Times New Roman" w:hAnsi="Times New Roman" w:cs="Times New Roman"/>
        </w:rPr>
        <w:t xml:space="preserve">. </w:t>
      </w:r>
      <w:proofErr w:type="spellStart"/>
      <w:r w:rsidRPr="00B15122">
        <w:rPr>
          <w:rStyle w:val="doi"/>
          <w:rFonts w:ascii="Times New Roman" w:hAnsi="Times New Roman" w:cs="Times New Roman"/>
        </w:rPr>
        <w:t>doi</w:t>
      </w:r>
      <w:proofErr w:type="spellEnd"/>
      <w:r w:rsidRPr="00B15122">
        <w:rPr>
          <w:rStyle w:val="doi"/>
          <w:rFonts w:ascii="Times New Roman" w:hAnsi="Times New Roman" w:cs="Times New Roman"/>
        </w:rPr>
        <w:t xml:space="preserve">: 10.1001/jamanetworkopen.2021.20752. </w:t>
      </w:r>
      <w:r w:rsidRPr="00B15122">
        <w:rPr>
          <w:rStyle w:val="pmid"/>
          <w:rFonts w:ascii="Times New Roman" w:hAnsi="Times New Roman" w:cs="Times New Roman"/>
        </w:rPr>
        <w:t>PubMed PMID: 34415316</w:t>
      </w:r>
      <w:r w:rsidRPr="00B15122">
        <w:rPr>
          <w:rStyle w:val="pmcid"/>
          <w:rFonts w:ascii="Times New Roman" w:hAnsi="Times New Roman" w:cs="Times New Roman"/>
        </w:rPr>
        <w:t>; PubMed Central PMCID: PMC8379657</w:t>
      </w:r>
      <w:r w:rsidRPr="00B15122">
        <w:rPr>
          <w:rFonts w:ascii="Times New Roman" w:hAnsi="Times New Roman" w:cs="Times New Roman"/>
        </w:rPr>
        <w:t xml:space="preserve">. </w:t>
      </w:r>
    </w:p>
    <w:p w14:paraId="4645AC70" w14:textId="77777777" w:rsidR="002C046B" w:rsidRDefault="002C046B" w:rsidP="00804F7C">
      <w:pPr>
        <w:spacing w:after="0" w:line="240" w:lineRule="auto"/>
        <w:rPr>
          <w:rFonts w:ascii="Times New Roman" w:hAnsi="Times New Roman" w:cs="Times New Roman"/>
          <w:bCs/>
          <w:sz w:val="23"/>
          <w:szCs w:val="23"/>
        </w:rPr>
      </w:pPr>
    </w:p>
    <w:p w14:paraId="329B37E4" w14:textId="7CC56D89" w:rsidR="002C046B" w:rsidRDefault="00D01B23" w:rsidP="002C046B">
      <w:pPr>
        <w:spacing w:after="0" w:line="240" w:lineRule="auto"/>
        <w:rPr>
          <w:rFonts w:ascii="Times New Roman" w:hAnsi="Times New Roman" w:cs="Times New Roman"/>
          <w:bCs/>
          <w:sz w:val="23"/>
          <w:szCs w:val="23"/>
        </w:rPr>
      </w:pPr>
      <w:r>
        <w:rPr>
          <w:rFonts w:ascii="Times New Roman" w:hAnsi="Times New Roman" w:cs="Times New Roman"/>
          <w:bCs/>
          <w:sz w:val="23"/>
          <w:szCs w:val="23"/>
        </w:rPr>
        <w:t>13</w:t>
      </w:r>
      <w:r w:rsidR="002C046B" w:rsidRPr="002C046B">
        <w:rPr>
          <w:rFonts w:ascii="Times New Roman" w:hAnsi="Times New Roman" w:cs="Times New Roman"/>
          <w:bCs/>
          <w:sz w:val="23"/>
          <w:szCs w:val="23"/>
        </w:rPr>
        <w:t xml:space="preserve">. Reynolds AJ, Eales L, Ou S-R, Mondi CF, Giovanelli A. </w:t>
      </w:r>
      <w:r w:rsidR="00B43A28">
        <w:rPr>
          <w:rFonts w:ascii="Times New Roman" w:hAnsi="Times New Roman" w:cs="Times New Roman"/>
          <w:bCs/>
          <w:sz w:val="23"/>
          <w:szCs w:val="23"/>
        </w:rPr>
        <w:t xml:space="preserve">(2021). </w:t>
      </w:r>
      <w:r w:rsidR="002C046B" w:rsidRPr="002C046B">
        <w:rPr>
          <w:rFonts w:ascii="Times New Roman" w:hAnsi="Times New Roman" w:cs="Times New Roman"/>
          <w:bCs/>
          <w:sz w:val="23"/>
          <w:szCs w:val="23"/>
        </w:rPr>
        <w:t xml:space="preserve">A comprehensive, multisystemic early childhood program and obesity at age 37 years. </w:t>
      </w:r>
      <w:r w:rsidR="002C046B" w:rsidRPr="002C046B">
        <w:rPr>
          <w:rFonts w:ascii="Times New Roman" w:hAnsi="Times New Roman" w:cs="Times New Roman"/>
          <w:bCs/>
          <w:i/>
          <w:iCs/>
          <w:sz w:val="23"/>
          <w:szCs w:val="23"/>
        </w:rPr>
        <w:t>JAMA Pediatrics</w:t>
      </w:r>
      <w:r w:rsidR="002C046B" w:rsidRPr="002C046B">
        <w:rPr>
          <w:rFonts w:ascii="Times New Roman" w:hAnsi="Times New Roman" w:cs="Times New Roman"/>
          <w:bCs/>
          <w:sz w:val="23"/>
          <w:szCs w:val="23"/>
        </w:rPr>
        <w:t>.  doi:10.1001/jamapediatrics.2020.6721</w:t>
      </w:r>
    </w:p>
    <w:p w14:paraId="213F7E3F" w14:textId="77777777" w:rsidR="002C046B" w:rsidRPr="002C046B" w:rsidRDefault="002C046B" w:rsidP="002C046B">
      <w:pPr>
        <w:spacing w:after="0" w:line="240" w:lineRule="auto"/>
        <w:rPr>
          <w:rFonts w:ascii="Times New Roman" w:hAnsi="Times New Roman" w:cs="Times New Roman"/>
          <w:bCs/>
          <w:sz w:val="23"/>
          <w:szCs w:val="23"/>
        </w:rPr>
      </w:pPr>
    </w:p>
    <w:p w14:paraId="56FE4FC8" w14:textId="2284C0B6" w:rsidR="002C046B" w:rsidRPr="002C046B" w:rsidRDefault="00A44C05" w:rsidP="002C046B">
      <w:pPr>
        <w:spacing w:after="0" w:line="240" w:lineRule="auto"/>
        <w:rPr>
          <w:rFonts w:ascii="Times New Roman" w:hAnsi="Times New Roman" w:cs="Times New Roman"/>
          <w:bCs/>
          <w:sz w:val="23"/>
          <w:szCs w:val="23"/>
        </w:rPr>
      </w:pPr>
      <w:r>
        <w:rPr>
          <w:rFonts w:ascii="Times New Roman" w:hAnsi="Times New Roman" w:cs="Times New Roman"/>
          <w:bCs/>
          <w:sz w:val="23"/>
          <w:szCs w:val="23"/>
        </w:rPr>
        <w:t>1</w:t>
      </w:r>
      <w:r w:rsidR="00D01B23">
        <w:rPr>
          <w:rFonts w:ascii="Times New Roman" w:hAnsi="Times New Roman" w:cs="Times New Roman"/>
          <w:bCs/>
          <w:sz w:val="23"/>
          <w:szCs w:val="23"/>
        </w:rPr>
        <w:t>4</w:t>
      </w:r>
      <w:r w:rsidR="002C046B" w:rsidRPr="002C046B">
        <w:rPr>
          <w:rFonts w:ascii="Times New Roman" w:hAnsi="Times New Roman" w:cs="Times New Roman"/>
          <w:bCs/>
          <w:sz w:val="23"/>
          <w:szCs w:val="23"/>
        </w:rPr>
        <w:t xml:space="preserve">. Mondi CF, Reynolds AJ, Richardson BA. </w:t>
      </w:r>
      <w:r w:rsidR="00B43A28">
        <w:rPr>
          <w:rFonts w:ascii="Times New Roman" w:hAnsi="Times New Roman" w:cs="Times New Roman"/>
          <w:bCs/>
          <w:sz w:val="23"/>
          <w:szCs w:val="23"/>
        </w:rPr>
        <w:t xml:space="preserve">(2020). </w:t>
      </w:r>
      <w:r w:rsidR="002C046B" w:rsidRPr="002C046B">
        <w:rPr>
          <w:rFonts w:ascii="Times New Roman" w:hAnsi="Times New Roman" w:cs="Times New Roman"/>
          <w:bCs/>
          <w:sz w:val="23"/>
          <w:szCs w:val="23"/>
        </w:rPr>
        <w:t xml:space="preserve">Early childhood education and adult depression: An attrition reanalysis with inverse propensity score weighting. </w:t>
      </w:r>
      <w:r w:rsidR="002C046B" w:rsidRPr="002C046B">
        <w:rPr>
          <w:rFonts w:ascii="Times New Roman" w:hAnsi="Times New Roman" w:cs="Times New Roman"/>
          <w:bCs/>
          <w:i/>
          <w:iCs/>
          <w:sz w:val="23"/>
          <w:szCs w:val="23"/>
        </w:rPr>
        <w:t>Eval</w:t>
      </w:r>
      <w:r w:rsidR="00B43A28">
        <w:rPr>
          <w:rFonts w:ascii="Times New Roman" w:hAnsi="Times New Roman" w:cs="Times New Roman"/>
          <w:bCs/>
          <w:i/>
          <w:iCs/>
          <w:sz w:val="23"/>
          <w:szCs w:val="23"/>
        </w:rPr>
        <w:t>uation</w:t>
      </w:r>
      <w:r w:rsidR="002C046B" w:rsidRPr="002C046B">
        <w:rPr>
          <w:rFonts w:ascii="Times New Roman" w:hAnsi="Times New Roman" w:cs="Times New Roman"/>
          <w:bCs/>
          <w:i/>
          <w:iCs/>
          <w:sz w:val="23"/>
          <w:szCs w:val="23"/>
        </w:rPr>
        <w:t xml:space="preserve"> Rev</w:t>
      </w:r>
      <w:r w:rsidR="00B43A28">
        <w:rPr>
          <w:rFonts w:ascii="Times New Roman" w:hAnsi="Times New Roman" w:cs="Times New Roman"/>
          <w:bCs/>
          <w:sz w:val="23"/>
          <w:szCs w:val="23"/>
        </w:rPr>
        <w:t xml:space="preserve">iew, </w:t>
      </w:r>
      <w:r w:rsidR="002C046B" w:rsidRPr="002C046B">
        <w:rPr>
          <w:rFonts w:ascii="Times New Roman" w:hAnsi="Times New Roman" w:cs="Times New Roman"/>
          <w:bCs/>
          <w:sz w:val="23"/>
          <w:szCs w:val="23"/>
        </w:rPr>
        <w:t>44(5-6):379-409. doi:10.1177/0193841X20976527</w:t>
      </w:r>
    </w:p>
    <w:p w14:paraId="610BA4E7" w14:textId="77777777" w:rsidR="002C046B" w:rsidRDefault="002C046B" w:rsidP="00804F7C">
      <w:pPr>
        <w:spacing w:after="0" w:line="240" w:lineRule="auto"/>
        <w:rPr>
          <w:rFonts w:ascii="Times New Roman" w:hAnsi="Times New Roman" w:cs="Times New Roman"/>
          <w:bCs/>
          <w:sz w:val="23"/>
          <w:szCs w:val="23"/>
        </w:rPr>
      </w:pPr>
    </w:p>
    <w:p w14:paraId="3BFFBD7B" w14:textId="6088B263" w:rsidR="00804F7C" w:rsidRDefault="00804F7C" w:rsidP="00804F7C">
      <w:pPr>
        <w:spacing w:after="0" w:line="240" w:lineRule="auto"/>
        <w:rPr>
          <w:rFonts w:ascii="Times New Roman" w:hAnsi="Times New Roman" w:cs="Times New Roman"/>
          <w:bCs/>
          <w:sz w:val="23"/>
          <w:szCs w:val="23"/>
        </w:rPr>
      </w:pPr>
      <w:r>
        <w:rPr>
          <w:rFonts w:ascii="Times New Roman" w:hAnsi="Times New Roman" w:cs="Times New Roman"/>
          <w:bCs/>
          <w:sz w:val="23"/>
          <w:szCs w:val="23"/>
        </w:rPr>
        <w:t>1</w:t>
      </w:r>
      <w:r w:rsidR="00D01B23">
        <w:rPr>
          <w:rFonts w:ascii="Times New Roman" w:hAnsi="Times New Roman" w:cs="Times New Roman"/>
          <w:bCs/>
          <w:sz w:val="23"/>
          <w:szCs w:val="23"/>
        </w:rPr>
        <w:t>5</w:t>
      </w:r>
      <w:r>
        <w:rPr>
          <w:rFonts w:ascii="Times New Roman" w:hAnsi="Times New Roman" w:cs="Times New Roman"/>
          <w:bCs/>
          <w:sz w:val="23"/>
          <w:szCs w:val="23"/>
        </w:rPr>
        <w:t xml:space="preserve">. M.J. Pencina, R.B. D'Agostino Sr., M.G. Larson, J.M. Massaro, R.S. Vasan. </w:t>
      </w:r>
      <w:r w:rsidR="00B43A28">
        <w:rPr>
          <w:rFonts w:ascii="Times New Roman" w:hAnsi="Times New Roman" w:cs="Times New Roman"/>
          <w:bCs/>
          <w:sz w:val="23"/>
          <w:szCs w:val="23"/>
        </w:rPr>
        <w:t xml:space="preserve">(2009). </w:t>
      </w:r>
      <w:r>
        <w:rPr>
          <w:rFonts w:ascii="Times New Roman" w:hAnsi="Times New Roman" w:cs="Times New Roman"/>
          <w:bCs/>
          <w:sz w:val="23"/>
          <w:szCs w:val="23"/>
        </w:rPr>
        <w:t xml:space="preserve">Predicting the 30-year risk of cardiovascular disease: the Framingham Heart Study. </w:t>
      </w:r>
      <w:r>
        <w:rPr>
          <w:rFonts w:ascii="Times New Roman" w:hAnsi="Times New Roman" w:cs="Times New Roman"/>
          <w:bCs/>
          <w:i/>
          <w:iCs/>
          <w:sz w:val="23"/>
          <w:szCs w:val="23"/>
        </w:rPr>
        <w:t>Circulation</w:t>
      </w:r>
      <w:r>
        <w:rPr>
          <w:rFonts w:ascii="Times New Roman" w:hAnsi="Times New Roman" w:cs="Times New Roman"/>
          <w:bCs/>
          <w:sz w:val="23"/>
          <w:szCs w:val="23"/>
        </w:rPr>
        <w:t xml:space="preserve">, </w:t>
      </w:r>
      <w:r>
        <w:rPr>
          <w:rFonts w:ascii="Times New Roman" w:hAnsi="Times New Roman" w:cs="Times New Roman"/>
          <w:bCs/>
          <w:i/>
          <w:iCs/>
          <w:sz w:val="23"/>
          <w:szCs w:val="23"/>
        </w:rPr>
        <w:t>119</w:t>
      </w:r>
      <w:r w:rsidR="00B43A28">
        <w:rPr>
          <w:rFonts w:ascii="Times New Roman" w:hAnsi="Times New Roman" w:cs="Times New Roman"/>
          <w:bCs/>
          <w:sz w:val="23"/>
          <w:szCs w:val="23"/>
        </w:rPr>
        <w:t>,</w:t>
      </w:r>
      <w:r>
        <w:rPr>
          <w:rFonts w:ascii="Times New Roman" w:hAnsi="Times New Roman" w:cs="Times New Roman"/>
          <w:bCs/>
          <w:sz w:val="23"/>
          <w:szCs w:val="23"/>
        </w:rPr>
        <w:t xml:space="preserve"> 3078-3084.</w:t>
      </w:r>
    </w:p>
    <w:p w14:paraId="5D14E6CE" w14:textId="53BC4C47" w:rsidR="00804F7C" w:rsidRDefault="00804F7C" w:rsidP="00804F7C">
      <w:pPr>
        <w:spacing w:after="0" w:line="240" w:lineRule="auto"/>
        <w:rPr>
          <w:rStyle w:val="Hyperlink"/>
          <w:rFonts w:ascii="Times New Roman" w:hAnsi="Times New Roman" w:cs="Times New Roman"/>
          <w:bCs/>
          <w:sz w:val="23"/>
          <w:szCs w:val="23"/>
        </w:rPr>
      </w:pPr>
      <w:r>
        <w:rPr>
          <w:rFonts w:ascii="Times New Roman" w:hAnsi="Times New Roman" w:cs="Times New Roman"/>
          <w:bCs/>
          <w:sz w:val="23"/>
          <w:szCs w:val="23"/>
        </w:rPr>
        <w:t xml:space="preserve">See also </w:t>
      </w:r>
      <w:hyperlink r:id="rId9" w:history="1">
        <w:r>
          <w:rPr>
            <w:rStyle w:val="Hyperlink"/>
            <w:rFonts w:ascii="Times New Roman" w:hAnsi="Times New Roman" w:cs="Times New Roman"/>
            <w:bCs/>
            <w:sz w:val="23"/>
            <w:szCs w:val="23"/>
          </w:rPr>
          <w:t>https://framinghamheartstudy.org/fhs-risk-functions/cardiovascular-disease-30-year-risk/</w:t>
        </w:r>
      </w:hyperlink>
    </w:p>
    <w:p w14:paraId="79C73162" w14:textId="77777777" w:rsidR="00A44C05" w:rsidRDefault="00A44C05" w:rsidP="00804F7C">
      <w:pPr>
        <w:spacing w:after="0" w:line="240" w:lineRule="auto"/>
        <w:rPr>
          <w:rFonts w:ascii="Times New Roman" w:hAnsi="Times New Roman" w:cs="Times New Roman"/>
          <w:bCs/>
          <w:sz w:val="23"/>
          <w:szCs w:val="23"/>
        </w:rPr>
      </w:pPr>
    </w:p>
    <w:p w14:paraId="7CD54CBE" w14:textId="69E970BD" w:rsidR="00A44C05" w:rsidRPr="00A44C05" w:rsidRDefault="00A44C05" w:rsidP="00A44C05">
      <w:pPr>
        <w:spacing w:after="0" w:line="240" w:lineRule="auto"/>
        <w:rPr>
          <w:rFonts w:ascii="Times New Roman" w:hAnsi="Times New Roman" w:cs="Times New Roman"/>
          <w:bCs/>
          <w:sz w:val="23"/>
          <w:szCs w:val="23"/>
        </w:rPr>
      </w:pPr>
      <w:r w:rsidRPr="00A44C05">
        <w:rPr>
          <w:rFonts w:ascii="Times New Roman" w:hAnsi="Times New Roman" w:cs="Times New Roman"/>
          <w:bCs/>
          <w:sz w:val="23"/>
          <w:szCs w:val="23"/>
        </w:rPr>
        <w:t>1</w:t>
      </w:r>
      <w:r w:rsidR="00D01B23">
        <w:rPr>
          <w:rFonts w:ascii="Times New Roman" w:hAnsi="Times New Roman" w:cs="Times New Roman"/>
          <w:bCs/>
          <w:sz w:val="23"/>
          <w:szCs w:val="23"/>
        </w:rPr>
        <w:t>6</w:t>
      </w:r>
      <w:r w:rsidRPr="00A44C05">
        <w:rPr>
          <w:rFonts w:ascii="Times New Roman" w:hAnsi="Times New Roman" w:cs="Times New Roman"/>
          <w:bCs/>
          <w:sz w:val="23"/>
          <w:szCs w:val="23"/>
        </w:rPr>
        <w:t xml:space="preserve">. Armstrong, A. C., Jacobs, D. R., Gidding, S. S., et al. (2014). Framingham score and LV mass predict events in young adults: CARDIA study. </w:t>
      </w:r>
      <w:r w:rsidRPr="00A44C05">
        <w:rPr>
          <w:rFonts w:ascii="Times New Roman" w:hAnsi="Times New Roman" w:cs="Times New Roman"/>
          <w:bCs/>
          <w:i/>
          <w:sz w:val="23"/>
          <w:szCs w:val="23"/>
        </w:rPr>
        <w:t>International Journal of Cariology</w:t>
      </w:r>
      <w:r w:rsidRPr="00A44C05">
        <w:rPr>
          <w:rFonts w:ascii="Times New Roman" w:hAnsi="Times New Roman" w:cs="Times New Roman"/>
          <w:bCs/>
          <w:sz w:val="23"/>
          <w:szCs w:val="23"/>
        </w:rPr>
        <w:t xml:space="preserve">, </w:t>
      </w:r>
      <w:r w:rsidRPr="00A44C05">
        <w:rPr>
          <w:rFonts w:ascii="Times New Roman" w:hAnsi="Times New Roman" w:cs="Times New Roman"/>
          <w:bCs/>
          <w:i/>
          <w:sz w:val="23"/>
          <w:szCs w:val="23"/>
        </w:rPr>
        <w:t>172</w:t>
      </w:r>
      <w:r w:rsidRPr="00A44C05">
        <w:rPr>
          <w:rFonts w:ascii="Times New Roman" w:hAnsi="Times New Roman" w:cs="Times New Roman"/>
          <w:bCs/>
          <w:sz w:val="23"/>
          <w:szCs w:val="23"/>
        </w:rPr>
        <w:t>, 350-355.</w:t>
      </w:r>
    </w:p>
    <w:p w14:paraId="05E765D9" w14:textId="77777777" w:rsidR="00804F7C" w:rsidRDefault="00804F7C" w:rsidP="00804F7C">
      <w:pPr>
        <w:spacing w:after="0" w:line="240" w:lineRule="auto"/>
        <w:rPr>
          <w:rFonts w:ascii="Times New Roman" w:hAnsi="Times New Roman" w:cs="Times New Roman"/>
          <w:bCs/>
          <w:sz w:val="23"/>
          <w:szCs w:val="23"/>
        </w:rPr>
      </w:pPr>
    </w:p>
    <w:p w14:paraId="193AF6B9" w14:textId="4026A607" w:rsidR="00804F7C" w:rsidRDefault="00804F7C" w:rsidP="00804F7C">
      <w:pPr>
        <w:spacing w:after="0" w:line="240" w:lineRule="auto"/>
        <w:rPr>
          <w:rFonts w:ascii="Times New Roman" w:hAnsi="Times New Roman" w:cs="Times New Roman"/>
          <w:bCs/>
          <w:sz w:val="23"/>
          <w:szCs w:val="23"/>
        </w:rPr>
      </w:pPr>
      <w:r>
        <w:rPr>
          <w:rFonts w:ascii="Times New Roman" w:hAnsi="Times New Roman" w:cs="Times New Roman"/>
          <w:bCs/>
          <w:sz w:val="23"/>
          <w:szCs w:val="23"/>
        </w:rPr>
        <w:t>1</w:t>
      </w:r>
      <w:r w:rsidR="00D01B23">
        <w:rPr>
          <w:rFonts w:ascii="Times New Roman" w:hAnsi="Times New Roman" w:cs="Times New Roman"/>
          <w:bCs/>
          <w:sz w:val="23"/>
          <w:szCs w:val="23"/>
        </w:rPr>
        <w:t>7</w:t>
      </w:r>
      <w:r>
        <w:rPr>
          <w:rFonts w:ascii="Times New Roman" w:hAnsi="Times New Roman" w:cs="Times New Roman"/>
          <w:bCs/>
          <w:sz w:val="23"/>
          <w:szCs w:val="23"/>
        </w:rPr>
        <w:t xml:space="preserve">. R.B. D'Agostino Sr., S. Grundy, L.M. Sullivan, </w:t>
      </w:r>
      <w:r>
        <w:rPr>
          <w:rFonts w:ascii="Times New Roman" w:hAnsi="Times New Roman" w:cs="Times New Roman"/>
          <w:bCs/>
          <w:i/>
          <w:iCs/>
          <w:sz w:val="23"/>
          <w:szCs w:val="23"/>
        </w:rPr>
        <w:t>et al.</w:t>
      </w:r>
      <w:r w:rsidR="00B43A28">
        <w:rPr>
          <w:rFonts w:ascii="Times New Roman" w:hAnsi="Times New Roman" w:cs="Times New Roman"/>
          <w:bCs/>
          <w:sz w:val="23"/>
          <w:szCs w:val="23"/>
        </w:rPr>
        <w:t xml:space="preserve"> (2001). </w:t>
      </w:r>
      <w:r>
        <w:rPr>
          <w:rFonts w:ascii="Times New Roman" w:hAnsi="Times New Roman" w:cs="Times New Roman"/>
          <w:bCs/>
          <w:sz w:val="23"/>
          <w:szCs w:val="23"/>
        </w:rPr>
        <w:t xml:space="preserve">CHD Risk Predication Group. </w:t>
      </w:r>
      <w:r>
        <w:rPr>
          <w:rFonts w:ascii="Times New Roman" w:hAnsi="Times New Roman" w:cs="Times New Roman"/>
          <w:bCs/>
          <w:i/>
          <w:iCs/>
          <w:sz w:val="23"/>
          <w:szCs w:val="23"/>
        </w:rPr>
        <w:t>Validation of the Framingham coronary heart disease prediction scores: results of a multiple ethnic group investigation</w:t>
      </w:r>
      <w:r>
        <w:rPr>
          <w:rFonts w:ascii="Times New Roman" w:hAnsi="Times New Roman" w:cs="Times New Roman"/>
          <w:b/>
          <w:bCs/>
          <w:sz w:val="23"/>
          <w:szCs w:val="23"/>
        </w:rPr>
        <w:t xml:space="preserve">. </w:t>
      </w:r>
      <w:r w:rsidRPr="00B43A28">
        <w:rPr>
          <w:rFonts w:ascii="Times New Roman" w:hAnsi="Times New Roman" w:cs="Times New Roman"/>
          <w:bCs/>
          <w:i/>
          <w:iCs/>
          <w:sz w:val="23"/>
          <w:szCs w:val="23"/>
        </w:rPr>
        <w:t>JAMA</w:t>
      </w:r>
      <w:r>
        <w:rPr>
          <w:rFonts w:ascii="Times New Roman" w:hAnsi="Times New Roman" w:cs="Times New Roman"/>
          <w:bCs/>
          <w:sz w:val="23"/>
          <w:szCs w:val="23"/>
        </w:rPr>
        <w:t>, 286, 180-187.</w:t>
      </w:r>
    </w:p>
    <w:p w14:paraId="0617D63A" w14:textId="77777777" w:rsidR="00804F7C" w:rsidRDefault="00804F7C" w:rsidP="00804F7C">
      <w:pPr>
        <w:spacing w:after="0" w:line="240" w:lineRule="auto"/>
        <w:rPr>
          <w:rFonts w:ascii="Times New Roman" w:hAnsi="Times New Roman" w:cs="Times New Roman"/>
          <w:bCs/>
          <w:sz w:val="23"/>
          <w:szCs w:val="23"/>
        </w:rPr>
      </w:pPr>
    </w:p>
    <w:p w14:paraId="755A18BE" w14:textId="37DD20D9" w:rsidR="002C046B" w:rsidRPr="00ED57EA" w:rsidRDefault="002C046B" w:rsidP="002C046B">
      <w:pPr>
        <w:rPr>
          <w:rFonts w:ascii="Calibri" w:eastAsia="Calibri" w:hAnsi="Calibri"/>
        </w:rPr>
      </w:pPr>
      <w:r>
        <w:rPr>
          <w:rFonts w:ascii="Times New Roman" w:hAnsi="Times New Roman" w:cs="Times New Roman"/>
          <w:sz w:val="23"/>
          <w:szCs w:val="23"/>
        </w:rPr>
        <w:t>1</w:t>
      </w:r>
      <w:r w:rsidR="00D01B23">
        <w:rPr>
          <w:rFonts w:ascii="Times New Roman" w:hAnsi="Times New Roman" w:cs="Times New Roman"/>
          <w:sz w:val="23"/>
          <w:szCs w:val="23"/>
        </w:rPr>
        <w:t>8</w:t>
      </w:r>
      <w:r>
        <w:rPr>
          <w:rFonts w:ascii="Times New Roman" w:hAnsi="Times New Roman" w:cs="Times New Roman"/>
          <w:sz w:val="23"/>
          <w:szCs w:val="23"/>
        </w:rPr>
        <w:t>. U. S. Department of Health and Human Services</w:t>
      </w:r>
      <w:r w:rsidR="00B43A28">
        <w:rPr>
          <w:rFonts w:ascii="Times New Roman" w:hAnsi="Times New Roman" w:cs="Times New Roman"/>
          <w:sz w:val="23"/>
          <w:szCs w:val="23"/>
        </w:rPr>
        <w:t xml:space="preserve"> (2020)</w:t>
      </w:r>
      <w:r>
        <w:rPr>
          <w:rFonts w:ascii="Times New Roman" w:hAnsi="Times New Roman" w:cs="Times New Roman"/>
          <w:sz w:val="23"/>
          <w:szCs w:val="23"/>
        </w:rPr>
        <w:t xml:space="preserve">. </w:t>
      </w:r>
      <w:r w:rsidRPr="0068771C">
        <w:rPr>
          <w:rFonts w:ascii="Times New Roman" w:hAnsi="Times New Roman" w:cs="Times New Roman"/>
          <w:i/>
          <w:iCs/>
          <w:sz w:val="23"/>
          <w:szCs w:val="23"/>
        </w:rPr>
        <w:t>Healthy People 2030: Social determinants of health</w:t>
      </w:r>
      <w:r>
        <w:rPr>
          <w:rFonts w:ascii="Times New Roman" w:hAnsi="Times New Roman" w:cs="Times New Roman"/>
          <w:sz w:val="23"/>
          <w:szCs w:val="23"/>
        </w:rPr>
        <w:t xml:space="preserve">. Washington, DC: Centers for Disease Control and Prevention. </w:t>
      </w:r>
      <w:hyperlink r:id="rId10" w:history="1">
        <w:r w:rsidRPr="00C0660D">
          <w:rPr>
            <w:rStyle w:val="Hyperlink"/>
            <w:rFonts w:ascii="Calibri" w:eastAsia="Calibri" w:hAnsi="Calibri"/>
          </w:rPr>
          <w:t>https://health.gov/healthypeople/objectives-and-data/social-determinants-health</w:t>
        </w:r>
      </w:hyperlink>
    </w:p>
    <w:p w14:paraId="25C38749" w14:textId="77777777" w:rsidR="001E6282" w:rsidRPr="00C47F76" w:rsidRDefault="001E6282" w:rsidP="001E6282">
      <w:pPr>
        <w:spacing w:after="0" w:line="240" w:lineRule="auto"/>
        <w:rPr>
          <w:rFonts w:ascii="Times New Roman" w:hAnsi="Times New Roman" w:cs="Times New Roman"/>
          <w:bCs/>
          <w:sz w:val="23"/>
          <w:szCs w:val="23"/>
        </w:rPr>
      </w:pPr>
      <w:r>
        <w:rPr>
          <w:rFonts w:ascii="Times New Roman" w:hAnsi="Times New Roman" w:cs="Times New Roman"/>
          <w:bCs/>
          <w:sz w:val="23"/>
          <w:szCs w:val="23"/>
        </w:rPr>
        <w:t xml:space="preserve">19. </w:t>
      </w:r>
      <w:proofErr w:type="spellStart"/>
      <w:r w:rsidRPr="00C47F76">
        <w:rPr>
          <w:rFonts w:ascii="Times New Roman" w:hAnsi="Times New Roman" w:cs="Times New Roman"/>
          <w:bCs/>
          <w:sz w:val="23"/>
          <w:szCs w:val="23"/>
        </w:rPr>
        <w:t>Imbens</w:t>
      </w:r>
      <w:proofErr w:type="spellEnd"/>
      <w:r w:rsidRPr="00C47F76">
        <w:rPr>
          <w:rFonts w:ascii="Times New Roman" w:hAnsi="Times New Roman" w:cs="Times New Roman"/>
          <w:bCs/>
          <w:sz w:val="23"/>
          <w:szCs w:val="23"/>
        </w:rPr>
        <w:t xml:space="preserve">, G. W., &amp; Wooldridge, J. M. (2009). Recent developments in the econometrics of program </w:t>
      </w:r>
    </w:p>
    <w:p w14:paraId="5929CEC3" w14:textId="77777777" w:rsidR="001E6282" w:rsidRPr="00C47F76" w:rsidRDefault="001E6282" w:rsidP="001E6282">
      <w:pPr>
        <w:spacing w:after="0" w:line="240" w:lineRule="auto"/>
        <w:rPr>
          <w:rFonts w:ascii="Times New Roman" w:hAnsi="Times New Roman" w:cs="Times New Roman"/>
          <w:bCs/>
          <w:sz w:val="23"/>
          <w:szCs w:val="23"/>
        </w:rPr>
      </w:pPr>
      <w:r w:rsidRPr="00C47F76">
        <w:rPr>
          <w:rFonts w:ascii="Times New Roman" w:hAnsi="Times New Roman" w:cs="Times New Roman"/>
          <w:bCs/>
          <w:sz w:val="23"/>
          <w:szCs w:val="23"/>
        </w:rPr>
        <w:t xml:space="preserve">evaluation. </w:t>
      </w:r>
      <w:r w:rsidRPr="00C47F76">
        <w:rPr>
          <w:rFonts w:ascii="Times New Roman" w:hAnsi="Times New Roman" w:cs="Times New Roman"/>
          <w:bCs/>
          <w:i/>
          <w:sz w:val="23"/>
          <w:szCs w:val="23"/>
        </w:rPr>
        <w:t>Journal of Economic Literature, 47</w:t>
      </w:r>
      <w:r w:rsidRPr="00C47F76">
        <w:rPr>
          <w:rFonts w:ascii="Times New Roman" w:hAnsi="Times New Roman" w:cs="Times New Roman"/>
          <w:bCs/>
          <w:sz w:val="23"/>
          <w:szCs w:val="23"/>
        </w:rPr>
        <w:t>(1), 5-86.</w:t>
      </w:r>
    </w:p>
    <w:p w14:paraId="2B87499D" w14:textId="7A19241C" w:rsidR="007662C3" w:rsidRDefault="007662C3">
      <w:pPr>
        <w:rPr>
          <w:rFonts w:ascii="Times New Roman" w:hAnsi="Times New Roman" w:cs="Times New Roman"/>
          <w:b/>
          <w:bCs/>
          <w:sz w:val="23"/>
          <w:szCs w:val="23"/>
        </w:rPr>
      </w:pPr>
      <w:r>
        <w:rPr>
          <w:rFonts w:ascii="Times New Roman" w:hAnsi="Times New Roman" w:cs="Times New Roman"/>
          <w:b/>
          <w:bCs/>
          <w:sz w:val="23"/>
          <w:szCs w:val="23"/>
        </w:rPr>
        <w:br w:type="page"/>
      </w:r>
    </w:p>
    <w:p w14:paraId="4DF0A098" w14:textId="533F4E15" w:rsidR="00A07B12" w:rsidRDefault="00A07B12" w:rsidP="00A07B12">
      <w:pPr>
        <w:spacing w:after="0" w:line="240" w:lineRule="auto"/>
        <w:rPr>
          <w:rFonts w:ascii="Times New Roman" w:eastAsia="PMingLiU" w:hAnsi="Times New Roman" w:cs="Times New Roman"/>
        </w:rPr>
      </w:pPr>
      <w:r>
        <w:rPr>
          <w:rFonts w:ascii="Times New Roman" w:eastAsia="PMingLiU" w:hAnsi="Times New Roman" w:cs="Times New Roman"/>
        </w:rPr>
        <w:lastRenderedPageBreak/>
        <w:t xml:space="preserve">Supplement Table: Chicago Longitudinal Study (CLS) Characteristics: Child-Parent Center Participation, Baseline Attributes, and Structural Context </w:t>
      </w:r>
      <w:r w:rsidR="001E6282">
        <w:rPr>
          <w:rFonts w:ascii="Times New Roman" w:eastAsia="PMingLiU" w:hAnsi="Times New Roman" w:cs="Times New Roman"/>
        </w:rPr>
        <w:t>at Ages 32 to 37</w:t>
      </w:r>
      <w:r w:rsidR="007662C3">
        <w:rPr>
          <w:rFonts w:ascii="Times New Roman" w:eastAsia="PMingLiU" w:hAnsi="Times New Roman" w:cs="Times New Roman"/>
        </w:rPr>
        <w:t xml:space="preserve"> (Mean = 34.9 years)</w:t>
      </w:r>
    </w:p>
    <w:p w14:paraId="3730603F" w14:textId="77777777" w:rsidR="00A64468" w:rsidRPr="00D86E2A" w:rsidRDefault="00A64468" w:rsidP="00A07B12">
      <w:pPr>
        <w:spacing w:after="0" w:line="240" w:lineRule="auto"/>
        <w:rPr>
          <w:rFonts w:ascii="Times New Roman" w:eastAsia="PMingLiU" w:hAnsi="Times New Roman" w:cs="Times New Roman"/>
        </w:rPr>
      </w:pPr>
    </w:p>
    <w:tbl>
      <w:tblPr>
        <w:tblW w:w="9425" w:type="dxa"/>
        <w:tblLook w:val="01E0" w:firstRow="1" w:lastRow="1" w:firstColumn="1" w:lastColumn="1" w:noHBand="0" w:noVBand="0"/>
      </w:tblPr>
      <w:tblGrid>
        <w:gridCol w:w="5636"/>
        <w:gridCol w:w="1204"/>
        <w:gridCol w:w="1293"/>
        <w:gridCol w:w="1292"/>
      </w:tblGrid>
      <w:tr w:rsidR="00A07B12" w:rsidRPr="00D86E2A" w14:paraId="13054251" w14:textId="77777777" w:rsidTr="004850EB">
        <w:trPr>
          <w:trHeight w:val="719"/>
        </w:trPr>
        <w:tc>
          <w:tcPr>
            <w:tcW w:w="5636" w:type="dxa"/>
            <w:tcBorders>
              <w:top w:val="single" w:sz="4" w:space="0" w:color="auto"/>
              <w:left w:val="nil"/>
              <w:bottom w:val="single" w:sz="4" w:space="0" w:color="auto"/>
              <w:right w:val="nil"/>
            </w:tcBorders>
          </w:tcPr>
          <w:p w14:paraId="234DC0C3" w14:textId="77777777" w:rsidR="00A07B12" w:rsidRPr="00D86E2A" w:rsidRDefault="00A07B12" w:rsidP="004850EB">
            <w:pPr>
              <w:spacing w:after="0" w:line="240" w:lineRule="auto"/>
              <w:rPr>
                <w:rFonts w:ascii="Times New Roman" w:eastAsia="PMingLiU" w:hAnsi="Times New Roman" w:cs="Times New Roman"/>
              </w:rPr>
            </w:pPr>
          </w:p>
          <w:p w14:paraId="78E8AEA3" w14:textId="77777777" w:rsidR="00A07B12" w:rsidRPr="00D86E2A" w:rsidRDefault="00A07B12" w:rsidP="004850EB">
            <w:pPr>
              <w:spacing w:after="0" w:line="240" w:lineRule="auto"/>
              <w:rPr>
                <w:rFonts w:ascii="Times New Roman" w:eastAsia="PMingLiU" w:hAnsi="Times New Roman" w:cs="Times New Roman"/>
              </w:rPr>
            </w:pPr>
            <w:r w:rsidRPr="00D86E2A">
              <w:rPr>
                <w:rFonts w:ascii="Times New Roman" w:eastAsia="PMingLiU" w:hAnsi="Times New Roman" w:cs="Times New Roman"/>
              </w:rPr>
              <w:t>Study category</w:t>
            </w:r>
          </w:p>
        </w:tc>
        <w:tc>
          <w:tcPr>
            <w:tcW w:w="1204" w:type="dxa"/>
            <w:tcBorders>
              <w:top w:val="single" w:sz="4" w:space="0" w:color="auto"/>
              <w:left w:val="nil"/>
              <w:bottom w:val="single" w:sz="4" w:space="0" w:color="auto"/>
              <w:right w:val="nil"/>
            </w:tcBorders>
          </w:tcPr>
          <w:p w14:paraId="11808D17" w14:textId="77777777" w:rsidR="00A07B12" w:rsidRPr="00D86E2A" w:rsidRDefault="00A07B12" w:rsidP="004850EB">
            <w:pPr>
              <w:spacing w:after="0" w:line="240" w:lineRule="auto"/>
              <w:jc w:val="center"/>
              <w:rPr>
                <w:rFonts w:ascii="Times New Roman" w:eastAsia="PMingLiU" w:hAnsi="Times New Roman" w:cs="Times New Roman"/>
              </w:rPr>
            </w:pPr>
          </w:p>
          <w:p w14:paraId="0BB17829" w14:textId="77777777" w:rsidR="00A07B12" w:rsidRPr="00D86E2A" w:rsidRDefault="00A07B12" w:rsidP="004850EB">
            <w:pPr>
              <w:spacing w:after="0" w:line="240" w:lineRule="auto"/>
              <w:jc w:val="center"/>
              <w:rPr>
                <w:rFonts w:ascii="Times New Roman" w:eastAsia="PMingLiU" w:hAnsi="Times New Roman" w:cs="Times New Roman"/>
              </w:rPr>
            </w:pPr>
            <w:r w:rsidRPr="00D86E2A">
              <w:rPr>
                <w:rFonts w:ascii="Times New Roman" w:eastAsia="PMingLiU" w:hAnsi="Times New Roman" w:cs="Times New Roman"/>
              </w:rPr>
              <w:t>Total Sample</w:t>
            </w:r>
          </w:p>
        </w:tc>
        <w:tc>
          <w:tcPr>
            <w:tcW w:w="1293" w:type="dxa"/>
            <w:tcBorders>
              <w:top w:val="single" w:sz="4" w:space="0" w:color="auto"/>
              <w:left w:val="nil"/>
              <w:bottom w:val="single" w:sz="4" w:space="0" w:color="auto"/>
              <w:right w:val="nil"/>
            </w:tcBorders>
            <w:hideMark/>
          </w:tcPr>
          <w:p w14:paraId="325B7757" w14:textId="77777777" w:rsidR="00A07B12" w:rsidRDefault="00A07B12" w:rsidP="004850EB">
            <w:pPr>
              <w:spacing w:after="0" w:line="240" w:lineRule="auto"/>
              <w:ind w:left="75" w:hanging="75"/>
              <w:jc w:val="center"/>
              <w:rPr>
                <w:rFonts w:ascii="Times New Roman" w:eastAsia="PMingLiU" w:hAnsi="Times New Roman" w:cs="Times New Roman"/>
              </w:rPr>
            </w:pPr>
          </w:p>
          <w:p w14:paraId="79FE1227" w14:textId="77777777" w:rsidR="00A07B12" w:rsidRPr="00D86E2A" w:rsidRDefault="00A07B12" w:rsidP="004850EB">
            <w:pPr>
              <w:spacing w:after="0" w:line="240" w:lineRule="auto"/>
              <w:ind w:left="75" w:hanging="75"/>
              <w:jc w:val="center"/>
              <w:rPr>
                <w:rFonts w:ascii="Times New Roman" w:eastAsia="PMingLiU" w:hAnsi="Times New Roman" w:cs="Times New Roman"/>
              </w:rPr>
            </w:pPr>
            <w:r>
              <w:rPr>
                <w:rFonts w:ascii="Times New Roman" w:eastAsia="PMingLiU" w:hAnsi="Times New Roman" w:cs="Times New Roman"/>
              </w:rPr>
              <w:t>Program</w:t>
            </w:r>
            <w:r w:rsidRPr="00D86E2A">
              <w:rPr>
                <w:rFonts w:ascii="Times New Roman" w:eastAsia="PMingLiU" w:hAnsi="Times New Roman" w:cs="Times New Roman"/>
              </w:rPr>
              <w:t xml:space="preserve"> Group*</w:t>
            </w:r>
          </w:p>
        </w:tc>
        <w:tc>
          <w:tcPr>
            <w:tcW w:w="1292" w:type="dxa"/>
            <w:tcBorders>
              <w:top w:val="single" w:sz="4" w:space="0" w:color="auto"/>
              <w:left w:val="nil"/>
              <w:bottom w:val="single" w:sz="4" w:space="0" w:color="auto"/>
              <w:right w:val="nil"/>
            </w:tcBorders>
          </w:tcPr>
          <w:p w14:paraId="230B624C" w14:textId="77777777" w:rsidR="00A07B12" w:rsidRPr="00D86E2A" w:rsidRDefault="00A07B12" w:rsidP="004850EB">
            <w:pPr>
              <w:spacing w:after="0" w:line="240" w:lineRule="auto"/>
              <w:jc w:val="center"/>
              <w:rPr>
                <w:rFonts w:ascii="Times New Roman" w:eastAsia="PMingLiU" w:hAnsi="Times New Roman" w:cs="Times New Roman"/>
              </w:rPr>
            </w:pPr>
          </w:p>
          <w:p w14:paraId="06C6C877" w14:textId="77777777" w:rsidR="00A07B12" w:rsidRPr="00D86E2A" w:rsidRDefault="00A07B12" w:rsidP="004850EB">
            <w:pPr>
              <w:spacing w:after="0" w:line="240" w:lineRule="auto"/>
              <w:jc w:val="center"/>
              <w:rPr>
                <w:rFonts w:ascii="Times New Roman" w:eastAsia="PMingLiU" w:hAnsi="Times New Roman" w:cs="Times New Roman"/>
              </w:rPr>
            </w:pPr>
            <w:r w:rsidRPr="00D86E2A">
              <w:rPr>
                <w:rFonts w:ascii="Times New Roman" w:eastAsia="PMingLiU" w:hAnsi="Times New Roman" w:cs="Times New Roman"/>
              </w:rPr>
              <w:t>Comparison Group*</w:t>
            </w:r>
          </w:p>
        </w:tc>
      </w:tr>
      <w:tr w:rsidR="00A07B12" w:rsidRPr="00D86E2A" w14:paraId="6B9136C8" w14:textId="77777777" w:rsidTr="004850EB">
        <w:tc>
          <w:tcPr>
            <w:tcW w:w="8133" w:type="dxa"/>
            <w:gridSpan w:val="3"/>
            <w:hideMark/>
          </w:tcPr>
          <w:p w14:paraId="4BCDE309"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b/>
              </w:rPr>
              <w:t>Program Participa</w:t>
            </w:r>
            <w:r>
              <w:rPr>
                <w:rFonts w:ascii="Times New Roman" w:eastAsia="PMingLiU" w:hAnsi="Times New Roman" w:cs="Times New Roman"/>
                <w:b/>
              </w:rPr>
              <w:t>tion</w:t>
            </w:r>
            <w:r w:rsidRPr="00D86E2A">
              <w:rPr>
                <w:rFonts w:ascii="Times New Roman" w:eastAsia="PMingLiU" w:hAnsi="Times New Roman" w:cs="Times New Roman"/>
                <w:b/>
              </w:rPr>
              <w:t xml:space="preserve"> at Start of Study**</w:t>
            </w:r>
          </w:p>
        </w:tc>
        <w:tc>
          <w:tcPr>
            <w:tcW w:w="1292" w:type="dxa"/>
          </w:tcPr>
          <w:p w14:paraId="348BA04B" w14:textId="77777777" w:rsidR="00A07B12" w:rsidRPr="00D86E2A" w:rsidRDefault="00A07B12" w:rsidP="004850EB">
            <w:pPr>
              <w:spacing w:after="0" w:line="300" w:lineRule="atLeast"/>
              <w:jc w:val="center"/>
              <w:rPr>
                <w:rFonts w:ascii="Times New Roman" w:eastAsia="PMingLiU" w:hAnsi="Times New Roman" w:cs="Times New Roman"/>
              </w:rPr>
            </w:pPr>
          </w:p>
        </w:tc>
      </w:tr>
      <w:tr w:rsidR="00A07B12" w:rsidRPr="00D86E2A" w14:paraId="0333B128" w14:textId="77777777" w:rsidTr="004850EB">
        <w:tc>
          <w:tcPr>
            <w:tcW w:w="5636" w:type="dxa"/>
            <w:hideMark/>
          </w:tcPr>
          <w:p w14:paraId="3CEF992F"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Original Sample</w:t>
            </w:r>
          </w:p>
        </w:tc>
        <w:tc>
          <w:tcPr>
            <w:tcW w:w="1204" w:type="dxa"/>
            <w:hideMark/>
          </w:tcPr>
          <w:p w14:paraId="4ED463BC"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1539</w:t>
            </w:r>
          </w:p>
        </w:tc>
        <w:tc>
          <w:tcPr>
            <w:tcW w:w="1293" w:type="dxa"/>
            <w:hideMark/>
          </w:tcPr>
          <w:p w14:paraId="4502FDF6"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989</w:t>
            </w:r>
          </w:p>
        </w:tc>
        <w:tc>
          <w:tcPr>
            <w:tcW w:w="1292" w:type="dxa"/>
            <w:hideMark/>
          </w:tcPr>
          <w:p w14:paraId="1ED597F7"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550</w:t>
            </w:r>
          </w:p>
        </w:tc>
      </w:tr>
      <w:tr w:rsidR="00A07B12" w:rsidRPr="00D86E2A" w14:paraId="023372A2" w14:textId="77777777" w:rsidTr="004850EB">
        <w:tc>
          <w:tcPr>
            <w:tcW w:w="5636" w:type="dxa"/>
            <w:hideMark/>
          </w:tcPr>
          <w:p w14:paraId="711FF783"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No. of cases with preschool participation</w:t>
            </w:r>
            <w:r>
              <w:rPr>
                <w:rFonts w:ascii="Times New Roman" w:eastAsia="PMingLiU" w:hAnsi="Times New Roman" w:cs="Times New Roman"/>
              </w:rPr>
              <w:t xml:space="preserve"> (CPC)</w:t>
            </w:r>
          </w:p>
        </w:tc>
        <w:tc>
          <w:tcPr>
            <w:tcW w:w="1204" w:type="dxa"/>
            <w:hideMark/>
          </w:tcPr>
          <w:p w14:paraId="72674E55"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1073</w:t>
            </w:r>
            <w:r>
              <w:rPr>
                <w:rFonts w:ascii="Times New Roman" w:eastAsia="PMingLiU" w:hAnsi="Times New Roman" w:cs="Times New Roman"/>
              </w:rPr>
              <w:t xml:space="preserve"> (989)</w:t>
            </w:r>
          </w:p>
        </w:tc>
        <w:tc>
          <w:tcPr>
            <w:tcW w:w="1293" w:type="dxa"/>
            <w:hideMark/>
          </w:tcPr>
          <w:p w14:paraId="0034F976"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989</w:t>
            </w:r>
            <w:r>
              <w:rPr>
                <w:rFonts w:ascii="Times New Roman" w:eastAsia="PMingLiU" w:hAnsi="Times New Roman" w:cs="Times New Roman"/>
              </w:rPr>
              <w:t xml:space="preserve"> (989)</w:t>
            </w:r>
          </w:p>
        </w:tc>
        <w:tc>
          <w:tcPr>
            <w:tcW w:w="1292" w:type="dxa"/>
            <w:hideMark/>
          </w:tcPr>
          <w:p w14:paraId="0B52CA9C"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84</w:t>
            </w:r>
            <w:r>
              <w:rPr>
                <w:rFonts w:ascii="Times New Roman" w:eastAsia="PMingLiU" w:hAnsi="Times New Roman" w:cs="Times New Roman"/>
              </w:rPr>
              <w:t xml:space="preserve"> (0)</w:t>
            </w:r>
          </w:p>
        </w:tc>
      </w:tr>
      <w:tr w:rsidR="00A07B12" w:rsidRPr="00D86E2A" w14:paraId="234848AD" w14:textId="77777777" w:rsidTr="004850EB">
        <w:tc>
          <w:tcPr>
            <w:tcW w:w="5636" w:type="dxa"/>
            <w:hideMark/>
          </w:tcPr>
          <w:p w14:paraId="0AC155EF"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No. of cases with CPC preschool</w:t>
            </w:r>
            <w:r>
              <w:rPr>
                <w:rFonts w:ascii="Times New Roman" w:eastAsia="PMingLiU" w:hAnsi="Times New Roman" w:cs="Times New Roman"/>
              </w:rPr>
              <w:t xml:space="preserve"> (2 years of preschool)</w:t>
            </w:r>
          </w:p>
        </w:tc>
        <w:tc>
          <w:tcPr>
            <w:tcW w:w="1204" w:type="dxa"/>
            <w:hideMark/>
          </w:tcPr>
          <w:p w14:paraId="360A790A"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989</w:t>
            </w:r>
            <w:r>
              <w:rPr>
                <w:rFonts w:ascii="Times New Roman" w:eastAsia="PMingLiU" w:hAnsi="Times New Roman" w:cs="Times New Roman"/>
              </w:rPr>
              <w:t xml:space="preserve"> (534)</w:t>
            </w:r>
          </w:p>
        </w:tc>
        <w:tc>
          <w:tcPr>
            <w:tcW w:w="1293" w:type="dxa"/>
            <w:hideMark/>
          </w:tcPr>
          <w:p w14:paraId="4AD23594"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989</w:t>
            </w:r>
            <w:r>
              <w:rPr>
                <w:rFonts w:ascii="Times New Roman" w:eastAsia="PMingLiU" w:hAnsi="Times New Roman" w:cs="Times New Roman"/>
              </w:rPr>
              <w:t xml:space="preserve"> (534)</w:t>
            </w:r>
          </w:p>
        </w:tc>
        <w:tc>
          <w:tcPr>
            <w:tcW w:w="1292" w:type="dxa"/>
            <w:hideMark/>
          </w:tcPr>
          <w:p w14:paraId="7D5E3C9D"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0</w:t>
            </w:r>
            <w:r>
              <w:rPr>
                <w:rFonts w:ascii="Times New Roman" w:eastAsia="PMingLiU" w:hAnsi="Times New Roman" w:cs="Times New Roman"/>
              </w:rPr>
              <w:t xml:space="preserve"> (0)</w:t>
            </w:r>
          </w:p>
        </w:tc>
      </w:tr>
      <w:tr w:rsidR="00A07B12" w:rsidRPr="00D86E2A" w14:paraId="61D98547" w14:textId="77777777" w:rsidTr="004850EB">
        <w:tc>
          <w:tcPr>
            <w:tcW w:w="5636" w:type="dxa"/>
            <w:hideMark/>
          </w:tcPr>
          <w:p w14:paraId="2718CF38"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 xml:space="preserve">No. of cases with </w:t>
            </w:r>
            <w:r>
              <w:rPr>
                <w:rFonts w:ascii="Times New Roman" w:eastAsia="PMingLiU" w:hAnsi="Times New Roman" w:cs="Times New Roman"/>
              </w:rPr>
              <w:t xml:space="preserve">full-day </w:t>
            </w:r>
            <w:r w:rsidRPr="00D86E2A">
              <w:rPr>
                <w:rFonts w:ascii="Times New Roman" w:eastAsia="PMingLiU" w:hAnsi="Times New Roman" w:cs="Times New Roman"/>
              </w:rPr>
              <w:t xml:space="preserve">kindergarten </w:t>
            </w:r>
            <w:r>
              <w:rPr>
                <w:rFonts w:ascii="Times New Roman" w:eastAsia="PMingLiU" w:hAnsi="Times New Roman" w:cs="Times New Roman"/>
              </w:rPr>
              <w:t>(part-day program)</w:t>
            </w:r>
          </w:p>
        </w:tc>
        <w:tc>
          <w:tcPr>
            <w:tcW w:w="1204" w:type="dxa"/>
            <w:hideMark/>
          </w:tcPr>
          <w:p w14:paraId="7DD25DEC"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1142(397)</w:t>
            </w:r>
          </w:p>
        </w:tc>
        <w:tc>
          <w:tcPr>
            <w:tcW w:w="1293" w:type="dxa"/>
            <w:hideMark/>
          </w:tcPr>
          <w:p w14:paraId="0A6A2AFD"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592 (397)</w:t>
            </w:r>
          </w:p>
        </w:tc>
        <w:tc>
          <w:tcPr>
            <w:tcW w:w="1292" w:type="dxa"/>
            <w:hideMark/>
          </w:tcPr>
          <w:p w14:paraId="25FFCFF4"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550</w:t>
            </w:r>
            <w:r>
              <w:rPr>
                <w:rFonts w:ascii="Times New Roman" w:eastAsia="PMingLiU" w:hAnsi="Times New Roman" w:cs="Times New Roman"/>
              </w:rPr>
              <w:t xml:space="preserve"> (0)</w:t>
            </w:r>
          </w:p>
        </w:tc>
      </w:tr>
      <w:tr w:rsidR="00A07B12" w:rsidRPr="00D86E2A" w14:paraId="0B997CE1" w14:textId="77777777" w:rsidTr="004850EB">
        <w:tc>
          <w:tcPr>
            <w:tcW w:w="5636" w:type="dxa"/>
            <w:hideMark/>
          </w:tcPr>
          <w:p w14:paraId="70DAD320"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 xml:space="preserve">No. of cases with CPC school-age </w:t>
            </w:r>
            <w:r>
              <w:rPr>
                <w:rFonts w:ascii="Times New Roman" w:eastAsia="PMingLiU" w:hAnsi="Times New Roman" w:cs="Times New Roman"/>
              </w:rPr>
              <w:t>(1</w:t>
            </w:r>
            <w:r w:rsidRPr="0026262A">
              <w:rPr>
                <w:rFonts w:ascii="Times New Roman" w:eastAsia="PMingLiU" w:hAnsi="Times New Roman" w:cs="Times New Roman"/>
                <w:vertAlign w:val="superscript"/>
              </w:rPr>
              <w:t>st</w:t>
            </w:r>
            <w:r>
              <w:rPr>
                <w:rFonts w:ascii="Times New Roman" w:eastAsia="PMingLiU" w:hAnsi="Times New Roman" w:cs="Times New Roman"/>
              </w:rPr>
              <w:t xml:space="preserve"> to 3</w:t>
            </w:r>
            <w:r w:rsidRPr="0026262A">
              <w:rPr>
                <w:rFonts w:ascii="Times New Roman" w:eastAsia="PMingLiU" w:hAnsi="Times New Roman" w:cs="Times New Roman"/>
                <w:vertAlign w:val="superscript"/>
              </w:rPr>
              <w:t>rd</w:t>
            </w:r>
            <w:r>
              <w:rPr>
                <w:rFonts w:ascii="Times New Roman" w:eastAsia="PMingLiU" w:hAnsi="Times New Roman" w:cs="Times New Roman"/>
              </w:rPr>
              <w:t xml:space="preserve"> grade)</w:t>
            </w:r>
          </w:p>
        </w:tc>
        <w:tc>
          <w:tcPr>
            <w:tcW w:w="1204" w:type="dxa"/>
            <w:hideMark/>
          </w:tcPr>
          <w:p w14:paraId="15E266C4"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850</w:t>
            </w:r>
          </w:p>
        </w:tc>
        <w:tc>
          <w:tcPr>
            <w:tcW w:w="1293" w:type="dxa"/>
            <w:hideMark/>
          </w:tcPr>
          <w:p w14:paraId="298D35A9"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684</w:t>
            </w:r>
          </w:p>
        </w:tc>
        <w:tc>
          <w:tcPr>
            <w:tcW w:w="1292" w:type="dxa"/>
            <w:hideMark/>
          </w:tcPr>
          <w:p w14:paraId="295060AC"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166</w:t>
            </w:r>
          </w:p>
        </w:tc>
      </w:tr>
      <w:tr w:rsidR="00A07B12" w:rsidRPr="00D86E2A" w14:paraId="1DBEB027" w14:textId="77777777" w:rsidTr="004850EB">
        <w:tc>
          <w:tcPr>
            <w:tcW w:w="5636" w:type="dxa"/>
            <w:hideMark/>
          </w:tcPr>
          <w:p w14:paraId="1A5887C7"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 xml:space="preserve">No. of cases with </w:t>
            </w:r>
            <w:r>
              <w:rPr>
                <w:rFonts w:ascii="Times New Roman" w:eastAsia="PMingLiU" w:hAnsi="Times New Roman" w:cs="Times New Roman"/>
              </w:rPr>
              <w:t xml:space="preserve">4-6 years of </w:t>
            </w:r>
            <w:r w:rsidRPr="00D86E2A">
              <w:rPr>
                <w:rFonts w:ascii="Times New Roman" w:eastAsia="PMingLiU" w:hAnsi="Times New Roman" w:cs="Times New Roman"/>
              </w:rPr>
              <w:t xml:space="preserve">CPC </w:t>
            </w:r>
            <w:r>
              <w:rPr>
                <w:rFonts w:ascii="Times New Roman" w:eastAsia="PMingLiU" w:hAnsi="Times New Roman" w:cs="Times New Roman"/>
              </w:rPr>
              <w:t>(P-3)</w:t>
            </w:r>
          </w:p>
        </w:tc>
        <w:tc>
          <w:tcPr>
            <w:tcW w:w="1204" w:type="dxa"/>
            <w:hideMark/>
          </w:tcPr>
          <w:p w14:paraId="515D8E12"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553</w:t>
            </w:r>
          </w:p>
        </w:tc>
        <w:tc>
          <w:tcPr>
            <w:tcW w:w="1293" w:type="dxa"/>
            <w:hideMark/>
          </w:tcPr>
          <w:p w14:paraId="0D202BE6"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553</w:t>
            </w:r>
          </w:p>
        </w:tc>
        <w:tc>
          <w:tcPr>
            <w:tcW w:w="1292" w:type="dxa"/>
            <w:hideMark/>
          </w:tcPr>
          <w:p w14:paraId="2640C47D"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0</w:t>
            </w:r>
          </w:p>
        </w:tc>
      </w:tr>
      <w:tr w:rsidR="00A07B12" w:rsidRPr="00D86E2A" w14:paraId="4E75B799" w14:textId="77777777" w:rsidTr="004850EB">
        <w:tc>
          <w:tcPr>
            <w:tcW w:w="5636" w:type="dxa"/>
            <w:hideMark/>
          </w:tcPr>
          <w:p w14:paraId="3778793F" w14:textId="77777777" w:rsidR="00A07B12" w:rsidRPr="00D86E2A" w:rsidRDefault="00A07B12" w:rsidP="004850EB">
            <w:pPr>
              <w:spacing w:after="0" w:line="300" w:lineRule="atLeast"/>
              <w:ind w:firstLine="342"/>
              <w:rPr>
                <w:rFonts w:ascii="Times New Roman" w:eastAsia="PMingLiU" w:hAnsi="Times New Roman" w:cs="Times New Roman"/>
              </w:rPr>
            </w:pPr>
            <w:r w:rsidRPr="00D86E2A">
              <w:rPr>
                <w:rFonts w:ascii="Times New Roman" w:eastAsia="PMingLiU" w:hAnsi="Times New Roman" w:cs="Times New Roman"/>
              </w:rPr>
              <w:t>Total years of CPC program (0-6)</w:t>
            </w:r>
          </w:p>
        </w:tc>
        <w:tc>
          <w:tcPr>
            <w:tcW w:w="1204" w:type="dxa"/>
            <w:hideMark/>
          </w:tcPr>
          <w:p w14:paraId="23D03EC1"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2.78</w:t>
            </w:r>
            <w:r>
              <w:rPr>
                <w:rFonts w:ascii="Times New Roman" w:eastAsia="PMingLiU" w:hAnsi="Times New Roman" w:cs="Times New Roman"/>
              </w:rPr>
              <w:t>(1.97)</w:t>
            </w:r>
          </w:p>
        </w:tc>
        <w:tc>
          <w:tcPr>
            <w:tcW w:w="1293" w:type="dxa"/>
            <w:hideMark/>
          </w:tcPr>
          <w:p w14:paraId="070435ED"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3.95</w:t>
            </w:r>
            <w:r>
              <w:rPr>
                <w:rFonts w:ascii="Times New Roman" w:eastAsia="PMingLiU" w:hAnsi="Times New Roman" w:cs="Times New Roman"/>
              </w:rPr>
              <w:t>(1.23)</w:t>
            </w:r>
          </w:p>
        </w:tc>
        <w:tc>
          <w:tcPr>
            <w:tcW w:w="1292" w:type="dxa"/>
            <w:hideMark/>
          </w:tcPr>
          <w:p w14:paraId="47958756"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0.68</w:t>
            </w:r>
            <w:r>
              <w:rPr>
                <w:rFonts w:ascii="Times New Roman" w:eastAsia="PMingLiU" w:hAnsi="Times New Roman" w:cs="Times New Roman"/>
              </w:rPr>
              <w:t>(1.16)</w:t>
            </w:r>
          </w:p>
        </w:tc>
      </w:tr>
      <w:tr w:rsidR="00A07B12" w:rsidRPr="00D86E2A" w14:paraId="1ABA1D1B" w14:textId="77777777" w:rsidTr="004850EB">
        <w:tc>
          <w:tcPr>
            <w:tcW w:w="5636" w:type="dxa"/>
          </w:tcPr>
          <w:p w14:paraId="15113BC1" w14:textId="77777777" w:rsidR="00A07B12" w:rsidRPr="00D86E2A" w:rsidRDefault="00A07B12" w:rsidP="004850EB">
            <w:pPr>
              <w:spacing w:after="0" w:line="300" w:lineRule="atLeast"/>
              <w:jc w:val="both"/>
              <w:rPr>
                <w:rFonts w:ascii="Times New Roman" w:eastAsia="PMingLiU" w:hAnsi="Times New Roman" w:cs="Times New Roman"/>
                <w:b/>
              </w:rPr>
            </w:pPr>
            <w:r>
              <w:rPr>
                <w:rFonts w:ascii="Times New Roman" w:eastAsia="PMingLiU" w:hAnsi="Times New Roman" w:cs="Times New Roman"/>
                <w:b/>
              </w:rPr>
              <w:t>Select Baseline Attributes for Original Cohort (N=1539)</w:t>
            </w:r>
          </w:p>
        </w:tc>
        <w:tc>
          <w:tcPr>
            <w:tcW w:w="1204" w:type="dxa"/>
          </w:tcPr>
          <w:p w14:paraId="512E266A" w14:textId="77777777" w:rsidR="00A07B12" w:rsidRPr="00D86E2A" w:rsidRDefault="00A07B12" w:rsidP="004850EB">
            <w:pPr>
              <w:spacing w:after="0" w:line="300" w:lineRule="atLeast"/>
              <w:jc w:val="center"/>
              <w:rPr>
                <w:rFonts w:ascii="Times New Roman" w:eastAsia="PMingLiU" w:hAnsi="Times New Roman" w:cs="Times New Roman"/>
              </w:rPr>
            </w:pPr>
          </w:p>
        </w:tc>
        <w:tc>
          <w:tcPr>
            <w:tcW w:w="1293" w:type="dxa"/>
          </w:tcPr>
          <w:p w14:paraId="72849F66" w14:textId="77777777" w:rsidR="00A07B12" w:rsidRPr="00D86E2A" w:rsidRDefault="00A07B12" w:rsidP="004850EB">
            <w:pPr>
              <w:spacing w:after="0" w:line="300" w:lineRule="atLeast"/>
              <w:jc w:val="center"/>
              <w:rPr>
                <w:rFonts w:ascii="Times New Roman" w:eastAsia="PMingLiU" w:hAnsi="Times New Roman" w:cs="Times New Roman"/>
              </w:rPr>
            </w:pPr>
          </w:p>
        </w:tc>
        <w:tc>
          <w:tcPr>
            <w:tcW w:w="1292" w:type="dxa"/>
          </w:tcPr>
          <w:p w14:paraId="64E405A9" w14:textId="77777777" w:rsidR="00A07B12" w:rsidRPr="00D86E2A" w:rsidRDefault="00A07B12" w:rsidP="004850EB">
            <w:pPr>
              <w:spacing w:after="0" w:line="300" w:lineRule="atLeast"/>
              <w:jc w:val="center"/>
              <w:rPr>
                <w:rFonts w:ascii="Times New Roman" w:eastAsia="PMingLiU" w:hAnsi="Times New Roman" w:cs="Times New Roman"/>
              </w:rPr>
            </w:pPr>
          </w:p>
        </w:tc>
      </w:tr>
      <w:tr w:rsidR="00A07B12" w:rsidRPr="00D86E2A" w14:paraId="2DE559C5" w14:textId="77777777" w:rsidTr="004850EB">
        <w:tc>
          <w:tcPr>
            <w:tcW w:w="5636" w:type="dxa"/>
          </w:tcPr>
          <w:p w14:paraId="70FB602F" w14:textId="77777777" w:rsidR="00A07B12" w:rsidRPr="00CB4078"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Black (% of group)</w:t>
            </w:r>
          </w:p>
        </w:tc>
        <w:tc>
          <w:tcPr>
            <w:tcW w:w="1204" w:type="dxa"/>
          </w:tcPr>
          <w:p w14:paraId="76A5E0EF"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1431(93.0)</w:t>
            </w:r>
          </w:p>
        </w:tc>
        <w:tc>
          <w:tcPr>
            <w:tcW w:w="1293" w:type="dxa"/>
          </w:tcPr>
          <w:p w14:paraId="54B32663"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917 (92.7)</w:t>
            </w:r>
          </w:p>
        </w:tc>
        <w:tc>
          <w:tcPr>
            <w:tcW w:w="1292" w:type="dxa"/>
          </w:tcPr>
          <w:p w14:paraId="77D47DA7"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514 (93.5)</w:t>
            </w:r>
          </w:p>
        </w:tc>
      </w:tr>
      <w:tr w:rsidR="00A07B12" w:rsidRPr="00D86E2A" w14:paraId="13A7480F" w14:textId="77777777" w:rsidTr="004850EB">
        <w:tc>
          <w:tcPr>
            <w:tcW w:w="5636" w:type="dxa"/>
          </w:tcPr>
          <w:p w14:paraId="52B195D5" w14:textId="77777777" w:rsidR="00A07B12" w:rsidRPr="004C505C"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Women (%)</w:t>
            </w:r>
          </w:p>
        </w:tc>
        <w:tc>
          <w:tcPr>
            <w:tcW w:w="1204" w:type="dxa"/>
          </w:tcPr>
          <w:p w14:paraId="01CE0039"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768(50.0)</w:t>
            </w:r>
          </w:p>
        </w:tc>
        <w:tc>
          <w:tcPr>
            <w:tcW w:w="1293" w:type="dxa"/>
          </w:tcPr>
          <w:p w14:paraId="56EB3723"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512 (51.8)</w:t>
            </w:r>
          </w:p>
        </w:tc>
        <w:tc>
          <w:tcPr>
            <w:tcW w:w="1292" w:type="dxa"/>
          </w:tcPr>
          <w:p w14:paraId="18AF2EE8"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256 (47.2)</w:t>
            </w:r>
          </w:p>
        </w:tc>
      </w:tr>
      <w:tr w:rsidR="00A07B12" w:rsidRPr="00D86E2A" w14:paraId="74CD85C4" w14:textId="77777777" w:rsidTr="004850EB">
        <w:tc>
          <w:tcPr>
            <w:tcW w:w="5636" w:type="dxa"/>
          </w:tcPr>
          <w:p w14:paraId="13842FC2" w14:textId="77777777" w:rsidR="00A07B12" w:rsidRPr="004C505C"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 xml:space="preserve">Birth weight (Mean, </w:t>
            </w:r>
            <w:proofErr w:type="spellStart"/>
            <w:r>
              <w:rPr>
                <w:rFonts w:ascii="Times New Roman" w:eastAsia="PMingLiU" w:hAnsi="Times New Roman" w:cs="Times New Roman"/>
                <w:bCs/>
              </w:rPr>
              <w:t>lbs</w:t>
            </w:r>
            <w:proofErr w:type="spellEnd"/>
            <w:r>
              <w:rPr>
                <w:rFonts w:ascii="Times New Roman" w:eastAsia="PMingLiU" w:hAnsi="Times New Roman" w:cs="Times New Roman"/>
                <w:bCs/>
              </w:rPr>
              <w:t>, SD)</w:t>
            </w:r>
          </w:p>
        </w:tc>
        <w:tc>
          <w:tcPr>
            <w:tcW w:w="1204" w:type="dxa"/>
          </w:tcPr>
          <w:p w14:paraId="5128E3D1"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6.80(1.24)</w:t>
            </w:r>
          </w:p>
        </w:tc>
        <w:tc>
          <w:tcPr>
            <w:tcW w:w="1293" w:type="dxa"/>
          </w:tcPr>
          <w:p w14:paraId="28B8A790"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6.82 (1.24)</w:t>
            </w:r>
          </w:p>
        </w:tc>
        <w:tc>
          <w:tcPr>
            <w:tcW w:w="1292" w:type="dxa"/>
          </w:tcPr>
          <w:p w14:paraId="4F010299"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6.75 (1.24)</w:t>
            </w:r>
          </w:p>
        </w:tc>
      </w:tr>
      <w:tr w:rsidR="00A07B12" w:rsidRPr="00D86E2A" w14:paraId="3540FE4E" w14:textId="77777777" w:rsidTr="004850EB">
        <w:tc>
          <w:tcPr>
            <w:tcW w:w="5636" w:type="dxa"/>
          </w:tcPr>
          <w:p w14:paraId="0B919669" w14:textId="77777777" w:rsidR="00A07B12" w:rsidRPr="004C505C"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Family risk index (Mean, 0-8, e.g., education, SD)</w:t>
            </w:r>
          </w:p>
        </w:tc>
        <w:tc>
          <w:tcPr>
            <w:tcW w:w="1204" w:type="dxa"/>
          </w:tcPr>
          <w:p w14:paraId="6B43E454"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4.52(1.69)</w:t>
            </w:r>
          </w:p>
        </w:tc>
        <w:tc>
          <w:tcPr>
            <w:tcW w:w="1293" w:type="dxa"/>
          </w:tcPr>
          <w:p w14:paraId="269B4E79"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4.52 (1.66)</w:t>
            </w:r>
          </w:p>
        </w:tc>
        <w:tc>
          <w:tcPr>
            <w:tcW w:w="1292" w:type="dxa"/>
          </w:tcPr>
          <w:p w14:paraId="2F1E376C"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4.54 (1.74)</w:t>
            </w:r>
          </w:p>
        </w:tc>
      </w:tr>
      <w:tr w:rsidR="00A07B12" w:rsidRPr="00D86E2A" w14:paraId="3AB28EF3" w14:textId="77777777" w:rsidTr="004850EB">
        <w:tc>
          <w:tcPr>
            <w:tcW w:w="5636" w:type="dxa"/>
          </w:tcPr>
          <w:p w14:paraId="1968C889" w14:textId="77777777" w:rsidR="00A07B12"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 xml:space="preserve">Reside in high poverty neighborhood (%) </w:t>
            </w:r>
            <w:r>
              <w:rPr>
                <w:rFonts w:ascii="Times New Roman" w:eastAsia="PMingLiU" w:hAnsi="Times New Roman" w:cs="Times New Roman"/>
              </w:rPr>
              <w:t>(≥40% residents)</w:t>
            </w:r>
          </w:p>
        </w:tc>
        <w:tc>
          <w:tcPr>
            <w:tcW w:w="1204" w:type="dxa"/>
          </w:tcPr>
          <w:p w14:paraId="63E1ED35"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765(49.7)</w:t>
            </w:r>
          </w:p>
        </w:tc>
        <w:tc>
          <w:tcPr>
            <w:tcW w:w="1293" w:type="dxa"/>
          </w:tcPr>
          <w:p w14:paraId="6D56085B"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559 (5.65</w:t>
            </w:r>
            <w:r>
              <w:rPr>
                <w:rFonts w:ascii="Times New Roman" w:eastAsia="PMingLiU" w:hAnsi="Times New Roman" w:cs="Times New Roman"/>
                <w:vertAlign w:val="superscript"/>
              </w:rPr>
              <w:t>1</w:t>
            </w:r>
            <w:r>
              <w:rPr>
                <w:rFonts w:ascii="Times New Roman" w:eastAsia="PMingLiU" w:hAnsi="Times New Roman" w:cs="Times New Roman"/>
              </w:rPr>
              <w:t>)</w:t>
            </w:r>
          </w:p>
        </w:tc>
        <w:tc>
          <w:tcPr>
            <w:tcW w:w="1292" w:type="dxa"/>
          </w:tcPr>
          <w:p w14:paraId="188B7FCD"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206 (37.6)</w:t>
            </w:r>
          </w:p>
        </w:tc>
      </w:tr>
      <w:tr w:rsidR="00A07B12" w:rsidRPr="00D86E2A" w14:paraId="201529DD" w14:textId="77777777" w:rsidTr="004850EB">
        <w:tc>
          <w:tcPr>
            <w:tcW w:w="5636" w:type="dxa"/>
          </w:tcPr>
          <w:p w14:paraId="6F22D1F2" w14:textId="77777777" w:rsidR="00A07B12"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Family income &lt; 130% of federal poverty level (%)</w:t>
            </w:r>
          </w:p>
        </w:tc>
        <w:tc>
          <w:tcPr>
            <w:tcW w:w="1204" w:type="dxa"/>
          </w:tcPr>
          <w:p w14:paraId="25DD30AB"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1290(83.8)</w:t>
            </w:r>
          </w:p>
        </w:tc>
        <w:tc>
          <w:tcPr>
            <w:tcW w:w="1293" w:type="dxa"/>
          </w:tcPr>
          <w:p w14:paraId="31A0DE6C"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833 (84.2)</w:t>
            </w:r>
          </w:p>
        </w:tc>
        <w:tc>
          <w:tcPr>
            <w:tcW w:w="1292" w:type="dxa"/>
          </w:tcPr>
          <w:p w14:paraId="0381A7F6"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457 (82.9)</w:t>
            </w:r>
          </w:p>
        </w:tc>
      </w:tr>
      <w:tr w:rsidR="00A07B12" w:rsidRPr="00D86E2A" w14:paraId="4DE8426D" w14:textId="77777777" w:rsidTr="004850EB">
        <w:tc>
          <w:tcPr>
            <w:tcW w:w="5636" w:type="dxa"/>
          </w:tcPr>
          <w:p w14:paraId="66F3BE2D" w14:textId="77777777" w:rsidR="00A07B12"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Child welfare services, 0-3 (%)</w:t>
            </w:r>
          </w:p>
        </w:tc>
        <w:tc>
          <w:tcPr>
            <w:tcW w:w="1204" w:type="dxa"/>
          </w:tcPr>
          <w:p w14:paraId="2FD3BBB6"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58(3.8)</w:t>
            </w:r>
          </w:p>
        </w:tc>
        <w:tc>
          <w:tcPr>
            <w:tcW w:w="1293" w:type="dxa"/>
          </w:tcPr>
          <w:p w14:paraId="68D4F627"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31 (3.1)</w:t>
            </w:r>
          </w:p>
        </w:tc>
        <w:tc>
          <w:tcPr>
            <w:tcW w:w="1292" w:type="dxa"/>
          </w:tcPr>
          <w:p w14:paraId="4CF4297B"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27 (4.9)</w:t>
            </w:r>
          </w:p>
        </w:tc>
      </w:tr>
      <w:tr w:rsidR="00A07B12" w:rsidRPr="00D86E2A" w14:paraId="5D436CF4" w14:textId="77777777" w:rsidTr="004850EB">
        <w:tc>
          <w:tcPr>
            <w:tcW w:w="5636" w:type="dxa"/>
          </w:tcPr>
          <w:p w14:paraId="62493B45" w14:textId="77777777" w:rsidR="00A07B12" w:rsidRPr="004C505C" w:rsidRDefault="00A07B12" w:rsidP="004850EB">
            <w:pPr>
              <w:spacing w:after="0" w:line="300" w:lineRule="atLeast"/>
              <w:jc w:val="both"/>
              <w:rPr>
                <w:rFonts w:ascii="Times New Roman" w:eastAsia="PMingLiU" w:hAnsi="Times New Roman" w:cs="Times New Roman"/>
                <w:bCs/>
              </w:rPr>
            </w:pPr>
            <w:r>
              <w:rPr>
                <w:rFonts w:ascii="Times New Roman" w:eastAsia="PMingLiU" w:hAnsi="Times New Roman" w:cs="Times New Roman"/>
                <w:bCs/>
              </w:rPr>
              <w:t>Mother attended some college or more (%)</w:t>
            </w:r>
          </w:p>
        </w:tc>
        <w:tc>
          <w:tcPr>
            <w:tcW w:w="1204" w:type="dxa"/>
          </w:tcPr>
          <w:p w14:paraId="2E73A095"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188(12.2)</w:t>
            </w:r>
          </w:p>
        </w:tc>
        <w:tc>
          <w:tcPr>
            <w:tcW w:w="1293" w:type="dxa"/>
          </w:tcPr>
          <w:p w14:paraId="24E437CB"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133 (13.4</w:t>
            </w:r>
            <w:r>
              <w:rPr>
                <w:rFonts w:ascii="Times New Roman" w:eastAsia="PMingLiU" w:hAnsi="Times New Roman" w:cs="Times New Roman"/>
                <w:vertAlign w:val="superscript"/>
              </w:rPr>
              <w:t>1</w:t>
            </w:r>
            <w:r>
              <w:rPr>
                <w:rFonts w:ascii="Times New Roman" w:eastAsia="PMingLiU" w:hAnsi="Times New Roman" w:cs="Times New Roman"/>
              </w:rPr>
              <w:t>)</w:t>
            </w:r>
          </w:p>
        </w:tc>
        <w:tc>
          <w:tcPr>
            <w:tcW w:w="1292" w:type="dxa"/>
          </w:tcPr>
          <w:p w14:paraId="623D1B0B"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55 (10.0)</w:t>
            </w:r>
          </w:p>
        </w:tc>
      </w:tr>
      <w:tr w:rsidR="00A07B12" w:rsidRPr="00D86E2A" w14:paraId="2CE37359" w14:textId="77777777" w:rsidTr="004850EB">
        <w:tc>
          <w:tcPr>
            <w:tcW w:w="5636" w:type="dxa"/>
            <w:hideMark/>
          </w:tcPr>
          <w:p w14:paraId="7EB7C56C" w14:textId="77777777" w:rsidR="00A07B12" w:rsidRPr="00D86E2A" w:rsidRDefault="00A07B12" w:rsidP="004850EB">
            <w:pPr>
              <w:spacing w:after="0" w:line="300" w:lineRule="atLeast"/>
              <w:jc w:val="both"/>
              <w:rPr>
                <w:rFonts w:ascii="Times New Roman" w:eastAsia="PMingLiU" w:hAnsi="Times New Roman" w:cs="Times New Roman"/>
                <w:b/>
              </w:rPr>
            </w:pPr>
            <w:r w:rsidRPr="00D86E2A">
              <w:rPr>
                <w:rFonts w:ascii="Times New Roman" w:eastAsia="PMingLiU" w:hAnsi="Times New Roman" w:cs="Times New Roman"/>
                <w:b/>
              </w:rPr>
              <w:t>No. of Lost cases in Post-program Years</w:t>
            </w:r>
          </w:p>
        </w:tc>
        <w:tc>
          <w:tcPr>
            <w:tcW w:w="1204" w:type="dxa"/>
          </w:tcPr>
          <w:p w14:paraId="6B1DB8F1" w14:textId="77777777" w:rsidR="00A07B12" w:rsidRPr="00D86E2A" w:rsidRDefault="00A07B12" w:rsidP="004850EB">
            <w:pPr>
              <w:spacing w:after="0" w:line="300" w:lineRule="atLeast"/>
              <w:jc w:val="center"/>
              <w:rPr>
                <w:rFonts w:ascii="Times New Roman" w:eastAsia="PMingLiU" w:hAnsi="Times New Roman" w:cs="Times New Roman"/>
              </w:rPr>
            </w:pPr>
          </w:p>
        </w:tc>
        <w:tc>
          <w:tcPr>
            <w:tcW w:w="1293" w:type="dxa"/>
          </w:tcPr>
          <w:p w14:paraId="6E4CE75D" w14:textId="77777777" w:rsidR="00A07B12" w:rsidRPr="00D86E2A" w:rsidRDefault="00A07B12" w:rsidP="004850EB">
            <w:pPr>
              <w:spacing w:after="0" w:line="300" w:lineRule="atLeast"/>
              <w:jc w:val="center"/>
              <w:rPr>
                <w:rFonts w:ascii="Times New Roman" w:eastAsia="PMingLiU" w:hAnsi="Times New Roman" w:cs="Times New Roman"/>
              </w:rPr>
            </w:pPr>
          </w:p>
        </w:tc>
        <w:tc>
          <w:tcPr>
            <w:tcW w:w="1292" w:type="dxa"/>
          </w:tcPr>
          <w:p w14:paraId="1754D7B2" w14:textId="77777777" w:rsidR="00A07B12" w:rsidRPr="00D86E2A" w:rsidRDefault="00A07B12" w:rsidP="004850EB">
            <w:pPr>
              <w:spacing w:after="0" w:line="300" w:lineRule="atLeast"/>
              <w:jc w:val="center"/>
              <w:rPr>
                <w:rFonts w:ascii="Times New Roman" w:eastAsia="PMingLiU" w:hAnsi="Times New Roman" w:cs="Times New Roman"/>
              </w:rPr>
            </w:pPr>
          </w:p>
        </w:tc>
      </w:tr>
      <w:tr w:rsidR="00A07B12" w:rsidRPr="00D86E2A" w14:paraId="67503710" w14:textId="77777777" w:rsidTr="004850EB">
        <w:tc>
          <w:tcPr>
            <w:tcW w:w="5636" w:type="dxa"/>
            <w:hideMark/>
          </w:tcPr>
          <w:p w14:paraId="2CCCF334"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Moved</w:t>
            </w:r>
            <w:r>
              <w:rPr>
                <w:rFonts w:ascii="Times New Roman" w:eastAsia="PMingLiU" w:hAnsi="Times New Roman" w:cs="Times New Roman"/>
              </w:rPr>
              <w:t xml:space="preserve"> or not located</w:t>
            </w:r>
            <w:r w:rsidRPr="00D86E2A">
              <w:rPr>
                <w:rFonts w:ascii="Times New Roman" w:eastAsia="PMingLiU" w:hAnsi="Times New Roman" w:cs="Times New Roman"/>
              </w:rPr>
              <w:t>***</w:t>
            </w:r>
          </w:p>
        </w:tc>
        <w:tc>
          <w:tcPr>
            <w:tcW w:w="1204" w:type="dxa"/>
          </w:tcPr>
          <w:p w14:paraId="4D9ACB83" w14:textId="77777777" w:rsidR="00A07B12" w:rsidRPr="001A6EF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363</w:t>
            </w:r>
          </w:p>
        </w:tc>
        <w:tc>
          <w:tcPr>
            <w:tcW w:w="1293" w:type="dxa"/>
          </w:tcPr>
          <w:p w14:paraId="467E2E37" w14:textId="77777777" w:rsidR="00A07B12" w:rsidRPr="001A6EF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215</w:t>
            </w:r>
          </w:p>
        </w:tc>
        <w:tc>
          <w:tcPr>
            <w:tcW w:w="1292" w:type="dxa"/>
          </w:tcPr>
          <w:p w14:paraId="71BFD4B6" w14:textId="77777777" w:rsidR="00A07B12" w:rsidRPr="001A6EF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148</w:t>
            </w:r>
          </w:p>
        </w:tc>
      </w:tr>
      <w:tr w:rsidR="00A07B12" w:rsidRPr="00D86E2A" w14:paraId="2D997EB4" w14:textId="77777777" w:rsidTr="004850EB">
        <w:tc>
          <w:tcPr>
            <w:tcW w:w="5636" w:type="dxa"/>
            <w:hideMark/>
          </w:tcPr>
          <w:p w14:paraId="0B5D3EDA"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rPr>
              <w:t>Deceased</w:t>
            </w:r>
            <w:r>
              <w:rPr>
                <w:rFonts w:ascii="Times New Roman" w:eastAsia="PMingLiU" w:hAnsi="Times New Roman" w:cs="Times New Roman"/>
              </w:rPr>
              <w:t xml:space="preserve"> prior to 2012 </w:t>
            </w:r>
          </w:p>
        </w:tc>
        <w:tc>
          <w:tcPr>
            <w:tcW w:w="1204" w:type="dxa"/>
            <w:hideMark/>
          </w:tcPr>
          <w:p w14:paraId="1340E31A"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72</w:t>
            </w:r>
          </w:p>
        </w:tc>
        <w:tc>
          <w:tcPr>
            <w:tcW w:w="1293" w:type="dxa"/>
            <w:hideMark/>
          </w:tcPr>
          <w:p w14:paraId="3B550EDF"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49</w:t>
            </w:r>
          </w:p>
        </w:tc>
        <w:tc>
          <w:tcPr>
            <w:tcW w:w="1292" w:type="dxa"/>
            <w:hideMark/>
          </w:tcPr>
          <w:p w14:paraId="49286437"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2</w:t>
            </w:r>
            <w:r>
              <w:rPr>
                <w:rFonts w:ascii="Times New Roman" w:eastAsia="PMingLiU" w:hAnsi="Times New Roman" w:cs="Times New Roman"/>
              </w:rPr>
              <w:t>3</w:t>
            </w:r>
          </w:p>
        </w:tc>
      </w:tr>
      <w:tr w:rsidR="00A07B12" w:rsidRPr="00D86E2A" w14:paraId="0B9D59E1" w14:textId="77777777" w:rsidTr="004850EB">
        <w:tc>
          <w:tcPr>
            <w:tcW w:w="8133" w:type="dxa"/>
            <w:gridSpan w:val="3"/>
            <w:hideMark/>
          </w:tcPr>
          <w:p w14:paraId="749E885E" w14:textId="77777777" w:rsidR="00A07B12" w:rsidRPr="00D86E2A" w:rsidRDefault="00A07B12" w:rsidP="004850EB">
            <w:pPr>
              <w:spacing w:after="0" w:line="300" w:lineRule="atLeast"/>
              <w:rPr>
                <w:rFonts w:ascii="Times New Roman" w:eastAsia="PMingLiU" w:hAnsi="Times New Roman" w:cs="Times New Roman"/>
              </w:rPr>
            </w:pPr>
            <w:r w:rsidRPr="00D86E2A">
              <w:rPr>
                <w:rFonts w:ascii="Times New Roman" w:eastAsia="PMingLiU" w:hAnsi="Times New Roman" w:cs="Times New Roman"/>
                <w:b/>
              </w:rPr>
              <w:t xml:space="preserve">Follow-up </w:t>
            </w:r>
            <w:r>
              <w:rPr>
                <w:rFonts w:ascii="Times New Roman" w:eastAsia="PMingLiU" w:hAnsi="Times New Roman" w:cs="Times New Roman"/>
                <w:b/>
              </w:rPr>
              <w:t>at</w:t>
            </w:r>
            <w:r w:rsidRPr="00D86E2A">
              <w:rPr>
                <w:rFonts w:ascii="Times New Roman" w:eastAsia="PMingLiU" w:hAnsi="Times New Roman" w:cs="Times New Roman"/>
                <w:b/>
              </w:rPr>
              <w:t xml:space="preserve"> Age 3</w:t>
            </w:r>
            <w:r>
              <w:rPr>
                <w:rFonts w:ascii="Times New Roman" w:eastAsia="PMingLiU" w:hAnsi="Times New Roman" w:cs="Times New Roman"/>
                <w:b/>
              </w:rPr>
              <w:t>7 Interview, Cases and Retention</w:t>
            </w:r>
          </w:p>
        </w:tc>
        <w:tc>
          <w:tcPr>
            <w:tcW w:w="1292" w:type="dxa"/>
          </w:tcPr>
          <w:p w14:paraId="00E27B35" w14:textId="77777777" w:rsidR="00A07B12" w:rsidRPr="00D86E2A" w:rsidRDefault="00A07B12" w:rsidP="004850EB">
            <w:pPr>
              <w:spacing w:after="0" w:line="300" w:lineRule="atLeast"/>
              <w:jc w:val="center"/>
              <w:rPr>
                <w:rFonts w:ascii="Times New Roman" w:eastAsia="PMingLiU" w:hAnsi="Times New Roman" w:cs="Times New Roman"/>
              </w:rPr>
            </w:pPr>
          </w:p>
        </w:tc>
      </w:tr>
      <w:tr w:rsidR="00A07B12" w:rsidRPr="00D86E2A" w14:paraId="769D529D" w14:textId="77777777" w:rsidTr="004850EB">
        <w:tc>
          <w:tcPr>
            <w:tcW w:w="5636" w:type="dxa"/>
          </w:tcPr>
          <w:p w14:paraId="2E8DB401" w14:textId="77777777" w:rsidR="00A07B12" w:rsidRPr="00D86E2A"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Completed any part of interview/survey</w:t>
            </w:r>
          </w:p>
        </w:tc>
        <w:tc>
          <w:tcPr>
            <w:tcW w:w="1204" w:type="dxa"/>
          </w:tcPr>
          <w:p w14:paraId="0D3F503D"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1</w:t>
            </w:r>
            <w:r>
              <w:rPr>
                <w:rFonts w:ascii="Times New Roman" w:eastAsia="PMingLiU" w:hAnsi="Times New Roman" w:cs="Times New Roman"/>
              </w:rPr>
              <w:t>124</w:t>
            </w:r>
          </w:p>
        </w:tc>
        <w:tc>
          <w:tcPr>
            <w:tcW w:w="1293" w:type="dxa"/>
          </w:tcPr>
          <w:p w14:paraId="50F5E307"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740</w:t>
            </w:r>
          </w:p>
        </w:tc>
        <w:tc>
          <w:tcPr>
            <w:tcW w:w="1292" w:type="dxa"/>
          </w:tcPr>
          <w:p w14:paraId="041361D8"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384</w:t>
            </w:r>
          </w:p>
        </w:tc>
      </w:tr>
      <w:tr w:rsidR="00A07B12" w:rsidRPr="00D86E2A" w14:paraId="2C52E1AA" w14:textId="77777777" w:rsidTr="004850EB">
        <w:tc>
          <w:tcPr>
            <w:tcW w:w="5636" w:type="dxa"/>
          </w:tcPr>
          <w:p w14:paraId="0C774541"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Completed items on structural context</w:t>
            </w:r>
          </w:p>
        </w:tc>
        <w:tc>
          <w:tcPr>
            <w:tcW w:w="1204" w:type="dxa"/>
          </w:tcPr>
          <w:p w14:paraId="56A87799"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1107</w:t>
            </w:r>
          </w:p>
        </w:tc>
        <w:tc>
          <w:tcPr>
            <w:tcW w:w="1293" w:type="dxa"/>
          </w:tcPr>
          <w:p w14:paraId="18011023"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728</w:t>
            </w:r>
          </w:p>
        </w:tc>
        <w:tc>
          <w:tcPr>
            <w:tcW w:w="1292" w:type="dxa"/>
          </w:tcPr>
          <w:p w14:paraId="7BD4C33C"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379</w:t>
            </w:r>
          </w:p>
        </w:tc>
      </w:tr>
      <w:tr w:rsidR="00A07B12" w:rsidRPr="00D86E2A" w14:paraId="4F6B8FFB" w14:textId="77777777" w:rsidTr="004850EB">
        <w:tc>
          <w:tcPr>
            <w:tcW w:w="5636" w:type="dxa"/>
          </w:tcPr>
          <w:p w14:paraId="02A7FCD2" w14:textId="77777777" w:rsidR="00A07B12" w:rsidRPr="00D86E2A"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Valid score for 1 or more outcomes &amp; structural context</w:t>
            </w:r>
          </w:p>
        </w:tc>
        <w:tc>
          <w:tcPr>
            <w:tcW w:w="1204" w:type="dxa"/>
          </w:tcPr>
          <w:p w14:paraId="019AB166" w14:textId="77777777" w:rsidR="00A07B12" w:rsidRPr="00D86E2A" w:rsidRDefault="00A07B12" w:rsidP="004850EB">
            <w:pPr>
              <w:spacing w:after="0" w:line="300" w:lineRule="atLeast"/>
              <w:jc w:val="center"/>
              <w:rPr>
                <w:rFonts w:ascii="Times New Roman" w:eastAsia="PMingLiU" w:hAnsi="Times New Roman" w:cs="Times New Roman"/>
              </w:rPr>
            </w:pPr>
            <w:r w:rsidRPr="00D86E2A">
              <w:rPr>
                <w:rFonts w:ascii="Times New Roman" w:eastAsia="PMingLiU" w:hAnsi="Times New Roman" w:cs="Times New Roman"/>
              </w:rPr>
              <w:t>1</w:t>
            </w:r>
            <w:r>
              <w:rPr>
                <w:rFonts w:ascii="Times New Roman" w:eastAsia="PMingLiU" w:hAnsi="Times New Roman" w:cs="Times New Roman"/>
              </w:rPr>
              <w:t>073</w:t>
            </w:r>
          </w:p>
        </w:tc>
        <w:tc>
          <w:tcPr>
            <w:tcW w:w="1293" w:type="dxa"/>
          </w:tcPr>
          <w:p w14:paraId="269456DF"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709</w:t>
            </w:r>
          </w:p>
        </w:tc>
        <w:tc>
          <w:tcPr>
            <w:tcW w:w="1292" w:type="dxa"/>
          </w:tcPr>
          <w:p w14:paraId="23D5780F"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364</w:t>
            </w:r>
          </w:p>
        </w:tc>
      </w:tr>
      <w:tr w:rsidR="00A07B12" w:rsidRPr="00D86E2A" w14:paraId="4D5AFA5E" w14:textId="77777777" w:rsidTr="004850EB">
        <w:tc>
          <w:tcPr>
            <w:tcW w:w="5636" w:type="dxa"/>
          </w:tcPr>
          <w:p w14:paraId="6C7F7F0A" w14:textId="77777777" w:rsidR="00A07B12" w:rsidRPr="00D86E2A"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Percentage of original sample who completed interview</w:t>
            </w:r>
          </w:p>
        </w:tc>
        <w:tc>
          <w:tcPr>
            <w:tcW w:w="1204" w:type="dxa"/>
          </w:tcPr>
          <w:p w14:paraId="72398589"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71.7</w:t>
            </w:r>
          </w:p>
        </w:tc>
        <w:tc>
          <w:tcPr>
            <w:tcW w:w="1293" w:type="dxa"/>
          </w:tcPr>
          <w:p w14:paraId="23C4CFFC"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73.3</w:t>
            </w:r>
          </w:p>
        </w:tc>
        <w:tc>
          <w:tcPr>
            <w:tcW w:w="1292" w:type="dxa"/>
          </w:tcPr>
          <w:p w14:paraId="506BA9B9"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68.9</w:t>
            </w:r>
          </w:p>
        </w:tc>
      </w:tr>
      <w:tr w:rsidR="00A07B12" w:rsidRPr="00D86E2A" w14:paraId="31468237" w14:textId="77777777" w:rsidTr="004850EB">
        <w:tc>
          <w:tcPr>
            <w:tcW w:w="5636" w:type="dxa"/>
          </w:tcPr>
          <w:p w14:paraId="3643D206"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Percentage of tracked (available) sample who completed</w:t>
            </w:r>
          </w:p>
        </w:tc>
        <w:tc>
          <w:tcPr>
            <w:tcW w:w="1204" w:type="dxa"/>
          </w:tcPr>
          <w:p w14:paraId="62DCFCE8"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78.8</w:t>
            </w:r>
          </w:p>
        </w:tc>
        <w:tc>
          <w:tcPr>
            <w:tcW w:w="1293" w:type="dxa"/>
          </w:tcPr>
          <w:p w14:paraId="52DF2A1F"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80.8</w:t>
            </w:r>
          </w:p>
        </w:tc>
        <w:tc>
          <w:tcPr>
            <w:tcW w:w="1292" w:type="dxa"/>
          </w:tcPr>
          <w:p w14:paraId="565FB8EF" w14:textId="77777777" w:rsidR="00A07B12" w:rsidRPr="00D86E2A"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75.2</w:t>
            </w:r>
          </w:p>
        </w:tc>
      </w:tr>
      <w:tr w:rsidR="00A07B12" w:rsidRPr="00D86E2A" w14:paraId="79049CFC" w14:textId="77777777" w:rsidTr="004850EB">
        <w:tc>
          <w:tcPr>
            <w:tcW w:w="5636" w:type="dxa"/>
          </w:tcPr>
          <w:p w14:paraId="78FE4634"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Percentage of tracked sample with valid score on outcome</w:t>
            </w:r>
          </w:p>
        </w:tc>
        <w:tc>
          <w:tcPr>
            <w:tcW w:w="1204" w:type="dxa"/>
          </w:tcPr>
          <w:p w14:paraId="4DD82B02"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76.6</w:t>
            </w:r>
          </w:p>
        </w:tc>
        <w:tc>
          <w:tcPr>
            <w:tcW w:w="1293" w:type="dxa"/>
          </w:tcPr>
          <w:p w14:paraId="78F6B7C7"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77.4</w:t>
            </w:r>
          </w:p>
        </w:tc>
        <w:tc>
          <w:tcPr>
            <w:tcW w:w="1292" w:type="dxa"/>
          </w:tcPr>
          <w:p w14:paraId="2BF53525"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71.2</w:t>
            </w:r>
          </w:p>
        </w:tc>
      </w:tr>
      <w:tr w:rsidR="00A07B12" w:rsidRPr="00D86E2A" w14:paraId="12C6FDAC" w14:textId="77777777" w:rsidTr="004850EB">
        <w:tc>
          <w:tcPr>
            <w:tcW w:w="5636" w:type="dxa"/>
          </w:tcPr>
          <w:p w14:paraId="410779DD" w14:textId="77777777" w:rsidR="00A07B12" w:rsidRDefault="00A07B12" w:rsidP="004850EB">
            <w:pPr>
              <w:spacing w:after="0" w:line="300" w:lineRule="atLeast"/>
              <w:rPr>
                <w:rFonts w:ascii="Times New Roman" w:eastAsia="PMingLiU" w:hAnsi="Times New Roman" w:cs="Times New Roman"/>
              </w:rPr>
            </w:pPr>
            <w:r w:rsidRPr="00DC725E">
              <w:rPr>
                <w:rFonts w:ascii="Times New Roman" w:eastAsia="PMingLiU" w:hAnsi="Times New Roman" w:cs="Times New Roman"/>
                <w:b/>
                <w:bCs/>
              </w:rPr>
              <w:t>Select Baseline Attributes</w:t>
            </w:r>
            <w:r>
              <w:rPr>
                <w:rFonts w:ascii="Times New Roman" w:eastAsia="PMingLiU" w:hAnsi="Times New Roman" w:cs="Times New Roman"/>
                <w:b/>
                <w:bCs/>
              </w:rPr>
              <w:t>, Follow-up Sample (N=1073)</w:t>
            </w:r>
          </w:p>
        </w:tc>
        <w:tc>
          <w:tcPr>
            <w:tcW w:w="1204" w:type="dxa"/>
          </w:tcPr>
          <w:p w14:paraId="56DAF91D" w14:textId="77777777" w:rsidR="00A07B12" w:rsidRDefault="00A07B12" w:rsidP="004850EB">
            <w:pPr>
              <w:spacing w:after="0" w:line="300" w:lineRule="atLeast"/>
              <w:jc w:val="center"/>
              <w:rPr>
                <w:rFonts w:ascii="Times New Roman" w:eastAsia="PMingLiU" w:hAnsi="Times New Roman" w:cs="Times New Roman"/>
              </w:rPr>
            </w:pPr>
          </w:p>
        </w:tc>
        <w:tc>
          <w:tcPr>
            <w:tcW w:w="1293" w:type="dxa"/>
          </w:tcPr>
          <w:p w14:paraId="2993A19B" w14:textId="77777777" w:rsidR="00A07B12" w:rsidRDefault="00A07B12" w:rsidP="004850EB">
            <w:pPr>
              <w:spacing w:after="0" w:line="300" w:lineRule="atLeast"/>
              <w:jc w:val="center"/>
              <w:rPr>
                <w:rFonts w:ascii="Times New Roman" w:eastAsia="PMingLiU" w:hAnsi="Times New Roman" w:cs="Times New Roman"/>
              </w:rPr>
            </w:pPr>
          </w:p>
        </w:tc>
        <w:tc>
          <w:tcPr>
            <w:tcW w:w="1292" w:type="dxa"/>
          </w:tcPr>
          <w:p w14:paraId="1FAB8982" w14:textId="77777777" w:rsidR="00A07B12" w:rsidRDefault="00A07B12" w:rsidP="004850EB">
            <w:pPr>
              <w:spacing w:after="0" w:line="300" w:lineRule="atLeast"/>
              <w:jc w:val="center"/>
              <w:rPr>
                <w:rFonts w:ascii="Times New Roman" w:eastAsia="PMingLiU" w:hAnsi="Times New Roman" w:cs="Times New Roman"/>
              </w:rPr>
            </w:pPr>
          </w:p>
        </w:tc>
      </w:tr>
      <w:tr w:rsidR="00A07B12" w:rsidRPr="00D86E2A" w14:paraId="2C8958FC" w14:textId="77777777" w:rsidTr="004850EB">
        <w:tc>
          <w:tcPr>
            <w:tcW w:w="5636" w:type="dxa"/>
          </w:tcPr>
          <w:p w14:paraId="76FE60DC"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Black (% of group)</w:t>
            </w:r>
          </w:p>
        </w:tc>
        <w:tc>
          <w:tcPr>
            <w:tcW w:w="1204" w:type="dxa"/>
          </w:tcPr>
          <w:p w14:paraId="17D6CCAA"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1006(93.8)</w:t>
            </w:r>
          </w:p>
        </w:tc>
        <w:tc>
          <w:tcPr>
            <w:tcW w:w="1293" w:type="dxa"/>
          </w:tcPr>
          <w:p w14:paraId="2676493C"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662 (93.4)</w:t>
            </w:r>
          </w:p>
        </w:tc>
        <w:tc>
          <w:tcPr>
            <w:tcW w:w="1292" w:type="dxa"/>
          </w:tcPr>
          <w:p w14:paraId="22E45479"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344 (94.5)</w:t>
            </w:r>
          </w:p>
        </w:tc>
      </w:tr>
      <w:tr w:rsidR="00A07B12" w:rsidRPr="00D86E2A" w14:paraId="3C3DB354" w14:textId="77777777" w:rsidTr="004850EB">
        <w:tc>
          <w:tcPr>
            <w:tcW w:w="5636" w:type="dxa"/>
          </w:tcPr>
          <w:p w14:paraId="2C2789C6"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Women (%)</w:t>
            </w:r>
          </w:p>
        </w:tc>
        <w:tc>
          <w:tcPr>
            <w:tcW w:w="1204" w:type="dxa"/>
          </w:tcPr>
          <w:p w14:paraId="03DD3CB0"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590(55.0)</w:t>
            </w:r>
          </w:p>
        </w:tc>
        <w:tc>
          <w:tcPr>
            <w:tcW w:w="1293" w:type="dxa"/>
          </w:tcPr>
          <w:p w14:paraId="596DD18D"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405 (57.1</w:t>
            </w:r>
            <w:r>
              <w:rPr>
                <w:rFonts w:ascii="Times New Roman" w:eastAsia="PMingLiU" w:hAnsi="Times New Roman" w:cs="Times New Roman"/>
                <w:vertAlign w:val="superscript"/>
              </w:rPr>
              <w:t>1</w:t>
            </w:r>
            <w:r>
              <w:rPr>
                <w:rFonts w:ascii="Times New Roman" w:eastAsia="PMingLiU" w:hAnsi="Times New Roman" w:cs="Times New Roman"/>
              </w:rPr>
              <w:t>)</w:t>
            </w:r>
          </w:p>
        </w:tc>
        <w:tc>
          <w:tcPr>
            <w:tcW w:w="1292" w:type="dxa"/>
          </w:tcPr>
          <w:p w14:paraId="650CEF1A"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185 (50.8)</w:t>
            </w:r>
          </w:p>
        </w:tc>
      </w:tr>
      <w:tr w:rsidR="00A07B12" w:rsidRPr="00D86E2A" w14:paraId="08914055" w14:textId="77777777" w:rsidTr="004850EB">
        <w:tc>
          <w:tcPr>
            <w:tcW w:w="5636" w:type="dxa"/>
          </w:tcPr>
          <w:p w14:paraId="26157329"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Family risk index (Mean, 0-8; e.g., education, income)</w:t>
            </w:r>
          </w:p>
        </w:tc>
        <w:tc>
          <w:tcPr>
            <w:tcW w:w="1204" w:type="dxa"/>
          </w:tcPr>
          <w:p w14:paraId="1FEFB6FA"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4.44(1.69)</w:t>
            </w:r>
          </w:p>
        </w:tc>
        <w:tc>
          <w:tcPr>
            <w:tcW w:w="1293" w:type="dxa"/>
          </w:tcPr>
          <w:p w14:paraId="4A4B4872"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4.43 (1.66)</w:t>
            </w:r>
          </w:p>
        </w:tc>
        <w:tc>
          <w:tcPr>
            <w:tcW w:w="1292" w:type="dxa"/>
          </w:tcPr>
          <w:p w14:paraId="45271D06"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4.46 (1.74)</w:t>
            </w:r>
          </w:p>
        </w:tc>
      </w:tr>
      <w:tr w:rsidR="00A07B12" w:rsidRPr="00D86E2A" w14:paraId="158BE990" w14:textId="77777777" w:rsidTr="004850EB">
        <w:tc>
          <w:tcPr>
            <w:tcW w:w="5636" w:type="dxa"/>
          </w:tcPr>
          <w:p w14:paraId="475DA57D"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 xml:space="preserve">Birth weight (Mean, </w:t>
            </w:r>
            <w:proofErr w:type="spellStart"/>
            <w:r>
              <w:rPr>
                <w:rFonts w:ascii="Times New Roman" w:eastAsia="PMingLiU" w:hAnsi="Times New Roman" w:cs="Times New Roman"/>
              </w:rPr>
              <w:t>lbs</w:t>
            </w:r>
            <w:proofErr w:type="spellEnd"/>
            <w:r>
              <w:rPr>
                <w:rFonts w:ascii="Times New Roman" w:eastAsia="PMingLiU" w:hAnsi="Times New Roman" w:cs="Times New Roman"/>
              </w:rPr>
              <w:t>)</w:t>
            </w:r>
          </w:p>
        </w:tc>
        <w:tc>
          <w:tcPr>
            <w:tcW w:w="1204" w:type="dxa"/>
          </w:tcPr>
          <w:p w14:paraId="6EA2977B"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6.79(1.27)</w:t>
            </w:r>
          </w:p>
        </w:tc>
        <w:tc>
          <w:tcPr>
            <w:tcW w:w="1293" w:type="dxa"/>
          </w:tcPr>
          <w:p w14:paraId="6E9A392D"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6.81 (1.26)</w:t>
            </w:r>
          </w:p>
        </w:tc>
        <w:tc>
          <w:tcPr>
            <w:tcW w:w="1292" w:type="dxa"/>
          </w:tcPr>
          <w:p w14:paraId="2D9057FA"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6.74 (1.28)</w:t>
            </w:r>
          </w:p>
        </w:tc>
      </w:tr>
      <w:tr w:rsidR="00A07B12" w:rsidRPr="00D86E2A" w14:paraId="3BA3EB15" w14:textId="77777777" w:rsidTr="004850EB">
        <w:tc>
          <w:tcPr>
            <w:tcW w:w="5636" w:type="dxa"/>
          </w:tcPr>
          <w:p w14:paraId="338C07B0"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Child welfare services (%)</w:t>
            </w:r>
          </w:p>
        </w:tc>
        <w:tc>
          <w:tcPr>
            <w:tcW w:w="1204" w:type="dxa"/>
          </w:tcPr>
          <w:p w14:paraId="1E0FC4A1"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38(3.5)</w:t>
            </w:r>
          </w:p>
        </w:tc>
        <w:tc>
          <w:tcPr>
            <w:tcW w:w="1293" w:type="dxa"/>
          </w:tcPr>
          <w:p w14:paraId="5DF71839"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22 (3.1)</w:t>
            </w:r>
          </w:p>
        </w:tc>
        <w:tc>
          <w:tcPr>
            <w:tcW w:w="1292" w:type="dxa"/>
          </w:tcPr>
          <w:p w14:paraId="6B692456"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16 (4.1)</w:t>
            </w:r>
          </w:p>
        </w:tc>
      </w:tr>
      <w:tr w:rsidR="00A07B12" w:rsidRPr="00D86E2A" w14:paraId="02B73098" w14:textId="77777777" w:rsidTr="004850EB">
        <w:tc>
          <w:tcPr>
            <w:tcW w:w="5636" w:type="dxa"/>
          </w:tcPr>
          <w:p w14:paraId="1A7E5794"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Mother attended some college or more (%)</w:t>
            </w:r>
          </w:p>
        </w:tc>
        <w:tc>
          <w:tcPr>
            <w:tcW w:w="1204" w:type="dxa"/>
          </w:tcPr>
          <w:p w14:paraId="7BF27F29"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133(12.4)</w:t>
            </w:r>
          </w:p>
        </w:tc>
        <w:tc>
          <w:tcPr>
            <w:tcW w:w="1293" w:type="dxa"/>
          </w:tcPr>
          <w:p w14:paraId="21054327"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94 (13.3)</w:t>
            </w:r>
          </w:p>
        </w:tc>
        <w:tc>
          <w:tcPr>
            <w:tcW w:w="1292" w:type="dxa"/>
          </w:tcPr>
          <w:p w14:paraId="61EE015D"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39 (10.7)</w:t>
            </w:r>
          </w:p>
        </w:tc>
      </w:tr>
      <w:tr w:rsidR="00A07B12" w:rsidRPr="00D86E2A" w14:paraId="1D99F61F" w14:textId="77777777" w:rsidTr="004850EB">
        <w:tc>
          <w:tcPr>
            <w:tcW w:w="5636" w:type="dxa"/>
          </w:tcPr>
          <w:p w14:paraId="48CFE899"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Reside in high poverty neighborhood (%) (≥40% residents)</w:t>
            </w:r>
          </w:p>
        </w:tc>
        <w:tc>
          <w:tcPr>
            <w:tcW w:w="1204" w:type="dxa"/>
          </w:tcPr>
          <w:p w14:paraId="6B1B03F5"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538(50.1)</w:t>
            </w:r>
          </w:p>
        </w:tc>
        <w:tc>
          <w:tcPr>
            <w:tcW w:w="1293" w:type="dxa"/>
          </w:tcPr>
          <w:p w14:paraId="0673BEB3"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399 (56.3</w:t>
            </w:r>
            <w:r>
              <w:rPr>
                <w:rFonts w:ascii="Times New Roman" w:eastAsia="PMingLiU" w:hAnsi="Times New Roman" w:cs="Times New Roman"/>
                <w:vertAlign w:val="superscript"/>
              </w:rPr>
              <w:t>1</w:t>
            </w:r>
            <w:r>
              <w:rPr>
                <w:rFonts w:ascii="Times New Roman" w:eastAsia="PMingLiU" w:hAnsi="Times New Roman" w:cs="Times New Roman"/>
              </w:rPr>
              <w:t>)</w:t>
            </w:r>
          </w:p>
        </w:tc>
        <w:tc>
          <w:tcPr>
            <w:tcW w:w="1292" w:type="dxa"/>
          </w:tcPr>
          <w:p w14:paraId="216793B3"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139 (38.2)</w:t>
            </w:r>
          </w:p>
        </w:tc>
      </w:tr>
      <w:tr w:rsidR="00A07B12" w:rsidRPr="00D86E2A" w14:paraId="03E87F9F" w14:textId="77777777" w:rsidTr="004850EB">
        <w:tc>
          <w:tcPr>
            <w:tcW w:w="5636" w:type="dxa"/>
            <w:tcBorders>
              <w:bottom w:val="single" w:sz="4" w:space="0" w:color="auto"/>
            </w:tcBorders>
          </w:tcPr>
          <w:p w14:paraId="3683D0AA" w14:textId="77777777" w:rsidR="00A07B12" w:rsidRDefault="00A07B12" w:rsidP="004850EB">
            <w:pPr>
              <w:spacing w:after="0" w:line="300" w:lineRule="atLeast"/>
              <w:rPr>
                <w:rFonts w:ascii="Times New Roman" w:eastAsia="PMingLiU" w:hAnsi="Times New Roman" w:cs="Times New Roman"/>
              </w:rPr>
            </w:pPr>
            <w:r>
              <w:rPr>
                <w:rFonts w:ascii="Times New Roman" w:eastAsia="PMingLiU" w:hAnsi="Times New Roman" w:cs="Times New Roman"/>
              </w:rPr>
              <w:t>Family income &lt;130% of federal poverty level (%)</w:t>
            </w:r>
          </w:p>
        </w:tc>
        <w:tc>
          <w:tcPr>
            <w:tcW w:w="1204" w:type="dxa"/>
            <w:tcBorders>
              <w:bottom w:val="single" w:sz="4" w:space="0" w:color="auto"/>
            </w:tcBorders>
          </w:tcPr>
          <w:p w14:paraId="79E8D595"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888(82.8)</w:t>
            </w:r>
          </w:p>
        </w:tc>
        <w:tc>
          <w:tcPr>
            <w:tcW w:w="1293" w:type="dxa"/>
            <w:tcBorders>
              <w:bottom w:val="single" w:sz="4" w:space="0" w:color="auto"/>
            </w:tcBorders>
          </w:tcPr>
          <w:p w14:paraId="7456AE6F"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586 (82.7)</w:t>
            </w:r>
          </w:p>
        </w:tc>
        <w:tc>
          <w:tcPr>
            <w:tcW w:w="1292" w:type="dxa"/>
            <w:tcBorders>
              <w:bottom w:val="single" w:sz="4" w:space="0" w:color="auto"/>
            </w:tcBorders>
          </w:tcPr>
          <w:p w14:paraId="3C6EDB86" w14:textId="77777777" w:rsidR="00A07B12" w:rsidRDefault="00A07B12" w:rsidP="004850EB">
            <w:pPr>
              <w:spacing w:after="0" w:line="300" w:lineRule="atLeast"/>
              <w:jc w:val="center"/>
              <w:rPr>
                <w:rFonts w:ascii="Times New Roman" w:eastAsia="PMingLiU" w:hAnsi="Times New Roman" w:cs="Times New Roman"/>
              </w:rPr>
            </w:pPr>
            <w:r>
              <w:rPr>
                <w:rFonts w:ascii="Times New Roman" w:eastAsia="PMingLiU" w:hAnsi="Times New Roman" w:cs="Times New Roman"/>
              </w:rPr>
              <w:t>302 (83.0)</w:t>
            </w:r>
          </w:p>
        </w:tc>
      </w:tr>
    </w:tbl>
    <w:p w14:paraId="0974A55F" w14:textId="77777777" w:rsidR="00A07B12" w:rsidRPr="00D86E2A" w:rsidRDefault="00A07B12" w:rsidP="00A07B12">
      <w:pPr>
        <w:spacing w:after="0" w:line="240" w:lineRule="auto"/>
        <w:ind w:right="-54"/>
        <w:rPr>
          <w:rFonts w:ascii="Times New Roman" w:eastAsia="PMingLiU" w:hAnsi="Times New Roman" w:cs="Times New Roman"/>
          <w:sz w:val="20"/>
          <w:szCs w:val="20"/>
        </w:rPr>
      </w:pPr>
      <w:r w:rsidRPr="00D86E2A">
        <w:rPr>
          <w:rFonts w:ascii="Times New Roman" w:eastAsia="PMingLiU" w:hAnsi="Times New Roman" w:cs="Times New Roman"/>
          <w:i/>
          <w:sz w:val="20"/>
          <w:szCs w:val="20"/>
        </w:rPr>
        <w:t>Note</w:t>
      </w:r>
      <w:r w:rsidRPr="00D86E2A">
        <w:rPr>
          <w:rFonts w:ascii="Times New Roman" w:eastAsia="PMingLiU" w:hAnsi="Times New Roman" w:cs="Times New Roman"/>
          <w:sz w:val="20"/>
          <w:szCs w:val="20"/>
        </w:rPr>
        <w:t xml:space="preserve">. *Cases for program participation cover the 6-year period (1983-1989) that defines enrollment in the CPC </w:t>
      </w:r>
      <w:r>
        <w:rPr>
          <w:rFonts w:ascii="Times New Roman" w:eastAsia="PMingLiU" w:hAnsi="Times New Roman" w:cs="Times New Roman"/>
          <w:sz w:val="20"/>
          <w:szCs w:val="20"/>
        </w:rPr>
        <w:t>program</w:t>
      </w:r>
      <w:r w:rsidRPr="00D86E2A">
        <w:rPr>
          <w:rFonts w:ascii="Times New Roman" w:eastAsia="PMingLiU" w:hAnsi="Times New Roman" w:cs="Times New Roman"/>
          <w:sz w:val="20"/>
          <w:szCs w:val="20"/>
        </w:rPr>
        <w:t>.</w:t>
      </w:r>
      <w:r>
        <w:rPr>
          <w:rFonts w:ascii="Times New Roman" w:eastAsia="PMingLiU" w:hAnsi="Times New Roman" w:cs="Times New Roman"/>
          <w:sz w:val="20"/>
          <w:szCs w:val="20"/>
        </w:rPr>
        <w:t xml:space="preserve"> </w:t>
      </w:r>
      <w:r w:rsidRPr="00D86E2A">
        <w:rPr>
          <w:rFonts w:ascii="Times New Roman" w:eastAsia="PMingLiU" w:hAnsi="Times New Roman" w:cs="Times New Roman"/>
          <w:sz w:val="20"/>
          <w:szCs w:val="20"/>
        </w:rPr>
        <w:t>**The comparison group participated in a full-day kindergarten program, and 84 participated in Head Start preschool. 109 parents in the comparison group reported their child participated in other child care/education in preschool. 176 cases in the comparison group were receive</w:t>
      </w:r>
      <w:r>
        <w:rPr>
          <w:rFonts w:ascii="Times New Roman" w:eastAsia="PMingLiU" w:hAnsi="Times New Roman" w:cs="Times New Roman"/>
          <w:sz w:val="20"/>
          <w:szCs w:val="20"/>
        </w:rPr>
        <w:t>d</w:t>
      </w:r>
      <w:r w:rsidRPr="00D86E2A">
        <w:rPr>
          <w:rFonts w:ascii="Times New Roman" w:eastAsia="PMingLiU" w:hAnsi="Times New Roman" w:cs="Times New Roman"/>
          <w:sz w:val="20"/>
          <w:szCs w:val="20"/>
        </w:rPr>
        <w:t xml:space="preserve"> services in CPC kindergarten. They are not part of the original </w:t>
      </w:r>
      <w:r>
        <w:rPr>
          <w:rFonts w:ascii="Times New Roman" w:eastAsia="PMingLiU" w:hAnsi="Times New Roman" w:cs="Times New Roman"/>
          <w:sz w:val="20"/>
          <w:szCs w:val="20"/>
        </w:rPr>
        <w:t>program</w:t>
      </w:r>
      <w:r w:rsidRPr="00D86E2A">
        <w:rPr>
          <w:rFonts w:ascii="Times New Roman" w:eastAsia="PMingLiU" w:hAnsi="Times New Roman" w:cs="Times New Roman"/>
          <w:sz w:val="20"/>
          <w:szCs w:val="20"/>
        </w:rPr>
        <w:t xml:space="preserve"> group. Some cases in the comparison group participated in the school-age program because it was open to any child enrolled in elementary school. Fifteen children in the CPC group enrolled in the alternative full-day kindergarten.</w:t>
      </w:r>
    </w:p>
    <w:p w14:paraId="5AF8E03D" w14:textId="77777777" w:rsidR="00A07B12" w:rsidRDefault="00A07B12" w:rsidP="00A07B12">
      <w:pPr>
        <w:spacing w:after="0" w:line="240" w:lineRule="auto"/>
        <w:rPr>
          <w:rFonts w:ascii="Times New Roman" w:eastAsia="PMingLiU" w:hAnsi="Times New Roman" w:cs="Times New Roman"/>
          <w:sz w:val="20"/>
          <w:szCs w:val="20"/>
        </w:rPr>
      </w:pPr>
      <w:r>
        <w:rPr>
          <w:rFonts w:ascii="Times New Roman" w:eastAsia="PMingLiU" w:hAnsi="Times New Roman" w:cs="Times New Roman"/>
          <w:sz w:val="20"/>
          <w:szCs w:val="20"/>
        </w:rPr>
        <w:lastRenderedPageBreak/>
        <w:tab/>
      </w:r>
      <w:r w:rsidRPr="00D86E2A">
        <w:rPr>
          <w:rFonts w:ascii="Times New Roman" w:eastAsia="PMingLiU" w:hAnsi="Times New Roman" w:cs="Times New Roman"/>
          <w:sz w:val="20"/>
          <w:szCs w:val="20"/>
        </w:rPr>
        <w:t xml:space="preserve">***These categories account for attrition from the original study sample of 1,539. Cases were lost during post-program years because they moved from Chicago and could not be located, were deceased, or either did not have sufficient identifying information to track, refused to participate or were incarcerated (other). </w:t>
      </w:r>
      <w:r>
        <w:rPr>
          <w:rFonts w:ascii="Times New Roman" w:eastAsia="PMingLiU" w:hAnsi="Times New Roman" w:cs="Times New Roman"/>
          <w:sz w:val="20"/>
          <w:szCs w:val="20"/>
        </w:rPr>
        <w:t>The number of deceased cases by 2019 was 97.</w:t>
      </w:r>
      <w:r w:rsidRPr="00D86E2A">
        <w:rPr>
          <w:rFonts w:ascii="Times New Roman" w:eastAsia="PMingLiU" w:hAnsi="Times New Roman" w:cs="Times New Roman"/>
          <w:sz w:val="20"/>
          <w:szCs w:val="20"/>
        </w:rPr>
        <w:t xml:space="preserve"> </w:t>
      </w:r>
    </w:p>
    <w:p w14:paraId="18BF5CE1" w14:textId="77777777" w:rsidR="00A07B12" w:rsidRDefault="00A07B12" w:rsidP="00A07B12">
      <w:pPr>
        <w:spacing w:after="0" w:line="240" w:lineRule="auto"/>
        <w:rPr>
          <w:rFonts w:ascii="Times New Roman" w:eastAsia="PMingLiU" w:hAnsi="Times New Roman" w:cs="Times New Roman"/>
          <w:sz w:val="20"/>
          <w:szCs w:val="20"/>
        </w:rPr>
      </w:pPr>
      <w:r>
        <w:rPr>
          <w:rFonts w:ascii="Times New Roman" w:eastAsia="PMingLiU" w:hAnsi="Times New Roman" w:cs="Times New Roman"/>
          <w:sz w:val="20"/>
          <w:szCs w:val="20"/>
          <w:vertAlign w:val="superscript"/>
        </w:rPr>
        <w:t>1</w:t>
      </w:r>
      <w:r>
        <w:rPr>
          <w:rFonts w:ascii="Times New Roman" w:eastAsia="PMingLiU" w:hAnsi="Times New Roman" w:cs="Times New Roman"/>
          <w:sz w:val="20"/>
          <w:szCs w:val="20"/>
        </w:rPr>
        <w:t>p&lt;.05</w:t>
      </w:r>
    </w:p>
    <w:p w14:paraId="005AD99E" w14:textId="77777777" w:rsidR="00A07B12" w:rsidRDefault="00A07B12" w:rsidP="00A07B12"/>
    <w:p w14:paraId="676A56F0" w14:textId="77777777" w:rsidR="00604388" w:rsidRPr="00604388" w:rsidRDefault="00604388" w:rsidP="00604388">
      <w:pPr>
        <w:spacing w:after="0" w:line="240" w:lineRule="auto"/>
        <w:rPr>
          <w:rFonts w:ascii="Times New Roman" w:hAnsi="Times New Roman" w:cs="Times New Roman"/>
          <w:b/>
          <w:bCs/>
          <w:sz w:val="23"/>
          <w:szCs w:val="23"/>
        </w:rPr>
      </w:pPr>
    </w:p>
    <w:p w14:paraId="67B8B0DF" w14:textId="6DEF4DFF" w:rsidR="00604388" w:rsidRPr="00604388" w:rsidRDefault="00604388">
      <w:pPr>
        <w:rPr>
          <w:rFonts w:ascii="Times New Roman" w:hAnsi="Times New Roman" w:cs="Times New Roman"/>
          <w:sz w:val="23"/>
          <w:szCs w:val="23"/>
        </w:rPr>
      </w:pPr>
      <w:r>
        <w:rPr>
          <w:rFonts w:ascii="Times New Roman" w:hAnsi="Times New Roman" w:cs="Times New Roman"/>
          <w:sz w:val="23"/>
          <w:szCs w:val="23"/>
        </w:rPr>
        <w:tab/>
      </w:r>
    </w:p>
    <w:sectPr w:rsidR="00604388" w:rsidRPr="00604388" w:rsidSect="005F5599">
      <w:footerReference w:type="default" r:id="rId11"/>
      <w:pgSz w:w="12240" w:h="15840"/>
      <w:pgMar w:top="1008" w:right="1296" w:bottom="864"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1192E" w14:textId="77777777" w:rsidR="00A37F08" w:rsidRDefault="00A37F08" w:rsidP="005F5599">
      <w:pPr>
        <w:spacing w:after="0" w:line="240" w:lineRule="auto"/>
      </w:pPr>
      <w:r>
        <w:separator/>
      </w:r>
    </w:p>
  </w:endnote>
  <w:endnote w:type="continuationSeparator" w:id="0">
    <w:p w14:paraId="701F6C25" w14:textId="77777777" w:rsidR="00A37F08" w:rsidRDefault="00A37F08" w:rsidP="005F5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585549"/>
      <w:docPartObj>
        <w:docPartGallery w:val="Page Numbers (Bottom of Page)"/>
        <w:docPartUnique/>
      </w:docPartObj>
    </w:sdtPr>
    <w:sdtEndPr>
      <w:rPr>
        <w:noProof/>
      </w:rPr>
    </w:sdtEndPr>
    <w:sdtContent>
      <w:p w14:paraId="7C187B32" w14:textId="41CFB1C3" w:rsidR="005F5599" w:rsidRDefault="005F55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CEAFD5" w14:textId="77777777" w:rsidR="005F5599" w:rsidRDefault="005F5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04087" w14:textId="77777777" w:rsidR="00A37F08" w:rsidRDefault="00A37F08" w:rsidP="005F5599">
      <w:pPr>
        <w:spacing w:after="0" w:line="240" w:lineRule="auto"/>
      </w:pPr>
      <w:r>
        <w:separator/>
      </w:r>
    </w:p>
  </w:footnote>
  <w:footnote w:type="continuationSeparator" w:id="0">
    <w:p w14:paraId="34B56DB6" w14:textId="77777777" w:rsidR="00A37F08" w:rsidRDefault="00A37F08" w:rsidP="005F55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E1EA9"/>
    <w:multiLevelType w:val="hybridMultilevel"/>
    <w:tmpl w:val="15A4807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420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DA"/>
    <w:rsid w:val="000358ED"/>
    <w:rsid w:val="00072DE0"/>
    <w:rsid w:val="000835E2"/>
    <w:rsid w:val="000C215B"/>
    <w:rsid w:val="000D0477"/>
    <w:rsid w:val="000D2E2C"/>
    <w:rsid w:val="000F7C93"/>
    <w:rsid w:val="00120626"/>
    <w:rsid w:val="0012655F"/>
    <w:rsid w:val="00143524"/>
    <w:rsid w:val="00154D4A"/>
    <w:rsid w:val="001579AF"/>
    <w:rsid w:val="00162BBC"/>
    <w:rsid w:val="00186EDB"/>
    <w:rsid w:val="001C4D51"/>
    <w:rsid w:val="001E6282"/>
    <w:rsid w:val="001F6AED"/>
    <w:rsid w:val="001F712E"/>
    <w:rsid w:val="00220C2C"/>
    <w:rsid w:val="00250809"/>
    <w:rsid w:val="00264C42"/>
    <w:rsid w:val="0028087D"/>
    <w:rsid w:val="002828F1"/>
    <w:rsid w:val="00293E7A"/>
    <w:rsid w:val="002C046B"/>
    <w:rsid w:val="002C32B4"/>
    <w:rsid w:val="002C474D"/>
    <w:rsid w:val="002C77C6"/>
    <w:rsid w:val="002D4F58"/>
    <w:rsid w:val="002D61DA"/>
    <w:rsid w:val="003034BE"/>
    <w:rsid w:val="00316E2A"/>
    <w:rsid w:val="003215EA"/>
    <w:rsid w:val="00385BBD"/>
    <w:rsid w:val="00387C4E"/>
    <w:rsid w:val="00394969"/>
    <w:rsid w:val="0039557B"/>
    <w:rsid w:val="003A4454"/>
    <w:rsid w:val="003A59EF"/>
    <w:rsid w:val="003B137D"/>
    <w:rsid w:val="003E6CD8"/>
    <w:rsid w:val="00423DDE"/>
    <w:rsid w:val="004319D9"/>
    <w:rsid w:val="004420EE"/>
    <w:rsid w:val="004613EC"/>
    <w:rsid w:val="00477F3F"/>
    <w:rsid w:val="0050596E"/>
    <w:rsid w:val="0053341C"/>
    <w:rsid w:val="00555ADA"/>
    <w:rsid w:val="00572656"/>
    <w:rsid w:val="00575780"/>
    <w:rsid w:val="005876D5"/>
    <w:rsid w:val="005D3AB2"/>
    <w:rsid w:val="005E6CF5"/>
    <w:rsid w:val="005F5599"/>
    <w:rsid w:val="00604388"/>
    <w:rsid w:val="006B70D1"/>
    <w:rsid w:val="006E1975"/>
    <w:rsid w:val="006E493C"/>
    <w:rsid w:val="006F5497"/>
    <w:rsid w:val="00704577"/>
    <w:rsid w:val="007358EC"/>
    <w:rsid w:val="007503A0"/>
    <w:rsid w:val="00753559"/>
    <w:rsid w:val="007662C3"/>
    <w:rsid w:val="007D01E9"/>
    <w:rsid w:val="007E632E"/>
    <w:rsid w:val="00804F7C"/>
    <w:rsid w:val="00812F1B"/>
    <w:rsid w:val="0082269C"/>
    <w:rsid w:val="00831FB0"/>
    <w:rsid w:val="00893470"/>
    <w:rsid w:val="008A09D0"/>
    <w:rsid w:val="008A7D7C"/>
    <w:rsid w:val="008B188B"/>
    <w:rsid w:val="008C1E8C"/>
    <w:rsid w:val="00910AB1"/>
    <w:rsid w:val="00915C9F"/>
    <w:rsid w:val="00955C45"/>
    <w:rsid w:val="00970FF2"/>
    <w:rsid w:val="009772B5"/>
    <w:rsid w:val="009E7EE6"/>
    <w:rsid w:val="00A07B12"/>
    <w:rsid w:val="00A26908"/>
    <w:rsid w:val="00A37F08"/>
    <w:rsid w:val="00A44C05"/>
    <w:rsid w:val="00A64468"/>
    <w:rsid w:val="00A720AE"/>
    <w:rsid w:val="00A73C28"/>
    <w:rsid w:val="00A86F55"/>
    <w:rsid w:val="00A971A9"/>
    <w:rsid w:val="00AD0ACA"/>
    <w:rsid w:val="00AD6F55"/>
    <w:rsid w:val="00B007B6"/>
    <w:rsid w:val="00B373E8"/>
    <w:rsid w:val="00B43A28"/>
    <w:rsid w:val="00B8084E"/>
    <w:rsid w:val="00B90D70"/>
    <w:rsid w:val="00B95F39"/>
    <w:rsid w:val="00BB70FA"/>
    <w:rsid w:val="00BD2D36"/>
    <w:rsid w:val="00BE69B3"/>
    <w:rsid w:val="00C4034F"/>
    <w:rsid w:val="00C47F76"/>
    <w:rsid w:val="00C50CBC"/>
    <w:rsid w:val="00C526B7"/>
    <w:rsid w:val="00C829BB"/>
    <w:rsid w:val="00CA43AC"/>
    <w:rsid w:val="00CA5AE5"/>
    <w:rsid w:val="00CF4AC4"/>
    <w:rsid w:val="00D01B23"/>
    <w:rsid w:val="00D05482"/>
    <w:rsid w:val="00D0667C"/>
    <w:rsid w:val="00D1621D"/>
    <w:rsid w:val="00D426EC"/>
    <w:rsid w:val="00D52AA2"/>
    <w:rsid w:val="00D57118"/>
    <w:rsid w:val="00D96E0F"/>
    <w:rsid w:val="00DA6941"/>
    <w:rsid w:val="00DD27B4"/>
    <w:rsid w:val="00DF7D19"/>
    <w:rsid w:val="00E05616"/>
    <w:rsid w:val="00E14774"/>
    <w:rsid w:val="00E336BA"/>
    <w:rsid w:val="00E4315E"/>
    <w:rsid w:val="00E4465F"/>
    <w:rsid w:val="00E6788D"/>
    <w:rsid w:val="00E73EC5"/>
    <w:rsid w:val="00EA7CBC"/>
    <w:rsid w:val="00F04956"/>
    <w:rsid w:val="00F40EC5"/>
    <w:rsid w:val="00F72611"/>
    <w:rsid w:val="00F82237"/>
    <w:rsid w:val="00FA1BD4"/>
    <w:rsid w:val="00FB429B"/>
    <w:rsid w:val="00FC4717"/>
    <w:rsid w:val="00FD2CB1"/>
    <w:rsid w:val="00FE4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D611"/>
  <w15:chartTrackingRefBased/>
  <w15:docId w15:val="{3D189925-FD04-4934-918F-EDCB1C59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1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61DA"/>
    <w:rPr>
      <w:color w:val="0563C1" w:themeColor="hyperlink"/>
      <w:u w:val="single"/>
    </w:rPr>
  </w:style>
  <w:style w:type="paragraph" w:styleId="Header">
    <w:name w:val="header"/>
    <w:basedOn w:val="Normal"/>
    <w:link w:val="HeaderChar"/>
    <w:uiPriority w:val="99"/>
    <w:unhideWhenUsed/>
    <w:rsid w:val="005F55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599"/>
  </w:style>
  <w:style w:type="paragraph" w:styleId="Footer">
    <w:name w:val="footer"/>
    <w:basedOn w:val="Normal"/>
    <w:link w:val="FooterChar"/>
    <w:uiPriority w:val="99"/>
    <w:unhideWhenUsed/>
    <w:rsid w:val="005F55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599"/>
  </w:style>
  <w:style w:type="character" w:styleId="UnresolvedMention">
    <w:name w:val="Unresolved Mention"/>
    <w:basedOn w:val="DefaultParagraphFont"/>
    <w:uiPriority w:val="99"/>
    <w:semiHidden/>
    <w:unhideWhenUsed/>
    <w:rsid w:val="00BE69B3"/>
    <w:rPr>
      <w:color w:val="605E5C"/>
      <w:shd w:val="clear" w:color="auto" w:fill="E1DFDD"/>
    </w:rPr>
  </w:style>
  <w:style w:type="paragraph" w:styleId="ListParagraph">
    <w:name w:val="List Paragraph"/>
    <w:basedOn w:val="Normal"/>
    <w:uiPriority w:val="34"/>
    <w:qFormat/>
    <w:rsid w:val="00A44C05"/>
    <w:pPr>
      <w:ind w:left="720"/>
      <w:contextualSpacing/>
    </w:pPr>
    <w:rPr>
      <w:rFonts w:eastAsiaTheme="minorEastAsia"/>
      <w:lang w:eastAsia="zh-TW"/>
    </w:rPr>
  </w:style>
  <w:style w:type="character" w:customStyle="1" w:styleId="authors">
    <w:name w:val="authors"/>
    <w:basedOn w:val="DefaultParagraphFont"/>
    <w:rsid w:val="00A44C05"/>
  </w:style>
  <w:style w:type="character" w:customStyle="1" w:styleId="source">
    <w:name w:val="source"/>
    <w:basedOn w:val="DefaultParagraphFont"/>
    <w:rsid w:val="00A44C05"/>
  </w:style>
  <w:style w:type="character" w:customStyle="1" w:styleId="pubdate">
    <w:name w:val="pubdate"/>
    <w:basedOn w:val="DefaultParagraphFont"/>
    <w:rsid w:val="00A44C05"/>
  </w:style>
  <w:style w:type="character" w:customStyle="1" w:styleId="volume">
    <w:name w:val="volume"/>
    <w:basedOn w:val="DefaultParagraphFont"/>
    <w:rsid w:val="00A44C05"/>
  </w:style>
  <w:style w:type="character" w:customStyle="1" w:styleId="pages">
    <w:name w:val="pages"/>
    <w:basedOn w:val="DefaultParagraphFont"/>
    <w:rsid w:val="00A44C05"/>
  </w:style>
  <w:style w:type="character" w:customStyle="1" w:styleId="doi">
    <w:name w:val="doi"/>
    <w:basedOn w:val="DefaultParagraphFont"/>
    <w:rsid w:val="00A44C05"/>
  </w:style>
  <w:style w:type="character" w:customStyle="1" w:styleId="pmid">
    <w:name w:val="pmid"/>
    <w:basedOn w:val="DefaultParagraphFont"/>
    <w:rsid w:val="00A44C05"/>
  </w:style>
  <w:style w:type="character" w:customStyle="1" w:styleId="pmcid">
    <w:name w:val="pmcid"/>
    <w:basedOn w:val="DefaultParagraphFont"/>
    <w:rsid w:val="00A44C05"/>
  </w:style>
  <w:style w:type="character" w:customStyle="1" w:styleId="issue">
    <w:name w:val="issue"/>
    <w:basedOn w:val="DefaultParagraphFont"/>
    <w:rsid w:val="00A44C05"/>
  </w:style>
  <w:style w:type="character" w:styleId="FollowedHyperlink">
    <w:name w:val="FollowedHyperlink"/>
    <w:basedOn w:val="DefaultParagraphFont"/>
    <w:uiPriority w:val="99"/>
    <w:semiHidden/>
    <w:unhideWhenUsed/>
    <w:rsid w:val="00FA1B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16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44153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aminghamheartstudy.org/fhs-risk-functions/cardiovascular-disease-30-year-ri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health.gov/healthypeople/objectives-and-data/social-determinants-health" TargetMode="External"/><Relationship Id="rId4" Type="http://schemas.openxmlformats.org/officeDocument/2006/relationships/webSettings" Target="webSettings.xml"/><Relationship Id="rId9" Type="http://schemas.openxmlformats.org/officeDocument/2006/relationships/hyperlink" Target="https://framinghamheartstudy.org/fhs-risk-functions/cardiovascular-disease-30-year-ri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3595</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dc:creator>
  <cp:keywords/>
  <dc:description/>
  <cp:lastModifiedBy>Judy Temple</cp:lastModifiedBy>
  <cp:revision>7</cp:revision>
  <dcterms:created xsi:type="dcterms:W3CDTF">2024-02-24T21:23:00Z</dcterms:created>
  <dcterms:modified xsi:type="dcterms:W3CDTF">2024-02-26T00:21:00Z</dcterms:modified>
</cp:coreProperties>
</file>