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68443" w14:textId="77777777" w:rsidR="008D1BF5" w:rsidRPr="008D1BF5" w:rsidRDefault="008D1BF5" w:rsidP="008D1BF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BF5">
        <w:rPr>
          <w:rFonts w:ascii="Times New Roman" w:hAnsi="Times New Roman" w:cs="Times New Roman"/>
          <w:b/>
          <w:bCs/>
          <w:sz w:val="24"/>
          <w:szCs w:val="24"/>
        </w:rPr>
        <w:t xml:space="preserve">Supplement 4. </w:t>
      </w:r>
    </w:p>
    <w:p w14:paraId="5E2C5085" w14:textId="1C781767" w:rsidR="008D1BF5" w:rsidRPr="008D1BF5" w:rsidRDefault="008D1BF5" w:rsidP="008D1BF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BF5">
        <w:rPr>
          <w:rFonts w:ascii="Times New Roman" w:hAnsi="Times New Roman" w:cs="Times New Roman"/>
          <w:b/>
          <w:bCs/>
          <w:sz w:val="24"/>
          <w:szCs w:val="24"/>
        </w:rPr>
        <w:t>General Effects of the IY Intervention on Disruptive Child Behavior</w:t>
      </w:r>
      <w:r w:rsidRPr="008D1B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9EBEF" w14:textId="77777777" w:rsidR="008D1BF5" w:rsidRPr="00892B84" w:rsidRDefault="008D1BF5" w:rsidP="008D1BF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92B84">
        <w:rPr>
          <w:rFonts w:ascii="Times New Roman" w:hAnsi="Times New Roman" w:cs="Times New Roman"/>
          <w:sz w:val="24"/>
          <w:szCs w:val="24"/>
        </w:rPr>
        <w:t xml:space="preserve">At a group-level, there was no significant relation between treatment condition (control vs. IY) and child DB at pre-test (T1) (β = .047, SE = .038, </w:t>
      </w:r>
      <w:r w:rsidRPr="00892B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92B84">
        <w:rPr>
          <w:rFonts w:ascii="Times New Roman" w:hAnsi="Times New Roman" w:cs="Times New Roman"/>
          <w:sz w:val="24"/>
          <w:szCs w:val="24"/>
        </w:rPr>
        <w:t xml:space="preserve"> = .220), but there was a significant relation with DB at post-test (T2) (path model: β = -.137, SE = .026, </w:t>
      </w:r>
      <w:r w:rsidRPr="00892B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92B84">
        <w:rPr>
          <w:rFonts w:ascii="Times New Roman" w:hAnsi="Times New Roman" w:cs="Times New Roman"/>
          <w:sz w:val="24"/>
          <w:szCs w:val="24"/>
        </w:rPr>
        <w:t xml:space="preserve"> &lt; .001) (</w:t>
      </w:r>
      <w:r w:rsidRPr="00892B84">
        <w:rPr>
          <w:rFonts w:ascii="Times New Roman" w:hAnsi="Times New Roman" w:cs="Times New Roman"/>
          <w:i/>
          <w:iCs/>
          <w:sz w:val="24"/>
          <w:szCs w:val="24"/>
        </w:rPr>
        <w:t>Chi</w:t>
      </w:r>
      <w:r w:rsidRPr="00892B8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92B84">
        <w:rPr>
          <w:rFonts w:ascii="Times New Roman" w:hAnsi="Times New Roman" w:cs="Times New Roman"/>
          <w:sz w:val="24"/>
          <w:szCs w:val="24"/>
          <w:vertAlign w:val="superscript"/>
        </w:rPr>
        <w:t xml:space="preserve">= </w:t>
      </w:r>
      <w:r w:rsidRPr="00892B84">
        <w:rPr>
          <w:rFonts w:ascii="Times New Roman" w:hAnsi="Times New Roman" w:cs="Times New Roman"/>
          <w:sz w:val="24"/>
          <w:szCs w:val="24"/>
        </w:rPr>
        <w:t xml:space="preserve">0, </w:t>
      </w:r>
      <w:r w:rsidRPr="00892B84">
        <w:rPr>
          <w:rFonts w:ascii="Times New Roman" w:hAnsi="Times New Roman" w:cs="Times New Roman"/>
          <w:i/>
          <w:iCs/>
          <w:sz w:val="24"/>
          <w:szCs w:val="24"/>
        </w:rPr>
        <w:t xml:space="preserve">df </w:t>
      </w:r>
      <w:r w:rsidRPr="00892B84">
        <w:rPr>
          <w:rFonts w:ascii="Times New Roman" w:hAnsi="Times New Roman" w:cs="Times New Roman"/>
          <w:sz w:val="24"/>
          <w:szCs w:val="24"/>
        </w:rPr>
        <w:t xml:space="preserve">= 0, </w:t>
      </w:r>
      <w:r w:rsidRPr="00892B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92B84">
        <w:rPr>
          <w:rFonts w:ascii="Times New Roman" w:hAnsi="Times New Roman" w:cs="Times New Roman"/>
          <w:sz w:val="24"/>
          <w:szCs w:val="24"/>
        </w:rPr>
        <w:t xml:space="preserve"> = .093, RMSEA = .000, CFI = 1.000 [saturated model]). Controlling for the trial from which the data was derived (i.e., trial of origin) and DB at T1, the treatment condition predicted DB at T2; that is, families who received IY reported on average less DB at T2 than those families who did not (small effect, Cohen’s </w:t>
      </w:r>
      <w:r w:rsidRPr="00892B8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892B84">
        <w:rPr>
          <w:rFonts w:ascii="Times New Roman" w:hAnsi="Times New Roman" w:cs="Times New Roman"/>
          <w:sz w:val="24"/>
          <w:szCs w:val="24"/>
        </w:rPr>
        <w:t xml:space="preserve"> = .27). We calculated individual reliable change indexes (RCIs) to evaluate whether a change within a child’s DB is greater than a difference that could have occurred due to random measurement error (i.e., reliable),and is clinically meaningful</w:t>
      </w:r>
      <w:r w:rsidRPr="00892B8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"/>
          <w:id w:val="1208615042"/>
          <w:placeholder>
            <w:docPart w:val="8CD9411260FB4C5BAD8AFEB7F5FFA240"/>
          </w:placeholder>
        </w:sdtPr>
        <w:sdtEndPr/>
        <w:sdtContent>
          <w:r w:rsidRPr="00892B84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(Jacobson et al., 1999)</w:t>
          </w:r>
        </w:sdtContent>
      </w:sdt>
      <w:r w:rsidRPr="00892B8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. </w:t>
      </w:r>
      <w:r w:rsidRPr="00892B84">
        <w:rPr>
          <w:rFonts w:ascii="Times New Roman" w:hAnsi="Times New Roman" w:cs="Times New Roman"/>
          <w:sz w:val="24"/>
          <w:szCs w:val="24"/>
        </w:rPr>
        <w:t xml:space="preserve">For the calculation of these index we used: the ECBI means and standard deviation of DB at T1 and T2 of the sample; the ECBI means and standard deviation of a well-functioning normal population;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"/>
          <w:id w:val="672529245"/>
          <w:placeholder>
            <w:docPart w:val="A937C8EF8AEA45D4A950E59D62AFA585"/>
          </w:placeholder>
        </w:sdtPr>
        <w:sdtEndPr/>
        <w:sdtContent>
          <w:r w:rsidRPr="00892B84">
            <w:rPr>
              <w:rFonts w:ascii="Times New Roman" w:hAnsi="Times New Roman" w:cs="Times New Roman"/>
              <w:color w:val="000000"/>
              <w:sz w:val="24"/>
              <w:szCs w:val="24"/>
            </w:rPr>
            <w:t>(Weeland et al., 2018);</w:t>
          </w:r>
        </w:sdtContent>
      </w:sdt>
      <w:r w:rsidRPr="00892B84">
        <w:rPr>
          <w:rFonts w:ascii="Times New Roman" w:hAnsi="Times New Roman" w:cs="Times New Roman"/>
          <w:sz w:val="24"/>
          <w:szCs w:val="24"/>
        </w:rPr>
        <w:t xml:space="preserve"> and the ECBI test-retest reliability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"/>
          <w:id w:val="-1167624417"/>
          <w:placeholder>
            <w:docPart w:val="A937C8EF8AEA45D4A950E59D62AFA585"/>
          </w:placeholder>
        </w:sdtPr>
        <w:sdtEndPr/>
        <w:sdtContent>
          <w:r w:rsidRPr="00892B84">
            <w:rPr>
              <w:rFonts w:ascii="Times New Roman" w:hAnsi="Times New Roman" w:cs="Times New Roman"/>
              <w:color w:val="000000"/>
              <w:sz w:val="24"/>
              <w:szCs w:val="24"/>
            </w:rPr>
            <w:t>(Abrahamse et al., 2015).</w:t>
          </w:r>
        </w:sdtContent>
      </w:sdt>
      <w:r w:rsidRPr="00892B84">
        <w:rPr>
          <w:rFonts w:ascii="Times New Roman" w:hAnsi="Times New Roman" w:cs="Times New Roman"/>
          <w:sz w:val="24"/>
          <w:szCs w:val="24"/>
        </w:rPr>
        <w:t xml:space="preserve"> Change indexes are calculated by dividing the difference between T2 and T1 by the </w:t>
      </w:r>
      <w:r w:rsidRPr="00C5599E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standard error of measurement of the difference</w:t>
      </w:r>
      <w:r w:rsidRPr="00C5599E">
        <w:rPr>
          <w:rFonts w:ascii="Times New Roman" w:hAnsi="Times New Roman" w:cs="Times New Roman"/>
          <w:sz w:val="24"/>
          <w:szCs w:val="24"/>
        </w:rPr>
        <w:t xml:space="preserve">. </w:t>
      </w:r>
      <w:r w:rsidRPr="00892B84">
        <w:rPr>
          <w:rFonts w:ascii="Times New Roman" w:hAnsi="Times New Roman" w:cs="Times New Roman"/>
          <w:sz w:val="24"/>
          <w:szCs w:val="24"/>
        </w:rPr>
        <w:t xml:space="preserve">If the index &gt; 1.96 this indicates there is reliable and meaningful change. We coded individual change indexes as ‘recovery’ (i.e., reliable and meaningful decrease of DB, moving from clinical to non-clinical score), ‘clinically significant change’ (i.e., reliable and meaningful decrease in DB but not moving from clinical to non-clinical score), ‘no change’ (i.e., no reliable or meaningful change) or ‘deterioration’ (i.e., reliable and meaningful increase in DB). </w:t>
      </w:r>
    </w:p>
    <w:p w14:paraId="2E7D2610" w14:textId="77777777" w:rsidR="008D1BF5" w:rsidRPr="00892B84" w:rsidRDefault="008D1BF5" w:rsidP="008D1BF5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92B84">
        <w:rPr>
          <w:rFonts w:ascii="Times New Roman" w:hAnsi="Times New Roman" w:cs="Times New Roman"/>
          <w:sz w:val="24"/>
          <w:szCs w:val="24"/>
        </w:rPr>
        <w:t xml:space="preserve">In the intervention condition, the individual RCI ranged from -6.79 (decrease in DB between T1 and T2) to 2.78 (increase in DB between T1 and T2), meaning that effects ranged from recovery to deterioration. One fifth (20.4%) of children of families in the intervention </w:t>
      </w:r>
      <w:r w:rsidRPr="00892B84">
        <w:rPr>
          <w:rFonts w:ascii="Times New Roman" w:hAnsi="Times New Roman" w:cs="Times New Roman"/>
          <w:sz w:val="24"/>
          <w:szCs w:val="24"/>
        </w:rPr>
        <w:lastRenderedPageBreak/>
        <w:t>condition showed recovery or clinically significant improvement (vs. 7.3% in the control group). Thus, although, on average, the intervention had a significant effect on DB, there was large heterogeneity in effect size between individual families. This emphasizes the importance of understanding heterogeneity in intervention effectiveness.</w:t>
      </w:r>
    </w:p>
    <w:p w14:paraId="557F5B0F" w14:textId="77777777" w:rsidR="003308B9" w:rsidRDefault="003308B9"/>
    <w:sectPr w:rsidR="003308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F5"/>
    <w:rsid w:val="00025759"/>
    <w:rsid w:val="002E6188"/>
    <w:rsid w:val="003308B9"/>
    <w:rsid w:val="005A4659"/>
    <w:rsid w:val="007A3894"/>
    <w:rsid w:val="008D1BF5"/>
    <w:rsid w:val="008D3F72"/>
    <w:rsid w:val="00AC73C8"/>
    <w:rsid w:val="00B816BC"/>
    <w:rsid w:val="00CB7D35"/>
    <w:rsid w:val="00ED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33E5"/>
  <w15:chartTrackingRefBased/>
  <w15:docId w15:val="{A3045E9C-8C90-4B3E-BBCA-275762DD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BF5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B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B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B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B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l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B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nl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BF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l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BF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nl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BF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l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BF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nl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B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B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B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B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B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B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1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B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1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B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nl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1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BF5"/>
    <w:pPr>
      <w:spacing w:after="160" w:line="259" w:lineRule="auto"/>
      <w:ind w:left="720"/>
      <w:contextualSpacing/>
    </w:pPr>
    <w:rPr>
      <w:kern w:val="2"/>
      <w:lang w:val="nl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1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nl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B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CD9411260FB4C5BAD8AFEB7F5FF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DE97-670A-4B07-957B-441FB25BF5F5}"/>
      </w:docPartPr>
      <w:docPartBody>
        <w:p w:rsidR="00E95B6B" w:rsidRDefault="00AD3517" w:rsidP="00AD3517">
          <w:pPr>
            <w:pStyle w:val="8CD9411260FB4C5BAD8AFEB7F5FFA240"/>
          </w:pPr>
          <w:r w:rsidRPr="00D4792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7C8EF8AEA45D4A950E59D62AF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71F32-A72C-400A-9D19-C53208C12175}"/>
      </w:docPartPr>
      <w:docPartBody>
        <w:p w:rsidR="00E95B6B" w:rsidRDefault="00AD3517" w:rsidP="00AD3517">
          <w:pPr>
            <w:pStyle w:val="A937C8EF8AEA45D4A950E59D62AFA585"/>
          </w:pPr>
          <w:r w:rsidRPr="00D4792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17"/>
    <w:rsid w:val="00A73BB1"/>
    <w:rsid w:val="00AD3517"/>
    <w:rsid w:val="00B816BC"/>
    <w:rsid w:val="00CB7D35"/>
    <w:rsid w:val="00E9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517"/>
    <w:rPr>
      <w:color w:val="808080"/>
    </w:rPr>
  </w:style>
  <w:style w:type="paragraph" w:customStyle="1" w:styleId="8CD9411260FB4C5BAD8AFEB7F5FFA240">
    <w:name w:val="8CD9411260FB4C5BAD8AFEB7F5FFA240"/>
    <w:rsid w:val="00AD3517"/>
  </w:style>
  <w:style w:type="paragraph" w:customStyle="1" w:styleId="A937C8EF8AEA45D4A950E59D62AFA585">
    <w:name w:val="A937C8EF8AEA45D4A950E59D62AFA585"/>
    <w:rsid w:val="00AD3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Weeland</dc:creator>
  <cp:keywords/>
  <dc:description/>
  <cp:lastModifiedBy>Joyce Weeland</cp:lastModifiedBy>
  <cp:revision>2</cp:revision>
  <dcterms:created xsi:type="dcterms:W3CDTF">2024-07-26T14:32:00Z</dcterms:created>
  <dcterms:modified xsi:type="dcterms:W3CDTF">2024-07-26T14:32:00Z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2024-07-26T14:07:02Z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89ba2494-e439-483f-b0e2-00c2aad84bae</vt:lpwstr>
  </property>
  <property fmtid="{D5CDD505-2E9C-101B-9397-08002B2CF9AE}" pid="8" name="MSIP_Label_8772ba27-cab8-4042-a351-a31f6e4eacdc_ContentBits">
    <vt:lpwstr>0</vt:lpwstr>
  </property>
</Properties>
</file>